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26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126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项目编号：JSZC-320904-JSJY-G2026-0029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项目名称：盐城市大丰人民医院信息系统驻场维保服务项目</w:t>
      </w:r>
      <w:r/>
    </w:p>
    <w:p>
      <w:pPr>
        <w:ind w:left="0" w:right="0" w:firstLine="224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盐城市大丰人民医院</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江苏建友兴业工程项目管理有限公司</w:t>
      </w:r>
      <w:r/>
    </w:p>
    <w:p>
      <w:pPr>
        <w:ind w:left="0" w:right="0" w:firstLine="0"/>
        <w:jc w:val="center"/>
        <w:spacing w:before="0" w:after="0" w:line="85" w:lineRule="atLeast"/>
        <w:tabs>
          <w:tab w:val="left" w:pos="75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2026年8月</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shd w:val="nil" w:color="auto"/>
        <w:rPr>
          <w:rFonts w:ascii="Times New Roman" w:hAnsi="Times New Roman" w:eastAsia="Times New Roman" w:cs="Times New Roman"/>
          <w:sz w:val="21"/>
          <w:szCs w:val="21"/>
        </w:rPr>
      </w:pPr>
      <w:r>
        <w:rPr>
          <w:rFonts w:ascii="SimSun" w:hAnsi="SimSun" w:eastAsia="SimSun" w:cs="SimSun"/>
          <w:b/>
          <w:color w:val="000000"/>
          <w:sz w:val="36"/>
          <w:highlight w:val="none"/>
        </w:rPr>
        <w:br w:type="page" w:clear="all"/>
      </w:r>
      <w:r>
        <w:rPr>
          <w:rFonts w:ascii="SimSun" w:hAnsi="SimSun" w:eastAsia="SimSun" w:cs="SimSun"/>
          <w:b/>
          <w:color w:val="000000"/>
          <w:sz w:val="36"/>
          <w:highlight w:val="none"/>
        </w:rPr>
      </w:r>
      <w:r/>
    </w:p>
    <w:p>
      <w:pPr>
        <w:ind w:left="0" w:right="0" w:firstLine="0"/>
        <w:jc w:val="center"/>
        <w:spacing w:before="0" w:after="0" w:line="113"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总目录</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120" w:after="120" w:line="85" w:lineRule="atLeast"/>
        <w:tabs>
          <w:tab w:val="left" w:pos="974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8509" w:history="1">
        <w:r>
          <w:rPr>
            <w:rStyle w:val="759"/>
            <w:rFonts w:ascii="SimSun" w:hAnsi="SimSun" w:eastAsia="SimSun" w:cs="SimSun"/>
            <w:color w:val="0000ee"/>
            <w:sz w:val="24"/>
            <w:u w:val="single"/>
          </w:rPr>
          <w:t xml:space="preserve">第一章</w:t>
        </w:r>
        <w:r>
          <w:rPr>
            <w:rStyle w:val="759"/>
            <w:rFonts w:ascii="SimSun" w:hAnsi="SimSun" w:eastAsia="SimSun" w:cs="SimSun"/>
            <w:color w:val="0000ee"/>
            <w:sz w:val="24"/>
            <w:u w:val="none"/>
          </w:rPr>
          <w:t xml:space="preserve"> </w:t>
        </w:r>
        <w:r>
          <w:rPr>
            <w:rStyle w:val="759"/>
            <w:rFonts w:ascii="SimSun" w:hAnsi="SimSun" w:eastAsia="SimSun" w:cs="SimSun"/>
            <w:color w:val="0000ee"/>
            <w:sz w:val="24"/>
            <w:u w:val="single"/>
          </w:rPr>
          <w:t xml:space="preserve">招标公告</w:t>
        </w:r>
      </w:hyperlink>
      <w:r>
        <w:rPr>
          <w:rFonts w:ascii="SimSun" w:hAnsi="SimSun" w:eastAsia="SimSun" w:cs="SimSun"/>
          <w:color w:val="000000"/>
          <w:sz w:val="24"/>
        </w:rPr>
        <w:t xml:space="preserve">……………………………………………………………………3</w:t>
      </w:r>
      <w:r/>
    </w:p>
    <w:p>
      <w:pPr>
        <w:ind w:left="0" w:right="0" w:firstLine="0"/>
        <w:jc w:val="both"/>
        <w:spacing w:before="120" w:after="120" w:line="85" w:lineRule="atLeast"/>
        <w:tabs>
          <w:tab w:val="left" w:pos="974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0015" w:history="1">
        <w:r>
          <w:rPr>
            <w:rStyle w:val="759"/>
            <w:rFonts w:ascii="SimSun" w:hAnsi="SimSun" w:eastAsia="SimSun" w:cs="SimSun"/>
            <w:color w:val="0000ee"/>
            <w:sz w:val="24"/>
            <w:u w:val="single"/>
          </w:rPr>
          <w:t xml:space="preserve">第二章</w:t>
        </w:r>
        <w:r>
          <w:rPr>
            <w:rStyle w:val="759"/>
            <w:rFonts w:ascii="SimSun" w:hAnsi="SimSun" w:eastAsia="SimSun" w:cs="SimSun"/>
            <w:color w:val="0000ee"/>
            <w:sz w:val="24"/>
            <w:u w:val="none"/>
          </w:rPr>
          <w:t xml:space="preserve"> </w:t>
        </w:r>
        <w:r>
          <w:rPr>
            <w:rStyle w:val="759"/>
            <w:rFonts w:ascii="SimSun" w:hAnsi="SimSun" w:eastAsia="SimSun" w:cs="SimSun"/>
            <w:color w:val="0000ee"/>
            <w:sz w:val="24"/>
            <w:u w:val="single"/>
          </w:rPr>
          <w:t xml:space="preserve">投标人须知</w:t>
        </w:r>
      </w:hyperlink>
      <w:r>
        <w:rPr>
          <w:rFonts w:ascii="SimSun" w:hAnsi="SimSun" w:eastAsia="SimSun" w:cs="SimSun"/>
          <w:color w:val="000000"/>
          <w:sz w:val="24"/>
        </w:rPr>
        <w:t xml:space="preserve">…………………………………………………………………6</w:t>
      </w:r>
      <w:r/>
    </w:p>
    <w:p>
      <w:pPr>
        <w:ind w:left="0" w:right="0" w:firstLine="0"/>
        <w:jc w:val="both"/>
        <w:spacing w:before="120" w:after="120" w:line="85" w:lineRule="atLeast"/>
        <w:tabs>
          <w:tab w:val="left" w:pos="974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866" w:history="1">
        <w:r>
          <w:rPr>
            <w:rStyle w:val="759"/>
            <w:rFonts w:ascii="SimSun" w:hAnsi="SimSun" w:eastAsia="SimSun" w:cs="SimSun"/>
            <w:color w:val="0000ee"/>
            <w:sz w:val="24"/>
            <w:u w:val="single"/>
          </w:rPr>
          <w:t xml:space="preserve">第三章</w:t>
        </w:r>
        <w:r>
          <w:rPr>
            <w:rStyle w:val="759"/>
            <w:rFonts w:ascii="SimSun" w:hAnsi="SimSun" w:eastAsia="SimSun" w:cs="SimSun"/>
            <w:color w:val="0000ee"/>
            <w:sz w:val="24"/>
            <w:u w:val="none"/>
          </w:rPr>
          <w:t xml:space="preserve"> </w:t>
        </w:r>
        <w:r>
          <w:rPr>
            <w:rStyle w:val="759"/>
            <w:rFonts w:ascii="SimSun" w:hAnsi="SimSun" w:eastAsia="SimSun" w:cs="SimSun"/>
            <w:color w:val="0000ee"/>
            <w:sz w:val="24"/>
            <w:u w:val="single"/>
          </w:rPr>
          <w:t xml:space="preserve">项目需求……………………………………………………………………18</w:t>
        </w:r>
      </w:hyperlink>
      <w:r/>
      <w:r/>
    </w:p>
    <w:p>
      <w:pPr>
        <w:ind w:left="0" w:right="0" w:firstLine="0"/>
        <w:jc w:val="both"/>
        <w:spacing w:before="120" w:after="120" w:line="85" w:lineRule="atLeast"/>
        <w:tabs>
          <w:tab w:val="left" w:pos="9746"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25848" w:history="1">
        <w:r>
          <w:rPr>
            <w:rStyle w:val="759"/>
            <w:rFonts w:ascii="SimSun" w:hAnsi="SimSun" w:eastAsia="SimSun" w:cs="SimSun"/>
            <w:color w:val="0000ee"/>
            <w:sz w:val="24"/>
            <w:u w:val="single"/>
          </w:rPr>
          <w:t xml:space="preserve">第四章</w:t>
        </w:r>
        <w:r>
          <w:rPr>
            <w:rStyle w:val="759"/>
            <w:rFonts w:ascii="SimSun" w:hAnsi="SimSun" w:eastAsia="SimSun" w:cs="SimSun"/>
            <w:color w:val="0000ee"/>
            <w:sz w:val="24"/>
            <w:u w:val="none"/>
          </w:rPr>
          <w:t xml:space="preserve"> </w:t>
        </w:r>
        <w:r>
          <w:rPr>
            <w:rStyle w:val="759"/>
            <w:rFonts w:ascii="SimSun" w:hAnsi="SimSun" w:eastAsia="SimSun" w:cs="SimSun"/>
            <w:color w:val="0000ee"/>
            <w:sz w:val="24"/>
            <w:u w:val="single"/>
          </w:rPr>
          <w:t xml:space="preserve">评标办法及评分标准</w:t>
        </w:r>
      </w:hyperlink>
      <w:r>
        <w:rPr>
          <w:rFonts w:ascii="SimSun" w:hAnsi="SimSun" w:eastAsia="SimSun" w:cs="SimSun"/>
          <w:color w:val="000000"/>
          <w:sz w:val="24"/>
        </w:rPr>
        <w:t xml:space="preserve">………………………………………………………22</w:t>
      </w:r>
      <w:r/>
    </w:p>
    <w:p>
      <w:pPr>
        <w:ind w:left="0" w:right="0" w:firstLine="0"/>
        <w:jc w:val="both"/>
        <w:spacing w:before="120" w:after="120" w:line="85" w:lineRule="atLeast"/>
        <w:tabs>
          <w:tab w:val="left" w:pos="9746"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15858" w:history="1">
        <w:r>
          <w:rPr>
            <w:rStyle w:val="759"/>
            <w:rFonts w:ascii="SimSun" w:hAnsi="SimSun" w:eastAsia="SimSun" w:cs="SimSun"/>
            <w:color w:val="0000ee"/>
            <w:sz w:val="24"/>
            <w:u w:val="single"/>
          </w:rPr>
          <w:t xml:space="preserve">第五章</w:t>
        </w:r>
        <w:r>
          <w:rPr>
            <w:rStyle w:val="759"/>
            <w:rFonts w:ascii="SimSun" w:hAnsi="SimSun" w:eastAsia="SimSun" w:cs="SimSun"/>
            <w:color w:val="0000ee"/>
            <w:sz w:val="24"/>
            <w:u w:val="none"/>
          </w:rPr>
          <w:t xml:space="preserve"> </w:t>
        </w:r>
        <w:r>
          <w:rPr>
            <w:rStyle w:val="759"/>
            <w:rFonts w:ascii="SimSun" w:hAnsi="SimSun" w:eastAsia="SimSun" w:cs="SimSun"/>
            <w:color w:val="0000ee"/>
            <w:sz w:val="24"/>
            <w:u w:val="single"/>
          </w:rPr>
          <w:t xml:space="preserve">合同主要条款</w:t>
        </w:r>
      </w:hyperlink>
      <w:r>
        <w:rPr>
          <w:rFonts w:ascii="SimSun" w:hAnsi="SimSun" w:eastAsia="SimSun" w:cs="SimSun"/>
          <w:color w:val="000000"/>
          <w:sz w:val="24"/>
        </w:rPr>
        <w:t xml:space="preserve">………………………………………………………………30</w:t>
      </w:r>
      <w:r/>
    </w:p>
    <w:p>
      <w:pPr>
        <w:ind w:left="0" w:right="0" w:firstLine="0"/>
        <w:jc w:val="both"/>
        <w:spacing w:before="120" w:after="120" w:line="85" w:lineRule="atLeast"/>
        <w:tabs>
          <w:tab w:val="left" w:pos="9746"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5681" w:history="1">
        <w:r>
          <w:rPr>
            <w:rStyle w:val="759"/>
            <w:rFonts w:ascii="SimSun" w:hAnsi="SimSun" w:eastAsia="SimSun" w:cs="SimSun"/>
            <w:color w:val="0000ee"/>
            <w:sz w:val="24"/>
            <w:u w:val="single"/>
          </w:rPr>
          <w:t xml:space="preserve">第六章</w:t>
        </w:r>
        <w:r>
          <w:rPr>
            <w:rStyle w:val="759"/>
            <w:rFonts w:ascii="SimSun" w:hAnsi="SimSun" w:eastAsia="SimSun" w:cs="SimSun"/>
            <w:color w:val="0000ee"/>
            <w:sz w:val="24"/>
            <w:u w:val="none"/>
          </w:rPr>
          <w:t xml:space="preserve"> </w:t>
        </w:r>
        <w:r>
          <w:rPr>
            <w:rStyle w:val="759"/>
            <w:rFonts w:ascii="SimSun" w:hAnsi="SimSun" w:eastAsia="SimSun" w:cs="SimSun"/>
            <w:color w:val="0000ee"/>
            <w:sz w:val="24"/>
            <w:u w:val="single"/>
          </w:rPr>
          <w:t xml:space="preserve">投标文件及格式</w:t>
        </w:r>
      </w:hyperlink>
      <w:r>
        <w:rPr>
          <w:rFonts w:ascii="SimSun" w:hAnsi="SimSun" w:eastAsia="SimSun" w:cs="SimSun"/>
          <w:color w:val="000000"/>
          <w:sz w:val="24"/>
        </w:rPr>
        <w:t xml:space="preserve">……………………………………………………………37</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第一章招标公告</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项目概况：</w:t>
      </w:r>
      <w:r>
        <w:rPr>
          <w:rFonts w:ascii="SimSun" w:hAnsi="SimSun" w:eastAsia="SimSun" w:cs="SimSun"/>
          <w:color w:val="000000"/>
          <w:sz w:val="24"/>
        </w:rPr>
        <w:t xml:space="preserve">盐城市大丰人民医院信息系统驻场维保服务项目JSZC-320904-JSJY-G2026-0029招标项目的潜在投标人应在“苏采云”系统内免费下载（投标人必须在苏采云系统中获取采购文件，方能参与政府采购项目） 获取招标文件，并于</w:t>
      </w:r>
      <w:r>
        <w:rPr>
          <w:rFonts w:ascii="SimSun" w:hAnsi="SimSun" w:eastAsia="SimSun" w:cs="SimSun"/>
          <w:color w:val="000000"/>
          <w:sz w:val="24"/>
          <w:u w:val="single"/>
        </w:rPr>
        <w:t xml:space="preserve">2026</w:t>
      </w:r>
      <w:r>
        <w:rPr>
          <w:rFonts w:ascii="SimSun" w:hAnsi="SimSun" w:eastAsia="SimSun" w:cs="SimSun"/>
          <w:color w:val="000000"/>
          <w:sz w:val="24"/>
        </w:rPr>
        <w:t xml:space="preserve">年</w:t>
      </w:r>
      <w:r>
        <w:rPr>
          <w:rFonts w:ascii="SimSun" w:hAnsi="SimSun" w:eastAsia="SimSun" w:cs="SimSun"/>
          <w:color w:val="000000"/>
          <w:sz w:val="24"/>
          <w:u w:val="single"/>
        </w:rPr>
        <w:t xml:space="preserve"> 9 </w:t>
      </w:r>
      <w:r>
        <w:rPr>
          <w:rFonts w:ascii="SimSun" w:hAnsi="SimSun" w:eastAsia="SimSun" w:cs="SimSun"/>
          <w:color w:val="000000"/>
          <w:sz w:val="24"/>
        </w:rPr>
        <w:t xml:space="preserve">月</w:t>
      </w:r>
      <w:r>
        <w:rPr>
          <w:rFonts w:ascii="SimSun" w:hAnsi="SimSun" w:eastAsia="SimSun" w:cs="SimSun"/>
          <w:color w:val="000000"/>
          <w:sz w:val="24"/>
          <w:u w:val="single"/>
        </w:rPr>
        <w:t xml:space="preserve"> 22 </w:t>
      </w:r>
      <w:r>
        <w:rPr>
          <w:rFonts w:ascii="SimSun" w:hAnsi="SimSun" w:eastAsia="SimSun" w:cs="SimSun"/>
          <w:color w:val="000000"/>
          <w:sz w:val="24"/>
        </w:rPr>
        <w:t xml:space="preserve">日</w:t>
      </w:r>
      <w:r>
        <w:rPr>
          <w:rFonts w:ascii="SimSun" w:hAnsi="SimSun" w:eastAsia="SimSun" w:cs="SimSun"/>
          <w:color w:val="000000"/>
          <w:sz w:val="24"/>
          <w:u w:val="single"/>
        </w:rPr>
        <w:t xml:space="preserve"> 10 </w:t>
      </w:r>
      <w:r>
        <w:rPr>
          <w:rFonts w:ascii="SimSun" w:hAnsi="SimSun" w:eastAsia="SimSun" w:cs="SimSun"/>
          <w:color w:val="000000"/>
          <w:sz w:val="24"/>
        </w:rPr>
        <w:t xml:space="preserve">时</w:t>
      </w:r>
      <w:r>
        <w:rPr>
          <w:rFonts w:ascii="SimSun" w:hAnsi="SimSun" w:eastAsia="SimSun" w:cs="SimSun"/>
          <w:color w:val="000000"/>
          <w:sz w:val="24"/>
          <w:u w:val="single"/>
        </w:rPr>
        <w:t xml:space="preserve">00</w:t>
      </w:r>
      <w:r>
        <w:rPr>
          <w:rFonts w:ascii="SimSun" w:hAnsi="SimSun" w:eastAsia="SimSun" w:cs="SimSun"/>
          <w:color w:val="000000"/>
          <w:sz w:val="24"/>
        </w:rPr>
        <w:t xml:space="preserve">分（北京时间）前递交投标文件。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项目编号：JSZC-320904-JSJY-G2026-0029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项目名称：盐城市大丰人民医院信息系统驻场维保服务项目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预算金额：295万元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最高限价：295万元，投标报价高于最高限价的作无效标处理。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项目需求：盐城市大丰人民医院信息系统驻场维保服务项目，通过常态化驻场技术保障、故障应急处置及系统优化，持续夯实医院信息化基础支撑能力，详见项目需求。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合同履行期限：</w:t>
      </w:r>
      <w:r>
        <w:rPr>
          <w:rFonts w:ascii="SimSun" w:hAnsi="SimSun" w:eastAsia="SimSun" w:cs="SimSun"/>
          <w:color w:val="000000"/>
          <w:sz w:val="24"/>
        </w:rPr>
        <w:t xml:space="preserve">3年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pStyle w:val="699"/>
        <w:ind w:left="0" w:right="0" w:firstLine="482"/>
        <w:jc w:val="left"/>
        <w:spacing w:before="0" w:after="0" w:line="499"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（2）上一年度的财务报表（成立不满一年不需提供）；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（4）具备履行合同所必需的设备和专业技术能力的书面声明；</w:t>
      </w:r>
      <w:r/>
    </w:p>
    <w:p>
      <w:pPr>
        <w:ind w:left="0" w:right="0" w:firstLine="3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（5）参加政府采购活动前3年内在经营活动中没有重大违法记录的书面声明；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2.落实政府采购政策需满足的资格要求：无。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（1）投标人未被“信用中国”网站（www.creditchina.gov.cn）列入失信被执行人、重大税收违法案件当事人名单、政府采购严重违法失信名单。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pStyle w:val="699"/>
        <w:ind w:left="0" w:right="0" w:firstLine="482"/>
        <w:jc w:val="left"/>
        <w:spacing w:before="0" w:after="0" w:line="499"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时间：自招标文件公告发布之日起5个工作日。 </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地点：“苏采云”系统内免费下载（投标人必须在苏采云系统中获取采购文件，方能参与政府采购项目）；  </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方式：</w:t>
      </w:r>
      <w:r>
        <w:rPr>
          <w:rFonts w:ascii="SimSun" w:hAnsi="SimSun" w:eastAsia="SimSun" w:cs="SimSun"/>
          <w:color w:val="000000"/>
          <w:sz w:val="24"/>
        </w:rPr>
        <w:t xml:space="preserve">网上注册登记成功后在“</w:t>
      </w:r>
      <w:r>
        <w:rPr>
          <w:rFonts w:ascii="SimSun" w:hAnsi="SimSun" w:eastAsia="SimSun" w:cs="SimSun"/>
          <w:color w:val="000000"/>
          <w:sz w:val="24"/>
          <w:highlight w:val="white"/>
        </w:rPr>
        <w:t xml:space="preserve">苏采云”系统内免费下载。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售价：0元</w:t>
      </w:r>
      <w:r/>
    </w:p>
    <w:p>
      <w:pPr>
        <w:pStyle w:val="700"/>
        <w:ind w:left="0" w:right="0" w:firstLine="482"/>
        <w:jc w:val="lef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四、提交投标文件截止时间、开标时间和地点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highlight w:val="white"/>
          <w:u w:val="single"/>
        </w:rPr>
        <w:t xml:space="preserve">2026</w:t>
      </w:r>
      <w:r>
        <w:rPr>
          <w:rFonts w:ascii="SimSun" w:hAnsi="SimSun" w:eastAsia="SimSun" w:cs="SimSun"/>
          <w:b/>
          <w:color w:val="000000"/>
          <w:sz w:val="24"/>
          <w:highlight w:val="white"/>
        </w:rPr>
        <w:t xml:space="preserve">年</w:t>
      </w:r>
      <w:r>
        <w:rPr>
          <w:rFonts w:ascii="SimSun" w:hAnsi="SimSun" w:eastAsia="SimSun" w:cs="SimSun"/>
          <w:b/>
          <w:color w:val="000000"/>
          <w:sz w:val="24"/>
          <w:highlight w:val="white"/>
          <w:u w:val="single"/>
        </w:rPr>
        <w:t xml:space="preserve"> 9 </w:t>
      </w:r>
      <w:r>
        <w:rPr>
          <w:rFonts w:ascii="SimSun" w:hAnsi="SimSun" w:eastAsia="SimSun" w:cs="SimSun"/>
          <w:b/>
          <w:color w:val="000000"/>
          <w:sz w:val="24"/>
          <w:highlight w:val="white"/>
        </w:rPr>
        <w:t xml:space="preserve">月</w:t>
      </w:r>
      <w:r>
        <w:rPr>
          <w:rFonts w:ascii="SimSun" w:hAnsi="SimSun" w:eastAsia="SimSun" w:cs="SimSun"/>
          <w:b/>
          <w:color w:val="000000"/>
          <w:sz w:val="24"/>
          <w:highlight w:val="white"/>
          <w:u w:val="single"/>
        </w:rPr>
        <w:t xml:space="preserve"> 22 </w:t>
      </w:r>
      <w:r>
        <w:rPr>
          <w:rFonts w:ascii="SimSun" w:hAnsi="SimSun" w:eastAsia="SimSun" w:cs="SimSun"/>
          <w:b/>
          <w:color w:val="000000"/>
          <w:sz w:val="24"/>
          <w:highlight w:val="white"/>
        </w:rPr>
        <w:t xml:space="preserve">日</w:t>
      </w:r>
      <w:r>
        <w:rPr>
          <w:rFonts w:ascii="SimSun" w:hAnsi="SimSun" w:eastAsia="SimSun" w:cs="SimSun"/>
          <w:b/>
          <w:color w:val="000000"/>
          <w:sz w:val="24"/>
          <w:highlight w:val="white"/>
          <w:u w:val="single"/>
        </w:rPr>
        <w:t xml:space="preserve"> 10 </w:t>
      </w:r>
      <w:r>
        <w:rPr>
          <w:rFonts w:ascii="SimSun" w:hAnsi="SimSun" w:eastAsia="SimSun" w:cs="SimSun"/>
          <w:b/>
          <w:color w:val="000000"/>
          <w:sz w:val="24"/>
          <w:highlight w:val="white"/>
        </w:rPr>
        <w:t xml:space="preserve">时</w:t>
      </w:r>
      <w:r>
        <w:rPr>
          <w:rFonts w:ascii="SimSun" w:hAnsi="SimSun" w:eastAsia="SimSun" w:cs="SimSun"/>
          <w:b/>
          <w:color w:val="000000"/>
          <w:sz w:val="24"/>
          <w:highlight w:val="white"/>
          <w:u w:val="single"/>
        </w:rPr>
        <w:t xml:space="preserve"> 00 </w:t>
      </w:r>
      <w:r>
        <w:rPr>
          <w:rFonts w:ascii="SimSun" w:hAnsi="SimSun" w:eastAsia="SimSun" w:cs="SimSun"/>
          <w:b/>
          <w:color w:val="000000"/>
          <w:sz w:val="24"/>
          <w:highlight w:val="white"/>
        </w:rPr>
        <w:t xml:space="preserve">分</w:t>
      </w:r>
      <w:r>
        <w:rPr>
          <w:rFonts w:ascii="SimSun" w:hAnsi="SimSun" w:eastAsia="SimSun" w:cs="SimSun"/>
          <w:color w:val="000000"/>
          <w:sz w:val="24"/>
          <w:highlight w:val="white"/>
        </w:rPr>
        <w:t xml:space="preserve">（北京时间）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w:t>
      </w:r>
      <w:r>
        <w:rPr>
          <w:rFonts w:ascii="SimSun" w:hAnsi="SimSun" w:eastAsia="SimSun" w:cs="SimSun"/>
          <w:color w:val="000000"/>
          <w:sz w:val="24"/>
        </w:rPr>
        <w:t xml:space="preserve">“苏采云”系统（网址：https://jszfcg.jsczt.cn）“开标大厅”。</w:t>
      </w:r>
      <w:r>
        <w:rPr>
          <w:rFonts w:ascii="SimSun" w:hAnsi="SimSun" w:eastAsia="SimSun" w:cs="SimSun"/>
          <w:color w:val="000000"/>
          <w:sz w:val="24"/>
          <w:highlight w:val="white"/>
        </w:rPr>
        <w:t xml:space="preserve"> </w:t>
      </w:r>
      <w:r/>
    </w:p>
    <w:p>
      <w:pPr>
        <w:pStyle w:val="700"/>
        <w:ind w:left="0" w:right="0" w:firstLine="482"/>
        <w:jc w:val="left"/>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五、公告期限</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自本公告发布之日起5个工作日。</w:t>
      </w:r>
      <w:r/>
    </w:p>
    <w:p>
      <w:pPr>
        <w:pStyle w:val="700"/>
        <w:ind w:left="0" w:right="0" w:firstLine="482"/>
        <w:jc w:val="lef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六、其他补充事宜</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1.电子投标文件一份（通过系统提交）；纸质投标文件正本一份，副本四份（评审结束后由中标候选人邮寄至采购人，未中标单位不需要提供）。</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领取CA和办理电子签章（请至盐城市盐都区府西路1号盐城市政务服务中心4楼盐城市公共资源交易中心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3.有关本次招标的事项若存在变动或修改，敬请及时关注采购人在“中国政府采购网”“江苏政府采购网”“盐城市政府采购网”发布的更正公告。</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4.本项目不收取投标保证金，不收取质量保证金。</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名称：盐城市大丰人民医院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地址：盐城市大丰区幸福东大街139号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人：钱海涛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联系电话：0515-83530067</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名称：江苏建友兴业工程项目管理有限公司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址：盐城市大丰区黄海东路28号恒达世纪新城18幢四楼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人：黄镇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联系电话：0515-83515689、15295309134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项目联系人：黄镇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电话：15295309134</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w:t>
      </w:r>
      <w:r>
        <w:rPr>
          <w:rFonts w:ascii="SimSun" w:hAnsi="SimSun" w:eastAsia="SimSun" w:cs="SimSun"/>
          <w:b/>
          <w:color w:val="000000"/>
          <w:sz w:val="44"/>
          <w:u w:val="none"/>
        </w:rPr>
        <w:t xml:space="preserve">投标人须知</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合格的投标人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w:t>
      </w:r>
      <w:r>
        <w:rPr>
          <w:rFonts w:ascii="SimSun" w:hAnsi="SimSun" w:eastAsia="SimSun" w:cs="SimSun"/>
          <w:color w:val="000000"/>
          <w:sz w:val="24"/>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投标费用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w:t>
      </w:r>
      <w:r>
        <w:rPr>
          <w:rFonts w:ascii="SimSun" w:hAnsi="SimSun" w:eastAsia="SimSun" w:cs="SimSun"/>
          <w:b/>
          <w:color w:val="000000"/>
          <w:sz w:val="24"/>
        </w:rPr>
        <w:t xml:space="preserve">招标代理服务费：本项目招标代理费按苏招协〔2022〕2号文件标准的40%向中标单位收取，此项费用含在投标报价中，不单独列项，由投标单位在报价时综合考虑</w:t>
      </w:r>
      <w:r>
        <w:rPr>
          <w:rFonts w:ascii="SimSun" w:hAnsi="SimSun" w:eastAsia="SimSun" w:cs="SimSun"/>
          <w:color w:val="000000"/>
          <w:sz w:val="24"/>
        </w:rPr>
        <w:t xml:space="preserve">）的费用，报价应包含以下内容：包括人员工资、加班费、工作人员差旅费、调研考察、各项福利、劳动保险、餐费、员工补助、工作人员必要的住宿费、办公费、管理费、为本招标项目提供服务所需的仪器设备、各类耗材、公共耗能费、利润、税金、本项目招标代理费、合同履行过程中包含的所有风险、责任、政策性文件规定以及不可竞争费等所需的全部费用。供应商中标后投标报价不再调整。无论投标过程中的做法和结果如何，采购人在任何情况下均无义务和责任承担这些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w:t>
      </w:r>
      <w:r>
        <w:rPr>
          <w:rFonts w:ascii="SimSun" w:hAnsi="SimSun" w:eastAsia="SimSun" w:cs="SimSun"/>
          <w:color w:val="000000"/>
          <w:sz w:val="24"/>
        </w:rPr>
        <w:t xml:space="preserve">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（4）项目需求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w:t>
      </w:r>
      <w:r>
        <w:rPr>
          <w:rFonts w:ascii="SimSun" w:hAnsi="SimSun" w:eastAsia="SimSun" w:cs="SimSun"/>
          <w:color w:val="000000"/>
          <w:sz w:val="24"/>
        </w:rPr>
        <w:t xml:space="preserve">招标文件的澄清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w:t>
      </w:r>
      <w:r>
        <w:rPr>
          <w:rFonts w:ascii="SimSun" w:hAnsi="SimSun" w:eastAsia="SimSun" w:cs="SimSun"/>
          <w:color w:val="000000"/>
          <w:sz w:val="24"/>
        </w:rPr>
        <w:t xml:space="preserve">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在投标截止时间之前，采购人可以对招标文件进行修改。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采购人有权按照法定的要求推迟投标截止日期和开标日期。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三、投标文件的编制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w:t>
      </w:r>
      <w:r>
        <w:rPr>
          <w:rFonts w:ascii="SimSun" w:hAnsi="SimSun" w:eastAsia="SimSun" w:cs="SimSun"/>
          <w:color w:val="000000"/>
          <w:sz w:val="24"/>
        </w:rPr>
        <w:t xml:space="preserve">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w:t>
      </w:r>
      <w:r>
        <w:rPr>
          <w:rFonts w:ascii="SimSun" w:hAnsi="SimSun" w:eastAsia="SimSun" w:cs="SimSun"/>
          <w:color w:val="000000"/>
          <w:sz w:val="24"/>
        </w:rPr>
        <w:t xml:space="preserve">投标文件构成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w:t>
      </w:r>
      <w:r>
        <w:rPr>
          <w:rFonts w:ascii="SimSun" w:hAnsi="SimSun" w:eastAsia="SimSun" w:cs="SimSun"/>
          <w:color w:val="000000"/>
          <w:sz w:val="24"/>
        </w:rPr>
        <w:t xml:space="preserve">证明投标人及投标标的符合招标文件规定的文件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11.1投标人应按照</w:t>
      </w:r>
      <w:r>
        <w:rPr>
          <w:rFonts w:ascii="SimSun" w:hAnsi="SimSun" w:eastAsia="SimSun" w:cs="SimSun"/>
          <w:color w:val="000000"/>
          <w:sz w:val="24"/>
        </w:rPr>
        <w:t xml:space="preserve">法律法规、规章和规范性文件以及招标文件要求提交证明文件，证明其及投标标的符合招标文件规定。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85"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w:t>
      </w:r>
      <w:r>
        <w:rPr>
          <w:rFonts w:ascii="SimSun" w:hAnsi="SimSun" w:eastAsia="SimSun" w:cs="SimSun"/>
          <w:color w:val="000000"/>
          <w:sz w:val="24"/>
        </w:rPr>
        <w:t xml:space="preserve">投标函和开标一览表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w:t>
      </w:r>
      <w:r>
        <w:rPr>
          <w:rFonts w:ascii="SimSun" w:hAnsi="SimSun" w:eastAsia="SimSun" w:cs="SimSun"/>
          <w:color w:val="000000"/>
          <w:sz w:val="24"/>
        </w:rPr>
        <w:t xml:space="preserve">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四、投标文件的递交</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17.</w:t>
      </w:r>
      <w:r>
        <w:rPr>
          <w:rFonts w:ascii="SimSun" w:hAnsi="SimSun" w:eastAsia="SimSun" w:cs="SimSun"/>
          <w:color w:val="000000"/>
          <w:sz w:val="24"/>
        </w:rPr>
        <w:t xml:space="preserve">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19.</w:t>
      </w:r>
      <w:r>
        <w:rPr>
          <w:rFonts w:ascii="SimSun" w:hAnsi="SimSun" w:eastAsia="SimSun" w:cs="SimSun"/>
          <w:color w:val="000000"/>
          <w:sz w:val="24"/>
        </w:rPr>
        <w:t xml:space="preserve">投标文件的拒收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19.1采购人拒绝接收在其规定的投标截止时间后上传的任何投标文件。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rPr>
          <w:rFonts w:ascii="SimSun" w:hAnsi="SimSun" w:eastAsia="SimSun" w:cs="SimSun"/>
          <w:color w:val="000000"/>
          <w:sz w:val="24"/>
        </w:rPr>
        <w:t xml:space="preserve">投标文件的撤回和修改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w:t>
      </w:r>
      <w:r>
        <w:rPr>
          <w:rFonts w:ascii="SimSun" w:hAnsi="SimSun" w:eastAsia="SimSun" w:cs="SimSun"/>
          <w:color w:val="000000"/>
          <w:sz w:val="24"/>
        </w:rPr>
        <w:t xml:space="preserve">开标</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w:t>
      </w:r>
      <w:r>
        <w:rPr>
          <w:rFonts w:ascii="SimSun" w:hAnsi="SimSun" w:eastAsia="SimSun" w:cs="SimSun"/>
          <w:color w:val="000000"/>
          <w:sz w:val="24"/>
        </w:rPr>
        <w:t xml:space="preserve">评标委员会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开标后，采购人将立即组织评标委员会（以下简称评委会）进行评标。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23.1凡是与审查、澄清、评价和比较投标的有关资料以及授标建议等，采购人、评委、采购人均不得向投标人或与评标无关的其他人员透露。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采购人和评标委员会不向未中标的投标人解释未中标原因，也不公布评标过程中的相关细节。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w:t>
      </w:r>
      <w:r>
        <w:rPr>
          <w:rFonts w:ascii="SimSun" w:hAnsi="SimSun" w:eastAsia="SimSun" w:cs="SimSun"/>
          <w:color w:val="000000"/>
          <w:sz w:val="24"/>
        </w:rPr>
        <w:t xml:space="preserve">投标文件的澄清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w:t>
      </w:r>
      <w:r>
        <w:rPr>
          <w:rFonts w:ascii="SimSun" w:hAnsi="SimSun" w:eastAsia="SimSun" w:cs="SimSun"/>
          <w:color w:val="000000"/>
          <w:sz w:val="24"/>
        </w:rPr>
        <w:t xml:space="preserve">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未通过资格审查或符合性审查的投标人，采购人将在苏采云系统中告知未通过资格审查或符合性审查的原因，评标结束后，采购人将不再告知未通过资格审查和符合性审查的原因。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w:t>
      </w:r>
      <w:r>
        <w:rPr>
          <w:rFonts w:ascii="SimSun" w:hAnsi="SimSun" w:eastAsia="SimSun" w:cs="SimSun"/>
          <w:color w:val="000000"/>
          <w:sz w:val="24"/>
        </w:rPr>
        <w:t xml:space="preserve">保持通信畅通，及时登录苏采云系统查阅、答复相关信息，并安排专人与采购人及评标委员会联系。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26.1.10投标人不能证明其报价合理性的，评标委员会应当将其作为无效投标处理。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（一）评审过程中出现下列情形之一的，评标委员会应当启动异常低价投标审查程序：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1.投标报价低于采购项目预算50%的，即投标报价〈采购项目预算×50%；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2.投标报价低于采购项目最高限价45%的，即投标报价〈采购项目最高限价×45%；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3.评标委员会认定的供应商报价过低、有可能影响产品质量或者不能诚信履约的其他情形。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审查后，评标委员会应当要求相关供应商在评标现场合理的时间内，提供项目具体成本测算等与报价合理性相关的书面说明及相关证明材料，并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26.1.12其他法律法规及本招标文件规定的属于无效投标的情形。</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w:t>
      </w:r>
      <w:r>
        <w:rPr>
          <w:rFonts w:ascii="SimSun" w:hAnsi="SimSun" w:eastAsia="SimSun" w:cs="SimSun"/>
          <w:color w:val="000000"/>
          <w:sz w:val="24"/>
        </w:rPr>
        <w:t xml:space="preserve">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采购人将在“江苏政府采购网”发布中标公告，公告期限为1个工作日。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27.4.2向采购人、采购人行贿或者提供其他不正当利益的。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28.4供应商（含潜在供应商）对采购方式、项目需求、供应商资格条件及审查结果、评标方法和评标标准、合同文本的询问、质疑请向采购人提出，由采购人负责答复。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供应商（含潜在供应商）对与本项目有关的所有询问、质疑均请向采购人提出，由采购人负责答复。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6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 签订合同</w:t>
      </w:r>
      <w:r/>
    </w:p>
    <w:p>
      <w:pPr>
        <w:ind w:left="0" w:right="0" w:firstLine="6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0" w:right="0" w:firstLine="6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32.政府采购履约资金扶持政策</w:t>
      </w:r>
      <w:r/>
    </w:p>
    <w:p>
      <w:pPr>
        <w:ind w:left="0" w:right="0" w:firstLine="60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60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w:t>
      </w:r>
      <w:r/>
    </w:p>
    <w:p>
      <w:pPr>
        <w:ind w:left="0" w:right="0" w:firstLine="60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33.履约保证金的缴纳形式：</w:t>
      </w:r>
      <w:r/>
    </w:p>
    <w:p>
      <w:pPr>
        <w:ind w:left="0" w:right="0" w:firstLine="60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出后5个工作日内、合同签订前中标供应商应当向采购方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60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60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履约保证金金额：中标价的10% 。采购人对第三方信用服务机构依据标准规范评定为 AA 级及以上的政府采购供应商（需在签订采购合同前提供信用管理部门备案的第三方信用报告，且信用报告通过“信用盐城网”可查实），减收履约保证金（中标价的5%），合同订立前需提供相关证明材料。</w:t>
      </w:r>
      <w:r/>
    </w:p>
    <w:p>
      <w:pPr>
        <w:ind w:left="0" w:right="0" w:firstLine="60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履约保证金允许供应商自主选择以支票、汇票、本票、保函等非现金形式缴纳或提交。</w:t>
      </w:r>
      <w:r/>
    </w:p>
    <w:p>
      <w:pPr>
        <w:ind w:left="0" w:right="0" w:firstLine="60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中标供应商未按要求办理履约保证金的，采购方有权取消其中标资格。</w:t>
      </w:r>
      <w:r/>
    </w:p>
    <w:p>
      <w:pPr>
        <w:ind w:left="0" w:right="0" w:firstLine="60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r/>
    </w:p>
    <w:p>
      <w:pPr>
        <w:ind w:left="0" w:right="0" w:firstLine="60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供应商可登录江苏政府采购网“资料下载”栏目（网址：www.ccgp-jiangsu.gov.cn/jiangsu/zlxz）下载“政府采购电子履约保函（保险）操作手册”。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项目需求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总体要求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（1）对医院在用已购买的中联基础HIS应用软件模块，如：HIS\LIS\PACS\EMR\集成平台，以及已对接的第三方公司产品的接口维护。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（2）技术服务人员在医院常驻（国家正常法定双休息日及其它法定节假日除外）服务，遵从甲方的日常管理。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（3）经常性地进行操作培训，驻场人员对医院员工的各个系统的操作进行常态化的指导与培训，使广大员工对现用的系统功能有更全面更充分的掌握与认知，这样方能进一步稳定与巩固在用系统的使用效能。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（4）深入了解临床需求，广泛听取职工对医院信息化的要求、建议，通过正规的信息渠道来畅通医院、公司与职工之间的沟通，方能有利于医院信息化建设的健康发展。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（5）对信息技术进行统一管理和整合。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（6）日常故障处理、产品安装及升级服务、报表新增及修改服务、操作使用指导、外部接口调试、信息系统建设咨询、软件业务流程重组。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2.系统功能技术参数要求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A.应用软件类</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9"/>
        <w:gridCol w:w="4795"/>
        <w:gridCol w:w="1148"/>
      </w:tblGrid>
      <w:tr>
        <w:trPr>
          <w:trHeight w:val="8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具体服务内容描述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服务方式</w:t>
            </w:r>
            <w:r/>
          </w:p>
        </w:tc>
      </w:tr>
      <w:tr>
        <w:trPr>
          <w:trHeight w:val="1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产品安装服务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因硬件环境改变或软件系统破坏等原因，需要重新安装ZLSOFT应用软件及相应设置的服务。工作站站点授权无收费、无数量限制。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产品升级服务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1.医院对已购买的中联应用软件模块，对既有软件模块根据采购人因工作要求所提出的修改意见进行软件修改，并提供软件升级补丁服务；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2.定期发布产品升级程序，并及时对医院进行软件升级，以保持最新的软件版本。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7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报表修改服务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根据医院管理及业务的需要，对现有报表做适应性修改、调整服务。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6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新增报表服务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根据医院管理及业务的需要，新增报表的编制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8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操作使用指导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医院对软件功能或操作使用不熟悉，需提供操作使用咨询或现场指导服务。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外部接口调试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各级政府部门发文（通知）等要求医院对接的系统、数据上传相关接口开发与调整，提供的接口程序修改或安装调试服务。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日常故障处理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因医院管理及业务要求需对软件进行调整与设置，或医院操作人员操作失误、程序故障等原因所需提供的故障清除服务。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信息系统建设咨询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结合医院实际情况，提供信息系统建设规划建议与方案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业务流程重组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根据医院信息系统的特点与需要，结合医院实际情况，协助医院完成管理及业务流程的优化与调整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信息管理制度建设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结合医院实际情况，配合医院完善信息管理制度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医院管理知识的交流与传播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为医院管理相关人员提供行业知识、信息，及时向院方传递医院信息发展的最新动态与新的解决方案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B.数据库软件类</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6"/>
        <w:gridCol w:w="4918"/>
        <w:gridCol w:w="1126"/>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数据库性能优化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定期对数据库进行性能测试，优化参数设置及日志清除等，提高数据库性能。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数据库灾难恢复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当系统出现灾难性事故后，提供有效的备份数据，对系统数据进行恢复服务。</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数据库安全检查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对数据备份的有效性、表空间大小、数据库的安全隐患等进行检测。</w:t>
            </w:r>
            <w:r/>
          </w:p>
        </w:tc>
        <w:tc>
          <w:tcPr>
            <w:vMerge w:val="continue"/>
            <w:textDirection w:val="lrTb"/>
            <w:noWrap w:val="false"/>
          </w:tcPr>
          <w:p>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SimSun" w:hAnsi="SimSun" w:eastAsia="SimSun" w:cs="SimSun"/>
          <w:b/>
          <w:color w:val="000000"/>
          <w:sz w:val="24"/>
        </w:rPr>
        <w:t xml:space="preserve">信息安全优化服务</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97"/>
        <w:gridCol w:w="4778"/>
        <w:gridCol w:w="1145"/>
      </w:tblGrid>
      <w:tr>
        <w:trPr>
          <w:trHeight w:val="7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具体服务内容描述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10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信息系统安全服务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在不影响现有系统的运行情况下，协助院方等保、安全公司进行信息系统的安全方面的整改。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11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信息安全中间件服务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在不影响现有系统的运行情况下，协助院方等保、安全公司进行信息系统中间件更新至最新版本。</w:t>
            </w:r>
            <w:r/>
          </w:p>
        </w:tc>
        <w:tc>
          <w:tcPr>
            <w:vMerge w:val="continue"/>
            <w:textDirection w:val="lrTb"/>
            <w:noWrap w:val="false"/>
          </w:tcPr>
          <w:p>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D.信息系统建设咨询类</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97"/>
        <w:gridCol w:w="4778"/>
        <w:gridCol w:w="1145"/>
      </w:tblGrid>
      <w:tr>
        <w:trPr>
          <w:trHeight w:val="7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具体服务内容描述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服务方式</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三方软件接入咨询服务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因医院业务发展需要，新增三方软件接入医院信息管理系统，乙方给出合理化建设意见及标准化接入样例。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信息化专家咨询答疑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为医院信息化建设发展需要，对医院信息化专家咨询提供答疑服务便利。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咨询服务</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3.服务考核办法</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6"/>
        <w:gridCol w:w="3217"/>
        <w:gridCol w:w="3218"/>
        <w:gridCol w:w="1115"/>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遵守医院相关规定，认真履行合同规定内容，问题处理的准确性与及时性。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包括报表的新增与修改、日常故障处理记录、系统优化及BUG处理。系统故障处理的时效性。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0-20</w:t>
            </w:r>
            <w:r/>
          </w:p>
        </w:tc>
      </w:tr>
      <w:tr>
        <w:trPr>
          <w:trHeight w:val="8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新接口任务开发、原有接口完善与维护，定期上传数据质量。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开发进度与质量是否满足上级政策要求。完善与维护接口的质量。保证定期上传数据质量。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0-20</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产品升级需提供手册，常见问题处理方法汇编整理。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相关资料整理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0-10</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根据医院的使用情况，在医院相关科室制定具体培训时间和人员的情况下，不定期组织相关人员的培训，并做好培训记录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不定期培训、现场指导。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0-10</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工程师的派驻与业务能力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包括驻场工程师派驻情况，业务能力考核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0-10</w:t>
            </w:r>
            <w:r/>
          </w:p>
        </w:tc>
      </w:tr>
      <w:tr>
        <w:trPr>
          <w:trHeight w:val="10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工程师的考勤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日常考勤、工作纪律、服务态度等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0-10</w:t>
            </w:r>
            <w:r/>
          </w:p>
        </w:tc>
      </w:tr>
      <w:tr>
        <w:trPr>
          <w:trHeight w:val="10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对涉及的数据库进行检查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常规检查，性能优化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0-10</w:t>
            </w:r>
            <w:r/>
          </w:p>
        </w:tc>
      </w:tr>
      <w:tr>
        <w:trPr>
          <w:trHeight w:val="8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配合院方信息系统安全防范工作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保障系统正常运行、数据安全，配合做好等保安全领域的工作。配合安全演练。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r>
      <w:tr>
        <w:trPr>
          <w:trHeight w:val="8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对发现不符合信息化规章操作的科室与人员的现象与处理情况记录与统计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与院方信息中心及分管院长及时沟通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r>
    </w:tbl>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每季度由医院分管科室牵头组织对乙方进行考核，考核满分100分，考核得分低于95分（不含），每少1分扣除当季维保费用的1%。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4.服务团队及人员要求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（1）项目经理及驻场服务人员要求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项目经理必须具备丰富的项目管理经验，同时具备较强的沟通协调和管理能力，能依据甲方要求提供合理的、高效的服务。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驻场服务人员要能及时准确的为甲方提供驻场运维服务，保障提供服务的时效性和准确性，一般事项一天内响应，复杂事项两天内响应。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合同期内，驻场服务人员要常驻甲方所在地区办公，特殊阶段能够响应甲方要求加班。乙方在响应文件中应明确项目经理及驻场服务人员。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（2）人员变更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须保证项目经理和驻场服务人员的稳定，响应文件中指定的项目经理及驻场服务人员必须与合同中的人员一致，不得擅自更换项目经理及驻场服务人员，更换项目经理及驻场服务人员应得到甲方的同意，否则视为乙方主动终止合同，并承担相应责任。根据项目经理和驻场服务人员工作情况，甲方保留合同期间内更换项目经理及驻场服务人员的权利，具体条件可由双方合同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5.合同履行期限、地点、人员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（1）履行期限：三年。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（2）履行地点：盐城市大丰人民医院。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（3）服务人员：驻场服务工程师不少于3人，甲方有权制定规则对驻场服务人员单独考核劳动纪律作为合同履约的一种情形。</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注：★采购标的的所属行业为</w:t>
      </w:r>
      <w:r>
        <w:rPr>
          <w:rFonts w:ascii="SimSun" w:hAnsi="SimSun" w:eastAsia="SimSun" w:cs="SimSun"/>
          <w:color w:val="000000"/>
          <w:sz w:val="24"/>
          <w:u w:val="single"/>
        </w:rPr>
        <w:t xml:space="preserve">  其他未列明服务</w:t>
      </w:r>
      <w:r>
        <w:rPr>
          <w:rFonts w:ascii="SimSun" w:hAnsi="SimSun" w:eastAsia="SimSun" w:cs="SimSun"/>
          <w:color w:val="000000"/>
          <w:sz w:val="24"/>
        </w:rPr>
        <w:t xml:space="preserve">，根据《工业和信息化部、国家统计局、国家发展和改革委员会、财政部关于印发中小企业划型标准规定的通知》（工信部联企业〔2011〕300号）规定的划分标准填写。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第四章评标办法及评分标准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一、定标原则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 综合评分</w:t>
      </w:r>
      <w:r>
        <w:rPr>
          <w:rFonts w:ascii="SimSun" w:hAnsi="SimSun" w:eastAsia="SimSun" w:cs="SimSun"/>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投标文件初审分为资格审查和符合性审查。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开标结束后，采购人或者采购代理机构依法对投标人的资格进行审查。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审查投标文件中的资格、资信证明文件等，以确定投标人是否具备投标资格。（资格审查需提供的材料详见《资格信誉等证明文件要求》）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1.评标委员会对符合资格的投标人的投标文件进行符合性审查。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2.依据招标文件的规定，从投标文件的有效性、完整性和对招标文件的响应程度进行审查，以确定其是否满足招标文件的实质性要求。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3.明确响应的投标应该是与招标文件要求的全部条款、条件和规格相符，没有重大偏离或保留的投标。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5.如果投标文件没有明确响应招标文件的要求，评标委员会将按无效投标处理，投标人不得通过修改或撤销不符合要求的偏离或保留而使其投标成为明确响应的投标。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6.评标委员会将对确定为明确响应的投标进行进一步审核，投标文件报价出现前后不一致的，除招标文件另有规定外，按照下列规定修正：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评标委员会将按上述修正错误的方法调整投标文件中的投标报价，修正后的报价应当采用书面形式，并加盖公章，或者由法定代表人或其授权的代表签字，经投标人确认后产生约束力，投标人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14.非单一产品采购，采购人根据采购项目技术构成、产品价格比重等合理确定核心产品，并在招标文件中载明。多家投标人提供的核心产品品牌相同的按上述规定处理。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4"/>
        </w:rPr>
        <w:t xml:space="preserve">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3.1政府采购政策功能落实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（1）本项目对小型和微型企业产品给予20%的扣除价格，用扣除后的价格参与评审。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（4）在货物采购项目中，供应商提供的货物既有中小企业制造货物，也有大型企业制造货物的，不享受本办法规定的中小企业扶持政策。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5.★符合本采购文件优先采购 “环境标志产品”或“节能产品”的；必须提供“环境标志产品”或“节能产品”证明，否则不予认可。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标志产品是指列入财政部、环境保护部最新公布的《环境标志产品政府采购清单》内的产品；节能产品是指列入财政部、国家发展改革委最新公布的《节能产品政府采购清单》内的产品。鼓励节能及环保政策以投标（响应）主要（核心）产品（品牌）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3.2、评标标准</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7"/>
        <w:gridCol w:w="1596"/>
        <w:gridCol w:w="6169"/>
      </w:tblGrid>
      <w:tr>
        <w:trPr>
          <w:trHeight w:val="11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7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满足招标文件要求且投标价格最低的投标报价为评标基准价，投标报价得分=（评标基准价／投标报价）×30，计算分数时四舍五入取小数点后两位。</w:t>
            </w:r>
            <w:r>
              <w:rPr>
                <w:rFonts w:ascii="SimSun" w:hAnsi="SimSun" w:eastAsia="SimSun" w:cs="SimSun"/>
                <w:b/>
                <w:color w:val="000000"/>
                <w:sz w:val="24"/>
              </w:rPr>
              <w:t xml:space="preserve">注：对小型和微型企业产品的价格给予20%的扣除，用扣除后的价格参与评审，中小微企业划分标准以工信部、国家统计局、国家发展改革委、财政部《关于印发中小企业划型标准规定的通知》（工信部联企业｛2011}300号）为准。小微企业在投标文件中，须签署《小微企业声明函》，如有虚假，将按照《中华人民共和国政府采购法》第七十七条依法承担相应责任，具体事项详见盐财购｛2018}3号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3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投标人提供2023年1月1日（含）至今（以合同签订时间为准）完成类似项目的案例（案例主要标的物至少包含：信息系统维保），每提供1个得2分，最多得4分。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注：须提供业绩合同复印件并加盖投标人公章，合同须能反映项目名称、主要标的物，签订时间和签章清晰可见，且业绩合同中承接方需与投标人名称一致，否则不予计分。</w:t>
            </w:r>
            <w:r/>
          </w:p>
        </w:tc>
      </w:tr>
      <w:tr>
        <w:trPr>
          <w:trHeight w:val="51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需求分析报告（12分）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需求分析报告对采购人现状及业务、技术需求有充分认识和理解，分析科学深入，对于维保服务重点、难点具有明确合理的应对措施，得12分。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需求分析报告对采购人现状及业务、技术需求认识和理解不够充分，分析不够科学深入，对于维保服务重点、难点的应对措施考虑不全面，得8分。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需求分析报告对采购人现状及业务、技术需求没有认识和理解，分析浅显，对于维保服务重点、难点未作考虑，得4分。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未提供需求分析报告或需求报告与项目严重不符，本项得0分。</w:t>
            </w:r>
            <w:r/>
          </w:p>
        </w:tc>
      </w:tr>
      <w:tr>
        <w:trPr>
          <w:trHeight w:val="2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总体实施方案 （12分）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总体实施方案全面，具有合理的服务体系、组织架构，具有明确的进度控制、风险控制管理、质量保障措施、信息安全管理措施、文档管理措施，得12分；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总体实施方案不够全面，服务体系、组织架构不够合理，进度控制、风险控制管理、质量保障措施、信息安全管理措施、文档管理措施不全，得8分；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实施方案不全面，服务体系、组织架构不合理，进度控制、风险控制管理、质量保障措施、信息安全管理措施、文档管理措施严重缺漏，得4分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未提供总体实施方案或方案与项目严重不符，本项得0分。</w:t>
            </w:r>
            <w:r/>
          </w:p>
        </w:tc>
      </w:tr>
      <w:tr>
        <w:trPr>
          <w:trHeight w:val="2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日常维保方案（12分）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日常维保方案科学全面，能够针对本项目需求出具深度细化的维保服务内容，维保服务流程科学标准，具有合理的巡检及问题处理机制，得12分；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日常维保方案较全面，具有主要维保服务内容，维保服务流程标准，具有巡检及问题处理机制，得8分；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日常维保方案不全，维保服务内容缺漏，维保服务流程混乱，缺乏巡检及问题处理机制，得4分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未提供日常维保方案或方案与项目严重不符，本项得0分。</w:t>
            </w:r>
            <w:r/>
          </w:p>
        </w:tc>
      </w:tr>
      <w:tr>
        <w:trPr>
          <w:trHeight w:val="2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突发事件应急处理预案（12分）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投标人提供的应急预案需能根据不同场景（包括软件系统故障、硬件系统故障、网络故障、服务器故障等）出具相应的应急措施、服务响应及应急保障。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应急预案细化全面，应急措施科学合理，服务响应及时高效，应急保障人力及物资安排合理，得12分；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应急预案较全面，应急措施恰当，服务响应较及时，具有基本的应急保障人力及物资安排，得8分；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应急预案不全，应急措施混乱，服务响应时间滞后，未考虑人力及物资安排或安排不合理，得4分；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未提供应急预案或预案与项目严重不符，本项得0分。</w:t>
            </w:r>
            <w:r/>
          </w:p>
        </w:tc>
      </w:tr>
      <w:tr>
        <w:trPr>
          <w:trHeight w:val="2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培训方案全面合理有效，具有详细的培训计划、培训师资力量、培训内容，得12分。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培训方案基本合理有效，具有较为详细的培训计划、培训师资力量、培训内容，得8分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培训方案不够全面，有效性欠缺，培训计划、培训师资力量、培训内容不够详细，得4分。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培训方案片面，不具有执行有效性，培训计划、培训师资力量、培训内容不详细，得0分。</w:t>
            </w:r>
            <w:r/>
          </w:p>
        </w:tc>
      </w:tr>
      <w:tr>
        <w:trPr>
          <w:trHeight w:val="1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驻场服务（</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投标人承诺每增加一名驻场得2分，最高得4分。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注：需提供书面承诺函，格式自拟。</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提供签署并盖章的盐城市政府采购事前信用承诺书，得2分</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四、评标程序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评标委员会成员到达评标现场时应在签到表上签到（或通过门禁系统签到）以证明其出席。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评标委员会成员首先推选一名评标委员会负责人，负责评标活动的组织领导工作。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初步评审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4.2.1评标委员会依据本章第2.1 款规定的标准对投标文件进行初步评审。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4.2.2投标文件不符合本章第2.1款评审标准的，属于重大偏差，视为未能对招标文件作出实质性响应，应当作为无效投标予以否决。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4.2.3对照投标人须知6.4款，投标文件有上述情况之一，视为未能对招标文件作出实质性响应，凡招标文件未明确标明无效标条款的，评标委员会不得作为判定无效投标的依据。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 投标报价有算术错误的，评标委员会按以下原则对投标报价进行修正，修正的价格经投标人书面确认后具有约束力。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（1）投标文件中的大写金额与小写金额不一致的，以大写金额为准；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（2）总价金额与依据单价计算出的结果不一致的，以单价金额为准修正总价，但单价金额小数点有明显错误的除外。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4.2.5只有通过初步评审的投标文件才能进入详细评审。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在详细评审发现符合“无效标书条款”的，应当作为无效投标予以否决，其投标报价亦不作为评标基准价的依据。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评标委员会按本章第2.2款规定的量化因素和分值进行打分，并计算出综合评估得分。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评分分值计算保留小数点后两位，小数点后第三位“四舍五入”。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投标文件的澄清和补正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 澄清、说明和补正不得改变投标文件的实质性内容（算术性错误修正的除外）。投标人的书面澄清、说明和补正属于投标文件的组成部分。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 评标委员会对投标人提交的澄清、说明或补正有疑问的，可以要求投标人进一步澄清、说明或补正。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推荐中标候选人或直接确定中标人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 除投标人须知前附表授权直接确定中标人外，评标委员会在推荐中标候选人时，应遵照以下原则：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评标委员会按照最终得分由高至低的次序排列，并根据投标人须知前附表规定的中标候选人数量，将排序在前的投标人推荐为中标候选人。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提交评标报告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评标委员会完成评标后，应当向招标人提交书面评标报告。评标报告应当由全体评标委员会成员签字，并于评标结束时抄送有关行政监督部门。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第五章合同主要条款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项目名称：</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甲方：（买方）</w:t>
      </w:r>
      <w:r>
        <w:rPr>
          <w:rFonts w:ascii="SimSun" w:hAnsi="SimSun" w:eastAsia="SimSun" w:cs="SimSun"/>
          <w:b/>
          <w:color w:val="000000"/>
          <w:sz w:val="24"/>
          <w:highlight w:val="white"/>
          <w:u w:val="single"/>
        </w:rPr>
        <w:t xml:space="preserve">盐城市大丰人民医院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乙方：（卖方）</w:t>
      </w:r>
      <w:r>
        <w:rPr>
          <w:rFonts w:ascii="SimSun" w:hAnsi="SimSun" w:eastAsia="SimSun" w:cs="SimSun"/>
          <w:b/>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盐城市大丰人民医院信息系统驻场维保服务项目</w:t>
      </w:r>
      <w:r>
        <w:rPr>
          <w:rFonts w:ascii="SimSun" w:hAnsi="SimSun" w:eastAsia="SimSun" w:cs="SimSun"/>
          <w:color w:val="000000"/>
          <w:sz w:val="24"/>
        </w:rPr>
        <w:t xml:space="preserve">招标结果，协商一致，共同签署本合同。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rPr>
          <w:rFonts w:ascii="SimSun" w:hAnsi="SimSun" w:eastAsia="SimSun" w:cs="SimSun"/>
          <w:color w:val="000000"/>
          <w:sz w:val="24"/>
          <w:u w:val="single"/>
        </w:rPr>
        <w:t xml:space="preserve">盐城市大丰人民医院信息系统驻场维保服务项目，具体详见附件。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是指采购文件所确定采购范围内全部工作内容的价格体现，对乙方认为没有考虑到的费用甲方将不予支付，并认为此项费用已包含在响应文件报价中。但甲方有新增需求进而会增加乙方实际工作量的除外。</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三、服务期限及交货方式、地点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服务期限：三年，合同一年一签。本次合同服务周期：2026年  月  日至2027年  月  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交付方式：由甲乙双方根据交货内容及交货期性质确定。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交付地点：甲方指定地点。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4.1乙方应按招标文件规定的时间向甲方提供本项目软件、硬件及服务的有关技术资料。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五、知识产权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应保证甲方在使用、接受本合同货物和服务或其任何一部分时不受第三方提出侵犯其专利权、版权、商标权和工业设计权等知识产权的起诉、行动、行政程序索赔、请求等。一旦出现侵权，由乙方负全部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六、产权担保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乙方保证所交付的货物或提供服务的所有权完全属于乙方且无任何抵押、查封等产权瑕疵。</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7.1、履约保证金的形式：支票、汇票、本票或者金融机构、担保机构出具的保函等非现金形式。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7.2、履约保证金的金额：中标价的10%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注：对提供＂信用中国（江苏盐城）＂备案的第三方信用报告AA评级及以上乙方，履约保证金缴纳比例降低（中标价的5%），合同订立前需提供相关证明材料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7.3、履约保证金退还：于本合同约定所有事项结束后，一次性无息退还。</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八、转包或分包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8.1本合同范围内的所有货物及服务，应由乙方直接供应，不得转让他人供应；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除非得到甲方的书面同意，乙方不得部分分包给他人供应。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8.3如有转让和未经甲方同意的分包行为，甲方有权给予终止合同。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九、合同款支付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30天内预付10%的合同款；本项目合同款按季支付，每季度结束后30天内完成款项支付。支付乙方合同款时须接受甲方的考核，每一个季度结束一周内，完成且经甲方考核合格后7个工作日内支付上一个季度合同款[季服务费=（年中标价-年预付款）/4]。每季度由医院分管科室牵头组织对乙方进行考核，考核满分100分，考核得分低于95分（不含），每少1分扣除当季维保费用的1%。当季度考核分少于60分或累计2次季度考核分少于75分时，甲方有权解除合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10.1本合同执行中相关的一切税费均由乙方负担。且乙方所开具的发票须符合甲方财务支付的规范要求。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十一、技术要求 ：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11.1乙方应按响应文件规定的时间向甲方提供有关服务。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11.2乙方对甲方委托事项范围内的活动和数据负有保密责任，涉及他方的应保守其商业和技术等机密。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11.3乙方应按单一来源采购文件规定和响应文件承诺的性能、技术要求、质量标准向甲方提供服务。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11.4甲方对乙方提交的服务依据单一来源采购文件上的项目要求、乙方响应文件及国家有关质量标准进行验收。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12.1乙方在履行合同中产生的一切非因甲方过错导致的损失，均由乙方自行承担责任。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12.2非因甲方原因对甲方造成的损失，甲方有权追索。乙方不能履行售后服务条款的，按违约处理。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任何一方由于不可抗力而未能履行合同义务时，则履行本合同的时间和费用支付可以顺延。不可抗力是指超过人力控制和不可预见以及不能由受害方所能避免的自然灾害事故，它包括但不限于战争、地震、水灾、台风和火灾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在合同有效期内，任何一方因不可抗力事件导致不能履行合同，则合同履行期可延长，其延长期与不可抗力影响期相同。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不可抗力事件发生后，应立即通知对方，并寄送有关权威机构出具的证明。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不可抗力事件延续120天以上，双方应通过友好协商，确定是否继续履行合同。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十四、诉讼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双方在执行合同中所发生的一切争议，应通过协商解决。如协商不成，可向合同签订地法院起诉，合同签订地在此约定为盐城大丰人民医院。</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合同经双方法定代表人或授权委托代表人签字并加盖单位公章后生效。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15.2本项目采购文件和乙方的投标文件中被甲方认可的部分为本合同的不可分割的组成部分，与本合同具有同样效力。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15.3本合同未尽事宜，遵照《中华人民共和国民法典》有关条文执行。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15.4本合同一式四份，具有同等法律效力，甲方、乙方各执二份。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甲方（单位盖章）：乙方（单位盖章）：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0"/>
        <w:jc w:val="right"/>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维保项目内容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服务考核办法</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703" w:right="281" w:hanging="703"/>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廉 政 合 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盐城市大丰人民医院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为强化抓源治本工作力度，从制度机制上进一步规范建设行为，杜绝不廉洁行为，特订立本合同，双方遵照执行。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1.甲、乙双方必须严格遵守国家法律法规、政策及各项廉政规定，恪守职业道德规范。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2.甲、乙双方在具体工程建设行为中，必须严格遵守招投标法规定的原则、方式、程序，保证公平、公正、公开。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3.甲、乙双方不得相互串通，损害国家利益、社会公共利益及其他当事人的合法权益。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6.甲方工作人员及其配偶、子女不得以打“业务牌”等形式变相接受乙方的钱物；乙方不得以打“业务牌”的形式向甲方工作人员及其配偶、子女变相送钱物。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7.甲方工作人员及其配偶、子女不得在乙方报销应由个人支付的费用或领取报酬；乙方不得为甲方工作人员及其配偶、子女报销应由个人支付的费用或发放报酬。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1.甲方发生违约行为，一经查实将视情节轻重对直接责任人进行严肃处理并追究主管人员的责任。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2.乙方发生违约行为，甲方有权解除合同，并将其列入“黑名单”在一定范围内公布，三年内不得参加辖区内的工程建设。</w:t>
      </w:r>
      <w:r/>
    </w:p>
    <w:p>
      <w:pPr>
        <w:ind w:left="386" w:right="283" w:hanging="38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86" w:right="283" w:hanging="38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tab/>
        <w:t xml:space="preserve">   乙方：</w:t>
      </w:r>
      <w:r/>
    </w:p>
    <w:p>
      <w:pPr>
        <w:ind w:left="386" w:right="283" w:hanging="38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tab/>
        <w:tab/>
        <w:t xml:space="preserve">地址：</w:t>
      </w:r>
      <w:r/>
    </w:p>
    <w:p>
      <w:pPr>
        <w:ind w:left="386" w:right="283" w:hanging="38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tab/>
        <w:tab/>
        <w:t xml:space="preserve">法定代表人</w:t>
      </w:r>
      <w:r/>
    </w:p>
    <w:p>
      <w:pPr>
        <w:ind w:left="386" w:right="283" w:hanging="38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w:t>
        <w:tab/>
        <w:t xml:space="preserve"> </w:t>
        <w:tab/>
        <w:t xml:space="preserve">或其委托代理人：</w:t>
      </w:r>
      <w:r/>
    </w:p>
    <w:p>
      <w:pPr>
        <w:ind w:left="386" w:right="283" w:hanging="386"/>
        <w:jc w:val="both"/>
        <w:spacing w:before="0" w:after="0" w:line="85" w:lineRule="atLeast"/>
        <w:tabs>
          <w:tab w:val="left" w:pos="45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日期：2026年月日</w:t>
        <w:tab/>
        <w:t xml:space="preserve">              日期：2026年月日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政府采购合同履约验收书（参考格式）</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根据政府采购合同（编号：）的约定，我单位组织对</w:t>
      </w:r>
      <w:r>
        <w:rPr>
          <w:rFonts w:ascii="SimSun" w:hAnsi="SimSun" w:eastAsia="SimSun" w:cs="SimSun"/>
          <w:color w:val="000000"/>
          <w:sz w:val="21"/>
          <w:u w:val="single"/>
        </w:rPr>
        <w:t xml:space="preserve">            </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8"/>
        <w:gridCol w:w="2711"/>
        <w:gridCol w:w="1576"/>
        <w:gridCol w:w="2369"/>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                              年    月    日</w:t>
            </w:r>
            <w:r/>
          </w:p>
        </w:tc>
      </w:tr>
      <w:tr>
        <w:trPr>
          <w:trHeight w:val="192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1"/>
              </w:rPr>
              <w:t xml:space="preserve">                              年    月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投标文件及格式</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84"/>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二、上一年度的财务报表（至少提供资产负债表、利润表、现金流量表，投标人成立不满一年无需提供）</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六、符合公告的资质证书（如有）</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九、小微企业声明函（如有）</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十、残疾人福利性单位声明函（如有）</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十一、投标清单报价表</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十二、商务要求响应及偏离表</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十三、开标一览表</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十四、技术方案、服务承诺、培训承诺等</w:t>
      </w:r>
      <w:r/>
    </w:p>
    <w:p>
      <w:pPr>
        <w:ind w:left="480" w:right="0" w:firstLine="0"/>
        <w:jc w:val="both"/>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十五、盐城市政府采购事前信用承诺书</w:t>
      </w:r>
      <w:r/>
    </w:p>
    <w:p>
      <w:pPr>
        <w:ind w:left="0" w:right="0" w:firstLine="48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（一）法人或者其他组织的营业执照等证明文件，自然人的身份证明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（二）上一年度的财务报表（投标人成立不满一年不需提供）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（三）依法缴纳税收和社会保障资金的相关材料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（四）具备履行合同所必需的设备和专业技术能力的书面声明</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92"/>
        <w:jc w:val="both"/>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授权代表签字：</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（五）参加政府采购活动前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授权代表签字：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1446" w:right="0" w:hanging="144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446" w:right="0" w:hanging="144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446" w:right="0" w:hanging="144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61"/>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（六）符合公告的资质证书</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（七）法定代表人身份证明书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3598" w:right="0" w:hanging="2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 身份证号：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（投标单位名称）</w:t>
      </w:r>
      <w:r>
        <w:rPr>
          <w:rFonts w:ascii="SimSun" w:hAnsi="SimSun" w:eastAsia="SimSun" w:cs="SimSun"/>
          <w:color w:val="000000"/>
          <w:sz w:val="24"/>
        </w:rPr>
        <w:t xml:space="preserve">的法定代表人或单位负责人。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投标单位（公章） ：</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2530"/>
        <w:jc w:val="both"/>
        <w:spacing w:before="120" w:after="12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253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姓名）系（投标人名称）的法定代表人或单位负责人，现授权委托（单位名称）（姓名）为我的代理人，以本公司的名义参加的投标活动。代理人在开标、询标、合同谈判等过程中所签署的一切文件和处理与之有关的一切事务，我均予以承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代理人无转委权，特此委托。</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　　　　代理人联系电话（手机号）：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投标人（法人印章）：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法定代表人（印章或签字）：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200" w:firstLine="480"/>
        <w:jc w:val="both"/>
        <w:spacing w:before="0" w:after="161"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93"/>
      </w:tblGrid>
      <w:tr>
        <w:trPr>
          <w:trHeight w:val="40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（代理人身份证扫描件粘贴处）</w:t>
            </w:r>
            <w:r/>
          </w:p>
        </w:tc>
      </w:tr>
    </w:tbl>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（八）投标函</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b/>
          <w:color w:val="000000"/>
          <w:sz w:val="24"/>
          <w:u w:val="single"/>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1.按招标文件规定的各项要求，向买方提供所需货物与服务。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5.如果在开标后规定的投标有效期内撤回投标或中标后拒绝签订合同，则按照国家相关法律法规受到相应处罚。</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7.一旦我方中标，我方将根据招标文件的规定，严格履行合同的责任和义务，并保证在招标文件规定的时间内完成项目，交付买方验收、使用。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投标人授权代表姓名（签字）：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（九）中小企业声明函（服务）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 （标的名称）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（十）残疾人福利性单位声明函（如有）</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color w:val="000000"/>
          <w:spacing w:val="6"/>
          <w:sz w:val="24"/>
          <w:u w:val="single"/>
        </w:rPr>
        <w:t xml:space="preserve"> </w:t>
      </w:r>
      <w:r>
        <w:rPr>
          <w:rFonts w:ascii="SimSun" w:hAnsi="SimSun" w:eastAsia="SimSun" w:cs="SimSun"/>
          <w:b/>
          <w:color w:val="000000"/>
          <w:sz w:val="24"/>
          <w:u w:val="single"/>
        </w:rPr>
        <w:t xml:space="preserve">盐城市大丰人民医院 </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 </w:t>
      </w:r>
      <w:r>
        <w:rPr>
          <w:rFonts w:ascii="SimSun" w:hAnsi="SimSun" w:eastAsia="SimSun" w:cs="SimSun"/>
          <w:b/>
          <w:color w:val="000000"/>
          <w:sz w:val="24"/>
          <w:u w:val="single"/>
        </w:rPr>
        <w:t xml:space="preserve">盐城市大丰人民医院信息系统驻场维保服务项目</w:t>
      </w:r>
      <w:r>
        <w:rPr>
          <w:rFonts w:ascii="SimSun" w:hAnsi="SimSun" w:eastAsia="SimSun" w:cs="SimSun"/>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本单位在本次政府采购活动中提供的残疾人福利单位产品报价合计为人民币（大写）</w:t>
      </w:r>
      <w:r>
        <w:rPr>
          <w:rFonts w:ascii="SimSun" w:hAnsi="SimSun" w:eastAsia="SimSun" w:cs="SimSun"/>
          <w:color w:val="000000"/>
          <w:spacing w:val="6"/>
          <w:sz w:val="24"/>
          <w:u w:val="single"/>
        </w:rPr>
        <w:t xml:space="preserve">      元整</w:t>
      </w:r>
      <w:r>
        <w:rPr>
          <w:rFonts w:ascii="SimSun" w:hAnsi="SimSun" w:eastAsia="SimSun" w:cs="SimSun"/>
          <w:color w:val="000000"/>
          <w:spacing w:val="6"/>
          <w:sz w:val="24"/>
        </w:rPr>
        <w:t xml:space="preserve">（￥</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（备注：1、投标人如不提供此声明函，价格将不做相应扣除。2、中标投标人为残疾人福利单位的，此声明函将随中标结果同时公告，接受社会监督）</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授权代表亲笔签名：</w:t>
      </w:r>
      <w:r/>
    </w:p>
    <w:p>
      <w:pPr>
        <w:ind w:left="0" w:right="286" w:firstLine="504"/>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日期：________年____月____日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（十一）投标清单报价表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8"/>
        <w:gridCol w:w="3439"/>
        <w:gridCol w:w="922"/>
        <w:gridCol w:w="895"/>
        <w:gridCol w:w="1074"/>
        <w:gridCol w:w="871"/>
        <w:gridCol w:w="1374"/>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9"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2"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120" w:after="12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（格式可自拟）</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w:t>
      </w:r>
      <w:r>
        <w:rPr>
          <w:rFonts w:ascii="SimSun" w:hAnsi="SimSun" w:eastAsia="SimSun" w:cs="SimSun"/>
          <w:color w:val="000000"/>
          <w:sz w:val="24"/>
          <w:u w:val="single"/>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法定代表人（或者负责人）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或授权委托人（签字或盖章）：</w:t>
      </w:r>
      <w:r>
        <w:rPr>
          <w:rFonts w:ascii="SimSun" w:hAnsi="SimSun" w:eastAsia="SimSun" w:cs="SimSun"/>
          <w:color w:val="000000"/>
          <w:sz w:val="24"/>
          <w:u w:val="single"/>
        </w:rPr>
        <w:t xml:space="preserve">             </w:t>
      </w:r>
      <w:r/>
    </w:p>
    <w:p>
      <w:pPr>
        <w:ind w:left="0" w:right="0" w:firstLine="0"/>
        <w:spacing w:before="120" w:after="12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（十二）商务要求响应及偏离表</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852"/>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原因</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注：1、按照基本技术要求详细填列。</w:t>
      </w:r>
      <w:r/>
    </w:p>
    <w:p>
      <w:pPr>
        <w:numPr>
          <w:ilvl w:val="0"/>
          <w:numId w:val="7"/>
        </w:numPr>
        <w:jc w:val="both"/>
        <w:spacing w:before="0" w:after="0"/>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3.技术偏离表应针对项目需求逐条应答。</w:t>
      </w:r>
      <w:r/>
    </w:p>
    <w:p>
      <w:pPr>
        <w:ind w:left="0" w:right="0" w:firstLine="1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4"/>
        </w:rPr>
        <w:t xml:space="preserve">（盖章或签字）</w:t>
      </w:r>
      <w:r/>
    </w:p>
    <w:p>
      <w:pPr>
        <w:ind w:left="0" w:right="0" w:firstLine="480"/>
        <w:jc w:val="both"/>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w:t>
      </w:r>
      <w:r>
        <w:rPr>
          <w:rFonts w:ascii="SimSun" w:hAnsi="SimSun" w:eastAsia="SimSun" w:cs="SimSun"/>
          <w:color w:val="000000"/>
          <w:sz w:val="21"/>
          <w:u w:val="single"/>
        </w:rPr>
        <w:t xml:space="preserve">                         </w:t>
      </w:r>
      <w:r>
        <w:rPr>
          <w:rFonts w:ascii="SimSun" w:hAnsi="SimSun" w:eastAsia="SimSun" w:cs="SimSun"/>
          <w:color w:val="000000"/>
          <w:sz w:val="24"/>
        </w:rPr>
        <w:t xml:space="preserve"> （全称并加盖公章）</w:t>
      </w:r>
      <w:r/>
    </w:p>
    <w:p>
      <w:pPr>
        <w:ind w:left="0" w:right="960" w:firstLine="480"/>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（十三）开标一览表</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项目编号：</w:t>
      </w:r>
      <w:r/>
    </w:p>
    <w:p>
      <w:pPr>
        <w:ind w:left="0" w:right="0" w:firstLine="42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货币单位：元</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48"/>
        <w:gridCol w:w="3242"/>
        <w:gridCol w:w="2887"/>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r>
      <w:tr>
        <w:trPr>
          <w:trHeight w:val="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7" w:type="dxa"/>
            <w:vAlign w:val="center"/>
            <w:textDirection w:val="lrTb"/>
            <w:noWrap w:val="false"/>
          </w:tcPr>
          <w:p>
            <w:pPr>
              <w:ind w:left="0" w:right="24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w:t>
      </w:r>
      <w:r/>
    </w:p>
    <w:p>
      <w:pPr>
        <w:ind w:left="840" w:right="0" w:firstLine="42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投标人公章：</w:t>
      </w:r>
      <w:r/>
    </w:p>
    <w:p>
      <w:pPr>
        <w:ind w:left="840" w:right="0" w:firstLine="42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（电子签章）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（十四）技术方案、服务承诺、培训承诺等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（十五）盐城市政府采购事前信用承诺书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（八）本人已认真阅读了上述承诺，并向本单位员工做了宣传教育。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r/>
      <w:r/>
    </w:p>
    <w:sectPr>
      <w:footerReference w:type="default" r:id="rId9"/>
      <w:footnotePr/>
      <w:endnotePr/>
      <w:type w:val="nextPage"/>
      <w:pgSz w:w="11906" w:h="16838" w:orient="portrait"/>
      <w:pgMar w:top="1418" w:right="1701" w:bottom="1134" w:left="1701"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Bookshelf Symbol 7">
    <w:panose1 w:val="05010101010101010101"/>
  </w:font>
  <w:font w:name="Symbol">
    <w:panose1 w:val="05050102010706020507"/>
  </w:font>
  <w:font w:name="新宋体">
    <w:panose1 w:val="02010609030101010101"/>
  </w:font>
  <w:font w:name="Wingdings">
    <w:panose1 w:val="05000000000000000000"/>
  </w:font>
  <w:font w:name="Tahoma">
    <w:panose1 w:val="020B0604030504040204"/>
  </w:font>
  <w:font w:name="Cambria Math">
    <w:panose1 w:val="02040503050406030204"/>
  </w:font>
  <w:font w:name="方正黑体_GBK">
    <w:panose1 w:val="020B0503020202020204"/>
  </w:font>
  <w:font w:name="Cambria">
    <w:panose1 w:val="02040503050406030204"/>
  </w:font>
  <w:font w:name="Courier New">
    <w:panose1 w:val="020703090202050204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54740728"/>
      <w:rPr/>
    </w:sdtPr>
    <w:sdtContent>
      <w:p>
        <w:pPr>
          <w:pStyle w:val="73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04"/>
      <w:isLgl w:val="false"/>
      <w:suff w:val="nothing"/>
      <w:lvlText w:val=""/>
      <w:lvlJc w:val="left"/>
      <w:pPr>
        <w:ind w:left="0" w:firstLine="0"/>
      </w:pPr>
      <w:rPr>
        <w:rFonts w:hint="eastAsia"/>
      </w:rPr>
    </w:lvl>
    <w:lvl w:ilvl="6">
      <w:start w:val="1"/>
      <w:numFmt w:val="none"/>
      <w:pStyle w:val="705"/>
      <w:isLgl w:val="false"/>
      <w:suff w:val="nothing"/>
      <w:lvlText w:val=""/>
      <w:lvlJc w:val="left"/>
      <w:pPr>
        <w:ind w:left="0" w:firstLine="0"/>
      </w:pPr>
      <w:rPr>
        <w:rFonts w:hint="eastAsia"/>
      </w:rPr>
    </w:lvl>
    <w:lvl w:ilvl="7">
      <w:start w:val="1"/>
      <w:numFmt w:val="none"/>
      <w:pStyle w:val="706"/>
      <w:isLgl w:val="false"/>
      <w:suff w:val="nothing"/>
      <w:lvlText w:val=""/>
      <w:lvlJc w:val="left"/>
      <w:pPr>
        <w:ind w:left="0" w:firstLine="0"/>
      </w:pPr>
      <w:rPr>
        <w:rFonts w:hint="eastAsia"/>
      </w:rPr>
    </w:lvl>
    <w:lvl w:ilvl="8">
      <w:start w:val="1"/>
      <w:numFmt w:val="none"/>
      <w:pStyle w:val="707"/>
      <w:isLgl w:val="false"/>
      <w:suff w:val="nothing"/>
      <w:lvlText w:val=""/>
      <w:lvlJc w:val="left"/>
      <w:pPr>
        <w:ind w:left="0" w:firstLine="0"/>
      </w:pPr>
      <w:rPr>
        <w:rFonts w:hint="eastAsia"/>
      </w:rPr>
    </w:lvl>
  </w:abstractNum>
  <w:abstractNum w:abstractNumId="3">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4">
    <w:multiLevelType w:val="hybridMultilevel"/>
    <w:lvl w:ilvl="0">
      <w:start w:val="1"/>
      <w:numFmt w:val="bullet"/>
      <w:pStyle w:val="937"/>
      <w:isLgl w:val="false"/>
      <w:suff w:val="tab"/>
      <w:lvlText w:val=""/>
      <w:lvlJc w:val="left"/>
      <w:pPr>
        <w:ind w:left="602" w:hanging="245"/>
        <w:tabs>
          <w:tab w:val="left" w:pos="717" w:leader="none"/>
        </w:tabs>
      </w:pPr>
      <w:rPr>
        <w:rFonts w:hint="default" w:ascii="Wingdings" w:hAnsi="Wingdings"/>
      </w:rPr>
    </w:lvl>
    <w:lvl w:ilvl="1">
      <w:start w:val="1"/>
      <w:numFmt w:val="bullet"/>
      <w:isLgl w:val="false"/>
      <w:suff w:val="tab"/>
      <w:lvlText w:val=""/>
      <w:lvlJc w:val="left"/>
      <w:pPr>
        <w:ind w:left="1197" w:hanging="420"/>
        <w:tabs>
          <w:tab w:val="left" w:pos="1197" w:leader="none"/>
        </w:tabs>
      </w:pPr>
      <w:rPr>
        <w:rFonts w:hint="default" w:ascii="Bookshelf Symbol 7" w:hAnsi="Bookshelf Symbol 7"/>
      </w:rPr>
    </w:lvl>
    <w:lvl w:ilvl="2">
      <w:start w:val="1"/>
      <w:numFmt w:val="bullet"/>
      <w:isLgl w:val="false"/>
      <w:suff w:val="tab"/>
      <w:lvlText w:val=""/>
      <w:lvlJc w:val="left"/>
      <w:pPr>
        <w:ind w:left="1617" w:hanging="420"/>
        <w:tabs>
          <w:tab w:val="left" w:pos="1617" w:leader="none"/>
        </w:tabs>
      </w:pPr>
      <w:rPr>
        <w:rFonts w:hint="default" w:ascii="Bookshelf Symbol 7" w:hAnsi="Bookshelf Symbol 7"/>
      </w:rPr>
    </w:lvl>
    <w:lvl w:ilvl="3">
      <w:start w:val="1"/>
      <w:numFmt w:val="bullet"/>
      <w:isLgl w:val="false"/>
      <w:suff w:val="tab"/>
      <w:lvlText w:val=""/>
      <w:lvlJc w:val="left"/>
      <w:pPr>
        <w:ind w:left="2037" w:hanging="420"/>
        <w:tabs>
          <w:tab w:val="left" w:pos="2037" w:leader="none"/>
        </w:tabs>
      </w:pPr>
      <w:rPr>
        <w:rFonts w:hint="default" w:ascii="Bookshelf Symbol 7" w:hAnsi="Bookshelf Symbol 7"/>
      </w:rPr>
    </w:lvl>
    <w:lvl w:ilvl="4">
      <w:start w:val="1"/>
      <w:numFmt w:val="bullet"/>
      <w:isLgl w:val="false"/>
      <w:suff w:val="tab"/>
      <w:lvlText w:val=""/>
      <w:lvlJc w:val="left"/>
      <w:pPr>
        <w:ind w:left="2457" w:hanging="420"/>
        <w:tabs>
          <w:tab w:val="left" w:pos="2457" w:leader="none"/>
        </w:tabs>
      </w:pPr>
      <w:rPr>
        <w:rFonts w:hint="default" w:ascii="Bookshelf Symbol 7" w:hAnsi="Bookshelf Symbol 7"/>
      </w:rPr>
    </w:lvl>
    <w:lvl w:ilvl="5">
      <w:start w:val="1"/>
      <w:numFmt w:val="bullet"/>
      <w:isLgl w:val="false"/>
      <w:suff w:val="tab"/>
      <w:lvlText w:val=""/>
      <w:lvlJc w:val="left"/>
      <w:pPr>
        <w:ind w:left="2877" w:hanging="420"/>
        <w:tabs>
          <w:tab w:val="left" w:pos="2877" w:leader="none"/>
        </w:tabs>
      </w:pPr>
      <w:rPr>
        <w:rFonts w:hint="default" w:ascii="Bookshelf Symbol 7" w:hAnsi="Bookshelf Symbol 7"/>
      </w:rPr>
    </w:lvl>
    <w:lvl w:ilvl="6">
      <w:start w:val="1"/>
      <w:numFmt w:val="bullet"/>
      <w:isLgl w:val="false"/>
      <w:suff w:val="tab"/>
      <w:lvlText w:val=""/>
      <w:lvlJc w:val="left"/>
      <w:pPr>
        <w:ind w:left="3297" w:hanging="420"/>
        <w:tabs>
          <w:tab w:val="left" w:pos="3297" w:leader="none"/>
        </w:tabs>
      </w:pPr>
      <w:rPr>
        <w:rFonts w:hint="default" w:ascii="Bookshelf Symbol 7" w:hAnsi="Bookshelf Symbol 7"/>
      </w:rPr>
    </w:lvl>
    <w:lvl w:ilvl="7">
      <w:start w:val="1"/>
      <w:numFmt w:val="bullet"/>
      <w:isLgl w:val="false"/>
      <w:suff w:val="tab"/>
      <w:lvlText w:val=""/>
      <w:lvlJc w:val="left"/>
      <w:pPr>
        <w:ind w:left="3717" w:hanging="420"/>
        <w:tabs>
          <w:tab w:val="left" w:pos="3717" w:leader="none"/>
        </w:tabs>
      </w:pPr>
      <w:rPr>
        <w:rFonts w:hint="default" w:ascii="Bookshelf Symbol 7" w:hAnsi="Bookshelf Symbol 7"/>
      </w:rPr>
    </w:lvl>
    <w:lvl w:ilvl="8">
      <w:start w:val="1"/>
      <w:numFmt w:val="bullet"/>
      <w:isLgl w:val="false"/>
      <w:suff w:val="tab"/>
      <w:lvlText w:val=""/>
      <w:lvlJc w:val="left"/>
      <w:pPr>
        <w:ind w:left="4137" w:hanging="420"/>
        <w:tabs>
          <w:tab w:val="left" w:pos="4137" w:leader="none"/>
        </w:tabs>
      </w:pPr>
      <w:rPr>
        <w:rFonts w:hint="default" w:ascii="Bookshelf Symbol 7" w:hAnsi="Bookshelf Symbol 7"/>
      </w:rPr>
    </w:lvl>
  </w:abstractNum>
  <w:abstractNum w:abstractNumId="5">
    <w:multiLevelType w:val="hybridMultilevel"/>
    <w:lvl w:ilvl="0">
      <w:start w:val="2"/>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6">
    <w:multiLevelType w:val="hybridMultilevel"/>
    <w:lvl w:ilvl="0">
      <w:start w:val="2"/>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2"/>
  </w:num>
  <w:num w:numId="2">
    <w:abstractNumId w:val="4"/>
  </w:num>
  <w:num w:numId="3">
    <w:abstractNumId w:val="1"/>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Title Char"/>
    <w:basedOn w:val="708"/>
    <w:link w:val="749"/>
    <w:uiPriority w:val="10"/>
    <w:rPr>
      <w:sz w:val="48"/>
      <w:szCs w:val="48"/>
    </w:rPr>
  </w:style>
  <w:style w:type="character" w:styleId="673">
    <w:name w:val="Subtitle Char"/>
    <w:basedOn w:val="708"/>
    <w:link w:val="737"/>
    <w:uiPriority w:val="11"/>
    <w:rPr>
      <w:sz w:val="24"/>
      <w:szCs w:val="24"/>
    </w:rPr>
  </w:style>
  <w:style w:type="character" w:styleId="674">
    <w:name w:val="Quote Char"/>
    <w:link w:val="774"/>
    <w:uiPriority w:val="29"/>
    <w:rPr>
      <w:i/>
    </w:rPr>
  </w:style>
  <w:style w:type="character" w:styleId="675">
    <w:name w:val="Intense Quote Char"/>
    <w:link w:val="776"/>
    <w:uiPriority w:val="30"/>
    <w:rPr>
      <w:i/>
    </w:rPr>
  </w:style>
  <w:style w:type="table" w:styleId="676">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5">
    <w:name w:val="Footnote Text Char"/>
    <w:link w:val="739"/>
    <w:uiPriority w:val="99"/>
    <w:rPr>
      <w:sz w:val="18"/>
    </w:rPr>
  </w:style>
  <w:style w:type="character" w:styleId="696">
    <w:name w:val="Endnote Text Char"/>
    <w:link w:val="731"/>
    <w:uiPriority w:val="99"/>
    <w:rPr>
      <w:sz w:val="20"/>
    </w:rPr>
  </w:style>
  <w:style w:type="paragraph" w:styleId="697">
    <w:name w:val="TOC Heading"/>
    <w:uiPriority w:val="39"/>
    <w:unhideWhenUsed/>
  </w:style>
  <w:style w:type="paragraph" w:styleId="698" w:default="1">
    <w:name w:val="Normal"/>
    <w:next w:val="711"/>
    <w:qFormat/>
    <w:pPr>
      <w:jc w:val="both"/>
      <w:widowControl w:val="off"/>
    </w:pPr>
    <w:rPr>
      <w:sz w:val="21"/>
      <w:szCs w:val="21"/>
    </w:rPr>
  </w:style>
  <w:style w:type="paragraph" w:styleId="699">
    <w:name w:val="Heading 1"/>
    <w:basedOn w:val="698"/>
    <w:next w:val="698"/>
    <w:qFormat/>
    <w:pPr>
      <w:jc w:val="center"/>
      <w:keepNext/>
      <w:outlineLvl w:val="0"/>
    </w:pPr>
    <w:rPr>
      <w:rFonts w:ascii="楷体_GB2312" w:eastAsia="楷体_GB2312"/>
      <w:sz w:val="28"/>
      <w:szCs w:val="28"/>
    </w:rPr>
  </w:style>
  <w:style w:type="paragraph" w:styleId="700">
    <w:name w:val="Heading 2"/>
    <w:basedOn w:val="698"/>
    <w:next w:val="698"/>
    <w:qFormat/>
    <w:pPr>
      <w:jc w:val="center"/>
      <w:keepLines/>
      <w:keepNext/>
      <w:spacing w:before="260" w:after="260" w:line="416" w:lineRule="auto"/>
      <w:outlineLvl w:val="1"/>
    </w:pPr>
    <w:rPr>
      <w:rFonts w:ascii="Arial" w:hAnsi="Arial" w:eastAsia="幼圆" w:cs="Arial"/>
      <w:b/>
      <w:bCs/>
      <w:sz w:val="44"/>
      <w:szCs w:val="44"/>
    </w:rPr>
  </w:style>
  <w:style w:type="paragraph" w:styleId="701">
    <w:name w:val="Heading 3"/>
    <w:basedOn w:val="698"/>
    <w:next w:val="698"/>
    <w:link w:val="911"/>
    <w:uiPriority w:val="9"/>
    <w:qFormat/>
    <w:pPr>
      <w:keepLines/>
      <w:keepNext/>
      <w:spacing w:before="260" w:after="260" w:line="416" w:lineRule="auto"/>
      <w:outlineLvl w:val="2"/>
    </w:pPr>
    <w:rPr>
      <w:b/>
      <w:bCs/>
      <w:sz w:val="32"/>
      <w:szCs w:val="32"/>
    </w:rPr>
  </w:style>
  <w:style w:type="paragraph" w:styleId="702">
    <w:name w:val="Heading 4"/>
    <w:basedOn w:val="698"/>
    <w:next w:val="712"/>
    <w:qFormat/>
    <w:pPr>
      <w:keepLines/>
      <w:keepNext/>
      <w:spacing w:before="280" w:after="290" w:line="376" w:lineRule="auto"/>
      <w:outlineLvl w:val="3"/>
    </w:pPr>
    <w:rPr>
      <w:rFonts w:ascii="Arial" w:hAnsi="Arial" w:eastAsia="黑体" w:cs="Arial"/>
      <w:b/>
      <w:bCs/>
      <w:sz w:val="28"/>
      <w:szCs w:val="28"/>
    </w:rPr>
  </w:style>
  <w:style w:type="paragraph" w:styleId="703">
    <w:name w:val="Heading 5"/>
    <w:basedOn w:val="698"/>
    <w:next w:val="712"/>
    <w:qFormat/>
    <w:pPr>
      <w:keepNext/>
      <w:outlineLvl w:val="4"/>
    </w:pPr>
    <w:rPr>
      <w:rFonts w:ascii="宋体"/>
      <w:color w:val="000000"/>
      <w:sz w:val="28"/>
      <w:szCs w:val="28"/>
    </w:rPr>
  </w:style>
  <w:style w:type="paragraph" w:styleId="704">
    <w:name w:val="Heading 6"/>
    <w:basedOn w:val="698"/>
    <w:next w:val="698"/>
    <w:qFormat/>
    <w:pPr>
      <w:numPr>
        <w:ilvl w:val="5"/>
        <w:numId w:val="1"/>
      </w:numPr>
      <w:keepLines/>
      <w:keepNext/>
      <w:spacing w:before="240" w:after="64" w:line="320" w:lineRule="auto"/>
      <w:outlineLvl w:val="5"/>
    </w:pPr>
    <w:rPr>
      <w:rFonts w:ascii="Arial" w:hAnsi="Arial" w:eastAsia="黑体"/>
      <w:b/>
      <w:bCs/>
      <w:sz w:val="24"/>
      <w:szCs w:val="24"/>
    </w:rPr>
  </w:style>
  <w:style w:type="paragraph" w:styleId="705">
    <w:name w:val="Heading 7"/>
    <w:basedOn w:val="698"/>
    <w:next w:val="698"/>
    <w:qFormat/>
    <w:pPr>
      <w:numPr>
        <w:ilvl w:val="6"/>
        <w:numId w:val="1"/>
      </w:numPr>
      <w:keepLines/>
      <w:keepNext/>
      <w:spacing w:before="240" w:after="64" w:line="320" w:lineRule="auto"/>
      <w:outlineLvl w:val="6"/>
    </w:pPr>
    <w:rPr>
      <w:b/>
      <w:bCs/>
      <w:sz w:val="24"/>
      <w:szCs w:val="24"/>
    </w:rPr>
  </w:style>
  <w:style w:type="paragraph" w:styleId="706">
    <w:name w:val="Heading 8"/>
    <w:basedOn w:val="698"/>
    <w:next w:val="698"/>
    <w:qFormat/>
    <w:pPr>
      <w:numPr>
        <w:ilvl w:val="7"/>
        <w:numId w:val="1"/>
      </w:numPr>
      <w:keepLines/>
      <w:keepNext/>
      <w:spacing w:before="240" w:after="64" w:line="320" w:lineRule="auto"/>
      <w:outlineLvl w:val="7"/>
    </w:pPr>
    <w:rPr>
      <w:rFonts w:ascii="Arial" w:hAnsi="Arial" w:eastAsia="黑体"/>
      <w:sz w:val="24"/>
      <w:szCs w:val="24"/>
    </w:rPr>
  </w:style>
  <w:style w:type="paragraph" w:styleId="707">
    <w:name w:val="Heading 9"/>
    <w:basedOn w:val="698"/>
    <w:next w:val="698"/>
    <w:qFormat/>
    <w:pPr>
      <w:numPr>
        <w:ilvl w:val="8"/>
        <w:numId w:val="1"/>
      </w:numPr>
      <w:keepLines/>
      <w:keepNext/>
      <w:spacing w:before="240" w:after="64" w:line="320" w:lineRule="auto"/>
      <w:outlineLvl w:val="8"/>
    </w:pPr>
    <w:rPr>
      <w:rFonts w:ascii="Arial" w:hAnsi="Arial" w:eastAsia="黑体"/>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Default"/>
    <w:basedOn w:val="698"/>
    <w:qFormat/>
    <w:pPr>
      <w:jc w:val="left"/>
    </w:pPr>
    <w:rPr>
      <w:rFonts w:ascii="宋体" w:hAnsi="Calibri" w:cs="宋体"/>
      <w:color w:val="000000"/>
      <w:sz w:val="24"/>
    </w:rPr>
  </w:style>
  <w:style w:type="paragraph" w:styleId="712">
    <w:name w:val="Normal Indent"/>
    <w:basedOn w:val="698"/>
    <w:link w:val="910"/>
    <w:qFormat/>
    <w:pPr>
      <w:ind w:firstLine="420"/>
    </w:pPr>
  </w:style>
  <w:style w:type="paragraph" w:styleId="713">
    <w:name w:val="List 3"/>
    <w:basedOn w:val="698"/>
    <w:qFormat/>
    <w:pPr>
      <w:ind w:left="100" w:hanging="200"/>
    </w:pPr>
  </w:style>
  <w:style w:type="paragraph" w:styleId="714">
    <w:name w:val="toc 7"/>
    <w:basedOn w:val="698"/>
    <w:next w:val="698"/>
    <w:semiHidden/>
    <w:qFormat/>
    <w:pPr>
      <w:ind w:left="1260"/>
      <w:jc w:val="left"/>
    </w:pPr>
  </w:style>
  <w:style w:type="paragraph" w:styleId="715">
    <w:name w:val="Caption"/>
    <w:basedOn w:val="698"/>
    <w:next w:val="698"/>
    <w:uiPriority w:val="35"/>
    <w:semiHidden/>
    <w:unhideWhenUsed/>
    <w:qFormat/>
    <w:pPr>
      <w:spacing w:line="276" w:lineRule="auto"/>
    </w:pPr>
    <w:rPr>
      <w:b/>
      <w:bCs/>
      <w:color w:val="4f81bd" w:themeColor="accent1"/>
      <w:sz w:val="18"/>
      <w:szCs w:val="18"/>
    </w:rPr>
  </w:style>
  <w:style w:type="paragraph" w:styleId="716">
    <w:name w:val="Document Map"/>
    <w:basedOn w:val="698"/>
    <w:link w:val="912"/>
    <w:semiHidden/>
    <w:qFormat/>
    <w:pPr>
      <w:shd w:val="clear" w:color="auto" w:fill="000080"/>
    </w:pPr>
  </w:style>
  <w:style w:type="paragraph" w:styleId="717">
    <w:name w:val="toa heading"/>
    <w:basedOn w:val="698"/>
    <w:next w:val="698"/>
    <w:qFormat/>
    <w:pPr>
      <w:spacing w:before="120"/>
    </w:pPr>
    <w:rPr>
      <w:rFonts w:ascii="Arial" w:hAnsi="Arial" w:cs="Arial"/>
      <w:sz w:val="24"/>
    </w:rPr>
  </w:style>
  <w:style w:type="paragraph" w:styleId="718">
    <w:name w:val="annotation text"/>
    <w:basedOn w:val="698"/>
    <w:link w:val="970"/>
    <w:qFormat/>
    <w:pPr>
      <w:jc w:val="left"/>
    </w:pPr>
  </w:style>
  <w:style w:type="paragraph" w:styleId="719">
    <w:name w:val="Body Text 3"/>
    <w:basedOn w:val="698"/>
    <w:qFormat/>
    <w:rPr>
      <w:rFonts w:ascii="仿宋_GB2312" w:hAnsi="Arial" w:eastAsia="仿宋_GB2312"/>
      <w:sz w:val="32"/>
      <w:szCs w:val="32"/>
    </w:rPr>
  </w:style>
  <w:style w:type="paragraph" w:styleId="720">
    <w:name w:val="Body Text"/>
    <w:basedOn w:val="698"/>
    <w:next w:val="698"/>
    <w:qFormat/>
    <w:rPr>
      <w:rFonts w:ascii="楷体_GB2312" w:hAnsi="Arial" w:eastAsia="楷体_GB2312"/>
      <w:sz w:val="28"/>
      <w:szCs w:val="28"/>
    </w:rPr>
  </w:style>
  <w:style w:type="paragraph" w:styleId="721">
    <w:name w:val="Body Text Indent"/>
    <w:basedOn w:val="698"/>
    <w:next w:val="722"/>
    <w:qFormat/>
    <w:pPr>
      <w:ind w:firstLine="645"/>
    </w:pPr>
    <w:rPr>
      <w:rFonts w:ascii="楷体_GB2312" w:eastAsia="楷体_GB2312"/>
      <w:sz w:val="32"/>
      <w:szCs w:val="32"/>
    </w:rPr>
  </w:style>
  <w:style w:type="paragraph" w:styleId="722">
    <w:name w:val="envelope return"/>
    <w:basedOn w:val="698"/>
    <w:uiPriority w:val="99"/>
    <w:qFormat/>
    <w:rPr>
      <w:rFonts w:ascii="Arial" w:hAnsi="Arial"/>
    </w:rPr>
  </w:style>
  <w:style w:type="paragraph" w:styleId="723">
    <w:name w:val="List 2"/>
    <w:basedOn w:val="698"/>
    <w:qFormat/>
    <w:pPr>
      <w:ind w:left="100" w:hanging="200"/>
    </w:pPr>
  </w:style>
  <w:style w:type="paragraph" w:styleId="724">
    <w:name w:val="index 4"/>
    <w:basedOn w:val="698"/>
    <w:next w:val="698"/>
    <w:unhideWhenUsed/>
    <w:qFormat/>
    <w:pPr>
      <w:ind w:left="600"/>
      <w:spacing w:before="100" w:beforeAutospacing="1" w:after="100" w:afterAutospacing="1"/>
    </w:pPr>
    <w:rPr>
      <w:rFonts w:ascii="宋体"/>
      <w:b/>
      <w:bCs/>
      <w:position w:val="-10"/>
      <w:sz w:val="24"/>
      <w:szCs w:val="22"/>
    </w:rPr>
  </w:style>
  <w:style w:type="paragraph" w:styleId="725">
    <w:name w:val="toc 5"/>
    <w:basedOn w:val="698"/>
    <w:next w:val="698"/>
    <w:semiHidden/>
    <w:qFormat/>
    <w:pPr>
      <w:ind w:left="840"/>
      <w:jc w:val="left"/>
    </w:pPr>
  </w:style>
  <w:style w:type="paragraph" w:styleId="726">
    <w:name w:val="toc 3"/>
    <w:basedOn w:val="698"/>
    <w:next w:val="698"/>
    <w:semiHidden/>
    <w:qFormat/>
    <w:pPr>
      <w:ind w:left="420"/>
      <w:jc w:val="left"/>
    </w:pPr>
    <w:rPr>
      <w:i/>
      <w:iCs/>
      <w:szCs w:val="24"/>
    </w:rPr>
  </w:style>
  <w:style w:type="paragraph" w:styleId="727">
    <w:name w:val="Plain Text"/>
    <w:basedOn w:val="698"/>
    <w:link w:val="913"/>
    <w:uiPriority w:val="99"/>
    <w:qFormat/>
    <w:rPr>
      <w:rFonts w:ascii="宋体" w:hAnsi="Courier New"/>
    </w:rPr>
  </w:style>
  <w:style w:type="paragraph" w:styleId="728">
    <w:name w:val="toc 8"/>
    <w:basedOn w:val="698"/>
    <w:next w:val="698"/>
    <w:semiHidden/>
    <w:qFormat/>
    <w:pPr>
      <w:ind w:left="1470"/>
      <w:jc w:val="left"/>
    </w:pPr>
  </w:style>
  <w:style w:type="paragraph" w:styleId="729">
    <w:name w:val="Date"/>
    <w:basedOn w:val="698"/>
    <w:next w:val="698"/>
    <w:qFormat/>
    <w:rPr>
      <w:sz w:val="24"/>
      <w:szCs w:val="24"/>
    </w:rPr>
  </w:style>
  <w:style w:type="paragraph" w:styleId="730">
    <w:name w:val="Body Text Indent 2"/>
    <w:basedOn w:val="698"/>
    <w:qFormat/>
    <w:pPr>
      <w:ind w:left="630" w:firstLine="645"/>
    </w:pPr>
    <w:rPr>
      <w:rFonts w:ascii="Arial" w:hAnsi="Arial" w:eastAsia="仿宋_GB2312" w:cs="Arial"/>
      <w:sz w:val="32"/>
      <w:szCs w:val="32"/>
    </w:rPr>
  </w:style>
  <w:style w:type="paragraph" w:styleId="731">
    <w:name w:val="endnote text"/>
    <w:basedOn w:val="698"/>
    <w:link w:val="907"/>
    <w:uiPriority w:val="99"/>
    <w:semiHidden/>
    <w:unhideWhenUsed/>
    <w:qFormat/>
    <w:rPr>
      <w:sz w:val="20"/>
    </w:rPr>
  </w:style>
  <w:style w:type="paragraph" w:styleId="732">
    <w:name w:val="Balloon Text"/>
    <w:basedOn w:val="698"/>
    <w:semiHidden/>
    <w:qFormat/>
    <w:rPr>
      <w:sz w:val="18"/>
      <w:szCs w:val="18"/>
    </w:rPr>
  </w:style>
  <w:style w:type="paragraph" w:styleId="733">
    <w:name w:val="Footer"/>
    <w:basedOn w:val="698"/>
    <w:link w:val="980"/>
    <w:uiPriority w:val="99"/>
    <w:qFormat/>
    <w:pPr>
      <w:jc w:val="left"/>
      <w:tabs>
        <w:tab w:val="center" w:pos="4153" w:leader="none"/>
        <w:tab w:val="right" w:pos="8306" w:leader="none"/>
      </w:tabs>
    </w:pPr>
    <w:rPr>
      <w:sz w:val="18"/>
      <w:szCs w:val="18"/>
    </w:rPr>
  </w:style>
  <w:style w:type="paragraph" w:styleId="734">
    <w:name w:val="Header"/>
    <w:basedOn w:val="698"/>
    <w:link w:val="979"/>
    <w:qFormat/>
    <w:pPr>
      <w:jc w:val="center"/>
      <w:tabs>
        <w:tab w:val="center" w:pos="4153" w:leader="none"/>
        <w:tab w:val="right" w:pos="8306" w:leader="none"/>
      </w:tabs>
      <w:pBdr>
        <w:bottom w:val="single" w:color="auto" w:sz="6" w:space="1"/>
      </w:pBdr>
    </w:pPr>
    <w:rPr>
      <w:sz w:val="18"/>
      <w:szCs w:val="18"/>
    </w:rPr>
  </w:style>
  <w:style w:type="paragraph" w:styleId="735">
    <w:name w:val="toc 1"/>
    <w:basedOn w:val="698"/>
    <w:next w:val="698"/>
    <w:uiPriority w:val="39"/>
    <w:qFormat/>
    <w:pPr>
      <w:jc w:val="left"/>
      <w:spacing w:before="120" w:after="120" w:line="400" w:lineRule="exact"/>
      <w:tabs>
        <w:tab w:val="right" w:pos="8720" w:leader="dot"/>
      </w:tabs>
    </w:pPr>
    <w:rPr>
      <w:rFonts w:ascii="宋体" w:hAnsi="宋体"/>
      <w:caps/>
      <w:sz w:val="24"/>
      <w:szCs w:val="24"/>
    </w:rPr>
  </w:style>
  <w:style w:type="paragraph" w:styleId="736">
    <w:name w:val="toc 4"/>
    <w:basedOn w:val="698"/>
    <w:next w:val="698"/>
    <w:semiHidden/>
    <w:qFormat/>
    <w:pPr>
      <w:ind w:left="630"/>
      <w:jc w:val="left"/>
    </w:pPr>
  </w:style>
  <w:style w:type="paragraph" w:styleId="737">
    <w:name w:val="Subtitle"/>
    <w:basedOn w:val="698"/>
    <w:next w:val="698"/>
    <w:link w:val="773"/>
    <w:uiPriority w:val="11"/>
    <w:qFormat/>
    <w:pPr>
      <w:spacing w:before="200" w:after="200"/>
    </w:pPr>
    <w:rPr>
      <w:sz w:val="24"/>
      <w:szCs w:val="24"/>
    </w:rPr>
  </w:style>
  <w:style w:type="paragraph" w:styleId="738">
    <w:name w:val="List"/>
    <w:basedOn w:val="698"/>
    <w:qFormat/>
    <w:pPr>
      <w:ind w:left="200" w:hanging="200"/>
    </w:pPr>
  </w:style>
  <w:style w:type="paragraph" w:styleId="739">
    <w:name w:val="footnote text"/>
    <w:basedOn w:val="698"/>
    <w:link w:val="906"/>
    <w:uiPriority w:val="99"/>
    <w:semiHidden/>
    <w:unhideWhenUsed/>
    <w:qFormat/>
    <w:pPr>
      <w:spacing w:after="40"/>
    </w:pPr>
    <w:rPr>
      <w:sz w:val="18"/>
    </w:rPr>
  </w:style>
  <w:style w:type="paragraph" w:styleId="740">
    <w:name w:val="toc 6"/>
    <w:basedOn w:val="698"/>
    <w:next w:val="698"/>
    <w:semiHidden/>
    <w:qFormat/>
    <w:pPr>
      <w:ind w:left="1050"/>
      <w:jc w:val="left"/>
    </w:pPr>
  </w:style>
  <w:style w:type="paragraph" w:styleId="741">
    <w:name w:val="Body Text Indent 3"/>
    <w:basedOn w:val="698"/>
    <w:qFormat/>
    <w:pPr>
      <w:ind w:left="645" w:firstLine="645"/>
    </w:pPr>
    <w:rPr>
      <w:rFonts w:ascii="Arial" w:hAnsi="Arial" w:eastAsia="仿宋_GB2312" w:cs="Arial"/>
      <w:color w:val="ffff00"/>
      <w:sz w:val="32"/>
      <w:szCs w:val="32"/>
    </w:rPr>
  </w:style>
  <w:style w:type="paragraph" w:styleId="742">
    <w:name w:val="table of figures"/>
    <w:basedOn w:val="698"/>
    <w:next w:val="698"/>
    <w:semiHidden/>
    <w:qFormat/>
    <w:pPr>
      <w:ind w:left="840" w:hanging="420"/>
    </w:pPr>
  </w:style>
  <w:style w:type="paragraph" w:styleId="743">
    <w:name w:val="toc 2"/>
    <w:basedOn w:val="698"/>
    <w:next w:val="698"/>
    <w:uiPriority w:val="39"/>
    <w:qFormat/>
    <w:pPr>
      <w:ind w:left="210"/>
      <w:jc w:val="left"/>
    </w:pPr>
    <w:rPr>
      <w:smallCaps/>
      <w:szCs w:val="24"/>
    </w:rPr>
  </w:style>
  <w:style w:type="paragraph" w:styleId="744">
    <w:name w:val="toc 9"/>
    <w:basedOn w:val="698"/>
    <w:next w:val="698"/>
    <w:semiHidden/>
    <w:qFormat/>
    <w:pPr>
      <w:ind w:left="1680"/>
      <w:jc w:val="left"/>
    </w:pPr>
  </w:style>
  <w:style w:type="paragraph" w:styleId="745">
    <w:name w:val="Body Text 2"/>
    <w:basedOn w:val="698"/>
    <w:qFormat/>
    <w:pPr>
      <w:jc w:val="center"/>
      <w:widowControl/>
    </w:pPr>
    <w:rPr>
      <w:rFonts w:ascii="楷体_GB2312" w:eastAsia="楷体_GB2312"/>
      <w:sz w:val="28"/>
      <w:szCs w:val="28"/>
    </w:rPr>
  </w:style>
  <w:style w:type="paragraph" w:styleId="746">
    <w:name w:val="Message Header"/>
    <w:basedOn w:val="698"/>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47">
    <w:name w:val="Normal (Web)"/>
    <w:basedOn w:val="698"/>
    <w:qFormat/>
    <w:pPr>
      <w:jc w:val="left"/>
      <w:spacing w:before="100" w:beforeAutospacing="1" w:after="100" w:afterAutospacing="1"/>
      <w:widowControl/>
    </w:pPr>
    <w:rPr>
      <w:rFonts w:ascii="宋体" w:hAnsi="宋体" w:cs="宋体"/>
      <w:sz w:val="24"/>
      <w:szCs w:val="24"/>
    </w:rPr>
  </w:style>
  <w:style w:type="paragraph" w:styleId="748">
    <w:name w:val="index 1"/>
    <w:basedOn w:val="698"/>
    <w:next w:val="698"/>
    <w:semiHidden/>
    <w:qFormat/>
    <w:pPr>
      <w:spacing w:line="240" w:lineRule="atLeast"/>
    </w:pPr>
    <w:rPr>
      <w:b/>
      <w:bCs/>
    </w:rPr>
  </w:style>
  <w:style w:type="paragraph" w:styleId="749">
    <w:name w:val="Title"/>
    <w:basedOn w:val="698"/>
    <w:next w:val="698"/>
    <w:link w:val="772"/>
    <w:uiPriority w:val="10"/>
    <w:qFormat/>
    <w:pPr>
      <w:contextualSpacing/>
      <w:spacing w:before="300" w:after="200"/>
    </w:pPr>
    <w:rPr>
      <w:sz w:val="48"/>
      <w:szCs w:val="48"/>
    </w:rPr>
  </w:style>
  <w:style w:type="paragraph" w:styleId="750">
    <w:name w:val="annotation subject"/>
    <w:basedOn w:val="718"/>
    <w:next w:val="718"/>
    <w:semiHidden/>
    <w:qFormat/>
    <w:rPr>
      <w:b/>
      <w:bCs/>
    </w:rPr>
  </w:style>
  <w:style w:type="paragraph" w:styleId="751">
    <w:name w:val="Body Text First Indent"/>
    <w:basedOn w:val="698"/>
    <w:qFormat/>
    <w:pPr>
      <w:ind w:firstLine="200"/>
      <w:spacing w:line="360" w:lineRule="auto"/>
    </w:pPr>
    <w:rPr>
      <w:rFonts w:ascii="仿宋_GB2312" w:eastAsia="仿宋_GB2312"/>
      <w:sz w:val="30"/>
      <w:szCs w:val="30"/>
    </w:rPr>
  </w:style>
  <w:style w:type="paragraph" w:styleId="752">
    <w:name w:val="Body Text First Indent 2"/>
    <w:basedOn w:val="721"/>
    <w:next w:val="712"/>
    <w:uiPriority w:val="99"/>
    <w:qFormat/>
    <w:pPr>
      <w:ind w:firstLine="420"/>
      <w:spacing w:line="360" w:lineRule="auto"/>
    </w:pPr>
    <w:rPr>
      <w:rFonts w:ascii="宋体" w:hAnsi="宋体" w:eastAsia="宋体"/>
      <w:sz w:val="21"/>
      <w:szCs w:val="20"/>
    </w:rPr>
  </w:style>
  <w:style w:type="table" w:styleId="753">
    <w:name w:val="Table Grid"/>
    <w:basedOn w:val="70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4">
    <w:name w:val="Strong"/>
    <w:basedOn w:val="708"/>
    <w:qFormat/>
    <w:rPr>
      <w:b/>
      <w:bCs/>
    </w:rPr>
  </w:style>
  <w:style w:type="character" w:styleId="755">
    <w:name w:val="endnote reference"/>
    <w:basedOn w:val="708"/>
    <w:uiPriority w:val="99"/>
    <w:semiHidden/>
    <w:unhideWhenUsed/>
    <w:qFormat/>
    <w:rPr>
      <w:vertAlign w:val="superscript"/>
    </w:rPr>
  </w:style>
  <w:style w:type="character" w:styleId="756">
    <w:name w:val="page number"/>
    <w:qFormat/>
  </w:style>
  <w:style w:type="character" w:styleId="757">
    <w:name w:val="FollowedHyperlink"/>
    <w:qFormat/>
    <w:rPr>
      <w:color w:val="800080"/>
      <w:u w:val="single"/>
    </w:rPr>
  </w:style>
  <w:style w:type="character" w:styleId="758">
    <w:name w:val="Emphasis"/>
    <w:uiPriority w:val="20"/>
    <w:qFormat/>
    <w:rPr>
      <w:i/>
    </w:rPr>
  </w:style>
  <w:style w:type="character" w:styleId="759">
    <w:name w:val="Hyperlink"/>
    <w:uiPriority w:val="99"/>
    <w:qFormat/>
    <w:rPr>
      <w:color w:val="0000ff"/>
      <w:u w:val="single"/>
    </w:rPr>
  </w:style>
  <w:style w:type="character" w:styleId="760">
    <w:name w:val="annotation reference"/>
    <w:semiHidden/>
    <w:qFormat/>
    <w:rPr>
      <w:sz w:val="21"/>
      <w:szCs w:val="21"/>
    </w:rPr>
  </w:style>
  <w:style w:type="character" w:styleId="761">
    <w:name w:val="footnote reference"/>
    <w:basedOn w:val="708"/>
    <w:uiPriority w:val="99"/>
    <w:unhideWhenUsed/>
    <w:qFormat/>
    <w:rPr>
      <w:vertAlign w:val="superscript"/>
    </w:rPr>
  </w:style>
  <w:style w:type="character" w:styleId="762" w:customStyle="1">
    <w:name w:val="Heading 1 Char"/>
    <w:basedOn w:val="708"/>
    <w:uiPriority w:val="9"/>
    <w:qFormat/>
    <w:rPr>
      <w:rFonts w:ascii="Arial" w:hAnsi="Arial" w:eastAsia="Arial" w:cs="Arial"/>
      <w:sz w:val="40"/>
      <w:szCs w:val="40"/>
    </w:rPr>
  </w:style>
  <w:style w:type="character" w:styleId="763" w:customStyle="1">
    <w:name w:val="Heading 2 Char"/>
    <w:basedOn w:val="708"/>
    <w:uiPriority w:val="9"/>
    <w:qFormat/>
    <w:rPr>
      <w:rFonts w:ascii="Arial" w:hAnsi="Arial" w:eastAsia="Arial" w:cs="Arial"/>
      <w:sz w:val="34"/>
    </w:rPr>
  </w:style>
  <w:style w:type="character" w:styleId="764" w:customStyle="1">
    <w:name w:val="Heading 3 Char"/>
    <w:basedOn w:val="708"/>
    <w:uiPriority w:val="9"/>
    <w:qFormat/>
    <w:rPr>
      <w:rFonts w:ascii="Arial" w:hAnsi="Arial" w:eastAsia="Arial" w:cs="Arial"/>
      <w:sz w:val="30"/>
      <w:szCs w:val="30"/>
    </w:rPr>
  </w:style>
  <w:style w:type="character" w:styleId="765" w:customStyle="1">
    <w:name w:val="Heading 4 Char"/>
    <w:basedOn w:val="708"/>
    <w:uiPriority w:val="9"/>
    <w:qFormat/>
    <w:rPr>
      <w:rFonts w:ascii="Arial" w:hAnsi="Arial" w:eastAsia="Arial" w:cs="Arial"/>
      <w:b/>
      <w:bCs/>
      <w:sz w:val="26"/>
      <w:szCs w:val="26"/>
    </w:rPr>
  </w:style>
  <w:style w:type="character" w:styleId="766" w:customStyle="1">
    <w:name w:val="Heading 5 Char"/>
    <w:basedOn w:val="708"/>
    <w:uiPriority w:val="9"/>
    <w:qFormat/>
    <w:rPr>
      <w:rFonts w:ascii="Arial" w:hAnsi="Arial" w:eastAsia="Arial" w:cs="Arial"/>
      <w:b/>
      <w:bCs/>
      <w:sz w:val="24"/>
      <w:szCs w:val="24"/>
    </w:rPr>
  </w:style>
  <w:style w:type="character" w:styleId="767" w:customStyle="1">
    <w:name w:val="Heading 6 Char"/>
    <w:basedOn w:val="708"/>
    <w:uiPriority w:val="9"/>
    <w:qFormat/>
    <w:rPr>
      <w:rFonts w:ascii="Arial" w:hAnsi="Arial" w:eastAsia="Arial" w:cs="Arial"/>
      <w:b/>
      <w:bCs/>
      <w:sz w:val="22"/>
      <w:szCs w:val="22"/>
    </w:rPr>
  </w:style>
  <w:style w:type="character" w:styleId="768" w:customStyle="1">
    <w:name w:val="Heading 7 Char"/>
    <w:basedOn w:val="708"/>
    <w:uiPriority w:val="9"/>
    <w:qFormat/>
    <w:rPr>
      <w:rFonts w:ascii="Arial" w:hAnsi="Arial" w:eastAsia="Arial" w:cs="Arial"/>
      <w:b/>
      <w:bCs/>
      <w:i/>
      <w:iCs/>
      <w:sz w:val="22"/>
      <w:szCs w:val="22"/>
    </w:rPr>
  </w:style>
  <w:style w:type="character" w:styleId="769" w:customStyle="1">
    <w:name w:val="Heading 8 Char"/>
    <w:basedOn w:val="708"/>
    <w:uiPriority w:val="9"/>
    <w:qFormat/>
    <w:rPr>
      <w:rFonts w:ascii="Arial" w:hAnsi="Arial" w:eastAsia="Arial" w:cs="Arial"/>
      <w:i/>
      <w:iCs/>
      <w:sz w:val="22"/>
      <w:szCs w:val="22"/>
    </w:rPr>
  </w:style>
  <w:style w:type="character" w:styleId="770" w:customStyle="1">
    <w:name w:val="Heading 9 Char"/>
    <w:basedOn w:val="708"/>
    <w:uiPriority w:val="9"/>
    <w:qFormat/>
    <w:rPr>
      <w:rFonts w:ascii="Arial" w:hAnsi="Arial" w:eastAsia="Arial" w:cs="Arial"/>
      <w:i/>
      <w:iCs/>
      <w:sz w:val="21"/>
      <w:szCs w:val="21"/>
    </w:rPr>
  </w:style>
  <w:style w:type="paragraph" w:styleId="771">
    <w:name w:val="No Spacing"/>
    <w:uiPriority w:val="1"/>
    <w:qFormat/>
  </w:style>
  <w:style w:type="character" w:styleId="772" w:customStyle="1">
    <w:name w:val="标题 字符"/>
    <w:basedOn w:val="708"/>
    <w:link w:val="749"/>
    <w:uiPriority w:val="10"/>
    <w:qFormat/>
    <w:rPr>
      <w:sz w:val="48"/>
      <w:szCs w:val="48"/>
    </w:rPr>
  </w:style>
  <w:style w:type="character" w:styleId="773" w:customStyle="1">
    <w:name w:val="副标题 字符"/>
    <w:basedOn w:val="708"/>
    <w:link w:val="737"/>
    <w:uiPriority w:val="11"/>
    <w:qFormat/>
    <w:rPr>
      <w:sz w:val="24"/>
      <w:szCs w:val="24"/>
    </w:rPr>
  </w:style>
  <w:style w:type="paragraph" w:styleId="774">
    <w:name w:val="Quote"/>
    <w:basedOn w:val="698"/>
    <w:next w:val="698"/>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698"/>
    <w:next w:val="698"/>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Header Char"/>
    <w:basedOn w:val="708"/>
    <w:uiPriority w:val="99"/>
    <w:qFormat/>
  </w:style>
  <w:style w:type="character" w:styleId="779" w:customStyle="1">
    <w:name w:val="Footer Char"/>
    <w:basedOn w:val="708"/>
    <w:uiPriority w:val="99"/>
    <w:qFormat/>
  </w:style>
  <w:style w:type="character" w:styleId="780" w:customStyle="1">
    <w:name w:val="Caption Char"/>
    <w:uiPriority w:val="99"/>
    <w:qFormat/>
  </w:style>
  <w:style w:type="table" w:styleId="781" w:customStyle="1">
    <w:name w:val="Table Grid Light"/>
    <w:basedOn w:val="70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2" w:customStyle="1">
    <w:name w:val="无格式表格 11"/>
    <w:basedOn w:val="70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0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09"/>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09"/>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09"/>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09"/>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09"/>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09"/>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网格表 31"/>
    <w:basedOn w:val="7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09"/>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09"/>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09"/>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0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0" w:customStyle="1">
    <w:name w:val="Grid Table 4 - Accent 2"/>
    <w:basedOn w:val="709"/>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1" w:customStyle="1">
    <w:name w:val="Grid Table 4 - Accent 3"/>
    <w:basedOn w:val="7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2" w:customStyle="1">
    <w:name w:val="Grid Table 4 - Accent 4"/>
    <w:basedOn w:val="7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basedOn w:val="7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basedOn w:val="7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网格表 5 深色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网格表 6 彩色1"/>
    <w:basedOn w:val="70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3" w:customStyle="1">
    <w:name w:val="Grid Table 6 Colorful - Accent 1"/>
    <w:basedOn w:val="7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4" w:customStyle="1">
    <w:name w:val="Grid Table 6 Colorful - Accent 2"/>
    <w:basedOn w:val="709"/>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5" w:customStyle="1">
    <w:name w:val="Grid Table 6 Colorful - Accent 3"/>
    <w:basedOn w:val="709"/>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6" w:customStyle="1">
    <w:name w:val="Grid Table 6 Colorful - Accent 4"/>
    <w:basedOn w:val="7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7" w:customStyle="1">
    <w:name w:val="Grid Table 6 Colorful - Accent 5"/>
    <w:basedOn w:val="7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8" w:customStyle="1">
    <w:name w:val="Grid Table 6 Colorful - Accent 6"/>
    <w:basedOn w:val="7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9" w:customStyle="1">
    <w:name w:val="网格表 7 彩色1"/>
    <w:basedOn w:val="70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09"/>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09"/>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basedOn w:val="70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09"/>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09"/>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09"/>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清单表 21"/>
    <w:basedOn w:val="70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4" w:customStyle="1">
    <w:name w:val="List Table 2 - Accent 1"/>
    <w:basedOn w:val="7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basedOn w:val="709"/>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6" w:customStyle="1">
    <w:name w:val="List Table 2 - Accent 3"/>
    <w:basedOn w:val="7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basedOn w:val="7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basedOn w:val="7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basedOn w:val="7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清单表 31"/>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basedOn w:val="709"/>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09"/>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清单表 41"/>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basedOn w:val="709"/>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basedOn w:val="7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basedOn w:val="7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basedOn w:val="7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basedOn w:val="7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清单表 5 深色1"/>
    <w:basedOn w:val="70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5" w:customStyle="1">
    <w:name w:val="List Table 5 Dark - Accent 1"/>
    <w:basedOn w:val="7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6" w:customStyle="1">
    <w:name w:val="List Table 5 Dark - Accent 2"/>
    <w:basedOn w:val="709"/>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7" w:customStyle="1">
    <w:name w:val="List Table 5 Dark - Accent 3"/>
    <w:basedOn w:val="709"/>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8" w:customStyle="1">
    <w:name w:val="List Table 5 Dark - Accent 4"/>
    <w:basedOn w:val="7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9" w:customStyle="1">
    <w:name w:val="List Table 5 Dark - Accent 5"/>
    <w:basedOn w:val="7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0" w:customStyle="1">
    <w:name w:val="List Table 5 Dark - Accent 6"/>
    <w:basedOn w:val="7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1" w:customStyle="1">
    <w:name w:val="清单表 6 彩色1"/>
    <w:basedOn w:val="70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2" w:customStyle="1">
    <w:name w:val="List Table 6 Colorful - Accent 1"/>
    <w:basedOn w:val="709"/>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3" w:customStyle="1">
    <w:name w:val="List Table 6 Colorful - Accent 2"/>
    <w:basedOn w:val="709"/>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4" w:customStyle="1">
    <w:name w:val="List Table 6 Colorful - Accent 3"/>
    <w:basedOn w:val="709"/>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5" w:customStyle="1">
    <w:name w:val="List Table 6 Colorful - Accent 4"/>
    <w:basedOn w:val="7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6" w:customStyle="1">
    <w:name w:val="List Table 6 Colorful - Accent 5"/>
    <w:basedOn w:val="7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7" w:customStyle="1">
    <w:name w:val="List Table 6 Colorful - Accent 6"/>
    <w:basedOn w:val="7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8" w:customStyle="1">
    <w:name w:val="清单表 7 彩色1"/>
    <w:basedOn w:val="70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09"/>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09"/>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09"/>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09"/>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09"/>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09"/>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6" w:customStyle="1">
    <w:name w:val="Lined - Accent 1"/>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7" w:customStyle="1">
    <w:name w:val="Lined - Accent 2"/>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8" w:customStyle="1">
    <w:name w:val="Lined - Accent 3"/>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9" w:customStyle="1">
    <w:name w:val="Lined - Accent 4"/>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basedOn w:val="70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3" w:customStyle="1">
    <w:name w:val="Bordered &amp; Lined - Accent 1"/>
    <w:basedOn w:val="709"/>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4" w:customStyle="1">
    <w:name w:val="Bordered &amp; Lined - Accent 2"/>
    <w:basedOn w:val="709"/>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5" w:customStyle="1">
    <w:name w:val="Bordered &amp; Lined - Accent 3"/>
    <w:basedOn w:val="709"/>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6" w:customStyle="1">
    <w:name w:val="Bordered &amp; Lined - Accent 4"/>
    <w:basedOn w:val="7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basedOn w:val="7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basedOn w:val="7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basedOn w:val="70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0" w:customStyle="1">
    <w:name w:val="Bordered - Accent 1"/>
    <w:basedOn w:val="709"/>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basedOn w:val="709"/>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2" w:customStyle="1">
    <w:name w:val="Bordered - Accent 3"/>
    <w:basedOn w:val="7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3" w:customStyle="1">
    <w:name w:val="Bordered - Accent 4"/>
    <w:basedOn w:val="7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basedOn w:val="709"/>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basedOn w:val="7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脚注文本 字符"/>
    <w:link w:val="739"/>
    <w:uiPriority w:val="99"/>
    <w:qFormat/>
    <w:rPr>
      <w:sz w:val="18"/>
    </w:rPr>
  </w:style>
  <w:style w:type="character" w:styleId="907" w:customStyle="1">
    <w:name w:val="尾注文本 字符"/>
    <w:link w:val="731"/>
    <w:uiPriority w:val="99"/>
    <w:qFormat/>
    <w:rPr>
      <w:sz w:val="20"/>
    </w:rPr>
  </w:style>
  <w:style w:type="paragraph" w:styleId="908" w:customStyle="1">
    <w:name w:val="TOC 标题1"/>
    <w:uiPriority w:val="39"/>
    <w:unhideWhenUsed/>
    <w:qFormat/>
  </w:style>
  <w:style w:type="paragraph" w:styleId="909" w:customStyle="1">
    <w:name w:val="TOC 71"/>
    <w:next w:val="698"/>
    <w:qFormat/>
    <w:pPr>
      <w:ind w:left="2550"/>
      <w:jc w:val="both"/>
    </w:pPr>
    <w:rPr>
      <w:sz w:val="21"/>
      <w:szCs w:val="22"/>
    </w:rPr>
  </w:style>
  <w:style w:type="character" w:styleId="910" w:customStyle="1">
    <w:name w:val="正文缩进 字符"/>
    <w:link w:val="712"/>
    <w:qFormat/>
    <w:rPr>
      <w:sz w:val="21"/>
      <w:szCs w:val="21"/>
    </w:rPr>
  </w:style>
  <w:style w:type="character" w:styleId="911" w:customStyle="1">
    <w:name w:val="标题 3 字符"/>
    <w:link w:val="701"/>
    <w:qFormat/>
    <w:rPr>
      <w:rFonts w:eastAsia="宋体"/>
      <w:b/>
      <w:bCs/>
      <w:sz w:val="32"/>
      <w:szCs w:val="32"/>
      <w:lang w:val="en-US" w:eastAsia="zh-CN" w:bidi="ar-SA"/>
    </w:rPr>
  </w:style>
  <w:style w:type="character" w:styleId="912" w:customStyle="1">
    <w:name w:val="文档结构图 字符"/>
    <w:link w:val="716"/>
    <w:qFormat/>
    <w:rPr>
      <w:rFonts w:eastAsia="宋体"/>
      <w:sz w:val="21"/>
      <w:szCs w:val="21"/>
      <w:lang w:val="en-US" w:eastAsia="zh-CN" w:bidi="ar-SA"/>
    </w:rPr>
  </w:style>
  <w:style w:type="character" w:styleId="913" w:customStyle="1">
    <w:name w:val="纯文本 字符"/>
    <w:link w:val="727"/>
    <w:uiPriority w:val="99"/>
    <w:qFormat/>
    <w:rPr>
      <w:rFonts w:ascii="宋体" w:hAnsi="Courier New" w:cs="Courier New"/>
      <w:sz w:val="21"/>
      <w:szCs w:val="21"/>
    </w:rPr>
  </w:style>
  <w:style w:type="paragraph" w:styleId="914" w:customStyle="1">
    <w:name w:val="首行缩进"/>
    <w:basedOn w:val="698"/>
    <w:qFormat/>
    <w:pPr>
      <w:ind w:firstLine="480"/>
    </w:pPr>
    <w:rPr>
      <w:szCs w:val="20"/>
      <w:lang w:val="zh-CN"/>
    </w:rPr>
  </w:style>
  <w:style w:type="paragraph" w:styleId="915">
    <w:name w:val="List Paragraph"/>
    <w:basedOn w:val="698"/>
    <w:uiPriority w:val="34"/>
    <w:qFormat/>
    <w:pPr>
      <w:contextualSpacing/>
      <w:ind w:left="720"/>
      <w:jc w:val="left"/>
      <w:widowControl/>
    </w:pPr>
    <w:rPr>
      <w:rFonts w:ascii="Calibri" w:hAnsi="Calibri"/>
      <w:sz w:val="24"/>
      <w:szCs w:val="24"/>
      <w:lang w:eastAsia="en-US" w:bidi="en-US"/>
    </w:rPr>
  </w:style>
  <w:style w:type="character" w:styleId="916" w:customStyle="1">
    <w:name w:val="font41"/>
    <w:qFormat/>
    <w:rPr>
      <w:rFonts w:hint="eastAsia" w:ascii="宋体" w:hAnsi="宋体" w:eastAsia="宋体" w:cs="宋体"/>
      <w:b/>
      <w:bCs/>
      <w:color w:val="000000"/>
      <w:sz w:val="22"/>
      <w:szCs w:val="22"/>
      <w:u w:val="none"/>
    </w:rPr>
  </w:style>
  <w:style w:type="character" w:styleId="917" w:customStyle="1">
    <w:name w:val="列出段落 Char"/>
    <w:link w:val="918"/>
    <w:qFormat/>
    <w:rPr>
      <w:rFonts w:ascii="Calibri" w:hAnsi="Calibri"/>
      <w:sz w:val="24"/>
      <w:szCs w:val="24"/>
      <w:lang w:eastAsia="en-US" w:bidi="en-US"/>
    </w:rPr>
  </w:style>
  <w:style w:type="paragraph" w:styleId="918" w:customStyle="1">
    <w:name w:val="列出段落1"/>
    <w:basedOn w:val="698"/>
    <w:link w:val="917"/>
    <w:qFormat/>
    <w:pPr>
      <w:contextualSpacing/>
      <w:ind w:left="720"/>
      <w:jc w:val="left"/>
      <w:widowControl/>
    </w:pPr>
    <w:rPr>
      <w:rFonts w:ascii="Calibri" w:hAnsi="Calibri"/>
      <w:sz w:val="24"/>
      <w:szCs w:val="24"/>
      <w:lang w:eastAsia="en-US" w:bidi="en-US"/>
    </w:rPr>
  </w:style>
  <w:style w:type="character" w:styleId="919" w:customStyle="1">
    <w:name w:val="font71"/>
    <w:qFormat/>
    <w:rPr>
      <w:rFonts w:ascii="Cambria Math" w:hAnsi="Cambria Math" w:eastAsia="Cambria Math" w:cs="Cambria Math"/>
      <w:color w:val="000000"/>
      <w:sz w:val="22"/>
      <w:szCs w:val="22"/>
      <w:u w:val="none"/>
    </w:rPr>
  </w:style>
  <w:style w:type="character" w:styleId="920" w:customStyle="1">
    <w:name w:val="font91"/>
    <w:qFormat/>
    <w:rPr>
      <w:rFonts w:hint="eastAsia" w:ascii="宋体" w:hAnsi="宋体" w:eastAsia="宋体" w:cs="宋体"/>
      <w:color w:val="ff0000"/>
      <w:sz w:val="22"/>
      <w:szCs w:val="22"/>
      <w:u w:val="none"/>
    </w:rPr>
  </w:style>
  <w:style w:type="character" w:styleId="921" w:customStyle="1">
    <w:name w:val="font5 Char"/>
    <w:qFormat/>
    <w:rPr>
      <w:rFonts w:ascii="宋体" w:hAnsi="宋体" w:eastAsia="宋体"/>
      <w:sz w:val="28"/>
      <w:szCs w:val="28"/>
      <w:lang w:val="en-US" w:eastAsia="zh-CN" w:bidi="ar-SA"/>
    </w:rPr>
  </w:style>
  <w:style w:type="character" w:styleId="922" w:customStyle="1">
    <w:name w:val="二级目录 Char"/>
    <w:link w:val="923"/>
    <w:qFormat/>
    <w:rPr>
      <w:b/>
      <w:sz w:val="30"/>
      <w:szCs w:val="28"/>
    </w:rPr>
  </w:style>
  <w:style w:type="paragraph" w:styleId="923" w:customStyle="1">
    <w:name w:val="二级目录"/>
    <w:next w:val="698"/>
    <w:link w:val="922"/>
    <w:qFormat/>
    <w:pPr>
      <w:ind w:left="907" w:hanging="907"/>
      <w:tabs>
        <w:tab w:val="left" w:pos="907" w:leader="none"/>
        <w:tab w:val="left" w:pos="1145" w:leader="none"/>
      </w:tabs>
      <w:outlineLvl w:val="1"/>
    </w:pPr>
    <w:rPr>
      <w:b/>
      <w:sz w:val="30"/>
      <w:szCs w:val="28"/>
    </w:rPr>
  </w:style>
  <w:style w:type="character" w:styleId="924" w:customStyle="1">
    <w:name w:val="apple-converted-space"/>
    <w:uiPriority w:val="99"/>
    <w:qFormat/>
  </w:style>
  <w:style w:type="character" w:styleId="925" w:customStyle="1">
    <w:name w:val="Char Char Char Char Char"/>
    <w:link w:val="926"/>
    <w:qFormat/>
    <w:rPr>
      <w:rFonts w:ascii="Tahoma" w:hAnsi="Tahoma" w:eastAsia="宋体"/>
      <w:sz w:val="24"/>
      <w:szCs w:val="24"/>
      <w:lang w:val="en-US" w:eastAsia="zh-CN" w:bidi="ar-SA"/>
    </w:rPr>
  </w:style>
  <w:style w:type="paragraph" w:styleId="926" w:customStyle="1">
    <w:name w:val="Char Char Char Char"/>
    <w:basedOn w:val="716"/>
    <w:link w:val="925"/>
    <w:qFormat/>
    <w:pPr>
      <w:spacing w:line="360" w:lineRule="auto"/>
    </w:pPr>
    <w:rPr>
      <w:rFonts w:ascii="Tahoma" w:hAnsi="Tahoma"/>
      <w:sz w:val="24"/>
      <w:szCs w:val="24"/>
    </w:rPr>
  </w:style>
  <w:style w:type="character" w:styleId="927" w:customStyle="1">
    <w:name w:val="普通正文 Char"/>
    <w:link w:val="928"/>
    <w:qFormat/>
    <w:rPr>
      <w:rFonts w:ascii="Arial" w:hAnsi="Arial"/>
      <w:sz w:val="24"/>
      <w:szCs w:val="24"/>
    </w:rPr>
  </w:style>
  <w:style w:type="paragraph" w:styleId="928" w:customStyle="1">
    <w:name w:val="普通正文"/>
    <w:basedOn w:val="698"/>
    <w:link w:val="927"/>
    <w:qFormat/>
    <w:pPr>
      <w:ind w:firstLine="480"/>
      <w:jc w:val="left"/>
      <w:spacing w:before="120" w:after="120" w:line="360" w:lineRule="auto"/>
    </w:pPr>
    <w:rPr>
      <w:rFonts w:ascii="Arial" w:hAnsi="Arial"/>
      <w:sz w:val="24"/>
      <w:szCs w:val="24"/>
    </w:rPr>
  </w:style>
  <w:style w:type="character" w:styleId="929" w:customStyle="1">
    <w:name w:val="font51"/>
    <w:qFormat/>
    <w:rPr>
      <w:rFonts w:hint="eastAsia" w:ascii="宋体" w:hAnsi="宋体" w:eastAsia="宋体" w:cs="宋体"/>
      <w:color w:val="000000"/>
      <w:sz w:val="22"/>
      <w:szCs w:val="22"/>
      <w:u w:val="none"/>
    </w:rPr>
  </w:style>
  <w:style w:type="character" w:styleId="930" w:customStyle="1">
    <w:name w:val="font61"/>
    <w:qFormat/>
    <w:rPr>
      <w:rFonts w:ascii="Wingdings" w:hAnsi="Wingdings" w:cs="Wingdings"/>
      <w:color w:val="000000"/>
      <w:sz w:val="22"/>
      <w:szCs w:val="22"/>
      <w:u w:val="none"/>
    </w:rPr>
  </w:style>
  <w:style w:type="paragraph" w:styleId="931" w:customStyle="1">
    <w:name w:val="Body Text(ch)"/>
    <w:basedOn w:val="698"/>
    <w:next w:val="720"/>
    <w:qFormat/>
    <w:pPr>
      <w:spacing w:after="120"/>
    </w:pPr>
    <w:rPr>
      <w:rFonts w:ascii="宋体" w:hAnsi="Arial"/>
      <w:bCs/>
      <w:iCs/>
      <w:szCs w:val="24"/>
    </w:rPr>
  </w:style>
  <w:style w:type="paragraph" w:styleId="932" w:customStyle="1">
    <w:name w:val="普通 (Web)"/>
    <w:basedOn w:val="698"/>
    <w:qFormat/>
    <w:pPr>
      <w:jc w:val="left"/>
      <w:spacing w:before="100" w:beforeAutospacing="1" w:after="100" w:afterAutospacing="1"/>
      <w:widowControl/>
    </w:pPr>
    <w:rPr>
      <w:rFonts w:ascii="宋体" w:hAnsi="宋体"/>
      <w:sz w:val="24"/>
      <w:szCs w:val="24"/>
    </w:rPr>
  </w:style>
  <w:style w:type="paragraph" w:styleId="933" w:customStyle="1">
    <w:name w:val="xl24"/>
    <w:basedOn w:val="69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4" w:customStyle="1">
    <w:name w:val="xl28"/>
    <w:basedOn w:val="69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35" w:customStyle="1">
    <w:name w:val="标题1"/>
    <w:basedOn w:val="698"/>
    <w:next w:val="69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6" w:customStyle="1">
    <w:name w:val="table_1stline"/>
    <w:basedOn w:val="698"/>
    <w:qFormat/>
    <w:pPr>
      <w:jc w:val="left"/>
      <w:spacing w:before="120"/>
      <w:widowControl/>
    </w:pPr>
    <w:rPr>
      <w:bCs/>
      <w:sz w:val="20"/>
      <w:szCs w:val="20"/>
      <w:lang w:val="de-DE" w:eastAsia="de-DE"/>
    </w:rPr>
  </w:style>
  <w:style w:type="paragraph" w:styleId="937" w:customStyle="1">
    <w:name w:val="Achievement"/>
    <w:basedOn w:val="698"/>
    <w:qFormat/>
    <w:pPr>
      <w:numPr>
        <w:numId w:val="2"/>
      </w:numPr>
      <w:jc w:val="left"/>
      <w:spacing w:before="60" w:after="60"/>
      <w:widowControl/>
    </w:pPr>
    <w:rPr>
      <w:sz w:val="20"/>
      <w:szCs w:val="20"/>
      <w:lang w:val="it-IT"/>
    </w:rPr>
  </w:style>
  <w:style w:type="paragraph" w:styleId="938" w:customStyle="1">
    <w:name w:val="_Style 3"/>
    <w:basedOn w:val="698"/>
    <w:uiPriority w:val="34"/>
    <w:qFormat/>
    <w:pPr>
      <w:ind w:firstLine="420"/>
    </w:pPr>
    <w:rPr>
      <w:szCs w:val="24"/>
    </w:rPr>
  </w:style>
  <w:style w:type="paragraph" w:styleId="939" w:customStyle="1">
    <w:name w:val="table_lines"/>
    <w:basedOn w:val="698"/>
    <w:qFormat/>
    <w:pPr>
      <w:jc w:val="left"/>
      <w:widowControl/>
    </w:pPr>
    <w:rPr>
      <w:sz w:val="20"/>
      <w:szCs w:val="20"/>
      <w:lang w:val="de-DE" w:eastAsia="de-DE"/>
    </w:rPr>
  </w:style>
  <w:style w:type="paragraph" w:styleId="940" w:customStyle="1">
    <w:name w:val="附录1"/>
    <w:qFormat/>
    <w:pPr>
      <w:numPr>
        <w:numId w:val="3"/>
      </w:numPr>
      <w:spacing w:before="240" w:line="600" w:lineRule="atLeast"/>
    </w:pPr>
    <w:rPr>
      <w:b/>
      <w:i/>
      <w:sz w:val="28"/>
    </w:rPr>
  </w:style>
  <w:style w:type="paragraph" w:styleId="941" w:customStyle="1">
    <w:name w:val="Char"/>
    <w:basedOn w:val="698"/>
    <w:qFormat/>
    <w:pPr>
      <w:ind w:firstLine="200"/>
      <w:tabs>
        <w:tab w:val="left" w:pos="360" w:leader="none"/>
      </w:tabs>
    </w:pPr>
    <w:rPr>
      <w:sz w:val="28"/>
      <w:szCs w:val="30"/>
    </w:rPr>
  </w:style>
  <w:style w:type="paragraph" w:styleId="942" w:customStyle="1">
    <w:name w:val="样式1"/>
    <w:basedOn w:val="698"/>
    <w:qFormat/>
    <w:pPr>
      <w:numPr>
        <w:numId w:val="4"/>
      </w:numPr>
    </w:pPr>
    <w:rPr>
      <w:rFonts w:ascii="宋体" w:hAnsi="宋体"/>
    </w:rPr>
  </w:style>
  <w:style w:type="paragraph" w:styleId="943" w:customStyle="1">
    <w:name w:val="font6"/>
    <w:basedOn w:val="698"/>
    <w:qFormat/>
    <w:pPr>
      <w:jc w:val="left"/>
      <w:spacing w:before="100" w:beforeAutospacing="1" w:after="100" w:afterAutospacing="1"/>
      <w:widowControl/>
    </w:pPr>
    <w:rPr>
      <w:rFonts w:hint="eastAsia" w:ascii="宋体" w:hAnsi="宋体"/>
      <w:sz w:val="28"/>
      <w:szCs w:val="28"/>
      <w:u w:val="single"/>
    </w:rPr>
  </w:style>
  <w:style w:type="paragraph" w:styleId="944" w:customStyle="1">
    <w:name w:val="标题3"/>
    <w:basedOn w:val="698"/>
    <w:next w:val="698"/>
    <w:qFormat/>
    <w:pPr>
      <w:ind w:firstLine="624"/>
      <w:spacing w:line="590" w:lineRule="atLeast"/>
    </w:pPr>
    <w:rPr>
      <w:rFonts w:ascii="方正黑体_GBK" w:eastAsia="方正黑体_GBK"/>
      <w:sz w:val="32"/>
      <w:szCs w:val="32"/>
    </w:rPr>
  </w:style>
  <w:style w:type="paragraph" w:styleId="945" w:customStyle="1">
    <w:name w:val="xl25"/>
    <w:basedOn w:val="69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xl30"/>
    <w:basedOn w:val="698"/>
    <w:qFormat/>
    <w:pPr>
      <w:jc w:val="center"/>
      <w:spacing w:before="100" w:beforeAutospacing="1" w:after="100" w:afterAutospacing="1"/>
      <w:widowControl/>
    </w:pPr>
    <w:rPr>
      <w:rFonts w:ascii="宋体" w:hAnsi="宋体"/>
      <w:b/>
      <w:bCs/>
      <w:sz w:val="36"/>
      <w:szCs w:val="36"/>
    </w:rPr>
  </w:style>
  <w:style w:type="paragraph" w:styleId="947" w:customStyle="1">
    <w:name w:val="xl26"/>
    <w:basedOn w:val="69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8" w:customStyle="1">
    <w:name w:val="Table Paragraph"/>
    <w:basedOn w:val="698"/>
    <w:uiPriority w:val="1"/>
    <w:qFormat/>
    <w:pPr>
      <w:spacing w:line="276" w:lineRule="auto"/>
    </w:pPr>
    <w:rPr>
      <w:rFonts w:ascii="Calibri" w:hAnsi="Calibri" w:cs="Calibri"/>
      <w:szCs w:val="22"/>
    </w:rPr>
  </w:style>
  <w:style w:type="paragraph" w:styleId="949" w:customStyle="1">
    <w:name w:val="Char Char Char Char1"/>
    <w:basedOn w:val="716"/>
    <w:qFormat/>
    <w:pPr>
      <w:spacing w:line="360" w:lineRule="auto"/>
    </w:pPr>
    <w:rPr>
      <w:rFonts w:ascii="Tahoma" w:hAnsi="Tahoma"/>
      <w:sz w:val="24"/>
      <w:szCs w:val="24"/>
    </w:rPr>
  </w:style>
  <w:style w:type="paragraph" w:styleId="950" w:customStyle="1">
    <w:name w:val="_Style 5"/>
    <w:basedOn w:val="698"/>
    <w:next w:val="915"/>
    <w:uiPriority w:val="99"/>
    <w:qFormat/>
    <w:pPr>
      <w:ind w:firstLine="420"/>
    </w:pPr>
    <w:rPr>
      <w:szCs w:val="22"/>
    </w:rPr>
  </w:style>
  <w:style w:type="paragraph" w:styleId="951" w:customStyle="1">
    <w:name w:val="font5"/>
    <w:basedOn w:val="698"/>
    <w:qFormat/>
    <w:pPr>
      <w:jc w:val="left"/>
      <w:spacing w:before="100" w:beforeAutospacing="1" w:after="100" w:afterAutospacing="1"/>
      <w:widowControl/>
    </w:pPr>
    <w:rPr>
      <w:rFonts w:hint="eastAsia" w:ascii="宋体" w:hAnsi="宋体"/>
      <w:sz w:val="28"/>
      <w:szCs w:val="28"/>
    </w:rPr>
  </w:style>
  <w:style w:type="paragraph" w:styleId="952" w:customStyle="1">
    <w:name w:val="Other|1"/>
    <w:basedOn w:val="698"/>
    <w:qFormat/>
    <w:pPr>
      <w:spacing w:after="140" w:line="324" w:lineRule="auto"/>
    </w:pPr>
    <w:rPr>
      <w:rFonts w:ascii="宋体" w:hAnsi="宋体" w:cs="宋体"/>
      <w:sz w:val="20"/>
      <w:szCs w:val="20"/>
      <w:lang w:val="zh-TW" w:eastAsia="zh-TW" w:bidi="zh-TW"/>
    </w:rPr>
  </w:style>
  <w:style w:type="paragraph" w:styleId="953" w:customStyle="1">
    <w:name w:val="Char Char Char Char Char Char Char Char Char Char"/>
    <w:basedOn w:val="698"/>
    <w:qFormat/>
    <w:pPr>
      <w:spacing w:line="360" w:lineRule="auto"/>
    </w:pPr>
    <w:rPr>
      <w:sz w:val="24"/>
      <w:szCs w:val="20"/>
    </w:rPr>
  </w:style>
  <w:style w:type="paragraph" w:styleId="954" w:customStyle="1">
    <w:name w:val="xl29"/>
    <w:basedOn w:val="698"/>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5" w:customStyle="1">
    <w:name w:val="Char Char Char Char Char Char Char Char"/>
    <w:basedOn w:val="698"/>
    <w:qFormat/>
    <w:pPr>
      <w:jc w:val="left"/>
      <w:spacing w:after="160" w:line="240" w:lineRule="exact"/>
      <w:widowControl/>
    </w:pPr>
    <w:rPr>
      <w:rFonts w:ascii="Verdana" w:hAnsi="Verdana"/>
      <w:sz w:val="20"/>
      <w:szCs w:val="20"/>
      <w:lang w:eastAsia="en-US"/>
    </w:rPr>
  </w:style>
  <w:style w:type="paragraph" w:styleId="956" w:customStyle="1">
    <w:name w:val="xl27"/>
    <w:basedOn w:val="69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7" w:customStyle="1">
    <w:name w:val="font7"/>
    <w:basedOn w:val="698"/>
    <w:qFormat/>
    <w:pPr>
      <w:jc w:val="left"/>
      <w:spacing w:before="100" w:beforeAutospacing="1" w:after="100" w:afterAutospacing="1"/>
      <w:widowControl/>
    </w:pPr>
    <w:rPr>
      <w:rFonts w:hint="eastAsia" w:ascii="宋体" w:hAnsi="宋体"/>
      <w:sz w:val="18"/>
      <w:szCs w:val="18"/>
    </w:rPr>
  </w:style>
  <w:style w:type="paragraph" w:styleId="958" w:customStyle="1">
    <w:name w:val="图标"/>
    <w:basedOn w:val="698"/>
    <w:next w:val="69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9" w:customStyle="1">
    <w:name w:val="Char1"/>
    <w:basedOn w:val="716"/>
    <w:qFormat/>
    <w:rPr>
      <w:rFonts w:ascii="Tahoma" w:hAnsi="Tahoma"/>
      <w:sz w:val="24"/>
      <w:szCs w:val="24"/>
    </w:rPr>
  </w:style>
  <w:style w:type="paragraph" w:styleId="960" w:customStyle="1">
    <w:name w:val="4"/>
    <w:basedOn w:val="698"/>
    <w:next w:val="741"/>
    <w:uiPriority w:val="99"/>
    <w:qFormat/>
    <w:pPr>
      <w:ind w:firstLine="420"/>
      <w:spacing w:line="360" w:lineRule="auto"/>
    </w:pPr>
    <w:rPr>
      <w:color w:val="ff0000"/>
      <w:sz w:val="24"/>
      <w:szCs w:val="24"/>
    </w:rPr>
  </w:style>
  <w:style w:type="paragraph" w:styleId="961" w:customStyle="1">
    <w:name w:val="Char Char Char Char Char Char Char Char1"/>
    <w:basedOn w:val="698"/>
    <w:qFormat/>
    <w:pPr>
      <w:jc w:val="left"/>
      <w:spacing w:after="160" w:line="240" w:lineRule="exact"/>
      <w:widowControl/>
    </w:pPr>
    <w:rPr>
      <w:rFonts w:ascii="Verdana" w:hAnsi="Verdana"/>
      <w:sz w:val="20"/>
      <w:szCs w:val="20"/>
      <w:lang w:eastAsia="en-US"/>
    </w:rPr>
  </w:style>
  <w:style w:type="character" w:styleId="962" w:customStyle="1">
    <w:name w:val="font31"/>
    <w:qFormat/>
    <w:rPr>
      <w:rFonts w:hint="eastAsia" w:ascii="黑体" w:hAnsi="宋体" w:eastAsia="黑体" w:cs="黑体"/>
      <w:color w:val="000000"/>
      <w:sz w:val="13"/>
      <w:szCs w:val="13"/>
      <w:u w:val="none"/>
    </w:rPr>
  </w:style>
  <w:style w:type="character" w:styleId="963" w:customStyle="1">
    <w:name w:val="NormalCharacter"/>
    <w:qFormat/>
    <w:rPr>
      <w:rFonts w:ascii="Times New Roman" w:hAnsi="Times New Roman" w:eastAsia="宋体"/>
    </w:rPr>
  </w:style>
  <w:style w:type="paragraph" w:styleId="964" w:customStyle="1">
    <w:name w:val="标题 41"/>
    <w:basedOn w:val="698"/>
    <w:next w:val="965"/>
    <w:uiPriority w:val="9"/>
    <w:qFormat/>
    <w:pPr>
      <w:keepLines/>
      <w:keepNext/>
      <w:spacing w:before="280" w:after="290" w:line="374" w:lineRule="auto"/>
      <w:outlineLvl w:val="3"/>
    </w:pPr>
    <w:rPr>
      <w:rFonts w:ascii="Arial" w:hAnsi="Arial" w:eastAsia="黑体" w:cs="Arial"/>
      <w:b/>
      <w:bCs/>
      <w:sz w:val="28"/>
      <w:szCs w:val="28"/>
    </w:rPr>
  </w:style>
  <w:style w:type="paragraph" w:styleId="965" w:customStyle="1">
    <w:name w:val="正文缩进1"/>
    <w:basedOn w:val="698"/>
    <w:qFormat/>
    <w:pPr>
      <w:ind w:firstLine="420"/>
    </w:pPr>
  </w:style>
  <w:style w:type="paragraph" w:styleId="966" w:customStyle="1">
    <w:name w:val="标题 21"/>
    <w:basedOn w:val="698"/>
    <w:next w:val="965"/>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标题 31"/>
    <w:basedOn w:val="698"/>
    <w:next w:val="965"/>
    <w:qFormat/>
    <w:pPr>
      <w:keepLines/>
      <w:keepNext/>
      <w:spacing w:before="260" w:after="260" w:line="416" w:lineRule="auto"/>
      <w:outlineLvl w:val="2"/>
    </w:pPr>
    <w:rPr>
      <w:b/>
      <w:bCs/>
      <w:sz w:val="32"/>
      <w:szCs w:val="32"/>
    </w:rPr>
  </w:style>
  <w:style w:type="paragraph" w:styleId="968" w:customStyle="1">
    <w:name w:val="无间隔1"/>
    <w:uiPriority w:val="99"/>
    <w:qFormat/>
    <w:pPr>
      <w:jc w:val="both"/>
      <w:widowControl w:val="off"/>
    </w:pPr>
    <w:rPr>
      <w:sz w:val="21"/>
      <w:szCs w:val="21"/>
    </w:rPr>
  </w:style>
  <w:style w:type="table" w:styleId="969" w:customStyle="1">
    <w:name w:val="网格型1"/>
    <w:basedOn w:val="70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0" w:customStyle="1">
    <w:name w:val="批注文字 字符"/>
    <w:basedOn w:val="708"/>
    <w:link w:val="718"/>
    <w:uiPriority w:val="99"/>
    <w:semiHidden/>
    <w:qFormat/>
    <w:rPr>
      <w:sz w:val="21"/>
      <w:szCs w:val="21"/>
    </w:rPr>
  </w:style>
  <w:style w:type="paragraph" w:styleId="971" w:customStyle="1">
    <w:name w:val="正文1"/>
    <w:basedOn w:val="965"/>
    <w:qFormat/>
    <w:pPr>
      <w:ind w:firstLine="0"/>
      <w:spacing w:line="500" w:lineRule="exact"/>
    </w:pPr>
    <w:rPr>
      <w:rFonts w:hAnsi="新宋体"/>
      <w:sz w:val="24"/>
    </w:rPr>
  </w:style>
  <w:style w:type="paragraph" w:styleId="972" w:customStyle="1">
    <w:name w:val="_Style 2"/>
    <w:basedOn w:val="698"/>
    <w:next w:val="698"/>
    <w:qFormat/>
    <w:pPr>
      <w:ind w:firstLine="420"/>
      <w:spacing w:line="360" w:lineRule="auto"/>
    </w:pPr>
    <w:rPr>
      <w:sz w:val="24"/>
      <w:szCs w:val="24"/>
    </w:rPr>
  </w:style>
  <w:style w:type="paragraph" w:styleId="973" w:customStyle="1">
    <w:name w:val="正文2"/>
    <w:qFormat/>
    <w:rPr>
      <w:rFonts w:eastAsia="Times New Roman"/>
      <w:sz w:val="24"/>
      <w:szCs w:val="24"/>
    </w:rPr>
  </w:style>
  <w:style w:type="paragraph" w:styleId="974" w:customStyle="1">
    <w:name w:val="列出段落"/>
    <w:basedOn w:val="698"/>
    <w:qFormat/>
    <w:pPr>
      <w:ind w:firstLine="420"/>
      <w:spacing w:line="360" w:lineRule="auto"/>
    </w:pPr>
    <w:rPr>
      <w:rFonts w:ascii="Calibri" w:hAnsi="Calibri"/>
      <w:sz w:val="24"/>
      <w:szCs w:val="22"/>
    </w:rPr>
  </w:style>
  <w:style w:type="paragraph" w:styleId="975" w:customStyle="1">
    <w:name w:val="页眉1"/>
    <w:basedOn w:val="698"/>
    <w:qFormat/>
    <w:pPr>
      <w:ind w:firstLine="880"/>
      <w:jc w:val="center"/>
      <w:spacing w:line="360" w:lineRule="auto"/>
      <w:tabs>
        <w:tab w:val="center" w:pos="4153" w:leader="none"/>
        <w:tab w:val="right" w:pos="8306" w:leader="none"/>
      </w:tabs>
    </w:pPr>
    <w:rPr>
      <w:rFonts w:eastAsia="仿宋_GB2312"/>
      <w:sz w:val="18"/>
      <w:szCs w:val="20"/>
    </w:rPr>
  </w:style>
  <w:style w:type="paragraph" w:styleId="976" w:customStyle="1">
    <w:name w:val="页脚1"/>
    <w:basedOn w:val="698"/>
    <w:qFormat/>
    <w:pPr>
      <w:ind w:firstLine="420"/>
      <w:jc w:val="center"/>
      <w:spacing w:line="360" w:lineRule="auto"/>
    </w:pPr>
    <w:rPr>
      <w:rFonts w:ascii="宋体" w:hAnsi="宋体" w:eastAsia="黑体"/>
    </w:rPr>
  </w:style>
  <w:style w:type="character" w:styleId="977" w:customStyle="1">
    <w:name w:val="页码11"/>
    <w:qFormat/>
    <w:rPr>
      <w:rFonts w:ascii="Times New Roman" w:hAnsi="Times New Roman" w:eastAsia="宋体" w:cs="Times New Roman"/>
      <w:sz w:val="24"/>
      <w:szCs w:val="24"/>
      <w:lang w:val="en-US" w:eastAsia="zh-CN" w:bidi="ar-SA"/>
    </w:rPr>
  </w:style>
  <w:style w:type="paragraph" w:styleId="978" w:customStyle="1">
    <w:name w:val="表格"/>
    <w:basedOn w:val="752"/>
    <w:next w:val="698"/>
    <w:qFormat/>
    <w:pPr>
      <w:ind w:firstLine="200"/>
      <w:spacing w:line="400" w:lineRule="exact"/>
    </w:pPr>
    <w:rPr>
      <w:rFonts w:ascii="Times New Roman" w:hAnsi="Times New Roman" w:eastAsia="仿宋_GB2312"/>
      <w:sz w:val="24"/>
      <w:szCs w:val="24"/>
    </w:rPr>
  </w:style>
  <w:style w:type="character" w:styleId="979" w:customStyle="1">
    <w:name w:val="页眉 字符"/>
    <w:basedOn w:val="708"/>
    <w:link w:val="734"/>
    <w:qFormat/>
    <w:rPr>
      <w:sz w:val="18"/>
      <w:szCs w:val="18"/>
    </w:rPr>
  </w:style>
  <w:style w:type="character" w:styleId="980" w:customStyle="1">
    <w:name w:val="页脚 字符"/>
    <w:basedOn w:val="708"/>
    <w:link w:val="733"/>
    <w:uiPriority w:val="99"/>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509"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015"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66"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848"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858"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68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F62D79C-4700-4C75-8936-733804CE4C5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单钰锋</cp:lastModifiedBy>
  <cp:revision>333</cp:revision>
  <dcterms:created xsi:type="dcterms:W3CDTF">2023-04-17T08:19:00Z</dcterms:created>
  <dcterms:modified xsi:type="dcterms:W3CDTF">2026-08-31T12:30:20Z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A72AE1EEA3D44397A658A29B6E99C88F_13</vt:lpwstr>
  </property>
  <property fmtid="{D5CDD505-2E9C-101B-9397-08002B2CF9AE}" pid="4" name="KSOTemplateDocerSaveRecord">
    <vt:lpwstr>eyJoZGlkIjoiYTc2N2NhZDE5NTdhOTJlM2MzZWRkOTk2YTM5ZjE2ZGEifQ==</vt:lpwstr>
  </property>
</Properties>
</file>