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Theme="minorEastAsia" w:hAnsiTheme="minorEastAsia" w:eastAsiaTheme="minorEastAsia" w:cstheme="minorEastAsia"/>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ind w:left="660"/>
        <w:rPr>
          <w:rFonts w:hint="eastAsia" w:asciiTheme="minorEastAsia" w:hAnsiTheme="minorEastAsia" w:eastAsiaTheme="minorEastAsia" w:cstheme="minorEastAsia"/>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pStyle w:val="1378"/>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pStyle w:val="1384"/>
        <w:jc w:val="center"/>
        <w:rPr>
          <w:rFonts w:hint="eastAsia" w:asciiTheme="minorEastAsia" w:hAnsiTheme="minorEastAsia" w:eastAsiaTheme="minorEastAsia" w:cstheme="minorEastAsia"/>
          <w:b/>
          <w:color w:val="000000" w:themeColor="text1"/>
          <w:sz w:val="96"/>
          <w:szCs w:val="96"/>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96"/>
          <w:szCs w:val="96"/>
          <w:highlight w:val="none"/>
          <w:shd w:val="clear" w:color="auto" w:fill="auto"/>
          <w:lang w:val="en-US" w:eastAsia="zh-CN" w:bidi="ar-SA"/>
          <w14:textFill>
            <w14:solidFill>
              <w14:schemeClr w14:val="tx1"/>
            </w14:solidFill>
          </w14:textFill>
        </w:rPr>
        <w:t xml:space="preserve">锡山区政府采购</w:t>
      </w:r>
      <w:r/>
    </w:p>
    <w:p>
      <w:pPr>
        <w:pStyle w:val="1380"/>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sz w:val="28"/>
          <w:szCs w:val="28"/>
          <w:highlight w:val="none"/>
          <w14:textFill>
            <w14:solidFill>
              <w14:schemeClr w14:val="tx1"/>
            </w14:solidFill>
          </w14:textFill>
        </w:rPr>
      </w:pPr>
      <w:r>
        <w:rPr>
          <w:rFonts w:hint="eastAsia" w:asciiTheme="minorEastAsia" w:hAnsiTheme="minorEastAsia" w:eastAsiaTheme="minorEastAsia" w:cstheme="minorEastAsia"/>
          <w:sz w:val="28"/>
          <w:szCs w:val="28"/>
          <w:highlight w:val="none"/>
          <w:shd w:val="clear" w:color="auto" w:fill="auto"/>
          <w14:textFill>
            <w14:solidFill>
              <w14:schemeClr w14:val="tx1"/>
            </w14:solidFill>
          </w14:textFill>
        </w:rPr>
      </w:r>
      <w:r>
        <w:rPr>
          <w:rFonts w:hint="eastAsia" w:asciiTheme="minorEastAsia" w:hAnsiTheme="minorEastAsia" w:eastAsiaTheme="minorEastAsia" w:cstheme="minorEastAsia"/>
          <w:sz w:val="28"/>
          <w:szCs w:val="28"/>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r>
      <w:r/>
    </w:p>
    <w:p>
      <w:pPr>
        <w:pStyle w:val="1379"/>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pStyle w:val="1379"/>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pStyle w:val="1384"/>
        <w:jc w:val="center"/>
        <w:rPr>
          <w:rFonts w:hint="eastAsia" w:asciiTheme="minorEastAsia" w:hAnsiTheme="minorEastAsia" w:eastAsiaTheme="minorEastAsia" w:cstheme="minorEastAsia"/>
          <w:b/>
          <w:color w:val="000000" w:themeColor="text1"/>
          <w:sz w:val="72"/>
          <w:szCs w:val="7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Theme="minorEastAsia" w:hAnsiTheme="minorEastAsia" w:eastAsiaTheme="minorEastAsia" w:cstheme="minorEastAsia"/>
          <w:b/>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pStyle w:val="1373"/>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pStyle w:val="1373"/>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ind w:firstLine="280"/>
        <w:jc w:val="left"/>
        <w:spacing w:line="360" w:lineRule="auto"/>
        <w:shd w:val="clear" w:color="auto" w:fill="ffffff"/>
        <w:widowControl/>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t xml:space="preserve">项目名称：锦旺新村和老旧小区2026—2027年度物业管理服务项目</w:t>
      </w:r>
      <w:r/>
    </w:p>
    <w:p>
      <w:pPr>
        <w:ind w:firstLine="280"/>
        <w:jc w:val="left"/>
        <w:spacing w:line="360" w:lineRule="auto"/>
        <w:shd w:val="clear" w:color="auto" w:fill="ffffff"/>
        <w:widowControl/>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t xml:space="preserve">项目编号：JSZC-320205-JZCG-G2026-0041</w:t>
      </w:r>
      <w:r/>
    </w:p>
    <w:p>
      <w:pPr>
        <w:ind w:firstLine="280"/>
        <w:jc w:val="left"/>
        <w:spacing w:line="360" w:lineRule="auto"/>
        <w:shd w:val="clear" w:color="auto" w:fill="ffffff"/>
        <w:widowControl/>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t xml:space="preserve">采购单位：无锡市锡山区人民政府东北塘街道办事处</w:t>
      </w:r>
      <w:r/>
    </w:p>
    <w:p>
      <w:pPr>
        <w:ind w:firstLine="280"/>
        <w:jc w:val="left"/>
        <w:spacing w:line="360" w:lineRule="auto"/>
        <w:shd w:val="clear" w:color="auto" w:fill="ffffff"/>
        <w:widowControl/>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379"/>
        <w:ind w:left="0" w:firstLine="0"/>
        <w:rPr>
          <w:rFonts w:hint="eastAsia" w:asciiTheme="minorEastAsia" w:hAnsiTheme="minorEastAsia" w:eastAsiaTheme="minorEastAsia" w:cstheme="minorEastAsia"/>
          <w:b/>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shd w:val="clear" w:color="auto" w:fill="auto"/>
          <w14:textFill>
            <w14:solidFill>
              <w14:schemeClr w14:val="tx1"/>
            </w14:solidFill>
          </w14:textFill>
        </w:rPr>
      </w:r>
      <w:r/>
    </w:p>
    <w:p>
      <w:pPr>
        <w:pStyle w:val="1379"/>
        <w:ind w:left="0" w:firstLine="0"/>
        <w:rPr>
          <w:rFonts w:hint="eastAsia" w:asciiTheme="minorEastAsia" w:hAnsiTheme="minorEastAsia" w:eastAsiaTheme="minorEastAsia" w:cstheme="minorEastAsia"/>
          <w:b/>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
          <w:color w:val="000000" w:themeColor="text1"/>
          <w:sz w:val="44"/>
          <w:szCs w:val="4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44"/>
          <w:szCs w:val="44"/>
          <w:highlight w:val="none"/>
          <w:shd w:val="clear" w:color="auto" w:fill="auto"/>
          <w14:textFill>
            <w14:solidFill>
              <w14:schemeClr w14:val="tx1"/>
            </w14:solidFill>
          </w14:textFill>
        </w:rPr>
        <w:t xml:space="preserve">二○二</w:t>
      </w:r>
      <w:r>
        <w:rPr>
          <w:rFonts w:hint="eastAsia" w:asciiTheme="minorEastAsia" w:hAnsiTheme="minorEastAsia" w:eastAsiaTheme="minorEastAsia" w:cstheme="minorEastAsia"/>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Theme="minorEastAsia" w:hAnsiTheme="minorEastAsia" w:eastAsiaTheme="minorEastAsia" w:cstheme="minorEastAsia"/>
          <w:b/>
          <w:color w:val="000000" w:themeColor="text1"/>
          <w:sz w:val="44"/>
          <w:szCs w:val="44"/>
          <w:highlight w:val="none"/>
          <w:shd w:val="clear" w:color="auto" w:fill="auto"/>
          <w14:textFill>
            <w14:solidFill>
              <w14:schemeClr w14:val="tx1"/>
            </w14:solidFill>
          </w14:textFill>
        </w:rPr>
        <w:t xml:space="preserve">年</w:t>
      </w:r>
      <w:r>
        <w:rPr>
          <w:rFonts w:hint="eastAsia" w:asciiTheme="minorEastAsia" w:hAnsiTheme="minorEastAsia" w:eastAsiaTheme="minorEastAsia" w:cstheme="minorEastAsia"/>
          <w:b/>
          <w:color w:val="000000" w:themeColor="text1"/>
          <w:sz w:val="44"/>
          <w:szCs w:val="44"/>
          <w:highlight w:val="none"/>
          <w:shd w:val="clear" w:color="auto" w:fill="auto"/>
          <w:lang w:val="en-US" w:eastAsia="zh-CN"/>
          <w14:textFill>
            <w14:solidFill>
              <w14:schemeClr w14:val="tx1"/>
            </w14:solidFill>
          </w14:textFill>
        </w:rPr>
        <w:t xml:space="preserve">八</w:t>
      </w:r>
      <w:r>
        <w:rPr>
          <w:rFonts w:hint="eastAsia" w:asciiTheme="minorEastAsia" w:hAnsiTheme="minorEastAsia" w:eastAsiaTheme="minorEastAsia" w:cstheme="minorEastAsia"/>
          <w:b/>
          <w:color w:val="000000" w:themeColor="text1"/>
          <w:sz w:val="44"/>
          <w:szCs w:val="44"/>
          <w:highlight w:val="none"/>
          <w:shd w:val="clear" w:color="auto" w:fill="auto"/>
          <w14:textFill>
            <w14:solidFill>
              <w14:schemeClr w14:val="tx1"/>
            </w14:solidFill>
          </w14:textFill>
        </w:rPr>
        <w:t xml:space="preserve">月</w:t>
      </w:r>
      <w:r>
        <w:rPr>
          <w:rFonts w:hint="eastAsia" w:asciiTheme="minorEastAsia" w:hAnsiTheme="minorEastAsia" w:eastAsiaTheme="minorEastAsia" w:cstheme="minorEastAsia"/>
          <w:b/>
          <w:color w:val="000000" w:themeColor="text1"/>
          <w:sz w:val="44"/>
          <w:szCs w:val="44"/>
          <w:highlight w:val="none"/>
          <w:shd w:val="clear" w:color="auto" w:fill="auto"/>
          <w:lang w:val="en-US" w:eastAsia="zh-CN"/>
          <w14:textFill>
            <w14:solidFill>
              <w14:schemeClr w14:val="tx1"/>
            </w14:solidFill>
          </w14:textFill>
        </w:rPr>
        <w:t xml:space="preserve">十四</w:t>
      </w:r>
      <w:r>
        <w:rPr>
          <w:rFonts w:hint="eastAsia" w:asciiTheme="minorEastAsia" w:hAnsiTheme="minorEastAsia" w:eastAsiaTheme="minorEastAsia" w:cstheme="minorEastAsia"/>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r>
      <w:r/>
    </w:p>
    <w:p>
      <w:pPr>
        <w:pStyle w:val="1373"/>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sz w:val="32"/>
          <w:szCs w:val="3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r>
      <w:r>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52"/>
          <w:szCs w:val="52"/>
          <w:highlight w:val="none"/>
          <w:shd w:val="clear" w:color="auto" w:fill="auto"/>
          <w14:textFill>
            <w14:solidFill>
              <w14:schemeClr w14:val="tx1"/>
            </w14:solidFill>
          </w14:textFill>
        </w:rPr>
        <w:t xml:space="preserve">目    录</w:t>
      </w:r>
      <w:r/>
    </w:p>
    <w:p>
      <w:pPr>
        <w:pStyle w:val="13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r>
      <w:r/>
    </w:p>
    <w:p>
      <w:pPr>
        <w:pStyle w:val="1386"/>
        <w:jc w:val="both"/>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386"/>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r>
      <w:r/>
    </w:p>
    <w:p>
      <w:pPr>
        <w:pStyle w:val="1386"/>
        <w:jc w:val="both"/>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386"/>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r>
      <w:r/>
    </w:p>
    <w:p>
      <w:pPr>
        <w:pStyle w:val="1386"/>
        <w:jc w:val="both"/>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项目要求和有关说明........................................................................20</w:t>
      </w:r>
      <w:r/>
    </w:p>
    <w:p>
      <w:pPr>
        <w:pStyle w:val="1386"/>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r>
      <w:r/>
    </w:p>
    <w:p>
      <w:pPr>
        <w:pStyle w:val="1386"/>
        <w:jc w:val="both"/>
        <w:keepLines w:val="0"/>
        <w:keepNext w:val="0"/>
        <w:pageBreakBefore w:val="0"/>
        <w:spacing w:line="360" w:lineRule="auto"/>
        <w:widowControl w:val="off"/>
        <w:rPr>
          <w:rFonts w:hint="default"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合同书（格式）..............................................................................142</w:t>
      </w:r>
      <w:r/>
    </w:p>
    <w:p>
      <w:pPr>
        <w:pStyle w:val="1386"/>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r>
      <w:r/>
    </w:p>
    <w:p>
      <w:pPr>
        <w:pStyle w:val="1386"/>
        <w:jc w:val="both"/>
        <w:keepLines w:val="0"/>
        <w:keepNext w:val="0"/>
        <w:pageBreakBefore w:val="0"/>
        <w:spacing w:line="360" w:lineRule="auto"/>
        <w:widowControl w:val="off"/>
        <w:rPr>
          <w:rFonts w:hint="default"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合同条款........................................................................................144</w:t>
      </w:r>
      <w:r/>
    </w:p>
    <w:p>
      <w:pPr>
        <w:pStyle w:val="1386"/>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r>
      <w:r/>
    </w:p>
    <w:p>
      <w:pPr>
        <w:pStyle w:val="1386"/>
        <w:jc w:val="both"/>
        <w:keepLines w:val="0"/>
        <w:keepNext w:val="0"/>
        <w:pageBreakBefore w:val="0"/>
        <w:spacing w:line="360" w:lineRule="auto"/>
        <w:widowControl w:val="off"/>
        <w:rPr>
          <w:rFonts w:hint="default"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附件...............................................................................................151</w:t>
      </w:r>
      <w:r/>
    </w:p>
    <w:p>
      <w:pPr>
        <w:pStyle w:val="1386"/>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lang w:val="en-US" w:eastAsia="zh-CN" w:bidi="ar-SA"/>
          <w14:textFill>
            <w14:solidFill>
              <w14:schemeClr w14:val="tx1"/>
            </w14:solidFill>
          </w14:textFill>
        </w:rPr>
      </w:pPr>
      <w:r>
        <w:rPr>
          <w:rStyle w:val="1387"/>
          <w:rFonts w:hint="eastAsia" w:asciiTheme="minorEastAsia" w:hAnsiTheme="minorEastAsia" w:eastAsiaTheme="minorEastAsia" w:cstheme="minorEastAsia"/>
          <w:b/>
          <w:bCs w:val="0"/>
          <w:caps w:val="0"/>
          <w:smallCaps/>
          <w:color w:val="000000" w:themeColor="text1"/>
          <w:sz w:val="24"/>
          <w:szCs w:val="20"/>
          <w:highlight w:val="none"/>
          <w:shd w:val="clear" w:color="auto" w:fill="auto"/>
          <w:lang w:val="en-US" w:eastAsia="zh-CN" w:bidi="ar-SA"/>
          <w14:textFill>
            <w14:solidFill>
              <w14:schemeClr w14:val="tx1"/>
            </w14:solidFill>
          </w14:textFill>
        </w:rPr>
      </w:r>
      <w:r>
        <w:rPr>
          <w:rStyle w:val="1387"/>
          <w:rFonts w:hint="eastAsia" w:asciiTheme="minorEastAsia" w:hAnsiTheme="minorEastAsia" w:eastAsiaTheme="minorEastAsia" w:cstheme="minorEastAsia"/>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lang w:val="en-US" w:eastAsia="zh-CN" w:bidi="ar-SA"/>
          <w14:textFill>
            <w14:solidFill>
              <w14:schemeClr w14:val="tx1"/>
            </w14:solidFill>
          </w14:textFill>
        </w:rPr>
      </w:pP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lang w:val="en-US" w:eastAsia="zh-CN" w:bidi="ar-SA"/>
          <w14:textFill>
            <w14:solidFill>
              <w14:schemeClr w14:val="tx1"/>
            </w14:solidFill>
          </w14:textFill>
        </w:rPr>
      </w:pP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lang w:val="en-US" w:eastAsia="zh-CN" w:bidi="ar-SA"/>
          <w14:textFill>
            <w14:solidFill>
              <w14:schemeClr w14:val="tx1"/>
            </w14:solidFill>
          </w14:textFill>
        </w:rPr>
      </w:pP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lang w:val="en-US" w:eastAsia="zh-CN" w:bidi="ar-SA"/>
          <w14:textFill>
            <w14:solidFill>
              <w14:schemeClr w14:val="tx1"/>
            </w14:solidFill>
          </w14:textFill>
        </w:rPr>
      </w:pP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lang w:val="en-US" w:eastAsia="zh-CN" w:bidi="ar-SA"/>
          <w14:textFill>
            <w14:solidFill>
              <w14:schemeClr w14:val="tx1"/>
            </w14:solidFill>
          </w14:textFill>
        </w:rPr>
      </w:pP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lang w:val="en-US" w:eastAsia="zh-CN" w:bidi="ar-SA"/>
          <w14:textFill>
            <w14:solidFill>
              <w14:schemeClr w14:val="tx1"/>
            </w14:solidFill>
          </w14:textFill>
        </w:rPr>
      </w:pP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r>
      <w:r/>
    </w:p>
    <w:p>
      <w:pPr>
        <w:spacing w:line="480" w:lineRule="auto"/>
        <w:rPr>
          <w:rStyle w:val="1387"/>
          <w:rFonts w:hint="eastAsia" w:asciiTheme="minorEastAsia" w:hAnsiTheme="minorEastAsia" w:eastAsiaTheme="minorEastAsia" w:cstheme="minorEastAsia"/>
          <w:b/>
          <w:bCs/>
          <w:caps w:val="0"/>
          <w:smallCaps/>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Theme="minorEastAsia" w:hAnsiTheme="minorEastAsia" w:eastAsiaTheme="minorEastAsia" w:cstheme="minorEastAsia"/>
          <w:bCs/>
          <w:color w:val="000000" w:themeColor="text1"/>
          <w:sz w:val="36"/>
          <w:szCs w:val="36"/>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无锡市公共资源交易中心锡山分中心受无锡市锡山区人民政府东北塘街道办事处的委托，对锦旺新村和老旧小区2026—2027年度物业管理服务项目进行公开招标采购，欢迎符合相关条件的供应商参加投</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1.项目名称：锦旺新村和老旧小区2026—2027年度物业管理服务项目</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2.项目编号：JSZC-320205-JZCG-G2026-0041</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项目预算：590万</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元</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投标最高限价为589.1124万</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元</w:t>
      </w:r>
      <w:bookmarkEnd w:id="0"/>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价，否则作无效</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文件处理</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6.采购人：无锡市锡山区人民政府东北塘街道办事处</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本项目是否专门面向中小企业：</w:t>
      </w: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r/>
    </w:p>
    <w:p>
      <w:pPr>
        <w:ind w:firstLine="480"/>
        <w:jc w:val="left"/>
        <w:spacing w:line="360" w:lineRule="auto"/>
        <w:shd w:val="clear" w:color="auto" w:fill="ffffff"/>
        <w:widowControl/>
        <w:rPr>
          <w:rFonts w:hint="default"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（二）</w:t>
      </w:r>
      <w:r>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中型企业/小型企业</w:t>
      </w:r>
      <w:bookmarkEnd w:id="5"/>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3.如</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6" w:name="_Toc112006902"/>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7" w:name="_Toc112006903"/>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供应商可在</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平</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8" w:name="OLE_LINK11"/>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2026</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月</w:t>
      </w:r>
      <w:bookmarkEnd w:id="8"/>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10:00前，有关单位对于招标文件的相关事项如有疑问可通过上述方式咨询；</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JSZC-320205-JZCG-G2026-0041</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项目需澄清问题”，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自行承担。</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本项目进行线上采购活动，供应商准</w:t>
      </w:r>
      <w:bookmarkStart w:id="129" w:name="_GoBack"/>
      <w:r/>
      <w:bookmarkEnd w:id="129"/>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备好制作标书的笔记本电脑、CA锁（政务CA），在投标截止时间前半小时，登录苏</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开标时间：202</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:30。</w:t>
      </w:r>
      <w:bookmarkEnd w:id="10"/>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投标及开标地点：</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）平台</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请按</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本次采购采用“</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）平台</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12" w:name="_Toc112006909"/>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联系人：</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电  话：0510-88213</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7</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无锡市锡山区人民政府东北塘街道办事处</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联系人：李梁</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13906198699</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Theme="minorEastAsia" w:hAnsiTheme="minorEastAsia" w:eastAsiaTheme="minorEastAsia" w:cstheme="minorEastAsia"/>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sz w:val="24"/>
          <w:szCs w:val="24"/>
          <w:highlight w:val="none"/>
          <w:shd w:val="clear" w:color="auto" w:fill="auto"/>
          <w:lang w:val="en-US" w:eastAsia="zh-CN"/>
          <w14:textFill>
            <w14:solidFill>
              <w14:schemeClr w14:val="tx1"/>
            </w14:solidFill>
          </w14:textFill>
        </w:rPr>
      </w:r>
      <w:r/>
    </w:p>
    <w:p>
      <w:pPr>
        <w:pStyle w:val="1389"/>
        <w:ind w:left="0" w:firstLine="0"/>
        <w:jc w:val="center"/>
        <w:spacing w:before="160" w:after="160" w:line="320" w:lineRule="exact"/>
        <w:widowControl/>
        <w:rPr>
          <w:rFonts w:hint="eastAsia" w:asciiTheme="minorEastAsia" w:hAnsiTheme="minorEastAsia" w:eastAsiaTheme="minorEastAsia" w:cstheme="minorEastAsia"/>
          <w:b/>
          <w:bCs/>
          <w:color w:val="000000" w:themeColor="text1"/>
          <w:sz w:val="32"/>
          <w:szCs w:val="32"/>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shd w:val="clear" w:color="auto" w:fill="auto"/>
          <w14:textFill>
            <w14:solidFill>
              <w14:schemeClr w14:val="tx1"/>
            </w14:solidFill>
          </w14:textFill>
        </w:rPr>
        <w:t xml:space="preserve">二、</w:t>
      </w:r>
      <w:r>
        <w:rPr>
          <w:rFonts w:hint="eastAsia" w:asciiTheme="minorEastAsia" w:hAnsiTheme="minorEastAsia" w:eastAsiaTheme="minorEastAsia" w:cstheme="minorEastAsia"/>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一</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二</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供应商可在</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平</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，完成项目参与，将苏</w:t>
      </w:r>
      <w:r>
        <w:rPr>
          <w:rFonts w:hint="eastAsia" w:asciiTheme="minorEastAsia" w:hAnsiTheme="minorEastAsia" w:eastAsiaTheme="minorEastAsia" w:cstheme="minorEastAsia"/>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Theme="minorEastAsia" w:hAnsiTheme="minorEastAsia" w:eastAsiaTheme="minorEastAsia" w:cstheme="minorEastAsia"/>
          <w:color w:val="000000" w:themeColor="text1"/>
          <w:sz w:val="24"/>
          <w:szCs w:val="22"/>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Theme="minorEastAsia" w:hAnsiTheme="minorEastAsia" w:eastAsiaTheme="minorEastAsia" w:cstheme="minorEastAsia"/>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三</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四</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五</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1．投标函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格式见附件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t xml:space="preserve">格式见附件</w:t>
      </w:r>
      <w:r>
        <w:rPr>
          <w:rFonts w:hint="eastAsia" w:asciiTheme="minorEastAsia" w:hAnsiTheme="minorEastAsia" w:eastAsiaTheme="minorEastAsia" w:cstheme="minorEastAsia"/>
          <w:b/>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授权委托书</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格式见附件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有效期内</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身份证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授权代表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有效期内</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身份证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不含投标当月</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新成立的公司</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企业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除外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不含投标当月</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新成立的公司</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企业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除外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小</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18" w:name="_Hlk529436263"/>
      <w:r/>
      <w:bookmarkStart w:id="19" w:name="_Hlk23510977"/>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3．开标一览表</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格式见附件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bookmarkEnd w:id="18"/>
      <w:r/>
      <w:bookmarkEnd w:id="19"/>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8.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.要求</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上述</w:t>
      </w:r>
      <w:r>
        <w:rPr>
          <w:rFonts w:hint="eastAsia" w:asciiTheme="minorEastAsia" w:hAnsiTheme="minorEastAsia" w:eastAsiaTheme="minorEastAsia" w:cstheme="minorEastAsia"/>
          <w:b/>
          <w:bCs w:val="0"/>
          <w:color w:val="000000" w:themeColor="text1"/>
          <w:sz w:val="28"/>
          <w:szCs w:val="28"/>
          <w:highlight w:val="none"/>
          <w:shd w:val="clear" w:color="auto" w:fill="auto"/>
          <w14:textFill>
            <w14:solidFill>
              <w14:schemeClr w14:val="tx1"/>
            </w14:solidFill>
          </w14:textFill>
        </w:rPr>
        <w:t xml:space="preserve">1-</w:t>
      </w:r>
      <w:r>
        <w:rPr>
          <w:rFonts w:hint="eastAsia" w:asciiTheme="minorEastAsia" w:hAnsiTheme="minorEastAsia" w:eastAsiaTheme="minorEastAsia" w:cstheme="minorEastAsia"/>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项</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六</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2.投标文件由</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编写</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，须有法人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盖章</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.投标费用自理。</w:t>
      </w:r>
      <w:r/>
    </w:p>
    <w:p>
      <w:pPr>
        <w:ind w:firstLine="241"/>
        <w:spacing w:line="360" w:lineRule="auto"/>
        <w:tabs>
          <w:tab w:val="left" w:pos="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7.在评分标准中除了投标报价外，还须包含明标（</w:t>
      </w:r>
      <w:r>
        <w:rPr>
          <w:rFonts w:hint="eastAsia" w:asciiTheme="minorEastAsia" w:hAnsiTheme="minorEastAsia" w:eastAsiaTheme="minorEastAsia" w:cstheme="minorEastAsia"/>
          <w:b/>
          <w:bCs/>
          <w:sz w:val="24"/>
          <w:szCs w:val="24"/>
          <w:lang w:val="en-US" w:eastAsia="zh-CN"/>
        </w:rPr>
        <w:t xml:space="preserve">投标人评价</w:t>
      </w:r>
      <w:r>
        <w:rPr>
          <w:rFonts w:hint="eastAsia" w:asciiTheme="minorEastAsia" w:hAnsiTheme="minorEastAsia" w:eastAsiaTheme="minorEastAsia" w:cstheme="minorEastAsia"/>
          <w:b/>
          <w:bCs/>
          <w:sz w:val="24"/>
          <w:szCs w:val="24"/>
        </w:rPr>
        <w:t xml:space="preserve">）和暗标（</w:t>
      </w:r>
      <w:r>
        <w:rPr>
          <w:rFonts w:hint="eastAsia" w:asciiTheme="minorEastAsia" w:hAnsiTheme="minorEastAsia" w:eastAsiaTheme="minorEastAsia" w:cstheme="minorEastAsia"/>
          <w:b/>
          <w:bCs/>
          <w:sz w:val="24"/>
          <w:szCs w:val="24"/>
          <w:lang w:val="en-US" w:eastAsia="zh-CN"/>
        </w:rPr>
        <w:t xml:space="preserve">服务</w:t>
      </w:r>
      <w:r>
        <w:rPr>
          <w:rFonts w:hint="eastAsia" w:asciiTheme="minorEastAsia" w:hAnsiTheme="minorEastAsia" w:eastAsiaTheme="minorEastAsia" w:cstheme="minorEastAsia"/>
          <w:b/>
          <w:bCs/>
          <w:sz w:val="24"/>
          <w:szCs w:val="24"/>
        </w:rPr>
        <w:t xml:space="preserve">方案）两大部分，其暗标编制要求如下：</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（1）暗标编制应按采购文件规定的格式制作，要求版面整洁、字迹清楚、不得涂改、不得标注。</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3</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字体、段落、页码、页面布局的设置：</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字体：均采用宋体黑色小四号字体，不得出现手写。</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段落：使用1.5倍行间距、字间距标准、每段段前空两格。</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页码：页码应当连续居中，不得有空白页。不得设置页眉，页脚只准出现页码，采用黑色小5号阿拉伯数字格式，设在页脚对中位置。</w:t>
      </w:r>
      <w:r/>
    </w:p>
    <w:p>
      <w:pPr>
        <w:pStyle w:val="1368"/>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4"/>
          <w:szCs w:val="24"/>
        </w:rPr>
        <w:t xml:space="preserve">页面布局：纸张方向纵向、页面底色白色，分栏为一栏。</w:t>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pPr>
      <w:r/>
      <w:bookmarkStart w:id="21" w:name="_Toc112006917"/>
      <w:r/>
      <w:bookmarkStart w:id="22" w:name="_Toc112006918"/>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七</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登录</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供应商》。</w:t>
      </w:r>
      <w:r/>
    </w:p>
    <w:p>
      <w:pPr>
        <w:pStyle w:val="1390"/>
        <w:ind w:firstLine="482"/>
        <w:spacing w:line="360" w:lineRule="auto"/>
        <w:rPr>
          <w:rFonts w:hint="eastAsia" w:asciiTheme="minorEastAsia" w:hAnsiTheme="minorEastAsia" w:eastAsiaTheme="minorEastAsia" w:cstheme="minorEastAsia"/>
          <w:color w:val="000000" w:themeColor="text1"/>
          <w:sz w:val="32"/>
          <w:szCs w:val="20"/>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自行承担。</w:t>
      </w:r>
      <w:bookmarkEnd w:id="22"/>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八</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电子投标文件未按招标文件要求签章</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和签字</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www.creditchina.gov.cn</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www.ccgp.gov.cn</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投标文件含有</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.暗标未按招标文件要求编制的</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27.</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九</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④</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ab/>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www.ccgp.gov.cn</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查询</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Theme="minorEastAsia" w:hAnsiTheme="minorEastAsia" w:eastAsiaTheme="minorEastAsia" w:cstheme="minorEastAsia"/>
          <w:b/>
          <w:color w:val="000000" w:themeColor="text1"/>
          <w:sz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color w:val="000000" w:themeColor="text1"/>
          <w:sz w:val="24"/>
          <w:highlight w:val="none"/>
          <w:shd w:val="clear" w:color="auto" w:fill="auto"/>
          <w14:textFill>
            <w14:solidFill>
              <w14:schemeClr w14:val="tx1"/>
            </w14:solidFill>
          </w14:textFill>
        </w:rPr>
        <w:t xml:space="preserve">资格性审查表</w:t>
      </w:r>
      <w:r/>
    </w:p>
    <w:p>
      <w:pPr>
        <w:pStyle w:val="1365"/>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bl>
      <w:tblPr>
        <w:tblStyle w:val="1364"/>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24" w:name="OLE_LINK16"/>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25" w:name="OLE_LINK17"/>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26" w:name="OLE_LINK18"/>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28" w:name="OLE_LINK20"/>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Theme="minorEastAsia" w:hAnsiTheme="minorEastAsia" w:eastAsiaTheme="minorEastAsia" w:cstheme="minorEastAsia"/>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30" w:name="OLE_LINK22"/>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31" w:name="OLE_LINK109"/>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有效期内</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r/>
          </w:p>
        </w:tc>
      </w:tr>
      <w:tr>
        <w:trPr>
          <w:trHeight w:val="644"/>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33" w:name="OLE_LINK24"/>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授权代表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有效期内</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身份证扫描件</w:t>
            </w:r>
            <w:bookmarkEnd w:id="33"/>
            <w:r/>
            <w:r/>
          </w:p>
        </w:tc>
        <w:tc>
          <w:tcPr>
            <w:tcW w:w="5234" w:type="dxa"/>
            <w:vAlign w:val="center"/>
            <w:textDirection w:val="lrTb"/>
            <w:noWrap w:val="false"/>
          </w:tcPr>
          <w:p>
            <w:pPr>
              <w:jc w:val="both"/>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35" w:name="OLE_LINK26"/>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不含投标当月</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的公司</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企业</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除外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37" w:name="OLE_LINK28"/>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不含投标当月</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39" w:name="OLE_LINK30"/>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40" w:name="OLE_LINK31"/>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不含投标当月</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的公司</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企业</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除外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41" w:name="OLE_LINK32"/>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42" w:name="OLE_LINK33"/>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43" w:name="OLE_LINK34"/>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供应商为</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《工信部联企业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45" w:name="OLE_LINK36"/>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bookmarkStart w:id="46" w:name="OLE_LINK37"/>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www.creditchina.gov.cn</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www.ccgp.gov.cn</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特别提醒：</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tbl>
      <w:tblPr>
        <w:tblStyle w:val="1364"/>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及拟派项目</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180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646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bl>
    <w:p>
      <w:pPr>
        <w:pStyle w:val="1365"/>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bookmarkStart w:id="63" w:name="_Toc116946315"/>
      <w:r/>
      <w:r/>
    </w:p>
    <w:p>
      <w:pPr>
        <w:jc w:val="center"/>
        <w:spacing w:line="440" w:lineRule="exact"/>
        <w:tabs>
          <w:tab w:val="left" w:pos="480" w:leader="none"/>
        </w:tabs>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符合性审查表</w:t>
      </w:r>
      <w:bookmarkEnd w:id="63"/>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r>
      <w:r/>
    </w:p>
    <w:p>
      <w:pPr>
        <w:ind w:firstLine="480"/>
        <w:spacing w:line="360" w:lineRule="auto"/>
        <w:tabs>
          <w:tab w:val="left" w:pos="525" w:leader="none"/>
          <w:tab w:val="left" w:pos="1050" w:leader="none"/>
        </w:tabs>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中标通知书</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十一</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十二</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中标无效的确认：</w:t>
      </w:r>
      <w:bookmarkEnd w:id="67"/>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有上述1</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至</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至</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十三</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r/>
    </w:p>
    <w:p>
      <w:pPr>
        <w:ind w:firstLine="482"/>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十四</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十五</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391"/>
        <w:ind w:firstLine="422"/>
        <w:jc w:val="both"/>
        <w:keepLines w:val="0"/>
        <w:keepNext w:val="0"/>
        <w:spacing w:before="0" w:after="0" w:line="500" w:lineRule="exact"/>
        <w:rPr>
          <w:rFonts w:hint="eastAsia" w:asciiTheme="minorEastAsia" w:hAnsiTheme="minorEastAsia" w:eastAsiaTheme="minorEastAsia" w:cstheme="minorEastAsia"/>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Theme="minorEastAsia" w:hAnsiTheme="minorEastAsia" w:eastAsiaTheme="minorEastAsia" w:cstheme="minorEastAsia"/>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368"/>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pStyle w:val="1411"/>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lang w:val="en-US" w:eastAsia="zh-CN"/>
          <w14:textFill>
            <w14:solidFill>
              <w14:schemeClr w14:val="tx1"/>
            </w14:solidFill>
          </w14:textFill>
        </w:rPr>
      </w:pP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pStyle w:val="1368"/>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Theme="minorEastAsia" w:hAnsiTheme="minorEastAsia" w:eastAsiaTheme="minorEastAsia" w:cstheme="minorEastAsia"/>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Theme="minorEastAsia" w:hAnsiTheme="minorEastAsia" w:eastAsiaTheme="minorEastAsia" w:cstheme="minorEastAsia"/>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Theme="minorEastAsia" w:hAnsiTheme="minorEastAsia" w:eastAsiaTheme="minorEastAsia" w:cstheme="minorEastAsia"/>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1388"/>
        <w:ind w:firstLine="42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本次采购为</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无锡市锡山区人民政府东北塘街道办事处</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委托的</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锦旺新村和老旧小区2026—2027年度物业管理服务项目</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得有负偏离</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asciiTheme="minorEastAsia" w:hAnsiTheme="minorEastAsia" w:eastAsiaTheme="minorEastAsia" w:cstheme="minorEastAsia"/>
          <w:color w:val="000000" w:themeColor="text1"/>
          <w:sz w:val="20"/>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
          <w:position w:val="-1"/>
          <w:sz w:val="21"/>
          <w:szCs w:val="21"/>
          <w14:textFill>
            <w14:solidFill>
              <w14:schemeClr w14:val="tx1"/>
            </w14:solidFill>
          </w14:textFill>
        </w:rPr>
        <w:t xml:space="preserve">物业管理服务政府采购需求标准</w:t>
      </w:r>
      <w:r>
        <w:rPr>
          <w:rFonts w:hint="eastAsia" w:asciiTheme="minorEastAsia" w:hAnsiTheme="minorEastAsia" w:eastAsiaTheme="minorEastAsia" w:cstheme="minorEastAsia"/>
          <w:color w:val="000000" w:themeColor="text1"/>
          <w:spacing w:val="28"/>
          <w:position w:val="-1"/>
          <w:sz w:val="21"/>
          <w:szCs w:val="21"/>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8"/>
          <w:position w:val="-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position w:val="-1"/>
          <w:sz w:val="21"/>
          <w:szCs w:val="21"/>
          <w14:textFill>
            <w14:solidFill>
              <w14:schemeClr w14:val="tx1"/>
            </w14:solidFill>
          </w14:textFill>
        </w:rPr>
        <w:t xml:space="preserve">办公场所类</w:t>
      </w:r>
      <w:r>
        <w:rPr>
          <w:rFonts w:hint="eastAsia" w:asciiTheme="minorEastAsia" w:hAnsiTheme="minorEastAsia" w:eastAsiaTheme="minorEastAsia" w:cstheme="minorEastAsia"/>
          <w:color w:val="000000" w:themeColor="text1"/>
          <w:spacing w:val="-1"/>
          <w:position w:val="-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5"/>
          <w:position w:val="-1"/>
          <w:sz w:val="21"/>
          <w:szCs w:val="21"/>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5"/>
          <w:position w:val="-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position w:val="-1"/>
          <w:sz w:val="21"/>
          <w:szCs w:val="21"/>
          <w14:textFill>
            <w14:solidFill>
              <w14:schemeClr w14:val="tx1"/>
            </w14:solidFill>
          </w14:textFill>
        </w:rPr>
        <w:t xml:space="preserve">试行</w:t>
      </w:r>
      <w:r>
        <w:rPr>
          <w:rFonts w:hint="eastAsia" w:asciiTheme="minorEastAsia" w:hAnsiTheme="minorEastAsia" w:eastAsiaTheme="minorEastAsia" w:cstheme="minorEastAsia"/>
          <w:color w:val="000000" w:themeColor="text1"/>
          <w:spacing w:val="-1"/>
          <w:position w:val="-1"/>
          <w:sz w:val="21"/>
          <w:szCs w:val="21"/>
          <w:lang w:eastAsia="zh-CN"/>
          <w14:textFill>
            <w14:solidFill>
              <w14:schemeClr w14:val="tx1"/>
            </w14:solidFill>
          </w14:textFill>
        </w:rPr>
        <w:t xml:space="preserve">）</w:t>
      </w:r>
      <w:r/>
    </w:p>
    <w:p>
      <w:pPr>
        <w:jc w:val="center"/>
        <w:spacing w:before="133" w:line="188" w:lineRule="auto"/>
        <w:rPr>
          <w:rFonts w:hint="eastAsia" w:asciiTheme="minorEastAsia" w:hAnsiTheme="minorEastAsia" w:eastAsiaTheme="minorEastAsia" w:cstheme="minorEastAsia"/>
          <w:color w:val="000000" w:themeColor="text1"/>
          <w:sz w:val="28"/>
          <w:szCs w:val="28"/>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7"/>
          <w:sz w:val="28"/>
          <w:szCs w:val="28"/>
          <w14:textFill>
            <w14:solidFill>
              <w14:schemeClr w14:val="tx1"/>
            </w14:solidFill>
          </w14:textFill>
        </w:rPr>
        <w:t xml:space="preserve">使用说明</w:t>
      </w:r>
      <w:r/>
    </w:p>
    <w:p>
      <w:pPr>
        <w:pStyle w:val="1368"/>
        <w:ind w:left="583"/>
        <w:spacing w:before="94" w:line="219"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1368"/>
        <w:ind w:left="26" w:right="76" w:firstLine="549"/>
        <w:spacing w:before="121" w:line="30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1368"/>
        <w:ind w:left="9"/>
        <w:spacing w:line="219"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1368"/>
        <w:ind w:left="26" w:right="76" w:firstLine="549"/>
        <w:spacing w:before="121" w:line="30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1368"/>
        <w:ind w:left="13" w:firstLine="552"/>
        <w:spacing w:before="121" w:line="299"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1368"/>
        <w:ind w:left="15"/>
        <w:spacing w:line="22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1368"/>
        <w:ind w:left="9" w:right="77" w:firstLine="563"/>
        <w:spacing w:before="118" w:line="30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 许可的单位提供的服务，如锅炉、压力容器、电梯等特种设备维修等， 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Theme="minorEastAsia" w:hAnsiTheme="minorEastAsia" w:eastAsiaTheme="minorEastAsia" w:cstheme="minorEastAsia"/>
          <w:b/>
          <w:bCs/>
          <w:color w:val="000000" w:themeColor="text1"/>
          <w:spacing w:val="-2"/>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pacing w:val="-2"/>
          <w:sz w:val="24"/>
          <w:szCs w:val="24"/>
          <w:highlight w:val="none"/>
          <w:shd w:val="clear" w:color="auto" w:fill="auto"/>
          <w14:textFill>
            <w14:solidFill>
              <w14:schemeClr w14:val="tx1"/>
            </w14:solidFill>
          </w14:textFill>
        </w:rPr>
        <w:t xml:space="preserve">1.1物业情况</w:t>
      </w:r>
      <w:r/>
    </w:p>
    <w:tbl>
      <w:tblPr>
        <w:tblStyle w:val="1364"/>
        <w:tblpPr w:horzAnchor="page" w:tblpXSpec="center" w:vertAnchor="text" w:tblpY="425" w:leftFromText="180" w:topFromText="0" w:rightFromText="180" w:bottomFromText="0"/>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85"/>
        <w:gridCol w:w="1889"/>
        <w:gridCol w:w="5773"/>
      </w:tblGrid>
      <w:tr>
        <w:trPr>
          <w:trHeight w:val="439"/>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序号</w:t>
            </w:r>
            <w:r/>
          </w:p>
        </w:tc>
        <w:tc>
          <w:tcPr>
            <w:tcW w:w="1092"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物业名称</w:t>
            </w:r>
            <w:r/>
          </w:p>
        </w:tc>
        <w:tc>
          <w:tcPr>
            <w:tcW w:w="3338" w:type="pct"/>
            <w:textDirection w:val="lrTb"/>
            <w:noWrap w:val="false"/>
          </w:tcPr>
          <w:p>
            <w:pPr>
              <w:ind w:left="111"/>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物业地址</w:t>
            </w:r>
            <w:r/>
          </w:p>
        </w:tc>
      </w:tr>
      <w:tr>
        <w:trPr>
          <w:trHeight w:val="375"/>
        </w:trPr>
        <w:tc>
          <w:tcPr>
            <w:tcW w:w="570"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 1</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东利新村</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锡港路126号</w:t>
            </w:r>
            <w:r/>
          </w:p>
        </w:tc>
      </w:tr>
      <w:tr>
        <w:trPr>
          <w:trHeight w:val="361"/>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2</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稀土厂家舍</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东贸新村50号</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3</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供销新村</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锡港路90号</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4</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锦绣东苑</w:t>
            </w:r>
            <w:r/>
          </w:p>
        </w:tc>
        <w:tc>
          <w:tcPr>
            <w:tcW w:w="3338" w:type="pct"/>
            <w:vAlign w:val="center"/>
            <w:textDirection w:val="lrTb"/>
            <w:noWrap w:val="false"/>
          </w:tcPr>
          <w:p>
            <w:pPr>
              <w:jc w:val="center"/>
              <w:spacing w:line="360" w:lineRule="auto"/>
              <w:widowControl/>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锡港路348号</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5</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县建家舍</w:t>
            </w:r>
            <w:r/>
          </w:p>
        </w:tc>
        <w:tc>
          <w:tcPr>
            <w:tcW w:w="3338" w:type="pct"/>
            <w:vAlign w:val="center"/>
            <w:textDirection w:val="lrTb"/>
            <w:noWrap w:val="false"/>
          </w:tcPr>
          <w:p>
            <w:pPr>
              <w:jc w:val="center"/>
              <w:spacing w:line="360" w:lineRule="auto"/>
              <w:widowControl/>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下旺一号桥南</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6</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老街沿河（4层）</w:t>
            </w:r>
            <w:r/>
          </w:p>
        </w:tc>
        <w:tc>
          <w:tcPr>
            <w:tcW w:w="3338" w:type="pct"/>
            <w:vAlign w:val="center"/>
            <w:textDirection w:val="lrTb"/>
            <w:noWrap w:val="false"/>
          </w:tcPr>
          <w:p>
            <w:pPr>
              <w:jc w:val="center"/>
              <w:spacing w:line="360" w:lineRule="auto"/>
              <w:widowControl/>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东北塘老街</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7</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老街（2层）</w:t>
            </w:r>
            <w:r/>
          </w:p>
        </w:tc>
        <w:tc>
          <w:tcPr>
            <w:tcW w:w="3338" w:type="pct"/>
            <w:vAlign w:val="center"/>
            <w:textDirection w:val="lrTb"/>
            <w:noWrap w:val="false"/>
          </w:tcPr>
          <w:p>
            <w:pPr>
              <w:jc w:val="center"/>
              <w:spacing w:line="360" w:lineRule="auto"/>
              <w:widowControl/>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东北塘老街</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8</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老街沿河（5层）</w:t>
            </w:r>
            <w:r/>
          </w:p>
        </w:tc>
        <w:tc>
          <w:tcPr>
            <w:tcW w:w="3338" w:type="pct"/>
            <w:vAlign w:val="center"/>
            <w:textDirection w:val="lrTb"/>
            <w:noWrap w:val="false"/>
          </w:tcPr>
          <w:p>
            <w:pPr>
              <w:jc w:val="center"/>
              <w:spacing w:line="360" w:lineRule="auto"/>
              <w:widowControl/>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东北塘老街</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9</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东旺新村</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东旺路</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10</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农贸市场北沿边住宅</w:t>
            </w:r>
            <w:r/>
          </w:p>
        </w:tc>
        <w:tc>
          <w:tcPr>
            <w:tcW w:w="3338" w:type="pct"/>
            <w:vAlign w:val="center"/>
            <w:textDirection w:val="lrTb"/>
            <w:noWrap w:val="false"/>
          </w:tcPr>
          <w:p>
            <w:pPr>
              <w:jc w:val="center"/>
              <w:spacing w:line="360" w:lineRule="auto"/>
              <w:widowControl/>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农贸市场</w:t>
            </w:r>
            <w:r/>
          </w:p>
        </w:tc>
      </w:tr>
      <w:tr>
        <w:trPr>
          <w:trHeight w:val="631"/>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11</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农贸市场二层以上住宅</w:t>
            </w:r>
            <w:r/>
          </w:p>
        </w:tc>
        <w:tc>
          <w:tcPr>
            <w:tcW w:w="3338" w:type="pct"/>
            <w:vAlign w:val="center"/>
            <w:textDirection w:val="lrTb"/>
            <w:noWrap w:val="false"/>
          </w:tcPr>
          <w:p>
            <w:pPr>
              <w:jc w:val="center"/>
              <w:spacing w:line="360" w:lineRule="auto"/>
              <w:widowControl/>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农贸市场</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12</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供销社家舍</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东旺路</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13</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长城机械厂家舍</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锡港路93号</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14</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河西新村</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东北塘老街</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15</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青海电力家舍</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东旺路南</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16</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锦旺一期</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锦旺路56号</w:t>
            </w:r>
            <w:r/>
          </w:p>
        </w:tc>
      </w:tr>
      <w:tr>
        <w:trPr>
          <w:trHeight w:val="440"/>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17</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锦旺二期</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锦旺路60号</w:t>
            </w:r>
            <w:r/>
          </w:p>
        </w:tc>
      </w:tr>
      <w:tr>
        <w:trPr>
          <w:trHeight w:val="445"/>
        </w:trPr>
        <w:tc>
          <w:tcPr>
            <w:tcW w:w="570"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18</w:t>
            </w:r>
            <w:r/>
          </w:p>
        </w:tc>
        <w:tc>
          <w:tcPr>
            <w:tcW w:w="1092" w:type="pct"/>
            <w:textDirection w:val="lrTb"/>
            <w:noWrap w:val="false"/>
          </w:tcPr>
          <w:p>
            <w:pPr>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锦旺三期</w:t>
            </w:r>
            <w:r/>
          </w:p>
        </w:tc>
        <w:tc>
          <w:tcPr>
            <w:tcW w:w="3338" w:type="pct"/>
            <w:textDirection w:val="lrTb"/>
            <w:noWrap w:val="false"/>
          </w:tcPr>
          <w:p>
            <w:pPr>
              <w:ind w:left="116"/>
              <w:jc w:val="center"/>
              <w:spacing w:before="94" w:line="360" w:lineRule="auto"/>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东政路101号</w:t>
            </w:r>
            <w:r/>
          </w:p>
        </w:tc>
      </w:tr>
    </w:tbl>
    <w:p>
      <w:pPr>
        <w:pStyle w:val="136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27" w:lineRule="exact"/>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keepLines w:val="0"/>
        <w:keepNext w:val="0"/>
        <w:pageBreakBefore w:val="0"/>
        <w:spacing w:before="32" w:line="360" w:lineRule="auto"/>
        <w:widowControl w:val="off"/>
        <w:rPr>
          <w:rFonts w:hint="eastAsia" w:asciiTheme="minorEastAsia" w:hAnsiTheme="minorEastAsia" w:eastAsiaTheme="minorEastAsia" w:cstheme="minorEastAsia"/>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Theme="minorEastAsia" w:hAnsiTheme="minorEastAsia" w:eastAsiaTheme="minorEastAsia" w:cstheme="minorEastAsia"/>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物业管理服务项目涉及多处物业的，可以分不同地址在上表中列明各物业名称和地址</w:t>
      </w:r>
      <w:r>
        <w:rPr>
          <w:rFonts w:hint="eastAsia" w:asciiTheme="minorEastAsia" w:hAnsiTheme="minorEastAsia" w:eastAsiaTheme="minorEastAsia" w:cstheme="minorEastAsia"/>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Theme="minorEastAsia" w:hAnsiTheme="minorEastAsia" w:eastAsiaTheme="minorEastAsia" w:cstheme="minorEastAsia"/>
          <w:color w:val="000000" w:themeColor="text1"/>
          <w:sz w:val="2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Theme="minorEastAsia" w:hAnsiTheme="minorEastAsia" w:eastAsiaTheme="minorEastAsia" w:cstheme="minorEastAsia"/>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如采购人拥有与物业管理服务有关的且可以无偿提供给供应商在本项目中使用的设施、设备、材料、场地等，可在此列明。例如：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(1)采购人可提供的办公室，需明确办公室数量、大小、办公室内可用设施设备清单等；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(2)采购人可提供的食堂，餐费由供应商自理；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(3)采购人可提供的零星维修材料；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(4)采购人可提供的低值易耗品；</w:t>
      </w:r>
      <w:r/>
    </w:p>
    <w:p>
      <w:pPr>
        <w:ind w:left="0" w:right="0" w:firstLine="0"/>
        <w:jc w:val="both"/>
        <w:spacing w:before="0" w:after="0"/>
        <w:pBdr>
          <w:top w:val="none" w:color="000000" w:sz="4" w:space="0"/>
          <w:left w:val="none" w:color="000000" w:sz="4" w:space="0"/>
          <w:bottom w:val="none" w:color="000000" w:sz="4" w:space="0"/>
          <w:right w:val="none" w:color="000000" w:sz="4" w:space="0"/>
        </w:pBdr>
        <w:sectPr>
          <w:headerReference w:type="default" r:id="rId9"/>
          <w:footerReference w:type="default" r:id="rId13"/>
          <w:footnotePr/>
          <w:endnotePr/>
          <w:type w:val="nextPage"/>
          <w:pgSz w:w="11907" w:h="16839" w:orient="portrait"/>
          <w:pgMar w:top="1440" w:right="1633" w:bottom="1440" w:left="1633" w:header="0" w:footer="919" w:gutter="0"/>
          <w:cols w:num="1" w:sep="0" w:space="720" w:equalWidth="1"/>
          <w:docGrid w:linePitch="360"/>
        </w:sectPr>
      </w:pPr>
      <w:r>
        <w:rPr>
          <w:rFonts w:ascii="SimSun" w:hAnsi="SimSun" w:eastAsia="SimSun" w:cs="SimSun"/>
          <w:color w:val="000000"/>
          <w:sz w:val="24"/>
        </w:rPr>
        <w:t xml:space="preserve">供应商应当承担除以上所列场地、设施、设备、材料外，与物业管理服务有关的其他场地、设施、设备、材料等</w:t>
      </w:r>
      <w:r>
        <w:rPr>
          <w:rFonts w:hint="eastAsia" w:asciiTheme="minorEastAsia" w:hAnsiTheme="minorEastAsia" w:eastAsiaTheme="minorEastAsia" w:cstheme="minorEastAsia"/>
          <w:bCs w:val="0"/>
          <w:color w:val="000000" w:themeColor="text1"/>
          <w:sz w:val="24"/>
          <w:szCs w:val="24"/>
          <w:highlight w:val="none"/>
          <w:shd w:val="clear" w:color="auto" w:fill="auto"/>
          <w:lang w:val="en-US" w:eastAsia="zh-CN" w:bidi="ar-SA"/>
          <w14:textFill>
            <w14:solidFill>
              <w14:schemeClr w14:val="tx1"/>
            </w14:solidFill>
          </w14:textFill>
        </w:rPr>
        <w:t xml:space="preserve">。</w:t>
      </w:r>
      <w:r>
        <w:rPr>
          <w:sz w:val="21"/>
        </w:rPr>
      </w:r>
      <w:r/>
    </w:p>
    <w:p>
      <w:pPr>
        <w:ind w:left="541"/>
        <w:spacing w:before="90" w:line="186"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b/>
          <w:bCs/>
          <w:color w:val="auto"/>
          <w:spacing w:val="-1"/>
          <w:sz w:val="24"/>
          <w:szCs w:val="24"/>
          <w:highlight w:val="none"/>
        </w:rPr>
        <w:t xml:space="preserve">2.物业服务范围</w:t>
      </w:r>
      <w:r>
        <w:rPr>
          <w:rFonts w:hint="eastAsia" w:asciiTheme="minorEastAsia" w:hAnsiTheme="minorEastAsia" w:eastAsiaTheme="minorEastAsia" w:cstheme="minorEastAsia"/>
          <w:b/>
          <w:bCs/>
          <w:color w:val="auto"/>
          <w:spacing w:val="-1"/>
          <w:sz w:val="24"/>
          <w:szCs w:val="24"/>
          <w:highlight w:val="none"/>
          <w:lang w:val="en-US" w:eastAsia="zh-CN"/>
        </w:rPr>
        <w:t xml:space="preserve">    </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【物业名称1】东利新村</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38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1"/>
        <w:gridCol w:w="6095"/>
        <w:gridCol w:w="2552"/>
        <w:gridCol w:w="3685"/>
      </w:tblGrid>
      <w:tr>
        <w:trPr>
          <w:trHeight w:val="463"/>
        </w:trPr>
        <w:tc>
          <w:tcPr>
            <w:gridSpan w:val="2"/>
            <w:tcW w:w="765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2552"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3685"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7656" w:type="dxa"/>
            <w:textDirection w:val="lrTb"/>
            <w:noWrap w:val="false"/>
          </w:tcPr>
          <w:p>
            <w:pPr>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东利新村</w:t>
            </w:r>
            <w:r/>
          </w:p>
        </w:tc>
        <w:tc>
          <w:tcPr>
            <w:tcW w:w="2552" w:type="dxa"/>
            <w:textDirection w:val="lrTb"/>
            <w:noWrap w:val="false"/>
          </w:tcPr>
          <w:p>
            <w:pPr>
              <w:ind w:left="107"/>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小区</w:t>
            </w:r>
            <w:r/>
          </w:p>
        </w:tc>
        <w:tc>
          <w:tcPr>
            <w:tcW w:w="3685"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r>
            <w:r/>
          </w:p>
        </w:tc>
      </w:tr>
      <w:tr>
        <w:trPr>
          <w:trHeight w:val="355"/>
        </w:trPr>
        <w:tc>
          <w:tcPr>
            <w:tcBorders>
              <w:bottom w:val="none" w:color="000000" w:sz="4" w:space="0"/>
            </w:tcBorders>
            <w:tcW w:w="1561" w:type="dxa"/>
            <w:vMerge w:val="restart"/>
            <w:textDirection w:val="lrTb"/>
            <w:noWrap w:val="false"/>
          </w:tcPr>
          <w:p>
            <w:pPr>
              <w:pStyle w:val="1393"/>
              <w:ind w:left="121"/>
              <w:jc w:val="center"/>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6095" w:type="dxa"/>
            <w:textDirection w:val="lrTb"/>
            <w:noWrap w:val="false"/>
          </w:tcPr>
          <w:p>
            <w:pPr>
              <w:pStyle w:val="1393"/>
              <w:ind w:left="112"/>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255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14000</w:t>
            </w: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w:t>
            </w:r>
            <w:r/>
          </w:p>
        </w:tc>
        <w:tc>
          <w:tcPr>
            <w:tcW w:w="3685"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308"/>
        </w:trPr>
        <w:tc>
          <w:tcPr>
            <w:tcBorders>
              <w:top w:val="none" w:color="000000" w:sz="4" w:space="0"/>
            </w:tcBorders>
            <w:tcW w:w="1561" w:type="dxa"/>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r>
            <w:r/>
          </w:p>
        </w:tc>
        <w:tc>
          <w:tcPr>
            <w:tcW w:w="6095" w:type="dxa"/>
            <w:textDirection w:val="lrTb"/>
            <w:noWrap w:val="false"/>
          </w:tcPr>
          <w:p>
            <w:pPr>
              <w:pStyle w:val="1393"/>
              <w:ind w:left="121"/>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2552" w:type="dxa"/>
            <w:textDirection w:val="lrTb"/>
            <w:noWrap w:val="false"/>
          </w:tcPr>
          <w:p>
            <w:pPr>
              <w:ind w:left="115"/>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14000</w:t>
            </w: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w:t>
            </w:r>
            <w:r/>
          </w:p>
        </w:tc>
        <w:tc>
          <w:tcPr>
            <w:tcW w:w="3685"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90"/>
        </w:trPr>
        <w:tc>
          <w:tcPr>
            <w:tcW w:w="1561" w:type="dxa"/>
            <w:vAlign w:val="center"/>
            <w:textDirection w:val="lrTb"/>
            <w:noWrap w:val="false"/>
          </w:tcPr>
          <w:p>
            <w:pPr>
              <w:pStyle w:val="1393"/>
              <w:ind w:left="139"/>
              <w:jc w:val="center"/>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6095" w:type="dxa"/>
            <w:vAlign w:val="center"/>
            <w:textDirection w:val="lrTb"/>
            <w:noWrap w:val="false"/>
          </w:tcPr>
          <w:p>
            <w:pPr>
              <w:pStyle w:val="1393"/>
              <w:ind w:left="109" w:right="104" w:firstLine="23"/>
              <w:jc w:val="center"/>
              <w:spacing w:before="3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2552" w:type="dxa"/>
            <w:vAlign w:val="center"/>
            <w:textDirection w:val="lrTb"/>
            <w:noWrap w:val="false"/>
          </w:tcPr>
          <w:p>
            <w:pPr>
              <w:pStyle w:val="1393"/>
              <w:ind w:left="112"/>
              <w:jc w:val="center"/>
              <w:spacing w:before="20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685" w:type="dxa"/>
            <w:vAlign w:val="center"/>
            <w:textDirection w:val="lrTb"/>
            <w:noWrap w:val="false"/>
          </w:tcPr>
          <w:p>
            <w:pPr>
              <w:ind w:left="115"/>
              <w:jc w:val="center"/>
              <w:spacing w:before="20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0"/>
        </w:trPr>
        <w:tc>
          <w:tcPr>
            <w:tcW w:w="1561" w:type="dxa"/>
            <w:textDirection w:val="lrTb"/>
            <w:noWrap w:val="false"/>
          </w:tcPr>
          <w:p>
            <w:pPr>
              <w:pStyle w:val="1393"/>
              <w:ind w:left="116"/>
              <w:jc w:val="center"/>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6095" w:type="dxa"/>
            <w:textDirection w:val="lrTb"/>
            <w:noWrap w:val="false"/>
          </w:tcPr>
          <w:p>
            <w:pPr>
              <w:pStyle w:val="1393"/>
              <w:ind w:left="115" w:right="104" w:hanging="6"/>
              <w:jc w:val="center"/>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2552" w:type="dxa"/>
            <w:textDirection w:val="lrTb"/>
            <w:noWrap w:val="false"/>
          </w:tcPr>
          <w:p>
            <w:pPr>
              <w:ind w:left="116" w:right="136" w:hanging="9"/>
              <w:jc w:val="center"/>
              <w:spacing w:before="3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685"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11"/>
        </w:trPr>
        <w:tc>
          <w:tcPr>
            <w:tcW w:w="1561" w:type="dxa"/>
            <w:textDirection w:val="lrTb"/>
            <w:noWrap w:val="false"/>
          </w:tcPr>
          <w:p>
            <w:pPr>
              <w:pStyle w:val="1393"/>
              <w:ind w:left="141"/>
              <w:jc w:val="center"/>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6095" w:type="dxa"/>
            <w:textDirection w:val="lrTb"/>
            <w:noWrap w:val="false"/>
          </w:tcPr>
          <w:p>
            <w:pPr>
              <w:pStyle w:val="1393"/>
              <w:ind w:left="109" w:right="104" w:firstLine="25"/>
              <w:jc w:val="center"/>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2552" w:type="dxa"/>
            <w:textDirection w:val="lrTb"/>
            <w:noWrap w:val="false"/>
          </w:tcPr>
          <w:p>
            <w:pPr>
              <w:ind w:left="128" w:right="105" w:hanging="21"/>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685"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90"/>
        </w:trPr>
        <w:tc>
          <w:tcPr>
            <w:tcW w:w="1561" w:type="dxa"/>
            <w:textDirection w:val="lrTb"/>
            <w:noWrap w:val="false"/>
          </w:tcPr>
          <w:p>
            <w:pPr>
              <w:pStyle w:val="1393"/>
              <w:ind w:left="116"/>
              <w:jc w:val="center"/>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6095" w:type="dxa"/>
            <w:textDirection w:val="lrTb"/>
            <w:noWrap w:val="false"/>
          </w:tcPr>
          <w:p>
            <w:pPr>
              <w:pStyle w:val="1393"/>
              <w:ind w:left="115" w:right="104" w:hanging="6"/>
              <w:jc w:val="center"/>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2552" w:type="dxa"/>
            <w:textDirection w:val="lrTb"/>
            <w:noWrap w:val="false"/>
          </w:tcPr>
          <w:p>
            <w:pPr>
              <w:ind w:left="111" w:right="28" w:hanging="4"/>
              <w:jc w:val="center"/>
              <w:spacing w:before="3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685"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83"/>
        </w:trPr>
        <w:tc>
          <w:tcPr>
            <w:tcBorders>
              <w:bottom w:val="none" w:color="000000" w:sz="4" w:space="0"/>
            </w:tcBorders>
            <w:tcW w:w="1561" w:type="dxa"/>
            <w:vMerge w:val="restart"/>
            <w:textDirection w:val="lrTb"/>
            <w:noWrap w:val="false"/>
          </w:tcPr>
          <w:p>
            <w:pPr>
              <w:pStyle w:val="1393"/>
              <w:ind w:left="120"/>
              <w:jc w:val="center"/>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6095" w:type="dxa"/>
            <w:textDirection w:val="lrTb"/>
            <w:noWrap w:val="false"/>
          </w:tcPr>
          <w:p>
            <w:pPr>
              <w:pStyle w:val="1393"/>
              <w:ind w:left="115" w:right="104" w:hanging="2"/>
              <w:jc w:val="center"/>
              <w:spacing w:before="20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2552" w:type="dxa"/>
            <w:textDirection w:val="lrTb"/>
            <w:noWrap w:val="false"/>
          </w:tcPr>
          <w:p>
            <w:pPr>
              <w:ind w:left="114" w:right="104" w:hanging="7"/>
              <w:jc w:val="center"/>
              <w:spacing w:before="3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685" w:type="dxa"/>
            <w:textDirection w:val="lrTb"/>
            <w:noWrap w:val="false"/>
          </w:tcPr>
          <w:p>
            <w:pPr>
              <w:ind w:left="115"/>
              <w:jc w:val="center"/>
              <w:spacing w:before="6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Borders>
              <w:top w:val="none" w:color="000000" w:sz="4" w:space="0"/>
              <w:bottom w:val="single" w:color="auto" w:sz="4" w:space="0"/>
            </w:tcBorders>
            <w:tcW w:w="1561" w:type="dxa"/>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r>
            <w:r/>
          </w:p>
        </w:tc>
        <w:tc>
          <w:tcPr>
            <w:tcBorders>
              <w:bottom w:val="single" w:color="auto" w:sz="4" w:space="0"/>
            </w:tcBorders>
            <w:tcW w:w="6095" w:type="dxa"/>
            <w:textDirection w:val="lrTb"/>
            <w:noWrap w:val="false"/>
          </w:tcPr>
          <w:p>
            <w:pPr>
              <w:pStyle w:val="1393"/>
              <w:ind w:left="113"/>
              <w:jc w:val="center"/>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Borders>
              <w:bottom w:val="single" w:color="auto" w:sz="4" w:space="0"/>
            </w:tcBorders>
            <w:tcW w:w="2552" w:type="dxa"/>
            <w:textDirection w:val="lrTb"/>
            <w:noWrap w:val="false"/>
          </w:tcPr>
          <w:p>
            <w:pPr>
              <w:ind w:left="115"/>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bottom w:val="single" w:color="auto" w:sz="4" w:space="0"/>
            </w:tcBorders>
            <w:tcW w:w="3685" w:type="dxa"/>
            <w:textDirection w:val="lrTb"/>
            <w:noWrap w:val="false"/>
          </w:tcPr>
          <w:p>
            <w:pPr>
              <w:ind w:left="115"/>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4"/>
        </w:trPr>
        <w:tc>
          <w:tcPr>
            <w:tcBorders>
              <w:top w:val="single" w:color="auto" w:sz="4" w:space="0"/>
              <w:left w:val="single" w:color="auto" w:sz="4" w:space="0"/>
              <w:bottom w:val="none" w:color="000000" w:sz="4" w:space="0"/>
            </w:tcBorders>
            <w:tcW w:w="1561" w:type="dxa"/>
            <w:vMerge w:val="restart"/>
            <w:textDirection w:val="lrTb"/>
            <w:noWrap w:val="false"/>
          </w:tcPr>
          <w:p>
            <w:pPr>
              <w:pStyle w:val="1393"/>
              <w:ind w:left="115"/>
              <w:jc w:val="center"/>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top w:val="single" w:color="auto" w:sz="4" w:space="0"/>
            </w:tcBorders>
            <w:tcW w:w="6095" w:type="dxa"/>
            <w:textDirection w:val="lrTb"/>
            <w:noWrap w:val="false"/>
          </w:tcPr>
          <w:p>
            <w:pPr>
              <w:pStyle w:val="1393"/>
              <w:ind w:left="113"/>
              <w:jc w:val="center"/>
              <w:spacing w:before="206"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Borders>
              <w:top w:val="single" w:color="auto" w:sz="4" w:space="0"/>
            </w:tcBorders>
            <w:tcW w:w="2552" w:type="dxa"/>
            <w:textDirection w:val="lrTb"/>
            <w:noWrap w:val="false"/>
          </w:tcPr>
          <w:p>
            <w:pPr>
              <w:ind w:left="111" w:right="105"/>
              <w:jc w:val="center"/>
              <w:spacing w:before="3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right w:val="single" w:color="auto" w:sz="4" w:space="0"/>
            </w:tcBorders>
            <w:tcW w:w="3685" w:type="dxa"/>
            <w:textDirection w:val="lrTb"/>
            <w:noWrap w:val="false"/>
          </w:tcPr>
          <w:p>
            <w:pPr>
              <w:ind w:left="111" w:right="108" w:firstLine="4"/>
              <w:jc w:val="center"/>
              <w:spacing w:before="3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55"/>
        </w:trPr>
        <w:tc>
          <w:tcPr>
            <w:tcBorders>
              <w:top w:val="none" w:color="000000" w:sz="4" w:space="0"/>
              <w:left w:val="single" w:color="auto" w:sz="4" w:space="0"/>
              <w:bottom w:val="single" w:color="auto" w:sz="4" w:space="0"/>
            </w:tcBorders>
            <w:tcW w:w="1561" w:type="dxa"/>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r>
            <w:r/>
          </w:p>
        </w:tc>
        <w:tc>
          <w:tcPr>
            <w:tcBorders>
              <w:bottom w:val="single" w:color="auto" w:sz="4" w:space="0"/>
            </w:tcBorders>
            <w:tcW w:w="6095" w:type="dxa"/>
            <w:textDirection w:val="lrTb"/>
            <w:noWrap w:val="false"/>
          </w:tcPr>
          <w:p>
            <w:pPr>
              <w:pStyle w:val="1393"/>
              <w:ind w:left="108" w:right="104"/>
              <w:jc w:val="center"/>
              <w:spacing w:before="4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Borders>
              <w:bottom w:val="single" w:color="auto" w:sz="4" w:space="0"/>
            </w:tcBorders>
            <w:tcW w:w="2552" w:type="dxa"/>
            <w:textDirection w:val="lrTb"/>
            <w:noWrap w:val="false"/>
          </w:tcPr>
          <w:p>
            <w:pPr>
              <w:ind w:left="112"/>
              <w:jc w:val="center"/>
              <w:spacing w:before="20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bottom w:val="single" w:color="auto" w:sz="4" w:space="0"/>
              <w:right w:val="single" w:color="auto" w:sz="4" w:space="0"/>
            </w:tcBorders>
            <w:tcW w:w="3685" w:type="dxa"/>
            <w:textDirection w:val="lrTb"/>
            <w:noWrap w:val="false"/>
          </w:tcPr>
          <w:p>
            <w:pPr>
              <w:ind w:left="115"/>
              <w:jc w:val="center"/>
              <w:spacing w:before="20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5"/>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5"/>
        </w:trPr>
        <w:tc>
          <w:tcPr>
            <w:tcBorders>
              <w:top w:val="single" w:color="auto" w:sz="4" w:space="0"/>
              <w:left w:val="single" w:color="auto" w:sz="4" w:space="0"/>
              <w:bottom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40"/>
        </w:trPr>
        <w:tc>
          <w:tcPr>
            <w:tcBorders>
              <w:top w:val="single" w:color="auto" w:sz="4" w:space="0"/>
              <w:left w:val="single" w:color="auto" w:sz="4" w:space="0"/>
              <w:bottom w:val="single" w:color="auto" w:sz="4" w:space="0"/>
              <w:right w:val="single" w:color="auto" w:sz="4" w:space="0"/>
            </w:tcBorders>
            <w:tcW w:w="1561"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561"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 点</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 （㎡）及数量（个）</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70"/>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5"/>
        </w:trPr>
        <w:tc>
          <w:tcPr>
            <w:tcBorders>
              <w:top w:val="single" w:color="auto" w:sz="4" w:space="0"/>
              <w:left w:val="single" w:color="auto" w:sz="4" w:space="0"/>
              <w:bottom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315"/>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55"/>
        </w:trPr>
        <w:tc>
          <w:tcPr>
            <w:tcBorders>
              <w:top w:val="single" w:color="auto" w:sz="4" w:space="0"/>
              <w:left w:val="single" w:color="auto" w:sz="4" w:space="0"/>
              <w:right w:val="single" w:color="auto" w:sz="4" w:space="0"/>
            </w:tcBorders>
            <w:tcW w:w="1561" w:type="dxa"/>
            <w:vMerge w:val="restart"/>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 （可另行附表）</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55"/>
        </w:trPr>
        <w:tc>
          <w:tcPr>
            <w:tcBorders>
              <w:left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25"/>
        </w:trPr>
        <w:tc>
          <w:tcPr>
            <w:tcBorders>
              <w:left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6"/>
        </w:trPr>
        <w:tc>
          <w:tcPr>
            <w:tcBorders>
              <w:left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10"/>
              <w:jc w:val="center"/>
              <w:spacing w:before="22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80"/>
        </w:trPr>
        <w:tc>
          <w:tcPr>
            <w:tcBorders>
              <w:left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13"/>
              <w:jc w:val="center"/>
              <w:spacing w:before="20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Borders>
              <w:left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09"/>
              <w:jc w:val="center"/>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5"/>
        </w:trPr>
        <w:tc>
          <w:tcPr>
            <w:tcBorders>
              <w:left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13"/>
              <w:jc w:val="center"/>
              <w:spacing w:before="20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57"/>
        </w:trPr>
        <w:tc>
          <w:tcPr>
            <w:tcBorders>
              <w:left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16"/>
              <w:jc w:val="center"/>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2" w:right="107" w:firstLine="3"/>
              <w:jc w:val="center"/>
              <w:spacing w:before="3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10"/>
        </w:trPr>
        <w:tc>
          <w:tcPr>
            <w:tcBorders>
              <w:left w:val="single" w:color="auto" w:sz="4" w:space="0"/>
              <w:bottom w:val="single" w:color="auto" w:sz="4" w:space="0"/>
              <w:right w:val="single" w:color="auto" w:sz="4" w:space="0"/>
            </w:tcBorders>
            <w:tcW w:w="1561" w:type="dxa"/>
            <w:vMerge w:val="continue"/>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pStyle w:val="1393"/>
              <w:ind w:left="109"/>
              <w:jc w:val="center"/>
              <w:spacing w:before="3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115"/>
              <w:jc w:val="center"/>
              <w:spacing w:before="39"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left="115"/>
              <w:jc w:val="center"/>
              <w:spacing w:before="3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ind w:left="115"/>
        <w:jc w:val="left"/>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ind w:left="115"/>
        <w:jc w:val="left"/>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41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754"/>
        <w:gridCol w:w="5790"/>
      </w:tblGrid>
      <w:tr>
        <w:trPr>
          <w:jc w:val="center"/>
          <w:trHeight w:val="462"/>
        </w:trPr>
        <w:tc>
          <w:tcPr>
            <w:tcW w:w="2632" w:type="dxa"/>
            <w:vAlign w:val="center"/>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754" w:type="dxa"/>
            <w:vAlign w:val="center"/>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790" w:type="dxa"/>
            <w:vAlign w:val="center"/>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jc w:val="center"/>
          <w:trHeight w:val="470"/>
        </w:trPr>
        <w:tc>
          <w:tcPr>
            <w:tcW w:w="2632" w:type="dxa"/>
            <w:vAlign w:val="center"/>
            <w:textDirection w:val="lrTb"/>
            <w:noWrap w:val="false"/>
          </w:tcPr>
          <w:p>
            <w:pPr>
              <w:pStyle w:val="1393"/>
              <w:ind w:left="119"/>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754" w:type="dxa"/>
            <w:vAlign w:val="center"/>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填写室外面积</w:t>
            </w:r>
            <w:r/>
          </w:p>
        </w:tc>
        <w:tc>
          <w:tcPr>
            <w:tcW w:w="5790"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jc w:val="center"/>
          <w:trHeight w:val="422"/>
        </w:trPr>
        <w:tc>
          <w:tcPr>
            <w:tcW w:w="2632" w:type="dxa"/>
            <w:vAlign w:val="center"/>
            <w:textDirection w:val="lrTb"/>
            <w:noWrap w:val="false"/>
          </w:tcPr>
          <w:p>
            <w:pPr>
              <w:pStyle w:val="1393"/>
              <w:ind w:left="117"/>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754" w:type="dxa"/>
            <w:vAlign w:val="center"/>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c>
          <w:tcPr>
            <w:tcW w:w="5790" w:type="dxa"/>
            <w:vAlign w:val="center"/>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见“3.5绿化服务”</w:t>
            </w:r>
            <w:r/>
          </w:p>
        </w:tc>
      </w:tr>
      <w:tr>
        <w:trPr>
          <w:jc w:val="center"/>
          <w:trHeight w:val="333"/>
        </w:trPr>
        <w:tc>
          <w:tcPr>
            <w:tcW w:w="2632" w:type="dxa"/>
            <w:vAlign w:val="center"/>
            <w:textDirection w:val="lrTb"/>
            <w:noWrap w:val="false"/>
          </w:tcPr>
          <w:p>
            <w:pPr>
              <w:pStyle w:val="1393"/>
              <w:ind w:left="116"/>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754" w:type="dxa"/>
            <w:vAlign w:val="center"/>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790"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jc w:val="center"/>
          <w:trHeight w:val="380"/>
        </w:trPr>
        <w:tc>
          <w:tcPr>
            <w:tcW w:w="2632" w:type="dxa"/>
            <w:vAlign w:val="center"/>
            <w:textDirection w:val="lrTb"/>
            <w:noWrap w:val="false"/>
          </w:tcPr>
          <w:p>
            <w:pPr>
              <w:pStyle w:val="1393"/>
              <w:ind w:left="117"/>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754" w:type="dxa"/>
            <w:vAlign w:val="center"/>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路灯15盏</w:t>
            </w:r>
            <w:r/>
          </w:p>
        </w:tc>
        <w:tc>
          <w:tcPr>
            <w:tcW w:w="5790"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见“3.4 保洁服务”“3.3 公用设施设备维护服务”</w:t>
            </w:r>
            <w:r/>
          </w:p>
        </w:tc>
      </w:tr>
      <w:tr>
        <w:trPr>
          <w:jc w:val="center"/>
          <w:trHeight w:val="378"/>
        </w:trPr>
        <w:tc>
          <w:tcPr>
            <w:tcW w:w="2632" w:type="dxa"/>
            <w:vAlign w:val="center"/>
            <w:textDirection w:val="lrTb"/>
            <w:noWrap w:val="false"/>
          </w:tcPr>
          <w:p>
            <w:pPr>
              <w:pStyle w:val="1393"/>
              <w:ind w:left="120"/>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754" w:type="dxa"/>
            <w:vAlign w:val="center"/>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790"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67"/>
        </w:trPr>
        <w:tc>
          <w:tcPr>
            <w:tcW w:w="2632" w:type="dxa"/>
            <w:vAlign w:val="center"/>
            <w:textDirection w:val="lrTb"/>
            <w:noWrap w:val="false"/>
          </w:tcPr>
          <w:p>
            <w:pPr>
              <w:pStyle w:val="1393"/>
              <w:ind w:left="117"/>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754" w:type="dxa"/>
            <w:vAlign w:val="center"/>
            <w:textDirection w:val="lrTb"/>
            <w:noWrap w:val="false"/>
          </w:tcPr>
          <w:p>
            <w:pPr>
              <w:ind w:firstLine="236"/>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垃圾分类房1座</w:t>
            </w:r>
            <w:r/>
          </w:p>
        </w:tc>
        <w:tc>
          <w:tcPr>
            <w:tcW w:w="5790"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27"/>
        </w:trPr>
        <w:tc>
          <w:tcPr>
            <w:tcW w:w="2632" w:type="dxa"/>
            <w:vAlign w:val="center"/>
            <w:textDirection w:val="lrTb"/>
            <w:noWrap w:val="false"/>
          </w:tcPr>
          <w:p>
            <w:pPr>
              <w:pStyle w:val="1393"/>
              <w:ind w:left="119"/>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754" w:type="dxa"/>
            <w:vAlign w:val="center"/>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790"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262"/>
        </w:trPr>
        <w:tc>
          <w:tcPr>
            <w:tcW w:w="2632" w:type="dxa"/>
            <w:vAlign w:val="center"/>
            <w:textDirection w:val="lrTb"/>
            <w:noWrap w:val="false"/>
          </w:tcPr>
          <w:p>
            <w:pPr>
              <w:pStyle w:val="1393"/>
              <w:ind w:left="139"/>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754" w:type="dxa"/>
            <w:vAlign w:val="center"/>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790"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22"/>
        </w:trPr>
        <w:tc>
          <w:tcPr>
            <w:tcW w:w="2632" w:type="dxa"/>
            <w:vAlign w:val="center"/>
            <w:textDirection w:val="lrTb"/>
            <w:noWrap w:val="false"/>
          </w:tcPr>
          <w:p>
            <w:pPr>
              <w:pStyle w:val="1393"/>
              <w:ind w:left="121"/>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754" w:type="dxa"/>
            <w:vAlign w:val="center"/>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790"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22"/>
        </w:trPr>
        <w:tc>
          <w:tcPr>
            <w:tcW w:w="2632" w:type="dxa"/>
            <w:vAlign w:val="center"/>
            <w:textDirection w:val="lrTb"/>
            <w:noWrap w:val="false"/>
          </w:tcPr>
          <w:p>
            <w:pPr>
              <w:pStyle w:val="1393"/>
              <w:ind w:left="116"/>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754" w:type="dxa"/>
            <w:vAlign w:val="center"/>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790"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282"/>
        </w:trPr>
        <w:tc>
          <w:tcPr>
            <w:tcW w:w="2632" w:type="dxa"/>
            <w:vAlign w:val="center"/>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754" w:type="dxa"/>
            <w:vAlign w:val="center"/>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显示屏数量</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1块</w:t>
            </w:r>
            <w:r/>
          </w:p>
        </w:tc>
        <w:tc>
          <w:tcPr>
            <w:tcW w:w="5790"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保洁服务”“3.3 公用设施设备维护服务”</w:t>
            </w:r>
            <w:r/>
          </w:p>
        </w:tc>
      </w:tr>
    </w:tbl>
    <w:p>
      <w:pPr>
        <w:ind w:left="115"/>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14"/>
          <w:footnotePr/>
          <w:endnotePr/>
          <w:type w:val="nextPage"/>
          <w:pgSz w:w="16838" w:h="11905" w:orient="landscape"/>
          <w:pgMar w:top="1440" w:right="1080" w:bottom="1440" w:left="1080" w:header="0" w:footer="918" w:gutter="0"/>
          <w:pgNumType w:start="22"/>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【物业名称2】稀土厂家舍</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6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2"/>
        <w:gridCol w:w="5202"/>
        <w:gridCol w:w="7"/>
        <w:gridCol w:w="3296"/>
        <w:gridCol w:w="4412"/>
      </w:tblGrid>
      <w:tr>
        <w:trPr>
          <w:jc w:val="center"/>
          <w:trHeight w:val="463"/>
        </w:trPr>
        <w:tc>
          <w:tcPr>
            <w:gridSpan w:val="3"/>
            <w:tcW w:w="6911" w:type="dxa"/>
            <w:vAlign w:val="center"/>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296" w:type="dxa"/>
            <w:vAlign w:val="center"/>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412" w:type="dxa"/>
            <w:vAlign w:val="center"/>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jc w:val="center"/>
          <w:trHeight w:val="458"/>
        </w:trPr>
        <w:tc>
          <w:tcPr>
            <w:gridSpan w:val="3"/>
            <w:tcW w:w="6911" w:type="dxa"/>
            <w:vAlign w:val="center"/>
            <w:textDirection w:val="lrTb"/>
            <w:noWrap w:val="false"/>
          </w:tcPr>
          <w:p>
            <w:pPr>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稀土厂家舍</w:t>
            </w:r>
            <w:r/>
          </w:p>
        </w:tc>
        <w:tc>
          <w:tcPr>
            <w:tcW w:w="3296"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412"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60"/>
        </w:trPr>
        <w:tc>
          <w:tcPr>
            <w:tcBorders>
              <w:bottom w:val="none" w:color="000000" w:sz="4" w:space="0"/>
            </w:tcBorders>
            <w:tcW w:w="1702" w:type="dxa"/>
            <w:vAlign w:val="center"/>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gridSpan w:val="2"/>
            <w:tcW w:w="3303"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1600㎡</w:t>
            </w:r>
            <w:r/>
          </w:p>
        </w:tc>
        <w:tc>
          <w:tcPr>
            <w:tcW w:w="4412" w:type="dxa"/>
            <w:vAlign w:val="center"/>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jc w:val="center"/>
          <w:trHeight w:val="458"/>
        </w:trPr>
        <w:tc>
          <w:tcPr>
            <w:tcBorders>
              <w:top w:val="none" w:color="000000"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gridSpan w:val="2"/>
            <w:tcW w:w="3303"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1600㎡</w:t>
            </w:r>
            <w:r/>
          </w:p>
        </w:tc>
        <w:tc>
          <w:tcPr>
            <w:tcW w:w="441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jc w:val="center"/>
          <w:trHeight w:val="391"/>
        </w:trPr>
        <w:tc>
          <w:tcPr>
            <w:tcW w:w="17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jc w:val="center"/>
          <w:trHeight w:val="381"/>
        </w:trPr>
        <w:tc>
          <w:tcPr>
            <w:tcW w:w="17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531"/>
        </w:trPr>
        <w:tc>
          <w:tcPr>
            <w:tcW w:w="17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24"/>
        </w:trPr>
        <w:tc>
          <w:tcPr>
            <w:tcW w:w="17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501"/>
        </w:trPr>
        <w:tc>
          <w:tcPr>
            <w:tcBorders>
              <w:bottom w:val="none" w:color="000000" w:sz="4" w:space="0"/>
            </w:tcBorders>
            <w:tcW w:w="1702" w:type="dxa"/>
            <w:vAlign w:val="center"/>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60"/>
        </w:trPr>
        <w:tc>
          <w:tcPr>
            <w:tcBorders>
              <w:top w:val="none" w:color="000000" w:sz="4" w:space="0"/>
              <w:bottom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4"/>
        </w:trPr>
        <w:tc>
          <w:tcPr>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215"/>
        </w:trPr>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35"/>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 （㎡）及数量（个）</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35"/>
        </w:trPr>
        <w:tc>
          <w:tcPr>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gridSpan w:val="2"/>
            <w:tcW w:w="3303"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412"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jc w:val="center"/>
          <w:trHeight w:val="215"/>
        </w:trPr>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gridSpan w:val="2"/>
            <w:tcW w:w="3303"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12</w:t>
            </w:r>
            <w:r/>
          </w:p>
        </w:tc>
        <w:tc>
          <w:tcPr>
            <w:tcW w:w="4412"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jc w:val="center"/>
          <w:trHeight w:val="410"/>
        </w:trPr>
        <w:tc>
          <w:tcPr>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top w:val="single" w:color="auto" w:sz="4" w:space="0"/>
              <w:left w:val="single" w:color="auto" w:sz="4" w:space="0"/>
              <w:right w:val="single" w:color="auto" w:sz="4" w:space="0"/>
            </w:tcBorders>
            <w:tcW w:w="1702" w:type="dxa"/>
            <w:vAlign w:val="center"/>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511"/>
        </w:trPr>
        <w:tc>
          <w:tcPr>
            <w:tcBorders>
              <w:left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left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left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left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left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left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270"/>
        </w:trPr>
        <w:tc>
          <w:tcPr>
            <w:tcBorders>
              <w:left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0"/>
        </w:trPr>
        <w:tc>
          <w:tcPr>
            <w:tcBorders>
              <w:left w:val="single" w:color="auto" w:sz="4" w:space="0"/>
              <w:bottom w:val="single" w:color="auto" w:sz="4" w:space="0"/>
              <w:right w:val="single" w:color="auto" w:sz="4" w:space="0"/>
            </w:tcBorders>
            <w:tcW w:w="1702" w:type="dxa"/>
            <w:vAlign w:val="center"/>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0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gridSpan w:val="2"/>
            <w:tcW w:w="3303"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412"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注：此表格详细列出了不同建筑物的物业管理指标项及其明细。若存在“建筑 2 ”，则相应增加内容，以此类推。</w:t>
      </w:r>
      <w:r/>
    </w:p>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41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246"/>
      </w:tblGrid>
      <w:tr>
        <w:trPr>
          <w:jc w:val="center"/>
          <w:trHeight w:val="462"/>
        </w:trPr>
        <w:tc>
          <w:tcPr>
            <w:tcW w:w="2632" w:type="dxa"/>
            <w:vAlign w:val="center"/>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vAlign w:val="center"/>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6246" w:type="dxa"/>
            <w:vAlign w:val="center"/>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jc w:val="center"/>
          <w:trHeight w:val="320"/>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6246"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jc w:val="center"/>
          <w:trHeight w:val="313"/>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10㎡</w:t>
            </w:r>
            <w:r/>
          </w:p>
        </w:tc>
        <w:tc>
          <w:tcPr>
            <w:tcW w:w="6246" w:type="dxa"/>
            <w:vAlign w:val="center"/>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见“3.5绿化服务”</w:t>
            </w:r>
            <w:r/>
          </w:p>
        </w:tc>
      </w:tr>
      <w:tr>
        <w:trPr>
          <w:jc w:val="center"/>
          <w:trHeight w:val="378"/>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6246"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jc w:val="center"/>
          <w:trHeight w:val="425"/>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5盏</w:t>
            </w:r>
            <w:r/>
          </w:p>
        </w:tc>
        <w:tc>
          <w:tcPr>
            <w:tcW w:w="6246" w:type="dxa"/>
            <w:vAlign w:val="center"/>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见“3.4 保洁服务”“3.3 公用设施设备维护服务”</w:t>
            </w:r>
            <w:r/>
          </w:p>
        </w:tc>
      </w:tr>
      <w:tr>
        <w:trPr>
          <w:jc w:val="center"/>
          <w:trHeight w:val="363"/>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246"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52"/>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246"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82"/>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246"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12"/>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246"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62"/>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246"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307"/>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246"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jc w:val="center"/>
          <w:trHeight w:val="462"/>
        </w:trPr>
        <w:tc>
          <w:tcPr>
            <w:tcW w:w="2632" w:type="dxa"/>
            <w:vAlign w:val="center"/>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246" w:type="dxa"/>
            <w:vAlign w:val="center"/>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15"/>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【物业名称3】供销新村</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2"/>
        <w:gridCol w:w="5344"/>
        <w:gridCol w:w="7"/>
        <w:gridCol w:w="3253"/>
        <w:gridCol w:w="7"/>
        <w:gridCol w:w="4289"/>
      </w:tblGrid>
      <w:tr>
        <w:trPr>
          <w:trHeight w:val="463"/>
        </w:trPr>
        <w:tc>
          <w:tcPr>
            <w:gridSpan w:val="3"/>
            <w:tcW w:w="7053" w:type="dxa"/>
            <w:textDirection w:val="lrTb"/>
            <w:noWrap w:val="false"/>
          </w:tcPr>
          <w:p>
            <w:pPr>
              <w:ind w:left="159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gridSpan w:val="2"/>
            <w:tcW w:w="3260" w:type="dxa"/>
            <w:textDirection w:val="lrTb"/>
            <w:noWrap w:val="false"/>
          </w:tcPr>
          <w:p>
            <w:pPr>
              <w:ind w:firstLine="2114"/>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289" w:type="dxa"/>
            <w:textDirection w:val="lrTb"/>
            <w:noWrap w:val="false"/>
          </w:tcPr>
          <w:p>
            <w:pPr>
              <w:ind w:left="1355" w:firstLine="1205"/>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393"/>
        </w:trPr>
        <w:tc>
          <w:tcPr>
            <w:gridSpan w:val="3"/>
            <w:tcW w:w="705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供销新村</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小区住宅</w:t>
            </w:r>
            <w:r/>
          </w:p>
        </w:tc>
        <w:tc>
          <w:tcPr>
            <w:tcW w:w="428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370"/>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6000㎡</w:t>
            </w:r>
            <w:r/>
          </w:p>
        </w:tc>
        <w:tc>
          <w:tcPr>
            <w:gridSpan w:val="2"/>
            <w:tcW w:w="4296"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383"/>
        </w:trPr>
        <w:tc>
          <w:tcPr>
            <w:tcBorders>
              <w:top w:val="none" w:color="000000"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6000㎡</w:t>
            </w:r>
            <w:r/>
          </w:p>
        </w:tc>
        <w:tc>
          <w:tcPr>
            <w:gridSpan w:val="2"/>
            <w:tcW w:w="4296"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296" w:type="dxa"/>
            <w:vAlign w:val="center"/>
            <w:textDirection w:val="lrTb"/>
            <w:noWrap w:val="false"/>
          </w:tcPr>
          <w:p>
            <w:pPr>
              <w:ind w:left="115"/>
              <w:jc w:val="center"/>
              <w:spacing w:before="20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296"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296"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24"/>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 （㎡）</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296"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1"/>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 （㎡）</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296" w:type="dxa"/>
            <w:textDirection w:val="lrTb"/>
            <w:noWrap w:val="false"/>
          </w:tcPr>
          <w:p>
            <w:pPr>
              <w:ind w:left="115"/>
              <w:jc w:val="center"/>
              <w:spacing w:before="6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1"/>
        </w:trPr>
        <w:tc>
          <w:tcPr>
            <w:tcBorders>
              <w:top w:val="none" w:color="000000"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5"/>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39"/>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1" w:right="108" w:firstLine="4"/>
              <w:jc w:val="center"/>
              <w:spacing w:before="3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5"/>
              <w:jc w:val="center"/>
              <w:spacing w:before="20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 （㎡）及数量（个）</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4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296"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00"/>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gridSpan w:val="2"/>
            <w:tcW w:w="326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12</w:t>
            </w:r>
            <w:r/>
          </w:p>
        </w:tc>
        <w:tc>
          <w:tcPr>
            <w:gridSpan w:val="2"/>
            <w:tcW w:w="4296"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37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00"/>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7"/>
        </w:trPr>
        <w:tc>
          <w:tcPr>
            <w:tcBorders>
              <w:top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gridSpan w:val="2"/>
            <w:tcW w:w="326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0"/>
              <w:spacing w:before="22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gridSpan w:val="2"/>
            <w:tcW w:w="3260" w:type="dxa"/>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8"/>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3"/>
              <w:spacing w:before="20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gridSpan w:val="2"/>
            <w:tcW w:w="3260"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09"/>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gridSpan w:val="2"/>
            <w:tcW w:w="3260" w:type="dxa"/>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3"/>
              <w:spacing w:before="20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gridSpan w:val="2"/>
            <w:tcW w:w="3260"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16"/>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gridSpan w:val="2"/>
            <w:tcW w:w="3260"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2" w:right="107" w:firstLine="3"/>
              <w:jc w:val="center"/>
              <w:spacing w:before="3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344" w:type="dxa"/>
            <w:textDirection w:val="lrTb"/>
            <w:noWrap w:val="false"/>
          </w:tcPr>
          <w:p>
            <w:pPr>
              <w:pStyle w:val="1393"/>
              <w:ind w:left="109"/>
              <w:spacing w:before="3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gridSpan w:val="2"/>
            <w:tcW w:w="3260"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296" w:type="dxa"/>
            <w:vAlign w:val="center"/>
            <w:textDirection w:val="lrTb"/>
            <w:noWrap w:val="false"/>
          </w:tcPr>
          <w:p>
            <w:pPr>
              <w:ind w:left="115"/>
              <w:jc w:val="center"/>
              <w:spacing w:before="3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4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72"/>
      </w:tblGrid>
      <w:tr>
        <w:trPr>
          <w:trHeight w:val="462"/>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6672"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335"/>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0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8"/>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25"/>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路灯</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5盏</w:t>
            </w:r>
            <w:r/>
          </w:p>
        </w:tc>
        <w:tc>
          <w:tcPr>
            <w:tcW w:w="6672"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见“3.4 保洁服务”“3.3设施、设备运行维护管理标准”</w:t>
            </w:r>
            <w:r/>
          </w:p>
        </w:tc>
      </w:tr>
      <w:tr>
        <w:trPr>
          <w:trHeight w:val="333"/>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42"/>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垃圾分类房1座</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67"/>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7"/>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27"/>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1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72"/>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sectPr>
          <w:footerReference w:type="default" r:id="rId16"/>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r>
      <w:r/>
    </w:p>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【物业名称4】锦绣东苑</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8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2"/>
        <w:gridCol w:w="5486"/>
        <w:gridCol w:w="7"/>
        <w:gridCol w:w="3536"/>
        <w:gridCol w:w="7"/>
        <w:gridCol w:w="4104"/>
        <w:gridCol w:w="7"/>
      </w:tblGrid>
      <w:tr>
        <w:trPr>
          <w:trHeight w:val="463"/>
        </w:trPr>
        <w:tc>
          <w:tcPr>
            <w:gridSpan w:val="3"/>
            <w:tcW w:w="7195"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gridSpan w:val="2"/>
            <w:tcW w:w="354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gridSpan w:val="2"/>
            <w:tcW w:w="411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393"/>
        </w:trPr>
        <w:tc>
          <w:tcPr>
            <w:gridSpan w:val="3"/>
            <w:tcW w:w="719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锦绣东苑</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gridSpan w:val="2"/>
            <w:tcW w:w="411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gridAfter w:val="1"/>
          <w:trHeight w:val="370"/>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22250㎡</w:t>
            </w:r>
            <w:r/>
          </w:p>
        </w:tc>
        <w:tc>
          <w:tcPr>
            <w:gridSpan w:val="2"/>
            <w:tcW w:w="4111"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gridAfter w:val="1"/>
          <w:trHeight w:val="383"/>
        </w:trPr>
        <w:tc>
          <w:tcPr>
            <w:tcBorders>
              <w:top w:val="none" w:color="000000"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22250㎡</w:t>
            </w:r>
            <w:r/>
          </w:p>
        </w:tc>
        <w:tc>
          <w:tcPr>
            <w:gridSpan w:val="2"/>
            <w:tcW w:w="4111"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gridAfter w:val="1"/>
          <w:trHeight w:val="35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111" w:type="dxa"/>
            <w:vAlign w:val="center"/>
            <w:textDirection w:val="lrTb"/>
            <w:noWrap w:val="false"/>
          </w:tcPr>
          <w:p>
            <w:pPr>
              <w:ind w:left="115"/>
              <w:jc w:val="center"/>
              <w:spacing w:before="20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5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111"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111"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24"/>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111"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21"/>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111" w:type="dxa"/>
            <w:textDirection w:val="lrTb"/>
            <w:noWrap w:val="false"/>
          </w:tcPr>
          <w:p>
            <w:pPr>
              <w:ind w:left="115"/>
              <w:jc w:val="center"/>
              <w:spacing w:before="6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91"/>
        </w:trPr>
        <w:tc>
          <w:tcPr>
            <w:tcBorders>
              <w:top w:val="none" w:color="000000"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textDirection w:val="lrTb"/>
            <w:noWrap w:val="false"/>
          </w:tcPr>
          <w:p>
            <w:pPr>
              <w:ind w:left="115"/>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39"/>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textDirection w:val="lrTb"/>
            <w:noWrap w:val="false"/>
          </w:tcPr>
          <w:p>
            <w:pPr>
              <w:ind w:left="111" w:right="108" w:firstLine="4"/>
              <w:jc w:val="center"/>
              <w:spacing w:before="3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textDirection w:val="lrTb"/>
            <w:noWrap w:val="false"/>
          </w:tcPr>
          <w:p>
            <w:pPr>
              <w:ind w:left="115"/>
              <w:jc w:val="center"/>
              <w:spacing w:before="20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87"/>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 （㎡）及数量（个）</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7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111"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00"/>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gridSpan w:val="2"/>
            <w:tcW w:w="354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111"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37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gridSpan w:val="2"/>
            <w:tcW w:w="4111"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00"/>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gridSpan w:val="2"/>
            <w:tcW w:w="4111"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gridAfter w:val="1"/>
          <w:trHeight w:val="397"/>
        </w:trPr>
        <w:tc>
          <w:tcPr>
            <w:tcBorders>
              <w:top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gridSpan w:val="2"/>
            <w:tcW w:w="354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0"/>
              <w:spacing w:before="22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gridSpan w:val="2"/>
            <w:tcW w:w="3543" w:type="dxa"/>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gridSpan w:val="2"/>
            <w:tcW w:w="4111"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28"/>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3"/>
              <w:spacing w:before="20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gridSpan w:val="2"/>
            <w:tcW w:w="3543"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09"/>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gridSpan w:val="2"/>
            <w:tcW w:w="3543" w:type="dxa"/>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3"/>
              <w:spacing w:before="20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gridSpan w:val="2"/>
            <w:tcW w:w="3543"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44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16"/>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gridSpan w:val="2"/>
            <w:tcW w:w="3543"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2" w:right="107" w:firstLine="3"/>
              <w:jc w:val="center"/>
              <w:spacing w:before="3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486" w:type="dxa"/>
            <w:textDirection w:val="lrTb"/>
            <w:noWrap w:val="false"/>
          </w:tcPr>
          <w:p>
            <w:pPr>
              <w:pStyle w:val="1393"/>
              <w:ind w:left="109"/>
              <w:spacing w:before="3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gridSpan w:val="2"/>
            <w:tcW w:w="354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111" w:type="dxa"/>
            <w:vAlign w:val="center"/>
            <w:textDirection w:val="lrTb"/>
            <w:noWrap w:val="false"/>
          </w:tcPr>
          <w:p>
            <w:pPr>
              <w:ind w:left="115"/>
              <w:jc w:val="center"/>
              <w:spacing w:before="3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6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120"/>
        <w:gridCol w:w="5298"/>
        <w:gridCol w:w="5254"/>
      </w:tblGrid>
      <w:tr>
        <w:trPr>
          <w:trHeight w:val="462"/>
        </w:trPr>
        <w:tc>
          <w:tcPr>
            <w:tcW w:w="3120"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335"/>
        </w:trPr>
        <w:tc>
          <w:tcPr>
            <w:tcW w:w="3120"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07"/>
        </w:trPr>
        <w:tc>
          <w:tcPr>
            <w:tcW w:w="3120"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3"/>
        </w:trPr>
        <w:tc>
          <w:tcPr>
            <w:tcW w:w="3120"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25"/>
        </w:trPr>
        <w:tc>
          <w:tcPr>
            <w:tcW w:w="3120"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33"/>
        </w:trPr>
        <w:tc>
          <w:tcPr>
            <w:tcW w:w="3120"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42"/>
        </w:trPr>
        <w:tc>
          <w:tcPr>
            <w:tcW w:w="3120"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垃圾分类房1座</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67"/>
        </w:trPr>
        <w:tc>
          <w:tcPr>
            <w:tcW w:w="3120"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7"/>
        </w:trPr>
        <w:tc>
          <w:tcPr>
            <w:tcW w:w="3120"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27"/>
        </w:trPr>
        <w:tc>
          <w:tcPr>
            <w:tcW w:w="3120"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12"/>
        </w:trPr>
        <w:tc>
          <w:tcPr>
            <w:tcW w:w="3120"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72"/>
        </w:trPr>
        <w:tc>
          <w:tcPr>
            <w:tcW w:w="3120"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sectPr>
          <w:footerReference w:type="default" r:id="rId17"/>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r>
      <w:r/>
    </w:p>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【物业名称5】县建家舍</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7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1"/>
        <w:gridCol w:w="5244"/>
        <w:gridCol w:w="3990"/>
        <w:gridCol w:w="3983"/>
        <w:gridCol w:w="7"/>
      </w:tblGrid>
      <w:tr>
        <w:trPr>
          <w:gridAfter w:val="1"/>
          <w:trHeight w:val="463"/>
        </w:trPr>
        <w:tc>
          <w:tcPr>
            <w:gridSpan w:val="2"/>
            <w:tcW w:w="6805"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990"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398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gridAfter w:val="1"/>
          <w:trHeight w:val="393"/>
        </w:trPr>
        <w:tc>
          <w:tcPr>
            <w:gridSpan w:val="2"/>
            <w:tcW w:w="680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县建家舍</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398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370"/>
        </w:trPr>
        <w:tc>
          <w:tcPr>
            <w:tcBorders>
              <w:bottom w:val="none" w:color="000000"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6825㎡</w:t>
            </w:r>
            <w:r/>
          </w:p>
        </w:tc>
        <w:tc>
          <w:tcPr>
            <w:gridSpan w:val="2"/>
            <w:tcW w:w="3990"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383"/>
        </w:trPr>
        <w:tc>
          <w:tcPr>
            <w:tcBorders>
              <w:top w:val="none" w:color="000000"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6825㎡</w:t>
            </w:r>
            <w:r/>
          </w:p>
        </w:tc>
        <w:tc>
          <w:tcPr>
            <w:gridSpan w:val="2"/>
            <w:tcW w:w="3990"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3990" w:type="dxa"/>
            <w:vAlign w:val="center"/>
            <w:textDirection w:val="lrTb"/>
            <w:noWrap w:val="false"/>
          </w:tcPr>
          <w:p>
            <w:pPr>
              <w:ind w:left="115"/>
              <w:jc w:val="center"/>
              <w:spacing w:before="20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1"/>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3990"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1"/>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3990"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24"/>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3990"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1"/>
        </w:trPr>
        <w:tc>
          <w:tcPr>
            <w:tcBorders>
              <w:bottom w:val="none" w:color="000000"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3990" w:type="dxa"/>
            <w:textDirection w:val="lrTb"/>
            <w:noWrap w:val="false"/>
          </w:tcPr>
          <w:p>
            <w:pPr>
              <w:ind w:left="115"/>
              <w:jc w:val="center"/>
              <w:spacing w:before="6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1"/>
        </w:trPr>
        <w:tc>
          <w:tcPr>
            <w:tcBorders>
              <w:top w:val="none" w:color="000000" w:sz="4" w:space="0"/>
              <w:bottom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5"/>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39"/>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1" w:right="108" w:firstLine="4"/>
              <w:jc w:val="center"/>
              <w:spacing w:before="3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5"/>
              <w:jc w:val="center"/>
              <w:spacing w:before="20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 （㎡）及数量（个）</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40"/>
        </w:trPr>
        <w:tc>
          <w:tcPr>
            <w:tcBorders>
              <w:top w:val="single" w:color="auto" w:sz="4" w:space="0"/>
              <w:bottom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3990"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00"/>
        </w:trPr>
        <w:tc>
          <w:tcPr>
            <w:tcBorders>
              <w:top w:val="single" w:color="auto" w:sz="4" w:space="0"/>
              <w:bottom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99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3990"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70"/>
        </w:trPr>
        <w:tc>
          <w:tcPr>
            <w:tcBorders>
              <w:top w:val="single" w:color="auto" w:sz="4" w:space="0"/>
              <w:bottom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gridSpan w:val="2"/>
            <w:tcW w:w="3990"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trHeight w:val="400"/>
        </w:trPr>
        <w:tc>
          <w:tcPr>
            <w:tcBorders>
              <w:top w:val="single" w:color="auto" w:sz="4" w:space="0"/>
              <w:bottom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7"/>
        </w:trPr>
        <w:tc>
          <w:tcPr>
            <w:tcBorders>
              <w:top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 （可另行 附表）</w:t>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99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0"/>
              <w:spacing w:before="22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990" w:type="dxa"/>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gridSpan w:val="2"/>
            <w:tcW w:w="3990"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8"/>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3"/>
              <w:spacing w:before="20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990"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09"/>
              <w:spacing w:before="20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990" w:type="dxa"/>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3"/>
              <w:spacing w:before="20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990"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16"/>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990" w:type="dxa"/>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2" w:right="107" w:firstLine="3"/>
              <w:jc w:val="center"/>
              <w:spacing w:before="3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4" w:type="dxa"/>
            <w:textDirection w:val="lrTb"/>
            <w:noWrap w:val="false"/>
          </w:tcPr>
          <w:p>
            <w:pPr>
              <w:pStyle w:val="1393"/>
              <w:ind w:left="109"/>
              <w:spacing w:before="3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990"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3990" w:type="dxa"/>
            <w:vAlign w:val="center"/>
            <w:textDirection w:val="lrTb"/>
            <w:noWrap w:val="false"/>
          </w:tcPr>
          <w:p>
            <w:pPr>
              <w:ind w:left="115"/>
              <w:jc w:val="center"/>
              <w:spacing w:before="3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8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262"/>
        <w:gridCol w:w="5298"/>
        <w:gridCol w:w="5254"/>
      </w:tblGrid>
      <w:tr>
        <w:trPr>
          <w:trHeight w:val="462"/>
        </w:trPr>
        <w:tc>
          <w:tcPr>
            <w:tcW w:w="326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335"/>
        </w:trPr>
        <w:tc>
          <w:tcPr>
            <w:tcW w:w="326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07"/>
        </w:trPr>
        <w:tc>
          <w:tcPr>
            <w:tcW w:w="326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3"/>
        </w:trPr>
        <w:tc>
          <w:tcPr>
            <w:tcW w:w="326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25"/>
        </w:trPr>
        <w:tc>
          <w:tcPr>
            <w:tcW w:w="326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326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42"/>
        </w:trPr>
        <w:tc>
          <w:tcPr>
            <w:tcW w:w="326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垃圾分类房1座</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67"/>
        </w:trPr>
        <w:tc>
          <w:tcPr>
            <w:tcW w:w="326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97"/>
        </w:trPr>
        <w:tc>
          <w:tcPr>
            <w:tcW w:w="326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27"/>
        </w:trPr>
        <w:tc>
          <w:tcPr>
            <w:tcW w:w="326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12"/>
        </w:trPr>
        <w:tc>
          <w:tcPr>
            <w:tcW w:w="326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72"/>
        </w:trPr>
        <w:tc>
          <w:tcPr>
            <w:tcW w:w="326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18"/>
          <w:footnotePr/>
          <w:endnotePr/>
          <w:type w:val="nextPage"/>
          <w:pgSz w:w="16838" w:h="11905" w:orient="landscape"/>
          <w:pgMar w:top="1440" w:right="1080" w:bottom="1440" w:left="1080" w:header="0" w:footer="918"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【物业名称6】老街沿河（4层）</w:t>
      </w:r>
      <w:r/>
    </w:p>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1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04"/>
        <w:gridCol w:w="5097"/>
        <w:gridCol w:w="2628"/>
        <w:gridCol w:w="4735"/>
      </w:tblGrid>
      <w:tr>
        <w:trPr>
          <w:trHeight w:val="90"/>
        </w:trPr>
        <w:tc>
          <w:tcPr>
            <w:gridSpan w:val="2"/>
            <w:tcW w:w="68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名称</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明细</w:t>
            </w:r>
            <w:r/>
          </w:p>
        </w:tc>
        <w:tc>
          <w:tcPr>
            <w:tcW w:w="473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服务内容及标准</w:t>
            </w:r>
            <w:r/>
          </w:p>
        </w:tc>
      </w:tr>
      <w:tr>
        <w:trPr>
          <w:trHeight w:val="283"/>
        </w:trPr>
        <w:tc>
          <w:tcPr>
            <w:gridSpan w:val="2"/>
            <w:tcW w:w="68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老街沿河（4层）</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住宅小区</w:t>
            </w:r>
            <w:r/>
          </w:p>
        </w:tc>
        <w:tc>
          <w:tcPr>
            <w:tcW w:w="473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r>
      <w:tr>
        <w:trPr>
          <w:trHeight w:val="327"/>
        </w:trPr>
        <w:tc>
          <w:tcPr>
            <w:tcBorders>
              <w:bottom w:val="none" w:color="000000" w:sz="4" w:space="0"/>
            </w:tcBorders>
            <w:tcW w:w="170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1027㎡</w:t>
            </w:r>
            <w:r/>
          </w:p>
        </w:tc>
        <w:tc>
          <w:tcPr>
            <w:tcW w:w="4735"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387"/>
        </w:trPr>
        <w:tc>
          <w:tcPr>
            <w:tcBorders>
              <w:top w:val="none" w:color="000000" w:sz="4" w:space="0"/>
            </w:tcBorders>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1027㎡</w:t>
            </w:r>
            <w:r/>
          </w:p>
        </w:tc>
        <w:tc>
          <w:tcPr>
            <w:tcW w:w="4735"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227"/>
        </w:trPr>
        <w:tc>
          <w:tcPr>
            <w:tcW w:w="170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vAlign w:val="center"/>
            <w:textDirection w:val="lrTb"/>
            <w:noWrap w:val="false"/>
          </w:tcPr>
          <w:p>
            <w:pPr>
              <w:ind w:left="115"/>
              <w:jc w:val="center"/>
              <w:spacing w:before="20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7"/>
        </w:trPr>
        <w:tc>
          <w:tcPr>
            <w:tcW w:w="170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7"/>
        </w:trPr>
        <w:tc>
          <w:tcPr>
            <w:tcW w:w="170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7"/>
        </w:trPr>
        <w:tc>
          <w:tcPr>
            <w:tcW w:w="170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5"/>
              <w:jc w:val="center"/>
              <w:spacing w:before="20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90"/>
        </w:trPr>
        <w:tc>
          <w:tcPr>
            <w:tcBorders>
              <w:bottom w:val="none" w:color="000000" w:sz="4" w:space="0"/>
            </w:tcBorders>
            <w:tcW w:w="170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5"/>
              <w:jc w:val="center"/>
              <w:spacing w:before="6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72"/>
        </w:trPr>
        <w:tc>
          <w:tcPr>
            <w:tcBorders>
              <w:top w:val="none" w:color="000000" w:sz="4" w:space="0"/>
              <w:bottom w:val="single" w:color="auto" w:sz="4" w:space="0"/>
            </w:tcBorders>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5"/>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7"/>
        </w:trPr>
        <w:tc>
          <w:tcPr>
            <w:tcBorders>
              <w:top w:val="single" w:color="auto" w:sz="4" w:space="0"/>
              <w:left w:val="single" w:color="auto" w:sz="4" w:space="0"/>
              <w:bottom w:val="single" w:color="auto" w:sz="4" w:space="0"/>
              <w:right w:val="single" w:color="auto" w:sz="4" w:space="0"/>
            </w:tcBorders>
            <w:tcW w:w="170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1" w:right="108" w:firstLine="4"/>
              <w:jc w:val="center"/>
              <w:spacing w:before="3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5"/>
              <w:jc w:val="center"/>
              <w:spacing w:before="20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7"/>
        </w:trPr>
        <w:tc>
          <w:tcPr>
            <w:tcBorders>
              <w:top w:val="single" w:color="auto" w:sz="4" w:space="0"/>
              <w:left w:val="single" w:color="auto" w:sz="4" w:space="0"/>
              <w:bottom w:val="single" w:color="auto" w:sz="4" w:space="0"/>
              <w:right w:val="single" w:color="auto" w:sz="4" w:space="0"/>
            </w:tcBorders>
            <w:tcW w:w="1704" w:type="dxa"/>
            <w:vMerge w:val="restart"/>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7"/>
        </w:trPr>
        <w:tc>
          <w:tcPr>
            <w:tcBorders>
              <w:top w:val="single" w:color="auto" w:sz="4" w:space="0"/>
              <w:left w:val="single" w:color="auto" w:sz="4" w:space="0"/>
              <w:bottom w:val="single" w:color="auto" w:sz="4" w:space="0"/>
              <w:right w:val="single" w:color="auto" w:sz="4" w:space="0"/>
            </w:tcBorders>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7"/>
        </w:trPr>
        <w:tc>
          <w:tcPr>
            <w:tcBorders>
              <w:top w:val="single" w:color="auto" w:sz="4" w:space="0"/>
              <w:left w:val="single" w:color="auto" w:sz="4" w:space="0"/>
              <w:bottom w:val="single" w:color="auto" w:sz="4" w:space="0"/>
              <w:right w:val="single" w:color="auto" w:sz="4" w:space="0"/>
            </w:tcBorders>
            <w:tcW w:w="170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87"/>
        </w:trPr>
        <w:tc>
          <w:tcPr>
            <w:tcBorders>
              <w:top w:val="single" w:color="auto" w:sz="4" w:space="0"/>
              <w:bottom w:val="single" w:color="auto" w:sz="4" w:space="0"/>
            </w:tcBorders>
            <w:tcW w:w="1704" w:type="dxa"/>
            <w:vMerge w:val="restart"/>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90"/>
        </w:trPr>
        <w:tc>
          <w:tcPr>
            <w:tcBorders>
              <w:top w:val="single" w:color="auto" w:sz="4" w:space="0"/>
              <w:bottom w:val="single" w:color="auto" w:sz="4" w:space="0"/>
            </w:tcBorders>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pStyle w:val="1393"/>
              <w:ind w:left="118"/>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70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52"/>
        </w:trPr>
        <w:tc>
          <w:tcPr>
            <w:tcBorders>
              <w:top w:val="single" w:color="auto" w:sz="4" w:space="0"/>
              <w:bottom w:val="single" w:color="auto" w:sz="4" w:space="0"/>
            </w:tcBorders>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2628"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735" w:type="dxa"/>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7"/>
        </w:trPr>
        <w:tc>
          <w:tcPr>
            <w:tcBorders>
              <w:top w:val="single" w:color="auto" w:sz="4" w:space="0"/>
            </w:tcBorders>
            <w:tcW w:w="170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2628"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2"/>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2628"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2628"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8"/>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2628"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735"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90"/>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2628"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2628"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2628"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2" w:right="107" w:firstLine="3"/>
              <w:jc w:val="center"/>
              <w:spacing w:before="3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46"/>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2628"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2" w:right="107" w:firstLine="3"/>
              <w:jc w:val="center"/>
              <w:spacing w:before="37"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70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9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2628"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735" w:type="dxa"/>
            <w:vAlign w:val="center"/>
            <w:textDirection w:val="lrTb"/>
            <w:noWrap w:val="false"/>
          </w:tcPr>
          <w:p>
            <w:pPr>
              <w:ind w:left="115"/>
              <w:jc w:val="center"/>
              <w:spacing w:before="38"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3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36"/>
        <w:gridCol w:w="5298"/>
        <w:gridCol w:w="5254"/>
      </w:tblGrid>
      <w:tr>
        <w:trPr>
          <w:trHeight w:val="296"/>
        </w:trPr>
        <w:tc>
          <w:tcPr>
            <w:tcW w:w="2836"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170"/>
        </w:trPr>
        <w:tc>
          <w:tcPr>
            <w:tcW w:w="2836"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4"/>
        </w:trPr>
        <w:tc>
          <w:tcPr>
            <w:tcW w:w="2836"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79"/>
        </w:trPr>
        <w:tc>
          <w:tcPr>
            <w:tcW w:w="2836"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170"/>
        </w:trPr>
        <w:tc>
          <w:tcPr>
            <w:tcW w:w="2836"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5254" w:type="dxa"/>
            <w:textDirection w:val="lrTb"/>
            <w:noWrap w:val="false"/>
          </w:tcPr>
          <w:p>
            <w:pPr>
              <w:pStyle w:val="1393"/>
              <w:ind w:left="118"/>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【物业名称7】老街（2层）</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50"/>
        <w:gridCol w:w="5214"/>
        <w:gridCol w:w="3216"/>
        <w:gridCol w:w="4655"/>
      </w:tblGrid>
      <w:tr>
        <w:trPr>
          <w:trHeight w:val="227"/>
        </w:trPr>
        <w:tc>
          <w:tcPr>
            <w:gridSpan w:val="2"/>
            <w:tcW w:w="6664"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21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655"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27"/>
        </w:trPr>
        <w:tc>
          <w:tcPr>
            <w:gridSpan w:val="2"/>
            <w:tcW w:w="6664"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老街（2层）</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65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450"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672㎡</w:t>
            </w:r>
            <w:r/>
          </w:p>
        </w:tc>
        <w:tc>
          <w:tcPr>
            <w:tcW w:w="4655"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672㎡</w:t>
            </w:r>
            <w:r/>
          </w:p>
        </w:tc>
        <w:tc>
          <w:tcPr>
            <w:tcW w:w="4655"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45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45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 （㎡）</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45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45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 （㎡）</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450"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 （㎡）</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450"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450"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45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45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450"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450"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 口</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21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655"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450" w:type="dxa"/>
            <w:vMerge w:val="restart"/>
            <w:textDirection w:val="lrTb"/>
            <w:noWrap w:val="false"/>
          </w:tcPr>
          <w:p>
            <w:pPr>
              <w:pStyle w:val="1393"/>
              <w:ind w:left="115"/>
              <w:jc w:val="left"/>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设施设备（可另行附表）</w:t>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21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21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21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216"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655"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21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216"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21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21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450"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1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216"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655"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396"/>
      </w:tblGrid>
      <w:tr>
        <w:trPr>
          <w:trHeight w:val="279"/>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396"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383"/>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【物业名称8】老街沿河（5层）</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3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5144"/>
        <w:gridCol w:w="3096"/>
        <w:gridCol w:w="4234"/>
      </w:tblGrid>
      <w:tr>
        <w:trPr>
          <w:trHeight w:val="339"/>
        </w:trPr>
        <w:tc>
          <w:tcPr>
            <w:gridSpan w:val="2"/>
            <w:tcW w:w="6988"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09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234" w:type="dxa"/>
            <w:textDirection w:val="lrTb"/>
            <w:noWrap w:val="false"/>
          </w:tcPr>
          <w:p>
            <w:pPr>
              <w:ind w:left="1355"/>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988"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老街沿河（5层）</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23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672㎡</w:t>
            </w:r>
            <w:r/>
          </w:p>
        </w:tc>
        <w:tc>
          <w:tcPr>
            <w:tcW w:w="4234"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672㎡</w:t>
            </w:r>
            <w:r/>
          </w:p>
        </w:tc>
        <w:tc>
          <w:tcPr>
            <w:tcW w:w="4234"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 （㎡）</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 （㎡）</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09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234"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09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09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09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096"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234"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09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096"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09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09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096"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234"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254"/>
      </w:tblGrid>
      <w:tr>
        <w:trPr>
          <w:trHeight w:val="462"/>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4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【物业名称9】东旺新村</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4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5067"/>
        <w:gridCol w:w="3426"/>
        <w:gridCol w:w="4123"/>
      </w:tblGrid>
      <w:tr>
        <w:trPr>
          <w:trHeight w:val="339"/>
        </w:trPr>
        <w:tc>
          <w:tcPr>
            <w:gridSpan w:val="2"/>
            <w:tcW w:w="691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42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123" w:type="dxa"/>
            <w:textDirection w:val="lrTb"/>
            <w:noWrap w:val="false"/>
          </w:tcPr>
          <w:p>
            <w:pPr>
              <w:ind w:left="1355"/>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911"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东旺新村</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12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9139㎡</w:t>
            </w:r>
            <w:r/>
          </w:p>
        </w:tc>
        <w:tc>
          <w:tcPr>
            <w:tcW w:w="412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9139㎡</w:t>
            </w:r>
            <w:r/>
          </w:p>
        </w:tc>
        <w:tc>
          <w:tcPr>
            <w:tcW w:w="412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8</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4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12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42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42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42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426"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123"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42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426"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42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42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067"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426"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12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254"/>
      </w:tblGrid>
      <w:tr>
        <w:trPr>
          <w:trHeight w:val="236"/>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61"/>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垃圾分类房1座</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ind w:left="508"/>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【物业名称10】农贸市场北沿边住宅</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7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2"/>
        <w:gridCol w:w="5239"/>
        <w:gridCol w:w="3501"/>
        <w:gridCol w:w="4301"/>
      </w:tblGrid>
      <w:tr>
        <w:trPr>
          <w:trHeight w:val="339"/>
        </w:trPr>
        <w:tc>
          <w:tcPr>
            <w:gridSpan w:val="2"/>
            <w:tcW w:w="694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50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30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941"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农贸市场北沿边住宅</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30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5677㎡</w:t>
            </w:r>
            <w:r/>
          </w:p>
        </w:tc>
        <w:tc>
          <w:tcPr>
            <w:tcW w:w="4301"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5677㎡</w:t>
            </w:r>
            <w:r/>
          </w:p>
        </w:tc>
        <w:tc>
          <w:tcPr>
            <w:tcW w:w="4301"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 材质及总面积 （㎡）</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5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5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5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501"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301"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5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501"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5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5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3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501"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01"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254"/>
      </w:tblGrid>
      <w:tr>
        <w:trPr>
          <w:trHeight w:val="279"/>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ind w:left="142"/>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【物业名称11】农贸市场二层以上住宅</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4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5246"/>
        <w:gridCol w:w="3351"/>
        <w:gridCol w:w="4019"/>
      </w:tblGrid>
      <w:tr>
        <w:trPr>
          <w:trHeight w:val="339"/>
        </w:trPr>
        <w:tc>
          <w:tcPr>
            <w:gridSpan w:val="2"/>
            <w:tcW w:w="7090"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35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019" w:type="dxa"/>
            <w:textDirection w:val="lrTb"/>
            <w:noWrap w:val="false"/>
          </w:tcPr>
          <w:p>
            <w:pPr>
              <w:ind w:left="1355"/>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7090"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农贸市场二层以上住宅</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01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7433㎡</w:t>
            </w:r>
            <w:r/>
          </w:p>
        </w:tc>
        <w:tc>
          <w:tcPr>
            <w:tcW w:w="4019"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7433㎡</w:t>
            </w:r>
            <w:r/>
          </w:p>
        </w:tc>
        <w:tc>
          <w:tcPr>
            <w:tcW w:w="401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3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019"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35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35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35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351"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019"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35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351"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35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35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246"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351"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019"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254"/>
      </w:tblGrid>
      <w:tr>
        <w:trPr>
          <w:trHeight w:val="279"/>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ind w:left="508"/>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【物业名称12】供销社家舍</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3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5199"/>
        <w:gridCol w:w="3126"/>
        <w:gridCol w:w="4513"/>
      </w:tblGrid>
      <w:tr>
        <w:trPr>
          <w:trHeight w:val="339"/>
        </w:trPr>
        <w:tc>
          <w:tcPr>
            <w:gridSpan w:val="2"/>
            <w:tcW w:w="6664"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12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51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664"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供销社家舍</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51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352"/>
        </w:trPr>
        <w:tc>
          <w:tcPr>
            <w:tcBorders>
              <w:bottom w:val="none" w:color="000000" w:sz="4" w:space="0"/>
            </w:tcBorders>
            <w:tcW w:w="1465"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3427㎡</w:t>
            </w:r>
            <w:r/>
          </w:p>
        </w:tc>
        <w:tc>
          <w:tcPr>
            <w:tcW w:w="451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3427㎡</w:t>
            </w:r>
            <w:r/>
          </w:p>
        </w:tc>
        <w:tc>
          <w:tcPr>
            <w:tcW w:w="451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46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46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46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46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465"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465"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465"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46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465"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465"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465"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 口</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12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465"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 （可另行 附表）</w:t>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12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12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12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126"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513"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12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126"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12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12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465"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99"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126"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254"/>
      </w:tblGrid>
      <w:tr>
        <w:trPr>
          <w:trHeight w:val="279"/>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垃圾分类房1座</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ind w:left="508"/>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【物业名称13】长城机械厂家舍</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4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2"/>
        <w:gridCol w:w="4962"/>
        <w:gridCol w:w="3306"/>
        <w:gridCol w:w="4513"/>
      </w:tblGrid>
      <w:tr>
        <w:trPr>
          <w:trHeight w:val="339"/>
        </w:trPr>
        <w:tc>
          <w:tcPr>
            <w:gridSpan w:val="2"/>
            <w:tcW w:w="6664"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30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51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664"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长城机械厂家舍</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51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15950㎡</w:t>
            </w:r>
            <w:r/>
          </w:p>
        </w:tc>
        <w:tc>
          <w:tcPr>
            <w:tcW w:w="451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15950㎡</w:t>
            </w:r>
            <w:r/>
          </w:p>
        </w:tc>
        <w:tc>
          <w:tcPr>
            <w:tcW w:w="451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30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设施设备（可另行附表）</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30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30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30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306"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513"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30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306"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30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30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306"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0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112"/>
      </w:tblGrid>
      <w:tr>
        <w:trPr>
          <w:trHeight w:val="279"/>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112"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112"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【物业名称14】河西新村</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4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2"/>
        <w:gridCol w:w="4962"/>
        <w:gridCol w:w="3276"/>
        <w:gridCol w:w="4513"/>
      </w:tblGrid>
      <w:tr>
        <w:trPr>
          <w:trHeight w:val="339"/>
        </w:trPr>
        <w:tc>
          <w:tcPr>
            <w:gridSpan w:val="2"/>
            <w:tcW w:w="6664"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27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51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664"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河西新村</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51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1182㎡</w:t>
            </w:r>
            <w:r/>
          </w:p>
        </w:tc>
        <w:tc>
          <w:tcPr>
            <w:tcW w:w="451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1182㎡</w:t>
            </w:r>
            <w:r/>
          </w:p>
        </w:tc>
        <w:tc>
          <w:tcPr>
            <w:tcW w:w="451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276"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702"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设施设备（可另行附表）</w:t>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27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27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276"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276"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513"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27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276"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27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276"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702"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2"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276"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254"/>
      </w:tblGrid>
      <w:tr>
        <w:trPr>
          <w:trHeight w:val="279"/>
        </w:trPr>
        <w:tc>
          <w:tcPr>
            <w:tcW w:w="2632"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254"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254"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ind w:left="508"/>
        <w:spacing w:before="6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【物业名称15】青海电力家舍</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8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4961"/>
        <w:gridCol w:w="3501"/>
        <w:gridCol w:w="4513"/>
      </w:tblGrid>
      <w:tr>
        <w:trPr>
          <w:trHeight w:val="339"/>
        </w:trPr>
        <w:tc>
          <w:tcPr>
            <w:gridSpan w:val="2"/>
            <w:tcW w:w="6805"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50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51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805"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青海电力家舍</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51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8520㎡</w:t>
            </w:r>
            <w:r/>
          </w:p>
        </w:tc>
        <w:tc>
          <w:tcPr>
            <w:tcW w:w="451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8520㎡</w:t>
            </w:r>
            <w:r/>
          </w:p>
        </w:tc>
        <w:tc>
          <w:tcPr>
            <w:tcW w:w="451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50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设施设备（可另行附表）</w:t>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5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5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50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501"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4513" w:type="dxa"/>
            <w:vAlign w:val="center"/>
            <w:textDirection w:val="lrTb"/>
            <w:noWrap w:val="false"/>
          </w:tcPr>
          <w:p>
            <w:pPr>
              <w:ind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r>
      <w:tr>
        <w:trPr>
          <w:trHeight w:val="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5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501"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5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50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9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501"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51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396"/>
      </w:tblGrid>
      <w:tr>
        <w:trPr>
          <w:trHeight w:val="279"/>
        </w:trPr>
        <w:tc>
          <w:tcPr>
            <w:tcW w:w="2632"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39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垃圾分类房1座</w:t>
            </w:r>
            <w:r/>
          </w:p>
        </w:tc>
        <w:tc>
          <w:tcPr>
            <w:tcW w:w="5396"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396"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【物业名称16】锦旺一期</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4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5103"/>
        <w:gridCol w:w="3540"/>
        <w:gridCol w:w="3973"/>
      </w:tblGrid>
      <w:tr>
        <w:trPr>
          <w:trHeight w:val="339"/>
        </w:trPr>
        <w:tc>
          <w:tcPr>
            <w:gridSpan w:val="2"/>
            <w:tcW w:w="6947"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540"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397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947"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锦旺一期</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397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168919</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168919</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93"/>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 （㎡）</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80"/>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 （㎡）及数量（个）</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54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397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9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540" w:type="dxa"/>
            <w:textDirection w:val="lrTb"/>
            <w:noWrap w:val="false"/>
          </w:tcPr>
          <w:p>
            <w:pPr>
              <w:ind w:left="115"/>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397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540" w:type="dxa"/>
            <w:textDirection w:val="lrTb"/>
            <w:noWrap w:val="false"/>
          </w:tcPr>
          <w:p>
            <w:pPr>
              <w:ind w:left="115"/>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397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280"/>
        </w:trPr>
        <w:tc>
          <w:tcPr>
            <w:tcBorders>
              <w:top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设施设备（可另行附表）</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54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97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54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97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54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97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540"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p>
        </w:tc>
        <w:tc>
          <w:tcPr>
            <w:tcW w:w="3973"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540"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微型消防站3个，每个单元2组灭火器</w:t>
            </w:r>
            <w:r/>
          </w:p>
        </w:tc>
        <w:tc>
          <w:tcPr>
            <w:tcW w:w="3973" w:type="dxa"/>
            <w:vAlign w:val="center"/>
            <w:textDirection w:val="lrTb"/>
            <w:noWrap w:val="false"/>
          </w:tcPr>
          <w:p>
            <w:pPr>
              <w:pStyle w:val="1393"/>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18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540"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973"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540"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97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540"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97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540"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397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7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821"/>
      </w:tblGrid>
      <w:tr>
        <w:trPr>
          <w:trHeight w:val="279"/>
        </w:trPr>
        <w:tc>
          <w:tcPr>
            <w:tcW w:w="2632"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82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82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7"/>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20270㎡</w:t>
            </w:r>
            <w:r/>
          </w:p>
        </w:tc>
        <w:tc>
          <w:tcPr>
            <w:tcW w:w="5821" w:type="dxa"/>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见“3.5绿化服务”</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82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路灯252盏，已经过保</w:t>
            </w:r>
            <w:r/>
          </w:p>
        </w:tc>
        <w:tc>
          <w:tcPr>
            <w:tcW w:w="582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见“3.4 保洁服务”“3.3 公用设施设备维护服务”</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w:t>
            </w:r>
            <w:r/>
          </w:p>
        </w:tc>
        <w:tc>
          <w:tcPr>
            <w:tcW w:w="582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82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82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82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82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82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显示屏3个</w:t>
            </w:r>
            <w:r/>
          </w:p>
        </w:tc>
        <w:tc>
          <w:tcPr>
            <w:tcW w:w="582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保洁服务”“3.3 公用设施设备维护服务”</w:t>
            </w:r>
            <w:r/>
          </w:p>
        </w:tc>
      </w:tr>
    </w:tbl>
    <w:p>
      <w:pP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p>
      <w:pP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【物业名称17】锦旺二期</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90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5103"/>
        <w:gridCol w:w="3600"/>
        <w:gridCol w:w="4361"/>
      </w:tblGrid>
      <w:tr>
        <w:trPr>
          <w:trHeight w:val="339"/>
        </w:trPr>
        <w:tc>
          <w:tcPr>
            <w:gridSpan w:val="2"/>
            <w:tcW w:w="6947"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3600"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436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2"/>
            <w:tcW w:w="6947"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锦旺二期</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tcW w:w="43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175691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280"/>
        </w:trPr>
        <w:tc>
          <w:tcPr>
            <w:tcBorders>
              <w:top w:val="none" w:color="000000"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175691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trHeight w:val="351"/>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6"/>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9"/>
        </w:trPr>
        <w:tc>
          <w:tcPr>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bottom w:val="none" w:color="000000"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5"/>
        </w:trPr>
        <w:tc>
          <w:tcPr>
            <w:tcBorders>
              <w:top w:val="none" w:color="000000"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50"/>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42"/>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05"/>
        </w:trPr>
        <w:tc>
          <w:tcPr>
            <w:tcBorders>
              <w:top w:val="single" w:color="auto" w:sz="4" w:space="0"/>
              <w:left w:val="single" w:color="auto" w:sz="4" w:space="0"/>
              <w:bottom w:val="single" w:color="auto" w:sz="4" w:space="0"/>
              <w:right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87"/>
        </w:trPr>
        <w:tc>
          <w:tcPr>
            <w:tcBorders>
              <w:top w:val="single" w:color="auto" w:sz="4" w:space="0"/>
              <w:left w:val="single" w:color="auto" w:sz="4" w:space="0"/>
              <w:bottom w:val="single" w:color="auto" w:sz="4" w:space="0"/>
              <w:right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45"/>
        </w:trPr>
        <w:tc>
          <w:tcPr>
            <w:tcBorders>
              <w:top w:val="single" w:color="auto" w:sz="4" w:space="0"/>
              <w:left w:val="single" w:color="auto" w:sz="4" w:space="0"/>
              <w:bottom w:val="single" w:color="auto" w:sz="4" w:space="0"/>
              <w:right w:val="single" w:color="auto" w:sz="4" w:space="0"/>
            </w:tcBorders>
            <w:tcW w:w="1844"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各垃圾存放点位置、面积（㎡）及数量（个）</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1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tcW w:w="3600"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436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90"/>
        </w:trPr>
        <w:tc>
          <w:tcPr>
            <w:tcBorders>
              <w:top w:val="single" w:color="auto" w:sz="4" w:space="0"/>
              <w:bottom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tcW w:w="3600" w:type="dxa"/>
            <w:textDirection w:val="lrTb"/>
            <w:noWrap w:val="false"/>
          </w:tcPr>
          <w:p>
            <w:pPr>
              <w:ind w:left="115"/>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2个</w:t>
            </w:r>
            <w:r/>
          </w:p>
        </w:tc>
        <w:tc>
          <w:tcPr>
            <w:tcW w:w="436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trHeight w:val="325"/>
        </w:trPr>
        <w:tc>
          <w:tcPr>
            <w:tcBorders>
              <w:top w:val="single" w:color="auto" w:sz="4" w:space="0"/>
              <w:bottom w:val="single" w:color="auto" w:sz="4" w:space="0"/>
            </w:tcBorders>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tcW w:w="3600" w:type="dxa"/>
            <w:textDirection w:val="lrTb"/>
            <w:noWrap w:val="false"/>
          </w:tcPr>
          <w:p>
            <w:pPr>
              <w:ind w:left="115"/>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4个（有两个小门）</w:t>
            </w:r>
            <w:r/>
          </w:p>
        </w:tc>
        <w:tc>
          <w:tcPr>
            <w:tcW w:w="436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trHeight w:val="280"/>
        </w:trPr>
        <w:tc>
          <w:tcPr>
            <w:tcBorders>
              <w:top w:val="single" w:color="auto" w:sz="4" w:space="0"/>
            </w:tcBorders>
            <w:tcW w:w="1844"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设施设备（可另行 附表）</w:t>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360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6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0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360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6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7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3600"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6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6"/>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3600"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5个集水井，10个泵</w:t>
            </w:r>
            <w:r/>
          </w:p>
        </w:tc>
        <w:tc>
          <w:tcPr>
            <w:tcW w:w="4361"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保洁服务”“3.3 公用设施设备维护服务”</w:t>
            </w:r>
            <w:r/>
          </w:p>
        </w:tc>
      </w:tr>
      <w:tr>
        <w:trPr>
          <w:trHeight w:val="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3600"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消防栓、消防泵、喷淋、监控、烟感、灭火器等，在质保内</w:t>
            </w:r>
            <w:r/>
          </w:p>
        </w:tc>
        <w:tc>
          <w:tcPr>
            <w:tcW w:w="4361" w:type="dxa"/>
            <w:vAlign w:val="center"/>
            <w:textDirection w:val="lrTb"/>
            <w:noWrap w:val="false"/>
          </w:tcPr>
          <w:p>
            <w:pPr>
              <w:pStyle w:val="1393"/>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trHeight w:val="18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tcW w:w="3600"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61"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tcW w:w="3600"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6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90"/>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3600"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6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25"/>
        </w:trPr>
        <w:tc>
          <w:tcPr>
            <w:tcW w:w="1844"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510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3600"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4361"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4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72"/>
      </w:tblGrid>
      <w:tr>
        <w:trPr>
          <w:trHeight w:val="311"/>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6672"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0"/>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t xml:space="preserve">31625㎡</w:t>
            </w:r>
            <w:r/>
          </w:p>
        </w:tc>
        <w:tc>
          <w:tcPr>
            <w:tcW w:w="6672" w:type="dxa"/>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见“3.5绿化服务”</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路灯55盏</w:t>
            </w:r>
            <w:r/>
          </w:p>
        </w:tc>
        <w:tc>
          <w:tcPr>
            <w:tcW w:w="6672"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见“3.4 保洁服务”“3.3 公用设施设备维护服务”</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308</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672"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90"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【物业名称18】锦旺三期</w:t>
      </w:r>
      <w:r/>
    </w:p>
    <w:p>
      <w:pPr>
        <w:ind w:left="508"/>
        <w:spacing w:before="6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（1）物业管理（建筑物）</w:t>
      </w:r>
      <w:r/>
    </w:p>
    <w:tbl>
      <w:tblPr>
        <w:tblStyle w:val="1364"/>
        <w:tblW w:w="142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1"/>
        <w:gridCol w:w="4210"/>
        <w:gridCol w:w="7"/>
        <w:gridCol w:w="3944"/>
        <w:gridCol w:w="7"/>
        <w:gridCol w:w="4506"/>
        <w:gridCol w:w="7"/>
      </w:tblGrid>
      <w:tr>
        <w:trPr>
          <w:trHeight w:val="339"/>
        </w:trPr>
        <w:tc>
          <w:tcPr>
            <w:gridSpan w:val="3"/>
            <w:tcW w:w="5778"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gridSpan w:val="2"/>
            <w:tcW w:w="395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gridSpan w:val="2"/>
            <w:tcW w:w="4513"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90"/>
        </w:trPr>
        <w:tc>
          <w:tcPr>
            <w:gridSpan w:val="3"/>
            <w:tcW w:w="5778" w:type="dxa"/>
            <w:textDirection w:val="lrTb"/>
            <w:noWrap w:val="false"/>
          </w:tcPr>
          <w:p>
            <w:pPr>
              <w:jc w:val="center"/>
              <w:spacing w:before="6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锦旺三期</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住宅小区</w:t>
            </w:r>
            <w:r/>
          </w:p>
        </w:tc>
        <w:tc>
          <w:tcPr>
            <w:gridSpan w:val="2"/>
            <w:tcW w:w="4513"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gridAfter w:val="1"/>
          <w:trHeight w:val="90"/>
        </w:trPr>
        <w:tc>
          <w:tcPr>
            <w:tcBorders>
              <w:bottom w:val="none" w:color="000000"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总面积</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建筑面积（㎡）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71390</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gridAfter w:val="1"/>
          <w:trHeight w:val="280"/>
        </w:trPr>
        <w:tc>
          <w:tcPr>
            <w:tcBorders>
              <w:top w:val="none" w:color="000000"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需保洁面积（㎡）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71390</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w:t>
            </w:r>
            <w:r/>
          </w:p>
        </w:tc>
      </w:tr>
      <w:tr>
        <w:trPr>
          <w:gridAfter w:val="1"/>
          <w:trHeight w:val="351"/>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门窗</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门窗总数量（个）及总面积（㎡）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90"/>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地面各材质及总面积 （㎡）</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266"/>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内墙饰面</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内墙饰面各材质及总面积（㎡）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329"/>
        </w:trPr>
        <w:tc>
          <w:tcPr>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顶面</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顶面各材质及总面积（㎡）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325"/>
        </w:trPr>
        <w:tc>
          <w:tcPr>
            <w:tcBorders>
              <w:bottom w:val="none" w:color="000000"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外墙</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外墙各材质及总面积（㎡）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315"/>
        </w:trPr>
        <w:tc>
          <w:tcPr>
            <w:tcBorders>
              <w:top w:val="none" w:color="000000" w:sz="4" w:space="0"/>
              <w:bottom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外墙需清洗面积（㎡）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250"/>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会议室</w:t>
            </w:r>
            <w:r/>
          </w:p>
        </w:tc>
        <w:tc>
          <w:tcPr>
            <w:tcBorders>
              <w:left w:val="single" w:color="auto" w:sz="4" w:space="0"/>
            </w:tcBorders>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280"/>
        </w:trPr>
        <w:tc>
          <w:tcPr>
            <w:tcBorders>
              <w:top w:val="single" w:color="auto" w:sz="4" w:space="0"/>
              <w:left w:val="single" w:color="auto" w:sz="4" w:space="0"/>
              <w:bottom w:val="single" w:color="auto" w:sz="4" w:space="0"/>
              <w:right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会议室数量（个）及总面积（㎡）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205"/>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报告厅</w:t>
            </w:r>
            <w:r/>
          </w:p>
        </w:tc>
        <w:tc>
          <w:tcPr>
            <w:tcBorders>
              <w:left w:val="single" w:color="auto" w:sz="4" w:space="0"/>
            </w:tcBorders>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室内设施说明</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387"/>
        </w:trPr>
        <w:tc>
          <w:tcPr>
            <w:tcBorders>
              <w:top w:val="single" w:color="auto" w:sz="4" w:space="0"/>
              <w:left w:val="single" w:color="auto" w:sz="4" w:space="0"/>
              <w:bottom w:val="single" w:color="auto" w:sz="4" w:space="0"/>
              <w:right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报告厅数量（个）及总面积（㎡）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90"/>
        </w:trPr>
        <w:tc>
          <w:tcPr>
            <w:tcBorders>
              <w:top w:val="single" w:color="auto" w:sz="4" w:space="0"/>
              <w:left w:val="single" w:color="auto" w:sz="4" w:space="0"/>
              <w:bottom w:val="single" w:color="auto" w:sz="4" w:space="0"/>
              <w:right w:val="single" w:color="auto" w:sz="4" w:space="0"/>
            </w:tcBorders>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卫生间</w:t>
            </w:r>
            <w:r/>
          </w:p>
        </w:tc>
        <w:tc>
          <w:tcPr>
            <w:tcBorders>
              <w:left w:val="single" w:color="auto" w:sz="4" w:space="0"/>
            </w:tcBorders>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卫生间数量（个）及总面积（㎡）</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445"/>
        </w:trPr>
        <w:tc>
          <w:tcPr>
            <w:tcBorders>
              <w:top w:val="single" w:color="auto" w:sz="4" w:space="0"/>
              <w:left w:val="single" w:color="auto" w:sz="4" w:space="0"/>
              <w:bottom w:val="single" w:color="auto" w:sz="4" w:space="0"/>
              <w:right w:val="single" w:color="auto" w:sz="4" w:space="0"/>
            </w:tcBorders>
            <w:tcW w:w="1561"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垃圾存放点</w:t>
            </w:r>
            <w:r/>
          </w:p>
        </w:tc>
        <w:tc>
          <w:tcPr>
            <w:tcBorders>
              <w:left w:val="single" w:color="auto" w:sz="4" w:space="0"/>
            </w:tcBorders>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各垃圾存放点位置、面积 （㎡）及数量（个）</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310"/>
        </w:trPr>
        <w:tc>
          <w:tcPr>
            <w:tcBorders>
              <w:top w:val="single" w:color="auto" w:sz="4" w:space="0"/>
              <w:bottom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车位数</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地下车位数</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325"/>
        </w:trPr>
        <w:tc>
          <w:tcPr>
            <w:tcBorders>
              <w:top w:val="single" w:color="auto" w:sz="4" w:space="0"/>
              <w:bottom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地面车位数</w:t>
            </w:r>
            <w:r/>
          </w:p>
        </w:tc>
        <w:tc>
          <w:tcPr>
            <w:gridSpan w:val="2"/>
            <w:tcW w:w="3951"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gridSpan w:val="2"/>
            <w:tcW w:w="451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gridAfter w:val="1"/>
          <w:trHeight w:val="90"/>
        </w:trPr>
        <w:tc>
          <w:tcPr>
            <w:tcBorders>
              <w:top w:val="single" w:color="auto" w:sz="4" w:space="0"/>
              <w:bottom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车行/人行口</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车行口</w:t>
            </w:r>
            <w:r/>
          </w:p>
        </w:tc>
        <w:tc>
          <w:tcPr>
            <w:gridSpan w:val="2"/>
            <w:tcW w:w="3951" w:type="dxa"/>
            <w:textDirection w:val="lrTb"/>
            <w:noWrap w:val="false"/>
          </w:tcPr>
          <w:p>
            <w:pPr>
              <w:ind w:left="115"/>
              <w:jc w:val="center"/>
              <w:spacing w:before="92"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2个</w:t>
            </w:r>
            <w:r/>
          </w:p>
        </w:tc>
        <w:tc>
          <w:tcPr>
            <w:gridSpan w:val="2"/>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gridAfter w:val="1"/>
          <w:trHeight w:val="325"/>
        </w:trPr>
        <w:tc>
          <w:tcPr>
            <w:tcBorders>
              <w:top w:val="single" w:color="auto" w:sz="4" w:space="0"/>
              <w:bottom w:val="single" w:color="auto" w:sz="4" w:space="0"/>
            </w:tcBorders>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人行口</w:t>
            </w:r>
            <w:r/>
          </w:p>
        </w:tc>
        <w:tc>
          <w:tcPr>
            <w:gridSpan w:val="2"/>
            <w:tcW w:w="3951" w:type="dxa"/>
            <w:textDirection w:val="lrTb"/>
            <w:noWrap w:val="false"/>
          </w:tcPr>
          <w:p>
            <w:pPr>
              <w:ind w:left="115"/>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2个</w:t>
            </w:r>
            <w:r/>
          </w:p>
        </w:tc>
        <w:tc>
          <w:tcPr>
            <w:gridSpan w:val="2"/>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gridAfter w:val="1"/>
          <w:trHeight w:val="280"/>
        </w:trPr>
        <w:tc>
          <w:tcPr>
            <w:tcBorders>
              <w:top w:val="single" w:color="auto" w:sz="4" w:space="0"/>
            </w:tcBorders>
            <w:tcW w:w="1561" w:type="dxa"/>
            <w:vMerge w:val="restart"/>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设施设备 （可另行附表）</w:t>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gridSpan w:val="2"/>
            <w:tcW w:w="3951" w:type="dxa"/>
            <w:textDirection w:val="lrTb"/>
            <w:noWrap w:val="false"/>
          </w:tcPr>
          <w:p>
            <w:pPr>
              <w:ind w:left="115"/>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00"/>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gridSpan w:val="2"/>
            <w:tcW w:w="395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27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gridSpan w:val="2"/>
            <w:tcW w:w="3951"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51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266"/>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gridSpan w:val="2"/>
            <w:tcW w:w="3951" w:type="dxa"/>
            <w:vAlign w:val="center"/>
            <w:textDirection w:val="lrTb"/>
            <w:noWrap w:val="false"/>
          </w:tcPr>
          <w:p>
            <w:pPr>
              <w:ind w:left="115" w:right="975"/>
              <w:jc w:val="center"/>
              <w:spacing w:before="5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5个集水井，10个泵</w:t>
            </w:r>
            <w:r/>
          </w:p>
        </w:tc>
        <w:tc>
          <w:tcPr>
            <w:gridSpan w:val="2"/>
            <w:tcW w:w="4513" w:type="dxa"/>
            <w:vAlign w:val="center"/>
            <w:textDirection w:val="lrTb"/>
            <w:noWrap w:val="false"/>
          </w:tcPr>
          <w:p>
            <w:pPr>
              <w:ind w:left="112" w:right="107" w:firstLine="3"/>
              <w:jc w:val="center"/>
              <w:spacing w:before="5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见“3.4 保洁服务”“3.3 公用设施设备维护服务”</w:t>
            </w:r>
            <w:r/>
          </w:p>
        </w:tc>
      </w:tr>
      <w:tr>
        <w:trPr>
          <w:gridAfter w:val="1"/>
          <w:trHeight w:val="90"/>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gridSpan w:val="2"/>
            <w:tcW w:w="395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每个单元2组灭火器，共计114组</w:t>
            </w:r>
            <w:r/>
          </w:p>
        </w:tc>
        <w:tc>
          <w:tcPr>
            <w:gridSpan w:val="2"/>
            <w:tcW w:w="4513" w:type="dxa"/>
            <w:vAlign w:val="center"/>
            <w:textDirection w:val="lrTb"/>
            <w:noWrap w:val="false"/>
          </w:tcPr>
          <w:p>
            <w:pPr>
              <w:pStyle w:val="1393"/>
              <w:ind w:left="112" w:right="107" w:firstLine="3"/>
              <w:jc w:val="cente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见“3.6 保安服务”</w:t>
            </w:r>
            <w:r/>
          </w:p>
        </w:tc>
      </w:tr>
      <w:tr>
        <w:trPr>
          <w:gridAfter w:val="1"/>
          <w:trHeight w:val="18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w:t>
            </w:r>
            <w:r/>
          </w:p>
        </w:tc>
        <w:tc>
          <w:tcPr>
            <w:gridSpan w:val="2"/>
            <w:tcW w:w="3951"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513" w:type="dxa"/>
            <w:vAlign w:val="center"/>
            <w:textDirection w:val="lrTb"/>
            <w:noWrap w:val="false"/>
          </w:tcPr>
          <w:p>
            <w:pPr>
              <w:ind w:left="115"/>
              <w:jc w:val="center"/>
              <w:spacing w:before="95"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12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安防系统</w:t>
            </w:r>
            <w:r/>
          </w:p>
        </w:tc>
        <w:tc>
          <w:tcPr>
            <w:gridSpan w:val="2"/>
            <w:tcW w:w="395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290"/>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gridSpan w:val="2"/>
            <w:tcW w:w="3951"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513" w:type="dxa"/>
            <w:vAlign w:val="center"/>
            <w:textDirection w:val="lrTb"/>
            <w:noWrap w:val="false"/>
          </w:tcPr>
          <w:p>
            <w:pPr>
              <w:ind w:left="115"/>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gridAfter w:val="1"/>
          <w:trHeight w:val="325"/>
        </w:trPr>
        <w:tc>
          <w:tcPr>
            <w:tcW w:w="1561" w:type="dxa"/>
            <w:vMerge w:val="continue"/>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4210" w:type="dxa"/>
            <w:textDirection w:val="lrTb"/>
            <w:noWrap w:val="false"/>
          </w:tcPr>
          <w:p>
            <w:pPr>
              <w:pStyle w:val="1393"/>
              <w:ind w:left="115"/>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gridSpan w:val="2"/>
            <w:tcW w:w="3951"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gridSpan w:val="2"/>
            <w:tcW w:w="4513" w:type="dxa"/>
            <w:textDirection w:val="lrTb"/>
            <w:noWrap w:val="false"/>
          </w:tcPr>
          <w:p>
            <w:pPr>
              <w:ind w:left="115"/>
              <w:jc w:val="center"/>
              <w:spacing w:before="3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注：此表格详细列出了不同建筑物的物业管理指标项及其明细。若存在“建筑 2 ”，则相应增加内容，以此类推。</w:t>
      </w:r>
      <w:r/>
    </w:p>
    <w:p>
      <w:pPr>
        <w:spacing w:before="9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以上内容体现需要供应商进行物业管理的物业的情况、边界、范围。指标的设置要充分考虑可能影响供应商报价和项目实施风险的因素。</w:t>
      </w:r>
      <w:r/>
    </w:p>
    <w:p>
      <w:pPr>
        <w:ind w:left="5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（2）物业管理（室外）</w:t>
      </w:r>
      <w:r/>
    </w:p>
    <w:tbl>
      <w:tblPr>
        <w:tblStyle w:val="1364"/>
        <w:tblW w:w="138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5963"/>
      </w:tblGrid>
      <w:tr>
        <w:trPr>
          <w:trHeight w:val="279"/>
        </w:trPr>
        <w:tc>
          <w:tcPr>
            <w:tcW w:w="2632" w:type="dxa"/>
            <w:textDirection w:val="lrTb"/>
            <w:noWrap w:val="false"/>
          </w:tcPr>
          <w:p>
            <w:pPr>
              <w:ind w:left="110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名称</w:t>
            </w:r>
            <w:r/>
          </w:p>
        </w:tc>
        <w:tc>
          <w:tcPr>
            <w:tcW w:w="5298" w:type="dxa"/>
            <w:textDirection w:val="lrTb"/>
            <w:noWrap w:val="false"/>
          </w:tcPr>
          <w:p>
            <w:pPr>
              <w:ind w:left="244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明细</w:t>
            </w:r>
            <w:r/>
          </w:p>
        </w:tc>
        <w:tc>
          <w:tcPr>
            <w:tcW w:w="5963" w:type="dxa"/>
            <w:textDirection w:val="lrTb"/>
            <w:noWrap w:val="false"/>
          </w:tcPr>
          <w:p>
            <w:pPr>
              <w:ind w:left="257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服务内容及标准</w:t>
            </w:r>
            <w:r/>
          </w:p>
        </w:tc>
      </w:tr>
      <w:tr>
        <w:trPr>
          <w:trHeight w:val="291"/>
        </w:trPr>
        <w:tc>
          <w:tcPr>
            <w:tcW w:w="2632" w:type="dxa"/>
            <w:textDirection w:val="lrTb"/>
            <w:noWrap w:val="false"/>
          </w:tcPr>
          <w:p>
            <w:pPr>
              <w:pStyle w:val="1393"/>
              <w:ind w:left="11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室外面积</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60"/>
        </w:trPr>
        <w:tc>
          <w:tcPr>
            <w:tcW w:w="2632"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w:t>
            </w:r>
            <w:r/>
          </w:p>
        </w:tc>
        <w:tc>
          <w:tcPr>
            <w:tcW w:w="5298" w:type="dxa"/>
            <w:textDirection w:val="lrTb"/>
            <w:noWrap w:val="false"/>
          </w:tcPr>
          <w:p>
            <w:pPr>
              <w:ind w:left="113"/>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12850㎡</w:t>
            </w:r>
            <w:r/>
          </w:p>
        </w:tc>
        <w:tc>
          <w:tcPr>
            <w:tcW w:w="5963" w:type="dxa"/>
            <w:textDirection w:val="lrTb"/>
            <w:noWrap w:val="false"/>
          </w:tcPr>
          <w:p>
            <w:pPr>
              <w:jc w:val="center"/>
              <w:spacing w:line="360" w:lineRule="auto"/>
              <w:tabs>
                <w:tab w:val="left" w:pos="1050" w:leader="none"/>
                <w:tab w:val="left" w:pos="1080" w:leader="none"/>
              </w:tabs>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见“3.5绿化服务”</w:t>
            </w:r>
            <w:r/>
          </w:p>
        </w:tc>
      </w:tr>
      <w:tr>
        <w:trPr>
          <w:trHeight w:val="263"/>
        </w:trPr>
        <w:tc>
          <w:tcPr>
            <w:tcW w:w="2632" w:type="dxa"/>
            <w:textDirection w:val="lrTb"/>
            <w:noWrap w:val="false"/>
          </w:tcPr>
          <w:p>
            <w:pPr>
              <w:pStyle w:val="1393"/>
              <w:ind w:left="116"/>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广场</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220"/>
        </w:trPr>
        <w:tc>
          <w:tcPr>
            <w:tcW w:w="2632"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路灯、草坪灯、音箱</w:t>
            </w:r>
            <w:r/>
          </w:p>
        </w:tc>
        <w:tc>
          <w:tcPr>
            <w:tcW w:w="5298" w:type="dxa"/>
            <w:textDirection w:val="lrTb"/>
            <w:noWrap w:val="false"/>
          </w:tcPr>
          <w:p>
            <w:pPr>
              <w:ind w:left="113"/>
              <w:jc w:val="center"/>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路灯19盏</w:t>
            </w:r>
            <w:r/>
          </w:p>
        </w:tc>
        <w:tc>
          <w:tcPr>
            <w:tcW w:w="5963" w:type="dxa"/>
            <w:textDirection w:val="lrTb"/>
            <w:noWrap w:val="false"/>
          </w:tcPr>
          <w:p>
            <w:pPr>
              <w:pStyle w:val="1393"/>
              <w:ind w:left="115"/>
              <w:jc w:val="center"/>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见“3.4 保洁服务”“3.3 公用设施设备维护服务”</w:t>
            </w:r>
            <w:r/>
          </w:p>
        </w:tc>
      </w:tr>
      <w:tr>
        <w:trPr>
          <w:trHeight w:val="261"/>
        </w:trPr>
        <w:tc>
          <w:tcPr>
            <w:tcW w:w="2632" w:type="dxa"/>
            <w:textDirection w:val="lrTb"/>
            <w:noWrap w:val="false"/>
          </w:tcPr>
          <w:p>
            <w:pPr>
              <w:pStyle w:val="1393"/>
              <w:ind w:left="1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消防栓</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308</w:t>
            </w:r>
            <w:r/>
          </w:p>
        </w:tc>
        <w:tc>
          <w:tcPr>
            <w:tcW w:w="596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见“3.6 保安服务”</w:t>
            </w:r>
            <w:r/>
          </w:p>
        </w:tc>
      </w:tr>
      <w:tr>
        <w:trPr>
          <w:trHeight w:val="204"/>
        </w:trPr>
        <w:tc>
          <w:tcPr>
            <w:tcW w:w="2632" w:type="dxa"/>
            <w:textDirection w:val="lrTb"/>
            <w:noWrap w:val="false"/>
          </w:tcPr>
          <w:p>
            <w:pPr>
              <w:pStyle w:val="1393"/>
              <w:ind w:left="117"/>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29"/>
        </w:trPr>
        <w:tc>
          <w:tcPr>
            <w:tcW w:w="2632" w:type="dxa"/>
            <w:textDirection w:val="lrTb"/>
            <w:noWrap w:val="false"/>
          </w:tcPr>
          <w:p>
            <w:pPr>
              <w:pStyle w:val="1393"/>
              <w:ind w:left="1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室外配电箱</w:t>
            </w:r>
            <w:r/>
          </w:p>
        </w:tc>
        <w:tc>
          <w:tcPr>
            <w:tcW w:w="5298" w:type="dxa"/>
            <w:textDirection w:val="lrTb"/>
            <w:noWrap w:val="false"/>
          </w:tcPr>
          <w:p>
            <w:pPr>
              <w:ind w:left="113"/>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182"/>
        </w:trPr>
        <w:tc>
          <w:tcPr>
            <w:tcW w:w="2632" w:type="dxa"/>
            <w:textDirection w:val="lrTb"/>
            <w:noWrap w:val="false"/>
          </w:tcPr>
          <w:p>
            <w:pPr>
              <w:pStyle w:val="1393"/>
              <w:ind w:left="13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门前三包</w:t>
            </w:r>
            <w:r/>
          </w:p>
        </w:tc>
        <w:tc>
          <w:tcPr>
            <w:tcW w:w="5298" w:type="dxa"/>
            <w:textDirection w:val="lrTb"/>
            <w:noWrap w:val="false"/>
          </w:tcPr>
          <w:p>
            <w:pPr>
              <w:ind w:left="113"/>
              <w:jc w:val="cente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1"/>
        </w:trPr>
        <w:tc>
          <w:tcPr>
            <w:tcW w:w="2632" w:type="dxa"/>
            <w:textDirection w:val="lrTb"/>
            <w:noWrap w:val="false"/>
          </w:tcPr>
          <w:p>
            <w:pPr>
              <w:pStyle w:val="1393"/>
              <w:ind w:left="12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露台</w:t>
            </w:r>
            <w:r/>
          </w:p>
        </w:tc>
        <w:tc>
          <w:tcPr>
            <w:tcW w:w="5298" w:type="dxa"/>
            <w:textDirection w:val="lrTb"/>
            <w:noWrap w:val="false"/>
          </w:tcPr>
          <w:p>
            <w:pPr>
              <w:ind w:left="113"/>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262"/>
        </w:trPr>
        <w:tc>
          <w:tcPr>
            <w:tcW w:w="2632" w:type="dxa"/>
            <w:textDirection w:val="lrTb"/>
            <w:noWrap w:val="false"/>
          </w:tcPr>
          <w:p>
            <w:pPr>
              <w:pStyle w:val="1393"/>
              <w:ind w:left="11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监控</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r>
        <w:trPr>
          <w:trHeight w:val="357"/>
        </w:trPr>
        <w:tc>
          <w:tcPr>
            <w:tcW w:w="2632" w:type="dxa"/>
            <w:textDirection w:val="lrTb"/>
            <w:noWrap w:val="false"/>
          </w:tcPr>
          <w:p>
            <w:pPr>
              <w:pStyle w:val="1393"/>
              <w:ind w:left="118"/>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指示牌、显示屏</w:t>
            </w:r>
            <w:r/>
          </w:p>
        </w:tc>
        <w:tc>
          <w:tcPr>
            <w:tcW w:w="5298" w:type="dxa"/>
            <w:textDirection w:val="lrTb"/>
            <w:noWrap w:val="false"/>
          </w:tcPr>
          <w:p>
            <w:pPr>
              <w:ind w:left="113"/>
              <w:jc w:val="center"/>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5963" w:type="dxa"/>
            <w:textDirection w:val="lrTb"/>
            <w:noWrap w:val="false"/>
          </w:tcPr>
          <w:p>
            <w:pPr>
              <w:ind w:left="115"/>
              <w:jc w:val="center"/>
              <w:spacing w:before="90"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541"/>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71" w:name="_Toc14666"/>
      <w:r/>
      <w:bookmarkStart w:id="72" w:name="_Toc3365"/>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3.物业管理服务内容及标准</w:t>
      </w:r>
      <w:bookmarkEnd w:id="71"/>
      <w:r/>
      <w:bookmarkEnd w:id="72"/>
      <w:r/>
      <w:r/>
    </w:p>
    <w:p>
      <w:pPr>
        <w:pStyle w:val="1368"/>
        <w:ind w:left="541"/>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物业管理服务包括基本服务、房屋维护服务、 公用设施设备维护服务、保洁服务、绿化服务、保安服务、会议服务等。</w:t>
      </w:r>
      <w:r/>
    </w:p>
    <w:p>
      <w:pPr>
        <w:ind w:left="54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73" w:name="_Toc8219"/>
      <w:r/>
      <w:bookmarkStart w:id="74" w:name="_Toc1009"/>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3.1基本服务</w:t>
      </w:r>
      <w:bookmarkEnd w:id="73"/>
      <w:r/>
      <w:bookmarkEnd w:id="74"/>
      <w:r/>
      <w:r/>
    </w:p>
    <w:tbl>
      <w:tblPr>
        <w:tblStyle w:val="1364"/>
        <w:tblW w:w="146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1987"/>
        <w:gridCol w:w="11379"/>
      </w:tblGrid>
      <w:tr>
        <w:trPr>
          <w:jc w:val="center"/>
          <w:trHeight w:val="20"/>
        </w:trPr>
        <w:tc>
          <w:tcPr>
            <w:tcW w:w="1236" w:type="dxa"/>
            <w:vAlign w:val="center"/>
            <w:textDirection w:val="lrTb"/>
            <w:noWrap w:val="false"/>
          </w:tcPr>
          <w:p>
            <w:pPr>
              <w:jc w:val="center"/>
              <w:spacing w:before="94"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1987" w:type="dxa"/>
            <w:vAlign w:val="center"/>
            <w:textDirection w:val="lrTb"/>
            <w:noWrap w:val="false"/>
          </w:tcPr>
          <w:p>
            <w:pPr>
              <w:jc w:val="center"/>
              <w:spacing w:before="94"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w:t>
            </w:r>
            <w:r/>
          </w:p>
        </w:tc>
        <w:tc>
          <w:tcPr>
            <w:tcW w:w="11379" w:type="dxa"/>
            <w:textDirection w:val="lrTb"/>
            <w:noWrap w:val="false"/>
          </w:tcPr>
          <w:p>
            <w:pPr>
              <w:jc w:val="center"/>
              <w:spacing w:before="94"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服务标准</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目标与责任</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þ（1）结合采购人要求及物业服务实际情况，制定年度管理目标，明确责任分工，并制定配套实施方案。</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þ（2）管理处周一至周五每天8小时业务接待，公示24小时值班服务电话。</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þ（3）公示服务标准和收费标准，每年向业主公布财务状况一次，公共水电费能耗分摊每半年向业主公布一次。</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þ（4）制定小区房屋装修申请、验收等装修管理制度，对不符合规定的行为、现象及时劝阻、制止或报告。</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服务人员要求</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（1）每季度至少开展 1 次岗位技能、职业素质、服务知识、客户文化、绿色节能环保等教育培训，并进行适当形式的考核。</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þ（2）根据采购人要求对服务人员进行从业资格审查，审查结果向采购人报备。</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þ（5）着装分类统一，佩戴标识。仪容整洁、姿态端正、举止文明。用语文明礼貌， 态度温和耐心。</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保密和思想政治教育</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（1）建立保密管理制度。</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制度内容应当包括但不限于：①明确重点要害岗位保密职责。②对涉密工作岗位的保密要求。</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þ（2）根据采购人要求与涉密工作岗位的服务人员签订保密协议。保密协议应当向采购人报备。</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þ（3）每季度至少开展 1 次对服务人员进行保密、思想政治教育的培训，提高服务人员保密意识和思想政治意识。新入职员工应当接受保密、思想政治教育培训，进行必要的人员经历审查，合格后签订保密协议 方可上岗。</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þ（4）发现服务人员违法违规或重大过失， 及时报告采购人，并采取必要补救措施。</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档案管理</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þ(1）建立物业信息，准确、及时地对文件资料和服务记录进行归档保存，并确保其物理安全。</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þ(2）档案和记录齐全，</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包括但不限于：①采购人建议与投诉等。教育培训和考核记录。保密、思想政治教育培训记录。 ②房屋维护服务：房屋台账、使用说明、房屋装修、维保记录等。 ③公用设施设备维护服务：设备台账、设备卡、使用说明、维保记录、巡查记录、 设施设备安全运行、设施设备定期巡检、维护保养、维修档案等。 ④保安服务：监控记录、突发事件演习与处置记录等。⑤保洁服务：工作日志、清洁检查表、用品清单、客户反馈表等。⑥绿化服务：绿化总平面图、清洁整改记录、消杀记录等。⑦其他： 客户信息、财务明细、合同协议、信报信息登记、大件物品进出登记等。</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þ(3）遵守采购人的信息、档案资料保密要求，未经许可，不得将建筑物平面图等资料转作其他用途或向其他单位、个人提供。</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þ(4）履约结束后，相关资料交还采购人， 采购人按政府采购相关规定存档。</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1987" w:type="dxa"/>
            <w:vAlign w:val="center"/>
            <w:vMerge w:val="restart"/>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分包供应商管理</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(1)合理控制外包服务人员数量和流动率。</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(2)根据采购人要求明确对分包供应商的要求，确定工作流程。</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(3)明确安全管理责任和保密责任， 签订安全管理责任书和保密责任书。</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(4)开展服务检查和监管， 评估服务效果，必要时进行服务流程调整。</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(5)根据工作反馈意见与建议， 持续提升服务品质。</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服务改进</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þ(1）明确负责人，定期对物业服务过程进行自查， 结合反馈意见与评价结果采取改进措施，持续提升管理与服务水平。</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þ（2）对不合格服务进行控制，对不合格服务的原因进行识别和分析，及时采取纠正措施，消除不合格的原因，防止不合格再发生。</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þ(3）需整改问题及时整改完成。</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þ(4）有完善的投诉处理流程，对业主或使用人的投诉在四天内答复处理并做详细记录。</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重大活动后勤保障</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þ(1）制订流程。配合采购人制订重大活动后勤保障工作流程，需对任务进行详细了解，并根据工作安排制定详细的后勤保障计划。</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实施保障。按计划在关键区域和重点部位进行部署，确保任务顺利进行，对活动区域进行全面安全检查，发现并排除安全隐患，对车辆进行有序引导和管理，确保交通安全畅通，以礼貌、专业的态度对待来宾， 展现良好形象。</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þ(3）收尾工作。对现场进行检查，做好清理工作。</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1987" w:type="dxa"/>
            <w:vAlign w:val="center"/>
            <w:vMerge w:val="restart"/>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应急保障预案</w:t>
            </w:r>
            <w:r/>
          </w:p>
        </w:tc>
        <w:tc>
          <w:tcPr>
            <w:tcW w:w="11379" w:type="dxa"/>
            <w:textDirection w:val="lrTb"/>
            <w:noWrap w:val="false"/>
          </w:tcPr>
          <w:p>
            <w:pPr>
              <w:pStyle w:val="1393"/>
              <w:ind w:hanging="10"/>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þ（1）台账；应当对危险隐患进行风险分析，制定相应措施进行控制或整改并定期监控；随着设施设备、服务内容的变化，及时更新清单/台账， 使风险隐患始终处于受控状态。</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þ(3）应急预案的培训和演练。应急预案定期培训和演练，组织相关岗位每半年至少开展一次专项应急预案演练；留存培训及演练记录和影像资料， 并对预案进行评价， 确保与实际情况相结合。</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þ(4）应急物资的管理。根据专项预案中的应对需要、必要的应急物资，建立清单或台账，并由专人定期对应急物资进行检查， 如有应急物资不足， 及时通知采购人购置齐全，确保能够随时正常使用。</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服务方案及工作制度</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þ(1）制定工作制度， 主要包括：人员录用制度、档案管理制度、物业服务管理制度、公用设施设备相关管理制度等。</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(2）制定项目实施方案，主要包括： 交接方案、人员培训方案、人员稳定性方案、保密方案等。</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(3）制定物业服务方案，主要包括： 房屋维护服务方案、公用设施设备维护服务方案、绿化服务方案、 保洁服务方案、 保安服务方案、会议服务方案等。</w:t>
            </w:r>
            <w:r/>
          </w:p>
        </w:tc>
      </w:tr>
      <w:tr>
        <w:trPr>
          <w:jc w:val="center"/>
          <w:trHeight w:val="20"/>
        </w:trPr>
        <w:tc>
          <w:tcPr>
            <w:tcW w:w="1236"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c>
          <w:tcPr>
            <w:tcW w:w="1987"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信报服务</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（1）对邮件、包裹和挂号信等进行正确分理、 安全检查和防疫卫生检查。</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(2)及时投送或通知收件人领取。</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(3)大件物品出入向采购人报告，待采购人确认无误后放行。</w:t>
            </w:r>
            <w:r/>
          </w:p>
        </w:tc>
      </w:tr>
      <w:tr>
        <w:trPr>
          <w:jc w:val="center"/>
          <w:trHeight w:val="20"/>
        </w:trPr>
        <w:tc>
          <w:tcPr>
            <w:tcW w:w="1236"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w:t>
            </w:r>
            <w:r/>
          </w:p>
        </w:tc>
        <w:tc>
          <w:tcPr>
            <w:tcW w:w="1987"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服务热线及紧急维修</w:t>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þ(1）设置 24 小时报修服务热线。</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pStyle w:val="1393"/>
              <w:jc w:val="left"/>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þ(2）紧急维修应当 15 分钟内到达现场，不间断维修直至修复。</w:t>
            </w:r>
            <w:r/>
          </w:p>
        </w:tc>
      </w:tr>
      <w:tr>
        <w:trPr>
          <w:jc w:val="center"/>
          <w:trHeight w:val="20"/>
        </w:trPr>
        <w:tc>
          <w:tcPr>
            <w:tcW w:w="1236"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98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1379" w:type="dxa"/>
            <w:textDirection w:val="lrTb"/>
            <w:noWrap w:val="false"/>
          </w:tcPr>
          <w:p>
            <w:pPr>
              <w:jc w:val="left"/>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þ（3(24</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时受理业主或使用人报修，急修服务30分钟内到位，12小时内修复，若不能，要有紧急处理措施，并对业主（使用人）做出合理解释，做出限时承诺。小修2日内修复，特殊情况必须作出说明和限时承诺。服务时限不得以节假日和休息时间顺延。</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19"/>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541"/>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75" w:name="_Toc22758"/>
      <w:r/>
      <w:bookmarkStart w:id="76" w:name="_Toc2532"/>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3.2房屋维护服务</w:t>
      </w:r>
      <w:bookmarkEnd w:id="75"/>
      <w:r/>
      <w:bookmarkEnd w:id="76"/>
      <w:r/>
      <w:r/>
    </w:p>
    <w:tbl>
      <w:tblPr>
        <w:tblStyle w:val="1364"/>
        <w:tblW w:w="14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5"/>
        <w:gridCol w:w="2835"/>
        <w:gridCol w:w="10632"/>
      </w:tblGrid>
      <w:tr>
        <w:trPr>
          <w:trHeight w:val="20"/>
        </w:trPr>
        <w:tc>
          <w:tcPr>
            <w:tcW w:w="1135" w:type="dxa"/>
            <w:textDirection w:val="lrTb"/>
            <w:noWrap w:val="false"/>
          </w:tcPr>
          <w:p>
            <w:pPr>
              <w:ind w:left="413"/>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2835" w:type="dxa"/>
            <w:textDirection w:val="lrTb"/>
            <w:noWrap w:val="false"/>
          </w:tcPr>
          <w:p>
            <w:pPr>
              <w:ind w:left="1237"/>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w:t>
            </w:r>
            <w:r/>
          </w:p>
        </w:tc>
        <w:tc>
          <w:tcPr>
            <w:tcW w:w="10632" w:type="dxa"/>
            <w:textDirection w:val="lrTb"/>
            <w:noWrap w:val="false"/>
          </w:tcPr>
          <w:p>
            <w:pPr>
              <w:ind w:left="4579"/>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服务标准</w:t>
            </w:r>
            <w:r/>
          </w:p>
        </w:tc>
      </w:tr>
      <w:tr>
        <w:trPr>
          <w:trHeight w:val="20"/>
        </w:trPr>
        <w:tc>
          <w:tcPr>
            <w:tcBorders>
              <w:bottom w:val="none" w:color="000000" w:sz="4" w:space="0"/>
            </w:tcBorders>
            <w:tcW w:w="1135" w:type="dxa"/>
            <w:vMerge w:val="restart"/>
            <w:textDirection w:val="lrTb"/>
            <w:noWrap w:val="false"/>
          </w:tcPr>
          <w:p>
            <w:pPr>
              <w:ind w:left="584"/>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bottom w:val="none" w:color="000000" w:sz="4" w:space="0"/>
            </w:tcBorders>
            <w:tcW w:w="2835" w:type="dxa"/>
            <w:vMerge w:val="restart"/>
            <w:textDirection w:val="lrTb"/>
            <w:noWrap w:val="false"/>
          </w:tcPr>
          <w:p>
            <w:pPr>
              <w:pStyle w:val="1393"/>
              <w:ind w:left="113"/>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主体结构、围护结构、部品部件</w:t>
            </w:r>
            <w:r/>
          </w:p>
        </w:tc>
        <w:tc>
          <w:tcPr>
            <w:tcW w:w="10632" w:type="dxa"/>
            <w:textDirection w:val="lrTb"/>
            <w:noWrap w:val="false"/>
          </w:tcPr>
          <w:p>
            <w:pPr>
              <w:pStyle w:val="1393"/>
              <w:ind w:right="104"/>
              <w:spacing w:before="3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þ(1）每季度至少开展 1 次房屋结构安全巡视，发现外观有变形、开裂等现象，及时建议采购人申请房屋安全鉴定，并采取必要的避险和防护措施。</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ind w:right="102"/>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þ(2）每季度至少开展 1 次外墙贴饰面、幕墙玻璃、雨棚、散水、空调室外机支撑构件等检查，发现破损，及时向采购人报告，按采购人要求出具维修方案，待采购人同意后按维修方案实施维修。</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ind w:right="104"/>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þ(3）每半月至少开展 1 次公用部位的门、窗、楼梯、通风道、室内地面、墙面、吊顶和室外屋面等巡查，发现破损，及时向采购人报告，按采购人要求出具维修方案，待采购人同意后按维修方案实施维修。</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ind w:right="102"/>
              <w:spacing w:before="36"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þ（4）每年强降雨天气前后、雨雪季节检查屋面防水和雨落管等，发现破损，及时向采购人报告，按采购人要求出具维修方案， 待采购人同意后按维修方案实施维修。</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þ(5）办公楼外观完好，建筑装饰面无脱落、无破损、无污渍，玻璃幕墙清洁明亮、无破损。</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þ(6）通道、楼梯、门窗等设施的完好和正常使用。</w:t>
            </w:r>
            <w:r/>
          </w:p>
        </w:tc>
      </w:tr>
      <w:tr>
        <w:trPr>
          <w:trHeight w:val="20"/>
        </w:trPr>
        <w:tc>
          <w:tcPr>
            <w:tcBorders>
              <w:bottom w:val="none" w:color="000000" w:sz="4" w:space="0"/>
            </w:tcBorders>
            <w:tcW w:w="1135" w:type="dxa"/>
            <w:vMerge w:val="restart"/>
            <w:textDirection w:val="lrTb"/>
            <w:noWrap w:val="false"/>
          </w:tcPr>
          <w:p>
            <w:pPr>
              <w:ind w:left="578"/>
              <w:spacing w:before="6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bottom w:val="none" w:color="000000" w:sz="4" w:space="0"/>
            </w:tcBorders>
            <w:tcW w:w="2835" w:type="dxa"/>
            <w:vMerge w:val="restart"/>
            <w:textDirection w:val="lrTb"/>
            <w:noWrap w:val="false"/>
          </w:tcPr>
          <w:p>
            <w:pPr>
              <w:pStyle w:val="1393"/>
              <w:ind w:left="113"/>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其他设施</w:t>
            </w:r>
            <w:r/>
          </w:p>
        </w:tc>
        <w:tc>
          <w:tcPr>
            <w:tcW w:w="10632" w:type="dxa"/>
            <w:textDirection w:val="lrTb"/>
            <w:noWrap w:val="false"/>
          </w:tcPr>
          <w:p>
            <w:pPr>
              <w:pStyle w:val="1393"/>
              <w:ind w:right="107"/>
              <w:spacing w:before="36"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þ(1）每半月至少开展 1 次大门、围墙、道路、场地、管井、沟渠等巡查，每半月至少检查 1 次雨污水管井、化粪池等巡查，发现破损，及时向采购人报告，按采购人要求出具维修方案，待采购人同意后按维修 方案实施维修。</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ind w:right="85"/>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þ（2）每年至少开展 1 次防雷装置检测，发现失效，及时向采购人报告，按采购人要求出具维修方案， 待采购人同意后按维修方案实施维修。</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þ（3）路面状态良好，地漏通畅不堵塞。道路、场地等，每季一次巡查道路，路面，侧石、井盖等，发现损坏立即修复，保持路面平整，无破损。</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ind w:right="115"/>
              <w:spacing w:before="36"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（4）接到采购人家具报修服务后，及时通知家具供货商对保修期内的家具进行维修，及时对保修期外 的家具进行维修。</w:t>
            </w:r>
            <w:r/>
          </w:p>
        </w:tc>
      </w:tr>
      <w:tr>
        <w:trPr>
          <w:trHeight w:val="20"/>
        </w:trPr>
        <w:tc>
          <w:tcPr>
            <w:tcW w:w="1135" w:type="dxa"/>
            <w:vMerge w:val="restart"/>
            <w:textDirection w:val="lrTb"/>
            <w:noWrap w:val="false"/>
          </w:tcPr>
          <w:p>
            <w:pPr>
              <w:ind w:left="576"/>
              <w:spacing w:before="136"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2835" w:type="dxa"/>
            <w:vMerge w:val="restart"/>
            <w:textDirection w:val="lrTb"/>
            <w:noWrap w:val="false"/>
          </w:tcPr>
          <w:p>
            <w:pPr>
              <w:pStyle w:val="1393"/>
              <w:ind w:left="112"/>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装饰装修监督管理</w:t>
            </w:r>
            <w:r/>
          </w:p>
        </w:tc>
        <w:tc>
          <w:tcPr>
            <w:tcW w:w="10632" w:type="dxa"/>
            <w:textDirection w:val="lrTb"/>
            <w:noWrap w:val="false"/>
          </w:tcPr>
          <w:p>
            <w:pPr>
              <w:pStyle w:val="139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þ(1）装饰装修前，供应商应当与采购人或采购人委托的装修企业签订装饰装修管理服务协议，告知装饰装修须知，并对装饰装修过程进行管理服务。</w:t>
            </w:r>
            <w:r/>
          </w:p>
        </w:tc>
      </w:tr>
      <w:tr>
        <w:trPr>
          <w:trHeight w:val="20"/>
        </w:trPr>
        <w:tc>
          <w:tcPr>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þ(2）根据协议内容， 做好装修垃圾临时堆放、清运等。</w:t>
            </w:r>
            <w:r/>
          </w:p>
        </w:tc>
      </w:tr>
      <w:tr>
        <w:trPr>
          <w:trHeight w:val="20"/>
        </w:trPr>
        <w:tc>
          <w:tcPr>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ind w:right="102"/>
              <w:spacing w:before="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(3）受采购人委托对房屋内装修进行严格的监督管理，发现问题及时上报，确保不因装修而危及大楼 结构安全、人身安全和影响正常办公秩序。</w:t>
            </w:r>
            <w:r/>
          </w:p>
        </w:tc>
      </w:tr>
      <w:tr>
        <w:trPr>
          <w:trHeight w:val="20"/>
        </w:trPr>
        <w:tc>
          <w:tcPr>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þ(4）针对小区内的乱搭乱建，及时制止，并要求居民限期内拆除，限期未整改的，提请有关部门处理。</w:t>
            </w:r>
            <w:r/>
          </w:p>
        </w:tc>
      </w:tr>
      <w:tr>
        <w:trPr>
          <w:trHeight w:val="20"/>
        </w:trPr>
        <w:tc>
          <w:tcPr>
            <w:tcBorders>
              <w:bottom w:val="none" w:color="000000" w:sz="4" w:space="0"/>
            </w:tcBorders>
            <w:tcW w:w="1135" w:type="dxa"/>
            <w:vMerge w:val="restart"/>
            <w:textDirection w:val="lrTb"/>
            <w:noWrap w:val="false"/>
          </w:tcPr>
          <w:p>
            <w:pPr>
              <w:ind w:left="571"/>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Borders>
              <w:bottom w:val="none" w:color="000000" w:sz="4" w:space="0"/>
            </w:tcBorders>
            <w:tcW w:w="2835" w:type="dxa"/>
            <w:vMerge w:val="restart"/>
            <w:textDirection w:val="lrTb"/>
            <w:noWrap w:val="false"/>
          </w:tcPr>
          <w:p>
            <w:pPr>
              <w:pStyle w:val="1393"/>
              <w:ind w:left="113"/>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标识标牌</w:t>
            </w:r>
            <w:r/>
          </w:p>
        </w:tc>
        <w:tc>
          <w:tcPr>
            <w:tcW w:w="10632" w:type="dxa"/>
            <w:textDirection w:val="lrTb"/>
            <w:noWrap w:val="false"/>
          </w:tcPr>
          <w:p>
            <w:pPr>
              <w:pStyle w:val="1393"/>
              <w:ind w:right="102"/>
              <w:spacing w:before="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þ(1）标识标牌符合《公共信息图形符号第 1 部分： 通用符号》（GB/T 10001.1）的相关要求，消防与 安全标识符合《安全标志及其使用导则》（GB2894）、《消防安全标志第 1 部分：标志》（GB13495.1）的相关要求。</w:t>
            </w:r>
            <w:r/>
          </w:p>
        </w:tc>
      </w:tr>
      <w:tr>
        <w:trPr>
          <w:trHeight w:val="20"/>
        </w:trPr>
        <w:tc>
          <w:tcPr>
            <w:tcBorders>
              <w:top w:val="none" w:color="000000" w:sz="4" w:space="0"/>
              <w:bottom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(2）每月至少检查 1 次标识标牌和消防与安全标识。应当规范清晰、路线指引正确、安装稳固。</w:t>
            </w:r>
            <w:r/>
          </w:p>
        </w:tc>
      </w:tr>
      <w:tr>
        <w:trPr>
          <w:trHeight w:val="20"/>
        </w:trPr>
        <w:tc>
          <w:tcPr>
            <w:tcBorders>
              <w:top w:val="none" w:color="000000" w:sz="4" w:space="0"/>
            </w:tcBorders>
            <w:tcW w:w="11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tcBorders>
            <w:tcW w:w="283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632" w:type="dxa"/>
            <w:textDirection w:val="lrTb"/>
            <w:noWrap w:val="false"/>
          </w:tcPr>
          <w:p>
            <w:pPr>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 (3</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标识、宣传牌每周擦拭1次；清洁后检查无污渍、无积灰，不损伤被清洁物；雕塑、信报箱每季度擦拭1次；擦拭后信报箱干净无灰尘、无污迹。</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541"/>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77" w:name="_Toc16495"/>
      <w:r/>
      <w:bookmarkStart w:id="78" w:name="_Toc6145"/>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3.3公用设施设备维护服务</w:t>
      </w:r>
      <w:bookmarkEnd w:id="77"/>
      <w:r/>
      <w:bookmarkEnd w:id="78"/>
      <w:r/>
      <w:r/>
    </w:p>
    <w:tbl>
      <w:tblPr>
        <w:tblStyle w:val="1364"/>
        <w:tblW w:w="144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2722"/>
        <w:gridCol w:w="10490"/>
      </w:tblGrid>
      <w:tr>
        <w:trPr>
          <w:trHeight w:val="20"/>
        </w:trPr>
        <w:tc>
          <w:tcPr>
            <w:tcW w:w="1248"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2722"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w:t>
            </w:r>
            <w:r/>
          </w:p>
        </w:tc>
        <w:tc>
          <w:tcPr>
            <w:tcW w:w="10490"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服务标准</w:t>
            </w:r>
            <w:r/>
          </w:p>
        </w:tc>
      </w:tr>
      <w:tr>
        <w:trPr>
          <w:trHeight w:val="20"/>
        </w:trPr>
        <w:tc>
          <w:tcPr>
            <w:tcW w:w="1248" w:type="dxa"/>
            <w:vAlign w:val="center"/>
            <w:vMerge w:val="restart"/>
            <w:textDirection w:val="lrTb"/>
            <w:noWrap w:val="false"/>
          </w:tcPr>
          <w:p>
            <w:pPr>
              <w:ind w:left="586"/>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2722" w:type="dxa"/>
            <w:vAlign w:val="center"/>
            <w:vMerge w:val="restart"/>
            <w:textDirection w:val="lrTb"/>
            <w:noWrap w:val="false"/>
          </w:tcPr>
          <w:p>
            <w:pPr>
              <w:pStyle w:val="1393"/>
              <w:ind w:left="109"/>
              <w:jc w:val="center"/>
              <w:spacing w:before="6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基本要求</w:t>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þ(1）重大节假日及恶劣天气前后，组织系统巡检 1 次。</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ind w:right="114"/>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þ(2）具备设施设备安全、稳定运行的环境和场所（含有限空间），温湿度、照度、粉尘和烟雾浓度等 符合相关安全规范。</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þ（3）对设备、设施管理人员要求：</w:t>
            </w:r>
            <w:r/>
          </w:p>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①人员统一着装，规范管理，具有相关专业知识，特殊岗位要求具有专业人员负责。</w:t>
            </w:r>
            <w:r/>
          </w:p>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②了解设备、设施生产厂家、产品供应商的报修电话、联系方式，督促并配合设备、设施特约维修人员和供应商对设备、设施进行定期保养、检测和维修。</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þ(4）每日巡查一次小区房屋单元门、楼道、管线井道、机房以及其他公用设施设备，并及时维护，保证正常运行；小区主要道路及停车场交通标识齐全。</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þ（5）其他：①不得出现私拉线，公共场合被服不能外挂；②不得出现飞线、乱拉充电线、电线不能外露造成安全隐患；③一层门厅宣传栏半年出新一次。</w:t>
            </w:r>
            <w:r/>
          </w:p>
        </w:tc>
      </w:tr>
      <w:tr>
        <w:trPr>
          <w:trHeight w:val="20"/>
        </w:trPr>
        <w:tc>
          <w:tcPr>
            <w:tcW w:w="1248" w:type="dxa"/>
            <w:vMerge w:val="restart"/>
            <w:textDirection w:val="lrTb"/>
            <w:noWrap w:val="false"/>
          </w:tcPr>
          <w:p>
            <w:pPr>
              <w:ind w:left="580"/>
              <w:spacing w:before="6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2722" w:type="dxa"/>
            <w:vMerge w:val="restart"/>
            <w:textDirection w:val="lrTb"/>
            <w:noWrap w:val="false"/>
          </w:tcPr>
          <w:p>
            <w:pPr>
              <w:pStyle w:val="1393"/>
              <w:ind w:left="112"/>
              <w:jc w:val="center"/>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设备机房</w:t>
            </w:r>
            <w:r/>
          </w:p>
        </w:tc>
        <w:tc>
          <w:tcPr>
            <w:tcW w:w="10490" w:type="dxa"/>
            <w:textDirection w:val="lrTb"/>
            <w:noWrap w:val="false"/>
          </w:tcPr>
          <w:p>
            <w:pPr>
              <w:pStyle w:val="1393"/>
              <w:ind w:right="104"/>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þ(1）设备机房门口有机房类别及安全标志。落实各类机房责任人、督查人，且设备系统图、应急预案 流程图、管理制度、特种作业人员资格证书等上墙文件或证书符合各设备机房国家标准规范要求，机房巡视 及外来人员记录清晰完整，标识统一。</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8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þ(2）设备机房门窗、锁具应当完好、有效。</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37"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þ(3）每半月至少开展 1 次清洁，整洁有序、无杂物、无积尘、无鼠、无虫害，温湿度符合设备运行要求。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10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(4）按各设备机房国家标准规范规定维护/保管消防、通风、应急照明，防止小动物进入。</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10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(5）安全防护用具配置齐全，检验合格。</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10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(6）应急设施设备用品应当齐全、完备， 可随时启用。</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10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þ(7）保持配电箱柜和电气连接点接触良好安全正常工作，按需要给各类用电设备和用电器供电，保持设备清洁，定期清扫。</w:t>
            </w:r>
            <w:r/>
          </w:p>
        </w:tc>
      </w:tr>
      <w:tr>
        <w:trPr>
          <w:trHeight w:val="20"/>
        </w:trPr>
        <w:tc>
          <w:tcPr>
            <w:tcW w:w="1248" w:type="dxa"/>
            <w:vAlign w:val="center"/>
            <w:vMerge w:val="restart"/>
            <w:textDirection w:val="lrTb"/>
            <w:noWrap w:val="false"/>
          </w:tcPr>
          <w:p>
            <w:pPr>
              <w:ind w:left="579"/>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2722" w:type="dxa"/>
            <w:vAlign w:val="center"/>
            <w:vMerge w:val="restart"/>
            <w:textDirection w:val="lrTb"/>
            <w:noWrap w:val="false"/>
          </w:tcPr>
          <w:p>
            <w:pPr>
              <w:pStyle w:val="1393"/>
              <w:ind w:left="110"/>
              <w:jc w:val="center"/>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给排水系统</w:t>
            </w:r>
            <w:r/>
          </w:p>
        </w:tc>
        <w:tc>
          <w:tcPr>
            <w:tcW w:w="10490" w:type="dxa"/>
            <w:textDirection w:val="lrTb"/>
            <w:noWrap w:val="false"/>
          </w:tcPr>
          <w:p>
            <w:pPr>
              <w:pStyle w:val="1393"/>
              <w:spacing w:before="87"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（1）生活饮用水卫生符合《生活饮用水卫生标准》（GB5749）的相关要求。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(2）二次供水卫生符合《二次供水设施卫生规范》（GB17051）的相关要求。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þ(3）设施设备、阀门、管道等运行正常， 无跑、冒、滴、漏现象。</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þ(4）有水泵房、水箱间的， 每日至少巡视 1 次。每年至少养护 1 次水泵。</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þ(5）遇供水单位限水、停水，按规定时间通知采购人。</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þ(6）每季度至少开展 1 次对排水管进行疏通、清污， 保证室内外排水系统通畅。</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þ(7）从自来水公司水表开始到各出水口和卫生设备，排水系统从排水口到雨水出口和城市雨污水管网的接入口的正常运行、维护、管理。</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þ（8）要保持给排水管路畅通，如有不畅要及时疏通排堵，如漏水要及时修复，保持阀门和水泵的良好，阀门和水泵有故障时要及时与供应商联系、配合修复。</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þ（9）对长期不用的水泵、阀门要定期检查、测试运行，保持设备清洁。</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þ（10）发生紧急情况时及时采取应急措施，卫生设备的阀门、排水口、感应器、水箱等要保持完好。</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þ(11）排水设施，每月清扫1次排水明沟，每半年对地下管井彻底疏通1次，每年对地下管井彻底疏通1次，每季对地下管井清理1次。</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þ(12）给水设施，饮用水水箱（池）每年清洗消毒1次、水质化验达标，每季清扫一次水泵。</w:t>
            </w:r>
            <w:r/>
          </w:p>
        </w:tc>
      </w:tr>
      <w:tr>
        <w:trPr>
          <w:trHeight w:val="20"/>
        </w:trPr>
        <w:tc>
          <w:tcPr>
            <w:tcW w:w="1248" w:type="dxa"/>
            <w:vMerge w:val="restart"/>
            <w:textDirection w:val="lrTb"/>
            <w:noWrap w:val="false"/>
          </w:tcPr>
          <w:p>
            <w:pPr>
              <w:ind w:left="573"/>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2722" w:type="dxa"/>
            <w:vMerge w:val="restart"/>
            <w:textDirection w:val="lrTb"/>
            <w:noWrap w:val="false"/>
          </w:tcPr>
          <w:p>
            <w:pPr>
              <w:pStyle w:val="1393"/>
              <w:ind w:left="133"/>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电梯系统</w:t>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(1)电梯运行平稳、无异响、平层、开关正常。每周至少开展 2 次电梯的安全状况检查。</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(2)电梯准用证、年检合格证等证件齐全。相关证件、紧急救援电话和乘客注意事项置于轿厢醒目位</w:t>
            </w:r>
            <w:r/>
          </w:p>
          <w:p>
            <w:pPr>
              <w:pStyle w:val="1393"/>
              <w:ind w:left="109"/>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置。</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3"/>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（3）每年至少开展 1 次对电梯的全面检测，并出具检测报告， 核发电梯使用标志。</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4"/>
                              <pic:cNvPicPr>
                                <a:picLocks noChangeAspect="1"/>
                              </pic:cNvPicPr>
                              <pic:nvPr/>
                            </pic:nvPicPr>
                            <pic:blipFill>
                              <a:blip r:embed="rId3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5pt;height:7.5pt;mso-wrap-distance-left:0.0pt;mso-wrap-distance-top:0.0pt;mso-wrap-distance-right:0.0pt;mso-wrap-distance-bottom:0.0pt;" stroked="f">
                      <v:path textboxrect="0,0,0,0"/>
                      <v:imagedata r:id="rId32"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(4)电梯维保应当符合《电梯维护保养规则》 （TSG T5002）的有关要求。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(5)电梯使用应当符合《特种设备使用管理规则》 （TSG 08）的有关要求。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ind w:left="112" w:right="106"/>
              <w:spacing w:before="36"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6"/>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(6)有电梯突发事件或事故的应急措施与救援预案，每年至少开展演练 1 次。电梯出现故障， 物业服务人员 10 分钟内到场应急处理， 维保专业人员 30 分钟内到场应急处理。</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7"/>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（7）到场进行救助和排除故障。电梯紧急电话保持畅通。</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2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(8)电梯维修、保养时在现场设置提示标识和防护围栏。</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9"/>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(9)根据采购人需求，合理设置电梯开启的数量、时间。</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0"/>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(10)……</w:t>
            </w:r>
            <w:r/>
          </w:p>
        </w:tc>
      </w:tr>
      <w:tr>
        <w:trPr>
          <w:trHeight w:val="20"/>
        </w:trPr>
        <w:tc>
          <w:tcPr>
            <w:tcW w:w="1248" w:type="dxa"/>
            <w:vMerge w:val="restart"/>
            <w:textDirection w:val="lrTb"/>
            <w:noWrap w:val="false"/>
          </w:tcPr>
          <w:p>
            <w:pPr>
              <w:ind w:left="578"/>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2722" w:type="dxa"/>
            <w:vMerge w:val="restart"/>
            <w:textDirection w:val="lrTb"/>
            <w:noWrap w:val="false"/>
          </w:tcPr>
          <w:p>
            <w:pPr>
              <w:pStyle w:val="1393"/>
              <w:ind w:left="115"/>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空调系统</w:t>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1"/>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(1)空调通风系统运行管理符合《空调通风系统运行管理标准》（GB50365）的相关要求。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2"/>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(2)办公楼内温湿度、空气质量等符合《室内空气质量标准》（GB/T18883）的相关要求。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3"/>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(3)定期维保并做好记录， 保证空调设施设备处于良好状态。</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ind w:right="108"/>
              <w:spacing w:before="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4"/>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（4）中央空调运行前对冷水机组、循环水泵、冷却塔、风机等设施设备进行系统检查，运行期间每日至少开展 1 次运行情况巡查。</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5"/>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(5)每半年至少开展 1 次管道、阀门检查并除锈。</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6"/>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（6）每年至少开展 1 次系统整体性维修养护， 检验 1 次压力容器、仪表及冷却塔噪声。</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7"/>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（7）每年至少开展 1 次新风机、空气处理机滤网等清洗消毒；每 2 年至少开展 1 次风管清洗消毒。</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ind w:left="115" w:right="104"/>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3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8"/>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（8）每年至少开展 1 次分体式空调主机（含空调过滤网） 和室外机清洁。每月至少开展 1 次挂机和室外支架稳固性巡查。</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9"/>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(9)制冷、供暖系统温度设定及启用时间符合节能要求。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ind w:right="104"/>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0"/>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（10）发现故障或损坏应当在 30 分钟内到场，紧急维修应当在 15 分钟内到达现场，在 12 小时内维修完毕。</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1"/>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(11)……</w:t>
            </w:r>
            <w:r/>
          </w:p>
        </w:tc>
      </w:tr>
      <w:tr>
        <w:trPr>
          <w:trHeight w:val="20"/>
        </w:trPr>
        <w:tc>
          <w:tcPr>
            <w:tcW w:w="1248" w:type="dxa"/>
            <w:vMerge w:val="restart"/>
            <w:textDirection w:val="lrTb"/>
            <w:noWrap w:val="false"/>
          </w:tcPr>
          <w:p>
            <w:pPr>
              <w:ind w:left="579"/>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2722" w:type="dxa"/>
            <w:vMerge w:val="restart"/>
            <w:textDirection w:val="lrTb"/>
            <w:noWrap w:val="false"/>
          </w:tcPr>
          <w:p>
            <w:pPr>
              <w:pStyle w:val="1393"/>
              <w:ind w:left="113"/>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消防系统</w:t>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þ(1）消防设施的维护管理符合《建筑消防设施的维护管理》（GB25201）的相关要求。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þ(2）消防设备检测符合《建筑消防设施检测技术规程》（GA503 或 XF503）的相关要求。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(3）消防设施平面图、火警疏散示意图、防火分区图等按幢设置在楼层醒目位置。</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(4）消防系统各设施设备使用说明清晰，宜图文结合。</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 自动喷水灭火系统启动正常。</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þ(6）消火栓箱、防火门、灭火器、消防水泵、红外线报警器、应急照明、安全疏散等系统运行正常。</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þ(7）消防监控系统运行良好，自动和手动报警设施启动正常。</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(8）正压送风、防排烟系统运行正常。</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þ(9）每半年检查一次消防水带、阀杆处加注润滑油并做一次防水检查。</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þ(10）每月检查一次灭火器，临近失效立即更新或充压。</w:t>
            </w:r>
            <w:r/>
          </w:p>
        </w:tc>
      </w:tr>
      <w:tr>
        <w:trPr>
          <w:trHeight w:val="20"/>
        </w:trPr>
        <w:tc>
          <w:tcPr>
            <w:tcW w:w="1248" w:type="dxa"/>
            <w:vMerge w:val="restart"/>
            <w:textDirection w:val="lrTb"/>
            <w:noWrap w:val="false"/>
          </w:tcPr>
          <w:p>
            <w:pPr>
              <w:ind w:left="578"/>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2722" w:type="dxa"/>
            <w:vMerge w:val="restart"/>
            <w:textDirection w:val="lrTb"/>
            <w:noWrap w:val="false"/>
          </w:tcPr>
          <w:p>
            <w:pPr>
              <w:pStyle w:val="1393"/>
              <w:ind w:left="109"/>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供配电系统</w:t>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þ(1）建立 24 小时运行值班监控制度。</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ind w:right="104"/>
              <w:spacing w:before="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þ（2）对供电范围内的电气设备定期巡视维护， 加强高低压配电柜、配电箱、控制柜及线路等重点部位监测。</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þ（3）公共使用的照明、指示灯具线路、开关、接地等保持完好，确保用电安全。</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2"/>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(4)核心部位用电建立高可控用电保障和配备应急发电设备，定期维护应急发电设备。</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ind w:right="104"/>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þ（5）发生非计划性停电的，应当在事件发生后及时通知采购人，快速恢复或启用应急电源，并做好应 急事件上报及处理工作。</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þ(6）复杂故障涉及供电部门维修处置的及时与供电部门联系， 并向采购人报告。</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þ(7）每月检查公共配电系统运行状况，按照规定抄报各种运行数据，记录运行值班记录具体内容，发现设备异常及时进行应急处理并上报领导，根据采购人要求对发电机组进行发电操作等。</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þ（8）对变值人员要求：</w:t>
            </w:r>
            <w:r/>
          </w:p>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①人员统一着装，规范管理；</w:t>
            </w:r>
            <w:r/>
          </w:p>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②具备电力系统专业知识，了解变电设备结构与性能；</w:t>
            </w:r>
            <w:r/>
          </w:p>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③熟悉安全工作规程，熟知《电网调度规程》《现场运行规程》、事故预案、两票三制、倒闸操作。  </w:t>
            </w:r>
            <w:r/>
          </w:p>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④掌握设备运行情况、运行方式，及时发现设备缺陷、异常根据上级下达的电压、无功指标，监视设备运行，不发生错漏情况；  </w:t>
            </w:r>
            <w:r/>
          </w:p>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⑤熟练进行日常的运行维护工作，能进行一般设备的缺陷处理。</w:t>
            </w:r>
            <w:r/>
          </w:p>
        </w:tc>
      </w:tr>
      <w:tr>
        <w:trPr>
          <w:trHeight w:val="20"/>
        </w:trPr>
        <w:tc>
          <w:tcPr>
            <w:tcW w:w="1248" w:type="dxa"/>
            <w:vMerge w:val="restart"/>
            <w:textDirection w:val="lrTb"/>
            <w:noWrap w:val="false"/>
          </w:tcPr>
          <w:p>
            <w:pPr>
              <w:ind w:left="577"/>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2722" w:type="dxa"/>
            <w:vMerge w:val="restart"/>
            <w:textDirection w:val="lrTb"/>
            <w:noWrap w:val="false"/>
          </w:tcPr>
          <w:p>
            <w:pPr>
              <w:pStyle w:val="1393"/>
              <w:ind w:left="112"/>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弱电系统</w:t>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(1）安全防范系统维护保养符合《安全防范系统维护保养规范》（GA/T 1081）的相关要求。</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(2）保持监控系统、门禁系统、安全防范系统等运行正常，有故障及时排除。</w:t>
            </w:r>
            <w:r/>
          </w:p>
        </w:tc>
      </w:tr>
      <w:tr>
        <w:trPr>
          <w:trHeight w:val="20"/>
        </w:trPr>
        <w:tc>
          <w:tcPr>
            <w:tcW w:w="1248" w:type="dxa"/>
            <w:vMerge w:val="restart"/>
            <w:textDirection w:val="lrTb"/>
            <w:noWrap w:val="false"/>
          </w:tcPr>
          <w:p>
            <w:pPr>
              <w:ind w:left="577"/>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w:t>
            </w:r>
            <w:r/>
          </w:p>
        </w:tc>
        <w:tc>
          <w:tcPr>
            <w:tcW w:w="2722" w:type="dxa"/>
            <w:vMerge w:val="restart"/>
            <w:textDirection w:val="lrTb"/>
            <w:noWrap w:val="false"/>
          </w:tcPr>
          <w:p>
            <w:pPr>
              <w:pStyle w:val="1393"/>
              <w:ind w:left="115"/>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照明系统</w:t>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þ(1）外观整洁无缺损、无松落。</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þ(2）更换的照明灯具应当选用节能环保产品，亮度与更换前保持一致。</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þ(3）每周至少开展 1 次公共区域照明设备巡视。</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þ（4）公共部位照明灯、景观灯、节日彩灯等，保持灯具完好。</w:t>
            </w:r>
            <w:r/>
          </w:p>
        </w:tc>
      </w:tr>
      <w:tr>
        <w:trPr>
          <w:trHeight w:val="20"/>
        </w:trPr>
        <w:tc>
          <w:tcPr>
            <w:tcW w:w="1248" w:type="dxa"/>
            <w:vMerge w:val="restart"/>
            <w:textDirection w:val="lrTb"/>
            <w:noWrap w:val="false"/>
          </w:tcPr>
          <w:p>
            <w:pPr>
              <w:ind w:left="531"/>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c>
          <w:tcPr>
            <w:tcW w:w="2722" w:type="dxa"/>
            <w:vMerge w:val="restart"/>
            <w:textDirection w:val="lrTb"/>
            <w:noWrap w:val="false"/>
          </w:tcPr>
          <w:p>
            <w:pPr>
              <w:pStyle w:val="1393"/>
              <w:ind w:left="109"/>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锅炉设备/热力站</w:t>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4"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5"/>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(1)建立 24 小时值班监控制度。</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6"/>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（2）每年至少开展 1 次锅炉设备的全面检查。</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7"/>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（3）每年至少开展 1 次锅炉设备及其辅助设备检测， 确保各类设备、仪器仪表、水管线路运行正常。</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7"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8"/>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（4）每年至少开展 1 次锅炉水质检测，确保水质合格。</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8"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9"/>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(5)按锅炉厂家制定的检修规程对锅炉进行检修。</w:t>
            </w:r>
            <w:r/>
          </w:p>
        </w:tc>
      </w:tr>
      <w:tr>
        <w:trPr>
          <w:trHeight w:val="20"/>
        </w:trPr>
        <w:tc>
          <w:tcPr>
            <w:tcW w:w="1248" w:type="dxa"/>
            <w:vMerge w:val="restart"/>
            <w:textDirection w:val="lrTb"/>
            <w:noWrap w:val="false"/>
          </w:tcPr>
          <w:p>
            <w:pPr>
              <w:ind w:left="531"/>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w:t>
            </w:r>
            <w:r/>
          </w:p>
        </w:tc>
        <w:tc>
          <w:tcPr>
            <w:tcW w:w="2722" w:type="dxa"/>
            <w:vMerge w:val="restart"/>
            <w:textDirection w:val="lrTb"/>
            <w:noWrap w:val="false"/>
          </w:tcPr>
          <w:p>
            <w:pPr>
              <w:pStyle w:val="1393"/>
              <w:ind w:left="108"/>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采暖系统</w:t>
            </w:r>
            <w:r/>
          </w:p>
        </w:tc>
        <w:tc>
          <w:tcPr>
            <w:tcW w:w="10490"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4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0"/>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(1)定期检查供暖管道、阀门运行情况， 确保正常无隐患。</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1"/>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(2)负责暖气片、阀门龙头等新装布置及旧装拆除、日常维修更换及管线的跑、冒、滴、漏的维修。</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2"/>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(3)做好供暖前检查等相关准备工作。</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2"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3"/>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(4)暖气片上水前， 提前通知采购人。</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4"/>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(5)供暖期间做好日常检查、维护、抢修、登记上报等工作。</w:t>
            </w:r>
            <w:r/>
          </w:p>
        </w:tc>
      </w:tr>
      <w:tr>
        <w:trPr>
          <w:trHeight w:val="20"/>
        </w:trPr>
        <w:tc>
          <w:tcPr>
            <w:tcW w:w="1248"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22"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490" w:type="dxa"/>
            <w:textDirection w:val="lrTb"/>
            <w:noWrap w:val="false"/>
          </w:tcPr>
          <w:p>
            <w:pPr>
              <w:pStyle w:val="139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5"/>
                              <pic:cNvPicPr>
                                <a:picLocks noChangeAspect="1"/>
                              </pic:cNvPicPr>
                              <pic:nvPr/>
                            </pic:nvPicPr>
                            <pic:blipFill>
                              <a:blip r:embed="rId3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pt;height:7.5pt;mso-wrap-distance-left:0.0pt;mso-wrap-distance-top:0.0pt;mso-wrap-distance-right:0.0pt;mso-wrap-distance-bottom:0.0pt;" stroked="f">
                      <v:path textboxrect="0,0,0,0"/>
                      <v:imagedata r:id="rId32"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(6)根据天气情况适时调节供暖设备运行工况，节约能源。</w:t>
            </w:r>
            <w:r/>
          </w:p>
        </w:tc>
      </w:tr>
    </w:tbl>
    <w:p>
      <w:pPr>
        <w:ind w:right="218"/>
        <w:spacing w:before="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注：电梯系统、锅炉设备等设施设备的安装改造维修应当由具备相应资质的供应商完成，如供应商自身不具备，可进行分包由具有相应资质的单位完成。服务标准涉及的国家标准有更新的，执行国家最新标准。</w:t>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20"/>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79" w:name="_Toc24391"/>
      <w:r/>
      <w:bookmarkStart w:id="80" w:name="_Toc22714"/>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3.4保洁服务</w:t>
      </w:r>
      <w:bookmarkEnd w:id="79"/>
      <w:r/>
      <w:bookmarkEnd w:id="80"/>
      <w:r/>
      <w:r/>
    </w:p>
    <w:tbl>
      <w:tblPr>
        <w:tblStyle w:val="1364"/>
        <w:tblW w:w="14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10007"/>
      </w:tblGrid>
      <w:tr>
        <w:trPr>
          <w:trHeight w:val="20"/>
        </w:trPr>
        <w:tc>
          <w:tcPr>
            <w:tcW w:w="1224" w:type="dxa"/>
            <w:textDirection w:val="lrTb"/>
            <w:noWrap w:val="false"/>
          </w:tcPr>
          <w:p>
            <w:pPr>
              <w:jc w:val="center"/>
              <w:spacing w:before="9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3371"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w:t>
            </w:r>
            <w:r/>
          </w:p>
        </w:tc>
        <w:tc>
          <w:tcPr>
            <w:tcW w:w="10007"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服务标准</w:t>
            </w:r>
            <w:r/>
          </w:p>
        </w:tc>
      </w:tr>
      <w:tr>
        <w:trPr>
          <w:trHeight w:val="20"/>
        </w:trPr>
        <w:tc>
          <w:tcPr>
            <w:tcW w:w="1224" w:type="dxa"/>
            <w:vAlign w:val="center"/>
            <w:vMerge w:val="restart"/>
            <w:textDirection w:val="lrTb"/>
            <w:noWrap w:val="false"/>
          </w:tcPr>
          <w:p>
            <w:pPr>
              <w:jc w:val="center"/>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3371" w:type="dxa"/>
            <w:vAlign w:val="center"/>
            <w:vMerge w:val="restart"/>
            <w:textDirection w:val="lrTb"/>
            <w:noWrap w:val="false"/>
          </w:tcPr>
          <w:p>
            <w:pPr>
              <w:pStyle w:val="1393"/>
              <w:ind w:left="111"/>
              <w:jc w:val="center"/>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基本要求</w:t>
            </w:r>
            <w:r/>
          </w:p>
        </w:tc>
        <w:tc>
          <w:tcPr>
            <w:tcW w:w="10007"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þ(1）建立保洁服务的工作制度及工作计划，并按照执行。</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þ(2）做好保洁服务工作记录，记录填写规范、保存完好。</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10007" w:type="dxa"/>
            <w:textDirection w:val="lrTb"/>
            <w:noWrap w:val="false"/>
          </w:tcPr>
          <w:p>
            <w:pPr>
              <w:pStyle w:val="1393"/>
              <w:ind w:right="107"/>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þ(3）作业时采取安全防护措施，防止对作业人员或他人造成伤害。相关耗材的环保、安全性等应当符 合国家相关规定要求。</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þ（4）进入保密区域时，有采购人相关人员全程在场。</w:t>
            </w:r>
            <w:r/>
          </w:p>
        </w:tc>
      </w:tr>
      <w:tr>
        <w:trPr>
          <w:trHeight w:val="20"/>
        </w:trPr>
        <w:tc>
          <w:tcPr>
            <w:tcW w:w="1224" w:type="dxa"/>
            <w:vMerge w:val="restart"/>
            <w:textDirection w:val="lrTb"/>
            <w:noWrap w:val="false"/>
          </w:tcPr>
          <w:p>
            <w:pPr>
              <w:jc w:val="center"/>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3371" w:type="dxa"/>
            <w:vMerge w:val="restart"/>
            <w:textDirection w:val="lrTb"/>
            <w:noWrap w:val="false"/>
          </w:tcPr>
          <w:p>
            <w:pPr>
              <w:pStyle w:val="1393"/>
              <w:jc w:val="center"/>
              <w:spacing w:before="1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办公用房区域保洁</w:t>
            </w:r>
            <w:r/>
          </w:p>
        </w:tc>
        <w:tc>
          <w:tcPr>
            <w:tcW w:w="10007" w:type="dxa"/>
            <w:textDirection w:val="lrTb"/>
            <w:noWrap w:val="false"/>
          </w:tcPr>
          <w:p>
            <w:pPr>
              <w:pStyle w:val="1393"/>
              <w:spacing w:before="10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þ(1）大厅、楼内公共通道：</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①公共通道保持干净， 无异味、无杂物、无积水，每日至少开展 1 次清洁作业。</w:t>
            </w:r>
            <w:r/>
          </w:p>
          <w:p>
            <w:pPr>
              <w:pStyle w:val="1393"/>
              <w:ind w:left="425"/>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②门窗玻璃干净无尘， 透光性好，每周至少开展 1 次清洁作业。</w:t>
            </w:r>
            <w:r/>
          </w:p>
          <w:p>
            <w:pPr>
              <w:pStyle w:val="1393"/>
              <w:ind w:left="425"/>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③指示牌干净，无污渍，每日至少开展 1 次清洁作业。</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④每周打扫1次各楼层通道和楼梯台阶，每周清洁1次楼梯扶手；</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⑤每周擦抹1次各层和通道的防火门、消防栓、玻璃箱内侧、灯具、墙面、地脚线、指示牌等公共设施；</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⑥每季度楼梯间墙面、顶面除尘1次；</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⑦每季度擦1次楼梯道共用门窗玻璃；</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⑧无垃圾、杂物， 无明显污迹，无乱堆乱放，无乱贴乱划，无擅自占用现象，目视基本干净；</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⑨梯间顶面无明显蜘蛛网、灰尘；外墙窗玻璃无积灰；</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⑩公共天台、屋顶每季清理1次，保持清洁、无垃圾。</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3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þ(2）电器、消防等设施设备：</w:t>
            </w:r>
            <w:r/>
          </w:p>
          <w:p>
            <w:pPr>
              <w:pStyle w:val="1393"/>
              <w:ind w:left="111" w:right="104" w:firstLine="31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①配电箱、设备机房、会议室音视频设备、消防栓及开关插座等保持表面干净，无尘无污迹，每月至少开展 1 次清洁作业。</w:t>
            </w:r>
            <w:r/>
          </w:p>
          <w:p>
            <w:pPr>
              <w:pStyle w:val="1393"/>
              <w:ind w:left="425"/>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②监控摄像头、门禁系统等表面光亮，无尘、无斑点，每月至少开展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þ（3）楼梯及楼梯间保持干净、无异味、无杂物、无积水，每日至少开展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2"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5"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6"/>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(4)开水间保持干净、无异味、无杂物、无积水，每日至少开展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þ(5）作业工具间：</w:t>
            </w:r>
            <w:r/>
          </w:p>
          <w:p>
            <w:pPr>
              <w:pStyle w:val="1393"/>
              <w:ind w:left="426"/>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①保持干净， 无异味、无杂物、无积水，每日至少开展 1 次清洁作业。</w:t>
            </w:r>
            <w:r/>
          </w:p>
          <w:p>
            <w:pPr>
              <w:pStyle w:val="1393"/>
              <w:ind w:left="425"/>
              <w:spacing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②作业工具摆放整齐有序，表面干净无渍，每日消毒。</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7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（6）公共卫生间：</w:t>
            </w:r>
            <w:r/>
          </w:p>
          <w:p>
            <w:pPr>
              <w:pStyle w:val="1393"/>
              <w:ind w:left="426"/>
              <w:spacing w:before="87"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①保持干净， 无异味， 垃圾无溢出，每日至少开展 1 次清洁作业。</w:t>
            </w:r>
            <w:r/>
          </w:p>
          <w:p>
            <w:pPr>
              <w:pStyle w:val="1393"/>
              <w:ind w:left="425"/>
              <w:spacing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②及时补充厕纸等必要用品。</w:t>
            </w:r>
            <w:r/>
          </w:p>
          <w:p>
            <w:pPr>
              <w:pStyle w:val="1393"/>
              <w:ind w:left="426"/>
              <w:spacing w:before="87"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③每日对共用卫生间清洁2次，每周消杀1次，室内无明显异味、臭味；</w:t>
            </w:r>
            <w:r/>
          </w:p>
          <w:p>
            <w:pPr>
              <w:pStyle w:val="1393"/>
              <w:ind w:left="426"/>
              <w:spacing w:before="87"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④每月1次用毛巾擦灯具；</w:t>
            </w:r>
            <w:r/>
          </w:p>
          <w:p>
            <w:pPr>
              <w:pStyle w:val="1393"/>
              <w:ind w:left="426"/>
              <w:spacing w:before="87"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⑤墙面无蜘蛛网和积灰，便器洁净无黄渍。</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8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þ(7）电梯轿厢：</w:t>
            </w:r>
            <w:r/>
          </w:p>
          <w:p>
            <w:pPr>
              <w:pStyle w:val="1393"/>
              <w:ind w:left="424"/>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①保持干净，无污渍、无粘贴物、无异味，每日至少开展 1 次清洁作业。</w:t>
            </w:r>
            <w:r/>
          </w:p>
          <w:p>
            <w:pPr>
              <w:pStyle w:val="1393"/>
              <w:ind w:left="423"/>
              <w:spacing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②灯具、操作指示板明亮。</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4"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þ（8）平台、屋顶、天沟保持干净，有杂物及时清扫，每月至少开展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34"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7"/>
                              <pic:cNvPicPr>
                                <a:picLocks noChangeAspect="1"/>
                              </pic:cNvPicPr>
                              <pic:nvPr/>
                            </pic:nvPicPr>
                            <pic:blipFill>
                              <a:blip r:embed="rId3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5pt;height:7.5pt;mso-wrap-distance-left:0.0pt;mso-wrap-distance-top:0.0pt;mso-wrap-distance-right:0.0pt;mso-wrap-distance-bottom:0.0pt;" stroked="f">
                      <v:path textboxrect="0,0,0,0"/>
                      <v:imagedata r:id="rId32"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(9)石材地面、内墙做好养护工作，每季度开展 1 次清洁作业。（各类材质地面、内墙服务管理标准详见 3.4.1）</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156"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7"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8"/>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（10）地毯干净、无油渍、无污渍、无褪色，每月至少开展 1 次清洁作业。</w:t>
            </w:r>
            <w:r/>
          </w:p>
        </w:tc>
      </w:tr>
      <w:tr>
        <w:trPr>
          <w:trHeight w:val="20"/>
        </w:trPr>
        <w:tc>
          <w:tcPr>
            <w:tcW w:w="1224" w:type="dxa"/>
            <w:vMerge w:val="restart"/>
            <w:textDirection w:val="lrTb"/>
            <w:noWrap w:val="false"/>
          </w:tcPr>
          <w:p>
            <w:pPr>
              <w:ind w:left="567"/>
              <w:spacing w:before="64"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3371" w:type="dxa"/>
            <w:vMerge w:val="restart"/>
            <w:textDirection w:val="lrTb"/>
            <w:noWrap w:val="false"/>
          </w:tcPr>
          <w:p>
            <w:pPr>
              <w:pStyle w:val="1393"/>
              <w:ind w:left="118"/>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公共场地区域保洁</w:t>
            </w:r>
            <w:r/>
          </w:p>
        </w:tc>
        <w:tc>
          <w:tcPr>
            <w:tcW w:w="10007" w:type="dxa"/>
            <w:textDirection w:val="lrTb"/>
            <w:noWrap w:val="false"/>
          </w:tcPr>
          <w:p>
            <w:pPr>
              <w:pStyle w:val="139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þ(1）每日清扫道路地面、停车场等公共区域 2 次，保持干净、无杂物、无积水。</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þ(2)雪、冰冻等恶劣天气时及时清扫积水、积雪，并采取安全防护措施。</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þ(3）各种路标、宣传栏等保持干净，每月至少开展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þ(4）清洁室外照明设备，每月至少开展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þ(5）绿地内无杂物、无改变用途和破坏、践踏、占用现象，每天至少开展 1 次巡查。</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36"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(6）办公区外立面定期清洗、2 米以上外窗玻璃擦拭，每年至少开展 1 次清洗。（各类材质外立面服务标准详见 3.4.1）</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12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þ(7）停车场、共用车库或车棚保洁：每半月清扫1次车库，每半年进行1次地下室消杀工作；每半月清扫1次车库的纸屑和垃圾；发现油迹、污迹、锈迹，应及时擦洗干净； 每季度打开1次地下室车库的集水坑和排水沟盖板，彻底疏通冲刷1次；每半年擦洗1次门窗、消防栓、指示牌、指示灯、车位档、防火门等公共设施；车库地面无明显垃圾、果皮、纸屑、无积水、无明显油迹；空气基本流通；标识、指示牌等公共设施目视无明显灰尘。</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þ(8</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休闲、娱乐、健身设施保洁：每周清洁2次（擦拭表面灰尘、用清洁剂擦拭污渍用清水冲洗干净用抹布抹干、清扫垃圾、擦拭座椅）；设施表面干净，无灰尘污渍、锈迹，目视游乐场内及其周围无果皮、纸屑等垃圾，及时发现设施、设备脱焊、脱漆、断裂及其他安全隐患并报告处理。</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þ(9</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卫、岗亭、监控探头保洁：门卫、岗亭每日清洁1次，内外地面拖洗干净，擦洗干净内外门窗玻璃、窗台及其他台面，室内外墙面每月清洁1次，发现不卫生随时处理，保持墙、地面干净、光亮、整洁；监控探头每月擦拭1次；擦拭不得刮伤镜片，清洁后镜头光亮洁净，探头外表干净无灰尘；工、器具排放整齐、有序。</w:t>
            </w:r>
            <w:r/>
          </w:p>
        </w:tc>
      </w:tr>
      <w:tr>
        <w:trPr>
          <w:trHeight w:val="20"/>
        </w:trPr>
        <w:tc>
          <w:tcPr>
            <w:tcW w:w="1224" w:type="dxa"/>
            <w:vMerge w:val="restart"/>
            <w:textDirection w:val="lrTb"/>
            <w:noWrap w:val="false"/>
          </w:tcPr>
          <w:p>
            <w:pPr>
              <w:ind w:left="561"/>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3371" w:type="dxa"/>
            <w:vMerge w:val="restart"/>
            <w:textDirection w:val="lrTb"/>
            <w:noWrap w:val="false"/>
          </w:tcPr>
          <w:p>
            <w:pPr>
              <w:pStyle w:val="1393"/>
              <w:ind w:left="113"/>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垃圾处理</w:t>
            </w:r>
            <w:r/>
          </w:p>
        </w:tc>
        <w:tc>
          <w:tcPr>
            <w:tcW w:w="10007" w:type="dxa"/>
            <w:textDirection w:val="lrTb"/>
            <w:noWrap w:val="false"/>
          </w:tcPr>
          <w:p>
            <w:pPr>
              <w:pStyle w:val="1393"/>
              <w:ind w:right="104"/>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þ（1）在指定位置摆放分类垃圾桶， 并在显著处张贴垃圾分类标识。分类垃圾桶和垃圾分类标识根据所 在城市的要求设置。</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桶身表面干净无污渍，每日开展至少 1 次清洁作业。垃圾桶、果皮箱：垃圾桶、果皮箱中垃圾每日收集2次；垃圾桶、果皮箱每月用抹布擦拭2次；垃圾桶、果皮箱周围地面无散落垃圾、无污水、无明显污迹；垃圾桶、果皮箱无明显污迹、油污，无明显异味。</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þ(3）垃圾中转房保持整洁， 无明显异味，每日至少开展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þ(4）化粪池清掏，无明显异味，每半年至少开展 1 次清洁作业。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þ(5）每个工作日内要对楼层产生的垃圾， 进行清理分类， 并运至垃圾集中堆放点。</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þ(6）垃圾装袋， 日产日清。</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þ(7）建立垃圾清运台账，交由规范的渠道回收处理。</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þ(8）做好垃圾分类管理的宣传工作， 督促并引导全员参与垃圾分类投放。</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16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þ(9）垃圾分类投放管理工作的执行标准， 按所在城市的要求执行。</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16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16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(11）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20"/>
        </w:trPr>
        <w:tc>
          <w:tcPr>
            <w:tcW w:w="1224" w:type="dxa"/>
            <w:vMerge w:val="restart"/>
            <w:textDirection w:val="lrTb"/>
            <w:noWrap w:val="false"/>
          </w:tcPr>
          <w:p>
            <w:pPr>
              <w:ind w:left="566"/>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3371" w:type="dxa"/>
            <w:vMerge w:val="restart"/>
            <w:textDirection w:val="lrTb"/>
            <w:noWrap w:val="false"/>
          </w:tcPr>
          <w:p>
            <w:pPr>
              <w:pStyle w:val="1393"/>
              <w:ind w:left="113"/>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卫生消毒</w:t>
            </w:r>
            <w:r/>
          </w:p>
        </w:tc>
        <w:tc>
          <w:tcPr>
            <w:tcW w:w="10007" w:type="dxa"/>
            <w:textDirection w:val="lrTb"/>
            <w:noWrap w:val="false"/>
          </w:tcPr>
          <w:p>
            <w:pPr>
              <w:pStyle w:val="1393"/>
              <w:ind w:left="116" w:right="278"/>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9"/>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(1)办公用房区域、公共场所区域和周围环境预防性卫生消毒，消毒后及时通风，每周至少开展 1 次作业。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jc w:val="left"/>
              <w:spacing w:before="7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þ(2）采取综合措施消灭老鼠、蟑螂，控制室内外蚊虫滋生，达到基本无蝇，每季度至少开展1 次作业。</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1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þ（3）发生公共卫生事件时， 邀请专业单位开展消毒、检测等工作。</w:t>
            </w:r>
            <w:r/>
          </w:p>
        </w:tc>
      </w:tr>
      <w:tr>
        <w:trPr>
          <w:trHeight w:val="20"/>
        </w:trPr>
        <w:tc>
          <w:tcPr>
            <w:tcW w:w="1224" w:type="dxa"/>
            <w:vMerge w:val="continue"/>
            <w:textDirection w:val="lrTb"/>
            <w:noWrap w:val="false"/>
          </w:tcPr>
          <w:p>
            <w:pPr>
              <w:ind w:left="574"/>
              <w:spacing w:before="133"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r>
            <w:r/>
          </w:p>
        </w:tc>
        <w:tc>
          <w:tcPr>
            <w:tcW w:w="3371" w:type="dxa"/>
            <w:vMerge w:val="continue"/>
            <w:textDirection w:val="lrTb"/>
            <w:noWrap w:val="false"/>
          </w:tcPr>
          <w:p>
            <w:pPr>
              <w:pStyle w:val="1393"/>
              <w:ind w:left="111"/>
              <w:spacing w:before="91"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r>
            <w:r/>
          </w:p>
        </w:tc>
        <w:tc>
          <w:tcPr>
            <w:tcW w:w="10007" w:type="dxa"/>
            <w:textDirection w:val="lrTb"/>
            <w:noWrap w:val="false"/>
          </w:tcPr>
          <w:p>
            <w:pPr>
              <w:pStyle w:val="1393"/>
              <w:spacing w:before="1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þ(4）灭鼠，灭蚊等每年至少进行2次。</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21"/>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81" w:name="_Toc8402"/>
      <w:r/>
      <w:bookmarkStart w:id="82" w:name="_Toc13461"/>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3.4.1具体清洁要求</w:t>
      </w:r>
      <w:bookmarkEnd w:id="81"/>
      <w:r/>
      <w:bookmarkEnd w:id="82"/>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bl>
      <w:tblPr>
        <w:tblStyle w:val="1364"/>
        <w:tblW w:w="144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860"/>
      </w:tblGrid>
      <w:tr>
        <w:trPr>
          <w:trHeight w:val="20"/>
        </w:trPr>
        <w:tc>
          <w:tcPr>
            <w:tcW w:w="1233" w:type="dxa"/>
            <w:textDirection w:val="lrTb"/>
            <w:noWrap w:val="false"/>
          </w:tcPr>
          <w:p>
            <w:pPr>
              <w:ind w:left="406"/>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3367" w:type="dxa"/>
            <w:textDirection w:val="lrTb"/>
            <w:noWrap w:val="false"/>
          </w:tcPr>
          <w:p>
            <w:pPr>
              <w:ind w:left="146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材质</w:t>
            </w:r>
            <w:r/>
          </w:p>
        </w:tc>
        <w:tc>
          <w:tcPr>
            <w:tcW w:w="9860" w:type="dxa"/>
            <w:textDirection w:val="lrTb"/>
            <w:noWrap w:val="false"/>
          </w:tcPr>
          <w:p>
            <w:pPr>
              <w:ind w:left="4553"/>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清洁要求</w:t>
            </w:r>
            <w:r/>
          </w:p>
        </w:tc>
      </w:tr>
      <w:tr>
        <w:trPr>
          <w:trHeight w:val="20"/>
        </w:trPr>
        <w:tc>
          <w:tcPr>
            <w:tcBorders>
              <w:bottom w:val="none" w:color="000000" w:sz="4" w:space="0"/>
            </w:tcBorders>
            <w:tcW w:w="1233" w:type="dxa"/>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bottom w:val="none" w:color="000000" w:sz="4" w:space="0"/>
            </w:tcBorders>
            <w:tcW w:w="3367" w:type="dxa"/>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环氧地坪地面</w:t>
            </w:r>
            <w:r/>
          </w:p>
        </w:tc>
        <w:tc>
          <w:tcPr>
            <w:tcW w:w="9860" w:type="dxa"/>
            <w:textDirection w:val="lrTb"/>
            <w:noWrap w:val="false"/>
          </w:tcPr>
          <w:p>
            <w:pPr>
              <w:pStyle w:val="1393"/>
              <w:ind w:left="33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59"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1"/>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(1)清理垃圾： 清理地面上的垃圾和杂物。</w:t>
            </w:r>
            <w:r/>
          </w:p>
        </w:tc>
      </w:tr>
      <w:tr>
        <w:trPr>
          <w:trHeight w:val="20"/>
        </w:trPr>
        <w:tc>
          <w:tcPr>
            <w:tcBorders>
              <w:top w:val="none" w:color="000000" w:sz="4" w:space="0"/>
              <w:bottom w:val="none" w:color="000000" w:sz="4" w:space="0"/>
            </w:tcBorders>
            <w:tcW w:w="1233"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9860" w:type="dxa"/>
            <w:textDirection w:val="lrTb"/>
            <w:noWrap w:val="false"/>
          </w:tcPr>
          <w:p>
            <w:pPr>
              <w:pStyle w:val="1393"/>
              <w:ind w:left="113" w:right="27" w:firstLine="220"/>
              <w:spacing w:before="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2"/>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(2)清洗地面：用专业的清洁剂或去污剂清洗地面。清洁剂和去污剂的选取要根据污垢的性质而定。 环氧地坪一般使用弱酸性或弱碱性的清洁剂， 避免使用酸性或碱性强的清洁剂。</w:t>
            </w:r>
            <w:r/>
          </w:p>
        </w:tc>
      </w:tr>
      <w:tr>
        <w:trPr>
          <w:trHeight w:val="20"/>
        </w:trPr>
        <w:tc>
          <w:tcPr>
            <w:tcBorders>
              <w:top w:val="none" w:color="000000" w:sz="4" w:space="0"/>
              <w:bottom w:val="none" w:color="000000" w:sz="4" w:space="0"/>
            </w:tcBorders>
            <w:tcW w:w="1233"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9860" w:type="dxa"/>
            <w:textDirection w:val="lrTb"/>
            <w:noWrap w:val="false"/>
          </w:tcPr>
          <w:p>
            <w:pPr>
              <w:pStyle w:val="1393"/>
              <w:ind w:left="33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3"/>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(3)滚刷或颗粒机进行深层清洗：对于顽固沉积物， 需要使用滚刷或颗粒机进行深层清洗。</w:t>
            </w:r>
            <w:r/>
          </w:p>
        </w:tc>
      </w:tr>
      <w:tr>
        <w:trPr>
          <w:trHeight w:val="20"/>
        </w:trPr>
        <w:tc>
          <w:tcPr>
            <w:tcBorders>
              <w:top w:val="none" w:color="000000" w:sz="4" w:space="0"/>
              <w:bottom w:val="none" w:color="000000" w:sz="4" w:space="0"/>
            </w:tcBorders>
            <w:tcW w:w="1233"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9860"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4"/>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(4)浸泡： 将清洁剂或去污剂浸泡在环氧地坪上，加强去除污渍的效果。</w:t>
            </w:r>
            <w:r/>
          </w:p>
        </w:tc>
      </w:tr>
      <w:tr>
        <w:trPr>
          <w:trHeight w:val="20"/>
        </w:trPr>
        <w:tc>
          <w:tcPr>
            <w:tcBorders>
              <w:top w:val="none" w:color="000000" w:sz="4" w:space="0"/>
              <w:bottom w:val="none" w:color="000000" w:sz="4" w:space="0"/>
            </w:tcBorders>
            <w:tcW w:w="1233"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9860" w:type="dxa"/>
            <w:textDirection w:val="lrTb"/>
            <w:noWrap w:val="false"/>
          </w:tcPr>
          <w:p>
            <w:pPr>
              <w:pStyle w:val="1393"/>
              <w:ind w:left="33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5"/>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(5)冲洗： 用清水将地面冲洗干净， 以去除残留的清洁剂或去污剂。</w:t>
            </w:r>
            <w:r/>
          </w:p>
        </w:tc>
      </w:tr>
      <w:tr>
        <w:trPr>
          <w:trHeight w:val="20"/>
        </w:trPr>
        <w:tc>
          <w:tcPr>
            <w:tcW w:w="1233"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3367" w:type="dxa"/>
            <w:vAlign w:val="center"/>
            <w:vMerge w:val="restart"/>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耐磨漆地面</w:t>
            </w:r>
            <w:r/>
          </w:p>
        </w:tc>
        <w:tc>
          <w:tcPr>
            <w:tcW w:w="9860"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6"/>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 日常清洁：使用软质拖把或地板清洁剂，配合清水和中性清洁剂进行清洁。避免使用酸性或碱性清洁剂， 以免损坏地面表面。定期清理地面上的污渍和杂物，保持地面干净整洁。</w:t>
            </w:r>
            <w:r/>
          </w:p>
        </w:tc>
      </w:tr>
      <w:tr>
        <w:trPr>
          <w:trHeight w:val="20"/>
        </w:trPr>
        <w:tc>
          <w:tcPr>
            <w:tcW w:w="1233" w:type="dxa"/>
            <w:vMerge w:val="continue"/>
            <w:textDirection w:val="lrTb"/>
            <w:noWrap w:val="false"/>
          </w:tcPr>
          <w:p>
            <w:pPr>
              <w:ind w:left="573"/>
              <w:spacing w:before="13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67" w:type="dxa"/>
            <w:vMerge w:val="continue"/>
            <w:textDirection w:val="lrTb"/>
            <w:noWrap w:val="false"/>
          </w:tcPr>
          <w:p>
            <w:pPr>
              <w:pStyle w:val="1393"/>
              <w:ind w:left="112"/>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9860" w:type="dxa"/>
            <w:textDirection w:val="lrTb"/>
            <w:noWrap w:val="false"/>
          </w:tcPr>
          <w:p>
            <w:pPr>
              <w:pStyle w:val="1393"/>
              <w:ind w:left="116" w:right="112" w:firstLine="217"/>
              <w:spacing w:before="3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7"/>
                              <pic:cNvPicPr>
                                <a:picLocks noChangeAspect="1"/>
                              </pic:cNvPicPr>
                              <pic:nvPr/>
                            </pic:nvPicPr>
                            <pic:blipFill>
                              <a:blip r:embed="rId3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5pt;height:7.5pt;mso-wrap-distance-left:0.0pt;mso-wrap-distance-top:0.0pt;mso-wrap-distance-right:0.0pt;mso-wrap-distance-bottom:0.0pt;" stroked="f">
                      <v:path textboxrect="0,0,0,0"/>
                      <v:imagedata r:id="rId35"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(2)打蜡：为了增加耐磨地面的光亮度和耐磨性，可以进行打蜡处理。使用适合聚氨酯地面的蜡进 行均匀涂抹，待蜡干燥后使用抛光机或拖把清理地面，使其变得光滑而有光泽。</w:t>
            </w:r>
            <w:r/>
          </w:p>
        </w:tc>
      </w:tr>
      <w:tr>
        <w:trPr>
          <w:trHeight w:val="20"/>
        </w:trPr>
        <w:tc>
          <w:tcPr>
            <w:tcW w:w="1233" w:type="dxa"/>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3367" w:type="dxa"/>
            <w:vMerge w:val="restart"/>
            <w:textDirection w:val="lrTb"/>
            <w:noWrap w:val="false"/>
          </w:tcPr>
          <w:p>
            <w:pPr>
              <w:pStyle w:val="1393"/>
              <w:jc w:val="center"/>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瓷砖地面</w:t>
            </w:r>
            <w:r/>
          </w:p>
        </w:tc>
        <w:tc>
          <w:tcPr>
            <w:tcW w:w="9860" w:type="dxa"/>
            <w:textDirection w:val="lrTb"/>
            <w:noWrap w:val="false"/>
          </w:tcPr>
          <w:p>
            <w:pPr>
              <w:pStyle w:val="1393"/>
              <w:ind w:left="33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8"/>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 日常清洁： 推尘，保持地面干净无杂物。</w:t>
            </w:r>
            <w:r/>
          </w:p>
        </w:tc>
      </w:tr>
      <w:tr>
        <w:trPr>
          <w:trHeight w:val="20"/>
        </w:trPr>
        <w:tc>
          <w:tcPr>
            <w:tcW w:w="1233" w:type="dxa"/>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67" w:type="dxa"/>
            <w:vMerge w:val="continue"/>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9860" w:type="dxa"/>
            <w:textDirection w:val="lrTb"/>
            <w:noWrap w:val="false"/>
          </w:tcPr>
          <w:p>
            <w:pPr>
              <w:pStyle w:val="1393"/>
              <w:ind w:left="333"/>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7"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9"/>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深度清洁： 使用洗洁精或肥皂水清理。</w:t>
            </w:r>
            <w:r/>
          </w:p>
        </w:tc>
      </w:tr>
      <w:tr>
        <w:trPr>
          <w:trHeight w:val="20"/>
        </w:trPr>
        <w:tc>
          <w:tcPr>
            <w:tcW w:w="1233" w:type="dxa"/>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3367" w:type="dxa"/>
            <w:vMerge w:val="restart"/>
            <w:textDirection w:val="lrTb"/>
            <w:noWrap w:val="false"/>
          </w:tcPr>
          <w:p>
            <w:pPr>
              <w:pStyle w:val="1393"/>
              <w:jc w:val="center"/>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石材地面</w:t>
            </w:r>
            <w:r/>
          </w:p>
        </w:tc>
        <w:tc>
          <w:tcPr>
            <w:tcW w:w="9860" w:type="dxa"/>
            <w:textDirection w:val="lrTb"/>
            <w:noWrap w:val="false"/>
          </w:tcPr>
          <w:p>
            <w:pPr>
              <w:pStyle w:val="1393"/>
              <w:ind w:left="33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8"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0"/>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(1)根据各区域的人流量及大理石的实际磨损程度制定大理石的晶面保养计划。</w:t>
            </w:r>
            <w:r/>
          </w:p>
        </w:tc>
      </w:tr>
      <w:tr>
        <w:trPr>
          <w:trHeight w:val="20"/>
        </w:trPr>
        <w:tc>
          <w:tcPr>
            <w:tcW w:w="1233" w:type="dxa"/>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67" w:type="dxa"/>
            <w:vMerge w:val="continue"/>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9860"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69"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1"/>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(2)启动洁面机，使用中性清洁剂清洁， 避免使用强酸或强碱清洁剂， 定期进行基础维护。</w:t>
            </w:r>
            <w:r/>
          </w:p>
        </w:tc>
      </w:tr>
      <w:tr>
        <w:trPr>
          <w:trHeight w:val="20"/>
        </w:trPr>
        <w:tc>
          <w:tcPr>
            <w:tcW w:w="1233" w:type="dxa"/>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3367" w:type="dxa"/>
            <w:vMerge w:val="restart"/>
            <w:textDirection w:val="lrTb"/>
            <w:noWrap w:val="false"/>
          </w:tcPr>
          <w:p>
            <w:pPr>
              <w:pStyle w:val="1393"/>
              <w:jc w:val="center"/>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水磨石地面</w:t>
            </w:r>
            <w:r/>
          </w:p>
        </w:tc>
        <w:tc>
          <w:tcPr>
            <w:tcW w:w="9860"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0"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2"/>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 日常清洁： 推尘，保持地面干净无杂物。</w:t>
            </w:r>
            <w:r/>
          </w:p>
        </w:tc>
      </w:tr>
      <w:tr>
        <w:trPr>
          <w:trHeight w:val="20"/>
        </w:trPr>
        <w:tc>
          <w:tcPr>
            <w:tcW w:w="1233" w:type="dxa"/>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67" w:type="dxa"/>
            <w:vMerge w:val="continue"/>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9860"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3"/>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深度清洁： 使用洗洁精或肥皂水清理。</w:t>
            </w:r>
            <w:r/>
          </w:p>
        </w:tc>
      </w:tr>
      <w:tr>
        <w:trPr>
          <w:trHeight w:val="20"/>
        </w:trPr>
        <w:tc>
          <w:tcPr>
            <w:tcBorders>
              <w:bottom w:val="none" w:color="000000" w:sz="4" w:space="0"/>
            </w:tcBorders>
            <w:tcW w:w="1233" w:type="dxa"/>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Borders>
              <w:bottom w:val="none" w:color="000000" w:sz="4" w:space="0"/>
            </w:tcBorders>
            <w:tcW w:w="3367" w:type="dxa"/>
            <w:vMerge w:val="restart"/>
            <w:textDirection w:val="lrTb"/>
            <w:noWrap w:val="false"/>
          </w:tcPr>
          <w:p>
            <w:pPr>
              <w:pStyle w:val="1393"/>
              <w:jc w:val="center"/>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地胶板地面</w:t>
            </w:r>
            <w:r/>
          </w:p>
        </w:tc>
        <w:tc>
          <w:tcPr>
            <w:tcW w:w="9860" w:type="dxa"/>
            <w:textDirection w:val="lrTb"/>
            <w:noWrap w:val="false"/>
          </w:tcPr>
          <w:p>
            <w:pPr>
              <w:pStyle w:val="1393"/>
              <w:ind w:left="33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2"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4"/>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(1)定期保养。使用中性清洁剂清洁，避免使用强酸或强碱清洁剂，定期进行基础维护。</w:t>
            </w:r>
            <w:r/>
          </w:p>
        </w:tc>
      </w:tr>
      <w:tr>
        <w:trPr>
          <w:trHeight w:val="20"/>
        </w:trPr>
        <w:tc>
          <w:tcPr>
            <w:tcBorders>
              <w:top w:val="none" w:color="000000" w:sz="4" w:space="0"/>
              <w:bottom w:val="none" w:color="000000" w:sz="4" w:space="0"/>
            </w:tcBorders>
            <w:tcW w:w="1233"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9860"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75"/>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 日常维护。使用湿润的拖把清洁，污染严重时局部清洁， 每月对地胶板地面进行打蜡处理。</w:t>
            </w:r>
            <w:r/>
          </w:p>
        </w:tc>
      </w:tr>
      <w:tr>
        <w:trPr>
          <w:trHeight w:val="20"/>
        </w:trPr>
        <w:tc>
          <w:tcPr>
            <w:tcBorders>
              <w:bottom w:val="none" w:color="000000" w:sz="4" w:space="0"/>
            </w:tcBorders>
            <w:tcW w:w="1233" w:type="dxa"/>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Borders>
              <w:bottom w:val="none" w:color="000000" w:sz="4" w:space="0"/>
            </w:tcBorders>
            <w:tcW w:w="3367" w:type="dxa"/>
            <w:vMerge w:val="restart"/>
            <w:textDirection w:val="lrTb"/>
            <w:noWrap w:val="false"/>
          </w:tcPr>
          <w:p>
            <w:pPr>
              <w:pStyle w:val="1393"/>
              <w:jc w:val="center"/>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地板地面</w:t>
            </w:r>
            <w:r/>
          </w:p>
        </w:tc>
        <w:tc>
          <w:tcPr>
            <w:tcW w:w="9860"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4"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6"/>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(1)定期保养。使用中性清洁剂清洁，避免使用强酸或强碱清洁剂，定期进行基础维护。</w:t>
            </w:r>
            <w:r/>
          </w:p>
        </w:tc>
      </w:tr>
      <w:tr>
        <w:trPr>
          <w:trHeight w:val="20"/>
        </w:trPr>
        <w:tc>
          <w:tcPr>
            <w:tcBorders>
              <w:top w:val="none" w:color="000000" w:sz="4" w:space="0"/>
              <w:bottom w:val="none" w:color="000000" w:sz="4" w:space="0"/>
            </w:tcBorders>
            <w:tcW w:w="1233" w:type="dxa"/>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none" w:color="000000" w:sz="4" w:space="0"/>
              <w:bottom w:val="none" w:color="000000" w:sz="4" w:space="0"/>
            </w:tcBorders>
            <w:tcW w:w="3367" w:type="dxa"/>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9860" w:type="dxa"/>
            <w:textDirection w:val="lrTb"/>
            <w:noWrap w:val="false"/>
          </w:tcPr>
          <w:p>
            <w:pPr>
              <w:pStyle w:val="1393"/>
              <w:ind w:left="333"/>
              <w:spacing w:before="9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5"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7"/>
                              <pic:cNvPicPr>
                                <a:picLocks noChangeAspect="1"/>
                              </pic:cNvPicPr>
                              <pic:nvPr/>
                            </pic:nvPicPr>
                            <pic:blipFill>
                              <a:blip r:embed="rId3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5pt;height:7.5pt;mso-wrap-distance-left:0.0pt;mso-wrap-distance-top:0.0pt;mso-wrap-distance-right:0.0pt;mso-wrap-distance-bottom:0.0pt;" stroked="f">
                      <v:path textboxrect="0,0,0,0"/>
                      <v:imagedata r:id="rId35"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 日常维护。使用湿润的拖把清洁，污染严重时局部清洁， 每月对地板进行打蜡处理。</w:t>
            </w:r>
            <w:r/>
          </w:p>
        </w:tc>
      </w:tr>
      <w:tr>
        <w:trPr>
          <w:trHeight w:val="20"/>
        </w:trPr>
        <w:tc>
          <w:tcPr>
            <w:tcW w:w="1233"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3367" w:type="dxa"/>
            <w:vAlign w:val="center"/>
            <w:vMerge w:val="restart"/>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地毯地面</w:t>
            </w:r>
            <w:r/>
          </w:p>
        </w:tc>
        <w:tc>
          <w:tcPr>
            <w:tcW w:w="9860" w:type="dxa"/>
            <w:textDirection w:val="lrTb"/>
            <w:noWrap w:val="false"/>
          </w:tcPr>
          <w:p>
            <w:pPr>
              <w:pStyle w:val="1393"/>
              <w:ind w:left="333"/>
              <w:spacing w:before="9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8"/>
                              <pic:cNvPicPr>
                                <a:picLocks noChangeAspect="1"/>
                              </pic:cNvPicPr>
                              <pic:nvPr/>
                            </pic:nvPicPr>
                            <pic:blipFill>
                              <a:blip r:embed="rId3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5pt;height:7.5pt;mso-wrap-distance-left:0.0pt;mso-wrap-distance-top:0.0pt;mso-wrap-distance-right:0.0pt;mso-wrap-distance-bottom:0.0pt;" stroked="f">
                      <v:path textboxrect="0,0,0,0"/>
                      <v:imagedata r:id="rId35"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（1） 日常用吸尘机除尘，局部脏污用湿布配中性清洁液重点清洁。</w:t>
            </w:r>
            <w:r/>
          </w:p>
        </w:tc>
      </w:tr>
      <w:tr>
        <w:trPr>
          <w:trHeight w:val="20"/>
        </w:trPr>
        <w:tc>
          <w:tcPr>
            <w:tcW w:w="1233" w:type="dxa"/>
            <w:vMerge w:val="continue"/>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3367" w:type="dxa"/>
            <w:vMerge w:val="continue"/>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9860"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7"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9"/>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(2)用地毯清洗机进行整体清洗，除螨。</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乳胶漆内墙</w:t>
            </w:r>
            <w:r/>
          </w:p>
        </w:tc>
        <w:tc>
          <w:tcPr>
            <w:tcW w:w="9860" w:type="dxa"/>
            <w:textDirection w:val="lrTb"/>
            <w:noWrap w:val="false"/>
          </w:tcPr>
          <w:p>
            <w:pPr>
              <w:pStyle w:val="1393"/>
              <w:ind w:left="33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0"/>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有污渍时用半干布擦拭。</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墙纸内墙</w:t>
            </w:r>
            <w:r/>
          </w:p>
        </w:tc>
        <w:tc>
          <w:tcPr>
            <w:tcW w:w="9860" w:type="dxa"/>
            <w:textDirection w:val="lrTb"/>
            <w:noWrap w:val="false"/>
          </w:tcPr>
          <w:p>
            <w:pPr>
              <w:pStyle w:val="1393"/>
              <w:ind w:left="33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79"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1"/>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有污渍时用半干布擦拭。</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木饰面内墙</w:t>
            </w:r>
            <w:r/>
          </w:p>
        </w:tc>
        <w:tc>
          <w:tcPr>
            <w:tcW w:w="9860" w:type="dxa"/>
            <w:textDirection w:val="lrTb"/>
            <w:noWrap w:val="false"/>
          </w:tcPr>
          <w:p>
            <w:pPr>
              <w:pStyle w:val="1393"/>
              <w:ind w:left="33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0"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2"/>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有污渍时用中性清洁剂、半干布擦拭。</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石材内墙</w:t>
            </w:r>
            <w:r/>
          </w:p>
        </w:tc>
        <w:tc>
          <w:tcPr>
            <w:tcW w:w="9860" w:type="dxa"/>
            <w:textDirection w:val="lrTb"/>
            <w:noWrap w:val="false"/>
          </w:tcPr>
          <w:p>
            <w:pPr>
              <w:pStyle w:val="1393"/>
              <w:ind w:left="33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1"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3"/>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有污渍时用半干布擦拭。</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金属板内墙</w:t>
            </w:r>
            <w:r/>
          </w:p>
        </w:tc>
        <w:tc>
          <w:tcPr>
            <w:tcW w:w="9860" w:type="dxa"/>
            <w:textDirection w:val="lrTb"/>
            <w:noWrap w:val="false"/>
          </w:tcPr>
          <w:p>
            <w:pPr>
              <w:pStyle w:val="1393"/>
              <w:ind w:left="33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2"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4"/>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有污渍时用半干布擦拭。</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涂料外墙</w:t>
            </w:r>
            <w:r/>
          </w:p>
        </w:tc>
        <w:tc>
          <w:tcPr>
            <w:tcW w:w="9860"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3"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85"/>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定期专业清洗。</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真石漆外墙</w:t>
            </w:r>
            <w:r/>
          </w:p>
        </w:tc>
        <w:tc>
          <w:tcPr>
            <w:tcW w:w="9860" w:type="dxa"/>
            <w:textDirection w:val="lrTb"/>
            <w:noWrap w:val="false"/>
          </w:tcPr>
          <w:p>
            <w:pPr>
              <w:pStyle w:val="1393"/>
              <w:ind w:left="333"/>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4"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86"/>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定期专业清洗。</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瓷砖外墙</w:t>
            </w:r>
            <w:r/>
          </w:p>
        </w:tc>
        <w:tc>
          <w:tcPr>
            <w:tcW w:w="9860" w:type="dxa"/>
            <w:textDirection w:val="lrTb"/>
            <w:noWrap w:val="false"/>
          </w:tcPr>
          <w:p>
            <w:pPr>
              <w:pStyle w:val="1393"/>
              <w:ind w:left="333"/>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5"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87"/>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定期专业清洗。</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17</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保温一体板外墙</w:t>
            </w:r>
            <w:r/>
          </w:p>
        </w:tc>
        <w:tc>
          <w:tcPr>
            <w:tcW w:w="9860" w:type="dxa"/>
            <w:textDirection w:val="lrTb"/>
            <w:noWrap w:val="false"/>
          </w:tcPr>
          <w:p>
            <w:pPr>
              <w:pStyle w:val="1393"/>
              <w:ind w:left="333"/>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6"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88"/>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定期专业清洗。</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18</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铝板外墙</w:t>
            </w:r>
            <w:r/>
          </w:p>
        </w:tc>
        <w:tc>
          <w:tcPr>
            <w:tcW w:w="9860"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7"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89"/>
                              <pic:cNvPicPr>
                                <a:picLocks noChangeAspect="1"/>
                              </pic:cNvPicPr>
                              <pic:nvPr/>
                            </pic:nvPicPr>
                            <pic:blipFill>
                              <a:blip r:embed="rId3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pt;height:7.5pt;mso-wrap-distance-left:0.0pt;mso-wrap-distance-top:0.0pt;mso-wrap-distance-right:0.0pt;mso-wrap-distance-bottom:0.0pt;" stroked="f">
                      <v:path textboxrect="0,0,0,0"/>
                      <v:imagedata r:id="rId34"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定期专业清洗。</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19</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干挂石材外墙</w:t>
            </w:r>
            <w:r/>
          </w:p>
        </w:tc>
        <w:tc>
          <w:tcPr>
            <w:tcW w:w="9860"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8"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0"/>
                              <pic:cNvPicPr>
                                <a:picLocks noChangeAspect="1"/>
                              </pic:cNvPicPr>
                              <pic:nvPr/>
                            </pic:nvPicPr>
                            <pic:blipFill>
                              <a:blip r:embed="rId3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pt;height:7.5pt;mso-wrap-distance-left:0.0pt;mso-wrap-distance-top:0.0pt;mso-wrap-distance-right:0.0pt;mso-wrap-distance-bottom:0.0pt;" stroked="f">
                      <v:path textboxrect="0,0,0,0"/>
                      <v:imagedata r:id="rId35"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定期专业清洗。</w:t>
            </w:r>
            <w:r/>
          </w:p>
        </w:tc>
      </w:tr>
      <w:tr>
        <w:trPr>
          <w:trHeight w:val="20"/>
        </w:trPr>
        <w:tc>
          <w:tcPr>
            <w:tcW w:w="1233" w:type="dxa"/>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20</w:t>
            </w:r>
            <w:r/>
          </w:p>
        </w:tc>
        <w:tc>
          <w:tcPr>
            <w:tcW w:w="3367" w:type="dxa"/>
            <w:textDirection w:val="lrTb"/>
            <w:noWrap w:val="false"/>
          </w:tcPr>
          <w:p>
            <w:pPr>
              <w:pStyle w:val="1393"/>
              <w:jc w:val="center"/>
              <w:spacing w:before="6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玻璃幕墙外墙</w:t>
            </w:r>
            <w:r/>
          </w:p>
        </w:tc>
        <w:tc>
          <w:tcPr>
            <w:tcW w:w="9860" w:type="dxa"/>
            <w:textDirection w:val="lrTb"/>
            <w:noWrap w:val="false"/>
          </w:tcPr>
          <w:p>
            <w:pPr>
              <w:pStyle w:val="1393"/>
              <w:ind w:left="333"/>
              <w:spacing w:before="9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89"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1"/>
                              <pic:cNvPicPr>
                                <a:picLocks noChangeAspect="1"/>
                              </pic:cNvPicPr>
                              <pic:nvPr/>
                            </pic:nvPicPr>
                            <pic:blipFill>
                              <a:blip r:embed="rId35"/>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5pt;height:7.5pt;mso-wrap-distance-left:0.0pt;mso-wrap-distance-top:0.0pt;mso-wrap-distance-right:0.0pt;mso-wrap-distance-bottom:0.0pt;" stroked="f">
                      <v:path textboxrect="0,0,0,0"/>
                      <v:imagedata r:id="rId35"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定期专业清洗。</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551"/>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注：根据物业用材情况选择清洁要求</w:t>
      </w:r>
      <w:r/>
    </w:p>
    <w:p>
      <w:pPr>
        <w:ind w:left="541"/>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83" w:name="_Toc26976"/>
      <w:r/>
      <w:bookmarkStart w:id="84" w:name="_Toc26286"/>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3.5绿化服务</w:t>
      </w:r>
      <w:bookmarkEnd w:id="83"/>
      <w:r/>
      <w:bookmarkEnd w:id="84"/>
      <w:r/>
      <w:r/>
    </w:p>
    <w:tbl>
      <w:tblPr>
        <w:tblStyle w:val="1364"/>
        <w:tblW w:w="143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706"/>
      </w:tblGrid>
      <w:tr>
        <w:trPr>
          <w:trHeight w:val="20"/>
        </w:trPr>
        <w:tc>
          <w:tcPr>
            <w:tcBorders>
              <w:bottom w:val="single" w:color="auto" w:sz="4" w:space="0"/>
            </w:tcBorders>
            <w:tcW w:w="1245"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Borders>
              <w:bottom w:val="single" w:color="auto" w:sz="4" w:space="0"/>
            </w:tcBorders>
            <w:tcW w:w="3367"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w:t>
            </w:r>
            <w:r/>
          </w:p>
        </w:tc>
        <w:tc>
          <w:tcPr>
            <w:tcW w:w="9706"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服务标准</w:t>
            </w:r>
            <w:r/>
          </w:p>
        </w:tc>
      </w:tr>
      <w:tr>
        <w:trPr>
          <w:trHeight w:val="20"/>
        </w:trPr>
        <w:tc>
          <w:tcPr>
            <w:tcBorders>
              <w:top w:val="single" w:color="auto" w:sz="4" w:space="0"/>
              <w:left w:val="single" w:color="auto" w:sz="4" w:space="0"/>
              <w:bottom w:val="single" w:color="auto" w:sz="4" w:space="0"/>
              <w:right w:val="single" w:color="auto" w:sz="4" w:space="0"/>
            </w:tcBorders>
            <w:tcW w:w="1245" w:type="dxa"/>
            <w:vAlign w:val="center"/>
            <w:vMerge w:val="restart"/>
            <w:textDirection w:val="lrTb"/>
            <w:noWrap w:val="false"/>
          </w:tcPr>
          <w:p>
            <w:pPr>
              <w:ind w:left="584"/>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367" w:type="dxa"/>
            <w:vAlign w:val="center"/>
            <w:vMerge w:val="restart"/>
            <w:textDirection w:val="lrTb"/>
            <w:noWrap w:val="false"/>
          </w:tcPr>
          <w:p>
            <w:pPr>
              <w:pStyle w:val="1393"/>
              <w:ind w:left="109"/>
              <w:jc w:val="center"/>
              <w:spacing w:before="6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基本要求</w:t>
            </w:r>
            <w:r/>
          </w:p>
        </w:tc>
        <w:tc>
          <w:tcPr>
            <w:tcBorders>
              <w:left w:val="single" w:color="auto" w:sz="4" w:space="0"/>
            </w:tcBorders>
            <w:tcW w:w="9706" w:type="dxa"/>
            <w:textDirection w:val="lrTb"/>
            <w:noWrap w:val="false"/>
          </w:tcPr>
          <w:p>
            <w:pPr>
              <w:pStyle w:val="1393"/>
              <w:ind w:left="333"/>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þ(1）制定绿化服务的工作制度及工作计划，并按照执行。</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þ(2）做好绿化服务工作记录，填写规范。</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þ(3）作业时采取安全防护措施， 防止对作业人员或他人造成伤害。</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0"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2"/>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(4)相关耗材的环保、安全性应当符合规定要求。</w:t>
            </w:r>
            <w:r/>
          </w:p>
        </w:tc>
      </w:tr>
      <w:tr>
        <w:trPr>
          <w:trHeight w:val="20"/>
        </w:trPr>
        <w:tc>
          <w:tcPr>
            <w:tcBorders>
              <w:top w:val="single" w:color="auto" w:sz="4" w:space="0"/>
              <w:left w:val="single" w:color="auto" w:sz="4" w:space="0"/>
              <w:bottom w:val="single" w:color="auto" w:sz="4" w:space="0"/>
              <w:right w:val="single" w:color="auto" w:sz="4" w:space="0"/>
            </w:tcBorders>
            <w:tcW w:w="1245" w:type="dxa"/>
            <w:vMerge w:val="restart"/>
            <w:textDirection w:val="lrTb"/>
            <w:noWrap w:val="false"/>
          </w:tcPr>
          <w:p>
            <w:pPr>
              <w:ind w:left="584"/>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367" w:type="dxa"/>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室外绿化养护</w:t>
            </w:r>
            <w:r/>
          </w:p>
        </w:tc>
        <w:tc>
          <w:tcPr>
            <w:tcBorders>
              <w:left w:val="single" w:color="auto" w:sz="4" w:space="0"/>
            </w:tcBorders>
            <w:tcW w:w="9706" w:type="dxa"/>
            <w:textDirection w:val="lrTb"/>
            <w:noWrap w:val="false"/>
          </w:tcPr>
          <w:p>
            <w:pPr>
              <w:pStyle w:val="1393"/>
              <w:ind w:left="333"/>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þ(1）根据生长环境、植物特性进行除草、灌溉、施肥、整形修剪、防治病虫害等。</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þ(2）根据生长情况修剪绿地，绿地内无枯草、无杂物，无干枯坏死和病虫侵害，基本无裸露土地。</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113" w:right="181" w:firstLine="220"/>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þ(3）定期修剪树木、花卉等，灌乔木生长正常、造型美观自然、花枝新鲜，无枯叶、无病虫、无死 树缺株。</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þ(4）绿篱生长造型正常，颜色正常， 修剪及时，基本无死株和半死株，有虫株率在 10%以下。</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þ(5）清除花坛和花景的花蒂、黄叶、杂草、垃圾，做好病虫害防治。</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þ(6）水池水面定期清理，无枯枝落叶、水质清洁。</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113" w:right="181" w:firstLine="219"/>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þ(7）根据病虫害发生规律实施综合治理， 通常在病虫率高时， 以药剂杀死病虫，以确保植物良好生 长。产生垃圾的主要区域和路段做到日产日清。</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þ(8）雨雪、冰冻等恶劣天气来临前， 专人巡查，对绿植做好预防措施，排除安全隐患。</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þ(9）恶劣天气后，及时清除倒树断枝，疏通道路，尽快恢复原状。</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þ(10）草坪、灌木类、花坛，成活率90%以上，每年修剪3次，除虫施肥每年1次，保持观赏性。</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þ(11）乔木类，成活率90%以上，每年修剪1次，除虫施肥每年1次，保持观赏性。</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þ（12）人工湖、喷水池，每季水面清捞1次。</w:t>
            </w:r>
            <w:r/>
          </w:p>
        </w:tc>
      </w:tr>
      <w:tr>
        <w:trPr>
          <w:trHeight w:val="20"/>
        </w:trPr>
        <w:tc>
          <w:tcPr>
            <w:tcBorders>
              <w:top w:val="single" w:color="auto" w:sz="4" w:space="0"/>
              <w:left w:val="single" w:color="auto" w:sz="4" w:space="0"/>
              <w:bottom w:val="single" w:color="auto" w:sz="4" w:space="0"/>
            </w:tcBorders>
            <w:tcW w:w="1245"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336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auto" w:sz="4" w:space="0"/>
            </w:tcBorders>
            <w:tcW w:w="9706" w:type="dxa"/>
            <w:textDirection w:val="lrTb"/>
            <w:noWrap w:val="false"/>
          </w:tcPr>
          <w:p>
            <w:pPr>
              <w:pStyle w:val="1393"/>
              <w:ind w:left="33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þ(13）景观小品，每半年清洁、整修1次，保持观赏性。</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22"/>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85" w:name="_Toc1942"/>
      <w:r/>
      <w:bookmarkStart w:id="86" w:name="_Toc19092"/>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3.6保安服务</w:t>
      </w:r>
      <w:bookmarkEnd w:id="85"/>
      <w:r/>
      <w:bookmarkEnd w:id="86"/>
      <w:r/>
      <w:r/>
    </w:p>
    <w:tbl>
      <w:tblPr>
        <w:tblStyle w:val="1364"/>
        <w:tblW w:w="140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2758"/>
        <w:gridCol w:w="10064"/>
      </w:tblGrid>
      <w:tr>
        <w:trPr>
          <w:jc w:val="center"/>
          <w:trHeight w:val="462"/>
        </w:trPr>
        <w:tc>
          <w:tcPr>
            <w:tcW w:w="1260" w:type="dxa"/>
            <w:vAlign w:val="center"/>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2758" w:type="dxa"/>
            <w:vAlign w:val="center"/>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w:t>
            </w:r>
            <w:r/>
          </w:p>
        </w:tc>
        <w:tc>
          <w:tcPr>
            <w:tcW w:w="10064" w:type="dxa"/>
            <w:textDirection w:val="lrTb"/>
            <w:noWrap w:val="false"/>
          </w:tcPr>
          <w:p>
            <w:pPr>
              <w:jc w:val="center"/>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服务标准</w:t>
            </w:r>
            <w:r/>
          </w:p>
        </w:tc>
      </w:tr>
      <w:tr>
        <w:trPr>
          <w:jc w:val="center"/>
          <w:trHeight w:val="459"/>
        </w:trPr>
        <w:tc>
          <w:tcPr>
            <w:tcW w:w="1260"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2758" w:type="dxa"/>
            <w:vAlign w:val="center"/>
            <w:vMerge w:val="restart"/>
            <w:textDirection w:val="lrTb"/>
            <w:noWrap w:val="false"/>
          </w:tcPr>
          <w:p>
            <w:pPr>
              <w:pStyle w:val="1393"/>
              <w:ind w:left="111"/>
              <w:jc w:val="center"/>
              <w:spacing w:before="6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基本要求</w:t>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þ(1）建立保安服务相关制度，并按照执行。</w:t>
            </w:r>
            <w:r/>
          </w:p>
        </w:tc>
      </w:tr>
      <w:tr>
        <w:trPr>
          <w:jc w:val="center"/>
          <w:trHeight w:val="457"/>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þ（2）对巡查、值守及异常情况等做好相关记录，填写规范，保存完好。</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þ(3）配备保安服务必要的器材。</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þ(4）保安主管职责：</w:t>
            </w:r>
            <w:r/>
          </w:p>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①带领保安员协助管理处做好管理工作。纠正和制止各类违规违章行为；</w:t>
            </w:r>
            <w:r/>
          </w:p>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②制定本队的工作计划（包括军训、物管工作的培训和学习等），并负责组织实施；</w:t>
            </w:r>
            <w:r/>
          </w:p>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③负责组织每周一次班务会，每月一次队务会，每季一次业务、理论考核，每半年一次应急处理方案演习（包括：防台及重大治安、刑事案件的应急处置方案），每年至少进行一次消防演练活动，并做好详细记录；</w:t>
            </w:r>
            <w:r/>
          </w:p>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④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⑤完成上级交代的其他工作。</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þ(5）专职保安人员，身体健康，工作认真负责并定期接受培训。</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þ(6）保安员上岗必须穿着统一制服，佩戴规定装备、工作牌，配备对讲机。仪表整洁、行为规范、服务主动热情。</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þ（7）上岗时要认真检查设施、设备，认真做好防火、防盗、防抢劫工作，发现不安全因素立即查明情况，并及时报告主管部门及领导，确保小区的安全。</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þ(8）熟悉本岗位职责和工作程序，执勤过程中要勤巡查，提高警惕，遇有紧急、突发性重大事情，要及时向主管领导请示报告。</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þ(9）爱护设施设备、公共财物，对小区内的一切设施、财物不得随便移动及乱用，熟悉小区消防系统及消防器材的安装位置，掌握各种灭火器材的使用方法，遇到突发事件能正确进行处理。</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þ(10）值班期间，对岗内发生的各种情况要认真处理，并且做好记录。</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þ(11）严格执行交接班制度，按时交接班，不得迟到、早退，做到交接清楚，责任明确严格。</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þ(12）积极向业主（住、用户）进行遵纪守法和治安防范知识的宣传。</w:t>
            </w:r>
            <w:r/>
          </w:p>
        </w:tc>
      </w:tr>
      <w:tr>
        <w:trPr>
          <w:jc w:val="center"/>
          <w:trHeight w:val="464"/>
        </w:trPr>
        <w:tc>
          <w:tcPr>
            <w:tcW w:w="1260"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2758" w:type="dxa"/>
            <w:vAlign w:val="center"/>
            <w:vMerge w:val="restart"/>
            <w:textDirection w:val="lrTb"/>
            <w:noWrap w:val="false"/>
          </w:tcPr>
          <w:p>
            <w:pPr>
              <w:pStyle w:val="1393"/>
              <w:jc w:val="center"/>
              <w:spacing w:before="6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出入管理</w:t>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þ(1）办公楼（区）主出入口应当实行 24 小时值班制。</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设置门岗。</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131" w:right="180" w:firstLine="200"/>
              <w:spacing w:before="3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þ（3）在出入口对外来人员及其携带大件物品、外来车辆进行询问和记录，并与相关部门取得联系， 同意后方可进入。</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1"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93"/>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(4)大件物品搬出有相关部门开具的证明和清单，经核实后放行。</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111" w:right="133" w:firstLine="220"/>
              <w:spacing w:before="6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(5）排查可疑人员， 对于不出示证件、不按规定登记、不听劝阻而强行闯入者，及时劝离， 必要时 通知公安机关进行处理。</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(6）配合相关部门积极疏导上访人员，有效疏导如出入口人群集聚、车辆拥堵、货物堵塞道路等情况。</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111" w:right="107" w:firstLine="220"/>
              <w:jc w:val="left"/>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þ(7）根据物业服务合同约定，对物品进出实行安检、登记、电话确认等分类管理措施。大宗物品进 出会同接收单位收件人审检， 严防违禁品（包括毒品、军火弹药、管制刀具、易燃易爆品等）、限带品（包 括动物、任何未经授权的专业摄影设备、无人机等）进入。</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jc w:val="left"/>
              <w:spacing w:before="3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þ(8）提供现场接待服务。</w:t>
            </w:r>
            <w:r/>
          </w:p>
          <w:p>
            <w:pPr>
              <w:pStyle w:val="1393"/>
              <w:ind w:left="332"/>
              <w:jc w:val="left"/>
              <w:spacing w:before="7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①做好来访人员、车辆进出证件登记，及时通报。</w:t>
            </w:r>
            <w:r/>
          </w:p>
          <w:p>
            <w:pPr>
              <w:pStyle w:val="1393"/>
              <w:ind w:left="332"/>
              <w:jc w:val="left"/>
              <w:spacing w:before="8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②严禁无关人员、可疑人员和危险物品进入办公楼（区） 内。</w:t>
            </w:r>
            <w:r/>
          </w:p>
          <w:p>
            <w:pPr>
              <w:pStyle w:val="1393"/>
              <w:ind w:left="332"/>
              <w:jc w:val="left"/>
              <w:spacing w:before="7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③物品摆放整齐有序、分类放置。</w:t>
            </w:r>
            <w:r/>
          </w:p>
          <w:p>
            <w:pPr>
              <w:pStyle w:val="1393"/>
              <w:ind w:left="332"/>
              <w:jc w:val="left"/>
              <w:spacing w:before="8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④现场办理等待时间不超过 5 分钟，等待较长时间应当及时沟通。</w:t>
            </w:r>
            <w:r/>
          </w:p>
          <w:p>
            <w:pPr>
              <w:pStyle w:val="1393"/>
              <w:ind w:left="332"/>
              <w:jc w:val="left"/>
              <w:spacing w:before="8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⑤对来访人员咨询、建议、求助等事项， 及时处理或答复，处理和答复率 100%。</w:t>
            </w:r>
            <w:r/>
          </w:p>
          <w:p>
            <w:pPr>
              <w:pStyle w:val="1393"/>
              <w:ind w:left="332"/>
              <w:jc w:val="left"/>
              <w:spacing w:before="8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⑥接待服务工作时间应当覆盖采购人工作时间（上班时间为— </w:t>
            </w:r>
            <w:r>
              <w:rPr>
                <w:rFonts w:hint="eastAsia" w:asciiTheme="minorEastAsia" w:hAnsiTheme="minorEastAsia" w:eastAsiaTheme="minorEastAsia" w:cstheme="minorEastAsia"/>
                <w:color w:val="000000" w:themeColor="text1"/>
                <w:sz w:val="24"/>
                <w:szCs w:val="24"/>
                <w:u w:val="single"/>
                <w:lang w:eastAsia="zh-CN"/>
                <w14:textFill>
                  <w14:solidFill>
                    <w14:schemeClr w14:val="tx1"/>
                  </w14:solidFill>
                </w14:textFill>
              </w:rPr>
              <w:t xml:space="preserve">8.00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eastAsia="zh-CN"/>
                <w14:textFill>
                  <w14:solidFill>
                    <w14:schemeClr w14:val="tx1"/>
                  </w14:solidFill>
                </w14:textFill>
              </w:rPr>
              <w:t xml:space="preserve"> 20.00</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w:t>
            </w:r>
            <w:r/>
          </w:p>
          <w:p>
            <w:pPr>
              <w:pStyle w:val="1393"/>
              <w:ind w:left="114" w:right="109" w:firstLine="218"/>
              <w:jc w:val="left"/>
              <w:spacing w:before="8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⑦与被访人进行核实确认；告知被访人的办公室门牌号；告知访客注意事项（根据实际需要填写注意事 项）。</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þ（9）对进出小区的车辆进行管理疏导，保持出入口环境整洁、有序、道路畅通。</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þ(10）交通标志设置及维护。</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þ(11）车辆识别证（停车证）的发放和换证管理</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þ（12）进入小区的临时车辆（包括外来车辆及业主无停车位的车辆）收取的费用，按月收费、收出租费，相关规定参照东北塘街道安置房小区物业管理工作实施办法（东办发〔2021〕11号）执行。</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þ(13）严格执行物品搬迁的规定，协助邮递员做好邮件收发工作。</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þ(14）小区内公共照明的定时启闭。</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þ(15）留意公共地方的环境清洁及公共设备的损毁情况。</w:t>
            </w:r>
            <w:r/>
          </w:p>
        </w:tc>
      </w:tr>
      <w:tr>
        <w:trPr>
          <w:jc w:val="center"/>
          <w:trHeight w:val="464"/>
        </w:trPr>
        <w:tc>
          <w:tcPr>
            <w:tcW w:w="1260"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2758"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值班巡查</w:t>
            </w:r>
            <w:r/>
          </w:p>
        </w:tc>
        <w:tc>
          <w:tcPr>
            <w:tcW w:w="10064" w:type="dxa"/>
            <w:textDirection w:val="lrTb"/>
            <w:noWrap w:val="false"/>
          </w:tcPr>
          <w:p>
            <w:pPr>
              <w:ind w:firstLine="240"/>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建立 24 小时值班巡查制度。白天巡逻次数不少于4次，夜间巡逻次数不少于2次，重点部位、重点时间以及特殊情况加强巡逻；及时发现和处理安全隐患；接受业主（使用人）投诉和求助；回答用户的询问；在遇到突发事件时，及时报告警方与管理处，必要时采取正当防卫，防止事态扩大，协助保护现场和证据。</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(2）制定巡查路线， 按照指定时间和路线执行，加强重点区域、重点部位及装修区域的巡查。</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(3）巡查期间保持通信设施设备畅通，遇到异常情况立即上报并在现场采取相应措施。</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(4）收到监控室指令后，巡查人员及时到达指定地点并迅速采取相应措施。</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þ(5）白天巡逻次数不少于四次，夜间巡逻二次，对于重点区域、重点部位每小时至少巡逻一次，并有巡逻记录。发现异常情况及时处理，或向主管领导汇报。</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þ(6）监视管区内人员，车辆活动情况，巡查公共部位设施设备情况，对管区内可疑人员和物品进行盘问和检查。</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þ(7）制止管区内的打架，肇事事件。</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þ(8）驱赶管区内的摆卖、乞讨、捡破烂、散发广告等闲杂人员。</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þ（9）对业主（住户）违反管理规定，影响他人工作、休息的行为要进行劝阻和制止。</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þ(10）检查、看管好停放在管区内的车辆，防止丢失和损坏。</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þ(11）巡查各岗位执勤情况，协助处理疑难问题。</w:t>
            </w:r>
            <w:r/>
          </w:p>
        </w:tc>
      </w:tr>
      <w:tr>
        <w:trPr>
          <w:jc w:val="center"/>
          <w:trHeight w:val="464"/>
        </w:trPr>
        <w:tc>
          <w:tcPr>
            <w:tcW w:w="1260"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2758"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监控值守</w:t>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þ(1）监控室环境符合系统设备运行要求， 定期进行检查和检测，确保系统功能正常。</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þ(2）监控设备 24 小时正常运行， 监控室实行专人 24 小时值班制度。</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þ(3）监控记录画面清晰，视频监控无死角、无盲区。</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þ(4）值班期间遵守操作规程和保密制度， 做好监控记录的保存工作。</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þ(5）监控记录保持完整，保存时间不应少于 90 天。</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11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þ(6）无关人员进入监控室或查阅监控记录，经授权人批准并做好相关记录。</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114" w:right="133" w:firstLine="217"/>
              <w:spacing w:before="35"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þ(7）监控室收到火情等报警信号、其他异常情况信号后， 及时报警并安排其他安保人员前往现场进 行处理。</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þ(8）保证小区主出入口、主干道应具备录像监控，并熟悉监控设备操作及各监控探头所在位置。</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þ(9）有无闲杂人员、可疑人员、推销人员、衣冠不整者、携带烟火或危险物品者进入小区或在物业管理范围内活动。</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þ(10）外围（限可监视到的）有无车辆乱停乱放，堵塞消防通道，停车场出入口及各出入口有无车辆。</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þ(11）停车场内车辆有无异常情况（如车辆被盗、遭破坏等），车场设施设备有无异常情况。</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þ（12）发现可疑现象或可疑人员，用对讲机及时通知主管进行巡查。</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þ(13）严禁私自动用监控室内报警电话；严禁外来人员进入监控室；严禁私自泄露监控室内各种设备设施的操作流程；严禁在中控室内抽烟；严禁酒后上岗。</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þ(14）小区设有的火警、水警、警情应急预案，并在监控中心控制室内悬挂火警、水警等突发事件的应急预案。</w:t>
            </w:r>
            <w:r/>
          </w:p>
        </w:tc>
      </w:tr>
      <w:tr>
        <w:trPr>
          <w:jc w:val="center"/>
          <w:trHeight w:val="464"/>
        </w:trPr>
        <w:tc>
          <w:tcPr>
            <w:tcW w:w="1260" w:type="dxa"/>
            <w:vAlign w:val="center"/>
            <w:vMerge w:val="restart"/>
            <w:textDirection w:val="lrTb"/>
            <w:noWrap w:val="false"/>
          </w:tcPr>
          <w:p>
            <w:pPr>
              <w:jc w:val="center"/>
              <w:spacing w:before="6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2758" w:type="dxa"/>
            <w:vAlign w:val="center"/>
            <w:vMerge w:val="restart"/>
            <w:textDirection w:val="lrTb"/>
            <w:noWrap w:val="false"/>
          </w:tcPr>
          <w:p>
            <w:pPr>
              <w:pStyle w:val="1393"/>
              <w:jc w:val="center"/>
              <w:spacing w:before="6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车辆停放</w:t>
            </w:r>
            <w:r/>
          </w:p>
        </w:tc>
        <w:tc>
          <w:tcPr>
            <w:tcW w:w="10064" w:type="dxa"/>
            <w:textDirection w:val="lrTb"/>
            <w:noWrap w:val="false"/>
          </w:tcPr>
          <w:p>
            <w:pPr>
              <w:pStyle w:val="1393"/>
              <w:ind w:left="331"/>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(1）车辆行驶路线设置合理、规范， 导向标志完整、清晰。</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þ(2）合理规划车辆停放区域，张贴车辆引导标识，对车辆及停放区域实行规范管理。</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þ(3）严禁在办公楼的公用走道、楼梯间、安全出口处等公共区域停放车辆或充电。</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(4）非机动车定点有序停放。</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111" w:right="133" w:firstLine="220"/>
              <w:spacing w:before="38"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þ（5）发现车辆异常情况及时通知车主，并做好登记；发生交通事故、自然灾害等意外事故时及时赶 赴现场疏导和协助处理， 响应时间不超过 3 分钟。</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þ（6）对进出小区的车辆进行管理疏导，保持出入口环境整洁、有序、道路畅通。</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þ（7）指挥机动车辆按规定行驶和停泊，保证消防通道畅通，防止发生交通事故。</w:t>
            </w:r>
            <w:r/>
          </w:p>
        </w:tc>
      </w:tr>
      <w:tr>
        <w:trPr>
          <w:jc w:val="center"/>
          <w:trHeight w:val="464"/>
        </w:trPr>
        <w:tc>
          <w:tcPr>
            <w:tcW w:w="1260"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2758"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消防安全管理</w:t>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þ(1）建立消防安全责任制， 确定各级消防安全责任人及其职责。</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þ(2）消防控制室实行 24 小时值班制度， 每班不少于 2 人。</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þ(3）消火栓、应急照明、应急物资、消防及人员逃生通道、消防车通道可随时正常使用。</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2"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0"/>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 (4)易燃易爆品设专区专人管理，做好相关记录。</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þ(5）定期组织消防安全宣传，每半年至少开展 1 次消防演练。</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3"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1"/>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w:t>
            </w:r>
            <w:r/>
          </w:p>
        </w:tc>
      </w:tr>
      <w:tr>
        <w:trPr>
          <w:jc w:val="center"/>
          <w:trHeight w:val="464"/>
        </w:trPr>
        <w:tc>
          <w:tcPr>
            <w:tcW w:w="1260"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2758"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突发事件处理</w:t>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þ(1）制定突发事件安全责任书， 明确突发事件责任人及应承担的安全责任。</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þ(2）建立应急突发事件处置队伍，明确各自的职责。</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þ(3）识别、分析各种潜在风险， 针对不同风险类型制定相应解决方案， 并配备应急物资。</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þ(4）每半年至少开展 1 次突发事件应急演练，并有相应记录。</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þ（5）发生意外事件时，及时采取应急措施，维护办公区域物业服务正常进行， 保护人身财产安全。</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þ(6）办公区域物业服务应急预案终止实施后， 积极采取措施， 在尽可能短的时间内，消除事故带来 的不良影响，妥善安置和慰问受害及受影响的人员和部门。</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þ(7）事故处理后，及时形成事故应急总结报告，完善应急救援工作方案。</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(8）物业对于各项突发事件处理，根据实际情况，给出合适解决方案并抓紧实施。突发事件包括在所管辖区域突然发生的刑事案件、交通事件、火灾、水灾、溺水、煤气泄漏、交通事故、居民疾病、电力故障等。</w:t>
            </w:r>
            <w:r/>
          </w:p>
        </w:tc>
      </w:tr>
      <w:tr>
        <w:trPr>
          <w:jc w:val="center"/>
          <w:trHeight w:val="464"/>
        </w:trPr>
        <w:tc>
          <w:tcPr>
            <w:tcW w:w="1260"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w:t>
            </w:r>
            <w:r/>
          </w:p>
        </w:tc>
        <w:tc>
          <w:tcPr>
            <w:tcW w:w="2758"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大型活动秩序</w:t>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(1）制定相应的活动秩序维护方案， 合理安排人员， 并对场所的安全隐患进行排查。</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(2）应当保障通道、出入口、停车场等区域畅通。</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þ (3）活动举办过程中，做好现场秩序的维护和突发事故的处置工作，确保活动正常进行。</w:t>
            </w:r>
            <w:r/>
          </w:p>
        </w:tc>
      </w:tr>
      <w:tr>
        <w:trPr>
          <w:jc w:val="center"/>
          <w:trHeight w:val="464"/>
        </w:trPr>
        <w:tc>
          <w:tcPr>
            <w:tcW w:w="1260"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758"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10064" w:type="dxa"/>
            <w:textDirection w:val="lrTb"/>
            <w:noWrap w:val="false"/>
          </w:tcPr>
          <w:p>
            <w:pPr>
              <w:pStyle w:val="1393"/>
              <w:ind w:left="331"/>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4"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2"/>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23"/>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87" w:name="_Toc24107"/>
      <w:r/>
      <w:bookmarkStart w:id="88" w:name="_Toc22422"/>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3.7会议服务</w:t>
      </w:r>
      <w:bookmarkEnd w:id="87"/>
      <w:r/>
      <w:bookmarkEnd w:id="88"/>
      <w:r/>
      <w:r/>
    </w:p>
    <w:tbl>
      <w:tblPr>
        <w:tblStyle w:val="1364"/>
        <w:tblW w:w="13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8693"/>
      </w:tblGrid>
      <w:tr>
        <w:trPr>
          <w:trHeight w:val="462"/>
        </w:trPr>
        <w:tc>
          <w:tcPr>
            <w:tcW w:w="1286" w:type="dxa"/>
            <w:textDirection w:val="lrTb"/>
            <w:noWrap w:val="false"/>
          </w:tcPr>
          <w:p>
            <w:pPr>
              <w:ind w:left="432"/>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3347" w:type="dxa"/>
            <w:textDirection w:val="lrTb"/>
            <w:noWrap w:val="false"/>
          </w:tcPr>
          <w:p>
            <w:pPr>
              <w:ind w:left="124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服务内容</w:t>
            </w:r>
            <w:r/>
          </w:p>
        </w:tc>
        <w:tc>
          <w:tcPr>
            <w:tcW w:w="8693" w:type="dxa"/>
            <w:textDirection w:val="lrTb"/>
            <w:noWrap w:val="false"/>
          </w:tcPr>
          <w:p>
            <w:pPr>
              <w:ind w:left="4510"/>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服务标准</w:t>
            </w:r>
            <w:r/>
          </w:p>
        </w:tc>
      </w:tr>
      <w:tr>
        <w:trPr>
          <w:trHeight w:val="460"/>
        </w:trPr>
        <w:tc>
          <w:tcPr>
            <w:tcW w:w="1286" w:type="dxa"/>
            <w:textDirection w:val="lrTb"/>
            <w:noWrap w:val="false"/>
          </w:tcPr>
          <w:p>
            <w:pPr>
              <w:ind w:left="605"/>
              <w:spacing w:before="1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3347" w:type="dxa"/>
            <w:textDirection w:val="lrTb"/>
            <w:noWrap w:val="false"/>
          </w:tcPr>
          <w:p>
            <w:pPr>
              <w:pStyle w:val="1393"/>
              <w:ind w:left="108"/>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会议受理</w:t>
            </w:r>
            <w:r/>
          </w:p>
        </w:tc>
        <w:tc>
          <w:tcPr>
            <w:tcW w:w="8693" w:type="dxa"/>
            <w:textDirection w:val="lrTb"/>
            <w:noWrap w:val="false"/>
          </w:tcPr>
          <w:p>
            <w:pPr>
              <w:pStyle w:val="1393"/>
              <w:ind w:left="120"/>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5"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3"/>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接受会议预订，记录会议需求。</w:t>
            </w:r>
            <w:r/>
          </w:p>
        </w:tc>
      </w:tr>
      <w:tr>
        <w:trPr>
          <w:trHeight w:val="685"/>
        </w:trPr>
        <w:tc>
          <w:tcPr>
            <w:tcW w:w="1286" w:type="dxa"/>
            <w:textDirection w:val="lrTb"/>
            <w:noWrap w:val="false"/>
          </w:tcPr>
          <w:p>
            <w:pPr>
              <w:ind w:left="599"/>
              <w:spacing w:before="24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3347" w:type="dxa"/>
            <w:textDirection w:val="lrTb"/>
            <w:noWrap w:val="false"/>
          </w:tcPr>
          <w:p>
            <w:pPr>
              <w:pStyle w:val="1393"/>
              <w:ind w:left="108"/>
              <w:spacing w:before="20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会前准备</w:t>
            </w:r>
            <w:r/>
          </w:p>
        </w:tc>
        <w:tc>
          <w:tcPr>
            <w:tcW w:w="8693" w:type="dxa"/>
            <w:textDirection w:val="lrTb"/>
            <w:noWrap w:val="false"/>
          </w:tcPr>
          <w:p>
            <w:pPr>
              <w:pStyle w:val="1393"/>
              <w:ind w:left="110" w:right="118" w:firstLine="10"/>
              <w:spacing w:before="3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6"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4"/>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根据会议需求、场地大小、用途，明确会议桌椅、物品、设备、文具等摆放规定，音、视频设施保障措 施。</w:t>
            </w:r>
            <w:r/>
          </w:p>
        </w:tc>
      </w:tr>
      <w:tr>
        <w:trPr>
          <w:trHeight w:val="458"/>
        </w:trPr>
        <w:tc>
          <w:tcPr>
            <w:tcW w:w="1286" w:type="dxa"/>
            <w:textDirection w:val="lrTb"/>
            <w:noWrap w:val="false"/>
          </w:tcPr>
          <w:p>
            <w:pPr>
              <w:ind w:left="598"/>
              <w:spacing w:before="13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3347" w:type="dxa"/>
            <w:textDirection w:val="lrTb"/>
            <w:noWrap w:val="false"/>
          </w:tcPr>
          <w:p>
            <w:pPr>
              <w:pStyle w:val="1393"/>
              <w:ind w:left="125"/>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引导服务</w:t>
            </w:r>
            <w:r/>
          </w:p>
        </w:tc>
        <w:tc>
          <w:tcPr>
            <w:tcW w:w="8693" w:type="dxa"/>
            <w:textDirection w:val="lrTb"/>
            <w:noWrap w:val="false"/>
          </w:tcPr>
          <w:p>
            <w:pPr>
              <w:pStyle w:val="1393"/>
              <w:ind w:left="120"/>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7"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5"/>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做好引导牌并放置在指定位置，引导人员引导手势规范，语言标准。</w:t>
            </w:r>
            <w:r/>
          </w:p>
        </w:tc>
      </w:tr>
      <w:tr>
        <w:trPr>
          <w:trHeight w:val="457"/>
        </w:trPr>
        <w:tc>
          <w:tcPr>
            <w:tcW w:w="1286" w:type="dxa"/>
            <w:textDirection w:val="lrTb"/>
            <w:noWrap w:val="false"/>
          </w:tcPr>
          <w:p>
            <w:pPr>
              <w:ind w:left="592"/>
              <w:spacing w:before="13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3347" w:type="dxa"/>
            <w:textDirection w:val="lrTb"/>
            <w:noWrap w:val="false"/>
          </w:tcPr>
          <w:p>
            <w:pPr>
              <w:pStyle w:val="1393"/>
              <w:ind w:left="108"/>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会中服务</w:t>
            </w:r>
            <w:r/>
          </w:p>
        </w:tc>
        <w:tc>
          <w:tcPr>
            <w:tcW w:w="8693" w:type="dxa"/>
            <w:textDirection w:val="lrTb"/>
            <w:noWrap w:val="false"/>
          </w:tcPr>
          <w:p>
            <w:pPr>
              <w:pStyle w:val="1393"/>
              <w:ind w:left="120"/>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8"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6"/>
                              <pic:cNvPicPr>
                                <a:picLocks noChangeAspect="1"/>
                              </pic:cNvPicPr>
                              <pic:nvPr/>
                            </pic:nvPicPr>
                            <pic:blipFill>
                              <a:blip r:embed="rId33"/>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会议期间按要求加水。</w:t>
            </w:r>
            <w:r/>
          </w:p>
        </w:tc>
      </w:tr>
      <w:tr>
        <w:trPr>
          <w:trHeight w:val="465"/>
        </w:trPr>
        <w:tc>
          <w:tcPr>
            <w:tcW w:w="1286" w:type="dxa"/>
            <w:textDirection w:val="lrTb"/>
            <w:noWrap w:val="false"/>
          </w:tcPr>
          <w:p>
            <w:pPr>
              <w:ind w:left="598"/>
              <w:spacing w:before="13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3347" w:type="dxa"/>
            <w:textDirection w:val="lrTb"/>
            <w:noWrap w:val="false"/>
          </w:tcPr>
          <w:p>
            <w:pPr>
              <w:pStyle w:val="1393"/>
              <w:ind w:left="108"/>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会后整理</w:t>
            </w:r>
            <w:r/>
          </w:p>
        </w:tc>
        <w:tc>
          <w:tcPr>
            <w:tcW w:w="8693" w:type="dxa"/>
            <w:textDirection w:val="lrTb"/>
            <w:noWrap w:val="false"/>
          </w:tcPr>
          <w:p>
            <w:pPr>
              <w:pStyle w:val="1393"/>
              <w:ind w:left="120"/>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99"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7"/>
                              <pic:cNvPicPr>
                                <a:picLocks noChangeAspect="1"/>
                              </pic:cNvPicPr>
                              <pic:nvPr/>
                            </pic:nvPicPr>
                            <pic:blipFill>
                              <a:blip r:embed="rId3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5pt;height:7.5pt;mso-wrap-distance-left:0.0pt;mso-wrap-distance-top:0.0pt;mso-wrap-distance-right:0.0pt;mso-wrap-distance-bottom:0.0pt;" stroked="f">
                      <v:path textboxrect="0,0,0,0"/>
                      <v:imagedata r:id="rId33" o:title=""/>
                    </v:shape>
                  </w:pict>
                </mc:Fallback>
              </mc:AlternateConten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对会议现场进行检查，做好会场清扫工作。</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536"/>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89" w:name="_Toc28891"/>
      <w:r/>
      <w:bookmarkStart w:id="90" w:name="_Toc7169"/>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4.供应商履行合同所需的设备</w:t>
      </w:r>
      <w:bookmarkEnd w:id="89"/>
      <w:r/>
      <w:bookmarkEnd w:id="90"/>
      <w:r/>
      <w:r/>
    </w:p>
    <w:p>
      <w:pPr>
        <w:pStyle w:val="1368"/>
        <w:ind w:left="540"/>
        <w:jc w:val="left"/>
        <w:spacing w:before="6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采购人根据项目实际需求，需要供应商提供作业设备（自有或租赁）用于物业管理服务的， 可在下表中列出，举例如下：</w:t>
      </w:r>
      <w:r/>
    </w:p>
    <w:tbl>
      <w:tblPr>
        <w:tblStyle w:val="1364"/>
        <w:tblW w:w="133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4845"/>
        <w:gridCol w:w="1493"/>
        <w:gridCol w:w="1209"/>
      </w:tblGrid>
      <w:tr>
        <w:trPr>
          <w:trHeight w:val="462"/>
        </w:trPr>
        <w:tc>
          <w:tcPr>
            <w:tcW w:w="1140" w:type="dxa"/>
            <w:textDirection w:val="lrTb"/>
            <w:noWrap w:val="false"/>
          </w:tcPr>
          <w:p>
            <w:pPr>
              <w:ind w:left="358"/>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序号</w:t>
            </w:r>
            <w:r/>
          </w:p>
        </w:tc>
        <w:tc>
          <w:tcPr>
            <w:tcW w:w="4648" w:type="dxa"/>
            <w:textDirection w:val="lrTb"/>
            <w:noWrap w:val="false"/>
          </w:tcPr>
          <w:p>
            <w:pPr>
              <w:ind w:left="2113"/>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用途</w:t>
            </w:r>
            <w:r/>
          </w:p>
        </w:tc>
        <w:tc>
          <w:tcPr>
            <w:tcW w:w="4845" w:type="dxa"/>
            <w:textDirection w:val="lrTb"/>
            <w:noWrap w:val="false"/>
          </w:tcPr>
          <w:p>
            <w:pPr>
              <w:ind w:left="2285"/>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作业设备名称</w:t>
            </w:r>
            <w:r/>
          </w:p>
        </w:tc>
        <w:tc>
          <w:tcPr>
            <w:tcW w:w="1493" w:type="dxa"/>
            <w:textDirection w:val="lrTb"/>
            <w:noWrap w:val="false"/>
          </w:tcPr>
          <w:p>
            <w:pPr>
              <w:ind w:left="533"/>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数量</w:t>
            </w:r>
            <w:r/>
          </w:p>
        </w:tc>
        <w:tc>
          <w:tcPr>
            <w:tcW w:w="1209" w:type="dxa"/>
            <w:textDirection w:val="lrTb"/>
            <w:noWrap w:val="false"/>
          </w:tcPr>
          <w:p>
            <w:pPr>
              <w:ind w:left="519"/>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单位</w:t>
            </w:r>
            <w:r/>
          </w:p>
        </w:tc>
      </w:tr>
      <w:tr>
        <w:trPr>
          <w:trHeight w:val="460"/>
        </w:trPr>
        <w:tc>
          <w:tcPr>
            <w:tcW w:w="1140" w:type="dxa"/>
            <w:textDirection w:val="lrTb"/>
            <w:noWrap w:val="false"/>
          </w:tcPr>
          <w:p>
            <w:pPr>
              <w:ind w:left="531"/>
              <w:spacing w:before="1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4648" w:type="dxa"/>
            <w:textDirection w:val="lrTb"/>
            <w:noWrap w:val="false"/>
          </w:tcPr>
          <w:p>
            <w:pPr>
              <w:pStyle w:val="1393"/>
              <w:ind w:left="190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基本服务</w:t>
            </w:r>
            <w:r/>
          </w:p>
        </w:tc>
        <w:tc>
          <w:tcPr>
            <w:tcW w:w="4845" w:type="dxa"/>
            <w:textDirection w:val="lrTb"/>
            <w:noWrap w:val="false"/>
          </w:tcPr>
          <w:p>
            <w:pPr>
              <w:pStyle w:val="1393"/>
              <w:ind w:left="2377"/>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493"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209"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57"/>
        </w:trPr>
        <w:tc>
          <w:tcPr>
            <w:tcW w:w="1140" w:type="dxa"/>
            <w:textDirection w:val="lrTb"/>
            <w:noWrap w:val="false"/>
          </w:tcPr>
          <w:p>
            <w:pPr>
              <w:ind w:left="525"/>
              <w:spacing w:before="13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4648" w:type="dxa"/>
            <w:textDirection w:val="lrTb"/>
            <w:noWrap w:val="false"/>
          </w:tcPr>
          <w:p>
            <w:pPr>
              <w:pStyle w:val="1393"/>
              <w:ind w:left="1696"/>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房屋维修服务</w:t>
            </w:r>
            <w:r/>
          </w:p>
        </w:tc>
        <w:tc>
          <w:tcPr>
            <w:tcW w:w="4845" w:type="dxa"/>
            <w:textDirection w:val="lrTb"/>
            <w:noWrap w:val="false"/>
          </w:tcPr>
          <w:p>
            <w:pPr>
              <w:pStyle w:val="1393"/>
              <w:ind w:left="2029" w:firstLine="2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493"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209" w:type="dxa"/>
            <w:textDirection w:val="lrTb"/>
            <w:noWrap w:val="false"/>
          </w:tcPr>
          <w:p>
            <w:pPr>
              <w:pStyle w:val="1393"/>
              <w:ind w:left="643"/>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58"/>
        </w:trPr>
        <w:tc>
          <w:tcPr>
            <w:tcW w:w="1140" w:type="dxa"/>
            <w:textDirection w:val="lrTb"/>
            <w:noWrap w:val="false"/>
          </w:tcPr>
          <w:p>
            <w:pPr>
              <w:ind w:left="523"/>
              <w:spacing w:before="13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W w:w="4648" w:type="dxa"/>
            <w:textDirection w:val="lrTb"/>
            <w:noWrap w:val="false"/>
          </w:tcPr>
          <w:p>
            <w:pPr>
              <w:pStyle w:val="1393"/>
              <w:ind w:left="1282"/>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公用设施设备维护服务</w:t>
            </w:r>
            <w:r/>
          </w:p>
        </w:tc>
        <w:tc>
          <w:tcPr>
            <w:tcW w:w="4845" w:type="dxa"/>
            <w:textDirection w:val="lrTb"/>
            <w:noWrap w:val="false"/>
          </w:tcPr>
          <w:p>
            <w:pPr>
              <w:pStyle w:val="1393"/>
              <w:ind w:left="2029" w:firstLine="224"/>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493"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209" w:type="dxa"/>
            <w:textDirection w:val="lrTb"/>
            <w:noWrap w:val="false"/>
          </w:tcPr>
          <w:p>
            <w:pPr>
              <w:pStyle w:val="1393"/>
              <w:ind w:left="64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39"/>
        </w:trPr>
        <w:tc>
          <w:tcPr>
            <w:tcW w:w="1140" w:type="dxa"/>
            <w:textDirection w:val="lrTb"/>
            <w:noWrap w:val="false"/>
          </w:tcPr>
          <w:p>
            <w:pPr>
              <w:ind w:left="518"/>
              <w:spacing w:before="12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p>
        </w:tc>
        <w:tc>
          <w:tcPr>
            <w:tcW w:w="4648" w:type="dxa"/>
            <w:textDirection w:val="lrTb"/>
            <w:noWrap w:val="false"/>
          </w:tcPr>
          <w:p>
            <w:pPr>
              <w:pStyle w:val="1393"/>
              <w:ind w:left="1905"/>
              <w:spacing w:before="8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保洁服务</w:t>
            </w:r>
            <w:r/>
          </w:p>
        </w:tc>
        <w:tc>
          <w:tcPr>
            <w:tcW w:w="4845" w:type="dxa"/>
            <w:textDirection w:val="lrTb"/>
            <w:noWrap w:val="false"/>
          </w:tcPr>
          <w:p>
            <w:pPr>
              <w:pStyle w:val="1393"/>
              <w:ind w:left="2029" w:firstLine="226"/>
              <w:spacing w:before="8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493"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209" w:type="dxa"/>
            <w:textDirection w:val="lrTb"/>
            <w:noWrap w:val="false"/>
          </w:tcPr>
          <w:p>
            <w:pPr>
              <w:pStyle w:val="1393"/>
              <w:ind w:left="643"/>
              <w:spacing w:before="8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60"/>
        </w:trPr>
        <w:tc>
          <w:tcPr>
            <w:tcW w:w="1140" w:type="dxa"/>
            <w:textDirection w:val="lrTb"/>
            <w:noWrap w:val="false"/>
          </w:tcPr>
          <w:p>
            <w:pPr>
              <w:ind w:left="523"/>
              <w:spacing w:before="13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w:t>
            </w:r>
            <w:r/>
          </w:p>
        </w:tc>
        <w:tc>
          <w:tcPr>
            <w:tcW w:w="4648" w:type="dxa"/>
            <w:textDirection w:val="lrTb"/>
            <w:noWrap w:val="false"/>
          </w:tcPr>
          <w:p>
            <w:pPr>
              <w:pStyle w:val="1393"/>
              <w:ind w:left="1906"/>
              <w:spacing w:before="9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绿化服务</w:t>
            </w:r>
            <w:r/>
          </w:p>
        </w:tc>
        <w:tc>
          <w:tcPr>
            <w:tcW w:w="4845" w:type="dxa"/>
            <w:textDirection w:val="lrTb"/>
            <w:noWrap w:val="false"/>
          </w:tcPr>
          <w:p>
            <w:pPr>
              <w:pStyle w:val="1393"/>
              <w:ind w:left="2238"/>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493"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209" w:type="dxa"/>
            <w:textDirection w:val="lrTb"/>
            <w:noWrap w:val="false"/>
          </w:tcPr>
          <w:p>
            <w:pPr>
              <w:pStyle w:val="1393"/>
              <w:ind w:left="643"/>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57"/>
        </w:trPr>
        <w:tc>
          <w:tcPr>
            <w:tcW w:w="1140" w:type="dxa"/>
            <w:textDirection w:val="lrTb"/>
            <w:noWrap w:val="false"/>
          </w:tcPr>
          <w:p>
            <w:pPr>
              <w:ind w:left="524"/>
              <w:spacing w:before="13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4648" w:type="dxa"/>
            <w:textDirection w:val="lrTb"/>
            <w:noWrap w:val="false"/>
          </w:tcPr>
          <w:p>
            <w:pPr>
              <w:pStyle w:val="1393"/>
              <w:ind w:left="1905"/>
              <w:spacing w:before="9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保安服务</w:t>
            </w:r>
            <w:r/>
          </w:p>
        </w:tc>
        <w:tc>
          <w:tcPr>
            <w:tcW w:w="4845" w:type="dxa"/>
            <w:textDirection w:val="lrTb"/>
            <w:noWrap w:val="false"/>
          </w:tcPr>
          <w:p>
            <w:pPr>
              <w:pStyle w:val="1393"/>
              <w:ind w:left="2245"/>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493"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209" w:type="dxa"/>
            <w:textDirection w:val="lrTb"/>
            <w:noWrap w:val="false"/>
          </w:tcPr>
          <w:p>
            <w:pPr>
              <w:pStyle w:val="1393"/>
              <w:ind w:left="627"/>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r>
        <w:trPr>
          <w:trHeight w:val="465"/>
        </w:trPr>
        <w:tc>
          <w:tcPr>
            <w:tcW w:w="1140" w:type="dxa"/>
            <w:textDirection w:val="lrTb"/>
            <w:noWrap w:val="false"/>
          </w:tcPr>
          <w:p>
            <w:pPr>
              <w:ind w:left="523"/>
              <w:spacing w:before="13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4648" w:type="dxa"/>
            <w:textDirection w:val="lrTb"/>
            <w:noWrap w:val="false"/>
          </w:tcPr>
          <w:p>
            <w:pPr>
              <w:pStyle w:val="1393"/>
              <w:ind w:left="1903"/>
              <w:spacing w:before="94"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会议服务</w:t>
            </w:r>
            <w:r/>
          </w:p>
        </w:tc>
        <w:tc>
          <w:tcPr>
            <w:tcW w:w="4845" w:type="dxa"/>
            <w:textDirection w:val="lrTb"/>
            <w:noWrap w:val="false"/>
          </w:tcPr>
          <w:p>
            <w:pPr>
              <w:pStyle w:val="1393"/>
              <w:ind w:left="2238"/>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493" w:type="dxa"/>
            <w:textDirection w:val="lrTb"/>
            <w:noWrap w:val="false"/>
          </w:tcPr>
          <w:p>
            <w:pPr>
              <w:pStyle w:val="1393"/>
              <w:ind w:left="626"/>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209" w:type="dxa"/>
            <w:textDirection w:val="lrTb"/>
            <w:noWrap w:val="false"/>
          </w:tcPr>
          <w:p>
            <w:pPr>
              <w:pStyle w:val="1393"/>
              <w:ind w:left="643"/>
              <w:spacing w:before="94"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r>
    </w:tbl>
    <w:p>
      <w:pPr>
        <w:ind w:left="131"/>
        <w:jc w:val="left"/>
        <w:spacing w:before="3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24"/>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 采购人已无偿提供的作业设备， 不再重复要求。</w:t>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542"/>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91" w:name="_Toc25841"/>
      <w:r/>
      <w:bookmarkStart w:id="92" w:name="_Toc24095"/>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5.物业管理服务人员需求</w:t>
      </w:r>
      <w:bookmarkEnd w:id="91"/>
      <w:r/>
      <w:bookmarkEnd w:id="92"/>
      <w:r/>
      <w:r/>
    </w:p>
    <w:tbl>
      <w:tblPr>
        <w:tblStyle w:val="1364"/>
        <w:tblW w:w="14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1839"/>
        <w:gridCol w:w="2077"/>
        <w:gridCol w:w="6711"/>
      </w:tblGrid>
      <w:tr>
        <w:trPr>
          <w:jc w:val="center"/>
          <w:trHeight w:val="691"/>
        </w:trPr>
        <w:tc>
          <w:tcPr>
            <w:tcW w:w="1546" w:type="dxa"/>
            <w:vAlign w:val="center"/>
            <w:textDirection w:val="lrTb"/>
            <w:noWrap w:val="false"/>
          </w:tcPr>
          <w:p>
            <w:pPr>
              <w:jc w:val="center"/>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部门职能</w:t>
            </w:r>
            <w:r/>
          </w:p>
        </w:tc>
        <w:tc>
          <w:tcPr>
            <w:tcW w:w="2145" w:type="dxa"/>
            <w:vAlign w:val="center"/>
            <w:textDirection w:val="lrTb"/>
            <w:noWrap w:val="false"/>
          </w:tcPr>
          <w:p>
            <w:pPr>
              <w:jc w:val="center"/>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岗位</w:t>
            </w:r>
            <w:r/>
          </w:p>
        </w:tc>
        <w:tc>
          <w:tcPr>
            <w:tcW w:w="1839" w:type="dxa"/>
            <w:vAlign w:val="center"/>
            <w:textDirection w:val="lrTb"/>
            <w:noWrap w:val="false"/>
          </w:tcPr>
          <w:p>
            <w:pPr>
              <w:jc w:val="center"/>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同时在岗人数</w:t>
            </w:r>
            <w:r/>
          </w:p>
        </w:tc>
        <w:tc>
          <w:tcPr>
            <w:tcW w:w="2077" w:type="dxa"/>
            <w:vAlign w:val="center"/>
            <w:textDirection w:val="lrTb"/>
            <w:noWrap w:val="false"/>
          </w:tcPr>
          <w:p>
            <w:pPr>
              <w:jc w:val="center"/>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岗位所需总人数</w:t>
            </w:r>
            <w:r/>
          </w:p>
        </w:tc>
        <w:tc>
          <w:tcPr>
            <w:tcW w:w="6711" w:type="dxa"/>
            <w:vAlign w:val="center"/>
            <w:textDirection w:val="lrTb"/>
            <w:noWrap w:val="false"/>
          </w:tcPr>
          <w:p>
            <w:pPr>
              <w:jc w:val="center"/>
              <w:spacing w:before="20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备注（岗位所需服务时长或时段、须具备的上岗资格证、人员学历、工作经验等要求）</w:t>
            </w:r>
            <w:r/>
          </w:p>
        </w:tc>
      </w:tr>
      <w:tr>
        <w:trPr>
          <w:jc w:val="center"/>
          <w:trHeight w:val="458"/>
        </w:trPr>
        <w:tc>
          <w:tcPr>
            <w:tcW w:w="1546"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服务中心</w:t>
            </w:r>
            <w:r/>
          </w:p>
        </w:tc>
        <w:tc>
          <w:tcPr>
            <w:tcW w:w="2145" w:type="dxa"/>
            <w:vAlign w:val="center"/>
            <w:textDirection w:val="lrTb"/>
            <w:noWrap w:val="false"/>
          </w:tcPr>
          <w:p>
            <w:pPr>
              <w:pStyle w:val="1393"/>
              <w:ind w:left="112"/>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项目经理</w:t>
            </w:r>
            <w:r/>
          </w:p>
        </w:tc>
        <w:tc>
          <w:tcPr>
            <w:tcW w:w="1839" w:type="dxa"/>
            <w:vAlign w:val="center"/>
            <w:textDirection w:val="lrTb"/>
            <w:noWrap w:val="false"/>
          </w:tcPr>
          <w:p>
            <w:pPr>
              <w:jc w:val="center"/>
              <w:spacing w:before="13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2077" w:type="dxa"/>
            <w:vAlign w:val="center"/>
            <w:textDirection w:val="lrTb"/>
            <w:noWrap w:val="false"/>
          </w:tcPr>
          <w:p>
            <w:pPr>
              <w:jc w:val="center"/>
              <w:spacing w:before="13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6711" w:type="dxa"/>
            <w:textDirection w:val="lrTb"/>
            <w:noWrap w:val="false"/>
          </w:tcPr>
          <w:p>
            <w:pPr>
              <w:pStyle w:val="1393"/>
              <w:ind w:left="117"/>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天8小时工作制,高中及以上学历，主要负责协调包括环境卫生管理、绿化养护管理、传达、保安、秩序管理和消防、监控设施维护、给排水设备运行维护、供电设备管理维护和房屋日常养护维修、其他后勤保障服务等各个部门的综合性管理。物业经理更换必须取得采购人同意，更换人员条件要同等条件，否则不作调整。</w:t>
            </w: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需持五级/初级保安员证</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投标供应商中标后需向采购人提供</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保安证。</w:t>
            </w:r>
            <w:r/>
          </w:p>
        </w:tc>
      </w:tr>
      <w:tr>
        <w:trPr>
          <w:jc w:val="center"/>
          <w:trHeight w:val="312"/>
        </w:trPr>
        <w:tc>
          <w:tcPr>
            <w:tcBorders>
              <w:bottom w:val="none" w:color="000000" w:sz="4" w:space="0"/>
            </w:tcBorders>
            <w:tcW w:w="1546" w:type="dxa"/>
            <w:vAlign w:val="center"/>
            <w:vMerge w:val="restart"/>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基本服务</w:t>
            </w:r>
            <w:r/>
          </w:p>
        </w:tc>
        <w:tc>
          <w:tcPr>
            <w:tcW w:w="2145" w:type="dxa"/>
            <w:vAlign w:val="center"/>
            <w:textDirection w:val="lrTb"/>
            <w:noWrap w:val="false"/>
          </w:tcPr>
          <w:p>
            <w:pPr>
              <w:pStyle w:val="1393"/>
              <w:ind w:left="110"/>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主管</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副经理</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90"/>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前台（或传达室）</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346"/>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内勤</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86"/>
        </w:trPr>
        <w:tc>
          <w:tcPr>
            <w:tcBorders>
              <w:top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客服（24 小时服务热 线）</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358"/>
        </w:trPr>
        <w:tc>
          <w:tcPr>
            <w:tcBorders>
              <w:bottom w:val="none" w:color="000000" w:sz="4" w:space="0"/>
            </w:tcBorders>
            <w:tcW w:w="1546" w:type="dxa"/>
            <w:vAlign w:val="center"/>
            <w:vMerge w:val="restart"/>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房屋维护服务</w:t>
            </w:r>
            <w:r/>
          </w:p>
        </w:tc>
        <w:tc>
          <w:tcPr>
            <w:tcW w:w="2145" w:type="dxa"/>
            <w:vAlign w:val="center"/>
            <w:textDirection w:val="lrTb"/>
            <w:noWrap w:val="false"/>
          </w:tcPr>
          <w:p>
            <w:pPr>
              <w:pStyle w:val="1393"/>
              <w:ind w:left="110"/>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主管</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93"/>
        </w:trPr>
        <w:tc>
          <w:tcPr>
            <w:tcBorders>
              <w:top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综合维修</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391"/>
        </w:trPr>
        <w:tc>
          <w:tcPr>
            <w:tcBorders>
              <w:bottom w:val="none" w:color="000000" w:sz="4" w:space="0"/>
            </w:tcBorders>
            <w:tcW w:w="1546" w:type="dxa"/>
            <w:vAlign w:val="center"/>
            <w:vMerge w:val="restart"/>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公用设施设备维护服务</w:t>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主管</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08"/>
        </w:trPr>
        <w:tc>
          <w:tcPr>
            <w:tcBorders>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综合维修</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2077"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w:t>
            </w:r>
            <w:r/>
          </w:p>
        </w:tc>
        <w:tc>
          <w:tcPr>
            <w:tcW w:w="6711" w:type="dxa"/>
            <w:textDirection w:val="lrTb"/>
            <w:noWrap w:val="false"/>
          </w:tcPr>
          <w:p>
            <w:pPr>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6天8小时工作制,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需具</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备一个三级/高级维修电工证,两个五级瓦工证 ，两个四级/中级及以上智能楼宇管理员职业资格证书,</w:t>
            </w: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投标供应商中标后需向采购人提供</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相应证书。</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 </w:t>
            </w:r>
            <w:r/>
          </w:p>
        </w:tc>
      </w:tr>
      <w:tr>
        <w:trPr>
          <w:jc w:val="center"/>
          <w:trHeight w:val="363"/>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弱电维修</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332"/>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高配工</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pStyle w:val="1393"/>
              <w:ind w:left="117"/>
              <w:spacing w:before="91"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r>
      <w:tr>
        <w:trPr>
          <w:jc w:val="center"/>
          <w:trHeight w:val="313"/>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水电工</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pStyle w:val="1393"/>
              <w:ind w:left="117"/>
              <w:spacing w:before="92"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r>
      <w:tr>
        <w:trPr>
          <w:jc w:val="center"/>
          <w:trHeight w:val="363"/>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暖通工</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215"/>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锅炉工</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pStyle w:val="1393"/>
              <w:ind w:left="117"/>
              <w:spacing w:before="93"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r>
      <w:tr>
        <w:trPr>
          <w:jc w:val="center"/>
          <w:trHeight w:val="391"/>
        </w:trPr>
        <w:tc>
          <w:tcPr>
            <w:tcBorders>
              <w:top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电梯工</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392"/>
        </w:trPr>
        <w:tc>
          <w:tcPr>
            <w:tcBorders>
              <w:bottom w:val="none" w:color="000000" w:sz="4" w:space="0"/>
            </w:tcBorders>
            <w:tcW w:w="1546" w:type="dxa"/>
            <w:vAlign w:val="center"/>
            <w:vMerge w:val="restart"/>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保洁服务</w:t>
            </w:r>
            <w:r/>
          </w:p>
        </w:tc>
        <w:tc>
          <w:tcPr>
            <w:tcW w:w="2145" w:type="dxa"/>
            <w:vAlign w:val="center"/>
            <w:textDirection w:val="lrTb"/>
            <w:noWrap w:val="false"/>
          </w:tcPr>
          <w:p>
            <w:pPr>
              <w:pStyle w:val="1393"/>
              <w:ind w:left="110"/>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主管</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671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399"/>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保洁员</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36</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36</w:t>
            </w:r>
            <w:r/>
          </w:p>
        </w:tc>
        <w:tc>
          <w:tcPr>
            <w:tcW w:w="671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318"/>
        </w:trPr>
        <w:tc>
          <w:tcPr>
            <w:tcBorders>
              <w:top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垃圾清运工</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62"/>
        </w:trPr>
        <w:tc>
          <w:tcPr>
            <w:tcW w:w="1546"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绿化服务</w:t>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绿化工</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W w:w="6711" w:type="dxa"/>
            <w:textDirection w:val="lrTb"/>
            <w:noWrap w:val="false"/>
          </w:tcPr>
          <w:p>
            <w:pPr>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6天8小时工作制</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w:t>
            </w:r>
            <w:r/>
          </w:p>
        </w:tc>
      </w:tr>
      <w:tr>
        <w:trPr>
          <w:jc w:val="center"/>
          <w:trHeight w:val="326"/>
        </w:trPr>
        <w:tc>
          <w:tcPr>
            <w:tcBorders>
              <w:bottom w:val="none" w:color="000000" w:sz="4" w:space="0"/>
            </w:tcBorders>
            <w:tcW w:w="1546" w:type="dxa"/>
            <w:vAlign w:val="center"/>
            <w:vMerge w:val="restart"/>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保安服务</w:t>
            </w:r>
            <w:r/>
          </w:p>
        </w:tc>
        <w:tc>
          <w:tcPr>
            <w:tcW w:w="2145" w:type="dxa"/>
            <w:vAlign w:val="center"/>
            <w:textDirection w:val="lrTb"/>
            <w:noWrap w:val="false"/>
          </w:tcPr>
          <w:p>
            <w:pPr>
              <w:pStyle w:val="1393"/>
              <w:ind w:left="110"/>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主管</w:t>
            </w:r>
            <w:r/>
          </w:p>
        </w:tc>
        <w:tc>
          <w:tcPr>
            <w:tcW w:w="18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2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W w:w="6711"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6天8小时工作制,高中及以上学历，需持五级/初级保安员证</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投标供应商中标后需向采购人提供</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保安证。</w:t>
            </w:r>
            <w:r/>
          </w:p>
        </w:tc>
      </w:tr>
      <w:tr>
        <w:trPr>
          <w:jc w:val="center"/>
          <w:trHeight w:val="429"/>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领班</w:t>
            </w:r>
            <w:r/>
          </w:p>
        </w:tc>
        <w:tc>
          <w:tcPr>
            <w:tcW w:w="183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64</w:t>
            </w:r>
            <w:r/>
          </w:p>
        </w:tc>
        <w:tc>
          <w:tcPr>
            <w:tcW w:w="2077"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64</w:t>
            </w:r>
            <w:r/>
          </w:p>
        </w:tc>
        <w:tc>
          <w:tcPr>
            <w:tcW w:w="6711" w:type="dxa"/>
            <w:vAlign w:val="center"/>
            <w:vMerge w:val="restart"/>
            <w:textDirection w:val="lrTb"/>
            <w:noWrap w:val="false"/>
          </w:tcPr>
          <w:p>
            <w:pPr>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6天8小时工作制,需持五级/初级保安员证，其中一人为安全管理员。</w:t>
            </w:r>
            <w:r>
              <w:rPr>
                <w:rFonts w:hint="eastAsia" w:ascii="宋体" w:hAnsi="宋体" w:eastAsia="宋体" w:cs="宋体"/>
                <w:b/>
                <w:bCs/>
                <w:color w:val="000000" w:themeColor="text1"/>
                <w:sz w:val="24"/>
                <w:szCs w:val="24"/>
                <w:lang w:eastAsia="zh-CN"/>
                <w14:textFill>
                  <w14:solidFill>
                    <w14:schemeClr w14:val="tx1"/>
                  </w14:solidFill>
                </w14:textFill>
              </w:rPr>
              <w:t xml:space="preserve">投标供应商中标后需向采购人提供</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保安证。</w:t>
            </w:r>
            <w:r/>
          </w:p>
        </w:tc>
      </w:tr>
      <w:tr>
        <w:trPr>
          <w:jc w:val="center"/>
          <w:trHeight w:val="458"/>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门岗</w:t>
            </w:r>
            <w:r/>
          </w:p>
        </w:tc>
        <w:tc>
          <w:tcPr>
            <w:tcW w:w="183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07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6711" w:type="dxa"/>
            <w:vAlign w:val="center"/>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60"/>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消控岗（监控岗）</w:t>
            </w:r>
            <w:r/>
          </w:p>
        </w:tc>
        <w:tc>
          <w:tcPr>
            <w:tcW w:w="183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07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6711" w:type="dxa"/>
            <w:vAlign w:val="center"/>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58"/>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巡逻岗</w:t>
            </w:r>
            <w:r/>
          </w:p>
        </w:tc>
        <w:tc>
          <w:tcPr>
            <w:tcW w:w="183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07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6711" w:type="dxa"/>
            <w:vAlign w:val="center"/>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58"/>
        </w:trPr>
        <w:tc>
          <w:tcPr>
            <w:tcBorders>
              <w:top w:val="none" w:color="000000" w:sz="4" w:space="0"/>
              <w:bottom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车管岗</w:t>
            </w:r>
            <w:r/>
          </w:p>
        </w:tc>
        <w:tc>
          <w:tcPr>
            <w:tcW w:w="1839"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077" w:type="dxa"/>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6711" w:type="dxa"/>
            <w:vAlign w:val="center"/>
            <w:vMerge w:val="continue"/>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60"/>
        </w:trPr>
        <w:tc>
          <w:tcPr>
            <w:tcBorders>
              <w:top w:val="none" w:color="000000" w:sz="4" w:space="0"/>
            </w:tcBorders>
            <w:tcW w:w="1546" w:type="dxa"/>
            <w:vAlign w:val="center"/>
            <w:vMerge w:val="continue"/>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145"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63"/>
        </w:trPr>
        <w:tc>
          <w:tcPr>
            <w:tcW w:w="1546"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会议服务</w:t>
            </w:r>
            <w:r/>
          </w:p>
        </w:tc>
        <w:tc>
          <w:tcPr>
            <w:tcW w:w="2145" w:type="dxa"/>
            <w:vAlign w:val="center"/>
            <w:textDirection w:val="lrTb"/>
            <w:noWrap w:val="false"/>
          </w:tcPr>
          <w:p>
            <w:pPr>
              <w:ind w:left="116"/>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t xml:space="preserve">会务</w:t>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tc>
        <w:tc>
          <w:tcPr>
            <w:tcW w:w="6711" w:type="dxa"/>
            <w:textDirection w:val="lrTb"/>
            <w:noWrap w:val="false"/>
          </w:tcPr>
          <w:p>
            <w:pPr>
              <w:pStyle w:val="1393"/>
              <w:ind w:left="117"/>
              <w:spacing w:before="9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jc w:val="center"/>
          <w:trHeight w:val="463"/>
        </w:trPr>
        <w:tc>
          <w:tcPr>
            <w:tcW w:w="1546" w:type="dxa"/>
            <w:vAlign w:val="center"/>
            <w:textDirection w:val="lrTb"/>
            <w:noWrap w:val="false"/>
          </w:tcPr>
          <w:p>
            <w:pPr>
              <w:pStyle w:val="1393"/>
              <w:ind w:left="116"/>
              <w:jc w:val="center"/>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合计</w:t>
            </w:r>
            <w:r/>
          </w:p>
        </w:tc>
        <w:tc>
          <w:tcPr>
            <w:tcW w:w="2145" w:type="dxa"/>
            <w:vAlign w:val="center"/>
            <w:textDirection w:val="lrTb"/>
            <w:noWrap w:val="false"/>
          </w:tcPr>
          <w:p>
            <w:pPr>
              <w:ind w:left="116"/>
              <w:jc w:val="center"/>
              <w:spacing w:before="89" w:line="360" w:lineRule="auto"/>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en-US"/>
                <w14:textFill>
                  <w14:solidFill>
                    <w14:schemeClr w14:val="tx1"/>
                  </w14:solidFill>
                </w14:textFill>
              </w:rPr>
            </w:r>
            <w:r/>
          </w:p>
        </w:tc>
        <w:tc>
          <w:tcPr>
            <w:tcW w:w="1839"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W w:w="2077" w:type="dxa"/>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119</w:t>
            </w:r>
            <w:r/>
          </w:p>
        </w:tc>
        <w:tc>
          <w:tcPr>
            <w:tcW w:w="6711" w:type="dxa"/>
            <w:textDirection w:val="lrTb"/>
            <w:noWrap w:val="false"/>
          </w:tcPr>
          <w:p>
            <w:pPr>
              <w:pStyle w:val="1393"/>
              <w:ind w:left="117"/>
              <w:jc w:val="center"/>
              <w:spacing w:before="95"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bl>
    <w:p>
      <w:pPr>
        <w:ind w:firstLine="472"/>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w:t>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经理即为投标书中明确的项目经理，物业公司一旦中标，拟派驻现场的物业经理原则上不得随意更换，除特殊原因经采购人同意的除外，否则罚款5万元，经采购人同意后更换的物业经理须配备有足够的能力方可上岗；中标供应商正式进场时人员与投标文件人员匹配度不低于80%；否则采购</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人有权取消与其签订合同，并没收履约保证金，一切损失由中标供应商负责。实际管理过程中，供应商可以根据实际情况调整人员，但人员相关结构满足招、投标文件，人员匹配度不得低于80% （书面报采购人同意的除外）。岗位设置供应商可机动调整，但必须符合本次招标的物业项目运行要求。在合同履行过程中中标供应商现场实际到岗的人员数量不得少于投标文件中配置的数量，未书面上报采购人同意的，发现一次按每少一人1万元 /次进行处罚性扣款，在物业管理费中扣除，同时中标物业公司须在一周内补足至投标文件中配置的数量，考核办法和标准同时执行。</w:t>
      </w:r>
      <w:r/>
    </w:p>
    <w:p>
      <w:pPr>
        <w:pStyle w:val="1388"/>
        <w:ind w:firstLine="0"/>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中标单位要严格履行投标书的承诺和委托服务合同的约定，如发现服务达不到规定要求，中标单位服务水平下降，投诉多等现象，服务中发生重大管理失误的，采购人有权单方终止委托服务合同，并要求进行财务审计，责任由中标单位承担。</w:t>
      </w:r>
      <w:r/>
    </w:p>
    <w:p>
      <w:pPr>
        <w:pStyle w:val="1388"/>
        <w:ind w:firstLine="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3.停车位管理及收费由中标单位负责，采用信息化管理，按采购人及原物业管理公司的停车收费标准执行，具体参照东北塘街道安置房小区物业管理工作实施办法（东办发〔2021〕11号）执行。</w:t>
      </w:r>
      <w:r/>
    </w:p>
    <w:p>
      <w:pPr>
        <w:pStyle w:val="1388"/>
        <w:ind w:firstLine="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河道保洁：本项目社区内外有一条河道，物业公司需对河道进行保洁维护。灵官桥浜（东政路－春塘路）347米，水面面积约5205平方米；许巷浜420米，水面面积约3200平方米。具体河道保洁标准详见考核办法及考核标准。</w:t>
      </w:r>
      <w:r/>
    </w:p>
    <w:p>
      <w:pPr>
        <w:pStyle w:val="1388"/>
        <w:ind w:firstLine="0"/>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物业管理过程中涉及的公共能耗包括公共区域范围内的电耗和水耗等全部费用，由</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中标单位支出费用，东北塘街道办事处不承担及支付</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w:t>
      </w:r>
      <w:r/>
    </w:p>
    <w:p>
      <w:pPr>
        <w:ind w:left="541"/>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93" w:name="_Toc27571"/>
      <w:r/>
      <w:bookmarkStart w:id="94" w:name="_Toc30187"/>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6.商务要求</w:t>
      </w:r>
      <w:bookmarkEnd w:id="93"/>
      <w:r/>
      <w:bookmarkEnd w:id="94"/>
      <w:r/>
      <w:r/>
    </w:p>
    <w:p>
      <w:pPr>
        <w:ind w:left="541"/>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95" w:name="_Toc13432"/>
      <w:r/>
      <w:bookmarkStart w:id="96" w:name="_Toc9222"/>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6.1 实施期限</w:t>
      </w:r>
      <w:bookmarkEnd w:id="95"/>
      <w:r/>
      <w:bookmarkEnd w:id="96"/>
      <w:r/>
      <w:r/>
    </w:p>
    <w:p>
      <w:pPr>
        <w:pStyle w:val="1368"/>
        <w:ind w:left="531"/>
        <w:spacing w:before="6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一年，具体开始时间以合同签订时间为准。</w:t>
      </w:r>
      <w:r/>
    </w:p>
    <w:p>
      <w:pPr>
        <w:ind w:left="541"/>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97" w:name="_Toc31354"/>
      <w:r/>
      <w:bookmarkStart w:id="98" w:name="_Toc14548"/>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6.2 付款方式</w:t>
      </w:r>
      <w:bookmarkEnd w:id="97"/>
      <w:r/>
      <w:bookmarkEnd w:id="98"/>
      <w:r/>
      <w:r/>
    </w:p>
    <w:p>
      <w:pPr>
        <w:pStyle w:val="1368"/>
        <w:ind w:left="533"/>
        <w:spacing w:before="63"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服务费的具体支付金额根据考核情况（按照《物业管理考核表》按月考核）确定。物业管理服务费每季度结算支付1次，结算金额为全年合同额平均到每个季度。每次付款前中标供应商需提供相应金额的税票，采购人原则上应当自收到发票后10个工作日内将资金支付到合同约定的供应商账户。</w:t>
      </w:r>
      <w:r>
        <w:rPr>
          <w:rFonts w:hint="eastAsia" w:ascii="宋体" w:hAnsi="宋体" w:cs="宋体"/>
          <w:bCs/>
          <w:color w:val="000000" w:themeColor="text1"/>
          <w:sz w:val="24"/>
          <w:szCs w:val="24"/>
          <w14:textFill>
            <w14:solidFill>
              <w14:schemeClr w14:val="tx1"/>
            </w14:solidFill>
          </w14:textFill>
        </w:rPr>
        <w:t xml:space="preserve">考核满分100分，根据考核情况支付物业管理费。</w:t>
      </w:r>
      <w:r>
        <w:rPr>
          <w:rFonts w:hint="eastAsia" w:ascii="宋体" w:hAnsi="宋体" w:cs="宋体"/>
          <w:color w:val="000000" w:themeColor="text1"/>
          <w:sz w:val="24"/>
          <w:szCs w:val="24"/>
          <w14:textFill>
            <w14:solidFill>
              <w14:schemeClr w14:val="tx1"/>
            </w14:solidFill>
          </w14:textFill>
        </w:rPr>
        <w:t xml:space="preserve">实行100分制，当月度考核得分超过90分（含），不扣当月物业服务费用；得分低于90分且高于85分（含），每低1分扣当月物业服务经费的0.8%；当月考核得分低于85分且高于80分（含）的，每低1分扣当月物业服务经费的1.2%；当月考核得分低于80分，每低1分扣当月作业经费的1.8%。</w:t>
      </w:r>
      <w:r>
        <w:rPr>
          <w:rFonts w:hint="eastAsia" w:ascii="宋体" w:hAnsi="宋体" w:cs="宋体"/>
          <w:bCs/>
          <w:color w:val="000000" w:themeColor="text1"/>
          <w:sz w:val="24"/>
          <w:szCs w:val="24"/>
          <w14:textFill>
            <w14:solidFill>
              <w14:schemeClr w14:val="tx1"/>
            </w14:solidFill>
          </w14:textFill>
        </w:rPr>
        <w:t xml:space="preserve">如本合同年度累计两个月考核得分达不到70分的，采购人有权终止合同，由此导致的任何相关经济损失及责任均由中标供应商负责与承担。</w:t>
      </w:r>
      <w:r/>
    </w:p>
    <w:p>
      <w:pPr>
        <w:ind w:left="541"/>
        <w:spacing w:before="91"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outlineLvl w:val="0"/>
      </w:pPr>
      <w:r/>
      <w:bookmarkStart w:id="99" w:name="_Toc28548"/>
      <w:r/>
      <w:bookmarkStart w:id="100" w:name="_Toc28269"/>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6.3 验收标准与要求</w:t>
      </w:r>
      <w:bookmarkEnd w:id="99"/>
      <w:r/>
      <w:bookmarkEnd w:id="100"/>
      <w:r/>
      <w:r/>
    </w:p>
    <w:p>
      <w:pPr>
        <w:pStyle w:val="136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pStyle w:val="1365"/>
        <w:ind w:firstLine="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jc w:val="left"/>
        <w:spacing w:line="360" w:lineRule="auto"/>
        <w:tabs>
          <w:tab w:val="left" w:pos="973" w:leader="none"/>
          <w:tab w:val="left" w:pos="9109" w:leader="none"/>
          <w:tab w:val="left" w:pos="9533" w:leader="none"/>
          <w:tab w:val="left" w:pos="11556" w:leader="none"/>
          <w:tab w:val="left" w:pos="13543"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附件：</w:t>
      </w:r>
      <w:r>
        <w:rPr>
          <w:rFonts w:hint="eastAsia" w:asciiTheme="minorEastAsia" w:hAnsiTheme="minorEastAsia" w:eastAsiaTheme="minorEastAsia" w:cstheme="minorEastAsia"/>
          <w:color w:val="000000" w:themeColor="text1"/>
          <w:sz w:val="24"/>
          <w:szCs w:val="24"/>
          <w14:textFill>
            <w14:solidFill>
              <w14:schemeClr w14:val="tx1"/>
            </w14:solidFill>
          </w14:textFill>
        </w:rPr>
        <w:tab/>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物业管理考核表</w:t>
      </w:r>
      <w:r>
        <w:rPr>
          <w:rFonts w:hint="eastAsia" w:asciiTheme="minorEastAsia" w:hAnsiTheme="minorEastAsia" w:eastAsiaTheme="minorEastAsia" w:cstheme="minorEastAsia"/>
          <w:color w:val="000000" w:themeColor="text1"/>
          <w:sz w:val="24"/>
          <w:szCs w:val="24"/>
          <w14:textFill>
            <w14:solidFill>
              <w14:schemeClr w14:val="tx1"/>
            </w14:solidFill>
          </w14:textFill>
        </w:rPr>
        <w:tab/>
      </w:r>
      <w:r>
        <w:rPr>
          <w:rFonts w:hint="eastAsia" w:asciiTheme="minorEastAsia" w:hAnsiTheme="minorEastAsia" w:eastAsiaTheme="minorEastAsia" w:cstheme="minorEastAsia"/>
          <w:color w:val="000000" w:themeColor="text1"/>
          <w:sz w:val="24"/>
          <w:szCs w:val="24"/>
          <w14:textFill>
            <w14:solidFill>
              <w14:schemeClr w14:val="tx1"/>
            </w14:solidFill>
          </w14:textFill>
        </w:rPr>
        <w:tab/>
      </w:r>
      <w:r>
        <w:rPr>
          <w:rFonts w:hint="eastAsia" w:asciiTheme="minorEastAsia" w:hAnsiTheme="minorEastAsia" w:eastAsiaTheme="minorEastAsia" w:cstheme="minorEastAsia"/>
          <w:color w:val="000000" w:themeColor="text1"/>
          <w:sz w:val="24"/>
          <w:szCs w:val="24"/>
          <w14:textFill>
            <w14:solidFill>
              <w14:schemeClr w14:val="tx1"/>
            </w14:solidFill>
          </w14:textFill>
        </w:rPr>
        <w:tab/>
      </w:r>
      <w:r>
        <w:rPr>
          <w:rFonts w:hint="eastAsia" w:asciiTheme="minorEastAsia" w:hAnsiTheme="minorEastAsia" w:eastAsiaTheme="minorEastAsia" w:cstheme="minorEastAsia"/>
          <w:color w:val="000000" w:themeColor="text1"/>
          <w:sz w:val="24"/>
          <w:szCs w:val="24"/>
          <w14:textFill>
            <w14:solidFill>
              <w14:schemeClr w14:val="tx1"/>
            </w14:solidFill>
          </w14:textFill>
        </w:rPr>
        <w:tab/>
      </w:r>
      <w:r/>
    </w:p>
    <w:p>
      <w:pP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br w:type="page" w:clear="all"/>
      </w:r>
      <w:r/>
    </w:p>
    <w:tbl>
      <w:tblPr>
        <w:tblStyle w:val="1364"/>
        <w:tblW w:w="0" w:type="auto"/>
        <w:tblInd w:w="0" w:type="dxa"/>
        <w:tblLayout w:type="autofit"/>
        <w:tblCellMar>
          <w:left w:w="15" w:type="dxa"/>
          <w:top w:w="15" w:type="dxa"/>
          <w:right w:w="15" w:type="dxa"/>
          <w:bottom w:w="15" w:type="dxa"/>
        </w:tblCellMar>
        <w:tblLook w:val="04A0" w:firstRow="1" w:lastRow="0" w:firstColumn="1" w:lastColumn="0" w:noHBand="0" w:noVBand="1"/>
      </w:tblPr>
      <w:tblGrid>
        <w:gridCol w:w="13988"/>
      </w:tblGrid>
      <w:tr>
        <w:trPr>
          <w:trHeight w:val="345"/>
        </w:trPr>
        <w:tc>
          <w:tcPr>
            <w:tcBorders>
              <w:top w:val="single" w:color="000000" w:sz="4" w:space="0"/>
            </w:tcBorders>
            <w:tcW w:w="139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安置房小区物业管理考核标准（ 高 层 ）</w:t>
            </w:r>
            <w:r/>
          </w:p>
          <w:p>
            <w:pPr>
              <w:ind w:right="480"/>
              <w:jc w:val="righ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     月</w:t>
            </w:r>
            <w:r/>
          </w:p>
          <w:tbl>
            <w:tblPr>
              <w:tblStyle w:val="1364"/>
              <w:tblW w:w="13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839"/>
              <w:gridCol w:w="7236"/>
              <w:gridCol w:w="709"/>
              <w:gridCol w:w="2551"/>
              <w:gridCol w:w="567"/>
              <w:gridCol w:w="1417"/>
            </w:tblGrid>
            <w:tr>
              <w:trPr>
                <w:trHeight w:val="317"/>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服务标准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评分标准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扣分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原因</w:t>
                  </w:r>
                  <w:r/>
                </w:p>
              </w:tc>
            </w:tr>
            <w:tr>
              <w:trP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基础管理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物业管理设有专门的管理服务场所，管理服务场所整洁有序，办公设施完备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有完善的物业管理方案，质量管理，财务管理，档案管理制度健全。各类物管台账齐全完善。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发现一项不符合扣0.5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设有服务接待中心，公示24小时值班服务电话。有完善的投诉处理流程，及时处理业主和使用人投诉，记录完整。无小区物业问题引发向上级部门投诉、信访、上访事件。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发现一项不符合扣0.5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人员管理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物业管理人员，工作人员按实际工作岗位配备齐全，管理人员、专业操作人员按国家有关规定持证上岗。人员使用、岗位设置、情况变更应及时向街道建设和生态环境办公室（物业管理）备案。</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建立对物业管理、工作人员的工作制度和考核制度，设有值班人员和人员去向表。各项制度、内容上墙公布。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物业管理人员、工作人员应统一着装、挂牌上岗；仪表整洁、行为规范、服务主动热情。</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有一人不符合扣0.5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（15分）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小区主出入口有小区平面示意图，主要路口设有路标，各栋及单元（门）、户和公共配套设施、场地有明显标志。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房屋及共用设施设备档案资料齐全，建立住房用户档案、分类成册、管理完善、查阅方便。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制定健全的房屋装修管理制度，对不符合规定的行为和现象及时劝阻、制止，并有完整的台账记录。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报修1小时到位，小修当天解决，及时处理业主和使用人报修，有完整的报修、维修和回访记录。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有一项不符合扣0.5，无记录扣1，记录不合扣0.5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对房屋共用部位进行日常管理和维修养护；小修范围及时修复，大中修范围及时申报组织修复；检修养护，申报维修记录齐全。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有一项不符合扣0.5，无记录扣1，记录不全扣0.5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每日巡查一次小区房屋单元门，楼梯通道及共用部位门、窗玻璃等公共设施，做好巡查记录，并及时维修养护。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有一项不符合扣0.5，无记录扣1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房屋外观完好、整洁、外墙面砖、涂料等装饰材料无脱落、无污迹。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64"/>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户外广告牌、霓虹灯按规定设置，室外共用管线统一入地，保持整洁统一美观，无安全隐患或破损。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top w:val="single" w:color="000000" w:sz="4" w:space="0"/>
                    <w:left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right w:val="single" w:color="000000" w:sz="4" w:space="0"/>
                  </w:tcBorders>
                  <w:tcW w:w="839"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共用设施</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设备养护</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维修</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（23分）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建立共用设施设备档案、设备台账；设施设备运行、巡查、维修、保养记录齐全。设施设备运行正常。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设施设备标志齐全、规范、责任人明确；操作维护人员严格执行设施设备操作规程及保养规范。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容易危及人身安全的设施设备有明显警示标志和防范措施，对可能发生的各种突发设施设备故障（电梯、供电、供水、消防设施设备等）有应急预案。</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对共用设施设备定期组织巡查，做好记录。小修范围及时组织修复，大中修范围或需要更新改造的，及时上报编制维修。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小区道路路面平整，道板砖无缺损，各类设施井盖无缺损、无丢失，主要道路及停车场、库交通标志齐全、规范。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公用雨、污水管每年疏通一次，雨污水井每月检查一次，根据检查情况及时清理、疏通，确保畅通无堵塞，化粪池每月检查一次每半年清理疏通一次，发现异常及时处理；并有巡查、疏通台账记录。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有一项不符合扣0.5，台账不齐扣1，无台账0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9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设备房保持整洁、通风、无跑、冒、滴、漏和鼠害等现象。各类水泵运行正常，管道及阀门配件完好，无损坏、渗漏、锈迹。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有一项不符合扣0.5，记录不齐扣0.5，无记录扣1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二次供水水箱按规定清洗，定时巡查，水质符合卫生要求，并有记录。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有一项不符合扣0.5，无记录或记录不全0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每月检查公共配电系统运行状况，出现异常及时处理，并有记录。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有一项不符合扣0.5，无记录或记录不全0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公共照明灯具、开关等无损坏，使用正常；发现损坏缺失及时修复更换，并有记录。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有一项不符合扣0.5，无记录或记录不全扣1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60"/>
              </w:trPr>
              <w:tc>
                <w:tcPr>
                  <w:tcBorders>
                    <w:left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安全监控设施设备完好，运行正常，监控室24小时值班，定期检修养护。值班、检修、养护记录齐全。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有一项不符合扣0.5，无记录或记录不全扣1</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公共秩序</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管理（11分）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实行封闭式管理，小区出入口24小时门岗值勤，小区主出入口开放时间段站岗值勤；有值班、交接班记录。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有一项不符合扣0.5，记录不齐扣1，无记录0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按规定对小区进行巡查，重点区域，重点部位每小时至少巡查一次，配有安全监控设施的，实行24小时监控，并有记录。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有一项不符合扣0.5，记录不齐扣1，无记录0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有车辆管理制度，对进出小区的车辆实施有效管理，引导车辆有序停放。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摩托车、电动车、自行车、三轮车等按指定地点有序停放，无私拉乱接充电现象。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对进出小区的装修、家政等劳务人员实行临时出入证管理，并有台账记录。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保持小区道路畅通，消防通道、消防登高场地、登高平台无障碍。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保洁管理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楼层通道畅通，楼单元门厅、楼梯台阶、扶手干净；无杂物、积灰、蛛网、无乱涂写、乱张贴。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电梯轿厢内整洁、无积灰、无乱张贴、乱涂写等；电梯机房整洁、无明显积灰。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停车场、库或车棚整洁，绿地无垃圾、杂物、污迹；及时清理道路、场地积水、积雪。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标识标牌、宣传告示栏整齐完好，干净整洁，无明显浮灰、污迹。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共用部位门、窗、路灯、楼道灯定期清洁，保持完好、干净整洁、无明显浮灰、污迹。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设置建筑垃圾收集点，做到有序堆放，无明显堆积，无抛洒散落。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垃圾分类房内是否干净整洁，无堆放，无私拉乱接。垃圾桶表面整洁干净，标识清晰。垃圾分类点位周边是否有大量乱丢垃圾（3袋以上）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小区其他公共场所、设施保持干净、整洁、无浮灰、污迹、无乱张贴、乱涂写。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负责河道内垃圾、漂浮物、水生植物、每日清理两岸河坡上的生活垃圾、建筑垃圾清理工作，并对漂浮物阻拦设施进行日常维护管理，做到垃圾日产日清，并按要求堆放至指定地点。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符合1，基本符合0.5，不符合0，无记录0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绿化养护管理（7分）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有专业人员实施绿化养护管理，植物成活率在90%以上，做好养护管理记录台账。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无专业人员0，成活率90%以下0，记录不齐，无记录0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草坪生长良好，及时修剪和补栽补种，无杂草、杂物。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auto"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839" w:type="dxa"/>
                  <w:vAlign w:val="center"/>
                  <w:vMerge w:val="continue"/>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花卉、绿篱、树木应根据其品种和生长情况及时修剪整形和补栽补种，保持观赏效果。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八</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宣传管理（8分）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创造条件、积极配合、支持参与社区文明建设，开展有意义、健康向上的小区文化活动。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合理设置、规范管理小区公示牌、告示栏、宣传栏等宣传设施，根据需要及时更换宣传内容。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对小区乱搭建及时制止，并要求居民限期内拆除、乱堆放、乱牵挂、乱晾晒及时清理，对小区内乱设摊和乱设店棚及时制止清理。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发现一项不符合扣0.5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九</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收费管理（4分）</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按标准合理收取物业管理费、车辆停车费，按规定按时结算上报并做好台账。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因小区管理需要使用小区场地、房屋、公共设施等进行收费项目，须提前将方案上报街道建设和生态环境办公室（物业管理），经批准同意后方可实施。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符合1，不符合0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7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十</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105" w:right="-105"/>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长效管理（3）</w:t>
                  </w:r>
                  <w:r/>
                </w:p>
              </w:tc>
              <w:tc>
                <w:tcPr>
                  <w:tcBorders>
                    <w:top w:val="single" w:color="000000" w:sz="4" w:space="0"/>
                    <w:left w:val="single" w:color="000000" w:sz="4" w:space="0"/>
                    <w:bottom w:val="single" w:color="000000" w:sz="4" w:space="0"/>
                    <w:right w:val="single" w:color="000000" w:sz="4" w:space="0"/>
                  </w:tcBorders>
                  <w:tcW w:w="7236"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街道市容环境长效管理检查考核中，考核得分低于85分的。接到12345投诉工单。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出现一次低于85分扣1.5分，连续两次扣3分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pStyle w:val="136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pStyle w:val="136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pStyle w:val="1365"/>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pStyle w:val="1365"/>
              <w:ind w:firstLine="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安置房小区物业管理考核标准（多层）</w:t>
            </w:r>
            <w:r/>
          </w:p>
          <w:p>
            <w:pPr>
              <w:ind w:right="480"/>
              <w:jc w:val="righ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     月</w:t>
            </w:r>
            <w:r/>
          </w:p>
          <w:tbl>
            <w:tblPr>
              <w:tblStyle w:val="13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806"/>
              <w:gridCol w:w="7592"/>
              <w:gridCol w:w="712"/>
              <w:gridCol w:w="2135"/>
              <w:gridCol w:w="712"/>
              <w:gridCol w:w="1423"/>
            </w:tblGrid>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服务标准</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评分标准</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扣分</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原因</w:t>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基础管理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物业管理设有专门的管理服务场所，管理服务场所整洁有序，办公设施完备</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有完善的物业管理方案，质量管理，财务管理，档案管理制度健全。各类物管台账齐全完善。</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发现一项不符合扣0.5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设有服务接待中心，公示24小时值班服务电话。有完善的投诉处理流程，及时处理业主和使用人投诉，记录完整。无小区物业问题引发向上级部门投诉、信访、上访事件。</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发现一项不符合扣0.5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人员管理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物业管理人员，工作人员按实际工作岗位配备齐全，管理人员、专业操作人员按国家有关规定持证上岗。人员使用、岗位设置、情况变更应及时向街道建设和生态环境办公室（物业管理）备案。</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建立对物业管理、工作人员的工作制度和考核制度，设有值班人员和人员去向表。各项制度、内容上墙公布。</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物业管理人员、工作人员应统一着装、挂牌上岗；仪表整洁、行为规范、服务主动热情。</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有一人不符合扣0.5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小区主出入口有小区平面示意图，主要路口设有路标，各栋及单元（门）、户和公共配套设施、场地有明显标志。</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房屋及共用设施设备档案资料齐全，建立住房用户档案、分类成册、管理完善、查阅方便。</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制定健全的房屋装修管理制度，对不符合规定的行为和现象及时劝阻、制止，并有完整的台账记录。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报修1小时到位，小修当天解决，及时处理业主和使用人报修，有完整的报修、维修和回访记录。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有一项不符合扣0.5，无记录扣1，记录不合扣0.5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对房屋共用部位进行日常管理和维修养护；小修范围及时修复，大中修范围及时申报组织修复；检修养护，申报维修记录齐全。</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有一项不符合扣0.5，无记录扣1，记录不全扣0.5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每日巡查一次小区房屋单元门，楼梯通道及共用部位门、窗玻璃等公共设施，做好巡查记录，并及时维修养护。</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无记录扣1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房屋外观完好、整洁、外墙面砖、涂料等装饰材料无脱落、无污迹。</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户外广告牌、霓虹灯按规定设置，室外共用管线统一入地，保持整洁统一美观，无安全隐患或破损。</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共用设施设备养护维修（16分）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建立共用设施设备档案、设备台账；设施设备运行、巡查、维修、保养记录齐全。设施设备运行正常。</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设施设备标志齐全、规范、责任人明确；操作维护人员严格执行设施设备操作规程及保养规范。</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容易危及人身安全的设施设备有明显警示标志和防范措施，对可能发生的各种突发设施设备故障有应急预案。</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对共用设施设备定期组织巡查，做好记录。小修范围及时组织修复，大中修范围或需要更新改造的，及时上报编制维修。</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小区道路路面平整，道板砖无缺损，各类设施井盖无缺损、无丢失，主要道路及停车场、库交通标志齐全、规范。</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公用雨、污水管每年疏通一次，雨污水井每月检查一次，根据检查情况及时清理、疏通，确保畅通无堵塞，化粪池每月检查一次每半年清理疏通一次，发现异常及时处理；并有巡查、疏通台账记录。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台账不齐扣1，无台账0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每月检查公共配电系统运行状况，出现异常及时处理，并有记录。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无记录或记录不全0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公共照明灯具、开关等无损坏，使用正常；发现损坏缺失及时修复更换，并有记录。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无记录或记录不全扣1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auto"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安全监控设施设备完好，运行正常，监控室24小时值班，定期检修养护。值班、检修、养护记录齐全。</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无记录或记录不全扣1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公共秩序管理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（16分）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实行封闭式管理，小区出入口24小时门岗值勤，小区主出入口开放时间段站岗值勤；有值班、交接班记录。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记录不齐扣1，无记录0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按规定对小区进行巡查，重点区域，重点部位每小时至少巡查一次，配有安全监控设施的，实行24小时监控，并有记录。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记录不齐扣1，无记录0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有车辆管理制度，对进出小区的车辆实施有效管理，引导车辆有序停放。</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摩托车、电动车、自行车、三轮车等按指定地点有序停放，无私拉乱接充电现象。</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对进出小区的装修、家政等劳务人员实行临时出入证管理，并有台账记录。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确保小区各出入口门禁、智能道闸正常使用，遇故障及时报修处置，并有台账记录。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门卫、岗亭、值班室干净整洁，无与工作无关人员长时间滞留。</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对治安、公共卫生、公共安全和危及住户人身安全等突发事件有应急预案和防范措施。</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保持小区道路畅通，消防通道无障碍，每年至少进行一次消防演练活动。</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right w:val="single" w:color="000000" w:sz="4" w:space="0"/>
                  </w:tcBorders>
                  <w:tcW w:w="289" w:type="pct"/>
                  <w:vAlign w:val="center"/>
                  <w:vMerge w:val="restart"/>
                  <w:textDirection w:val="lrTb"/>
                  <w:noWrap w:val="false"/>
                </w:tcPr>
                <w:p>
                  <w:pPr>
                    <w:ind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保洁管理（17分）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楼层通道畅通，楼单元门厅、楼梯台阶、扶手干净；无杂物、积灰、蛛网、无乱涂写、乱张贴。</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停车场、库或车棚整洁，绿地无垃圾、杂物、污迹；及时清理道路、场地积水、积雪。</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标识标牌、宣传告示栏整齐完好，干净整洁，无明显浮灰、污迹。</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共用部位门、窗、路灯、楼道灯定期清洁，保持完好、干净整洁、无明显浮灰、污迹。</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设置建筑垃圾收集点，做到有序堆放，无明显堆积，无抛洒散落。</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垃圾分类房内是否干净整洁，无堆放，无私拉乱接。垃圾桶表面整洁干净，标识清晰。垃圾分类点位周边是否有大量乱丢垃圾（3袋以上）</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小区其他公共场所、设施保持干净、整洁、无浮灰、污迹、无乱张贴、乱涂写。</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根据当地实际情况定期对公共部位进行清洁和灭虫除害，并有记录。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不符合0，无记录0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根据季节定期清扫露台天沟，疏通落水管，确保畅通无堵塞，并有台账记录。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负责河道内垃圾、漂浮物、水生植物、每日清理两岸河坡上的生活垃圾、建筑垃圾清理工作，并对漂浮物阻拦设施进行日常维护管理，做到垃圾日产日清，并按要求堆放至指定地点。</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发现一处扣0.5分</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绿化养护管理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有专业人员实施绿化养护管理，植物成活率在90%以上，做好养护管理记录台账。</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无专业人员0，成活率90%以下0，记录不齐，</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无记录0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草坪生长良好，及时修剪和补栽补种，无杂草、杂物。</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auto"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花卉、绿篱、树木应根据其品种和生长情况及时修剪整形和补栽补种，保持观赏效果。</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八</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宣传管理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创造条件、积极配合、支持参与社区文明建设，开展有意义、健康向上的小区文化活动。</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合理设置、规范管理小区公示牌、告示栏、宣传栏等宣传设施，根据需要及时更换宣传内容。</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符合1，基本符合0.5，</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对小区乱搭建及时制止，并要求居民限期内拆除、乱堆放、乱牵挂、乱晾晒及时清理，对小区内乱设摊和乱设店棚及时制止清理。</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发现一项不符合扣0.5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九</w:t>
                  </w:r>
                  <w:r/>
                </w:p>
              </w:tc>
              <w:tc>
                <w:tcPr>
                  <w:tcBorders>
                    <w:top w:val="single" w:color="000000" w:sz="4" w:space="0"/>
                    <w:left w:val="single" w:color="000000" w:sz="4" w:space="0"/>
                    <w:bottom w:val="single" w:color="000000" w:sz="4" w:space="0"/>
                    <w:right w:val="single" w:color="000000" w:sz="4" w:space="0"/>
                  </w:tcBorders>
                  <w:tcW w:w="289" w:type="pct"/>
                  <w:vAlign w:val="center"/>
                  <w:vMerge w:val="restart"/>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收费管理</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按标准合理收取物业管理费、车辆停车费，按规定按时结算上报并做好台账。</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w:t>
                  </w:r>
                  <w:r/>
                </w:p>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auto" w:sz="4" w:space="0"/>
                    <w:right w:val="single" w:color="000000" w:sz="4" w:space="0"/>
                  </w:tcBorders>
                  <w:tcW w:w="204"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289" w:type="pct"/>
                  <w:vAlign w:val="center"/>
                  <w:vMerge w:val="continue"/>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因小区管理需要使用小区场地、房屋、公共设施等进行收费项目，须提前将方案上报街道建设和生态环境办公室（物业管理），经批准同意后方可实施。</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645" w:right="-105" w:hanging="63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符合2，基本符合1，    不符合0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十</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长效管理（3）</w:t>
                  </w:r>
                  <w:r/>
                </w:p>
              </w:tc>
              <w:tc>
                <w:tcPr>
                  <w:tcBorders>
                    <w:top w:val="single" w:color="000000" w:sz="4" w:space="0"/>
                    <w:left w:val="single" w:color="000000" w:sz="4" w:space="0"/>
                    <w:bottom w:val="single" w:color="000000" w:sz="4" w:space="0"/>
                    <w:right w:val="single" w:color="000000" w:sz="4" w:space="0"/>
                  </w:tcBorders>
                  <w:tcW w:w="2721" w:type="pct"/>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街道市容环境长效管理检查考核中，考核得分低于85分的。接到12345投诉工单。</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出现一次低于85分扣1.5分，连续两次扣3分</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105" w:right="-105"/>
                    <w:jc w:val="cente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tc>
            </w:tr>
          </w:tbl>
          <w:p>
            <w:pPr>
              <w:jc w:val="left"/>
              <w:spacing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bidi="ar"/>
                <w14:textFill>
                  <w14:solidFill>
                    <w14:schemeClr w14:val="tx1"/>
                  </w14:solidFill>
                </w14:textFill>
              </w:rPr>
              <w:t xml:space="preserve">注：该表由物业管理考核领导小组填写</w:t>
            </w:r>
            <w:r/>
          </w:p>
        </w:tc>
      </w:tr>
    </w:tbl>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此评分标准以100分为满分，按月度进行考核，连续2次考核得分低于70分为考核不合格，采购人有权终止合同</w:t>
      </w:r>
      <w:r/>
    </w:p>
    <w:p>
      <w:pPr>
        <w:pStyle w:val="1388"/>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pStyle w:val="1388"/>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sectPr>
          <w:footerReference w:type="default" r:id="rId25"/>
          <w:footnotePr/>
          <w:endnotePr/>
          <w:type w:val="nextPage"/>
          <w:pgSz w:w="16839" w:h="11907" w:orient="landscape"/>
          <w:pgMar w:top="1440" w:right="1080" w:bottom="1440" w:left="1080" w:header="0" w:footer="919" w:gutter="0"/>
          <w:cols w:num="1" w:sep="0" w:space="720" w:equalWidth="1"/>
          <w:docGrid w:linePitch="360"/>
        </w:sect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01" w:name="_Toc803"/>
      <w:r/>
      <w:bookmarkStart w:id="102" w:name="_Toc15753"/>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7.需要说明的其他事项</w:t>
      </w:r>
      <w:bookmarkEnd w:id="101"/>
      <w:r/>
      <w:bookmarkEnd w:id="102"/>
      <w:r/>
      <w:r/>
    </w:p>
    <w:p>
      <w:pPr>
        <w:ind w:firstLine="480"/>
        <w:spacing w:line="360" w:lineRule="auto"/>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报价说明：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除非本招标文件或补充通知另有规定，招标范围按本招标文件规定。投标价格应为物业管理过程中的全部费用（包括招标文件所列出的服务管理项目的管理酬金、易耗材料费用、设施、公厕内所有消耗品、设备养护费用、人员工资福利、办公行政费用、物业公共部位、公用设施设备及公众责任保险费、税金费用等）。</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投标人报价应充分考虑涨价因素，在合同执行中不再更改或调整价格。所有根据合同或其他原因，应由投标人支付的所有税收和其他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ind w:firstLine="480"/>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物业管理收费的收费标准由投标单位参考无锡本地物业管理收费水平，根据本项目的规模、品质及周边环境等因素，测算物业管理财务收支情况，并提供劳务费用、清洁卫生材料费用、设施、设备维护费用预算清单。</w:t>
      </w:r>
      <w:r/>
    </w:p>
    <w:p>
      <w:pPr>
        <w:ind w:firstLine="480"/>
        <w:spacing w:line="360" w:lineRule="auto"/>
        <w:tabs>
          <w:tab w:val="left" w:pos="1050"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5.管理人员、保洁人员、保安人员、必须不少于最高限价分项表备注中的人员数，在物业管理期内需按规定缴纳社会保险，并符合《中华人民共和国劳动法》相关规定。</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投标人报价应充分考虑物业管理区域内的公共秩序、各项安全防范工作，在区域内发生一切安全事故及各类非保修维护期内损坏物品均应考虑在内，投标人应考虑缴纳物业公共部位、公用设施设备及公众责任保险费的理赔额度，自行报价至投标报价中。</w:t>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03" w:name="_Toc7230"/>
      <w:r/>
      <w:bookmarkStart w:id="104" w:name="_Toc6316"/>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7.1 零星维修材料费用</w:t>
      </w:r>
      <w:bookmarkEnd w:id="103"/>
      <w:r/>
      <w:bookmarkEnd w:id="104"/>
      <w:r/>
      <w:r/>
    </w:p>
    <w:p>
      <w:pPr>
        <w:pStyle w:val="1368"/>
        <w:ind w:left="21" w:right="87" w:firstLine="412"/>
        <w:spacing w:before="6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þ涉及以下情形的，相关费用包含在物业管理服务采购合同金额之内，由供应商承担：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单个维修维保项目在1000元（含）以下的费用由供应商自行承担并支付；因消防、技防监控、泵房、风机、潜水泵、电力设施、智能化道闸系统等设施设备维修保养不当而造成的维修费用，由中标供应商自行承担并支付</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（明确涉及的零星维修材料以及关于费用方面的规定）。</w:t>
      </w:r>
      <w:r/>
    </w:p>
    <w:p>
      <w:pPr>
        <w:pStyle w:val="1368"/>
        <w:ind w:firstLine="604"/>
        <w:spacing w:before="8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þ涉及以下情形的，由采购人承担：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单个维修维保项目在1000元以上的费用（因消防、技防监控、泵房、风机、潜水泵、电力设施、智能化道闸系统等设施设备维修保养不当而造成的维修费用，由中标供应商自行承担并支付）由中标供应商提出申请，经街道及相关职能部门审批同意后，由采购人承担并支付</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（明确涉及的零星维修材料以及关于费用方面的规定） 。</w:t>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05" w:name="_Toc9550"/>
      <w:r/>
      <w:bookmarkStart w:id="106" w:name="_Toc4213"/>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7.2 低值易耗品费用</w:t>
      </w:r>
      <w:bookmarkEnd w:id="105"/>
      <w:r/>
      <w:bookmarkEnd w:id="106"/>
      <w:r/>
      <w:r/>
    </w:p>
    <w:p>
      <w:pPr>
        <w:pStyle w:val="1368"/>
        <w:ind w:left="4" w:right="77" w:firstLine="428"/>
        <w:spacing w:before="6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00"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pic:cNvPicPr>
                          <a:picLocks noChangeAspect="1"/>
                        </pic:cNvPicPr>
                        <pic:nvPr/>
                      </pic:nvPicPr>
                      <pic:blipFill>
                        <a:blip r:embed="rId3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5pt;height:7.5pt;mso-wrap-distance-left:0.0pt;mso-wrap-distance-top:0.0pt;mso-wrap-distance-right:0.0pt;mso-wrap-distance-bottom:0.0pt;" stroked="f">
                <v:path textboxrect="0,0,0,0"/>
                <v:imagedata r:id="rId32"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涉及以下情形的，相关费用包含在物业管理服务采购合同金额之内，由供应商承担：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（明确涉及的环境维护、绿化养护等服务中需 要的低值易耗品以及关于费用方面的规定）。</w:t>
      </w:r>
      <w:r/>
    </w:p>
    <w:p>
      <w:pPr>
        <w:pStyle w:val="1368"/>
        <w:ind w:left="433"/>
        <w:spacing w:before="87"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01"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9"/>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涉及以下情形的，由采购人承担：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（明确涉及的环境维护、绿化养护等服务中需要的低值易耗品以及关于费用方面的规定） 。</w:t>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07" w:name="_Toc746"/>
      <w:r/>
      <w:bookmarkStart w:id="108" w:name="_Toc32503"/>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7.3 苗木费用</w:t>
      </w:r>
      <w:bookmarkEnd w:id="107"/>
      <w:r/>
      <w:bookmarkEnd w:id="108"/>
      <w:r/>
      <w:r/>
    </w:p>
    <w:p>
      <w:pPr>
        <w:pStyle w:val="1368"/>
        <w:ind w:left="433"/>
        <w:spacing w:before="6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02"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0"/>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涉及以下情形的， 相关费用包含在物业管理服务采购合同金额之内， 由供应商承担：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（明确涉及的苗木以及关于费用方面的规定）。 </w:t>
      </w: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03"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1"/>
                        <pic:cNvPicPr>
                          <a:picLocks noChangeAspect="1"/>
                        </pic:cNvPicPr>
                        <pic:nvPr/>
                      </pic:nvPicPr>
                      <pic:blipFill>
                        <a:blip r:embed="rId3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5pt;height:7.5pt;mso-wrap-distance-left:0.0pt;mso-wrap-distance-top:0.0pt;mso-wrap-distance-right:0.0pt;mso-wrap-distance-bottom:0.0pt;" stroked="f">
                <v:path textboxrect="0,0,0,0"/>
                <v:imagedata r:id="rId31"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涉及以下情形的，由采购人承担：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（明确涉及的苗木以及关于费用方面的规定）。</w:t>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09" w:name="_Toc9788"/>
      <w:r/>
      <w:bookmarkStart w:id="110" w:name="_Toc21808"/>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7.4 客耗品费用</w:t>
      </w:r>
      <w:bookmarkEnd w:id="109"/>
      <w:r/>
      <w:bookmarkEnd w:id="110"/>
      <w:r/>
      <w:r/>
    </w:p>
    <w:p>
      <w:pPr>
        <w:pStyle w:val="1368"/>
        <w:ind w:left="433"/>
        <w:spacing w:before="6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04"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2"/>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涉及以下情形的，相关费用包含在物业管理服务采购合同金额之内， 由供应商承担：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（明确涉及的客耗品以及关于费用方面的规定）。 </w:t>
      </w:r>
      <w:r>
        <w:rPr>
          <w:rFonts w:hint="eastAsia" w:asciiTheme="minorEastAsia" w:hAnsiTheme="minorEastAsia" w:eastAsiaTheme="minorEastAsia" w:cstheme="minorEastAsia"/>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5250" cy="95250"/>
                <wp:effectExtent l="0" t="0" r="0" b="0"/>
                <wp:docPr id="105"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3"/>
                        <pic:cNvPicPr>
                          <a:picLocks noChangeAspect="1"/>
                        </pic:cNvPicPr>
                        <pic:nvPr/>
                      </pic:nvPicPr>
                      <pic:blipFill>
                        <a:blip r:embed="rId3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5pt;height:7.5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涉及以下情形的，由采购人承担：</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（明确涉及的客耗品以及关于费用方面的规定） 。</w:t>
      </w:r>
      <w:r/>
    </w:p>
    <w:p>
      <w:pPr>
        <w:ind w:right="78" w:firstLine="434"/>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注：本款涉及的零星维修材料、低值易耗品、苗木、客耗品等费用，不论是由供应商，还是采购人承担，涉及的相关服务由供应商承担，服务费用包含 在物业服务项目合同金额之内。</w:t>
      </w:r>
      <w:r/>
    </w:p>
    <w:p>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422"/>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11" w:name="_Toc15070"/>
      <w:r/>
      <w:bookmarkStart w:id="112" w:name="_Toc23712"/>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8.采购项目需落实的政府采购政策</w:t>
      </w:r>
      <w:bookmarkEnd w:id="111"/>
      <w:r/>
      <w:bookmarkEnd w:id="112"/>
      <w:r/>
      <w:r/>
    </w:p>
    <w:p>
      <w:pPr>
        <w:pStyle w:val="1368"/>
        <w:ind w:left="423"/>
        <w:spacing w:before="6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采购人应当落实政府采购政策， 包括但不限于促进中小企业发展、促进残疾人就业、政府绿色采购政策等。</w:t>
      </w:r>
      <w:r/>
    </w:p>
    <w:p>
      <w:pPr>
        <w:pStyle w:val="1368"/>
        <w:ind w:left="423"/>
        <w:spacing w:before="69"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422"/>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13" w:name="_Toc6652"/>
      <w:r/>
      <w:bookmarkStart w:id="114" w:name="_Toc10265"/>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物业交接工作</w:t>
      </w:r>
      <w:bookmarkEnd w:id="113"/>
      <w:r/>
      <w:bookmarkEnd w:id="114"/>
      <w:r/>
      <w:r/>
    </w:p>
    <w:p>
      <w:pPr>
        <w:ind w:right="78" w:firstLine="434"/>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在物业管理区域的交接过程中，中标供应商前期须做好详尽摸排调研，与前序物业单位列清交接遗留问题清单，并由采购人沟通前序物业完善处理及维修。</w:t>
      </w:r>
      <w:r/>
    </w:p>
    <w:p>
      <w:pPr>
        <w:ind w:right="78" w:firstLine="434"/>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contextualSpacing/>
        <w:ind w:left="420"/>
        <w:spacing w:before="91"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bookmarkStart w:id="115" w:name="_Toc16309"/>
      <w:r/>
      <w:bookmarkStart w:id="116" w:name="_Toc15247"/>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考核办法</w:t>
      </w:r>
      <w:bookmarkEnd w:id="115"/>
      <w:r/>
      <w:bookmarkEnd w:id="116"/>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为加强东北塘安置房小区物业管理服务工作，规范市场化作业单位工作质量监督考核工作，明确考核模式，现结合东北塘安置房小区物业管理实际，制定本考核办法。</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10.1 考核目的</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以营造整洁优美、和谐有序的人居环境为目标，进一步规范各市场化作业项目管理监管体系，提高物业管理水平，建立适应东北塘街道发展的长效管理模式，实现物业管理市场化运作的高标准、高效率、高质量。</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10.2 考核范围</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招标文件约定的管理范围</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10.3 考核方式</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采取日常巡查、随机抽查、集中检查等方法进行考核。检查情况作为市场化作业项目考核结算费用的依据。</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10.3.1 随机抽查：由建设和生态环境办公室（物业管理）对项目日常工作情况进行不定期抽查。根据检查中发现的问题严重程度，可以以现场告知、整改通知书、扣款通知单等方式通知中标单位进行整改。扣款通知单扣款额度为项目月度承包费用（5‰~5%）/次，扣款通知单作为市场化作业项目每季度承包费用支付时的扣款依据。</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10.3.2 集中检查：由社区居委（50%）、建设和生态环境办公室（物业管理）（50%）组织实施，对照作业标准对项目进行全面检查（市场化作业单位参加）。在现场检查的同时，着重对项目所涉及的人员到岗及公司内部考核、人员配备及小区内的环境卫生和秩序，绿化养护，设施设备养护检修，安全管理及隐患自检整改，投诉回复、重点工作推进、水电能耗管理、建立考核迎检等各类台账检查。检查情况作为月度考核评分依据。</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10.4 结算支付</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10.4.1 考核评分。</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实行100分制，当月度考核得分超过90分（含），不扣当月作业费用；得分低于90分且高于85分（含），每低1分扣当月作业经费的0.8%；当月考核得分低于85分且高于80分（含）的，每低1分扣当月作业经费的1.2%；当月考核得分低于80分，每低1分扣当月作业经费的1.8%。</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10.4.2 结算支付。采购人职能处室根据合同条款，扣除月度考核评分扣款费用和扣款单费用后，结算申请支付。如遇支付合同最后一笔承包费用时，要求市场化作业单位根据招投标文件和合同履约到位（含台账资料移交、项目交接等内容）后方可支付费用，否则不予支付。</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10.5 终止合同</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10.5.1 一个合同期内累计2个月月度考核得分低于70分时终止合同。项目运营过程中发生安全事故（造成人员死亡或100万元以上直接经济损失），且中标供应商承担主要及以上责任的，终止合同；项目运营过程中发生安全事故（未造成人员死亡，且100万元以下直接经济损失），且物业承担主要及以上责任的，当月月度考核0分。</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10.5.2 因管理服务不到位，出现较大安全事故，造成社会影响的；</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10.5.3 项目转包或分包情况的，采购人有权依照法律程序解除合同。</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10.6 退出流程</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10.6.1 退出方式。由采购人与中标供应商进行协商解约；如协商未果，则由项目所在地法院调解/仲裁/诉讼解约。</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10.6.2 临时管理。项目启动退出程序后（终止合同），采购人可委托在东北塘街道提供同类项目服务作业单位（考评得分高者）进行临时管理。如无同类项目或同类项目服务单位不愿意，采购人可按项目公开招标时的投标得分排名顺序，邀请原投标单位进行项目临时管理。如项目招标时所有投标单位均无意愿进行临时管理，采购人可委托在锡山区范围内同类项目作业单位（合同服务期内）进行临时管理。临时管理时间自项目终止时起至项目新一轮招标完成之日，费用按项目新中标供应商进行结算支付。</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10.6.3 重新招标。将双方解约协议或法院的判决书报送无锡市锡山区政府采购管理办公室后，再按相关流程实施项目新一轮招标。</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10.7 采购人有权根据实施情况对本考核办法及考核标准及时作出修改，中标供应商需无条件执行。</w:t>
      </w:r>
      <w:r/>
    </w:p>
    <w:p>
      <w:pPr>
        <w:contextualSpacing/>
        <w:ind w:right="79" w:firstLine="437"/>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r>
      <w:r/>
    </w:p>
    <w:p>
      <w:pPr>
        <w:ind w:left="422"/>
        <w:spacing w:before="91"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outlineLvl w:val="0"/>
      </w:pPr>
      <w:r/>
      <w:bookmarkStart w:id="117" w:name="_Toc30950"/>
      <w:r/>
      <w:bookmarkStart w:id="118" w:name="_Toc3024"/>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11. 其他</w:t>
      </w:r>
      <w:bookmarkEnd w:id="117"/>
      <w:r/>
      <w:bookmarkEnd w:id="118"/>
      <w:r/>
      <w:r/>
    </w:p>
    <w:p>
      <w:pPr>
        <w:ind w:right="78" w:firstLine="434"/>
        <w:spacing w:before="88"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法律法规、政策及合同规定的其他事项，以及采购人要求协助配合的工作。</w:t>
      </w:r>
      <w:r/>
    </w:p>
    <w:p>
      <w:pPr>
        <w:contextualSpacing/>
        <w:ind w:left="422"/>
        <w:spacing w:before="91"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outlineLvl w:val="0"/>
      </w:pPr>
      <w:r/>
      <w:bookmarkStart w:id="119" w:name="_Toc13176"/>
      <w:r/>
      <w:bookmarkStart w:id="120" w:name="_Toc30289"/>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12. 其他有关说明</w:t>
      </w:r>
      <w:bookmarkEnd w:id="119"/>
      <w:r/>
      <w:bookmarkEnd w:id="120"/>
      <w:r/>
      <w:r/>
    </w:p>
    <w:p>
      <w:pPr>
        <w:contextualSpacing/>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12.1 投标报价应包括为完成招标文件规定的全部物业管理工作，在服务期内所涉及的一切相关费用。供应商报价时应充分考虑服务期内所有可能影响到报价的因素，包括工资标准（符合劳动法）及社保基数的政策性调整；一旦中标，总价包干，合同价不予调整。所有根据合同或其他原因，应由中标供应商支付的所有税收和其他费用，须根据投标时国家及有关部门规定的费用以及其他有关资料进行计算，并列入供应商呈报的总价金额中。本合同实施过程中，中标供应商由于投标过程的失误，造成的漏项，不允许再补列，采购人不承担任何经济责任。</w:t>
      </w:r>
      <w:r/>
    </w:p>
    <w:p>
      <w:pPr>
        <w:contextualSpacing/>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12.2单个维修维保项目在1000元（含）以下的费用由中标供应商自行承担并支付；单个维修维保项目在1000元以上的费用（因消防、技防监控、泵房、风机、潜水泵、电力设施、智能化道闸系统等设施设备维修保养不当而造成的维修费用，由中标供应商自行承担并支付）由中标供应商提出申请，经街道及相关职能部门审批同意后，由东北塘街道办事处承担并支付。不得将多个维修项目合并为一个以增加费用。</w:t>
      </w:r>
      <w:r/>
    </w:p>
    <w:p>
      <w:pPr>
        <w:contextualSpacing/>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12.3物业管理过程中涉及的公共能耗包括公共区域范围内的电耗和水耗等全部费用，由中标供应商承担并支付，采购人不另行支付。</w:t>
      </w:r>
      <w:r/>
    </w:p>
    <w:p>
      <w:pPr>
        <w:contextualSpacing/>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12.4停车费、非拆迁安置户的物业管理费由中标供应商负责收取，具体参照东北塘街道安置房小区物业管理工作实施办法（东办发〔2021〕11号）执行。如涉及其他经营性收益具体参照东北塘街道安置房小区物业管理工作实施办法（东办发〔2021〕11号）执行。</w:t>
      </w:r>
      <w:r/>
    </w:p>
    <w:p>
      <w:pPr>
        <w:contextualSpacing/>
        <w:ind w:firstLine="480"/>
        <w:spacing w:line="360" w:lineRule="auto"/>
        <w:tabs>
          <w:tab w:val="left" w:pos="94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12.5中标供应商应按照相关规定，与所聘用人员依法签订劳动合同并依法缴纳社会保险费（如无法缴纳社会保险费的，则须为聘用人员缴纳工伤保险费）。服务人员的工资须符合国家、省、市的相关规定。</w:t>
      </w:r>
      <w:r/>
    </w:p>
    <w:p>
      <w:pPr>
        <w:ind w:firstLine="501"/>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12.6 物业管理职责中未涉及的以《无锡市普通住宅物业服务等级（试行）三级服务标准》及采购人相关标准文件为准。   </w:t>
      </w:r>
      <w:r/>
    </w:p>
    <w:p>
      <w:pPr>
        <w:ind w:firstLine="501"/>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12.7供应商不得将其应当提供的全部物业服务分包给第三人，或者将全部物业服务支解后分包给第三人。一经发现有项目转包或分包情况的，采购</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有权依照法律程序解除合同，并追究中标供应商的违约责任。专业维保单项需分包给第三方必须征得采购人同意。</w:t>
      </w:r>
      <w:r/>
    </w:p>
    <w:p>
      <w:pPr>
        <w:contextualSpacing/>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12.8 自主开展物业管理活动的，供应商必须向所在社区进行报备，取得同意后才能进行活动，但不得损害采购人所属权益。</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12.9本次项目物业管理执行《中华人民共和国政府采购法》《物业管理条例》《江苏省物业管理条例》等法律法规，供应商要严格履行投标文件的承诺和物业管理合同的约定，接受业主管理部门对物业管理日常工作的监督和考核管理，如发现管理达不到约定要求，供应商管理服务水平下降、投诉多等现象，或供应商管理中发生重大管理失误的，将依照法律程序按规定处理。</w:t>
      </w:r>
      <w:r/>
    </w:p>
    <w:p>
      <w:pPr>
        <w:contextualSpacing/>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12.10供应商要根据安置小区特点，针对性地提出管理理念、方法、措施，要有针对性、可操作性，如违章搭建、房屋渗漏处理、保洁、破墙开店、养宠物、接待和值守、安全防范、便民人性化服务等。</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12.11对于消防、技防监控、泵房、风机、潜水泵、电力设施、智能化道闸系统等特种设施设备，供应商按照规范流程选聘的维保单位必须具备国家认可的相应资质证书、营业执照、技术等级，并且符合相关要求及规定，并必须到所属社区和街道建设和生态环境办公室（物业管理）备案登记。上述设备的维保、年检、保险等费用都包含在本次物业管理服务报价中，供应商需负责以上系统日常的清洁维护保养和使用管理，并对专业公司的维护情况进行监督检查及协调等。</w:t>
      </w:r>
      <w:r/>
    </w:p>
    <w:p>
      <w:pPr>
        <w:numPr>
          <w:ilvl w:val="1"/>
          <w:numId w:val="0"/>
        </w:numPr>
        <w:ind w:firstLine="482"/>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12.12本项目不包含锦旺二期消防维保、电梯等服务内容，锦旺一期，锦旺三期消防维保仍在本次服务范围内。</w:t>
      </w:r>
      <w:r/>
    </w:p>
    <w:p>
      <w:pPr>
        <w:ind w:firstLine="482"/>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12.13 本项目的部分物业管理用房由采购人提供，具体以现场实际情况及采购人安排为准。</w:t>
      </w:r>
      <w:r/>
    </w:p>
    <w:p>
      <w:pPr>
        <w:ind w:firstLine="482"/>
        <w:jc w:val="left"/>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12.14 凡涉及采购文件的补充说明和修改，均以无锡市公共资源交易中心政府采购专栏、无锡政府采购网和江苏政府采购网上发布的通知为准。</w:t>
      </w:r>
      <w:r/>
    </w:p>
    <w:p>
      <w:pPr>
        <w:ind w:firstLine="482"/>
        <w:spacing w:line="360" w:lineRule="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12.15在完全满足采购需求的基础上，若采购需求中，明确要求提供相关证明材料的，必须按要求提供，未提供的视为负偏离，作为无效投标文件处理。未明确提供相关证明材料的，由供应商根据自身情况提供材料。</w:t>
      </w:r>
      <w:r/>
    </w:p>
    <w:p>
      <w:pPr>
        <w:spacing w:line="29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numPr>
          <w:ilvl w:val="0"/>
          <w:numId w:val="2"/>
        </w:numPr>
        <w:ind w:firstLine="723"/>
        <w:jc w:val="both"/>
        <w:spacing w:before="91" w:line="240" w:lineRule="auto"/>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b/>
          <w:bCs/>
          <w:color w:val="000000"/>
          <w:sz w:val="24"/>
          <w:szCs w:val="24"/>
          <w:highlight w:val="none"/>
          <w:lang w:eastAsia="zh-CN"/>
        </w:rPr>
        <w:t xml:space="preserve">履约保证金：本项目收取履约保证金，按中标价的10%向采购人缴纳履约保证金。</w:t>
      </w:r>
      <w:r/>
    </w:p>
    <w:p>
      <w:pPr>
        <w:pStyle w:val="1362"/>
        <w:rPr>
          <w:rFonts w:hint="eastAsia" w:asciiTheme="minorEastAsia" w:hAnsiTheme="minorEastAsia" w:eastAsiaTheme="minorEastAsia" w:cstheme="minorEastAsia"/>
          <w:color w:val="000000" w:themeColor="text1"/>
          <w14:textFill>
            <w14:solidFill>
              <w14:schemeClr w14:val="tx1"/>
            </w14:solidFill>
          </w14:textFill>
        </w:rPr>
        <w:sectPr>
          <w:footerReference w:type="default" r:id="rId26"/>
          <w:footnotePr/>
          <w:endnotePr/>
          <w:type w:val="nextPage"/>
          <w:pgSz w:w="16839" w:h="11907" w:orient="landscape"/>
          <w:pgMar w:top="1012" w:right="1130" w:bottom="1133" w:left="1135" w:header="0" w:footer="919" w:gutter="0"/>
          <w:cols w:num="1" w:sep="0" w:space="720" w:equalWidth="1"/>
          <w:docGrid w:linePitch="360"/>
        </w:sectPr>
      </w:pPr>
      <w:r>
        <w:rPr>
          <w:rFonts w:hint="eastAsia" w:asciiTheme="minorEastAsia" w:hAnsiTheme="minorEastAsia" w:eastAsiaTheme="minorEastAsia" w:cstheme="minorEastAsia"/>
          <w:color w:val="000000" w:themeColor="text1"/>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
          <w:bCs/>
          <w:color w:val="000000" w:themeColor="text1"/>
          <w:sz w:val="30"/>
          <w:szCs w:val="30"/>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Theme="minorEastAsia" w:hAnsiTheme="minorEastAsia" w:eastAsiaTheme="minorEastAsia" w:cstheme="minorEastAsia"/>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Theme="minorEastAsia" w:hAnsiTheme="minorEastAsia" w:eastAsiaTheme="minorEastAsia" w:cstheme="minorEastAsia"/>
          <w:b/>
          <w:color w:val="000000" w:themeColor="text1"/>
          <w:sz w:val="32"/>
          <w:szCs w:val="3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lang w:val="e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lang w:val="e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lang w:val="e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
          <w14:textFill>
            <w14:solidFill>
              <w14:schemeClr w14:val="tx1"/>
            </w14:solidFill>
          </w14:textFill>
        </w:rPr>
      </w:r>
      <w:bookmarkEnd w:id="70"/>
      <w:r/>
      <w:r/>
    </w:p>
    <w:p>
      <w:pPr>
        <w:numPr>
          <w:ilvl w:val="0"/>
          <w:numId w:val="0"/>
        </w:numPr>
        <w:jc w:val="center"/>
        <w:spacing w:line="360" w:lineRule="auto"/>
        <w:rPr>
          <w:rFonts w:hint="eastAsia" w:asciiTheme="minorEastAsia" w:hAnsiTheme="minorEastAsia" w:eastAsiaTheme="minorEastAsia" w:cstheme="minorEastAsia"/>
          <w:b/>
          <w:color w:val="000000" w:themeColor="text1"/>
          <w:sz w:val="36"/>
          <w:szCs w:val="36"/>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Theme="minorEastAsia" w:hAnsiTheme="minorEastAsia" w:eastAsiaTheme="minorEastAsia" w:cstheme="minorEastAsia"/>
          <w:b/>
          <w:color w:val="000000" w:themeColor="text1"/>
          <w:sz w:val="36"/>
          <w:szCs w:val="36"/>
          <w:highlight w:val="none"/>
          <w:shd w:val="clear" w:color="auto" w:fill="auto"/>
          <w14:textFill>
            <w14:solidFill>
              <w14:schemeClr w14:val="tx1"/>
            </w14:solidFill>
          </w14:textFill>
        </w:rPr>
        <w:t xml:space="preserve">合同书</w:t>
      </w:r>
      <w:r>
        <w:rPr>
          <w:rFonts w:hint="eastAsia" w:asciiTheme="minorEastAsia" w:hAnsiTheme="minorEastAsia" w:eastAsiaTheme="minorEastAsia" w:cstheme="minorEastAsia"/>
          <w:b/>
          <w:color w:val="000000" w:themeColor="text1"/>
          <w:sz w:val="36"/>
          <w:szCs w:val="36"/>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36"/>
          <w:szCs w:val="36"/>
          <w:highlight w:val="none"/>
          <w:shd w:val="clear" w:color="auto" w:fill="auto"/>
          <w14:textFill>
            <w14:solidFill>
              <w14:schemeClr w14:val="tx1"/>
            </w14:solidFill>
          </w14:textFill>
        </w:rPr>
        <w:t xml:space="preserve">格式</w:t>
      </w:r>
      <w:r>
        <w:rPr>
          <w:rFonts w:hint="eastAsia" w:asciiTheme="minorEastAsia" w:hAnsiTheme="minorEastAsia" w:eastAsiaTheme="minorEastAsia" w:cstheme="minorEastAsia"/>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JSZC-320205-JZCG-G2026-0041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u w:val="singl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甲方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shd w:val="clear" w:color="auto" w:fill="auto"/>
          <w:lang w:eastAsia="zh-CN"/>
          <w14:textFill>
            <w14:solidFill>
              <w14:schemeClr w14:val="tx1"/>
            </w14:solidFill>
          </w14:textFill>
        </w:rPr>
        <w:t xml:space="preserve">无锡市锡山区人民政府东北塘街道办事处</w:t>
      </w:r>
      <w:r>
        <w:rPr>
          <w:rFonts w:hint="eastAsia" w:asciiTheme="minorEastAsia" w:hAnsiTheme="minorEastAsia" w:eastAsiaTheme="minorEastAsia" w:cstheme="minorEastAsia"/>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乙方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中标方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numPr>
          <w:ilvl w:val="0"/>
          <w:numId w:val="3"/>
        </w:num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政府采购编号：</w:t>
      </w:r>
      <w:r>
        <w:rPr>
          <w:rFonts w:hint="eastAsia" w:asciiTheme="minorEastAsia" w:hAnsiTheme="minorEastAsia" w:eastAsiaTheme="minorEastAsia" w:cstheme="minorEastAsia"/>
          <w:bCs/>
          <w:color w:val="000000" w:themeColor="text1"/>
          <w:sz w:val="24"/>
          <w:szCs w:val="24"/>
          <w:highlight w:val="none"/>
          <w:u w:val="single"/>
          <w:shd w:val="clear" w:color="auto" w:fill="auto"/>
          <w:lang w:eastAsia="zh-CN"/>
          <w14:textFill>
            <w14:solidFill>
              <w14:schemeClr w14:val="tx1"/>
            </w14:solidFill>
          </w14:textFill>
        </w:rPr>
        <w:t xml:space="preserve">JSZC-320205-JZCG-G2026-0041</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二、采购内容：</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锦旺新村和老旧小区2026—2027年度物业管理服务项目</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大写</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；人民币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小写</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五、</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u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合同签订生效后</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一年。</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40"/>
        <w:spacing w:line="287" w:lineRule="auto"/>
        <w:rPr>
          <w:rFonts w:hint="eastAsia" w:asciiTheme="minorEastAsia" w:hAnsiTheme="minorEastAsia" w:eastAsiaTheme="minorEastAsia" w:cstheme="minorEastAsia"/>
          <w:bCs/>
          <w:color w:val="000000" w:themeColor="text1"/>
          <w:sz w:val="24"/>
          <w:szCs w:val="24"/>
          <w:highlight w:val="none"/>
          <w:u w:val="singl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物业管理服务费的具体支付金额根据考核情况（按照《物业管理考核表》按月考核）确定。物业管理服务费每季度结算支付1次，结算金额为全年合同额平均到每个季度。每次付款前中标供应商需提供相应金额的税票</w:t>
      </w:r>
      <w:r>
        <w:rPr>
          <w:rFonts w:hint="eastAsia" w:asciiTheme="minorEastAsia" w:hAnsiTheme="minorEastAsia" w:eastAsiaTheme="minorEastAsia" w:cstheme="minorEastAsia"/>
          <w:bCs/>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采购人原则上应当自收到发票后10个工作日内将资金支付到合同约定的供应商账户</w:t>
      </w:r>
      <w:r>
        <w:rPr>
          <w:rFonts w:hint="eastAsia" w:asciiTheme="minorEastAsia" w:hAnsiTheme="minorEastAsia" w:eastAsiaTheme="minorEastAsia" w:cstheme="minorEastAsia"/>
          <w:bCs/>
          <w:color w:val="000000" w:themeColor="text1"/>
          <w:sz w:val="24"/>
          <w:szCs w:val="24"/>
          <w:highlight w:val="none"/>
          <w:u w:val="single"/>
          <w:shd w:val="clear" w:color="auto" w:fill="auto"/>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八、违约责任：</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九、解决争议的方式：</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事项：</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份</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甲方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盖章</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乙方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中标方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盖章</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授权</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代表人：                          法定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授权</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乙方账号：</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备注：</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按供需双方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68"/>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SA"/>
          <w14:textFill>
            <w14:solidFill>
              <w14:schemeClr w14:val="tx1"/>
            </w14:solidFill>
          </w14:textFill>
        </w:rPr>
      </w:r>
      <w:r/>
    </w:p>
    <w:p>
      <w:pPr>
        <w:pStyle w:val="1388"/>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r>
      <w:r/>
    </w:p>
    <w:p>
      <w:pPr>
        <w:pStyle w:val="1372"/>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r>
      <w:r/>
    </w:p>
    <w:p>
      <w:pPr>
        <w:pStyle w:val="1372"/>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2"/>
          <w:highlight w:val="none"/>
          <w:u w:val="none"/>
          <w:shd w:val="clear" w:color="auto" w:fill="auto"/>
          <w14:textFill>
            <w14:solidFill>
              <w14:schemeClr w14:val="tx1"/>
            </w14:solidFill>
          </w14:textFill>
        </w:rPr>
      </w:r>
      <w:r/>
    </w:p>
    <w:p>
      <w:pPr>
        <w:pStyle w:val="1372"/>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pStyle w:val="1388"/>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u w:val="none"/>
          <w:shd w:val="clear" w:color="auto" w:fill="auto"/>
          <w14:textFill>
            <w14:solidFill>
              <w14:schemeClr w14:val="tx1"/>
            </w14:solidFill>
          </w14:textFill>
        </w:rPr>
      </w:r>
      <w:r/>
    </w:p>
    <w:p>
      <w:pPr>
        <w:numPr>
          <w:ilvl w:val="0"/>
          <w:numId w:val="0"/>
        </w:numPr>
        <w:jc w:val="center"/>
        <w:spacing w:line="360" w:lineRule="auto"/>
        <w:rPr>
          <w:rFonts w:hint="eastAsia" w:asciiTheme="minorEastAsia" w:hAnsiTheme="minorEastAsia" w:eastAsiaTheme="minorEastAsia" w:cstheme="minorEastAsia"/>
          <w:b/>
          <w:color w:val="000000" w:themeColor="text1"/>
          <w:sz w:val="36"/>
          <w:szCs w:val="36"/>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根据无锡市</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：JSZC-320205-JZCG-G2026-0041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就</w:t>
      </w:r>
      <w:bookmarkStart w:id="121" w:name="OLE_LINK4"/>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121"/>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锦旺新村和老旧小区2026—2027年度物业管理服务项目</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560"/>
        <w:jc w:val="left"/>
        <w:spacing w:line="360" w:lineRule="auto"/>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方将</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锦旺新村和老旧小区2026—2027年度物业管理服务项目</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委托</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方实行物业管理服务。</w:t>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1、本项目为</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锦旺新村和老旧小区2026—2027年度物业管理服务项目</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服务内容：详见附件；</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2、坐落位置：</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3、占地面积：</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二、本项目的物业管理服务委托管理期限：</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年</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w:t>
      </w:r>
      <w:r/>
    </w:p>
    <w:p>
      <w:pPr>
        <w:ind w:firstLine="523"/>
        <w:spacing w:line="360" w:lineRule="auto"/>
        <w:rPr>
          <w:rFonts w:hint="eastAsia" w:asciiTheme="minorEastAsia" w:hAnsiTheme="minorEastAsia" w:eastAsiaTheme="minorEastAsia" w:cstheme="minorEastAsia"/>
          <w:b/>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lang w:val="en-US" w:eastAsia="zh-CN"/>
          <w14:textFill>
            <w14:solidFill>
              <w14:schemeClr w14:val="tx1"/>
            </w14:solidFill>
          </w14:textFill>
        </w:rPr>
        <w:t xml:space="preserve">第二条  委托管理事项</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列入本次综合物业管理服务的范围为：环境卫生管理、绿化养护、管理维修、医疗废弃物管理、秩序及安全管理等内容等及甲方交办的其他工作。</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具体内容如下：详见采购需求</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第三条  合同总价款及物业管理服务费用的支付和使用 </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   </w:t>
      </w:r>
      <w:r/>
    </w:p>
    <w:p>
      <w:pPr>
        <w:ind w:firstLine="480"/>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合同签订后，物业管理服务费的具体支付金额根据考核情况（按照《物业管理考核表》按月考核）确定。物业管理服务费每季度结算支付1次，结算金额为全年合同额平均到每个季度。每次付款前中标供应商需提供相应金额的税票，采购人原则上应当自收到发票后10个工作日内将资金支付到合同约定的供应商账户。考核满分100分，根据考核情况支付物业管理费。实行100分制，当月度考核得分超过90分（含），不扣当月</w:t>
      </w:r>
      <w:r>
        <w:rPr>
          <w:rFonts w:hint="eastAsia" w:asciiTheme="minorEastAsia" w:hAnsiTheme="minorEastAsia" w:eastAsiaTheme="minorEastAsia" w:cstheme="minorEastAsia"/>
          <w:color w:val="auto"/>
          <w:sz w:val="24"/>
          <w:szCs w:val="24"/>
          <w:highlight w:val="none"/>
          <w:lang w:val="en-US" w:eastAsia="zh-CN"/>
        </w:rPr>
        <w:t xml:space="preserve">物业服务</w:t>
      </w:r>
      <w:r>
        <w:rPr>
          <w:rFonts w:hint="eastAsia" w:asciiTheme="minorEastAsia" w:hAnsiTheme="minorEastAsia" w:eastAsiaTheme="minorEastAsia" w:cstheme="minorEastAsia"/>
          <w:color w:val="auto"/>
          <w:sz w:val="24"/>
          <w:szCs w:val="24"/>
          <w:highlight w:val="none"/>
        </w:rPr>
        <w:t xml:space="preserve">费用；得分低于90分且高于85分（含），每低1分扣当月</w:t>
      </w:r>
      <w:r>
        <w:rPr>
          <w:rFonts w:hint="eastAsia" w:asciiTheme="minorEastAsia" w:hAnsiTheme="minorEastAsia" w:eastAsiaTheme="minorEastAsia" w:cstheme="minorEastAsia"/>
          <w:color w:val="auto"/>
          <w:sz w:val="24"/>
          <w:szCs w:val="24"/>
          <w:highlight w:val="none"/>
          <w:lang w:val="en-US" w:eastAsia="zh-CN"/>
        </w:rPr>
        <w:t xml:space="preserve">物业服务</w:t>
      </w:r>
      <w:r>
        <w:rPr>
          <w:rFonts w:hint="eastAsia" w:asciiTheme="minorEastAsia" w:hAnsiTheme="minorEastAsia" w:eastAsiaTheme="minorEastAsia" w:cstheme="minorEastAsia"/>
          <w:color w:val="auto"/>
          <w:sz w:val="24"/>
          <w:szCs w:val="24"/>
          <w:highlight w:val="none"/>
        </w:rPr>
        <w:t xml:space="preserve">经费的0.8%；当月考核得分低于85分且高于80分（含）的，每低1分扣当月</w:t>
      </w:r>
      <w:r>
        <w:rPr>
          <w:rFonts w:hint="eastAsia" w:asciiTheme="minorEastAsia" w:hAnsiTheme="minorEastAsia" w:eastAsiaTheme="minorEastAsia" w:cstheme="minorEastAsia"/>
          <w:color w:val="auto"/>
          <w:sz w:val="24"/>
          <w:szCs w:val="24"/>
          <w:highlight w:val="none"/>
          <w:lang w:val="en-US" w:eastAsia="zh-CN"/>
        </w:rPr>
        <w:t xml:space="preserve">物业服务</w:t>
      </w:r>
      <w:r>
        <w:rPr>
          <w:rFonts w:hint="eastAsia" w:asciiTheme="minorEastAsia" w:hAnsiTheme="minorEastAsia" w:eastAsiaTheme="minorEastAsia" w:cstheme="minorEastAsia"/>
          <w:color w:val="auto"/>
          <w:sz w:val="24"/>
          <w:szCs w:val="24"/>
          <w:highlight w:val="none"/>
        </w:rPr>
        <w:t xml:space="preserve">经费的1.2%；当月考核得分低于80分，每低1分扣当月作业经费的1.8%。如本合同年度累计三个月考核得分达不到</w:t>
      </w:r>
      <w:r>
        <w:rPr>
          <w:rFonts w:hint="eastAsia" w:asciiTheme="minorEastAsia" w:hAnsiTheme="minorEastAsia" w:eastAsiaTheme="minorEastAsia" w:cstheme="minorEastAsia"/>
          <w:color w:val="auto"/>
          <w:sz w:val="24"/>
          <w:szCs w:val="24"/>
          <w:highlight w:val="none"/>
          <w:lang w:val="en-US" w:eastAsia="zh-CN"/>
        </w:rPr>
        <w:t xml:space="preserve">75</w:t>
      </w:r>
      <w:r>
        <w:rPr>
          <w:rFonts w:hint="eastAsia" w:asciiTheme="minorEastAsia" w:hAnsiTheme="minorEastAsia" w:eastAsiaTheme="minorEastAsia" w:cstheme="minorEastAsia"/>
          <w:color w:val="auto"/>
          <w:sz w:val="24"/>
          <w:szCs w:val="24"/>
          <w:highlight w:val="none"/>
        </w:rPr>
        <w:t xml:space="preserve">分的，采购人有权终止合同，由此导致的任何相关经济损失及责任均由中标供应商负责与承担。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2、乙方应按本合同约定的服务内容和质量标准提供服务，盈余或亏损由乙方自行承担。</w:t>
      </w:r>
      <w:r/>
    </w:p>
    <w:p>
      <w:pPr>
        <w:ind w:firstLine="480"/>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color w:val="auto"/>
          <w:sz w:val="24"/>
          <w:szCs w:val="24"/>
          <w:highlight w:val="none"/>
        </w:rPr>
        <w:t xml:space="preserve">物业管理服务费于本合同约定的服务期限开始服务并经</w:t>
      </w:r>
      <w:r>
        <w:rPr>
          <w:rFonts w:hint="eastAsia" w:asciiTheme="minorEastAsia" w:hAnsiTheme="minorEastAsia" w:eastAsiaTheme="minorEastAsia" w:cstheme="minorEastAsia"/>
          <w:color w:val="auto"/>
          <w:sz w:val="24"/>
          <w:szCs w:val="24"/>
          <w:highlight w:val="none"/>
          <w:lang w:val="en-US" w:eastAsia="zh-CN"/>
        </w:rPr>
        <w:t xml:space="preserve">无锡市锡山区人民政府东北塘街道办事处</w:t>
      </w:r>
      <w:r>
        <w:rPr>
          <w:rFonts w:hint="eastAsia" w:asciiTheme="minorEastAsia" w:hAnsiTheme="minorEastAsia" w:eastAsiaTheme="minorEastAsia" w:cstheme="minorEastAsia"/>
          <w:color w:val="auto"/>
          <w:sz w:val="24"/>
          <w:szCs w:val="24"/>
          <w:highlight w:val="none"/>
        </w:rPr>
        <w:t xml:space="preserve">确认之日起计收。</w:t>
      </w:r>
      <w:r/>
    </w:p>
    <w:p>
      <w:pPr>
        <w:ind w:firstLine="523"/>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第四条  组成本合同的有关文件</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关于</w:t>
      </w:r>
      <w: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第五条  双方权利义务</w:t>
      </w:r>
      <w:r/>
    </w:p>
    <w:p>
      <w:pPr>
        <w:ind w:firstLine="523"/>
        <w:spacing w:line="360" w:lineRule="auto"/>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一、甲方权利义务：</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依据有关法律法规的规定，督促乙方制订本小区物业管理方面的规章制度，并协助乙方实施。与乙方协商确定物业管理方案、年度管理计划、年度维修养护计划、年度费用概预算、决算报告。监督检查乙方各项方案和计划的实施。</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2、授权乙方采取批评、规劝、警告等方式制止住户违反物业管理相关规定的行为;</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3、甲方有权聘请专业机构对物业服务资金年度预决算和物业服务资金的收支情况进行审计，专业机构由甲方选定。</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4、试用考核期为三个月，考核结果不合格，甲方有权单方面直接予以解约。</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5、一个合同期内，乙方累计2个月月度考核得分低于70分的，甲方有权单方面直接予以解约。服务期间发生安全事故(造成人员死亡或100万元以上直接经济损失</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，且乙方承担主要及以上责任的，甲方有权单方面直接予以解约。</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二、乙方权利义务：</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1、在本物业管理区域内设立独立核算的专门机构负责本物业的日常管理工作。</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2、根据</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法律法规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的有关规定和本合同的约定，自主开展各项物业管理经营活动，但不得侵害住户及他人的合法权益，不得利用提供物业管理服务的便利获取不当利益。</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3、自主开展物业管理活动，需向所在社区进行报备，但不得损害甲方所属权益。</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涉及</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收费项目的，乙方须向甲方提出申请，经甲方书面同意后方可实施。</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5、结合本小区物业的实际情况，制订物业管理方案，年度管理计划、年度维修养护计划、年度费用概预算、决算报告。</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涉及</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房屋、设施设备大中维修的，乙方编制房屋、设施设备大中维修方案后，乙方须向甲方提出申请，经甲方书面同意批准后方可实施。</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7、依照甲方授权的内容与要求，代表小区住户，维护住户的合法权益。</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8、对本小区的共用部分(含共用部位、共用设施设备</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进行年度安全检查，发现安全隐患及时上报甲方并整改。</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经甲方书面同意后，乙方可以根据物业管理服务合同的约定聘请专业公司承担设备、清洁卫生、园林绿化、工程维修等专项服务，但不得将物业管理的整体责任以承包、租赁或其他方式转让给其他单位或个人。</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10、协调处理好各类因物业管理引发的矛盾纠纷。协助维护物业管理区域公共秩序，做好安全防范工作，发生安全事故可采取应急措施，并应及时向有关部门报告，协助做好救助工作。</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11、向住户告知物业使用的有关规定，当住户装饰装修物业时，订立书面装修管理协议，告知有关注意事项和禁止行为，对违规装饰装修行为进行劝阻，劝阻无效的，应及时向有关行政主管部门报告。</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本合同终止后，应当保证账目清晰明了，资料齐全完善，按有关规定移交全部物业管理用房、物业档案资料、资金（含物业费、停车费、押金、开办费、预收款等相关资金）和物品，并办理交接手续，在甲方规定时间内完成一切交接活动（包括资金情况），并在交接期间继续提供物业管理服务。</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13、乙方的物业管理人员为乙方的员工，与乙方之间系劳动合同关系，物业管理人员的薪资、社保、疾病、非因工死亡、工伤以及在服务过程中的伤亡由乙方自行负责处理并承担费用，与甲方无涉。</w:t>
      </w:r>
      <w:r/>
    </w:p>
    <w:p>
      <w:pPr>
        <w:ind w:firstLine="523"/>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14、乙方不得将物业管理用房用于非法活动或者挪作他用。</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三、在管理过程中，因下列因素所致的损害，不论其为直接或间接，均构成对乙方的免责事由，乙方均不负赔偿之责：</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1.天灾、地震等不可抗力的事由所致的损害；</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2.暴动、持械抢劫、破坏、爆炸、火灾、刑事犯罪等违法行为等事由所致的损害，但因乙方故意或过失所致，不在此限；</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3.因本合同标的物本身固有瑕疵所致的损害；</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4.因甲方或第三者之故意、过失所致的损害；</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5.因甲方或物业使用人专有部分的火灾、盗窃等所致的损害。</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6.因乙方书面建议甲方改善或改进物业管理措施，而甲方未采纳所致的损害；</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7.因甲方或物业使用人指挥调派乙方工作人员所致的损害；</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8.本合同标的物之共用部分（含共用部位、共用设备设施）自然或人为的任何损坏。但因乙方故意或过失所致的，不在此限；</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9.除上述各款外，其它不可归责于乙方之事由的。</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四、为维护公众、甲方及物业使用人的合法利益，在不可预见情况下，如发生煤气</w:t>
      </w:r>
      <w:r>
        <w:rPr>
          <w:rFonts w:hint="eastAsia" w:asciiTheme="minorEastAsia" w:hAnsiTheme="minorEastAsia" w:eastAsiaTheme="minorEastAsia" w:cstheme="minorEastAsia"/>
          <w:bCs/>
          <w:color w:val="000000" w:themeColor="text1"/>
          <w:sz w:val="24"/>
          <w:szCs w:val="24"/>
          <w:lang w:eastAsia="zh-CN"/>
          <w14:textFill>
            <w14:solidFill>
              <w14:schemeClr w14:val="tx1"/>
            </w14:solidFill>
          </w14:textFill>
        </w:rPr>
        <w:t xml:space="preserve">泄漏</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、漏电、火灾、水管破裂、救助人命、协助公安机关执行任务等情况，乙方因采取紧急避险措施造成财产损失的，按有关法律规定处理。</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（1）甲方内部工作安排、计划调整等自身原因；</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（3）其他甲方原因。</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第六条 </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 xml:space="preserve">双方的责任</w:t>
      </w:r>
      <w:r/>
    </w:p>
    <w:p>
      <w:pPr>
        <w:ind w:firstLine="480"/>
        <w:spacing w:line="360" w:lineRule="auto"/>
        <w:tabs>
          <w:tab w:val="left" w:pos="840" w:leader="none"/>
          <w:tab w:val="left" w:pos="1155" w:leader="none"/>
        </w:tabs>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甲方责任</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3、按合同约定的时间和方式向乙方支付服务费。</w:t>
      </w:r>
      <w:r/>
    </w:p>
    <w:p>
      <w:pPr>
        <w:ind w:firstLine="482"/>
        <w:spacing w:line="360" w:lineRule="auto"/>
        <w:tabs>
          <w:tab w:val="left" w:pos="840" w:leader="none"/>
          <w:tab w:val="left" w:pos="1155" w:leader="none"/>
        </w:tabs>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乙方责任</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要严格遵守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的有关规定。按招标合同要求，根据任务量和工种不同，须配备数量足够的、相关工种对应的常驻工作人员（不得兼职）和管理人员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与所有聘用人员依法签订劳动合同。</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2、项目经理未经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方同意不得随意换人；不得在其他单位兼职或挂职，否则按违约处理，采购人可扣除相应的物业管理费，甲方可予解约。</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所聘人员不能有不良记录，年龄、健康、精神状况等应符合国家用工要求和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相关部门的用工要求，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负责员工的安全法制教育和岗位培训，负责给所聘员工投相应保险，本服务期间，出现伤亡事故等各种意外，公安或司法机关责任界定后由</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负责承担相应的责任。新进人员须经过培训、</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面试同意才可上岗。</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4、工作人员上岗时，必须四季穿着正式的工作服，且挂牌上岗（物业或保安制服），服装样式体现岗位特色和方便不同岗位操作，并经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认可。</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所聘人员就餐、交通须自行解决，如有费用由</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计入投标报价中。</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所聘人员（除保安员外）工作时间原则上每周工作5天，每天8小时工作制，若有工作时间超过8小时的或临时工作安排，不在总报价内的，可根据国家相关法律法规另行结算加班工资。</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所聘人员必须遵守工作管理与考核制度和认真履行岗位职责，并严格执行</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方制定的所有规章制度，接受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方的监督、管理，维护</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方利益。</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必须做好新上岗职工培训及通过晨会、周训、月训等方式对在岗职工职业培训并有记录，不符合规定的人员及时调整。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必须注重核心团队建设（项目经理、主管等），维持队伍的稳定，未经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认可，不得调换核心团队成员。</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应对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突发事件的情况下，有直接管理和调动工作人员的权力；有权要求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及时更换不服从管理、违纪或其他原因不适合继续在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园区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工作的所有服务人员。</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要节约用水、用电等，在相应区域张贴相关标识（标识必须符合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园区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整体文化环境，经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审核通过方能实施），用人计划及实际用人情况并报给</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方，用工及业务合同备</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方检查；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甲</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方有权对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乙</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方进行审查、监督，并根据《考核办法》实施与服务费挂钩的目标考核工作。</w:t>
      </w:r>
      <w:r/>
    </w:p>
    <w:p>
      <w:pPr>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、对检查考核结果双方签字确认。若对检查考核结果有异议，双方可复查确定考核结果。如果检查考核事实情况清楚，结果正确，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仍不签字，三日后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甲方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可单方签字确认，结果有效。</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季</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度考核不合格按实扣除服务费，连续出现或1年中出现3次此情况，视作不履行合同，则按法律程序解除合同并报市财政采购管理处。</w:t>
      </w:r>
      <w:r/>
    </w:p>
    <w:p>
      <w:pPr>
        <w:contextualSpacing/>
        <w:ind w:firstLine="482"/>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第七条  乙方的人员配置</w:t>
      </w:r>
      <w:r/>
    </w:p>
    <w:p>
      <w:pPr>
        <w:contextualSpacing/>
        <w:ind w:firstLine="480"/>
        <w:spacing w:line="360" w:lineRule="auto"/>
        <w:tabs>
          <w:tab w:val="left" w:pos="945" w:leader="none"/>
          <w:tab w:val="left" w:pos="115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1、乙方总配置人员</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名。                  </w:t>
      </w:r>
      <w:r/>
    </w:p>
    <w:p>
      <w:pPr>
        <w:contextualSpacing/>
        <w:ind w:firstLine="480"/>
        <w:spacing w:line="360" w:lineRule="auto"/>
        <w:tabs>
          <w:tab w:val="left" w:pos="945" w:leader="none"/>
          <w:tab w:val="left" w:pos="115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4、物业人员要求：</w:t>
      </w:r>
      <w:r/>
    </w:p>
    <w:p>
      <w:pPr>
        <w:contextualSpacing/>
        <w:ind w:firstLine="480"/>
        <w:spacing w:line="360" w:lineRule="auto"/>
        <w:tabs>
          <w:tab w:val="left" w:pos="945" w:leader="none"/>
          <w:tab w:val="left" w:pos="115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（2）所有相关人员要求</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政治</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可靠，身体素质好，无不良行为记录。</w:t>
      </w:r>
      <w:r/>
    </w:p>
    <w:p>
      <w:pPr>
        <w:contextualSpacing/>
        <w:ind w:firstLine="480"/>
        <w:spacing w:line="360" w:lineRule="auto"/>
        <w:tabs>
          <w:tab w:val="left" w:pos="945" w:leader="none"/>
          <w:tab w:val="left" w:pos="115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第八条   款项支付</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2、本合同项下的采购资金系甲方支付。</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3、以上款项按约定向乙方支付。</w:t>
      </w:r>
      <w:r/>
    </w:p>
    <w:p>
      <w:pPr>
        <w:ind w:firstLine="560"/>
        <w:jc w:val="left"/>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 xml:space="preserve">九</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条</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履约保证金</w:t>
      </w:r>
      <w:r/>
    </w:p>
    <w:p>
      <w:pPr>
        <w:ind w:firstLine="560"/>
        <w:jc w:val="left"/>
        <w:spacing w:line="360" w:lineRule="auto"/>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1、收取履约保证金形式</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银行保函等非现金形式缴纳。</w:t>
      </w:r>
      <w:r/>
    </w:p>
    <w:p>
      <w:pPr>
        <w:ind w:firstLine="560"/>
        <w:jc w:val="left"/>
        <w:spacing w:line="360" w:lineRule="auto"/>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2、收取履约保证金金额</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中标金额的10%。</w:t>
      </w:r>
      <w:r/>
    </w:p>
    <w:p>
      <w:pPr>
        <w:ind w:firstLine="560"/>
        <w:jc w:val="left"/>
        <w:spacing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3、履约保证金期限</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履约保证金在本项目验收合格后一次性退还</w:t>
      </w:r>
      <w:r/>
    </w:p>
    <w:p>
      <w:pPr>
        <w:ind w:firstLine="560"/>
        <w:jc w:val="left"/>
        <w:spacing w:line="360" w:lineRule="auto"/>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4、履约保证金的缴纳时间</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乙方在签订合同后5个工作日内进行缴纳</w:t>
      </w:r>
      <w:r/>
    </w:p>
    <w:p>
      <w:pPr>
        <w:ind w:firstLine="560"/>
        <w:jc w:val="left"/>
        <w:spacing w:line="360" w:lineRule="auto"/>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5、退付办法</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原路退回</w:t>
      </w:r>
      <w:r/>
    </w:p>
    <w:p>
      <w:pPr>
        <w:ind w:firstLine="720"/>
        <w:spacing w:line="360" w:lineRule="auto"/>
        <w:tabs>
          <w:tab w:val="left" w:pos="840" w:leader="none"/>
          <w:tab w:val="left" w:pos="1155" w:leader="none"/>
        </w:tabs>
        <w:rPr>
          <w:rFonts w:hint="eastAsia" w:asciiTheme="minorEastAsia" w:hAnsiTheme="minorEastAsia" w:eastAsiaTheme="minorEastAsia" w:cstheme="minorEastAsia"/>
          <w:b w:val="0"/>
          <w:bCs w:val="0"/>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6、履约保证金不予退还的情形</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①由于供方的原因不能履约的。</w:t>
      </w:r>
      <w:r/>
    </w:p>
    <w:p>
      <w:pPr>
        <w:ind w:left="3830" w:firstLine="0"/>
        <w:spacing w:line="360" w:lineRule="auto"/>
        <w:tabs>
          <w:tab w:val="left" w:pos="840" w:leader="none"/>
          <w:tab w:val="left" w:pos="1155" w:leader="none"/>
        </w:tabs>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②在履行合同期间发生重大安全事故，给需方造成不良影响和严重经济损失的。</w:t>
      </w:r>
      <w:r/>
    </w:p>
    <w:p>
      <w:pPr>
        <w:ind w:firstLine="560"/>
        <w:jc w:val="left"/>
        <w:spacing w:line="360" w:lineRule="auto"/>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7、逾期退还履约保证金的违约责任</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u w:val="single"/>
          <w:lang w:val="en-US" w:eastAsia="zh-CN" w:bidi="ar-SA"/>
          <w14:textFill>
            <w14:solidFill>
              <w14:schemeClr w14:val="tx1"/>
            </w14:solidFill>
          </w14:textFill>
        </w:rPr>
        <w:t xml:space="preserve">承担履约保证金金额千分之二/天的违约金。</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 xml:space="preserve">十</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60"/>
        <w:jc w:val="left"/>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2、甲方未按合同规定的期限向乙方支付款项的，每逾期1天甲方向乙方偿付欠款总额的5‰滞纳金，但累计滞纳金总额不超过欠款总额的5% 。</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第十</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 xml:space="preserve">一</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条　合同生效及其他</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乙方按甲乙双方代表需签字并盖章后生效。</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t xml:space="preserve"> （2）  </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方式处理：</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（2）向甲方所在地法院提起诉讼。</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6、本合同终止时，乙方应移交物业管理权，撤出本物业，协助甲方作好物业服务的交接和善后工作，移交或配合甲方移交管理用房和物业管理的全部档案资料等。</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60"/>
        <w:jc w:val="left"/>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十二条、项目验收</w:t>
      </w:r>
      <w:r/>
    </w:p>
    <w:p>
      <w:pPr>
        <w:ind w:firstLine="560"/>
        <w:jc w:val="left"/>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 甲方依法组织履约验收工作。</w:t>
      </w:r>
      <w:r/>
    </w:p>
    <w:p>
      <w:pPr>
        <w:ind w:firstLine="560"/>
        <w:jc w:val="left"/>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jc w:val="left"/>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3.对于实际使用人和甲方分离的项目，甲方邀请实际使用人参与验收。</w:t>
      </w:r>
      <w:r/>
    </w:p>
    <w:p>
      <w:pPr>
        <w:ind w:firstLine="560"/>
        <w:jc w:val="left"/>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4.如有必要，甲方邀请参加本项目的其他供应商或第三方专业机构及专家参与验收，相关意见将作为验收书的参考资料。</w:t>
      </w:r>
      <w:r/>
    </w:p>
    <w:p>
      <w:pPr>
        <w:ind w:firstLine="560"/>
        <w:jc w:val="left"/>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23"/>
        <w:spacing w:line="360" w:lineRule="auto"/>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color w:val="auto"/>
          <w:sz w:val="24"/>
          <w:szCs w:val="24"/>
          <w:highlight w:val="none"/>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23"/>
        <w:spacing w:line="360" w:lineRule="auto"/>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第十</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 xml:space="preserve">三</w:t>
      </w: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条   诚实信用</w:t>
      </w:r>
      <w:r/>
    </w:p>
    <w:p>
      <w:pPr>
        <w:ind w:firstLine="523"/>
        <w:spacing w:line="360" w:lineRule="auto"/>
        <w:rPr>
          <w:rFonts w:hint="eastAsia" w:asciiTheme="minorEastAsia" w:hAnsiTheme="minorEastAsia" w:eastAsiaTheme="minorEastAsia" w:cstheme="minorEastAsia"/>
          <w:bCs/>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zh-CN"/>
          <w14:textFill>
            <w14:solidFill>
              <w14:schemeClr w14:val="tx1"/>
            </w14:solidFill>
          </w14:textFill>
        </w:rPr>
        <w:t xml:space="preserve">乙方应诚实信用，严格按照招标文件要求和承诺履行合同，不向甲方进行商业贿赂或者提供不正当利益。</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需方（</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）：（签章）                   供方（中标方）：（签章）</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法定（授权）代表人：                     法定（授权）代表人：</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地址：                                   地址：</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年    月    日                           年    月    日</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供方户名：</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供方开户银行：</w:t>
      </w:r>
      <w:r/>
    </w:p>
    <w:p>
      <w:pPr>
        <w:ind w:firstLine="523"/>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供方</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账号</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pStyle w:val="136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sectPr>
          <w:headerReference w:type="default" r:id="rId10"/>
          <w:headerReference w:type="first" r:id="rId11"/>
          <w:footerReference w:type="default" r:id="rId27"/>
          <w:footerReference w:type="first" r:id="rId28"/>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color w:val="000000" w:themeColor="text1"/>
          <w:sz w:val="21"/>
          <w:szCs w:val="22"/>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Theme="minorEastAsia" w:hAnsiTheme="minorEastAsia" w:eastAsiaTheme="minorEastAsia" w:cstheme="minorEastAsia"/>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bookmarkStart w:id="122" w:name="_Hlk88052800"/>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122"/>
      <w:r/>
      <w:r/>
    </w:p>
    <w:p>
      <w:pPr>
        <w:ind w:firstLine="480"/>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具体评分标准如下：</w:t>
      </w:r>
      <w:r/>
    </w:p>
    <w:p>
      <w:pPr>
        <w:pStyle w:val="1368"/>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评分项目及总分（总分100分）</w:t>
      </w:r>
      <w:r/>
    </w:p>
    <w:p>
      <w:pPr>
        <w:ind w:firstLine="480"/>
        <w:jc w:val="left"/>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1、投标报价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30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、投标人综合实力</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Cs w:val="0"/>
          <w:color w:val="000000" w:themeColor="text1"/>
          <w:sz w:val="24"/>
          <w:szCs w:val="22"/>
          <w:highlight w:val="none"/>
          <w:lang w:val="en-US" w:eastAsia="zh-CN" w:bidi="ar-SA"/>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18</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分</w:t>
      </w:r>
      <w:r/>
    </w:p>
    <w:p>
      <w:pPr>
        <w:pStyle w:val="1368"/>
        <w:ind w:firstLine="480"/>
        <w:jc w:val="left"/>
        <w:spacing w:line="360" w:lineRule="auto"/>
        <w:rPr>
          <w:rFonts w:hint="eastAsia" w:asciiTheme="minorEastAsia" w:hAnsiTheme="minorEastAsia" w:eastAsiaTheme="minorEastAsia" w:cstheme="minorEastAsia"/>
          <w:bCs w:val="0"/>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val="0"/>
          <w:color w:val="000000" w:themeColor="text1"/>
          <w:sz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Cs w:val="0"/>
          <w:color w:val="000000" w:themeColor="text1"/>
          <w:sz w:val="24"/>
          <w:highlight w:val="none"/>
          <w14:textFill>
            <w14:solidFill>
              <w14:schemeClr w14:val="tx1"/>
            </w14:solidFill>
          </w14:textFill>
        </w:rPr>
        <w:t xml:space="preserve">、服务方案</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 xml:space="preserve">暗标</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val="0"/>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bCs w:val="0"/>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Cs w:val="0"/>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bCs w:val="0"/>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Cs w:val="0"/>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bCs w:val="0"/>
          <w:color w:val="000000" w:themeColor="text1"/>
          <w:sz w:val="24"/>
          <w:highlight w:val="none"/>
          <w:lang w:val="en-US" w:eastAsia="zh-CN"/>
          <w14:textFill>
            <w14:solidFill>
              <w14:schemeClr w14:val="tx1"/>
            </w14:solidFill>
          </w14:textFill>
        </w:rPr>
        <w:t xml:space="preserve">52</w:t>
      </w:r>
      <w:r>
        <w:rPr>
          <w:rFonts w:hint="eastAsia" w:asciiTheme="minorEastAsia" w:hAnsiTheme="minorEastAsia" w:eastAsiaTheme="minorEastAsia" w:cstheme="minorEastAsia"/>
          <w:bCs w:val="0"/>
          <w:color w:val="000000" w:themeColor="text1"/>
          <w:sz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、投标报价（</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30</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投标报价得分=(评标基准价／投标报价</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×价格权值×100。</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评标委员会认为投标人的报价明显低于其他通过符合性审</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查的</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、投标人综合实力（</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分）</w:t>
      </w:r>
      <w:r/>
    </w:p>
    <w:p>
      <w:pPr>
        <w:ind w:firstLine="480"/>
        <w:jc w:val="both"/>
        <w:spacing w:line="360" w:lineRule="auto"/>
        <w:widowControl w:val="off"/>
        <w:tabs>
          <w:tab w:val="left" w:pos="525" w:leader="none"/>
          <w:tab w:val="left" w:pos="1050"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（1）人员配置（</w:t>
      </w:r>
      <w:r>
        <w:rPr>
          <w:rFonts w:hint="eastAsia" w:asciiTheme="minorEastAsia" w:hAnsiTheme="minorEastAsia" w:eastAsiaTheme="minorEastAsia" w:cstheme="minorEastAsia"/>
          <w:b/>
          <w:sz w:val="24"/>
          <w:szCs w:val="24"/>
          <w:lang w:val="en-US" w:eastAsia="zh-CN"/>
        </w:rPr>
        <w:t xml:space="preserve">13</w:t>
      </w:r>
      <w:r>
        <w:rPr>
          <w:rFonts w:hint="eastAsia" w:asciiTheme="minorEastAsia" w:hAnsiTheme="minorEastAsia" w:eastAsiaTheme="minorEastAsia" w:cstheme="minorEastAsia"/>
          <w:b/>
          <w:sz w:val="24"/>
          <w:szCs w:val="24"/>
        </w:rPr>
        <w:t xml:space="preserve">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项目负责人（物业经理）（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2人</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①投标人拟派项目经理45周岁以下且具有本科（含）以上学历的，有一人得1分，最高得2分；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②具有人力资源和社会保障部门颁发物业管理师资格证书的，有一个得0.5分，最高得1分；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③具有四级/中级保安员证书的，每有一个人得0.5分，具有三级/高级（含）及以上保安员证书的，每有一个人得1分，最高得2分；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本项最高得5分。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保安主管</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①投标人拟派保安主管45周岁以下且具有</w:t>
      </w:r>
      <w:r>
        <w:rPr>
          <w:rFonts w:hint="eastAsia" w:asciiTheme="minorEastAsia" w:hAnsiTheme="minorEastAsia" w:eastAsiaTheme="minorEastAsia" w:cstheme="minorEastAsia"/>
          <w:bCs/>
          <w:color w:val="000000" w:themeColor="text1"/>
          <w:sz w:val="24"/>
          <w:szCs w:val="24"/>
          <w:highlight w:val="none"/>
          <w:shd w:val="clear" w:color="auto" w:fill="auto"/>
        </w:rPr>
        <w:t xml:space="preserve">本科（含）及以上学历证书的得1分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2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具有四级/中级保安员证书的得0.5分，具有三级/高级（含）及以上保安员证书的得1分，满分1分；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3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具有四级（中级工）及以上的《消防设施操作员证》或《建（构）筑物消防员证》的得1分；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本项最高得3分。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）拟投入的其他人员（项目负责人、保安主管除外）（</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①维修人员具有行政主管部门颁发的二级/技师及以上维修电工职业资格证书的，有一个得1分，最高得1分；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2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维修人员具有行政主管部门颁发的四级/中级瓦工职业资格证书的，有一个得1分，最高得2分。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③维修人员具有行政主管部门颁发的三级/高级及以上智能楼宇管理员职业资格证书，有一个得1分，最高得2分；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其他人员中，一人多证的不重复得分，本项目最多得</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
          <w:bCs w:val="0"/>
          <w:sz w:val="24"/>
          <w:szCs w:val="24"/>
          <w:highlight w:val="none"/>
          <w:shd w:val="clear" w:color="auto" w:fill="auto"/>
          <w:lang w:val="en-US" w:eastAsia="zh-CN"/>
        </w:rPr>
      </w:pPr>
      <w:r>
        <w:rPr>
          <w:rFonts w:hint="eastAsia" w:asciiTheme="minorEastAsia" w:hAnsiTheme="minorEastAsia" w:eastAsiaTheme="minorEastAsia" w:cstheme="minorEastAsia"/>
          <w:b/>
          <w:bCs w:val="0"/>
          <w:color w:val="000000"/>
          <w:sz w:val="24"/>
          <w:szCs w:val="24"/>
          <w:highlight w:val="none"/>
          <w:shd w:val="clear" w:color="auto" w:fill="auto"/>
          <w:lang w:eastAsia="zh-CN"/>
        </w:rPr>
        <w:t xml:space="preserve">注：</w:t>
      </w:r>
      <w:bookmarkStart w:id="123" w:name="OLE_LINK97"/>
      <w:r>
        <w:rPr>
          <w:rFonts w:hint="eastAsia" w:asciiTheme="minorEastAsia" w:hAnsiTheme="minorEastAsia" w:eastAsiaTheme="minorEastAsia" w:cstheme="minorEastAsia"/>
          <w:b/>
          <w:bCs w:val="0"/>
          <w:sz w:val="24"/>
          <w:szCs w:val="24"/>
          <w:highlight w:val="none"/>
          <w:shd w:val="clear" w:color="auto" w:fill="auto"/>
          <w:lang w:val="en-US" w:eastAsia="zh-CN"/>
        </w:rPr>
        <w:t xml:space="preserve">提供上述证书等相关证明材料</w:t>
      </w:r>
      <w:r>
        <w:rPr>
          <w:rFonts w:hint="eastAsia" w:asciiTheme="minorEastAsia" w:hAnsiTheme="minorEastAsia" w:eastAsiaTheme="minorEastAsia" w:cstheme="minorEastAsia"/>
          <w:b/>
          <w:bCs w:val="0"/>
          <w:sz w:val="24"/>
          <w:szCs w:val="24"/>
          <w:highlight w:val="none"/>
          <w:shd w:val="clear" w:color="auto" w:fill="auto"/>
        </w:rPr>
        <w:t xml:space="preserve">原件扫描件上传至投标文件中</w:t>
      </w:r>
      <w:r>
        <w:rPr>
          <w:rFonts w:hint="eastAsia" w:asciiTheme="minorEastAsia" w:hAnsiTheme="minorEastAsia" w:eastAsiaTheme="minorEastAsia" w:cstheme="minorEastAsia"/>
          <w:b/>
          <w:bCs w:val="0"/>
          <w:sz w:val="24"/>
          <w:szCs w:val="24"/>
          <w:highlight w:val="none"/>
          <w:shd w:val="clear" w:color="auto" w:fill="auto"/>
          <w:lang w:val="en-US" w:eastAsia="zh-CN"/>
        </w:rPr>
        <w:t xml:space="preserve">并加盖投标人电子公章</w:t>
      </w:r>
      <w:r>
        <w:rPr>
          <w:rFonts w:hint="eastAsia" w:asciiTheme="minorEastAsia" w:hAnsiTheme="minorEastAsia" w:eastAsiaTheme="minorEastAsia" w:cstheme="minorEastAsia"/>
          <w:b/>
          <w:bCs w:val="0"/>
          <w:sz w:val="24"/>
          <w:szCs w:val="24"/>
          <w:highlight w:val="none"/>
          <w:shd w:val="clear" w:color="auto" w:fill="auto"/>
          <w:lang w:eastAsia="zh-CN"/>
        </w:rPr>
        <w:t xml:space="preserve">；</w:t>
      </w:r>
      <w:r>
        <w:rPr>
          <w:rFonts w:hint="eastAsia" w:asciiTheme="minorEastAsia" w:hAnsiTheme="minorEastAsia" w:eastAsiaTheme="minorEastAsia" w:cstheme="minorEastAsia"/>
          <w:b/>
          <w:bCs w:val="0"/>
          <w:sz w:val="24"/>
          <w:szCs w:val="24"/>
          <w:highlight w:val="none"/>
          <w:shd w:val="clear" w:color="auto" w:fill="auto"/>
          <w:lang w:val="en-US" w:eastAsia="zh-CN"/>
        </w:rPr>
        <w:t xml:space="preserve">同时提供投标人近三个月中任意一个月份（不含投标当月）为其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bookmarkEnd w:id="123"/>
      <w:r/>
      <w:r/>
    </w:p>
    <w:p>
      <w:pPr>
        <w:ind w:firstLine="480"/>
        <w:spacing w:line="360" w:lineRule="auto"/>
        <w:tabs>
          <w:tab w:val="left" w:pos="525" w:leader="none"/>
          <w:tab w:val="left" w:pos="1050" w:leader="none"/>
        </w:tabs>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投标人业绩（</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sz w:val="24"/>
          <w:szCs w:val="24"/>
          <w:highlight w:val="none"/>
          <w:shd w:val="clear" w:color="auto" w:fill="auto"/>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提供自20</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年</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月1日以来类似</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业绩</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w:t>
      </w:r>
      <w:r>
        <w:rPr>
          <w:rFonts w:hint="eastAsia" w:asciiTheme="minorEastAsia" w:hAnsiTheme="minorEastAsia" w:eastAsiaTheme="minorEastAsia" w:cstheme="minorEastAsia"/>
          <w:bCs/>
          <w:color w:val="000000"/>
          <w:sz w:val="24"/>
          <w:szCs w:val="24"/>
          <w:highlight w:val="none"/>
          <w:shd w:val="clear" w:color="auto" w:fill="auto"/>
        </w:rPr>
        <w:t xml:space="preserve">（需提供单份有效期内的①合同或协议</w:t>
      </w:r>
      <w:r>
        <w:rPr>
          <w:rFonts w:hint="eastAsia" w:asciiTheme="minorEastAsia" w:hAnsiTheme="minorEastAsia" w:eastAsiaTheme="minorEastAsia" w:cstheme="minorEastAsia"/>
          <w:bCs/>
          <w:color w:val="000000"/>
          <w:sz w:val="24"/>
          <w:szCs w:val="24"/>
          <w:highlight w:val="none"/>
          <w:shd w:val="clear" w:color="auto" w:fill="auto"/>
          <w:lang w:eastAsia="zh-CN"/>
        </w:rPr>
        <w:t xml:space="preserve">、</w:t>
      </w:r>
      <w:r>
        <w:rPr>
          <w:rFonts w:hint="eastAsia" w:asciiTheme="minorEastAsia" w:hAnsiTheme="minorEastAsia" w:eastAsiaTheme="minorEastAsia" w:cstheme="minorEastAsia"/>
          <w:bCs/>
          <w:color w:val="000000"/>
          <w:sz w:val="24"/>
          <w:szCs w:val="24"/>
          <w:highlight w:val="none"/>
          <w:shd w:val="clear" w:color="auto" w:fill="auto"/>
        </w:rPr>
        <w:t xml:space="preserve">②</w:t>
      </w:r>
      <w:r>
        <w:rPr>
          <w:rFonts w:hint="eastAsia" w:asciiTheme="minorEastAsia" w:hAnsiTheme="minorEastAsia" w:eastAsiaTheme="minorEastAsia" w:cstheme="minorEastAsia"/>
          <w:bCs/>
          <w:color w:val="000000"/>
          <w:sz w:val="24"/>
          <w:szCs w:val="24"/>
          <w:highlight w:val="none"/>
          <w:shd w:val="clear" w:color="auto" w:fill="auto"/>
          <w:lang w:val="en-US" w:eastAsia="zh-CN"/>
        </w:rPr>
        <w:t xml:space="preserve">资金往来证明</w:t>
      </w:r>
      <w:r>
        <w:rPr>
          <w:rFonts w:hint="eastAsia" w:asciiTheme="minorEastAsia" w:hAnsiTheme="minorEastAsia" w:eastAsiaTheme="minorEastAsia" w:cstheme="minorEastAsia"/>
          <w:bCs/>
          <w:color w:val="000000"/>
          <w:sz w:val="24"/>
          <w:szCs w:val="24"/>
          <w:highlight w:val="none"/>
          <w:shd w:val="clear" w:color="auto" w:fill="auto"/>
          <w:lang w:eastAsia="zh-CN"/>
        </w:rPr>
        <w:t xml:space="preserve">、</w:t>
      </w:r>
      <w:r>
        <w:rPr>
          <w:rFonts w:hint="eastAsia" w:asciiTheme="minorEastAsia" w:hAnsiTheme="minorEastAsia" w:eastAsiaTheme="minorEastAsia" w:cstheme="minorEastAsia"/>
          <w:bCs/>
          <w:color w:val="000000"/>
          <w:sz w:val="24"/>
          <w:szCs w:val="24"/>
          <w:highlight w:val="none"/>
          <w:shd w:val="clear" w:color="auto" w:fill="auto"/>
        </w:rPr>
        <w:t xml:space="preserve">③</w:t>
      </w:r>
      <w:r>
        <w:rPr>
          <w:rFonts w:hint="eastAsia" w:asciiTheme="minorEastAsia" w:hAnsiTheme="minorEastAsia" w:eastAsiaTheme="minorEastAsia" w:cstheme="minorEastAsia"/>
          <w:bCs/>
          <w:color w:val="000000"/>
          <w:sz w:val="24"/>
          <w:szCs w:val="24"/>
          <w:highlight w:val="none"/>
          <w:shd w:val="clear" w:color="auto" w:fill="auto"/>
          <w:lang w:eastAsia="zh-CN"/>
        </w:rPr>
        <w:t xml:space="preserve">验收证明</w:t>
      </w:r>
      <w:r>
        <w:rPr>
          <w:rFonts w:hint="eastAsia" w:asciiTheme="minorEastAsia" w:hAnsiTheme="minorEastAsia" w:eastAsiaTheme="minorEastAsia" w:cstheme="minorEastAsia"/>
          <w:bCs/>
          <w:color w:val="000000"/>
          <w:sz w:val="24"/>
          <w:szCs w:val="24"/>
          <w:highlight w:val="none"/>
          <w:shd w:val="clear" w:color="auto" w:fill="auto"/>
        </w:rPr>
        <w:t xml:space="preserve">（能够证明本项目已完成的证明材料）），时间以合同（协议）上签订时间为准，有一个得</w:t>
      </w:r>
      <w:r>
        <w:rPr>
          <w:rFonts w:hint="eastAsia" w:asciiTheme="minorEastAsia" w:hAnsiTheme="minorEastAsia" w:eastAsiaTheme="minorEastAsia" w:cstheme="minorEastAsia"/>
          <w:bCs/>
          <w:color w:val="000000"/>
          <w:sz w:val="24"/>
          <w:szCs w:val="24"/>
          <w:highlight w:val="none"/>
          <w:shd w:val="clear" w:color="auto" w:fill="auto"/>
          <w:lang w:val="en-US" w:eastAsia="zh-CN"/>
        </w:rPr>
        <w:t xml:space="preserve">2.5</w:t>
      </w:r>
      <w:r>
        <w:rPr>
          <w:rFonts w:hint="eastAsia" w:asciiTheme="minorEastAsia" w:hAnsiTheme="minorEastAsia" w:eastAsiaTheme="minorEastAsia" w:cstheme="minorEastAsia"/>
          <w:bCs/>
          <w:color w:val="000000"/>
          <w:sz w:val="24"/>
          <w:szCs w:val="24"/>
          <w:highlight w:val="none"/>
          <w:shd w:val="clear" w:color="auto" w:fill="auto"/>
        </w:rPr>
        <w:t xml:space="preserve">分，最多得</w:t>
      </w:r>
      <w:r>
        <w:rPr>
          <w:rFonts w:hint="eastAsia" w:asciiTheme="minorEastAsia" w:hAnsiTheme="minorEastAsia" w:eastAsiaTheme="minorEastAsia" w:cstheme="minorEastAsia"/>
          <w:bCs/>
          <w:color w:val="000000"/>
          <w:sz w:val="24"/>
          <w:szCs w:val="24"/>
          <w:highlight w:val="none"/>
          <w:shd w:val="clear" w:color="auto" w:fill="auto"/>
          <w:lang w:val="en-US" w:eastAsia="zh-CN"/>
        </w:rPr>
        <w:t xml:space="preserve">5</w:t>
      </w:r>
      <w:r>
        <w:rPr>
          <w:rFonts w:hint="eastAsia" w:asciiTheme="minorEastAsia" w:hAnsiTheme="minorEastAsia" w:eastAsiaTheme="minorEastAsia" w:cstheme="minorEastAsia"/>
          <w:bCs/>
          <w:color w:val="000000"/>
          <w:sz w:val="24"/>
          <w:szCs w:val="24"/>
          <w:highlight w:val="none"/>
          <w:shd w:val="clear" w:color="auto" w:fill="auto"/>
        </w:rPr>
        <w:t xml:space="preserve">分。（投标人须提供</w:t>
      </w:r>
      <w:r>
        <w:rPr>
          <w:rFonts w:hint="eastAsia" w:asciiTheme="minorEastAsia" w:hAnsiTheme="minorEastAsia" w:eastAsiaTheme="minorEastAsia" w:cstheme="minorEastAsia"/>
          <w:bCs/>
          <w:color w:val="000000"/>
          <w:sz w:val="24"/>
          <w:szCs w:val="24"/>
          <w:highlight w:val="none"/>
          <w:shd w:val="clear" w:color="auto" w:fill="auto"/>
          <w:lang w:eastAsia="zh-CN"/>
        </w:rPr>
        <w:t xml:space="preserve">上述证明材料</w:t>
      </w:r>
      <w:r>
        <w:rPr>
          <w:rFonts w:hint="eastAsia" w:asciiTheme="minorEastAsia" w:hAnsiTheme="minorEastAsia" w:eastAsiaTheme="minorEastAsia" w:cstheme="minorEastAsia"/>
          <w:bCs/>
          <w:color w:val="000000"/>
          <w:sz w:val="24"/>
          <w:szCs w:val="24"/>
          <w:highlight w:val="none"/>
          <w:shd w:val="clear" w:color="auto" w:fill="auto"/>
        </w:rPr>
        <w:t xml:space="preserve">原件扫描件上传到电子标书，并加盖投标人电子公章，不提供不得分）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3、服务方案（5</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分）</w:t>
      </w:r>
      <w:r>
        <w:rPr>
          <w:rFonts w:hint="eastAsia" w:asciiTheme="minorEastAsia" w:hAnsiTheme="minorEastAsia" w:eastAsiaTheme="minorEastAsia" w:cstheme="minorEastAsia"/>
          <w:b/>
          <w:sz w:val="28"/>
          <w:szCs w:val="28"/>
        </w:rPr>
        <w:t xml:space="preserve">（暗标要求已更新，详见供应商须知）</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(1)物业管理服务目标及整体设想（6分）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①物业管理服务的目标；（2分）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②物业管理服务的整体设想；（2分）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③公用设施设备日常运行、保养、维修管理服务的目标和整体设想（2分）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(2)物业管理服务体系、管理规章制度（6分）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①物业管理服务体系；（2分）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②管理规章制度；（2分）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③日常管理标准及措施。（2分）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(3)日常管理标准及措施（6分）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1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保安服务日常标准及措施；（2）</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2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保洁服务日常标准及措施；（2分）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3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维修服务日常标准及措施。（2分）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(4)物业管理服务的岗前培训及阶段性培训管理（4分）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①物业管理服务的岗前培训目标、方案、计划、内容等；（2分）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②物业管理服务的阶段性培训管理。（2分）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(5)物业管理中涉及的物资装备配备及维保使用方案（4分）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①物业管理服务涉及的物资装备配备方案；（2分）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②维保使用方案。（2分）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(6)物业管理服务中的管理重点难点和措施（4分）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①物业管理服务中的重点难点；（2分）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②针对重点和难点采取的措施。（2分）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4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(7)与采购方以及其他单位、部门的综合协调方案（2分）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(8)物业管理服务正式接管前具体措施（2分）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(9)特殊情况应急预案及措施（6分）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1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自然灾害突发事件的应急预案及措施；（2分）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 2 \* GB3 \* MERGEFORMAT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事故灾害突发事件的应急预案及措施；（2分）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③公共卫生安全事件突发事件的应急预案及措施；（2分）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(10)物业管理服务项目过失及意外保障措施（2分）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(11)档案资料管理（6分）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①物业管理档案的内容（2分）；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②物业管理档案的分类方法和日常物业管理档案的收集（2分）。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③档案资料管理工作流程及管理制度（2分）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6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(12)物业管理服务响应时间（2分）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(13)特色与创新（2分）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2分。</w:t>
      </w:r>
      <w:r/>
    </w:p>
    <w:p>
      <w:pPr>
        <w:ind w:firstLine="480"/>
        <w:spacing w:line="360" w:lineRule="auto"/>
        <w:tabs>
          <w:tab w:val="left" w:pos="52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contextualSpacing/>
        <w:ind w:firstLine="426"/>
        <w:spacing w:line="360" w:lineRule="auto"/>
        <w:tabs>
          <w:tab w:val="left" w:pos="3090" w:leader="none"/>
        </w:tabs>
        <w:rPr>
          <w:rFonts w:hint="eastAsia" w:asciiTheme="minorEastAsia" w:hAnsiTheme="minorEastAsia" w:eastAsiaTheme="minorEastAsia" w:cstheme="minorEastAsia"/>
          <w:b/>
          <w:bCs/>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Theme="minorEastAsia" w:hAnsiTheme="minorEastAsia" w:eastAsiaTheme="minorEastAsia" w:cstheme="minorEastAsia"/>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jc w:val="lef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Theme="minorEastAsia" w:hAnsiTheme="minorEastAsia" w:eastAsiaTheme="minorEastAsia" w:cstheme="minorEastAsia"/>
          <w:bCs/>
          <w:color w:val="000000" w:themeColor="text1"/>
          <w:sz w:val="7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72"/>
          <w:szCs w:val="22"/>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Theme="minorEastAsia" w:hAnsiTheme="minorEastAsia" w:eastAsiaTheme="minorEastAsia" w:cstheme="minorEastAsia"/>
          <w:bCs/>
          <w:color w:val="000000" w:themeColor="text1"/>
          <w:sz w:val="7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72"/>
          <w:szCs w:val="22"/>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t xml:space="preserve">件</w:t>
      </w:r>
      <w:r/>
    </w:p>
    <w:p>
      <w:pPr>
        <w:pStyle w:val="1368"/>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r>
      <w:r/>
    </w:p>
    <w:p>
      <w:pPr>
        <w:pStyle w:val="1372"/>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52"/>
          <w:szCs w:val="5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8"/>
          <w:szCs w:val="28"/>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采购项目编号： </w:t>
      </w:r>
      <w:r>
        <w:rPr>
          <w:rFonts w:hint="eastAsia" w:asciiTheme="minorEastAsia" w:hAnsiTheme="minorEastAsia" w:eastAsiaTheme="minorEastAsia" w:cstheme="minorEastAsia"/>
          <w:color w:val="000000" w:themeColor="text1"/>
          <w:sz w:val="28"/>
          <w:szCs w:val="28"/>
          <w:highlight w:val="none"/>
          <w:shd w:val="clear" w:color="auto" w:fill="auto"/>
          <w:lang w:eastAsia="zh-CN"/>
          <w14:textFill>
            <w14:solidFill>
              <w14:schemeClr w14:val="tx1"/>
            </w14:solidFill>
          </w14:textFill>
        </w:rPr>
        <w:t xml:space="preserve">JSZC-320205-JZCG-G2026-0041</w:t>
      </w:r>
      <w:r/>
    </w:p>
    <w:p>
      <w:pPr>
        <w:ind w:firstLine="840"/>
        <w:spacing w:line="360" w:lineRule="auto"/>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采购项目名称：</w:t>
      </w: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 锦旺新村和老旧小区2026—2027年度物业管理服务项目</w:t>
      </w:r>
      <w:r/>
    </w:p>
    <w:p>
      <w:pPr>
        <w:ind w:firstLine="840"/>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w:t>
      </w:r>
      <w:r/>
    </w:p>
    <w:p>
      <w:pP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36"/>
          <w:szCs w:val="36"/>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6"/>
          <w:szCs w:val="36"/>
          <w:highlight w:val="none"/>
          <w:shd w:val="clear" w:color="auto" w:fill="auto"/>
          <w14:textFill>
            <w14:solidFill>
              <w14:schemeClr w14:val="tx1"/>
            </w14:solidFill>
          </w14:textFill>
        </w:rPr>
        <w:t xml:space="preserve">二○二</w:t>
      </w:r>
      <w:r>
        <w:rPr>
          <w:rFonts w:hint="eastAsia" w:asciiTheme="minorEastAsia" w:hAnsiTheme="minorEastAsia" w:eastAsiaTheme="minorEastAsia" w:cstheme="minorEastAsia"/>
          <w:bCs/>
          <w:color w:val="000000" w:themeColor="text1"/>
          <w:sz w:val="36"/>
          <w:szCs w:val="36"/>
          <w:highlight w:val="none"/>
          <w:shd w:val="clear" w:color="auto" w:fill="auto"/>
          <w:lang w:val="en-US" w:eastAsia="zh-CN"/>
          <w14:textFill>
            <w14:solidFill>
              <w14:schemeClr w14:val="tx1"/>
            </w14:solidFill>
          </w14:textFill>
        </w:rPr>
        <w:t xml:space="preserve">六</w:t>
      </w:r>
      <w:r>
        <w:rPr>
          <w:rFonts w:hint="eastAsia" w:asciiTheme="minorEastAsia" w:hAnsiTheme="minorEastAsia" w:eastAsiaTheme="minorEastAsia" w:cstheme="minorEastAsia"/>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outlineLvl w:val="0"/>
      </w:pPr>
      <w:r/>
      <w:bookmarkStart w:id="124" w:name="一．报价函（格式）"/>
      <w:r/>
      <w:bookmarkEnd w:id="124"/>
      <w:r/>
      <w:r/>
    </w:p>
    <w:p>
      <w:pPr>
        <w:ind w:firstLine="480"/>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JSZC-320205-JZCG-G2026-0041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94"/>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和</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Theme="minorEastAsia" w:hAnsiTheme="minorEastAsia" w:eastAsiaTheme="minorEastAsia" w:cstheme="minorEastAsia"/>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本项目</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我方</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不与</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不向</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进行协商谈判、</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Theme="minorEastAsia" w:hAnsiTheme="minorEastAsia" w:eastAsiaTheme="minorEastAsia" w:cstheme="minorEastAsia"/>
          <w:bCs/>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以上</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带来的损失</w:t>
      </w:r>
      <w:r>
        <w:rPr>
          <w:rFonts w:hint="eastAsia" w:asciiTheme="minorEastAsia" w:hAnsiTheme="minorEastAsia" w:eastAsiaTheme="minorEastAsia" w:cstheme="minorEastAsia"/>
          <w:bCs/>
          <w:color w:val="000000" w:themeColor="text1"/>
          <w:sz w:val="24"/>
          <w:szCs w:val="22"/>
          <w:highlight w:val="none"/>
          <w:shd w:val="clear" w:color="auto" w:fill="auto"/>
          <w14:textFill>
            <w14:solidFill>
              <w14:schemeClr w14:val="tx1"/>
            </w14:solidFill>
          </w14:textFill>
        </w:rPr>
        <w:t xml:space="preserve">。</w:t>
      </w:r>
      <w:r/>
    </w:p>
    <w:p>
      <w:pPr>
        <w:pStyle w:val="1380"/>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盖章</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通讯地址：                          邮编：</w:t>
      </w:r>
      <w:r/>
    </w:p>
    <w:p>
      <w:pPr>
        <w:pStyle w:val="1380"/>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（二）（</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36"/>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pPr>
      <w:r/>
      <w:bookmarkStart w:id="125" w:name="报价方关于资格的声明函（格式）"/>
      <w:r/>
      <w:bookmarkEnd w:id="125"/>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政府采购编号：</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JSZC-320205-JZCG-G2026-0041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我公司</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单位</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愿针对本次</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锦旺新村和老旧小区2026—2027年度物业管理服务项目</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我公司</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单位</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二</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五</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若有违背，我公司</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单位</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盖章</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法定代表人</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签字或盖章</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3"/>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numPr>
          <w:ilvl w:val="0"/>
          <w:numId w:val="0"/>
        </w:numP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368"/>
        <w:numPr>
          <w:ilvl w:val="0"/>
          <w:numId w:val="0"/>
        </w:numP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Theme="minorEastAsia" w:hAnsiTheme="minorEastAsia" w:eastAsiaTheme="minorEastAsia" w:cstheme="minorEastAsia"/>
          <w:bCs/>
          <w:color w:val="000000" w:themeColor="text1"/>
          <w:sz w:val="36"/>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采购项目编号：</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JSZC-320205-JZCG-G2026-0041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锦旺新村和老旧小区2026—2027年度物业管理服务项目</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06"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5" o:spid="_x0000_s105"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Theme="minorEastAsia" w:hAnsiTheme="minorEastAsia" w:eastAsiaTheme="minorEastAsia" w:cstheme="minorEastAsia"/>
          <w:color w:val="000000" w:themeColor="text1"/>
          <w:sz w:val="32"/>
          <w:szCs w:val="32"/>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07"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6" o:spid="_x0000_s106"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法</w:t>
      </w:r>
      <w:r/>
    </w:p>
    <w:p>
      <w:pPr>
        <w:rPr>
          <w:rFonts w:hint="eastAsia" w:asciiTheme="minorEastAsia" w:hAnsiTheme="minorEastAsia" w:eastAsiaTheme="minorEastAsia" w:cstheme="minorEastAsia"/>
          <w:color w:val="000000" w:themeColor="text1"/>
          <w:sz w:val="32"/>
          <w:szCs w:val="3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8"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7" o:spid="_x0000_s107"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Theme="minorEastAsia" w:hAnsiTheme="minorEastAsia" w:eastAsiaTheme="minorEastAsia" w:cstheme="minorEastAsia"/>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09"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8" o:spid="_x0000_s108"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79"/>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val="0"/>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0"/>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pStyle w:val="1381"/>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格式</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Theme="minorEastAsia" w:hAnsiTheme="minorEastAsia" w:eastAsiaTheme="minorEastAsia" w:cstheme="minorEastAsia"/>
          <w:b/>
          <w:bCs w:val="0"/>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Theme="minorEastAsia" w:hAnsiTheme="minorEastAsia" w:eastAsiaTheme="minorEastAsia" w:cstheme="minorEastAsia"/>
          <w:b/>
          <w:bCs/>
          <w:color w:val="000000" w:themeColor="text1"/>
          <w:sz w:val="36"/>
          <w:szCs w:val="36"/>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36"/>
          <w:szCs w:val="36"/>
          <w:highlight w:val="none"/>
          <w:shd w:val="clear" w:color="auto" w:fill="auto"/>
          <w14:textFill>
            <w14:solidFill>
              <w14:schemeClr w14:val="tx1"/>
            </w14:solidFill>
          </w14:textFill>
        </w:rPr>
        <w:t xml:space="preserve">承诺书</w:t>
      </w:r>
      <w:r/>
    </w:p>
    <w:p>
      <w:pPr>
        <w:pStyle w:val="1395"/>
        <w:ind w:left="1260"/>
        <w:spacing w:line="360" w:lineRule="auto"/>
        <w:rPr>
          <w:rFonts w:hint="eastAsia" w:asciiTheme="minorEastAsia" w:hAnsiTheme="minorEastAsia" w:eastAsiaTheme="minorEastAsia" w:cstheme="minorEastAsia"/>
          <w:color w:val="000000" w:themeColor="text1"/>
          <w:sz w:val="21"/>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Theme="minorEastAsia" w:hAnsiTheme="minorEastAsia" w:eastAsiaTheme="minorEastAsia" w:cstheme="minorEastAsia"/>
          <w:bCs/>
          <w:color w:val="000000" w:themeColor="text1"/>
          <w:sz w:val="24"/>
          <w:szCs w:val="24"/>
          <w:highlight w:val="none"/>
          <w:u w:val="single"/>
          <w:shd w:val="clear" w:color="auto" w:fill="auto"/>
          <w:lang w:eastAsia="zh-CN"/>
          <w14:textFill>
            <w14:solidFill>
              <w14:schemeClr w14:val="tx1"/>
            </w14:solidFill>
          </w14:textFill>
        </w:rPr>
        <w:t xml:space="preserve">JSZC-320205-JZCG-G2026-0041</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www.creditchina.gov.cn</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www.ccgp.gov.cn</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2"/>
        <w:rPr>
          <w:rFonts w:hint="eastAsia" w:asciiTheme="minorEastAsia" w:hAnsiTheme="minorEastAsia" w:eastAsiaTheme="minorEastAsia" w:cstheme="minorEastAsia"/>
          <w:b/>
          <w:bCs w:val="0"/>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Theme="minorEastAsia" w:hAnsiTheme="minorEastAsia" w:eastAsiaTheme="minorEastAsia" w:cstheme="minorEastAsia"/>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JSZC-320205-JZCG-G2026-0041</w:t>
      </w:r>
      <w:r/>
    </w:p>
    <w:p>
      <w:pPr>
        <w:spacing w:line="360" w:lineRule="auto"/>
        <w:rPr>
          <w:rFonts w:hint="eastAsia" w:asciiTheme="minorEastAsia" w:hAnsiTheme="minorEastAsia" w:eastAsiaTheme="minorEastAsia" w:cstheme="minorEastAsia"/>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Theme="minorEastAsia" w:hAnsiTheme="minorEastAsia" w:eastAsiaTheme="minorEastAsia" w:cstheme="minorEastAsia"/>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364"/>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2"/>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2"/>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szCs w:val="22"/>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r>
            <w:r/>
          </w:p>
        </w:tc>
      </w:tr>
    </w:tbl>
    <w:p>
      <w:pP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2"/>
          <w:highlight w:val="none"/>
          <w:shd w:val="clear" w:color="auto" w:fill="auto"/>
          <w14:textFill>
            <w14:solidFill>
              <w14:schemeClr w14:val="tx1"/>
            </w14:solidFill>
          </w14:textFill>
        </w:rPr>
        <w:t xml:space="preserve">填写说明：</w:t>
      </w:r>
      <w:r/>
    </w:p>
    <w:p>
      <w:pPr>
        <w:numPr>
          <w:ilvl w:val="0"/>
          <w:numId w:val="4"/>
        </w:numPr>
        <w:ind w:firstLine="470"/>
        <w:spacing w:line="46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2"/>
          <w:highlight w:val="none"/>
          <w:shd w:val="clear" w:color="auto" w:fill="auto"/>
          <w14:textFill>
            <w14:solidFill>
              <w14:schemeClr w14:val="tx1"/>
            </w14:solidFill>
          </w14:textFill>
        </w:rPr>
        <w:t xml:space="preserve">评标时一律按</w:t>
      </w:r>
      <w:r>
        <w:rPr>
          <w:rFonts w:hint="eastAsia" w:asciiTheme="minorEastAsia" w:hAnsiTheme="minorEastAsia" w:eastAsiaTheme="minorEastAsia" w:cstheme="minorEastAsia"/>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Theme="minorEastAsia" w:hAnsiTheme="minorEastAsia" w:eastAsiaTheme="minorEastAsia" w:cstheme="minorEastAsia"/>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
          <w:bCs w:val="0"/>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报价明细表</w:t>
      </w:r>
      <w:r>
        <w:rPr>
          <w:rFonts w:hint="eastAsia" w:asciiTheme="minorEastAsia" w:hAnsiTheme="minorEastAsia" w:eastAsiaTheme="minorEastAsia" w:cstheme="minorEastAsia"/>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364"/>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br/>
            </w: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br/>
            </w: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Theme="minorEastAsia" w:hAnsiTheme="minorEastAsia" w:eastAsiaTheme="minorEastAsia" w:cstheme="minorEastAsia"/>
                <w:b/>
                <w:color w:val="000000" w:themeColor="text1"/>
                <w:sz w:val="21"/>
                <w:szCs w:val="21"/>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bidi="ar"/>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bidi="ar"/>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bidi="ar"/>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bidi="ar"/>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bidi="ar"/>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eastAsia="zh-CN" w:bidi="ar"/>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Theme="minorEastAsia" w:hAnsiTheme="minorEastAsia" w:eastAsiaTheme="minorEastAsia" w:cstheme="minorEastAsia"/>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96"/>
                <w:rFonts w:hint="eastAsia" w:asciiTheme="minorEastAsia" w:hAnsiTheme="minorEastAsia" w:eastAsiaTheme="minorEastAsia" w:cstheme="minorEastAsia"/>
                <w:b/>
                <w:bCs/>
                <w:color w:val="000000" w:themeColor="text1"/>
                <w:sz w:val="24"/>
                <w:szCs w:val="24"/>
                <w:highlight w:val="none"/>
                <w:shd w:val="clear" w:color="auto" w:fill="auto"/>
                <w:lang w:val="en-US"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96"/>
                <w:rFonts w:hint="eastAsia" w:asciiTheme="minorEastAsia" w:hAnsiTheme="minorEastAsia" w:eastAsiaTheme="minorEastAsia" w:cstheme="minorEastAsia"/>
                <w:b/>
                <w:bCs/>
                <w:color w:val="000000" w:themeColor="text1"/>
                <w:sz w:val="24"/>
                <w:szCs w:val="24"/>
                <w:highlight w:val="none"/>
                <w:shd w:val="clear" w:color="auto" w:fill="auto"/>
                <w:lang w:val="en-US"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Theme="minorEastAsia" w:hAnsiTheme="minorEastAsia" w:eastAsiaTheme="minorEastAsia" w:cstheme="minorEastAsia"/>
                <w:color w:val="000000" w:themeColor="text1"/>
                <w:sz w:val="21"/>
                <w:szCs w:val="22"/>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Theme="minorEastAsia" w:hAnsiTheme="minorEastAsia" w:eastAsiaTheme="minorEastAsia" w:cstheme="minorEastAsia"/>
          <w:bCs/>
          <w:color w:val="000000" w:themeColor="text1"/>
          <w:sz w:val="3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364"/>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Style w:val="1397"/>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1</w:t>
            </w:r>
            <w:r>
              <w:rPr>
                <w:rStyle w:val="1397"/>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Theme="minorEastAsia" w:hAnsiTheme="minorEastAsia" w:eastAsiaTheme="minorEastAsia" w:cstheme="minorEastAsia"/>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br/>
            </w: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1</w:t>
            </w: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2</w:t>
            </w: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4</w:t>
            </w: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5</w:t>
            </w: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6</w:t>
            </w: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bidi="ar"/>
                <w14:textFill>
                  <w14:solidFill>
                    <w14:schemeClr w14:val="tx1"/>
                  </w14:solidFill>
                </w14:textFill>
              </w:rPr>
              <w:t xml:space="preserve">7</w:t>
            </w: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Theme="minorEastAsia" w:hAnsiTheme="minorEastAsia" w:eastAsiaTheme="minorEastAsia" w:cstheme="minorEastAsia"/>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Theme="minorEastAsia" w:hAnsiTheme="minorEastAsia" w:eastAsiaTheme="minorEastAsia" w:cstheme="minorEastAsia"/>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bl>
    <w:p>
      <w:pPr>
        <w:ind w:firstLine="241"/>
        <w:rPr>
          <w:rFonts w:hint="eastAsia" w:asciiTheme="minorEastAsia" w:hAnsiTheme="minorEastAsia" w:eastAsiaTheme="minorEastAsia" w:cstheme="minorEastAsia"/>
          <w:bCs/>
          <w:color w:val="000000" w:themeColor="text1"/>
          <w:sz w:val="2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r>
      <w:r/>
    </w:p>
    <w:p>
      <w:pPr>
        <w:pStyle w:val="1369"/>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lang w:val="en-US" w:eastAsia="zh-CN"/>
          <w14:textFill>
            <w14:solidFill>
              <w14:schemeClr w14:val="tx1"/>
            </w14:solidFill>
          </w14:textFill>
        </w:rPr>
      </w:r>
      <w:r/>
    </w:p>
    <w:p>
      <w:pPr>
        <w:pStyle w:val="1398"/>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Theme="minorEastAsia" w:hAnsiTheme="minorEastAsia" w:eastAsiaTheme="minorEastAsia" w:cstheme="minorEastAsia"/>
          <w:b/>
          <w:bCs/>
          <w:color w:val="000000" w:themeColor="text1"/>
          <w:sz w:val="21"/>
          <w:szCs w:val="21"/>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lang w:eastAsia="zh-CN"/>
          <w14:textFill>
            <w14:solidFill>
              <w14:schemeClr w14:val="tx1"/>
            </w14:solidFill>
          </w14:textFill>
        </w:rPr>
        <w:tab/>
      </w: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Theme="minorEastAsia" w:hAnsiTheme="minorEastAsia" w:eastAsiaTheme="minorEastAsia" w:cstheme="minorEastAsia"/>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3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品牌</w:t>
            </w:r>
            <w:r/>
          </w:p>
          <w:p>
            <w:pP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合计</w:t>
            </w:r>
            <w:r>
              <w:rPr>
                <w:rFonts w:hint="eastAsia" w:asciiTheme="minorEastAsia" w:hAnsiTheme="minorEastAsia" w:eastAsiaTheme="minorEastAsia" w:cstheme="minorEastAsia"/>
                <w:color w:val="000000" w:themeColor="text1"/>
                <w:sz w:val="21"/>
                <w:szCs w:val="21"/>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1"/>
                <w:szCs w:val="21"/>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bl>
    <w:p>
      <w:pPr>
        <w:ind w:firstLine="211"/>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t xml:space="preserve">注：1、由</w:t>
      </w:r>
      <w:r>
        <w:rPr>
          <w:rFonts w:hint="eastAsia" w:asciiTheme="minorEastAsia" w:hAnsiTheme="minorEastAsia" w:eastAsiaTheme="minorEastAsia" w:cstheme="minorEastAsia"/>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Theme="minorEastAsia" w:hAnsiTheme="minorEastAsia" w:eastAsiaTheme="minorEastAsia" w:cstheme="minorEastAsia"/>
          <w:color w:val="000000" w:themeColor="text1"/>
          <w:sz w:val="21"/>
          <w:szCs w:val="21"/>
          <w:highlight w:val="none"/>
          <w:shd w:val="clear" w:color="auto" w:fill="auto"/>
          <w:lang w:val="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Theme="minorEastAsia" w:hAnsiTheme="minorEastAsia" w:eastAsiaTheme="minorEastAsia" w:cstheme="minorEastAsia"/>
          <w:b/>
          <w:bCs/>
          <w:color w:val="000000" w:themeColor="text1"/>
          <w:sz w:val="21"/>
          <w:szCs w:val="21"/>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Theme="minorEastAsia" w:hAnsiTheme="minorEastAsia" w:eastAsiaTheme="minorEastAsia" w:cstheme="minorEastAsia"/>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364"/>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合计</w:t>
            </w:r>
            <w:r>
              <w:rPr>
                <w:rFonts w:hint="eastAsia" w:asciiTheme="minorEastAsia" w:hAnsiTheme="minorEastAsia" w:eastAsiaTheme="minorEastAsia" w:cstheme="minorEastAsia"/>
                <w:color w:val="000000" w:themeColor="text1"/>
                <w:sz w:val="21"/>
                <w:szCs w:val="21"/>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1"/>
                <w:szCs w:val="21"/>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auto"/>
                <w14:textFill>
                  <w14:solidFill>
                    <w14:schemeClr w14:val="tx1"/>
                  </w14:solidFill>
                </w14:textFill>
              </w:rPr>
            </w:r>
            <w:r/>
          </w:p>
        </w:tc>
      </w:tr>
    </w:tbl>
    <w:p>
      <w:pPr>
        <w:ind w:firstLine="211"/>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r>
      <w:r/>
    </w:p>
    <w:p>
      <w:pPr>
        <w:ind w:firstLine="210"/>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r>
      <w:r/>
    </w:p>
    <w:p>
      <w:pPr>
        <w:ind w:firstLine="210"/>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Theme="minorEastAsia" w:hAnsiTheme="minorEastAsia" w:eastAsiaTheme="minorEastAsia" w:cstheme="minorEastAsia"/>
          <w:bCs/>
          <w:color w:val="000000" w:themeColor="text1"/>
          <w:sz w:val="21"/>
          <w:szCs w:val="21"/>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Theme="minorEastAsia" w:hAnsiTheme="minorEastAsia" w:eastAsiaTheme="minorEastAsia" w:cstheme="minorEastAsia"/>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399"/>
        <w:rPr>
          <w:rFonts w:hint="eastAsia" w:asciiTheme="minorEastAsia" w:hAnsiTheme="minorEastAsia" w:eastAsiaTheme="minorEastAsia" w:cstheme="minorEastAsia"/>
          <w:color w:val="000000" w:themeColor="text1"/>
          <w:sz w:val="32"/>
          <w:szCs w:val="20"/>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Theme="minorEastAsia" w:hAnsiTheme="minorEastAsia" w:eastAsiaTheme="minorEastAsia" w:cstheme="minorEastAsia"/>
          <w:b/>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t xml:space="preserve">日期</w:t>
      </w:r>
      <w:r>
        <w:rPr>
          <w:rFonts w:hint="eastAsia" w:asciiTheme="minorEastAsia" w:hAnsiTheme="minorEastAsia" w:eastAsiaTheme="minorEastAsia" w:cstheme="minorEastAsia"/>
          <w:b/>
          <w:color w:val="000000" w:themeColor="text1"/>
          <w:sz w:val="24"/>
          <w:szCs w:val="24"/>
          <w:highlight w:val="none"/>
          <w:shd w:val="clear" w:color="auto" w:fill="auto"/>
          <w:lang w:eastAsia="zh-CN"/>
          <w14:textFill>
            <w14:solidFill>
              <w14:schemeClr w14:val="tx1"/>
            </w14:solidFill>
          </w14:textFill>
        </w:rPr>
        <w:t xml:space="preserve">：</w:t>
      </w:r>
      <w:r/>
    </w:p>
    <w:p>
      <w:pPr>
        <w:pStyle w:val="1398"/>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r>
      <w:r/>
    </w:p>
    <w:p>
      <w:pPr>
        <w:pStyle w:val="1379"/>
        <w:ind w:left="0" w:firstLine="0"/>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七</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Theme="minorEastAsia" w:hAnsiTheme="minorEastAsia" w:eastAsiaTheme="minorEastAsia" w:cstheme="minorEastAsia"/>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格式</w:t>
      </w:r>
      <w:r>
        <w:rPr>
          <w:rFonts w:hint="eastAsia" w:asciiTheme="minorEastAsia" w:hAnsiTheme="minorEastAsia" w:eastAsiaTheme="minorEastAsia" w:cstheme="minorEastAsia"/>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Theme="minorEastAsia" w:hAnsiTheme="minorEastAsia" w:eastAsiaTheme="minorEastAsia" w:cstheme="minorEastAsia"/>
          <w:color w:val="000000" w:themeColor="text1"/>
          <w:sz w:val="32"/>
          <w:szCs w:val="3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名称</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针</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对</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锦旺新村和老旧小区2026—2027年度物业管理服务项目</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7、</w:t>
      </w:r>
      <w:r/>
    </w:p>
    <w:p>
      <w:pPr>
        <w:pStyle w:val="1368"/>
        <w:ind w:left="959" w:hanging="480"/>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8、</w:t>
      </w:r>
      <w:r/>
    </w:p>
    <w:p>
      <w:pPr>
        <w:pStyle w:val="1368"/>
        <w:ind w:left="959" w:hanging="480"/>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（单位）</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1379"/>
        <w:ind w:left="0" w:firstLine="0"/>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79"/>
        <w:ind w:left="0" w:firstLine="0"/>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79"/>
        <w:ind w:left="0" w:firstLine="0"/>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82"/>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68"/>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pStyle w:val="1379"/>
        <w:ind w:left="0" w:firstLine="0"/>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79"/>
        <w:ind w:left="0" w:firstLine="0"/>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79"/>
        <w:ind w:left="0" w:firstLine="0"/>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ind w:firstLine="420"/>
        <w:rPr>
          <w:rFonts w:hint="eastAsia" w:asciiTheme="minorEastAsia" w:hAnsiTheme="minorEastAsia" w:eastAsiaTheme="minorEastAsia" w:cstheme="minorEastAsia"/>
          <w:b/>
          <w:bCs w:val="0"/>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eastAsia" w:asciiTheme="minorEastAsia" w:hAnsiTheme="minorEastAsia" w:eastAsiaTheme="minorEastAsia" w:cstheme="minorEastAsia"/>
          <w:bCs/>
          <w:color w:val="000000" w:themeColor="text1"/>
          <w:sz w:val="28"/>
          <w:szCs w:val="28"/>
          <w:highlight w:val="none"/>
          <w:shd w:val="clear" w:color="auto" w:fill="auto"/>
          <w:lang w:val="en-US"/>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Theme="minorEastAsia" w:hAnsiTheme="minorEastAsia" w:eastAsiaTheme="minorEastAsia" w:cstheme="minorEastAsia"/>
          <w:color w:val="000000" w:themeColor="text1"/>
          <w:sz w:val="21"/>
          <w:szCs w:val="22"/>
          <w:highlight w:val="none"/>
          <w:shd w:val="clear" w:color="auto" w:fill="auto"/>
          <w:lang w:eastAsia="zh-CN"/>
          <w14:textFill>
            <w14:solidFill>
              <w14:schemeClr w14:val="tx1"/>
            </w14:solidFill>
          </w14:textFill>
        </w:rPr>
        <w:t xml:space="preserve">JSZC-320205-JZCG-G2026-0041</w:t>
      </w:r>
      <w:r/>
    </w:p>
    <w:tbl>
      <w:tblPr>
        <w:tblStyle w:val="1364"/>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中</w:t>
            </w:r>
            <w:r>
              <w:rPr>
                <w:rFonts w:hint="eastAsia" w:asciiTheme="minorEastAsia" w:hAnsiTheme="minorEastAsia" w:eastAsiaTheme="minorEastAsia" w:cstheme="minorEastAsia"/>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r>
            <w:r/>
          </w:p>
        </w:tc>
      </w:tr>
    </w:tbl>
    <w:p>
      <w:pP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2"/>
          <w:highlight w:val="none"/>
          <w:shd w:val="clear" w:color="auto" w:fill="auto"/>
          <w14:textFill>
            <w14:solidFill>
              <w14:schemeClr w14:val="tx1"/>
            </w14:solidFill>
          </w14:textFill>
        </w:rPr>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399"/>
        <w:ind w:left="726" w:hanging="98"/>
        <w:jc w:val="both"/>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399"/>
        <w:rPr>
          <w:rFonts w:hint="eastAsia" w:asciiTheme="minorEastAsia" w:hAnsiTheme="minorEastAsia" w:eastAsiaTheme="minorEastAsia" w:cstheme="minorEastAsia"/>
          <w:color w:val="000000" w:themeColor="text1"/>
          <w:sz w:val="32"/>
          <w:szCs w:val="20"/>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32"/>
          <w:szCs w:val="20"/>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398"/>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2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2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398"/>
        <w:numPr>
          <w:ilvl w:val="0"/>
          <w:numId w:val="0"/>
        </w:numP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pStyle w:val="1400"/>
        <w:ind w:firstLine="0"/>
        <w:jc w:val="cente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bl>
      <w:tblPr>
        <w:tblStyle w:val="136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shd w:val="clear" w:color="auto" w:fill="auto"/>
                <w14:textFill>
                  <w14:solidFill>
                    <w14:schemeClr w14:val="tx1"/>
                  </w14:solidFill>
                </w14:textFill>
              </w:rPr>
            </w:r>
            <w:r/>
          </w:p>
        </w:tc>
      </w:tr>
    </w:tbl>
    <w:p>
      <w:pPr>
        <w:jc w:val="left"/>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pStyle w:val="1379"/>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79"/>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pStyle w:val="1379"/>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outlineLvl w:val="2"/>
      </w:pPr>
      <w:r/>
      <w:bookmarkStart w:id="126" w:name="_Toc112006946"/>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简历表</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格式</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Theme="minorEastAsia" w:hAnsiTheme="minorEastAsia" w:eastAsiaTheme="minorEastAsia" w:cstheme="minorEastAsia"/>
          <w:b/>
          <w:color w:val="000000" w:themeColor="text1"/>
          <w:sz w:val="36"/>
          <w:szCs w:val="36"/>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（1）人员配置表</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报价人名称</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盖章</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政府采购编号：</w:t>
      </w:r>
      <w:r>
        <w:rPr>
          <w:rFonts w:hint="eastAsia" w:asciiTheme="minorEastAsia" w:hAnsiTheme="minorEastAsia" w:eastAsiaTheme="minorEastAsia" w:cstheme="minorEastAsia"/>
          <w:color w:val="000000" w:themeColor="text1"/>
          <w:sz w:val="21"/>
          <w:szCs w:val="22"/>
          <w:highlight w:val="none"/>
          <w:shd w:val="clear" w:color="auto" w:fill="auto"/>
          <w:lang w:eastAsia="zh-CN"/>
          <w14:textFill>
            <w14:solidFill>
              <w14:schemeClr w14:val="tx1"/>
            </w14:solidFill>
          </w14:textFill>
        </w:rPr>
        <w:t xml:space="preserve">JSZC-320205-JZCG-G2026-0041</w:t>
      </w:r>
      <w:r/>
    </w:p>
    <w:tbl>
      <w:tblPr>
        <w:tblStyle w:val="1364"/>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tc>
      </w:tr>
    </w:tbl>
    <w:p>
      <w:pPr>
        <w:ind w:left="12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left="120"/>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720"/>
        <w:rPr>
          <w:rFonts w:hint="eastAsia" w:asciiTheme="minorEastAsia" w:hAnsiTheme="minorEastAsia" w:eastAsiaTheme="minorEastAsia" w:cstheme="minorEastAsia"/>
          <w:bCs/>
          <w:color w:val="000000" w:themeColor="text1"/>
          <w:sz w:val="22"/>
          <w:szCs w:val="22"/>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备注：1.</w:t>
      </w:r>
      <w:r>
        <w:rPr>
          <w:rFonts w:hint="eastAsia" w:asciiTheme="minorEastAsia" w:hAnsiTheme="minorEastAsia" w:eastAsiaTheme="minorEastAsia" w:cstheme="minorEastAsia"/>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Theme="minorEastAsia" w:hAnsiTheme="minorEastAsia" w:eastAsiaTheme="minorEastAsia" w:cstheme="minorEastAsia"/>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2"/>
          <w:szCs w:val="22"/>
          <w:highlight w:val="none"/>
          <w:shd w:val="clear" w:color="auto" w:fill="auto"/>
          <w14:textFill>
            <w14:solidFill>
              <w14:schemeClr w14:val="tx1"/>
            </w14:solidFill>
          </w14:textFill>
        </w:rPr>
        <w:t xml:space="preserve">2.</w:t>
      </w:r>
      <w:r>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Theme="minorEastAsia" w:hAnsiTheme="minorEastAsia" w:eastAsiaTheme="minorEastAsia" w:cstheme="minorEastAsia"/>
          <w:bCs/>
          <w:color w:val="000000" w:themeColor="text1"/>
          <w:sz w:val="22"/>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（2）拟派项目</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简历</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364"/>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tc>
      </w:tr>
    </w:tbl>
    <w:p>
      <w:pP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bCs/>
          <w:color w:val="000000" w:themeColor="text1"/>
          <w:szCs w:val="21"/>
          <w:highlight w:val="none"/>
          <w:shd w:val="clear" w:color="auto" w:fill="auto"/>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Theme="minorEastAsia" w:hAnsiTheme="minorEastAsia" w:eastAsiaTheme="minorEastAsia" w:cstheme="minorEastAsia"/>
          <w:bCs/>
          <w:color w:val="000000" w:themeColor="text1"/>
          <w:sz w:val="22"/>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Cs/>
          <w:color w:val="000000" w:themeColor="text1"/>
          <w:szCs w:val="21"/>
          <w:highlight w:val="none"/>
          <w:shd w:val="clear" w:color="auto" w:fill="auto"/>
          <w14:textFill>
            <w14:solidFill>
              <w14:schemeClr w14:val="tx1"/>
            </w14:solidFill>
          </w14:textFill>
        </w:rPr>
        <w:t xml:space="preserve">注：</w:t>
      </w:r>
      <w:r>
        <w:rPr>
          <w:rFonts w:hint="eastAsia" w:asciiTheme="minorEastAsia" w:hAnsiTheme="minorEastAsia" w:eastAsiaTheme="minorEastAsia" w:cstheme="minorEastAsia"/>
          <w:bCs/>
          <w:color w:val="000000" w:themeColor="text1"/>
          <w:szCs w:val="21"/>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Cs w:val="21"/>
          <w:highlight w:val="none"/>
          <w:shd w:val="clear" w:color="auto" w:fill="auto"/>
          <w14:textFill>
            <w14:solidFill>
              <w14:schemeClr w14:val="tx1"/>
            </w14:solidFill>
          </w14:textFill>
        </w:rPr>
        <w:t xml:space="preserve">1.</w:t>
      </w:r>
      <w:r>
        <w:rPr>
          <w:rFonts w:hint="eastAsia" w:asciiTheme="minorEastAsia" w:hAnsiTheme="minorEastAsia" w:eastAsiaTheme="minorEastAsia" w:cstheme="minorEastAsia"/>
          <w:bCs/>
          <w:color w:val="000000" w:themeColor="text1"/>
          <w:szCs w:val="21"/>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2"/>
          <w:highlight w:val="none"/>
          <w:shd w:val="clear" w:color="auto" w:fill="auto"/>
          <w14:textFill>
            <w14:solidFill>
              <w14:schemeClr w14:val="tx1"/>
            </w14:solidFill>
          </w14:textFill>
        </w:rPr>
        <w:t xml:space="preserve">上表可自行延长</w:t>
      </w:r>
      <w:r>
        <w:rPr>
          <w:rFonts w:hint="eastAsia" w:asciiTheme="minorEastAsia" w:hAnsiTheme="minorEastAsia" w:eastAsiaTheme="minorEastAsia" w:cstheme="minorEastAsia"/>
          <w:bCs/>
          <w:color w:val="000000" w:themeColor="text1"/>
          <w:sz w:val="22"/>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4"/>
        </w:numPr>
        <w:ind w:left="0" w:firstLine="470"/>
        <w:jc w:val="left"/>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401"/>
        <w:jc w:val="both"/>
        <w:keepLines/>
        <w:spacing w:before="160" w:after="160"/>
        <w:rPr>
          <w:rFonts w:hint="eastAsia" w:asciiTheme="minorEastAsia" w:hAnsiTheme="minorEastAsia" w:eastAsiaTheme="minorEastAsia" w:cstheme="minorEastAsia"/>
          <w:b/>
          <w:bCs w:val="0"/>
          <w:color w:val="000000" w:themeColor="text1"/>
          <w:sz w:val="24"/>
          <w:szCs w:val="32"/>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）中小企业声明函（格式）</w:t>
      </w:r>
      <w:bookmarkEnd w:id="126"/>
      <w:r>
        <w:rPr>
          <w:rFonts w:hint="eastAsia" w:asciiTheme="minorEastAsia" w:hAnsiTheme="minorEastAsia" w:eastAsiaTheme="minorEastAsia" w:cstheme="minorEastAsia"/>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
          <w:bCs w:val="0"/>
          <w:color w:val="000000" w:themeColor="text1"/>
          <w:sz w:val="36"/>
          <w:szCs w:val="36"/>
          <w:highlight w:val="none"/>
          <w:shd w:val="clear" w:color="auto" w:fill="auto"/>
          <w14:textFill>
            <w14:solidFill>
              <w14:schemeClr w14:val="tx1"/>
            </w14:solidFill>
          </w14:textFill>
        </w:rPr>
      </w:pPr>
      <w:r/>
      <w:bookmarkStart w:id="127" w:name="_Toc112006947"/>
      <w:r>
        <w:rPr>
          <w:rFonts w:hint="eastAsia" w:asciiTheme="minorEastAsia" w:hAnsiTheme="minorEastAsia" w:eastAsiaTheme="minorEastAsia" w:cstheme="minorEastAsia"/>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374"/>
        <w:ind w:firstLine="388"/>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参加</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374"/>
        <w:ind w:firstLine="388"/>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1.</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，属于</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；承接企业为</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万元，资产总额为</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万元，属于</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pStyle w:val="1374"/>
        <w:ind w:firstLine="388"/>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2.</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，属于</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；承接企业为</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，从业人员</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人，营业收入为</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万元，资产</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为</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万元，属于</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Style w:val="1377"/>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pStyle w:val="1374"/>
        <w:ind w:firstLine="388"/>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pStyle w:val="1374"/>
        <w:ind w:firstLine="388"/>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374"/>
        <w:ind w:firstLine="388"/>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374"/>
        <w:ind w:firstLine="388"/>
        <w:jc w:val="right"/>
        <w:spacing w:before="120" w:beforeAutospacing="0" w:after="120" w:afterAutospacing="0"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shd w:val="clear" w:color="auto" w:fill="auto"/>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Theme="minorEastAsia" w:hAnsiTheme="minorEastAsia" w:eastAsiaTheme="minorEastAsia" w:cstheme="minorEastAsia"/>
          <w:color w:val="000000" w:themeColor="text1"/>
          <w:sz w:val="24"/>
          <w:szCs w:val="22"/>
          <w:highlight w:val="none"/>
          <w:shd w:val="clear" w:color="auto" w:fill="auto"/>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Theme="minorEastAsia" w:hAnsiTheme="minorEastAsia" w:eastAsiaTheme="minorEastAsia" w:cstheme="minorEastAsia"/>
          <w:color w:val="000000" w:themeColor="text1"/>
          <w:sz w:val="24"/>
          <w:szCs w:val="22"/>
          <w:highlight w:val="none"/>
          <w:shd w:val="clear" w:color="auto" w:fill="auto"/>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Theme="minorEastAsia" w:hAnsiTheme="minorEastAsia" w:eastAsiaTheme="minorEastAsia" w:cstheme="minorEastAsia"/>
          <w:color w:val="000000" w:themeColor="text1"/>
          <w:sz w:val="24"/>
          <w:szCs w:val="22"/>
          <w:highlight w:val="none"/>
          <w:shd w:val="clear" w:color="auto" w:fill="auto"/>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shd w:val="clear" w:color="auto" w:fill="auto"/>
          <w:lang w:bidi="ar"/>
          <w14:textFill>
            <w14:solidFill>
              <w14:schemeClr w14:val="tx1"/>
            </w14:solidFill>
          </w14:textFill>
        </w:rPr>
      </w:r>
      <w:r/>
    </w:p>
    <w:p>
      <w:pPr>
        <w:pStyle w:val="1401"/>
        <w:jc w:val="both"/>
        <w:keepLines/>
        <w:spacing w:before="160" w:after="160"/>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127"/>
      <w:r/>
      <w:r/>
    </w:p>
    <w:p>
      <w:pPr>
        <w:spacing w:line="588" w:lineRule="exact"/>
        <w:rPr>
          <w:rFonts w:hint="eastAsia" w:asciiTheme="minorEastAsia" w:hAnsiTheme="minorEastAsia" w:eastAsiaTheme="minorEastAsia" w:cstheme="minorEastAsia"/>
          <w:b/>
          <w:color w:val="000000" w:themeColor="text1"/>
          <w:spacing w:val="6"/>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
          <w:color w:val="000000" w:themeColor="text1"/>
          <w:spacing w:val="6"/>
          <w:sz w:val="28"/>
          <w:szCs w:val="28"/>
          <w:highlight w:val="none"/>
          <w:shd w:val="clear" w:color="auto" w:fill="auto"/>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单位的</w:t>
      </w:r>
      <w:r>
        <w:rPr>
          <w:rFonts w:hint="eastAsia" w:asciiTheme="minorEastAsia" w:hAnsiTheme="minorEastAsia" w:eastAsiaTheme="minorEastAsia" w:cstheme="minorEastAsia"/>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u w:val="single"/>
          <w:shd w:val="clear" w:color="auto" w:fill="auto"/>
          <w14:textFill>
            <w14:solidFill>
              <w14:schemeClr w14:val="tx1"/>
            </w14:solidFill>
          </w14:textFill>
        </w:rPr>
        <w:t xml:space="preserve">项目</w:t>
      </w:r>
      <w:r>
        <w:rPr>
          <w:rFonts w:hint="eastAsia" w:asciiTheme="minorEastAsia" w:hAnsiTheme="minorEastAsia" w:eastAsiaTheme="minorEastAsia" w:cstheme="minorEastAsia"/>
          <w:bCs/>
          <w:color w:val="000000" w:themeColor="text1"/>
          <w:sz w:val="24"/>
          <w:szCs w:val="24"/>
          <w:highlight w:val="none"/>
          <w:u w:val="single"/>
          <w:shd w:val="clear" w:color="auto" w:fill="auto"/>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jc w:val="left"/>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pP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Theme="minorEastAsia" w:hAnsiTheme="minorEastAsia" w:eastAsiaTheme="minorEastAsia" w:cstheme="minorEastAsia"/>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Theme="minorEastAsia" w:hAnsiTheme="minorEastAsia" w:eastAsiaTheme="minorEastAsia" w:cstheme="minorEastAsia"/>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Theme="minorEastAsia" w:hAnsiTheme="minorEastAsia" w:eastAsiaTheme="minorEastAsia" w:cstheme="minorEastAsia"/>
          <w:bCs/>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pStyle w:val="1401"/>
        <w:jc w:val="both"/>
        <w:keepLines/>
        <w:spacing w:before="160" w:after="160"/>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pPr>
      <w:r/>
      <w:bookmarkStart w:id="128" w:name="_Toc112006949"/>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（十</w:t>
      </w:r>
      <w:r>
        <w:rPr>
          <w:rFonts w:hint="eastAsia" w:asciiTheme="minorEastAsia" w:hAnsiTheme="minorEastAsia" w:eastAsiaTheme="minorEastAsia" w:cstheme="minorEastAsia"/>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）其他材料</w:t>
      </w:r>
      <w:bookmarkEnd w:id="128"/>
      <w:r>
        <w:rPr>
          <w:rFonts w:hint="eastAsia" w:asciiTheme="minorEastAsia" w:hAnsiTheme="minorEastAsia" w:eastAsiaTheme="minorEastAsia" w:cstheme="minorEastAsia"/>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名称</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公章</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签字</w:t>
      </w:r>
      <w:r>
        <w:rPr>
          <w:rFonts w:hint="eastAsia" w:asciiTheme="minorEastAsia" w:hAnsiTheme="minorEastAsia" w:eastAsiaTheme="minorEastAsia" w:cstheme="minorEastAsia"/>
          <w:color w:val="000000" w:themeColor="text1"/>
          <w:sz w:val="24"/>
          <w:szCs w:val="24"/>
          <w:highlight w:val="none"/>
          <w:shd w:val="clear" w:color="auto" w:fill="auto"/>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Theme="minorEastAsia" w:hAnsiTheme="minorEastAsia" w:eastAsiaTheme="minorEastAsia" w:cstheme="minorEastAsia"/>
          <w:b/>
          <w:bCs/>
          <w:color w:val="000000" w:themeColor="text1"/>
          <w:sz w:val="24"/>
          <w:szCs w:val="24"/>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sz w:val="21"/>
          <w:szCs w:val="22"/>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pPr>
      <w:r>
        <w:rPr>
          <w:rFonts w:hint="eastAsia" w:asciiTheme="minorEastAsia" w:hAnsiTheme="minorEastAsia" w:eastAsiaTheme="minorEastAsia" w:cstheme="minorEastAsia"/>
          <w:color w:val="000000" w:themeColor="text1"/>
          <w:highlight w:val="none"/>
          <w:shd w:val="clear" w:color="auto" w:fill="auto"/>
          <w14:textFill>
            <w14:solidFill>
              <w14:schemeClr w14:val="tx1"/>
            </w14:solidFill>
          </w14:textFill>
        </w:rPr>
      </w:r>
      <w:r/>
    </w:p>
    <w:p>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Courier New">
    <w:panose1 w:val="02070309020205020404"/>
  </w:font>
  <w:font w:name="黑体">
    <w:panose1 w:val="02010609060101010101"/>
  </w:font>
  <w:font w:name="华文中宋">
    <w:panose1 w:val="02010600040101010101"/>
  </w:font>
  <w:font w:name="SimSun">
    <w:panose1 w:val="02010600030101010101"/>
  </w:font>
  <w:font w:name="宋体">
    <w:panose1 w:val="02010600030101010101"/>
  </w:font>
  <w:font w:name="文鼎小标宋简">
    <w:panose1 w:val="020B0503020202020204"/>
  </w:font>
  <w:font w:name="Calibri">
    <w:panose1 w:val="020F0502020204030204"/>
  </w:font>
  <w:font w:name="楷体_GB2312">
    <w:panose1 w:val="0201060906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ind w:left="6569"/>
      <w:spacing w:line="209" w:lineRule="auto"/>
      <w:rPr>
        <w:sz w:val="18"/>
        <w:szCs w:val="1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tabs>
        <w:tab w:val="center" w:pos="4153" w:leader="none"/>
        <w:tab w:val="clear" w:pos="7143" w:leader="none"/>
        <w:tab w:val="right" w:pos="8306" w:leader="none"/>
        <w:tab w:val="clear" w:pos="14287"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tabs>
        <w:tab w:val="center" w:pos="4153" w:leader="none"/>
        <w:tab w:val="clear" w:pos="7143" w:leader="none"/>
        <w:tab w:val="right" w:pos="8306" w:leader="none"/>
        <w:tab w:val="clear" w:pos="14287"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ind w:left="6569"/>
      <w:spacing w:line="209" w:lineRule="auto"/>
      <w:rPr>
        <w:sz w:val="18"/>
        <w:szCs w:val="1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tabs>
        <w:tab w:val="center" w:pos="4153" w:leader="none"/>
        <w:tab w:val="clear" w:pos="7143" w:leader="none"/>
        <w:tab w:val="right" w:pos="8306" w:leader="none"/>
        <w:tab w:val="clear" w:pos="14287"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13</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ind w:left="6569"/>
      <w:spacing w:line="209" w:lineRule="auto"/>
      <w:rPr>
        <w:sz w:val="18"/>
        <w:szCs w:val="1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ind w:left="6524"/>
      <w:spacing w:line="209" w:lineRule="auto"/>
      <w:rPr>
        <w:sz w:val="18"/>
        <w:szCs w:val="1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center"/>
    </w:pPr>
    <w:r>
      <w:fldChar w:fldCharType="begin"/>
    </w:r>
    <w:r>
      <w:instrText xml:space="preserve">PAGE   \* MERGEFORMAT</w:instrText>
    </w:r>
    <w:r>
      <w:fldChar w:fldCharType="separate"/>
    </w:r>
    <w:r>
      <w:rPr>
        <w:lang w:val="zh-CN"/>
      </w:rPr>
      <w:t xml:space="preserve">2</w:t>
    </w:r>
    <w:r>
      <w:fldChar w:fldCharType="end"/>
    </w:r>
    <w:r/>
  </w:p>
  <w:p>
    <w:pPr>
      <w:pStyle w:val="137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center"/>
    </w:pPr>
    <w:r>
      <w:fldChar w:fldCharType="begin"/>
    </w:r>
    <w:r>
      <w:instrText xml:space="preserve">PAGE   \* MERGEFORMAT</w:instrText>
    </w:r>
    <w:r>
      <w:fldChar w:fldCharType="separate"/>
    </w:r>
    <w:r>
      <w:rPr>
        <w:lang w:val="zh-CN"/>
      </w:rPr>
      <w:t xml:space="preserve">2</w:t>
    </w:r>
    <w:r>
      <w:fldChar w:fldCharType="end"/>
    </w:r>
    <w:r/>
  </w:p>
  <w:p>
    <w:pPr>
      <w:pStyle w:val="137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center"/>
    </w:pPr>
    <w:r>
      <w:fldChar w:fldCharType="begin"/>
    </w:r>
    <w:r>
      <w:instrText xml:space="preserve">PAGE   \* MERGEFORMAT</w:instrText>
    </w:r>
    <w:r>
      <w:fldChar w:fldCharType="separate"/>
    </w:r>
    <w:r>
      <w:rPr>
        <w:lang w:val="zh-CN"/>
      </w:rPr>
      <w:t xml:space="preserve">2</w:t>
    </w:r>
    <w:r>
      <w:fldChar w:fldCharType="end"/>
    </w:r>
    <w:r/>
  </w:p>
  <w:p>
    <w:pPr>
      <w:pStyle w:val="137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center"/>
    </w:pPr>
    <w:r>
      <w:fldChar w:fldCharType="begin"/>
    </w:r>
    <w:r>
      <w:instrText xml:space="preserve">PAGE   \* MERGEFORMAT</w:instrText>
    </w:r>
    <w:r>
      <w:fldChar w:fldCharType="separate"/>
    </w:r>
    <w:r>
      <w:rPr>
        <w:lang w:val="zh-CN"/>
      </w:rPr>
      <w:t xml:space="preserve">2</w:t>
    </w:r>
    <w:r>
      <w:fldChar w:fldCharType="end"/>
    </w:r>
    <w:r/>
  </w:p>
  <w:p>
    <w:pPr>
      <w:pStyle w:val="137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ind w:left="6526"/>
      <w:spacing w:line="209" w:lineRule="auto"/>
      <w:rPr>
        <w:sz w:val="18"/>
        <w:szCs w:val="1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7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ind w:left="6526"/>
      <w:spacing w:line="209" w:lineRule="auto"/>
      <w:rPr>
        <w:sz w:val="18"/>
        <w:szCs w:val="18"/>
      </w:rPr>
    </w:pPr>
    <w:r>
      <w:rPr>
        <w:spacing w:val="-7"/>
        <w:sz w:val="18"/>
        <w:szCs w:val="18"/>
      </w:rPr>
      <w:t xml:space="preserve">第</w:t>
    </w:r>
    <w:r>
      <w:rPr>
        <w:spacing w:val="16"/>
        <w:sz w:val="18"/>
        <w:szCs w:val="18"/>
      </w:rPr>
      <w:t xml:space="preserve"> </w:t>
    </w:r>
    <w:r>
      <w:rPr>
        <w:rFonts w:ascii="Calibri" w:hAnsi="Calibri" w:eastAsia="Calibri" w:cs="Calibri"/>
        <w:spacing w:val="-7"/>
        <w:sz w:val="18"/>
        <w:szCs w:val="18"/>
      </w:rPr>
      <w:t xml:space="preserve">27</w:t>
    </w:r>
    <w:r>
      <w:rPr>
        <w:rFonts w:ascii="Calibri" w:hAnsi="Calibri" w:eastAsia="Calibri" w:cs="Calibri"/>
        <w:spacing w:val="10"/>
        <w:sz w:val="18"/>
        <w:szCs w:val="18"/>
      </w:rPr>
      <w:t xml:space="preserve">  </w:t>
    </w:r>
    <w:r>
      <w:rPr>
        <w:spacing w:val="-7"/>
        <w:sz w:val="18"/>
        <w:szCs w:val="18"/>
      </w:rPr>
      <w:t xml:space="preserve">页</w:t>
    </w:r>
    <w:r>
      <w:rPr>
        <w:spacing w:val="7"/>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both"/>
      <w:rPr>
        <w:rFonts w:hint="eastAsia" w:eastAsia="楷体_GB2312"/>
        <w:sz w:val="21"/>
        <w:lang w:eastAsia="zh-CN"/>
      </w:rPr>
    </w:pPr>
    <w:r>
      <w:rPr>
        <w:rFonts w:hint="eastAsia" w:eastAsia="楷体_GB2312"/>
        <w:sz w:val="21"/>
        <w:lang w:eastAsia="zh-CN"/>
      </w:rPr>
    </w:r>
    <w:r/>
  </w:p>
  <w:p>
    <w:pPr>
      <w:pStyle w:val="1402"/>
      <w:jc w:val="both"/>
      <w:rPr>
        <w:rFonts w:hint="eastAsia" w:eastAsia="楷体_GB2312"/>
        <w:sz w:val="21"/>
        <w:lang w:eastAsia="zh-CN"/>
      </w:rPr>
    </w:pPr>
    <w:r>
      <w:rPr>
        <w:rFonts w:hint="eastAsia" w:eastAsia="楷体_GB2312"/>
        <w:sz w:val="21"/>
        <w:lang w:eastAsia="zh-CN"/>
      </w:rPr>
    </w:r>
    <w:r/>
  </w:p>
  <w:p>
    <w:pPr>
      <w:pStyle w:val="1402"/>
      <w:ind w:left="1100" w:hanging="1100"/>
      <w:jc w:val="both"/>
      <w:rPr>
        <w:rFonts w:hint="eastAsia" w:ascii="宋体" w:hAnsi="宋体" w:eastAsia="宋体" w:cs="宋体"/>
        <w:sz w:val="15"/>
        <w:szCs w:val="15"/>
      </w:rPr>
    </w:pPr>
    <w:r>
      <w:rPr>
        <w:rFonts w:hint="eastAsia" w:eastAsia="楷体_GB2312"/>
        <w:sz w:val="22"/>
        <w:szCs w:val="20"/>
        <w:lang w:eastAsia="zh-CN"/>
      </w:rPr>
      <w:t xml:space="preserve">JSZC-320205-JZCG-G2026-0041</w:t>
    </w:r>
    <w:r>
      <w:rPr>
        <w:rFonts w:hint="eastAsia" w:ascii="宋体" w:hAnsi="宋体" w:eastAsia="宋体" w:cs="宋体"/>
        <w:sz w:val="20"/>
        <w:szCs w:val="20"/>
      </w:rPr>
      <w:t xml:space="preserve">  </w:t>
    </w:r>
    <w:r>
      <w:rPr>
        <w:rFonts w:hint="eastAsia" w:eastAsia="楷体_GB2312"/>
        <w:sz w:val="22"/>
        <w:szCs w:val="20"/>
      </w:rPr>
      <w:t xml:space="preserve">  </w:t>
    </w:r>
    <w:r>
      <w:rPr>
        <w:rFonts w:hint="eastAsia" w:eastAsia="楷体_GB2312"/>
        <w:sz w:val="20"/>
        <w:szCs w:val="20"/>
        <w:lang w:val="en-US" w:eastAsia="zh-CN"/>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both"/>
      <w:rPr>
        <w:rFonts w:hint="eastAsia" w:ascii="宋体" w:hAnsi="宋体" w:eastAsia="宋体" w:cs="宋体"/>
        <w:sz w:val="15"/>
        <w:szCs w:val="15"/>
      </w:rPr>
    </w:pPr>
    <w:r>
      <w:rPr>
        <w:rFonts w:hint="eastAsia" w:eastAsia="楷体_GB2312"/>
        <w:sz w:val="21"/>
        <w:lang w:eastAsia="zh-CN"/>
      </w:rPr>
      <w:t xml:space="preserve">JSZC-320205-JZCG-G2026-0041</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JSZC-320205-JZCG-G2026-0041</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89">
    <w:name w:val="Heading 1"/>
    <w:basedOn w:val="1361"/>
    <w:next w:val="1361"/>
    <w:link w:val="1190"/>
    <w:uiPriority w:val="9"/>
    <w:qFormat/>
    <w:pPr>
      <w:keepLines/>
      <w:keepNext/>
      <w:spacing w:before="480" w:after="200"/>
      <w:outlineLvl w:val="0"/>
    </w:pPr>
    <w:rPr>
      <w:rFonts w:ascii="Arial" w:hAnsi="Arial" w:eastAsia="Arial" w:cs="Arial"/>
      <w:sz w:val="40"/>
      <w:szCs w:val="40"/>
    </w:rPr>
  </w:style>
  <w:style w:type="character" w:styleId="1190">
    <w:name w:val="Heading 1 Char"/>
    <w:basedOn w:val="1363"/>
    <w:link w:val="1189"/>
    <w:uiPriority w:val="9"/>
    <w:rPr>
      <w:rFonts w:ascii="Arial" w:hAnsi="Arial" w:eastAsia="Arial" w:cs="Arial"/>
      <w:sz w:val="40"/>
      <w:szCs w:val="40"/>
    </w:rPr>
  </w:style>
  <w:style w:type="paragraph" w:styleId="1191">
    <w:name w:val="Heading 2"/>
    <w:basedOn w:val="1361"/>
    <w:next w:val="1361"/>
    <w:link w:val="1192"/>
    <w:uiPriority w:val="9"/>
    <w:unhideWhenUsed/>
    <w:qFormat/>
    <w:pPr>
      <w:keepLines/>
      <w:keepNext/>
      <w:spacing w:before="360" w:after="200"/>
      <w:outlineLvl w:val="1"/>
    </w:pPr>
    <w:rPr>
      <w:rFonts w:ascii="Arial" w:hAnsi="Arial" w:eastAsia="Arial" w:cs="Arial"/>
      <w:sz w:val="34"/>
    </w:rPr>
  </w:style>
  <w:style w:type="character" w:styleId="1192">
    <w:name w:val="Heading 2 Char"/>
    <w:basedOn w:val="1363"/>
    <w:link w:val="1191"/>
    <w:uiPriority w:val="9"/>
    <w:rPr>
      <w:rFonts w:ascii="Arial" w:hAnsi="Arial" w:eastAsia="Arial" w:cs="Arial"/>
      <w:sz w:val="34"/>
    </w:rPr>
  </w:style>
  <w:style w:type="paragraph" w:styleId="1193">
    <w:name w:val="Heading 3"/>
    <w:basedOn w:val="1361"/>
    <w:next w:val="1361"/>
    <w:link w:val="1194"/>
    <w:uiPriority w:val="9"/>
    <w:unhideWhenUsed/>
    <w:qFormat/>
    <w:pPr>
      <w:keepLines/>
      <w:keepNext/>
      <w:spacing w:before="320" w:after="200"/>
      <w:outlineLvl w:val="2"/>
    </w:pPr>
    <w:rPr>
      <w:rFonts w:ascii="Arial" w:hAnsi="Arial" w:eastAsia="Arial" w:cs="Arial"/>
      <w:sz w:val="30"/>
      <w:szCs w:val="30"/>
    </w:rPr>
  </w:style>
  <w:style w:type="character" w:styleId="1194">
    <w:name w:val="Heading 3 Char"/>
    <w:basedOn w:val="1363"/>
    <w:link w:val="1193"/>
    <w:uiPriority w:val="9"/>
    <w:rPr>
      <w:rFonts w:ascii="Arial" w:hAnsi="Arial" w:eastAsia="Arial" w:cs="Arial"/>
      <w:sz w:val="30"/>
      <w:szCs w:val="30"/>
    </w:rPr>
  </w:style>
  <w:style w:type="character" w:styleId="1195">
    <w:name w:val="Heading 4 Char"/>
    <w:basedOn w:val="1363"/>
    <w:link w:val="1362"/>
    <w:uiPriority w:val="9"/>
    <w:rPr>
      <w:rFonts w:ascii="Arial" w:hAnsi="Arial" w:eastAsia="Arial" w:cs="Arial"/>
      <w:b/>
      <w:bCs/>
      <w:sz w:val="26"/>
      <w:szCs w:val="26"/>
    </w:rPr>
  </w:style>
  <w:style w:type="paragraph" w:styleId="1196">
    <w:name w:val="Heading 5"/>
    <w:basedOn w:val="1361"/>
    <w:next w:val="1361"/>
    <w:link w:val="1197"/>
    <w:uiPriority w:val="9"/>
    <w:unhideWhenUsed/>
    <w:qFormat/>
    <w:pPr>
      <w:keepLines/>
      <w:keepNext/>
      <w:spacing w:before="320" w:after="200"/>
      <w:outlineLvl w:val="4"/>
    </w:pPr>
    <w:rPr>
      <w:rFonts w:ascii="Arial" w:hAnsi="Arial" w:eastAsia="Arial" w:cs="Arial"/>
      <w:b/>
      <w:bCs/>
      <w:sz w:val="24"/>
      <w:szCs w:val="24"/>
    </w:rPr>
  </w:style>
  <w:style w:type="character" w:styleId="1197">
    <w:name w:val="Heading 5 Char"/>
    <w:basedOn w:val="1363"/>
    <w:link w:val="1196"/>
    <w:uiPriority w:val="9"/>
    <w:rPr>
      <w:rFonts w:ascii="Arial" w:hAnsi="Arial" w:eastAsia="Arial" w:cs="Arial"/>
      <w:b/>
      <w:bCs/>
      <w:sz w:val="24"/>
      <w:szCs w:val="24"/>
    </w:rPr>
  </w:style>
  <w:style w:type="paragraph" w:styleId="1198">
    <w:name w:val="Heading 6"/>
    <w:basedOn w:val="1361"/>
    <w:next w:val="1361"/>
    <w:link w:val="1199"/>
    <w:uiPriority w:val="9"/>
    <w:unhideWhenUsed/>
    <w:qFormat/>
    <w:pPr>
      <w:keepLines/>
      <w:keepNext/>
      <w:spacing w:before="320" w:after="200"/>
      <w:outlineLvl w:val="5"/>
    </w:pPr>
    <w:rPr>
      <w:rFonts w:ascii="Arial" w:hAnsi="Arial" w:eastAsia="Arial" w:cs="Arial"/>
      <w:b/>
      <w:bCs/>
      <w:sz w:val="22"/>
      <w:szCs w:val="22"/>
    </w:rPr>
  </w:style>
  <w:style w:type="character" w:styleId="1199">
    <w:name w:val="Heading 6 Char"/>
    <w:basedOn w:val="1363"/>
    <w:link w:val="1198"/>
    <w:uiPriority w:val="9"/>
    <w:rPr>
      <w:rFonts w:ascii="Arial" w:hAnsi="Arial" w:eastAsia="Arial" w:cs="Arial"/>
      <w:b/>
      <w:bCs/>
      <w:sz w:val="22"/>
      <w:szCs w:val="22"/>
    </w:rPr>
  </w:style>
  <w:style w:type="paragraph" w:styleId="1200">
    <w:name w:val="Heading 7"/>
    <w:basedOn w:val="1361"/>
    <w:next w:val="1361"/>
    <w:link w:val="1201"/>
    <w:uiPriority w:val="9"/>
    <w:unhideWhenUsed/>
    <w:qFormat/>
    <w:pPr>
      <w:keepLines/>
      <w:keepNext/>
      <w:spacing w:before="320" w:after="200"/>
      <w:outlineLvl w:val="6"/>
    </w:pPr>
    <w:rPr>
      <w:rFonts w:ascii="Arial" w:hAnsi="Arial" w:eastAsia="Arial" w:cs="Arial"/>
      <w:b/>
      <w:bCs/>
      <w:i/>
      <w:iCs/>
      <w:sz w:val="22"/>
      <w:szCs w:val="22"/>
    </w:rPr>
  </w:style>
  <w:style w:type="character" w:styleId="1201">
    <w:name w:val="Heading 7 Char"/>
    <w:basedOn w:val="1363"/>
    <w:link w:val="1200"/>
    <w:uiPriority w:val="9"/>
    <w:rPr>
      <w:rFonts w:ascii="Arial" w:hAnsi="Arial" w:eastAsia="Arial" w:cs="Arial"/>
      <w:b/>
      <w:bCs/>
      <w:i/>
      <w:iCs/>
      <w:sz w:val="22"/>
      <w:szCs w:val="22"/>
    </w:rPr>
  </w:style>
  <w:style w:type="paragraph" w:styleId="1202">
    <w:name w:val="Heading 8"/>
    <w:basedOn w:val="1361"/>
    <w:next w:val="1361"/>
    <w:link w:val="1203"/>
    <w:uiPriority w:val="9"/>
    <w:unhideWhenUsed/>
    <w:qFormat/>
    <w:pPr>
      <w:keepLines/>
      <w:keepNext/>
      <w:spacing w:before="320" w:after="200"/>
      <w:outlineLvl w:val="7"/>
    </w:pPr>
    <w:rPr>
      <w:rFonts w:ascii="Arial" w:hAnsi="Arial" w:eastAsia="Arial" w:cs="Arial"/>
      <w:i/>
      <w:iCs/>
      <w:sz w:val="22"/>
      <w:szCs w:val="22"/>
    </w:rPr>
  </w:style>
  <w:style w:type="character" w:styleId="1203">
    <w:name w:val="Heading 8 Char"/>
    <w:basedOn w:val="1363"/>
    <w:link w:val="1202"/>
    <w:uiPriority w:val="9"/>
    <w:rPr>
      <w:rFonts w:ascii="Arial" w:hAnsi="Arial" w:eastAsia="Arial" w:cs="Arial"/>
      <w:i/>
      <w:iCs/>
      <w:sz w:val="22"/>
      <w:szCs w:val="22"/>
    </w:rPr>
  </w:style>
  <w:style w:type="paragraph" w:styleId="1204">
    <w:name w:val="Heading 9"/>
    <w:basedOn w:val="1361"/>
    <w:next w:val="1361"/>
    <w:link w:val="1205"/>
    <w:uiPriority w:val="9"/>
    <w:unhideWhenUsed/>
    <w:qFormat/>
    <w:pPr>
      <w:keepLines/>
      <w:keepNext/>
      <w:spacing w:before="320" w:after="200"/>
      <w:outlineLvl w:val="8"/>
    </w:pPr>
    <w:rPr>
      <w:rFonts w:ascii="Arial" w:hAnsi="Arial" w:eastAsia="Arial" w:cs="Arial"/>
      <w:i/>
      <w:iCs/>
      <w:sz w:val="21"/>
      <w:szCs w:val="21"/>
    </w:rPr>
  </w:style>
  <w:style w:type="character" w:styleId="1205">
    <w:name w:val="Heading 9 Char"/>
    <w:basedOn w:val="1363"/>
    <w:link w:val="1204"/>
    <w:uiPriority w:val="9"/>
    <w:rPr>
      <w:rFonts w:ascii="Arial" w:hAnsi="Arial" w:eastAsia="Arial" w:cs="Arial"/>
      <w:i/>
      <w:iCs/>
      <w:sz w:val="21"/>
      <w:szCs w:val="21"/>
    </w:rPr>
  </w:style>
  <w:style w:type="paragraph" w:styleId="1206">
    <w:name w:val="No Spacing"/>
    <w:uiPriority w:val="1"/>
    <w:qFormat/>
    <w:pPr>
      <w:spacing w:before="0" w:after="0" w:line="240" w:lineRule="auto"/>
    </w:pPr>
  </w:style>
  <w:style w:type="paragraph" w:styleId="1207">
    <w:name w:val="Title"/>
    <w:basedOn w:val="1361"/>
    <w:next w:val="1361"/>
    <w:link w:val="1208"/>
    <w:uiPriority w:val="10"/>
    <w:qFormat/>
    <w:pPr>
      <w:contextualSpacing/>
      <w:spacing w:before="300" w:after="200"/>
    </w:pPr>
    <w:rPr>
      <w:sz w:val="48"/>
      <w:szCs w:val="48"/>
    </w:rPr>
  </w:style>
  <w:style w:type="character" w:styleId="1208">
    <w:name w:val="Title Char"/>
    <w:basedOn w:val="1363"/>
    <w:link w:val="1207"/>
    <w:uiPriority w:val="10"/>
    <w:rPr>
      <w:sz w:val="48"/>
      <w:szCs w:val="48"/>
    </w:rPr>
  </w:style>
  <w:style w:type="character" w:styleId="1209">
    <w:name w:val="Subtitle Char"/>
    <w:basedOn w:val="1363"/>
    <w:link w:val="1372"/>
    <w:uiPriority w:val="11"/>
    <w:rPr>
      <w:sz w:val="24"/>
      <w:szCs w:val="24"/>
    </w:rPr>
  </w:style>
  <w:style w:type="paragraph" w:styleId="1210">
    <w:name w:val="Quote"/>
    <w:basedOn w:val="1361"/>
    <w:next w:val="1361"/>
    <w:link w:val="1211"/>
    <w:uiPriority w:val="29"/>
    <w:qFormat/>
    <w:pPr>
      <w:ind w:left="720" w:right="720"/>
    </w:pPr>
    <w:rPr>
      <w:i/>
    </w:rPr>
  </w:style>
  <w:style w:type="character" w:styleId="1211">
    <w:name w:val="Quote Char"/>
    <w:link w:val="1210"/>
    <w:uiPriority w:val="29"/>
    <w:rPr>
      <w:i/>
    </w:rPr>
  </w:style>
  <w:style w:type="paragraph" w:styleId="1212">
    <w:name w:val="Intense Quote"/>
    <w:basedOn w:val="1361"/>
    <w:next w:val="1361"/>
    <w:link w:val="12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3">
    <w:name w:val="Intense Quote Char"/>
    <w:link w:val="1212"/>
    <w:uiPriority w:val="30"/>
    <w:rPr>
      <w:i/>
    </w:rPr>
  </w:style>
  <w:style w:type="character" w:styleId="1214">
    <w:name w:val="Header Char"/>
    <w:basedOn w:val="1363"/>
    <w:link w:val="1371"/>
    <w:uiPriority w:val="99"/>
  </w:style>
  <w:style w:type="character" w:styleId="1215">
    <w:name w:val="Footer Char"/>
    <w:basedOn w:val="1363"/>
    <w:link w:val="1370"/>
    <w:uiPriority w:val="99"/>
  </w:style>
  <w:style w:type="paragraph" w:styleId="1216">
    <w:name w:val="Caption"/>
    <w:basedOn w:val="1361"/>
    <w:next w:val="1361"/>
    <w:uiPriority w:val="35"/>
    <w:semiHidden/>
    <w:unhideWhenUsed/>
    <w:qFormat/>
    <w:pPr>
      <w:spacing w:line="276" w:lineRule="auto"/>
    </w:pPr>
    <w:rPr>
      <w:b/>
      <w:bCs/>
      <w:color w:val="4f81bd" w:themeColor="accent1"/>
      <w:sz w:val="18"/>
      <w:szCs w:val="18"/>
    </w:rPr>
  </w:style>
  <w:style w:type="character" w:styleId="1217">
    <w:name w:val="Caption Char"/>
    <w:basedOn w:val="1216"/>
    <w:link w:val="1370"/>
    <w:uiPriority w:val="99"/>
  </w:style>
  <w:style w:type="table" w:styleId="1218">
    <w:name w:val="Table Grid Light"/>
    <w:basedOn w:val="13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9">
    <w:name w:val="Plain Table 1"/>
    <w:basedOn w:val="13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0">
    <w:name w:val="Plain Table 2"/>
    <w:basedOn w:val="13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1">
    <w:name w:val="Plain Table 3"/>
    <w:basedOn w:val="13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2">
    <w:name w:val="Plain Table 4"/>
    <w:basedOn w:val="13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3">
    <w:name w:val="Plain Table 5"/>
    <w:basedOn w:val="13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24">
    <w:name w:val="Grid Table 1 Light"/>
    <w:basedOn w:val="13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5">
    <w:name w:val="Grid Table 1 Light - Accent 1"/>
    <w:basedOn w:val="13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6">
    <w:name w:val="Grid Table 1 Light - Accent 2"/>
    <w:basedOn w:val="13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7">
    <w:name w:val="Grid Table 1 Light - Accent 3"/>
    <w:basedOn w:val="13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8">
    <w:name w:val="Grid Table 1 Light - Accent 4"/>
    <w:basedOn w:val="13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9">
    <w:name w:val="Grid Table 1 Light - Accent 5"/>
    <w:basedOn w:val="13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30">
    <w:name w:val="Grid Table 1 Light - Accent 6"/>
    <w:basedOn w:val="13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31">
    <w:name w:val="Grid Table 2"/>
    <w:basedOn w:val="13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32">
    <w:name w:val="Grid Table 2 - Accent 1"/>
    <w:basedOn w:val="13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33">
    <w:name w:val="Grid Table 2 - Accent 2"/>
    <w:basedOn w:val="13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34">
    <w:name w:val="Grid Table 2 - Accent 3"/>
    <w:basedOn w:val="13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5">
    <w:name w:val="Grid Table 2 - Accent 4"/>
    <w:basedOn w:val="13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6">
    <w:name w:val="Grid Table 2 - Accent 5"/>
    <w:basedOn w:val="13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7">
    <w:name w:val="Grid Table 2 - Accent 6"/>
    <w:basedOn w:val="13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8">
    <w:name w:val="Grid Table 3"/>
    <w:basedOn w:val="13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3 - Accent 1"/>
    <w:basedOn w:val="13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0">
    <w:name w:val="Grid Table 3 - Accent 2"/>
    <w:basedOn w:val="13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1">
    <w:name w:val="Grid Table 3 - Accent 3"/>
    <w:basedOn w:val="13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2">
    <w:name w:val="Grid Table 3 - Accent 4"/>
    <w:basedOn w:val="13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3">
    <w:name w:val="Grid Table 3 - Accent 5"/>
    <w:basedOn w:val="13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4">
    <w:name w:val="Grid Table 3 - Accent 6"/>
    <w:basedOn w:val="13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5">
    <w:name w:val="Grid Table 4"/>
    <w:basedOn w:val="13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6">
    <w:name w:val="Grid Table 4 - Accent 1"/>
    <w:basedOn w:val="13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7">
    <w:name w:val="Grid Table 4 - Accent 2"/>
    <w:basedOn w:val="13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8">
    <w:name w:val="Grid Table 4 - Accent 3"/>
    <w:basedOn w:val="13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9">
    <w:name w:val="Grid Table 4 - Accent 4"/>
    <w:basedOn w:val="13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50">
    <w:name w:val="Grid Table 4 - Accent 5"/>
    <w:basedOn w:val="13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51">
    <w:name w:val="Grid Table 4 - Accent 6"/>
    <w:basedOn w:val="13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52">
    <w:name w:val="Grid Table 5 Dark"/>
    <w:basedOn w:val="13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53">
    <w:name w:val="Grid Table 5 Dark- Accent 1"/>
    <w:basedOn w:val="13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254">
    <w:name w:val="Grid Table 5 Dark - Accent 2"/>
    <w:basedOn w:val="13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255">
    <w:name w:val="Grid Table 5 Dark - Accent 3"/>
    <w:basedOn w:val="13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256">
    <w:name w:val="Grid Table 5 Dark- Accent 4"/>
    <w:basedOn w:val="13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257">
    <w:name w:val="Grid Table 5 Dark - Accent 5"/>
    <w:basedOn w:val="13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258">
    <w:name w:val="Grid Table 5 Dark - Accent 6"/>
    <w:basedOn w:val="13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259">
    <w:name w:val="Grid Table 6 Colorful"/>
    <w:basedOn w:val="13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60">
    <w:name w:val="Grid Table 6 Colorful - Accent 1"/>
    <w:basedOn w:val="13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261">
    <w:name w:val="Grid Table 6 Colorful - Accent 2"/>
    <w:basedOn w:val="13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262">
    <w:name w:val="Grid Table 6 Colorful - Accent 3"/>
    <w:basedOn w:val="13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263">
    <w:name w:val="Grid Table 6 Colorful - Accent 4"/>
    <w:basedOn w:val="13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264">
    <w:name w:val="Grid Table 6 Colorful - Accent 5"/>
    <w:basedOn w:val="13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265">
    <w:name w:val="Grid Table 6 Colorful - Accent 6"/>
    <w:basedOn w:val="13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266">
    <w:name w:val="Grid Table 7 Colorful"/>
    <w:basedOn w:val="13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7">
    <w:name w:val="Grid Table 7 Colorful - Accent 1"/>
    <w:basedOn w:val="13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8">
    <w:name w:val="Grid Table 7 Colorful - Accent 2"/>
    <w:basedOn w:val="13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9">
    <w:name w:val="Grid Table 7 Colorful - Accent 3"/>
    <w:basedOn w:val="13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70">
    <w:name w:val="Grid Table 7 Colorful - Accent 4"/>
    <w:basedOn w:val="13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71">
    <w:name w:val="Grid Table 7 Colorful - Accent 5"/>
    <w:basedOn w:val="13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72">
    <w:name w:val="Grid Table 7 Colorful - Accent 6"/>
    <w:basedOn w:val="13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73">
    <w:name w:val="List Table 1 Light"/>
    <w:basedOn w:val="13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4">
    <w:name w:val="List Table 1 Light - Accent 1"/>
    <w:basedOn w:val="13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5">
    <w:name w:val="List Table 1 Light - Accent 2"/>
    <w:basedOn w:val="13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6">
    <w:name w:val="List Table 1 Light - Accent 3"/>
    <w:basedOn w:val="13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7">
    <w:name w:val="List Table 1 Light - Accent 4"/>
    <w:basedOn w:val="13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8">
    <w:name w:val="List Table 1 Light - Accent 5"/>
    <w:basedOn w:val="13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9">
    <w:name w:val="List Table 1 Light - Accent 6"/>
    <w:basedOn w:val="13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80">
    <w:name w:val="List Table 2"/>
    <w:basedOn w:val="13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81">
    <w:name w:val="List Table 2 - Accent 1"/>
    <w:basedOn w:val="13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82">
    <w:name w:val="List Table 2 - Accent 2"/>
    <w:basedOn w:val="13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83">
    <w:name w:val="List Table 2 - Accent 3"/>
    <w:basedOn w:val="13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84">
    <w:name w:val="List Table 2 - Accent 4"/>
    <w:basedOn w:val="13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5">
    <w:name w:val="List Table 2 - Accent 5"/>
    <w:basedOn w:val="13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6">
    <w:name w:val="List Table 2 - Accent 6"/>
    <w:basedOn w:val="13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7">
    <w:name w:val="List Table 3"/>
    <w:basedOn w:val="13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8">
    <w:name w:val="List Table 3 - Accent 1"/>
    <w:basedOn w:val="13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89">
    <w:name w:val="List Table 3 - Accent 2"/>
    <w:basedOn w:val="13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90">
    <w:name w:val="List Table 3 - Accent 3"/>
    <w:basedOn w:val="13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91">
    <w:name w:val="List Table 3 - Accent 4"/>
    <w:basedOn w:val="13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92">
    <w:name w:val="List Table 3 - Accent 5"/>
    <w:basedOn w:val="13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93">
    <w:name w:val="List Table 3 - Accent 6"/>
    <w:basedOn w:val="13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94">
    <w:name w:val="List Table 4"/>
    <w:basedOn w:val="13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5">
    <w:name w:val="List Table 4 - Accent 1"/>
    <w:basedOn w:val="13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96">
    <w:name w:val="List Table 4 - Accent 2"/>
    <w:basedOn w:val="13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97">
    <w:name w:val="List Table 4 - Accent 3"/>
    <w:basedOn w:val="13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98">
    <w:name w:val="List Table 4 - Accent 4"/>
    <w:basedOn w:val="13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9">
    <w:name w:val="List Table 4 - Accent 5"/>
    <w:basedOn w:val="13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0">
    <w:name w:val="List Table 4 - Accent 6"/>
    <w:basedOn w:val="13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01">
    <w:name w:val="List Table 5 Dark"/>
    <w:basedOn w:val="13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5 Dark - Accent 1"/>
    <w:basedOn w:val="13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3">
    <w:name w:val="List Table 5 Dark - Accent 2"/>
    <w:basedOn w:val="13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4">
    <w:name w:val="List Table 5 Dark - Accent 3"/>
    <w:basedOn w:val="13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5">
    <w:name w:val="List Table 5 Dark - Accent 4"/>
    <w:basedOn w:val="13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6">
    <w:name w:val="List Table 5 Dark - Accent 5"/>
    <w:basedOn w:val="13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7">
    <w:name w:val="List Table 5 Dark - Accent 6"/>
    <w:basedOn w:val="13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8">
    <w:name w:val="List Table 6 Colorful"/>
    <w:basedOn w:val="13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9">
    <w:name w:val="List Table 6 Colorful - Accent 1"/>
    <w:basedOn w:val="13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310">
    <w:name w:val="List Table 6 Colorful - Accent 2"/>
    <w:basedOn w:val="13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311">
    <w:name w:val="List Table 6 Colorful - Accent 3"/>
    <w:basedOn w:val="13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312">
    <w:name w:val="List Table 6 Colorful - Accent 4"/>
    <w:basedOn w:val="13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313">
    <w:name w:val="List Table 6 Colorful - Accent 5"/>
    <w:basedOn w:val="13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314">
    <w:name w:val="List Table 6 Colorful - Accent 6"/>
    <w:basedOn w:val="13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315">
    <w:name w:val="List Table 7 Colorful"/>
    <w:basedOn w:val="13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6">
    <w:name w:val="List Table 7 Colorful - Accent 1"/>
    <w:basedOn w:val="13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317">
    <w:name w:val="List Table 7 Colorful - Accent 2"/>
    <w:basedOn w:val="13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318">
    <w:name w:val="List Table 7 Colorful - Accent 3"/>
    <w:basedOn w:val="13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319">
    <w:name w:val="List Table 7 Colorful - Accent 4"/>
    <w:basedOn w:val="13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320">
    <w:name w:val="List Table 7 Colorful - Accent 5"/>
    <w:basedOn w:val="13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321">
    <w:name w:val="List Table 7 Colorful - Accent 6"/>
    <w:basedOn w:val="13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322">
    <w:name w:val="Lined - Accent"/>
    <w:basedOn w:val="13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3">
    <w:name w:val="Lined - Accent 1"/>
    <w:basedOn w:val="13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324">
    <w:name w:val="Lined - Accent 2"/>
    <w:basedOn w:val="13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325">
    <w:name w:val="Lined - Accent 3"/>
    <w:basedOn w:val="13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326">
    <w:name w:val="Lined - Accent 4"/>
    <w:basedOn w:val="13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327">
    <w:name w:val="Lined - Accent 5"/>
    <w:basedOn w:val="13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328">
    <w:name w:val="Lined - Accent 6"/>
    <w:basedOn w:val="13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329">
    <w:name w:val="Bordered &amp; Lined - Accent"/>
    <w:basedOn w:val="13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0">
    <w:name w:val="Bordered &amp; Lined - Accent 1"/>
    <w:basedOn w:val="13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331">
    <w:name w:val="Bordered &amp; Lined - Accent 2"/>
    <w:basedOn w:val="13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332">
    <w:name w:val="Bordered &amp; Lined - Accent 3"/>
    <w:basedOn w:val="13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333">
    <w:name w:val="Bordered &amp; Lined - Accent 4"/>
    <w:basedOn w:val="13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334">
    <w:name w:val="Bordered &amp; Lined - Accent 5"/>
    <w:basedOn w:val="13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335">
    <w:name w:val="Bordered &amp; Lined - Accent 6"/>
    <w:basedOn w:val="13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336">
    <w:name w:val="Bordered"/>
    <w:basedOn w:val="13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7">
    <w:name w:val="Bordered - Accent 1"/>
    <w:basedOn w:val="13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8">
    <w:name w:val="Bordered - Accent 2"/>
    <w:basedOn w:val="13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9">
    <w:name w:val="Bordered - Accent 3"/>
    <w:basedOn w:val="13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40">
    <w:name w:val="Bordered - Accent 4"/>
    <w:basedOn w:val="13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41">
    <w:name w:val="Bordered - Accent 5"/>
    <w:basedOn w:val="13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42">
    <w:name w:val="Bordered - Accent 6"/>
    <w:basedOn w:val="13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43">
    <w:name w:val="Hyperlink"/>
    <w:uiPriority w:val="99"/>
    <w:unhideWhenUsed/>
    <w:rPr>
      <w:color w:val="0000ff" w:themeColor="hyperlink"/>
      <w:u w:val="single"/>
    </w:rPr>
  </w:style>
  <w:style w:type="paragraph" w:styleId="1344">
    <w:name w:val="footnote text"/>
    <w:basedOn w:val="1361"/>
    <w:link w:val="1345"/>
    <w:uiPriority w:val="99"/>
    <w:semiHidden/>
    <w:unhideWhenUsed/>
    <w:pPr>
      <w:spacing w:after="40" w:line="240" w:lineRule="auto"/>
    </w:pPr>
    <w:rPr>
      <w:sz w:val="18"/>
    </w:rPr>
  </w:style>
  <w:style w:type="character" w:styleId="1345">
    <w:name w:val="Footnote Text Char"/>
    <w:link w:val="1344"/>
    <w:uiPriority w:val="99"/>
    <w:rPr>
      <w:sz w:val="18"/>
    </w:rPr>
  </w:style>
  <w:style w:type="character" w:styleId="1346">
    <w:name w:val="footnote reference"/>
    <w:basedOn w:val="1363"/>
    <w:uiPriority w:val="99"/>
    <w:unhideWhenUsed/>
    <w:rPr>
      <w:vertAlign w:val="superscript"/>
    </w:rPr>
  </w:style>
  <w:style w:type="paragraph" w:styleId="1347">
    <w:name w:val="endnote text"/>
    <w:basedOn w:val="1361"/>
    <w:link w:val="1348"/>
    <w:uiPriority w:val="99"/>
    <w:semiHidden/>
    <w:unhideWhenUsed/>
    <w:pPr>
      <w:spacing w:after="0" w:line="240" w:lineRule="auto"/>
    </w:pPr>
    <w:rPr>
      <w:sz w:val="20"/>
    </w:rPr>
  </w:style>
  <w:style w:type="character" w:styleId="1348">
    <w:name w:val="Endnote Text Char"/>
    <w:link w:val="1347"/>
    <w:uiPriority w:val="99"/>
    <w:rPr>
      <w:sz w:val="20"/>
    </w:rPr>
  </w:style>
  <w:style w:type="character" w:styleId="1349">
    <w:name w:val="endnote reference"/>
    <w:basedOn w:val="1363"/>
    <w:uiPriority w:val="99"/>
    <w:semiHidden/>
    <w:unhideWhenUsed/>
    <w:rPr>
      <w:vertAlign w:val="superscript"/>
    </w:rPr>
  </w:style>
  <w:style w:type="paragraph" w:styleId="1350">
    <w:name w:val="toc 1"/>
    <w:basedOn w:val="1361"/>
    <w:next w:val="1361"/>
    <w:uiPriority w:val="39"/>
    <w:unhideWhenUsed/>
    <w:pPr>
      <w:ind w:left="0" w:right="0" w:firstLine="0"/>
      <w:spacing w:after="57"/>
    </w:pPr>
  </w:style>
  <w:style w:type="paragraph" w:styleId="1351">
    <w:name w:val="toc 2"/>
    <w:basedOn w:val="1361"/>
    <w:next w:val="1361"/>
    <w:uiPriority w:val="39"/>
    <w:unhideWhenUsed/>
    <w:pPr>
      <w:ind w:left="283" w:right="0" w:firstLine="0"/>
      <w:spacing w:after="57"/>
    </w:pPr>
  </w:style>
  <w:style w:type="paragraph" w:styleId="1352">
    <w:name w:val="toc 3"/>
    <w:basedOn w:val="1361"/>
    <w:next w:val="1361"/>
    <w:uiPriority w:val="39"/>
    <w:unhideWhenUsed/>
    <w:pPr>
      <w:ind w:left="567" w:right="0" w:firstLine="0"/>
      <w:spacing w:after="57"/>
    </w:pPr>
  </w:style>
  <w:style w:type="paragraph" w:styleId="1353">
    <w:name w:val="toc 4"/>
    <w:basedOn w:val="1361"/>
    <w:next w:val="1361"/>
    <w:uiPriority w:val="39"/>
    <w:unhideWhenUsed/>
    <w:pPr>
      <w:ind w:left="850" w:right="0" w:firstLine="0"/>
      <w:spacing w:after="57"/>
    </w:pPr>
  </w:style>
  <w:style w:type="paragraph" w:styleId="1354">
    <w:name w:val="toc 5"/>
    <w:basedOn w:val="1361"/>
    <w:next w:val="1361"/>
    <w:uiPriority w:val="39"/>
    <w:unhideWhenUsed/>
    <w:pPr>
      <w:ind w:left="1134" w:right="0" w:firstLine="0"/>
      <w:spacing w:after="57"/>
    </w:pPr>
  </w:style>
  <w:style w:type="paragraph" w:styleId="1355">
    <w:name w:val="toc 6"/>
    <w:basedOn w:val="1361"/>
    <w:next w:val="1361"/>
    <w:uiPriority w:val="39"/>
    <w:unhideWhenUsed/>
    <w:pPr>
      <w:ind w:left="1417" w:right="0" w:firstLine="0"/>
      <w:spacing w:after="57"/>
    </w:pPr>
  </w:style>
  <w:style w:type="paragraph" w:styleId="1356">
    <w:name w:val="toc 7"/>
    <w:basedOn w:val="1361"/>
    <w:next w:val="1361"/>
    <w:uiPriority w:val="39"/>
    <w:unhideWhenUsed/>
    <w:pPr>
      <w:ind w:left="1701" w:right="0" w:firstLine="0"/>
      <w:spacing w:after="57"/>
    </w:pPr>
  </w:style>
  <w:style w:type="paragraph" w:styleId="1357">
    <w:name w:val="toc 8"/>
    <w:basedOn w:val="1361"/>
    <w:next w:val="1361"/>
    <w:uiPriority w:val="39"/>
    <w:unhideWhenUsed/>
    <w:pPr>
      <w:ind w:left="1984" w:right="0" w:firstLine="0"/>
      <w:spacing w:after="57"/>
    </w:pPr>
  </w:style>
  <w:style w:type="paragraph" w:styleId="1358">
    <w:name w:val="toc 9"/>
    <w:basedOn w:val="1361"/>
    <w:next w:val="1361"/>
    <w:uiPriority w:val="39"/>
    <w:unhideWhenUsed/>
    <w:pPr>
      <w:ind w:left="2268" w:right="0" w:firstLine="0"/>
      <w:spacing w:after="57"/>
    </w:pPr>
  </w:style>
  <w:style w:type="paragraph" w:styleId="1359">
    <w:name w:val="TOC Heading"/>
    <w:uiPriority w:val="39"/>
    <w:unhideWhenUsed/>
  </w:style>
  <w:style w:type="paragraph" w:styleId="1360">
    <w:name w:val="table of figures"/>
    <w:basedOn w:val="1361"/>
    <w:next w:val="1361"/>
    <w:uiPriority w:val="99"/>
    <w:unhideWhenUsed/>
    <w:pPr>
      <w:spacing w:after="0" w:afterAutospacing="0"/>
    </w:pPr>
  </w:style>
  <w:style w:type="paragraph" w:styleId="1361" w:default="1">
    <w:name w:val="Normal"/>
    <w:next w:val="1365"/>
    <w:link w:val="1397"/>
    <w:uiPriority w:val="0"/>
    <w:qFormat/>
    <w:pPr>
      <w:jc w:val="both"/>
      <w:widowControl w:val="off"/>
    </w:pPr>
    <w:rPr>
      <w:rFonts w:hint="default" w:ascii="等线" w:hAnsi="等线" w:eastAsia="等线" w:cs="Times New Roman"/>
      <w:sz w:val="21"/>
      <w:szCs w:val="22"/>
      <w:lang w:val="en-US" w:eastAsia="zh-CN" w:bidi="ar-SA"/>
    </w:rPr>
  </w:style>
  <w:style w:type="paragraph" w:styleId="1362">
    <w:name w:val="Heading 4"/>
    <w:basedOn w:val="1361"/>
    <w:next w:val="1361"/>
    <w:uiPriority w:val="99"/>
    <w:qFormat/>
    <w:pPr>
      <w:jc w:val="center"/>
      <w:keepNext/>
      <w:outlineLvl w:val="3"/>
    </w:pPr>
    <w:rPr>
      <w:rFonts w:eastAsia="楷体_GB2312"/>
      <w:b/>
      <w:bCs/>
      <w:sz w:val="13"/>
    </w:rPr>
  </w:style>
  <w:style w:type="character" w:styleId="1363" w:default="1">
    <w:name w:val="Default Paragraph Font"/>
    <w:uiPriority w:val="0"/>
    <w:semiHidden/>
    <w:qFormat/>
  </w:style>
  <w:style w:type="table" w:styleId="1364" w:default="1">
    <w:name w:val="Normal Table"/>
    <w:uiPriority w:val="0"/>
    <w:semiHidden/>
    <w:qFormat/>
    <w:tblPr>
      <w:tblCellMar>
        <w:left w:w="108" w:type="dxa"/>
        <w:top w:w="0" w:type="dxa"/>
        <w:right w:w="108" w:type="dxa"/>
        <w:bottom w:w="0" w:type="dxa"/>
      </w:tblCellMar>
    </w:tblPr>
  </w:style>
  <w:style w:type="paragraph" w:styleId="1365" w:customStyle="1">
    <w:name w:val="列出段落1"/>
    <w:basedOn w:val="1361"/>
    <w:uiPriority w:val="0"/>
    <w:qFormat/>
    <w:pPr>
      <w:ind w:firstLine="420"/>
    </w:pPr>
    <w:rPr>
      <w:rFonts w:ascii="Calibri" w:hAnsi="Calibri" w:eastAsia="宋体" w:cs="Times New Roman"/>
    </w:rPr>
  </w:style>
  <w:style w:type="paragraph" w:styleId="1366">
    <w:name w:val="Document Map"/>
    <w:basedOn w:val="1361"/>
    <w:uiPriority w:val="0"/>
    <w:qFormat/>
    <w:pPr>
      <w:shd w:val="clear" w:color="auto" w:fill="000080"/>
    </w:pPr>
    <w:rPr>
      <w:rFonts w:asciiTheme="minorHAnsi" w:hAnsiTheme="minorHAnsi" w:eastAsiaTheme="minorEastAsia" w:cstheme="minorBidi"/>
      <w:szCs w:val="24"/>
      <w:shd w:val="clear" w:color="auto" w:fill="000080"/>
    </w:rPr>
  </w:style>
  <w:style w:type="paragraph" w:styleId="1367">
    <w:name w:val="annotation text"/>
    <w:basedOn w:val="1361"/>
    <w:uiPriority w:val="0"/>
    <w:semiHidden/>
    <w:qFormat/>
    <w:pPr>
      <w:jc w:val="left"/>
    </w:pPr>
    <w:rPr>
      <w:sz w:val="20"/>
      <w:szCs w:val="24"/>
    </w:rPr>
  </w:style>
  <w:style w:type="paragraph" w:styleId="1368">
    <w:name w:val="Body Text"/>
    <w:basedOn w:val="1361"/>
    <w:next w:val="1361"/>
    <w:uiPriority w:val="99"/>
    <w:qFormat/>
    <w:rPr>
      <w:rFonts w:ascii="华文中宋" w:eastAsia="华文中宋"/>
      <w:bCs/>
      <w:sz w:val="28"/>
    </w:rPr>
  </w:style>
  <w:style w:type="paragraph" w:styleId="1369">
    <w:name w:val="index 4"/>
    <w:basedOn w:val="1361"/>
    <w:next w:val="1361"/>
    <w:uiPriority w:val="99"/>
    <w:qFormat/>
    <w:pPr>
      <w:ind w:left="600"/>
    </w:pPr>
    <w:rPr>
      <w:szCs w:val="24"/>
    </w:rPr>
  </w:style>
  <w:style w:type="paragraph" w:styleId="1370">
    <w:name w:val="Footer"/>
    <w:basedOn w:val="1361"/>
    <w:next w:val="1361"/>
    <w:uiPriority w:val="99"/>
    <w:unhideWhenUsed/>
    <w:qFormat/>
    <w:pPr>
      <w:spacing w:after="0" w:line="240" w:lineRule="auto"/>
      <w:tabs>
        <w:tab w:val="center" w:pos="7143" w:leader="none"/>
        <w:tab w:val="right" w:pos="14287" w:leader="none"/>
      </w:tabs>
    </w:pPr>
  </w:style>
  <w:style w:type="paragraph" w:styleId="1371">
    <w:name w:val="Header"/>
    <w:basedOn w:val="1361"/>
    <w:uiPriority w:val="99"/>
    <w:unhideWhenUsed/>
    <w:qFormat/>
    <w:pPr>
      <w:spacing w:after="0" w:line="240" w:lineRule="auto"/>
      <w:tabs>
        <w:tab w:val="center" w:pos="7143" w:leader="none"/>
        <w:tab w:val="right" w:pos="14287" w:leader="none"/>
      </w:tabs>
    </w:pPr>
  </w:style>
  <w:style w:type="paragraph" w:styleId="1372">
    <w:name w:val="Subtitle"/>
    <w:basedOn w:val="1361"/>
    <w:next w:val="1361"/>
    <w:uiPriority w:val="11"/>
    <w:qFormat/>
    <w:pPr>
      <w:spacing w:before="200" w:after="200"/>
    </w:pPr>
    <w:rPr>
      <w:sz w:val="24"/>
      <w:szCs w:val="24"/>
    </w:rPr>
  </w:style>
  <w:style w:type="paragraph" w:styleId="1373">
    <w:name w:val="List"/>
    <w:basedOn w:val="1361"/>
    <w:uiPriority w:val="99"/>
    <w:semiHidden/>
    <w:qFormat/>
    <w:pPr>
      <w:contextualSpacing/>
      <w:ind w:left="200" w:hanging="200"/>
    </w:pPr>
  </w:style>
  <w:style w:type="paragraph" w:styleId="1374">
    <w:name w:val="Normal (Web)"/>
    <w:basedOn w:val="1361"/>
    <w:uiPriority w:val="99"/>
    <w:qFormat/>
    <w:pPr>
      <w:jc w:val="left"/>
      <w:spacing w:before="100" w:beforeAutospacing="1" w:after="100" w:afterAutospacing="1"/>
      <w:widowControl/>
    </w:pPr>
    <w:rPr>
      <w:rFonts w:ascii="宋体" w:hAnsi="宋体" w:cs="宋体"/>
      <w:sz w:val="24"/>
      <w:szCs w:val="24"/>
    </w:rPr>
  </w:style>
  <w:style w:type="paragraph" w:styleId="1375">
    <w:name w:val="Body Text First Indent"/>
    <w:basedOn w:val="1368"/>
    <w:uiPriority w:val="99"/>
    <w:unhideWhenUsed/>
    <w:qFormat/>
    <w:pPr>
      <w:ind w:firstLine="420"/>
      <w:spacing w:after="120"/>
    </w:pPr>
    <w:rPr>
      <w:rFonts w:ascii="Times New Roman"/>
      <w:bCs w:val="0"/>
      <w:sz w:val="21"/>
    </w:rPr>
  </w:style>
  <w:style w:type="table" w:styleId="13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77">
    <w:name w:val="Emphasis"/>
    <w:basedOn w:val="1363"/>
    <w:uiPriority w:val="20"/>
    <w:qFormat/>
    <w:rPr>
      <w:b/>
      <w:bCs/>
    </w:rPr>
  </w:style>
  <w:style w:type="paragraph" w:styleId="1378" w:customStyle="1">
    <w:name w:val="正文文本11"/>
    <w:basedOn w:val="1361"/>
    <w:next w:val="1379"/>
    <w:uiPriority w:val="99"/>
    <w:qFormat/>
    <w:rPr>
      <w:rFonts w:ascii="华文中宋" w:eastAsia="华文中宋"/>
      <w:bCs/>
      <w:sz w:val="28"/>
    </w:rPr>
  </w:style>
  <w:style w:type="paragraph" w:styleId="1379" w:customStyle="1">
    <w:name w:val="正文首行缩进1"/>
    <w:basedOn w:val="1380"/>
    <w:next w:val="1382"/>
    <w:link w:val="1387"/>
    <w:uiPriority w:val="99"/>
    <w:unhideWhenUsed/>
    <w:qFormat/>
    <w:pPr>
      <w:ind w:firstLine="420"/>
      <w:spacing w:after="120"/>
    </w:pPr>
    <w:rPr>
      <w:rFonts w:ascii="等线" w:hAnsi="等线" w:eastAsia="等线" w:cs="Times New Roman"/>
      <w:bCs w:val="0"/>
      <w:sz w:val="21"/>
      <w:szCs w:val="22"/>
    </w:rPr>
  </w:style>
  <w:style w:type="paragraph" w:styleId="1380" w:customStyle="1">
    <w:name w:val="正文文本1"/>
    <w:basedOn w:val="1361"/>
    <w:next w:val="1381"/>
    <w:uiPriority w:val="0"/>
    <w:qFormat/>
    <w:rPr>
      <w:rFonts w:ascii="华文中宋" w:hAnsi="Times New Roman" w:eastAsia="华文中宋" w:cs="Times New Roman"/>
      <w:bCs/>
      <w:sz w:val="28"/>
      <w:szCs w:val="20"/>
    </w:rPr>
  </w:style>
  <w:style w:type="paragraph" w:styleId="1381" w:customStyle="1">
    <w:name w:val="列表1"/>
    <w:basedOn w:val="1361"/>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382" w:customStyle="1">
    <w:name w:val="目录 61"/>
    <w:basedOn w:val="1361"/>
    <w:next w:val="1361"/>
    <w:uiPriority w:val="99"/>
    <w:qFormat/>
    <w:pPr>
      <w:ind w:left="1050" w:firstLine="420"/>
      <w:jc w:val="left"/>
      <w:spacing w:line="288" w:lineRule="auto"/>
    </w:pPr>
    <w:rPr>
      <w:sz w:val="18"/>
      <w:szCs w:val="18"/>
    </w:rPr>
  </w:style>
  <w:style w:type="paragraph" w:styleId="1383">
    <w:name w:val="List Paragraph"/>
    <w:basedOn w:val="1361"/>
    <w:uiPriority w:val="34"/>
    <w:qFormat/>
    <w:pPr>
      <w:contextualSpacing/>
      <w:ind w:left="720"/>
    </w:pPr>
  </w:style>
  <w:style w:type="paragraph" w:styleId="1384" w:customStyle="1">
    <w:name w:val="纯文本1"/>
    <w:basedOn w:val="1361"/>
    <w:next w:val="1385"/>
    <w:uiPriority w:val="0"/>
    <w:qFormat/>
    <w:rPr>
      <w:rFonts w:ascii="宋体" w:hAnsi="Courier New" w:eastAsia="宋体" w:cs="Times New Roman"/>
      <w:szCs w:val="20"/>
    </w:rPr>
  </w:style>
  <w:style w:type="paragraph" w:styleId="1385" w:customStyle="1">
    <w:name w:val="目录 21"/>
    <w:basedOn w:val="1361"/>
    <w:next w:val="1361"/>
    <w:uiPriority w:val="39"/>
    <w:unhideWhenUsed/>
    <w:qFormat/>
    <w:pPr>
      <w:ind w:left="420"/>
    </w:pPr>
  </w:style>
  <w:style w:type="paragraph" w:styleId="1386" w:customStyle="1">
    <w:name w:val="目录 11"/>
    <w:basedOn w:val="1361"/>
    <w:next w:val="1361"/>
    <w:uiPriority w:val="39"/>
    <w:qFormat/>
    <w:pPr>
      <w:jc w:val="center"/>
      <w:spacing w:before="120" w:after="120"/>
      <w:tabs>
        <w:tab w:val="right" w:pos="9170" w:leader="dot"/>
      </w:tabs>
    </w:pPr>
    <w:rPr>
      <w:rFonts w:eastAsia="文鼎小标宋简"/>
      <w:caps/>
      <w:sz w:val="32"/>
      <w:szCs w:val="32"/>
    </w:rPr>
  </w:style>
  <w:style w:type="character" w:styleId="1387" w:customStyle="1">
    <w:name w:val="正文首行缩进 Char"/>
    <w:link w:val="1379"/>
    <w:uiPriority w:val="99"/>
    <w:semiHidden/>
    <w:qFormat/>
    <w:rPr>
      <w:rFonts w:ascii="等线" w:hAnsi="等线" w:eastAsia="等线" w:cs="Times New Roman"/>
      <w:sz w:val="21"/>
      <w:szCs w:val="22"/>
    </w:rPr>
  </w:style>
  <w:style w:type="paragraph" w:styleId="1388" w:customStyle="1">
    <w:name w:val="_Style 1"/>
    <w:basedOn w:val="1361"/>
    <w:uiPriority w:val="0"/>
    <w:qFormat/>
    <w:pPr>
      <w:ind w:firstLine="420"/>
    </w:pPr>
    <w:rPr>
      <w:rFonts w:ascii="Times New Roman" w:hAnsi="Times New Roman" w:eastAsia="宋体" w:cs="Times New Roman"/>
      <w:sz w:val="20"/>
      <w:szCs w:val="20"/>
    </w:rPr>
  </w:style>
  <w:style w:type="paragraph" w:styleId="1389" w:customStyle="1">
    <w:name w:val="标题 11"/>
    <w:basedOn w:val="1361"/>
    <w:next w:val="1361"/>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390" w:customStyle="1">
    <w:name w:val="TOC Heading1"/>
    <w:next w:val="1361"/>
    <w:uiPriority w:val="0"/>
    <w:qFormat/>
    <w:rPr>
      <w:rFonts w:hint="default" w:ascii="Times New Roman" w:hAnsi="Times New Roman" w:eastAsia="宋体" w:cs="Times New Roman"/>
      <w:sz w:val="32"/>
      <w:lang w:val="en-US" w:eastAsia="zh-CN" w:bidi="ar-SA"/>
    </w:rPr>
  </w:style>
  <w:style w:type="paragraph" w:styleId="1391" w:customStyle="1">
    <w:name w:val="标题 41"/>
    <w:basedOn w:val="1361"/>
    <w:next w:val="1361"/>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392" w:customStyle="1">
    <w:name w:val="Table Normal"/>
    <w:uiPriority w:val="0"/>
    <w:unhideWhenUsed/>
    <w:qFormat/>
    <w:tblPr/>
  </w:style>
  <w:style w:type="paragraph" w:styleId="1393" w:customStyle="1">
    <w:name w:val="Table Text"/>
    <w:basedOn w:val="1361"/>
    <w:uiPriority w:val="0"/>
    <w:semiHidden/>
    <w:qFormat/>
    <w:rPr>
      <w:rFonts w:ascii="宋体" w:hAnsi="宋体" w:eastAsia="宋体" w:cs="宋体"/>
      <w:sz w:val="22"/>
      <w:szCs w:val="22"/>
      <w:lang w:val="en-US" w:eastAsia="en-US" w:bidi="ar-SA"/>
    </w:rPr>
  </w:style>
  <w:style w:type="character" w:styleId="1394" w:customStyle="1">
    <w:name w:val="HTML 打字机1"/>
    <w:link w:val="1361"/>
    <w:uiPriority w:val="0"/>
    <w:qFormat/>
    <w:rPr>
      <w:rFonts w:hint="default" w:ascii="等线" w:hAnsi="等线" w:eastAsia="等线" w:cs="Times New Roman"/>
      <w:sz w:val="21"/>
      <w:szCs w:val="22"/>
      <w:lang w:val="en-US" w:eastAsia="zh-CN" w:bidi="ar-SA"/>
    </w:rPr>
  </w:style>
  <w:style w:type="paragraph" w:styleId="1395" w:customStyle="1">
    <w:name w:val="索引 41"/>
    <w:basedOn w:val="1361"/>
    <w:next w:val="1361"/>
    <w:uiPriority w:val="99"/>
    <w:qFormat/>
    <w:pPr>
      <w:ind w:left="600"/>
    </w:pPr>
    <w:rPr>
      <w:rFonts w:ascii="Times New Roman" w:hAnsi="Times New Roman" w:eastAsia="宋体" w:cs="Times New Roman"/>
      <w:szCs w:val="24"/>
    </w:rPr>
  </w:style>
  <w:style w:type="character" w:styleId="1396" w:customStyle="1">
    <w:name w:val="font41"/>
    <w:link w:val="1361"/>
    <w:uiPriority w:val="0"/>
    <w:qFormat/>
    <w:rPr>
      <w:rFonts w:hint="eastAsia" w:ascii="宋体" w:hAnsi="宋体" w:eastAsia="宋体" w:cs="宋体"/>
      <w:color w:val="000000"/>
      <w:sz w:val="24"/>
      <w:szCs w:val="24"/>
      <w:u w:val="none"/>
    </w:rPr>
  </w:style>
  <w:style w:type="character" w:styleId="1397" w:customStyle="1">
    <w:name w:val="font21"/>
    <w:link w:val="1361"/>
    <w:uiPriority w:val="0"/>
    <w:qFormat/>
    <w:rPr>
      <w:rFonts w:hint="eastAsia" w:ascii="宋体" w:hAnsi="宋体" w:eastAsia="宋体" w:cs="宋体"/>
      <w:b/>
      <w:color w:val="000000"/>
      <w:sz w:val="24"/>
      <w:szCs w:val="24"/>
      <w:u w:val="none"/>
    </w:rPr>
  </w:style>
  <w:style w:type="paragraph" w:styleId="139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99" w:customStyle="1">
    <w:name w:val="标题 31"/>
    <w:basedOn w:val="1361"/>
    <w:next w:val="136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400" w:customStyle="1">
    <w:name w:val="正文缩进1"/>
    <w:basedOn w:val="1361"/>
    <w:next w:val="1361"/>
    <w:uiPriority w:val="0"/>
    <w:qFormat/>
    <w:pPr>
      <w:ind w:firstLine="420"/>
    </w:pPr>
    <w:rPr>
      <w:rFonts w:ascii="Times New Roman" w:hAnsi="Times New Roman" w:eastAsia="宋体" w:cs="Times New Roman"/>
      <w:szCs w:val="20"/>
    </w:rPr>
  </w:style>
  <w:style w:type="paragraph" w:styleId="1401" w:customStyle="1">
    <w:name w:val="标题 21"/>
    <w:basedOn w:val="1361"/>
    <w:next w:val="1361"/>
    <w:uiPriority w:val="9"/>
    <w:qFormat/>
    <w:pPr>
      <w:keepLines/>
      <w:keepNext/>
      <w:spacing w:before="260" w:after="260" w:line="413" w:lineRule="auto"/>
      <w:outlineLvl w:val="1"/>
    </w:pPr>
    <w:rPr>
      <w:rFonts w:ascii="Arial" w:hAnsi="Arial" w:eastAsia="黑体" w:cs="Times New Roman"/>
      <w:b/>
      <w:bCs/>
      <w:sz w:val="32"/>
      <w:szCs w:val="32"/>
    </w:rPr>
  </w:style>
  <w:style w:type="paragraph" w:styleId="1402" w:customStyle="1">
    <w:name w:val="页眉1"/>
    <w:basedOn w:val="13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03" w:customStyle="1">
    <w:name w:val="页脚1"/>
    <w:basedOn w:val="1361"/>
    <w:next w:val="1390"/>
    <w:uiPriority w:val="99"/>
    <w:unhideWhenUsed/>
    <w:qFormat/>
    <w:pPr>
      <w:jc w:val="left"/>
      <w:tabs>
        <w:tab w:val="center" w:pos="4153" w:leader="none"/>
        <w:tab w:val="right" w:pos="8306" w:leader="none"/>
      </w:tabs>
    </w:pPr>
    <w:rPr>
      <w:sz w:val="18"/>
      <w:szCs w:val="18"/>
    </w:rPr>
  </w:style>
  <w:style w:type="paragraph" w:styleId="1404" w:customStyle="1">
    <w:name w:val="页眉11"/>
    <w:basedOn w:val="1361"/>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405" w:customStyle="1">
    <w:name w:val="页脚111"/>
    <w:basedOn w:val="1361"/>
    <w:next w:val="1361"/>
    <w:uiPriority w:val="0"/>
    <w:unhideWhenUsed/>
    <w:qFormat/>
    <w:pPr>
      <w:jc w:val="left"/>
      <w:tabs>
        <w:tab w:val="center" w:pos="4153" w:leader="none"/>
        <w:tab w:val="right" w:pos="8306" w:leader="none"/>
      </w:tabs>
    </w:pPr>
    <w:rPr>
      <w:sz w:val="18"/>
      <w:szCs w:val="18"/>
    </w:rPr>
  </w:style>
  <w:style w:type="paragraph" w:styleId="1406" w:customStyle="1">
    <w:name w:val="正文文本12"/>
    <w:basedOn w:val="1361"/>
    <w:next w:val="1361"/>
    <w:uiPriority w:val="99"/>
    <w:qFormat/>
    <w:rPr>
      <w:rFonts w:ascii="华文中宋" w:eastAsia="华文中宋"/>
      <w:bCs/>
      <w:sz w:val="28"/>
    </w:rPr>
  </w:style>
  <w:style w:type="paragraph" w:styleId="1407" w:customStyle="1">
    <w:name w:val="列出段落"/>
    <w:basedOn w:val="1361"/>
    <w:uiPriority w:val="99"/>
    <w:qFormat/>
    <w:pPr>
      <w:ind w:firstLine="420"/>
    </w:pPr>
  </w:style>
  <w:style w:type="paragraph" w:styleId="1408" w:customStyle="1">
    <w:name w:val="l15"/>
    <w:basedOn w:val="1361"/>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409" w:customStyle="1">
    <w:name w:val="标题 411"/>
    <w:basedOn w:val="1361"/>
    <w:next w:val="1361"/>
    <w:uiPriority w:val="99"/>
    <w:qFormat/>
    <w:pPr>
      <w:jc w:val="center"/>
      <w:keepNext/>
      <w:outlineLvl w:val="3"/>
    </w:pPr>
    <w:rPr>
      <w:rFonts w:eastAsia="楷体_GB2312"/>
      <w:b/>
      <w:bCs/>
      <w:sz w:val="13"/>
    </w:rPr>
  </w:style>
  <w:style w:type="paragraph" w:styleId="1410" w:customStyle="1">
    <w:name w:val="页脚11"/>
    <w:basedOn w:val="1361"/>
    <w:uiPriority w:val="0"/>
    <w:unhideWhenUsed/>
    <w:qFormat/>
    <w:pPr>
      <w:jc w:val="left"/>
      <w:tabs>
        <w:tab w:val="center" w:pos="4153" w:leader="none"/>
        <w:tab w:val="right" w:pos="8306" w:leader="none"/>
      </w:tabs>
    </w:pPr>
    <w:rPr>
      <w:sz w:val="18"/>
      <w:szCs w:val="18"/>
    </w:rPr>
  </w:style>
  <w:style w:type="paragraph" w:styleId="1411" w:customStyle="1">
    <w:name w:val="样式 表格正文 + 两端对齐"/>
    <w:basedOn w:val="1361"/>
    <w:next w:val="1412"/>
    <w:uiPriority w:val="99"/>
    <w:qFormat/>
    <w:pPr>
      <w:spacing w:line="300" w:lineRule="auto"/>
    </w:pPr>
  </w:style>
  <w:style w:type="paragraph" w:styleId="1412" w:customStyle="1">
    <w:name w:val="正文1"/>
    <w:basedOn w:val="1366"/>
    <w:next w:val="1361"/>
    <w:uiPriority w:val="0"/>
    <w:qFormat/>
    <w:pPr>
      <w:jc w:val="both"/>
      <w:spacing w:line="312" w:lineRule="atLeast"/>
      <w:widowControl w:val="off"/>
    </w:pPr>
    <w:rPr>
      <w:rFonts w:hint="default" w:ascii="宋体" w:hAnsi="Times New Roman" w:eastAsia="宋体" w:cs="Times New Roman"/>
      <w:sz w:val="34"/>
      <w:lang w:val="en-US" w:eastAsia="zh-CN" w:bidi="ar-SA"/>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3.png"/><Relationship Id="rId33" Type="http://schemas.openxmlformats.org/officeDocument/2006/relationships/image" Target="media/image4.png"/><Relationship Id="rId34" Type="http://schemas.openxmlformats.org/officeDocument/2006/relationships/image" Target="media/image5.png"/><Relationship Id="rId35"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2025-06-12T07:27:00Z</dcterms:created>
  <dcterms:modified xsi:type="dcterms:W3CDTF">2026-08-14T06:33:43Z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E48AA1ACAC28410A88CCEBFB2B9CD331_12</vt:lpwstr>
  </property>
  <property fmtid="{D5CDD505-2E9C-101B-9397-08002B2CF9AE}" pid="4" name="KSOTemplateDocerSaveRecord">
    <vt:lpwstr>eyJoZGlkIjoiZGUyYTY1ZjhiZjc3ZTYzZWRkMjI3NWI3NzU4OTNkOTkiLCJ1c2VySWQiOiIxMzc5NjEyNDY0In0=</vt:lpwstr>
  </property>
</Properties>
</file>