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6"/>
        <w:jc w:val="center"/>
        <w:rPr>
          <w:rFonts w:ascii="Times New Roman" w:eastAsia="宋体" w:cs="Times New Roman"/>
          <w:b/>
          <w:bCs/>
          <w:color w:val="auto"/>
          <w:sz w:val="84"/>
          <w:szCs w:val="84"/>
        </w:rPr>
      </w:pPr>
      <w:r/>
      <w:bookmarkStart w:id="0" w:name="_Toc383587456"/>
      <w:r/>
      <w:bookmarkStart w:id="1" w:name="_Toc383623944"/>
      <w:r/>
      <w:bookmarkStart w:id="2" w:name="_Toc383698647"/>
      <w:r/>
      <w:bookmarkStart w:id="3" w:name="_Toc383625993"/>
      <w:r/>
      <w:bookmarkStart w:id="4" w:name="_Toc390098840"/>
      <w:r/>
      <w:bookmarkStart w:id="5" w:name="_Toc383679746"/>
      <w:r/>
      <w:bookmarkStart w:id="6" w:name="_Toc390246905"/>
      <w:r/>
      <w:bookmarkStart w:id="7" w:name="_Toc390099018"/>
      <w:r/>
      <w:bookmarkStart w:id="8" w:name="_Toc426469868"/>
      <w:r/>
      <w:bookmarkStart w:id="9" w:name="_Toc383623672"/>
      <w:r/>
      <w:r/>
    </w:p>
    <w:p>
      <w:pPr>
        <w:pStyle w:val="686"/>
        <w:jc w:val="center"/>
        <w:rPr>
          <w:rFonts w:ascii="Times New Roman" w:eastAsia="宋体" w:cs="Times New Roman"/>
          <w:b/>
          <w:bCs/>
          <w:color w:val="auto"/>
          <w:sz w:val="84"/>
          <w:szCs w:val="84"/>
        </w:rPr>
      </w:pPr>
      <w:r>
        <w:rPr>
          <w:rFonts w:ascii="Times New Roman" w:eastAsia="宋体" w:cs="Times New Roman"/>
          <w:b/>
          <w:bCs/>
          <w:color w:val="auto"/>
          <w:sz w:val="84"/>
          <w:szCs w:val="84"/>
        </w:rPr>
        <w:t xml:space="preserve">招　标　文　件</w:t>
      </w:r>
      <w:r/>
    </w:p>
    <w:p>
      <w:pPr>
        <w:pStyle w:val="686"/>
        <w:spacing w:line="540" w:lineRule="exact"/>
        <w:rPr>
          <w:rFonts w:ascii="Times New Roman" w:eastAsia="宋体" w:cs="Times New Roman"/>
          <w:b/>
          <w:bCs/>
          <w:color w:val="auto"/>
          <w:sz w:val="32"/>
          <w:szCs w:val="32"/>
        </w:rPr>
      </w:pPr>
      <w:r>
        <w:rPr>
          <w:rFonts w:ascii="Times New Roman" w:eastAsia="宋体" w:cs="Times New Roman"/>
          <w:b/>
          <w:bCs/>
          <w:color w:val="auto"/>
          <w:sz w:val="32"/>
          <w:szCs w:val="32"/>
        </w:rPr>
      </w:r>
      <w:r/>
    </w:p>
    <w:p>
      <w:pPr>
        <w:pStyle w:val="686"/>
        <w:spacing w:line="540" w:lineRule="exact"/>
        <w:rPr>
          <w:rFonts w:ascii="Times New Roman" w:eastAsia="宋体" w:cs="Times New Roman"/>
          <w:b/>
          <w:bCs/>
          <w:color w:val="auto"/>
          <w:sz w:val="32"/>
          <w:szCs w:val="32"/>
        </w:rPr>
      </w:pPr>
      <w:r>
        <w:rPr>
          <w:rFonts w:ascii="Times New Roman" w:eastAsia="宋体" w:cs="Times New Roman"/>
          <w:b/>
          <w:bCs/>
          <w:color w:val="auto"/>
          <w:sz w:val="32"/>
          <w:szCs w:val="32"/>
        </w:rPr>
      </w:r>
      <w:r/>
    </w:p>
    <w:p>
      <w:pPr>
        <w:pStyle w:val="686"/>
        <w:spacing w:line="540" w:lineRule="exact"/>
        <w:rPr>
          <w:rFonts w:ascii="Times New Roman" w:eastAsia="宋体" w:cs="Times New Roman"/>
          <w:b/>
          <w:bCs/>
          <w:color w:val="auto"/>
          <w:sz w:val="32"/>
          <w:szCs w:val="32"/>
        </w:rPr>
      </w:pPr>
      <w:r>
        <w:rPr>
          <w:rFonts w:ascii="Times New Roman" w:eastAsia="宋体" w:cs="Times New Roman"/>
          <w:b/>
          <w:bCs/>
          <w:color w:val="auto"/>
          <w:sz w:val="32"/>
          <w:szCs w:val="32"/>
        </w:rPr>
      </w:r>
      <w:r/>
    </w:p>
    <w:p>
      <w:pPr>
        <w:pStyle w:val="686"/>
        <w:spacing w:line="540" w:lineRule="exact"/>
        <w:rPr>
          <w:rFonts w:ascii="Times New Roman" w:eastAsia="宋体" w:cs="Times New Roman"/>
          <w:b/>
          <w:bCs/>
          <w:color w:val="auto"/>
          <w:sz w:val="32"/>
          <w:szCs w:val="32"/>
        </w:rPr>
      </w:pPr>
      <w:r>
        <w:rPr>
          <w:rFonts w:ascii="Times New Roman" w:eastAsia="宋体" w:cs="Times New Roman"/>
          <w:b/>
          <w:bCs/>
          <w:color w:val="auto"/>
          <w:sz w:val="32"/>
          <w:szCs w:val="32"/>
        </w:rPr>
      </w:r>
      <w:r/>
    </w:p>
    <w:p>
      <w:pPr>
        <w:pStyle w:val="686"/>
        <w:spacing w:line="540" w:lineRule="exact"/>
        <w:rPr>
          <w:rFonts w:ascii="Times New Roman" w:eastAsia="宋体" w:cs="Times New Roman"/>
          <w:b/>
          <w:bCs/>
          <w:color w:val="auto"/>
          <w:sz w:val="32"/>
          <w:szCs w:val="32"/>
        </w:rPr>
      </w:pPr>
      <w:r>
        <w:rPr>
          <w:rFonts w:ascii="Times New Roman" w:eastAsia="宋体" w:cs="Times New Roman"/>
          <w:b/>
          <w:bCs/>
          <w:color w:val="auto"/>
          <w:sz w:val="32"/>
          <w:szCs w:val="32"/>
        </w:rPr>
      </w:r>
      <w:r/>
    </w:p>
    <w:p>
      <w:pPr>
        <w:ind w:firstLine="1205"/>
        <w:jc w:val="left"/>
        <w:widowControl/>
        <w:rPr>
          <w:b/>
          <w:bCs/>
          <w:sz w:val="30"/>
          <w:szCs w:val="30"/>
        </w:rPr>
      </w:pPr>
      <w:r>
        <w:rPr>
          <w:b/>
          <w:bCs/>
          <w:sz w:val="30"/>
          <w:szCs w:val="30"/>
        </w:rPr>
        <w:t xml:space="preserve">项目名称</w:t>
      </w:r>
      <w:r>
        <w:rPr>
          <w:sz w:val="30"/>
          <w:szCs w:val="30"/>
        </w:rPr>
        <w:t xml:space="preserve">：</w:t>
      </w:r>
      <w:bookmarkStart w:id="10" w:name="OLE_LINK20"/>
      <w:r/>
      <w:bookmarkStart w:id="11" w:name="OLE_LINK22"/>
      <w:r>
        <w:rPr>
          <w:rFonts w:hint="eastAsia"/>
          <w:b/>
          <w:bCs/>
          <w:sz w:val="30"/>
          <w:szCs w:val="30"/>
        </w:rPr>
        <w:t xml:space="preserve">道路交通安全“5510”整治工程</w:t>
      </w:r>
      <w:bookmarkEnd w:id="10"/>
      <w:r/>
      <w:bookmarkEnd w:id="11"/>
      <w:r/>
      <w:r/>
    </w:p>
    <w:p>
      <w:pPr>
        <w:pStyle w:val="698"/>
        <w:rPr>
          <w:sz w:val="30"/>
          <w:szCs w:val="30"/>
        </w:rPr>
      </w:pPr>
      <w:r>
        <w:rPr>
          <w:sz w:val="30"/>
          <w:szCs w:val="30"/>
        </w:rPr>
      </w:r>
      <w:r/>
    </w:p>
    <w:p>
      <w:pPr>
        <w:ind w:firstLine="1205"/>
        <w:widowControl/>
        <w:rPr>
          <w:b/>
          <w:bCs/>
          <w:sz w:val="30"/>
          <w:szCs w:val="30"/>
        </w:rPr>
      </w:pPr>
      <w:r>
        <w:rPr>
          <w:b/>
          <w:bCs/>
          <w:sz w:val="30"/>
          <w:szCs w:val="30"/>
        </w:rPr>
        <w:t xml:space="preserve">项目编号：JSZC-321283-SWGC-G2026-0108</w:t>
      </w:r>
      <w:r/>
    </w:p>
    <w:p>
      <w:pPr>
        <w:pStyle w:val="686"/>
        <w:ind w:firstLine="723"/>
        <w:jc w:val="center"/>
        <w:spacing w:line="540" w:lineRule="exact"/>
        <w:rPr>
          <w:rFonts w:ascii="Times New Roman" w:eastAsia="宋体" w:cs="Times New Roman"/>
          <w:b/>
          <w:color w:val="auto"/>
          <w:sz w:val="36"/>
          <w:szCs w:val="36"/>
        </w:rPr>
      </w:pPr>
      <w:r>
        <w:rPr>
          <w:rFonts w:ascii="Times New Roman" w:eastAsia="宋体" w:cs="Times New Roman"/>
          <w:b/>
          <w:color w:val="auto"/>
          <w:sz w:val="36"/>
          <w:szCs w:val="36"/>
        </w:rPr>
      </w:r>
      <w:r/>
    </w:p>
    <w:p>
      <w:pPr>
        <w:pStyle w:val="686"/>
        <w:ind w:firstLine="723"/>
        <w:jc w:val="center"/>
        <w:spacing w:line="540" w:lineRule="exact"/>
        <w:rPr>
          <w:rFonts w:ascii="Times New Roman" w:eastAsia="宋体" w:cs="Times New Roman"/>
          <w:b/>
          <w:color w:val="auto"/>
          <w:sz w:val="36"/>
          <w:szCs w:val="36"/>
        </w:rPr>
      </w:pPr>
      <w:r>
        <w:rPr>
          <w:rFonts w:ascii="Times New Roman" w:eastAsia="宋体" w:cs="Times New Roman"/>
          <w:b/>
          <w:color w:val="auto"/>
          <w:sz w:val="36"/>
          <w:szCs w:val="36"/>
        </w:rPr>
      </w:r>
      <w:r/>
    </w:p>
    <w:p>
      <w:pPr>
        <w:pStyle w:val="686"/>
        <w:ind w:firstLine="723"/>
        <w:jc w:val="center"/>
        <w:spacing w:line="540" w:lineRule="exact"/>
        <w:rPr>
          <w:rFonts w:ascii="Times New Roman" w:eastAsia="宋体" w:cs="Times New Roman"/>
          <w:b/>
          <w:color w:val="auto"/>
          <w:sz w:val="36"/>
          <w:szCs w:val="36"/>
        </w:rPr>
      </w:pPr>
      <w:r>
        <w:rPr>
          <w:rFonts w:ascii="Times New Roman" w:eastAsia="宋体" w:cs="Times New Roman"/>
          <w:b/>
          <w:color w:val="auto"/>
          <w:sz w:val="36"/>
          <w:szCs w:val="36"/>
        </w:rPr>
      </w:r>
      <w:r/>
    </w:p>
    <w:p>
      <w:pPr>
        <w:pStyle w:val="686"/>
        <w:ind w:firstLine="723"/>
        <w:jc w:val="center"/>
        <w:spacing w:line="540" w:lineRule="exact"/>
        <w:rPr>
          <w:rFonts w:ascii="Times New Roman" w:eastAsia="宋体" w:cs="Times New Roman"/>
          <w:b/>
          <w:bCs/>
          <w:color w:val="auto"/>
          <w:sz w:val="36"/>
          <w:szCs w:val="36"/>
        </w:rPr>
      </w:pPr>
      <w:r>
        <w:rPr>
          <w:rFonts w:ascii="Times New Roman" w:eastAsia="宋体" w:cs="Times New Roman"/>
          <w:b/>
          <w:bCs/>
          <w:color w:val="auto"/>
          <w:sz w:val="36"/>
          <w:szCs w:val="36"/>
        </w:rPr>
      </w:r>
      <w:r/>
    </w:p>
    <w:p>
      <w:pPr>
        <w:pStyle w:val="686"/>
        <w:ind w:firstLine="723"/>
        <w:jc w:val="center"/>
        <w:spacing w:line="540" w:lineRule="exact"/>
        <w:rPr>
          <w:rFonts w:ascii="Times New Roman" w:eastAsia="宋体" w:cs="Times New Roman"/>
          <w:b/>
          <w:bCs/>
          <w:color w:val="auto"/>
          <w:sz w:val="36"/>
          <w:szCs w:val="36"/>
        </w:rPr>
      </w:pPr>
      <w:r>
        <w:rPr>
          <w:rFonts w:ascii="Times New Roman" w:eastAsia="宋体" w:cs="Times New Roman"/>
          <w:b/>
          <w:bCs/>
          <w:color w:val="auto"/>
          <w:sz w:val="36"/>
          <w:szCs w:val="36"/>
        </w:rPr>
      </w:r>
      <w:r/>
    </w:p>
    <w:p>
      <w:pPr>
        <w:pStyle w:val="686"/>
        <w:ind w:firstLine="723"/>
        <w:jc w:val="center"/>
        <w:spacing w:line="540" w:lineRule="exact"/>
        <w:rPr>
          <w:rFonts w:ascii="Times New Roman" w:eastAsia="宋体" w:cs="Times New Roman"/>
          <w:b/>
          <w:bCs/>
          <w:color w:val="auto"/>
          <w:sz w:val="36"/>
          <w:szCs w:val="36"/>
        </w:rPr>
      </w:pPr>
      <w:r>
        <w:rPr>
          <w:rFonts w:ascii="Times New Roman" w:eastAsia="宋体" w:cs="Times New Roman"/>
          <w:b/>
          <w:bCs/>
          <w:color w:val="auto"/>
          <w:sz w:val="36"/>
          <w:szCs w:val="36"/>
        </w:rPr>
      </w:r>
      <w:r/>
    </w:p>
    <w:p>
      <w:pPr>
        <w:pStyle w:val="686"/>
        <w:ind w:firstLine="723"/>
        <w:jc w:val="center"/>
        <w:spacing w:line="540" w:lineRule="exact"/>
        <w:rPr>
          <w:rFonts w:ascii="Times New Roman" w:eastAsia="宋体" w:cs="Times New Roman"/>
          <w:b/>
          <w:bCs/>
          <w:color w:val="auto"/>
          <w:sz w:val="36"/>
          <w:szCs w:val="36"/>
        </w:rPr>
      </w:pPr>
      <w:r>
        <w:rPr>
          <w:rFonts w:ascii="Times New Roman" w:eastAsia="宋体" w:cs="Times New Roman"/>
          <w:b/>
          <w:bCs/>
          <w:color w:val="auto"/>
          <w:sz w:val="36"/>
          <w:szCs w:val="36"/>
        </w:rPr>
      </w:r>
      <w:r/>
    </w:p>
    <w:p>
      <w:pPr>
        <w:pStyle w:val="686"/>
        <w:ind w:firstLine="723"/>
        <w:jc w:val="center"/>
        <w:spacing w:line="540" w:lineRule="exact"/>
        <w:rPr>
          <w:rFonts w:ascii="Times New Roman" w:eastAsia="宋体" w:cs="Times New Roman"/>
          <w:b/>
          <w:color w:val="auto"/>
          <w:sz w:val="36"/>
          <w:szCs w:val="36"/>
        </w:rPr>
      </w:pPr>
      <w:r>
        <w:rPr>
          <w:rFonts w:ascii="Times New Roman" w:eastAsia="宋体" w:cs="Times New Roman"/>
          <w:b/>
          <w:color w:val="auto"/>
          <w:sz w:val="36"/>
          <w:szCs w:val="36"/>
        </w:rPr>
      </w:r>
      <w:r/>
    </w:p>
    <w:p>
      <w:pPr>
        <w:ind w:firstLine="540"/>
        <w:rPr>
          <w:rFonts w:ascii="宋体" w:hAnsi="宋体" w:cs="宋体"/>
          <w:sz w:val="36"/>
          <w:szCs w:val="36"/>
        </w:rPr>
      </w:pPr>
      <w:r>
        <w:rPr>
          <w:rFonts w:ascii="宋体" w:hAnsi="宋体" w:cs="宋体"/>
          <w:sz w:val="36"/>
          <w:szCs w:val="36"/>
        </w:rPr>
      </w:r>
      <w:r/>
    </w:p>
    <w:p>
      <w:pPr>
        <w:ind w:firstLine="540"/>
        <w:rPr>
          <w:rFonts w:ascii="宋体" w:hAnsi="宋体" w:cs="宋体"/>
          <w:sz w:val="36"/>
          <w:szCs w:val="36"/>
        </w:rPr>
      </w:pPr>
      <w:r>
        <w:rPr>
          <w:rFonts w:ascii="宋体" w:hAnsi="宋体" w:cs="宋体"/>
          <w:sz w:val="36"/>
          <w:szCs w:val="36"/>
        </w:rPr>
      </w:r>
      <w:r/>
    </w:p>
    <w:p>
      <w:pPr>
        <w:ind w:firstLine="540"/>
        <w:rPr>
          <w:rFonts w:ascii="宋体" w:hAnsi="宋体" w:cs="宋体"/>
          <w:sz w:val="36"/>
          <w:szCs w:val="36"/>
        </w:rPr>
      </w:pPr>
      <w:r>
        <w:rPr>
          <w:rFonts w:ascii="宋体" w:hAnsi="宋体" w:cs="宋体"/>
          <w:sz w:val="36"/>
          <w:szCs w:val="36"/>
        </w:rPr>
      </w:r>
      <w:r/>
    </w:p>
    <w:p>
      <w:pPr>
        <w:pStyle w:val="901"/>
        <w:ind w:firstLine="0"/>
        <w:jc w:val="center"/>
        <w:spacing w:before="0" w:after="0" w:line="600" w:lineRule="exact"/>
        <w:rPr>
          <w:rFonts w:ascii="宋体" w:hAnsi="宋体" w:cs="宋体"/>
          <w:b/>
          <w:bCs/>
          <w:sz w:val="36"/>
          <w:szCs w:val="36"/>
        </w:rPr>
      </w:pPr>
      <w:r/>
      <w:bookmarkStart w:id="12" w:name="OLE_LINK24"/>
      <w:r/>
      <w:bookmarkStart w:id="13" w:name="OLE_LINK23"/>
      <w:r>
        <w:rPr>
          <w:rFonts w:hint="eastAsia" w:ascii="宋体" w:hAnsi="宋体" w:cs="宋体"/>
          <w:b/>
          <w:bCs/>
          <w:sz w:val="36"/>
          <w:szCs w:val="36"/>
        </w:rPr>
        <w:t xml:space="preserve">泰兴市公安局交通管理大队</w:t>
      </w:r>
      <w:bookmarkEnd w:id="12"/>
      <w:r/>
      <w:bookmarkEnd w:id="13"/>
      <w:r/>
      <w:r/>
    </w:p>
    <w:p>
      <w:pPr>
        <w:pStyle w:val="901"/>
        <w:ind w:firstLine="0"/>
        <w:jc w:val="center"/>
        <w:spacing w:before="0" w:after="0" w:line="600" w:lineRule="exact"/>
        <w:rPr>
          <w:rFonts w:ascii="宋体" w:hAnsi="宋体" w:cs="宋体"/>
          <w:b/>
          <w:bCs/>
          <w:sz w:val="36"/>
          <w:szCs w:val="36"/>
        </w:rPr>
      </w:pPr>
      <w:r>
        <w:rPr>
          <w:rFonts w:hint="eastAsia" w:ascii="宋体" w:hAnsi="宋体" w:cs="宋体"/>
          <w:b/>
          <w:bCs/>
          <w:sz w:val="36"/>
          <w:szCs w:val="36"/>
        </w:rPr>
        <w:t xml:space="preserve">江苏苏维工程管理有限公司</w:t>
      </w:r>
      <w:r/>
    </w:p>
    <w:p>
      <w:pPr>
        <w:pStyle w:val="901"/>
        <w:ind w:firstLine="0"/>
        <w:jc w:val="center"/>
        <w:spacing w:before="0" w:after="0" w:line="600" w:lineRule="exact"/>
        <w:rPr>
          <w:rFonts w:ascii="宋体" w:hAnsi="宋体" w:cs="宋体"/>
          <w:b/>
          <w:bCs/>
          <w:sz w:val="36"/>
          <w:szCs w:val="36"/>
        </w:rPr>
      </w:pPr>
      <w:r>
        <w:rPr>
          <w:rFonts w:hint="eastAsia" w:ascii="宋体" w:hAnsi="宋体" w:cs="宋体"/>
          <w:b/>
          <w:bCs/>
          <w:sz w:val="36"/>
          <w:szCs w:val="36"/>
        </w:rPr>
        <w:t xml:space="preserve">二○二六年八月</w:t>
      </w:r>
      <w:r/>
    </w:p>
    <w:p>
      <w:pPr>
        <w:ind w:firstLine="723"/>
        <w:jc w:val="center"/>
        <w:spacing w:line="500" w:lineRule="exact"/>
        <w:rPr>
          <w:rFonts w:ascii="宋体" w:hAnsi="宋体" w:cs="宋体"/>
          <w:b/>
          <w:bCs/>
          <w:sz w:val="36"/>
          <w:szCs w:val="36"/>
        </w:rPr>
      </w:pPr>
      <w:r>
        <w:rPr>
          <w:rFonts w:ascii="宋体" w:hAnsi="宋体" w:cs="宋体"/>
          <w:b/>
          <w:bCs/>
          <w:sz w:val="36"/>
          <w:szCs w:val="36"/>
        </w:rPr>
      </w:r>
      <w:r/>
    </w:p>
    <w:p>
      <w:pPr>
        <w:ind w:firstLine="723"/>
        <w:jc w:val="center"/>
        <w:spacing w:line="500" w:lineRule="exact"/>
        <w:rPr>
          <w:rFonts w:asciiTheme="majorEastAsia" w:hAnsiTheme="majorEastAsia" w:eastAsiaTheme="majorEastAsia"/>
          <w:sz w:val="28"/>
          <w:szCs w:val="28"/>
        </w:rPr>
      </w:pPr>
      <w:r>
        <w:rPr>
          <w:rFonts w:hint="eastAsia" w:ascii="宋体" w:hAnsi="宋体" w:cs="宋体"/>
          <w:b/>
          <w:bCs/>
          <w:sz w:val="36"/>
          <w:szCs w:val="36"/>
        </w:rPr>
        <w:t xml:space="preserve">第一章</w:t>
      </w:r>
      <w:bookmarkEnd w:id="0"/>
      <w:r/>
      <w:bookmarkEnd w:id="1"/>
      <w:r/>
      <w:bookmarkEnd w:id="2"/>
      <w:r/>
      <w:bookmarkEnd w:id="3"/>
      <w:r/>
      <w:bookmarkEnd w:id="4"/>
      <w:r/>
      <w:bookmarkEnd w:id="5"/>
      <w:r/>
      <w:bookmarkEnd w:id="6"/>
      <w:r/>
      <w:bookmarkEnd w:id="7"/>
      <w:r/>
      <w:bookmarkEnd w:id="8"/>
      <w:r/>
      <w:bookmarkEnd w:id="9"/>
      <w:r/>
      <w:bookmarkStart w:id="14" w:name="OLE_LINK126"/>
      <w:r>
        <w:rPr>
          <w:rFonts w:hint="eastAsia" w:ascii="宋体" w:hAnsi="宋体" w:cs="宋体"/>
          <w:b/>
          <w:bCs/>
          <w:sz w:val="36"/>
          <w:szCs w:val="36"/>
        </w:rPr>
        <w:t xml:space="preserve"> </w:t>
      </w:r>
      <w:r>
        <w:rPr>
          <w:rFonts w:ascii="宋体" w:hAnsi="宋体" w:cs="宋体"/>
          <w:b/>
          <w:bCs/>
          <w:sz w:val="36"/>
          <w:szCs w:val="36"/>
        </w:rPr>
        <w:t xml:space="preserve"> </w:t>
      </w:r>
      <w:r>
        <w:rPr>
          <w:rFonts w:hint="eastAsia" w:ascii="宋体" w:hAnsi="宋体" w:cs="宋体"/>
          <w:b/>
          <w:bCs/>
          <w:sz w:val="36"/>
          <w:szCs w:val="36"/>
        </w:rPr>
        <w:t xml:space="preserve">招标公告</w:t>
      </w:r>
      <w:r/>
    </w:p>
    <w:tbl>
      <w:tblPr>
        <w:tblStyle w:val="721"/>
        <w:tblW w:w="0" w:type="auto"/>
        <w:tblInd w:w="1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93"/>
      </w:tblGrid>
      <w:tr>
        <w:trPr>
          <w:trHeight w:val="1384"/>
        </w:trPr>
        <w:tc>
          <w:tcPr>
            <w:tcW w:w="10200" w:type="dxa"/>
            <w:textDirection w:val="lrTb"/>
            <w:noWrap w:val="false"/>
          </w:tcPr>
          <w:p>
            <w:pPr>
              <w:jc w:val="left"/>
              <w:spacing w:line="500" w:lineRule="exact"/>
              <w:rPr>
                <w:rFonts w:ascii="宋体" w:hAnsi="宋体" w:cs="宋体"/>
                <w:sz w:val="28"/>
                <w:szCs w:val="28"/>
              </w:rPr>
            </w:pPr>
            <w:r>
              <w:rPr>
                <w:rFonts w:hint="eastAsia" w:ascii="宋体" w:hAnsi="宋体" w:cs="宋体"/>
                <w:sz w:val="28"/>
                <w:szCs w:val="28"/>
              </w:rPr>
              <w:t xml:space="preserve">项目概况</w:t>
            </w:r>
            <w:r/>
          </w:p>
          <w:p>
            <w:pPr>
              <w:ind w:firstLine="560"/>
              <w:jc w:val="left"/>
              <w:spacing w:line="500" w:lineRule="exact"/>
              <w:rPr>
                <w:rFonts w:ascii="宋体" w:hAnsi="宋体" w:cs="宋体"/>
                <w:b/>
                <w:bCs/>
                <w:sz w:val="28"/>
                <w:szCs w:val="28"/>
              </w:rPr>
            </w:pPr>
            <w:r/>
            <w:bookmarkStart w:id="15" w:name="OLE_LINK46"/>
            <w:r>
              <w:rPr>
                <w:rFonts w:hint="eastAsia" w:ascii="宋体" w:hAnsi="宋体" w:cs="宋体"/>
                <w:sz w:val="28"/>
                <w:szCs w:val="28"/>
                <w:u w:val="single"/>
              </w:rPr>
              <w:t xml:space="preserve">道路交通安全“5510”整治工程</w:t>
            </w:r>
            <w:bookmarkEnd w:id="15"/>
            <w:r>
              <w:rPr>
                <w:rFonts w:hint="eastAsia" w:ascii="宋体" w:hAnsi="宋体" w:cs="宋体"/>
                <w:sz w:val="28"/>
                <w:szCs w:val="28"/>
              </w:rPr>
              <w:t xml:space="preserve">招标项目的潜在投标人应在苏采云获取招标文件，并于</w:t>
            </w:r>
            <w:bookmarkStart w:id="16" w:name="OLE_LINK5"/>
            <w:r/>
            <w:bookmarkStart w:id="17" w:name="OLE_LINK6"/>
            <w:r>
              <w:rPr>
                <w:rFonts w:hint="eastAsia" w:ascii="宋体" w:hAnsi="宋体" w:cs="宋体"/>
                <w:sz w:val="28"/>
                <w:szCs w:val="28"/>
                <w:u w:val="single"/>
              </w:rPr>
              <w:t xml:space="preserve">2026-</w:t>
            </w:r>
            <w:r>
              <w:rPr>
                <w:rFonts w:ascii="宋体" w:hAnsi="宋体" w:cs="宋体"/>
                <w:sz w:val="28"/>
                <w:szCs w:val="28"/>
                <w:u w:val="single"/>
              </w:rPr>
              <w:t xml:space="preserve">9</w:t>
            </w:r>
            <w:r>
              <w:rPr>
                <w:rFonts w:hint="eastAsia" w:ascii="宋体" w:hAnsi="宋体" w:cs="宋体"/>
                <w:sz w:val="28"/>
                <w:szCs w:val="28"/>
                <w:u w:val="single"/>
              </w:rPr>
              <w:t xml:space="preserve">-15 </w:t>
            </w:r>
            <w:r>
              <w:rPr>
                <w:rFonts w:ascii="宋体" w:hAnsi="宋体" w:cs="宋体"/>
                <w:sz w:val="28"/>
                <w:szCs w:val="28"/>
                <w:u w:val="single"/>
              </w:rPr>
              <w:t xml:space="preserve">9</w:t>
            </w:r>
            <w:r>
              <w:rPr>
                <w:rFonts w:hint="eastAsia" w:ascii="宋体" w:hAnsi="宋体" w:cs="宋体"/>
                <w:sz w:val="28"/>
                <w:szCs w:val="28"/>
                <w:u w:val="single"/>
              </w:rPr>
              <w:t xml:space="preserve">:</w:t>
            </w:r>
            <w:r>
              <w:rPr>
                <w:rFonts w:ascii="宋体" w:hAnsi="宋体" w:cs="宋体"/>
                <w:sz w:val="28"/>
                <w:szCs w:val="28"/>
                <w:u w:val="single"/>
              </w:rPr>
              <w:t xml:space="preserve">0</w:t>
            </w:r>
            <w:r>
              <w:rPr>
                <w:rFonts w:hint="eastAsia" w:ascii="宋体" w:hAnsi="宋体" w:cs="宋体"/>
                <w:sz w:val="28"/>
                <w:szCs w:val="28"/>
                <w:u w:val="single"/>
              </w:rPr>
              <w:t xml:space="preserve">0</w:t>
            </w:r>
            <w:bookmarkEnd w:id="16"/>
            <w:r/>
            <w:bookmarkEnd w:id="17"/>
            <w:r>
              <w:rPr>
                <w:rFonts w:hint="eastAsia" w:ascii="宋体" w:hAnsi="宋体" w:cs="宋体"/>
                <w:sz w:val="28"/>
                <w:szCs w:val="28"/>
              </w:rPr>
              <w:t xml:space="preserve">（北京时间）前递交投标文件。</w:t>
            </w:r>
            <w:r/>
          </w:p>
        </w:tc>
      </w:tr>
    </w:tbl>
    <w:p>
      <w:pPr>
        <w:spacing w:line="540" w:lineRule="exact"/>
        <w:rPr>
          <w:rFonts w:ascii="宋体" w:hAnsi="宋体" w:cs="宋体"/>
          <w:b/>
          <w:sz w:val="28"/>
          <w:szCs w:val="28"/>
        </w:rPr>
      </w:pPr>
      <w:r>
        <w:rPr>
          <w:rFonts w:hint="eastAsia" w:ascii="宋体" w:hAnsi="宋体" w:cs="宋体"/>
          <w:b/>
          <w:sz w:val="28"/>
          <w:szCs w:val="28"/>
        </w:rPr>
        <w:t xml:space="preserve">一、项目基本情况</w:t>
      </w:r>
      <w:r/>
    </w:p>
    <w:p>
      <w:pPr>
        <w:ind w:firstLine="560"/>
        <w:spacing w:line="540" w:lineRule="exact"/>
        <w:rPr>
          <w:rFonts w:ascii="宋体" w:hAnsi="宋体" w:cs="宋体"/>
          <w:sz w:val="28"/>
          <w:szCs w:val="28"/>
        </w:rPr>
      </w:pPr>
      <w:r>
        <w:rPr>
          <w:rFonts w:hint="eastAsia" w:ascii="宋体" w:hAnsi="宋体" w:cs="宋体"/>
          <w:sz w:val="28"/>
          <w:szCs w:val="28"/>
        </w:rPr>
        <w:t xml:space="preserve">项目编号：</w:t>
      </w:r>
      <w:r>
        <w:rPr>
          <w:rFonts w:ascii="宋体" w:hAnsi="宋体" w:cs="宋体"/>
          <w:sz w:val="28"/>
          <w:szCs w:val="28"/>
        </w:rPr>
        <w:t xml:space="preserve">JSZC-321283-SWGC-G2026-0108</w:t>
      </w:r>
      <w:r/>
    </w:p>
    <w:p>
      <w:pPr>
        <w:ind w:firstLine="560"/>
        <w:spacing w:line="540" w:lineRule="exact"/>
        <w:rPr>
          <w:rFonts w:ascii="宋体" w:hAnsi="宋体" w:cs="宋体"/>
          <w:sz w:val="28"/>
          <w:szCs w:val="28"/>
        </w:rPr>
      </w:pPr>
      <w:r>
        <w:rPr>
          <w:rFonts w:hint="eastAsia" w:ascii="宋体" w:hAnsi="宋体" w:cs="宋体"/>
          <w:sz w:val="28"/>
          <w:szCs w:val="28"/>
        </w:rPr>
        <w:t xml:space="preserve">项目名称：道路交通安全“5510”整治工程</w:t>
      </w:r>
      <w:r/>
    </w:p>
    <w:p>
      <w:pPr>
        <w:ind w:firstLine="560"/>
        <w:spacing w:line="540" w:lineRule="exact"/>
        <w:rPr>
          <w:rFonts w:ascii="宋体" w:hAnsi="宋体" w:cs="宋体"/>
          <w:sz w:val="28"/>
          <w:szCs w:val="28"/>
        </w:rPr>
      </w:pPr>
      <w:r/>
      <w:bookmarkStart w:id="18" w:name="OLE_LINK1"/>
      <w:r/>
      <w:bookmarkStart w:id="19" w:name="OLE_LINK3"/>
      <w:r>
        <w:rPr>
          <w:rFonts w:hint="eastAsia" w:ascii="宋体" w:hAnsi="宋体" w:cs="宋体"/>
          <w:sz w:val="28"/>
          <w:szCs w:val="28"/>
        </w:rPr>
        <w:t xml:space="preserve">预算金额：</w:t>
      </w:r>
      <w:bookmarkStart w:id="20" w:name="OLE_LINK45"/>
      <w:r/>
      <w:bookmarkStart w:id="21" w:name="OLE_LINK44"/>
      <w:r>
        <w:rPr>
          <w:rFonts w:hint="eastAsia" w:ascii="宋体" w:hAnsi="宋体" w:cs="宋体"/>
          <w:sz w:val="28"/>
          <w:szCs w:val="28"/>
        </w:rPr>
        <w:t xml:space="preserve">451.09万元</w:t>
      </w:r>
      <w:bookmarkEnd w:id="20"/>
      <w:r/>
      <w:bookmarkEnd w:id="21"/>
      <w:r/>
      <w:r/>
    </w:p>
    <w:p>
      <w:pPr>
        <w:ind w:firstLine="560"/>
        <w:spacing w:line="540" w:lineRule="exact"/>
        <w:rPr>
          <w:rFonts w:ascii="宋体" w:hAnsi="宋体" w:cs="宋体"/>
          <w:sz w:val="28"/>
          <w:szCs w:val="28"/>
        </w:rPr>
      </w:pPr>
      <w:r>
        <w:rPr>
          <w:rFonts w:hint="eastAsia" w:ascii="宋体" w:hAnsi="宋体" w:cs="宋体"/>
          <w:sz w:val="28"/>
          <w:szCs w:val="28"/>
        </w:rPr>
        <w:t xml:space="preserve">最高限价：</w:t>
      </w:r>
      <w:bookmarkStart w:id="22" w:name="OLE_LINK104"/>
      <w:r/>
      <w:bookmarkStart w:id="23" w:name="OLE_LINK105"/>
      <w:r>
        <w:rPr>
          <w:rFonts w:hint="eastAsia" w:ascii="宋体" w:hAnsi="宋体" w:cs="宋体"/>
          <w:sz w:val="28"/>
          <w:szCs w:val="28"/>
        </w:rPr>
        <w:t xml:space="preserve">451.09万元，投标报价不得超过最高限价，否则作无效标处理。</w:t>
      </w:r>
      <w:bookmarkEnd w:id="18"/>
      <w:r/>
      <w:bookmarkEnd w:id="19"/>
      <w:r/>
      <w:bookmarkEnd w:id="22"/>
      <w:r/>
      <w:bookmarkEnd w:id="23"/>
      <w:r/>
      <w:r/>
    </w:p>
    <w:p>
      <w:pPr>
        <w:ind w:firstLine="560"/>
        <w:spacing w:line="540" w:lineRule="exact"/>
        <w:rPr>
          <w:rFonts w:ascii="宋体" w:hAnsi="宋体" w:cs="宋体"/>
          <w:sz w:val="28"/>
          <w:szCs w:val="28"/>
        </w:rPr>
      </w:pPr>
      <w:r>
        <w:rPr>
          <w:rFonts w:hint="eastAsia" w:ascii="宋体" w:hAnsi="宋体" w:cs="宋体"/>
          <w:sz w:val="28"/>
          <w:szCs w:val="28"/>
        </w:rPr>
        <w:t xml:space="preserve">采购方式：公开招标</w:t>
      </w:r>
      <w:r/>
    </w:p>
    <w:p>
      <w:pPr>
        <w:ind w:firstLine="560"/>
        <w:spacing w:line="540" w:lineRule="exact"/>
        <w:rPr>
          <w:rFonts w:ascii="宋体" w:hAnsi="宋体" w:cs="宋体"/>
          <w:sz w:val="28"/>
          <w:szCs w:val="28"/>
        </w:rPr>
      </w:pPr>
      <w:r>
        <w:rPr>
          <w:rFonts w:hint="eastAsia" w:ascii="宋体" w:hAnsi="宋体" w:cs="宋体"/>
          <w:sz w:val="28"/>
          <w:szCs w:val="28"/>
        </w:rPr>
        <w:t xml:space="preserve">采购需求：</w:t>
      </w:r>
      <w:bookmarkStart w:id="24" w:name="OLE_LINK139"/>
      <w:r/>
      <w:bookmarkStart w:id="25" w:name="OLE_LINK9"/>
      <w:r/>
      <w:bookmarkStart w:id="26" w:name="OLE_LINK10"/>
      <w:r/>
      <w:bookmarkStart w:id="27" w:name="OLE_LINK101"/>
      <w:r>
        <w:rPr>
          <w:rFonts w:hint="eastAsia" w:ascii="宋体" w:hAnsi="宋体" w:cs="宋体"/>
          <w:sz w:val="28"/>
          <w:szCs w:val="28"/>
        </w:rPr>
        <w:t xml:space="preserve">经梳理排查，2</w:t>
      </w:r>
      <w:r>
        <w:rPr>
          <w:rFonts w:ascii="宋体" w:hAnsi="宋体" w:cs="宋体"/>
          <w:sz w:val="28"/>
          <w:szCs w:val="28"/>
        </w:rPr>
        <w:t xml:space="preserve">026</w:t>
      </w:r>
      <w:r>
        <w:rPr>
          <w:rFonts w:hint="eastAsia" w:ascii="宋体" w:hAnsi="宋体" w:cs="宋体"/>
          <w:sz w:val="28"/>
          <w:szCs w:val="28"/>
        </w:rPr>
        <w:t xml:space="preserve">年度拟对G</w:t>
      </w:r>
      <w:r>
        <w:rPr>
          <w:rFonts w:ascii="宋体" w:hAnsi="宋体" w:cs="宋体"/>
          <w:sz w:val="28"/>
          <w:szCs w:val="28"/>
        </w:rPr>
        <w:t xml:space="preserve">345</w:t>
      </w:r>
      <w:r>
        <w:rPr>
          <w:rFonts w:hint="eastAsia" w:ascii="宋体" w:hAnsi="宋体" w:cs="宋体"/>
          <w:sz w:val="28"/>
          <w:szCs w:val="28"/>
        </w:rPr>
        <w:t xml:space="preserve">、S</w:t>
      </w:r>
      <w:r>
        <w:rPr>
          <w:rFonts w:ascii="宋体" w:hAnsi="宋体" w:cs="宋体"/>
          <w:sz w:val="28"/>
          <w:szCs w:val="28"/>
        </w:rPr>
        <w:t xml:space="preserve">229</w:t>
      </w:r>
      <w:r>
        <w:rPr>
          <w:rFonts w:hint="eastAsia" w:ascii="宋体" w:hAnsi="宋体" w:cs="宋体"/>
          <w:sz w:val="28"/>
          <w:szCs w:val="28"/>
        </w:rPr>
        <w:t xml:space="preserve">、S</w:t>
      </w:r>
      <w:r>
        <w:rPr>
          <w:rFonts w:ascii="宋体" w:hAnsi="宋体" w:cs="宋体"/>
          <w:sz w:val="28"/>
          <w:szCs w:val="28"/>
        </w:rPr>
        <w:t xml:space="preserve">504</w:t>
      </w:r>
      <w:r>
        <w:rPr>
          <w:rFonts w:hint="eastAsia" w:ascii="宋体" w:hAnsi="宋体" w:cs="宋体"/>
          <w:sz w:val="28"/>
          <w:szCs w:val="28"/>
        </w:rPr>
        <w:t xml:space="preserve">、X</w:t>
      </w:r>
      <w:r>
        <w:rPr>
          <w:rFonts w:ascii="宋体" w:hAnsi="宋体" w:cs="宋体"/>
          <w:sz w:val="28"/>
          <w:szCs w:val="28"/>
        </w:rPr>
        <w:t xml:space="preserve">201</w:t>
      </w:r>
      <w:r>
        <w:rPr>
          <w:rFonts w:hint="eastAsia" w:ascii="宋体" w:hAnsi="宋体" w:cs="宋体"/>
          <w:sz w:val="28"/>
          <w:szCs w:val="28"/>
        </w:rPr>
        <w:t xml:space="preserve">、X</w:t>
      </w:r>
      <w:r>
        <w:rPr>
          <w:rFonts w:ascii="宋体" w:hAnsi="宋体" w:cs="宋体"/>
          <w:sz w:val="28"/>
          <w:szCs w:val="28"/>
        </w:rPr>
        <w:t xml:space="preserve">302</w:t>
      </w:r>
      <w:r>
        <w:rPr>
          <w:rFonts w:hint="eastAsia" w:ascii="宋体" w:hAnsi="宋体" w:cs="宋体"/>
          <w:sz w:val="28"/>
          <w:szCs w:val="28"/>
        </w:rPr>
        <w:t xml:space="preserve">、X</w:t>
      </w:r>
      <w:r>
        <w:rPr>
          <w:rFonts w:ascii="宋体" w:hAnsi="宋体" w:cs="宋体"/>
          <w:sz w:val="28"/>
          <w:szCs w:val="28"/>
        </w:rPr>
        <w:t xml:space="preserve">304</w:t>
      </w:r>
      <w:r>
        <w:rPr>
          <w:rFonts w:hint="eastAsia" w:ascii="宋体" w:hAnsi="宋体" w:cs="宋体"/>
          <w:sz w:val="28"/>
          <w:szCs w:val="28"/>
        </w:rPr>
        <w:t xml:space="preserve">、X</w:t>
      </w:r>
      <w:r>
        <w:rPr>
          <w:rFonts w:ascii="宋体" w:hAnsi="宋体" w:cs="宋体"/>
          <w:sz w:val="28"/>
          <w:szCs w:val="28"/>
        </w:rPr>
        <w:t xml:space="preserve">305</w:t>
      </w:r>
      <w:r>
        <w:rPr>
          <w:rFonts w:hint="eastAsia" w:ascii="宋体" w:hAnsi="宋体" w:cs="宋体"/>
          <w:sz w:val="28"/>
          <w:szCs w:val="28"/>
        </w:rPr>
        <w:t xml:space="preserve">、X</w:t>
      </w:r>
      <w:r>
        <w:rPr>
          <w:rFonts w:ascii="宋体" w:hAnsi="宋体" w:cs="宋体"/>
          <w:sz w:val="28"/>
          <w:szCs w:val="28"/>
        </w:rPr>
        <w:t xml:space="preserve">308</w:t>
      </w:r>
      <w:r>
        <w:rPr>
          <w:rFonts w:hint="eastAsia" w:ascii="宋体" w:hAnsi="宋体" w:cs="宋体"/>
          <w:sz w:val="28"/>
          <w:szCs w:val="28"/>
        </w:rPr>
        <w:t xml:space="preserve">、根叶线等9条道路进行整治，完善标志标线、安装交通护栏、测速设施、加装交通信号灯和电子监控设备等。完善学校周边交通基础设施、加强学生交通安全宣传教育。具体内容详见招标文件。</w:t>
      </w:r>
      <w:bookmarkEnd w:id="24"/>
      <w:r/>
      <w:bookmarkEnd w:id="25"/>
      <w:r/>
      <w:bookmarkEnd w:id="26"/>
      <w:r/>
      <w:bookmarkEnd w:id="27"/>
      <w:r/>
      <w:r/>
    </w:p>
    <w:p>
      <w:pPr>
        <w:ind w:firstLine="560"/>
        <w:spacing w:line="540" w:lineRule="exact"/>
        <w:rPr>
          <w:rFonts w:ascii="宋体" w:hAnsi="宋体" w:cs="宋体"/>
          <w:sz w:val="28"/>
          <w:szCs w:val="28"/>
        </w:rPr>
      </w:pPr>
      <w:r>
        <w:rPr>
          <w:rFonts w:hint="eastAsia" w:ascii="宋体" w:hAnsi="宋体" w:cs="宋体"/>
          <w:sz w:val="28"/>
          <w:szCs w:val="28"/>
        </w:rPr>
        <w:t xml:space="preserve">合同履行期限：</w:t>
      </w:r>
      <w:bookmarkStart w:id="28" w:name="OLE_LINK107"/>
      <w:r/>
      <w:bookmarkStart w:id="29" w:name="OLE_LINK133"/>
      <w:r/>
      <w:bookmarkStart w:id="30" w:name="OLE_LINK106"/>
      <w:r/>
      <w:bookmarkStart w:id="31" w:name="OLE_LINK134"/>
      <w:r>
        <w:rPr>
          <w:rFonts w:hint="eastAsia" w:ascii="宋体" w:hAnsi="宋体" w:cs="宋体"/>
          <w:sz w:val="28"/>
          <w:szCs w:val="28"/>
        </w:rPr>
        <w:t xml:space="preserve">合同签订90日内完成全部安装调试并稳定运行。</w:t>
      </w:r>
      <w:bookmarkEnd w:id="28"/>
      <w:r/>
      <w:bookmarkEnd w:id="29"/>
      <w:r/>
      <w:bookmarkEnd w:id="30"/>
      <w:r/>
      <w:bookmarkEnd w:id="31"/>
      <w:r/>
      <w:r/>
    </w:p>
    <w:p>
      <w:pPr>
        <w:ind w:firstLine="560"/>
        <w:spacing w:line="540" w:lineRule="exact"/>
        <w:rPr>
          <w:rFonts w:ascii="宋体" w:hAnsi="宋体" w:cs="宋体"/>
          <w:sz w:val="28"/>
          <w:szCs w:val="28"/>
        </w:rPr>
      </w:pPr>
      <w:r>
        <w:rPr>
          <w:rFonts w:hint="eastAsia" w:ascii="宋体" w:hAnsi="宋体" w:cs="宋体"/>
          <w:sz w:val="28"/>
          <w:szCs w:val="28"/>
        </w:rPr>
        <w:t xml:space="preserve">本项目（是/否）接受联合体投标：不接受。</w:t>
      </w:r>
      <w:r/>
    </w:p>
    <w:p>
      <w:pPr>
        <w:spacing w:line="540" w:lineRule="exact"/>
        <w:rPr>
          <w:rFonts w:ascii="宋体" w:hAnsi="宋体" w:cs="宋体"/>
          <w:b/>
          <w:sz w:val="28"/>
          <w:szCs w:val="28"/>
        </w:rPr>
      </w:pPr>
      <w:r/>
      <w:bookmarkStart w:id="32" w:name="_Toc35393622"/>
      <w:r/>
      <w:bookmarkStart w:id="33" w:name="_Toc28359003"/>
      <w:r/>
      <w:bookmarkStart w:id="34" w:name="_Toc28359080"/>
      <w:r/>
      <w:bookmarkStart w:id="35" w:name="_Toc35393791"/>
      <w:r>
        <w:rPr>
          <w:rFonts w:hint="eastAsia" w:ascii="宋体" w:hAnsi="宋体" w:cs="宋体"/>
          <w:b/>
          <w:sz w:val="28"/>
          <w:szCs w:val="28"/>
        </w:rPr>
        <w:t xml:space="preserve">二、申请人的资格要求：</w:t>
      </w:r>
      <w:bookmarkEnd w:id="32"/>
      <w:r/>
      <w:bookmarkEnd w:id="33"/>
      <w:r/>
      <w:bookmarkEnd w:id="34"/>
      <w:r/>
      <w:bookmarkEnd w:id="35"/>
      <w:r/>
      <w:r/>
    </w:p>
    <w:p>
      <w:pPr>
        <w:ind w:firstLine="560"/>
        <w:spacing w:line="540" w:lineRule="exact"/>
        <w:rPr>
          <w:rFonts w:ascii="宋体" w:hAnsi="宋体" w:cs="宋体"/>
          <w:sz w:val="28"/>
          <w:szCs w:val="28"/>
        </w:rPr>
      </w:pPr>
      <w:r>
        <w:rPr>
          <w:rFonts w:hint="eastAsia" w:ascii="宋体" w:hAnsi="宋体" w:cs="宋体"/>
          <w:sz w:val="28"/>
          <w:szCs w:val="28"/>
        </w:rPr>
        <w:t xml:space="preserve">（一）满足《中华人民共和国政府采购法》第二十二条规定；</w:t>
      </w:r>
      <w:r/>
    </w:p>
    <w:p>
      <w:pPr>
        <w:ind w:firstLine="560"/>
        <w:spacing w:line="540" w:lineRule="exact"/>
        <w:rPr>
          <w:rFonts w:ascii="宋体" w:hAnsi="宋体" w:cs="宋体"/>
          <w:sz w:val="28"/>
          <w:szCs w:val="28"/>
        </w:rPr>
      </w:pPr>
      <w:r/>
      <w:bookmarkStart w:id="36" w:name="OLE_LINK19"/>
      <w:r/>
      <w:bookmarkStart w:id="37" w:name="OLE_LINK18"/>
      <w:r>
        <w:rPr>
          <w:rFonts w:hint="eastAsia" w:ascii="宋体" w:hAnsi="宋体" w:cs="宋体"/>
          <w:sz w:val="28"/>
          <w:szCs w:val="28"/>
        </w:rPr>
        <w:t xml:space="preserve">基本资格条件的承诺（根据供应商提供的承诺函，内容完整且具签章完备，格式详见招标文件）。</w:t>
      </w:r>
      <w:bookmarkEnd w:id="36"/>
      <w:r/>
      <w:bookmarkEnd w:id="37"/>
      <w:r/>
      <w:r/>
    </w:p>
    <w:p>
      <w:pPr>
        <w:ind w:firstLine="560"/>
        <w:spacing w:line="540" w:lineRule="exact"/>
        <w:rPr>
          <w:rFonts w:ascii="宋体" w:hAnsi="宋体" w:cs="宋体"/>
          <w:sz w:val="28"/>
          <w:szCs w:val="28"/>
        </w:rPr>
      </w:pPr>
      <w:r/>
      <w:bookmarkStart w:id="38" w:name="_Toc28359004"/>
      <w:r/>
      <w:bookmarkStart w:id="39" w:name="_Toc28359081"/>
      <w:r>
        <w:rPr>
          <w:rFonts w:hint="eastAsia" w:ascii="宋体" w:hAnsi="宋体" w:cs="宋体"/>
          <w:sz w:val="28"/>
          <w:szCs w:val="28"/>
        </w:rPr>
        <w:t xml:space="preserve">（二）落实政府采购政策需满足的资格要求：</w:t>
      </w:r>
      <w:bookmarkStart w:id="40" w:name="OLE_LINK17"/>
      <w:r/>
      <w:bookmarkStart w:id="41" w:name="OLE_LINK16"/>
      <w:r/>
      <w:bookmarkStart w:id="42" w:name="OLE_LINK7"/>
      <w:r/>
      <w:bookmarkStart w:id="43" w:name="OLE_LINK4"/>
      <w:r>
        <w:rPr>
          <w:rFonts w:hint="eastAsia" w:ascii="宋体" w:hAnsi="宋体" w:cs="宋体"/>
          <w:sz w:val="28"/>
          <w:szCs w:val="28"/>
        </w:rPr>
        <w:t xml:space="preserve">本项目为非专门面向中小企业的项目。</w:t>
      </w:r>
      <w:bookmarkEnd w:id="40"/>
      <w:r/>
      <w:bookmarkEnd w:id="41"/>
      <w:r/>
      <w:bookmarkEnd w:id="38"/>
      <w:bookmarkEnd w:id="39"/>
      <w:bookmarkEnd w:id="42"/>
      <w:bookmarkEnd w:id="43"/>
      <w:r/>
    </w:p>
    <w:p>
      <w:pPr>
        <w:ind w:firstLine="560"/>
        <w:spacing w:line="540" w:lineRule="exact"/>
        <w:rPr>
          <w:rFonts w:ascii="宋体" w:hAnsi="宋体" w:cs="宋体"/>
          <w:sz w:val="28"/>
          <w:szCs w:val="28"/>
        </w:rPr>
      </w:pPr>
      <w:r/>
      <w:bookmarkStart w:id="44" w:name="_Toc35393796"/>
      <w:r/>
      <w:bookmarkStart w:id="45" w:name="_Toc28359085"/>
      <w:r/>
      <w:bookmarkStart w:id="46" w:name="_Toc28359008"/>
      <w:r/>
      <w:bookmarkStart w:id="47" w:name="_Toc35393627"/>
      <w:r>
        <w:rPr>
          <w:rFonts w:hint="eastAsia" w:ascii="宋体" w:hAnsi="宋体" w:cs="宋体"/>
          <w:sz w:val="28"/>
          <w:szCs w:val="28"/>
        </w:rPr>
        <w:t xml:space="preserve">（三）本项目的特定资格要求：</w:t>
      </w:r>
      <w:bookmarkStart w:id="48" w:name="OLE_LINK25"/>
      <w:r/>
      <w:bookmarkEnd w:id="48"/>
      <w:r/>
      <w:bookmarkStart w:id="49" w:name="OLE_LINK26"/>
      <w:r/>
      <w:bookmarkEnd w:id="49"/>
      <w:r>
        <w:rPr>
          <w:rFonts w:hint="eastAsia" w:ascii="宋体" w:hAnsi="宋体" w:cs="宋体"/>
          <w:sz w:val="28"/>
          <w:szCs w:val="28"/>
        </w:rPr>
        <w:t xml:space="preserve">无</w:t>
      </w:r>
      <w:r/>
    </w:p>
    <w:p>
      <w:pPr>
        <w:spacing w:line="540" w:lineRule="exact"/>
        <w:rPr>
          <w:rFonts w:ascii="宋体" w:hAnsi="宋体" w:cs="宋体"/>
          <w:b/>
          <w:sz w:val="28"/>
          <w:szCs w:val="28"/>
        </w:rPr>
      </w:pPr>
      <w:r>
        <w:rPr>
          <w:rFonts w:hint="eastAsia" w:ascii="宋体" w:hAnsi="宋体" w:cs="宋体"/>
          <w:b/>
          <w:sz w:val="28"/>
          <w:szCs w:val="28"/>
        </w:rPr>
        <w:t xml:space="preserve">三、获取招标文件</w:t>
      </w:r>
      <w:r/>
    </w:p>
    <w:p>
      <w:pPr>
        <w:ind w:firstLine="560"/>
        <w:spacing w:line="540" w:lineRule="exact"/>
        <w:rPr>
          <w:rFonts w:ascii="宋体" w:hAnsi="宋体" w:cs="宋体"/>
          <w:sz w:val="28"/>
          <w:szCs w:val="28"/>
        </w:rPr>
      </w:pPr>
      <w:r>
        <w:rPr>
          <w:rFonts w:hint="eastAsia" w:ascii="宋体" w:hAnsi="宋体" w:cs="宋体"/>
          <w:sz w:val="28"/>
          <w:szCs w:val="28"/>
        </w:rPr>
        <w:t xml:space="preserve">时间：2026-</w:t>
      </w:r>
      <w:r>
        <w:rPr>
          <w:rFonts w:ascii="宋体" w:hAnsi="宋体" w:cs="宋体"/>
          <w:sz w:val="28"/>
          <w:szCs w:val="28"/>
        </w:rPr>
        <w:t xml:space="preserve">8</w:t>
      </w:r>
      <w:r>
        <w:rPr>
          <w:rFonts w:hint="eastAsia" w:ascii="宋体" w:hAnsi="宋体" w:cs="宋体"/>
          <w:sz w:val="28"/>
          <w:szCs w:val="28"/>
        </w:rPr>
        <w:t xml:space="preserve">-</w:t>
      </w:r>
      <w:r>
        <w:rPr>
          <w:rFonts w:ascii="宋体" w:hAnsi="宋体" w:cs="宋体"/>
          <w:sz w:val="28"/>
          <w:szCs w:val="28"/>
        </w:rPr>
        <w:t xml:space="preserve">13</w:t>
      </w:r>
      <w:r>
        <w:rPr>
          <w:rFonts w:hint="eastAsia" w:ascii="宋体" w:hAnsi="宋体" w:cs="宋体"/>
          <w:sz w:val="28"/>
          <w:szCs w:val="28"/>
        </w:rPr>
        <w:t xml:space="preserve">－2026-</w:t>
      </w:r>
      <w:r>
        <w:rPr>
          <w:rFonts w:ascii="宋体" w:hAnsi="宋体" w:cs="宋体"/>
          <w:sz w:val="28"/>
          <w:szCs w:val="28"/>
        </w:rPr>
        <w:t xml:space="preserve">8</w:t>
      </w:r>
      <w:r>
        <w:rPr>
          <w:rFonts w:hint="eastAsia" w:ascii="宋体" w:hAnsi="宋体" w:cs="宋体"/>
          <w:sz w:val="28"/>
          <w:szCs w:val="28"/>
        </w:rPr>
        <w:t xml:space="preserve">-</w:t>
      </w:r>
      <w:r>
        <w:rPr>
          <w:rFonts w:ascii="宋体" w:hAnsi="宋体" w:cs="宋体"/>
          <w:sz w:val="28"/>
          <w:szCs w:val="28"/>
        </w:rPr>
        <w:t xml:space="preserve">19</w:t>
      </w:r>
      <w:r>
        <w:rPr>
          <w:rFonts w:hint="eastAsia" w:ascii="宋体" w:hAnsi="宋体" w:cs="宋体"/>
          <w:sz w:val="28"/>
          <w:szCs w:val="28"/>
        </w:rPr>
        <w:t xml:space="preserve">，每天上午00:00-12:00,下午12:00-23:59 （北京时间，法定节假日除外） </w:t>
      </w:r>
      <w:r/>
    </w:p>
    <w:p>
      <w:pPr>
        <w:ind w:firstLine="560"/>
        <w:spacing w:line="540" w:lineRule="exact"/>
        <w:rPr>
          <w:rFonts w:ascii="宋体" w:hAnsi="宋体" w:cs="宋体"/>
          <w:sz w:val="28"/>
          <w:szCs w:val="28"/>
        </w:rPr>
      </w:pPr>
      <w:r>
        <w:rPr>
          <w:rFonts w:hint="eastAsia" w:ascii="宋体" w:hAnsi="宋体" w:cs="宋体"/>
          <w:sz w:val="28"/>
          <w:szCs w:val="28"/>
        </w:rPr>
        <w:t xml:space="preserve">地点：苏采云</w:t>
      </w:r>
      <w:r/>
    </w:p>
    <w:p>
      <w:pPr>
        <w:ind w:firstLine="560"/>
        <w:spacing w:line="540" w:lineRule="exact"/>
        <w:rPr>
          <w:rFonts w:ascii="宋体" w:hAnsi="宋体" w:cs="宋体"/>
          <w:sz w:val="28"/>
          <w:szCs w:val="28"/>
        </w:rPr>
      </w:pPr>
      <w:r>
        <w:rPr>
          <w:rFonts w:hint="eastAsia" w:ascii="宋体" w:hAnsi="宋体" w:cs="宋体"/>
          <w:sz w:val="28"/>
          <w:szCs w:val="28"/>
        </w:rPr>
        <w:t xml:space="preserve">方式：线上获取</w:t>
      </w:r>
      <w:r/>
    </w:p>
    <w:p>
      <w:pPr>
        <w:ind w:firstLine="560"/>
        <w:spacing w:line="540" w:lineRule="exact"/>
        <w:rPr>
          <w:rFonts w:ascii="宋体" w:hAnsi="宋体" w:cs="宋体"/>
          <w:sz w:val="28"/>
          <w:szCs w:val="28"/>
        </w:rPr>
      </w:pPr>
      <w:r>
        <w:rPr>
          <w:rFonts w:hint="eastAsia" w:ascii="宋体" w:hAnsi="宋体" w:cs="宋体"/>
          <w:sz w:val="28"/>
          <w:szCs w:val="28"/>
        </w:rPr>
        <w:t xml:space="preserve">售价：0.00元</w:t>
      </w:r>
      <w:r/>
    </w:p>
    <w:p>
      <w:pPr>
        <w:spacing w:line="540" w:lineRule="exact"/>
        <w:rPr>
          <w:rFonts w:ascii="宋体" w:hAnsi="宋体" w:cs="宋体"/>
          <w:b/>
          <w:sz w:val="28"/>
          <w:szCs w:val="28"/>
        </w:rPr>
      </w:pPr>
      <w:r/>
      <w:bookmarkStart w:id="50" w:name="_Toc28359082"/>
      <w:r/>
      <w:bookmarkStart w:id="51" w:name="_Toc28359005"/>
      <w:r/>
      <w:bookmarkStart w:id="52" w:name="_Toc35393793"/>
      <w:r/>
      <w:bookmarkStart w:id="53" w:name="_Toc35393624"/>
      <w:r>
        <w:rPr>
          <w:rFonts w:hint="eastAsia" w:ascii="宋体" w:hAnsi="宋体" w:cs="宋体"/>
          <w:b/>
          <w:sz w:val="28"/>
          <w:szCs w:val="28"/>
        </w:rPr>
        <w:t xml:space="preserve">四、提交投标文件</w:t>
      </w:r>
      <w:bookmarkEnd w:id="50"/>
      <w:r/>
      <w:bookmarkEnd w:id="51"/>
      <w:r>
        <w:rPr>
          <w:rFonts w:hint="eastAsia" w:ascii="宋体" w:hAnsi="宋体" w:cs="宋体"/>
          <w:b/>
          <w:sz w:val="28"/>
          <w:szCs w:val="28"/>
        </w:rPr>
        <w:t xml:space="preserve">截止时间、开标时间和地点</w:t>
      </w:r>
      <w:bookmarkEnd w:id="52"/>
      <w:r/>
      <w:bookmarkEnd w:id="53"/>
      <w:r/>
      <w:r/>
    </w:p>
    <w:p>
      <w:pPr>
        <w:ind w:firstLine="560"/>
        <w:spacing w:line="540" w:lineRule="exact"/>
        <w:rPr>
          <w:rFonts w:ascii="宋体" w:hAnsi="宋体" w:cs="宋体"/>
          <w:sz w:val="28"/>
          <w:szCs w:val="28"/>
        </w:rPr>
      </w:pPr>
      <w:r>
        <w:rPr>
          <w:rFonts w:hint="eastAsia" w:ascii="宋体" w:hAnsi="宋体" w:cs="宋体"/>
          <w:sz w:val="28"/>
          <w:szCs w:val="28"/>
        </w:rPr>
        <w:t xml:space="preserve">时间：2026-</w:t>
      </w:r>
      <w:r>
        <w:rPr>
          <w:rFonts w:ascii="宋体" w:hAnsi="宋体" w:cs="宋体"/>
          <w:sz w:val="28"/>
          <w:szCs w:val="28"/>
        </w:rPr>
        <w:t xml:space="preserve">9</w:t>
      </w:r>
      <w:r>
        <w:rPr>
          <w:rFonts w:hint="eastAsia" w:ascii="宋体" w:hAnsi="宋体" w:cs="宋体"/>
          <w:sz w:val="28"/>
          <w:szCs w:val="28"/>
        </w:rPr>
        <w:t xml:space="preserve">-15 </w:t>
      </w:r>
      <w:r>
        <w:rPr>
          <w:rFonts w:ascii="宋体" w:hAnsi="宋体" w:cs="宋体"/>
          <w:sz w:val="28"/>
          <w:szCs w:val="28"/>
        </w:rPr>
        <w:t xml:space="preserve">9</w:t>
      </w:r>
      <w:r>
        <w:rPr>
          <w:rFonts w:hint="eastAsia" w:ascii="宋体" w:hAnsi="宋体" w:cs="宋体"/>
          <w:sz w:val="28"/>
          <w:szCs w:val="28"/>
        </w:rPr>
        <w:t xml:space="preserve">:</w:t>
      </w:r>
      <w:r>
        <w:rPr>
          <w:rFonts w:ascii="宋体" w:hAnsi="宋体" w:cs="宋体"/>
          <w:sz w:val="28"/>
          <w:szCs w:val="28"/>
        </w:rPr>
        <w:t xml:space="preserve">0</w:t>
      </w:r>
      <w:r>
        <w:rPr>
          <w:rFonts w:hint="eastAsia" w:ascii="宋体" w:hAnsi="宋体" w:cs="宋体"/>
          <w:sz w:val="28"/>
          <w:szCs w:val="28"/>
        </w:rPr>
        <w:t xml:space="preserve">0 （北京时间）</w:t>
      </w:r>
      <w:r/>
    </w:p>
    <w:p>
      <w:pPr>
        <w:ind w:firstLine="560"/>
        <w:spacing w:line="540" w:lineRule="exact"/>
        <w:rPr>
          <w:rFonts w:ascii="宋体" w:hAnsi="宋体" w:cs="宋体"/>
          <w:sz w:val="28"/>
          <w:szCs w:val="28"/>
        </w:rPr>
      </w:pPr>
      <w:r>
        <w:rPr>
          <w:rFonts w:hint="eastAsia" w:ascii="宋体" w:hAnsi="宋体" w:cs="宋体"/>
          <w:sz w:val="28"/>
          <w:szCs w:val="28"/>
        </w:rPr>
        <w:t xml:space="preserve">地点：苏采云</w:t>
      </w:r>
      <w:r/>
    </w:p>
    <w:p>
      <w:pPr>
        <w:spacing w:line="540" w:lineRule="exact"/>
        <w:rPr>
          <w:rFonts w:ascii="宋体" w:hAnsi="宋体" w:cs="宋体"/>
          <w:b/>
          <w:sz w:val="28"/>
          <w:szCs w:val="28"/>
        </w:rPr>
      </w:pPr>
      <w:r/>
      <w:bookmarkStart w:id="54" w:name="_Toc35393794"/>
      <w:r/>
      <w:bookmarkStart w:id="55" w:name="_Toc28359007"/>
      <w:r/>
      <w:bookmarkStart w:id="56" w:name="_Toc28359084"/>
      <w:r/>
      <w:bookmarkStart w:id="57" w:name="_Toc35393625"/>
      <w:r>
        <w:rPr>
          <w:rFonts w:hint="eastAsia" w:ascii="宋体" w:hAnsi="宋体" w:cs="宋体"/>
          <w:b/>
          <w:sz w:val="28"/>
          <w:szCs w:val="28"/>
        </w:rPr>
        <w:t xml:space="preserve">五、公告期限</w:t>
      </w:r>
      <w:bookmarkEnd w:id="54"/>
      <w:r/>
      <w:bookmarkEnd w:id="55"/>
      <w:r/>
      <w:bookmarkEnd w:id="56"/>
      <w:r/>
      <w:bookmarkEnd w:id="57"/>
      <w:r/>
      <w:r/>
    </w:p>
    <w:p>
      <w:pPr>
        <w:ind w:firstLine="560"/>
        <w:spacing w:line="540" w:lineRule="exact"/>
        <w:rPr>
          <w:rFonts w:ascii="宋体" w:hAnsi="宋体" w:cs="宋体"/>
          <w:sz w:val="28"/>
          <w:szCs w:val="28"/>
        </w:rPr>
      </w:pPr>
      <w:r>
        <w:rPr>
          <w:rFonts w:hint="eastAsia" w:ascii="宋体" w:hAnsi="宋体" w:cs="宋体"/>
          <w:sz w:val="28"/>
          <w:szCs w:val="28"/>
        </w:rPr>
        <w:t xml:space="preserve">自本公告发布之日起5个工作日。</w:t>
      </w:r>
      <w:r/>
    </w:p>
    <w:p>
      <w:pPr>
        <w:spacing w:line="540" w:lineRule="exact"/>
        <w:rPr>
          <w:rFonts w:ascii="宋体" w:hAnsi="宋体" w:cs="宋体"/>
          <w:b/>
          <w:sz w:val="28"/>
          <w:szCs w:val="28"/>
        </w:rPr>
      </w:pPr>
      <w:r/>
      <w:bookmarkStart w:id="58" w:name="_Toc35393626"/>
      <w:r/>
      <w:bookmarkStart w:id="59" w:name="_Toc35393795"/>
      <w:r>
        <w:rPr>
          <w:rFonts w:hint="eastAsia" w:ascii="宋体" w:hAnsi="宋体" w:cs="宋体"/>
          <w:b/>
          <w:sz w:val="28"/>
          <w:szCs w:val="28"/>
        </w:rPr>
        <w:t xml:space="preserve">六、其他补充事宜</w:t>
      </w:r>
      <w:bookmarkEnd w:id="58"/>
      <w:r/>
      <w:bookmarkEnd w:id="59"/>
      <w:r/>
      <w:r/>
    </w:p>
    <w:p>
      <w:pPr>
        <w:ind w:firstLine="560"/>
        <w:spacing w:line="540" w:lineRule="exact"/>
        <w:rPr>
          <w:rFonts w:ascii="宋体" w:hAnsi="宋体" w:cs="宋体"/>
          <w:sz w:val="28"/>
          <w:szCs w:val="28"/>
        </w:rPr>
      </w:pPr>
      <w:r/>
      <w:bookmarkStart w:id="60" w:name="OLE_LINK102"/>
      <w:r/>
      <w:bookmarkStart w:id="61" w:name="OLE_LINK103"/>
      <w:r>
        <w:rPr>
          <w:rFonts w:hint="eastAsia" w:ascii="宋体" w:hAnsi="宋体" w:cs="宋体"/>
          <w:sz w:val="28"/>
          <w:szCs w:val="28"/>
        </w:rPr>
        <w:t xml:space="preserve">1.投标保证金：无。</w:t>
      </w:r>
      <w:r/>
    </w:p>
    <w:p>
      <w:pPr>
        <w:ind w:firstLine="560"/>
        <w:spacing w:line="540" w:lineRule="exact"/>
        <w:rPr>
          <w:rFonts w:ascii="宋体" w:hAnsi="宋体" w:cs="宋体"/>
          <w:sz w:val="28"/>
          <w:szCs w:val="28"/>
        </w:rPr>
      </w:pPr>
      <w:r>
        <w:rPr>
          <w:rFonts w:hint="eastAsia" w:ascii="宋体" w:hAnsi="宋体" w:cs="宋体"/>
          <w:sz w:val="28"/>
          <w:szCs w:val="28"/>
        </w:rPr>
        <w:t xml:space="preserve">2.公告发布媒介：江苏政府采购网（www.ccgp-jiangsu.gov.cn）</w:t>
      </w:r>
      <w:r/>
    </w:p>
    <w:p>
      <w:pPr>
        <w:ind w:firstLine="562"/>
        <w:spacing w:line="540" w:lineRule="exact"/>
        <w:rPr>
          <w:rFonts w:ascii="宋体" w:hAnsi="宋体" w:cs="宋体"/>
          <w:b/>
          <w:sz w:val="28"/>
          <w:szCs w:val="28"/>
        </w:rPr>
      </w:pPr>
      <w:r>
        <w:rPr>
          <w:rFonts w:ascii="宋体" w:hAnsi="宋体" w:cs="宋体"/>
          <w:b/>
          <w:sz w:val="28"/>
          <w:szCs w:val="28"/>
        </w:rPr>
        <w:t xml:space="preserve">3</w:t>
      </w:r>
      <w:r>
        <w:rPr>
          <w:rFonts w:hint="eastAsia" w:ascii="宋体" w:hAnsi="宋体" w:cs="宋体"/>
          <w:b/>
          <w:sz w:val="28"/>
          <w:szCs w:val="28"/>
        </w:rPr>
        <w:t xml:space="preserve">. 注意事项：</w:t>
      </w:r>
      <w:r/>
    </w:p>
    <w:p>
      <w:pPr>
        <w:ind w:firstLine="562"/>
        <w:spacing w:line="540" w:lineRule="exact"/>
        <w:rPr>
          <w:rFonts w:ascii="宋体" w:hAnsi="宋体" w:cs="宋体"/>
          <w:b/>
          <w:sz w:val="28"/>
          <w:szCs w:val="28"/>
        </w:rPr>
      </w:pPr>
      <w:r>
        <w:rPr>
          <w:rFonts w:hint="eastAsia" w:ascii="宋体" w:hAnsi="宋体" w:cs="宋体"/>
          <w:b/>
          <w:sz w:val="28"/>
          <w:szCs w:val="28"/>
        </w:rPr>
        <w:t xml:space="preserve">（1）潜在投标人登录“江苏省政府采购管理交易系统（苏采云）”须持经注册的CA证书。未注册、领取CA和办理电子签章的潜在投标人，请至泰州市高港区泰州大道188号(中国医药城会展交易中心W3馆西南角)公共资源交易大厅政务CA窗口办理，电话：0523-81568158。</w:t>
      </w:r>
      <w:r/>
    </w:p>
    <w:p>
      <w:pPr>
        <w:ind w:firstLine="562"/>
        <w:spacing w:line="540" w:lineRule="exact"/>
        <w:rPr>
          <w:rFonts w:ascii="宋体" w:hAnsi="宋体" w:cs="宋体"/>
          <w:b/>
          <w:sz w:val="28"/>
          <w:szCs w:val="28"/>
        </w:rPr>
      </w:pPr>
      <w:r>
        <w:rPr>
          <w:rFonts w:hint="eastAsia" w:ascii="宋体" w:hAnsi="宋体" w:cs="宋体"/>
          <w:b/>
          <w:sz w:val="28"/>
          <w:szCs w:val="28"/>
        </w:rPr>
        <w:t xml:space="preserve">（2）本项目采用电子化投标，投标人应根据《江苏省政府采购管理交易系统（苏采云）供应商操作手册》（“泰州市政府采购网—下载中心”下载）规定，制作、上传电子投标文件（技术支持电话：0523-87633965、0523-86897512；客服QQ709339244、QQ：1810179072）。</w:t>
      </w:r>
      <w:r/>
    </w:p>
    <w:p>
      <w:pPr>
        <w:ind w:firstLine="562"/>
        <w:spacing w:line="540" w:lineRule="exact"/>
        <w:rPr>
          <w:rFonts w:ascii="宋体" w:hAnsi="宋体" w:cs="宋体"/>
          <w:b/>
          <w:sz w:val="28"/>
          <w:szCs w:val="28"/>
        </w:rPr>
      </w:pPr>
      <w:r>
        <w:rPr>
          <w:rFonts w:hint="eastAsia" w:ascii="宋体" w:hAnsi="宋体" w:cs="宋体"/>
          <w:b/>
          <w:sz w:val="28"/>
          <w:szCs w:val="28"/>
        </w:rPr>
        <w:t xml:space="preserve">（3）有关本次招标的事项若存在变动或修改，敬请及时关注“江苏政府采购网”发布的更正公告。</w:t>
      </w:r>
      <w:r/>
    </w:p>
    <w:p>
      <w:pPr>
        <w:ind w:firstLine="562"/>
        <w:spacing w:line="540" w:lineRule="exact"/>
        <w:rPr>
          <w:rFonts w:ascii="宋体" w:hAnsi="宋体" w:cs="宋体"/>
          <w:sz w:val="28"/>
          <w:szCs w:val="28"/>
        </w:rPr>
      </w:pPr>
      <w:r>
        <w:rPr>
          <w:rFonts w:hint="eastAsia" w:ascii="宋体" w:hAnsi="宋体" w:cs="宋体"/>
          <w:b/>
          <w:sz w:val="28"/>
          <w:szCs w:val="28"/>
        </w:rPr>
        <w:t xml:space="preserve">如潜在投标人未按上述要求操作，将自行承担所产生的风险。</w:t>
      </w:r>
      <w:bookmarkEnd w:id="60"/>
      <w:r/>
      <w:bookmarkEnd w:id="61"/>
      <w:r/>
      <w:r/>
    </w:p>
    <w:p>
      <w:pPr>
        <w:spacing w:line="540" w:lineRule="exact"/>
        <w:rPr>
          <w:rFonts w:ascii="宋体" w:hAnsi="宋体" w:cs="宋体"/>
          <w:sz w:val="28"/>
          <w:szCs w:val="28"/>
        </w:rPr>
      </w:pPr>
      <w:r>
        <w:rPr>
          <w:rFonts w:hint="eastAsia" w:ascii="宋体" w:hAnsi="宋体" w:cs="宋体"/>
          <w:b/>
          <w:sz w:val="28"/>
          <w:szCs w:val="28"/>
        </w:rPr>
        <w:t xml:space="preserve">七、对本次招标提出询问，请按以下方式联系。</w:t>
      </w:r>
      <w:bookmarkEnd w:id="44"/>
      <w:r/>
      <w:bookmarkEnd w:id="45"/>
      <w:r/>
      <w:bookmarkEnd w:id="46"/>
      <w:r/>
      <w:bookmarkEnd w:id="47"/>
      <w:r/>
      <w:r/>
    </w:p>
    <w:p>
      <w:pPr>
        <w:ind w:firstLine="561"/>
        <w:jc w:val="left"/>
        <w:spacing w:line="500" w:lineRule="exact"/>
        <w:widowControl/>
        <w:rPr>
          <w:rFonts w:ascii="宋体" w:hAnsi="宋体" w:cs="Calibri"/>
          <w:color w:val="000000" w:themeColor="text1"/>
          <w:sz w:val="28"/>
          <w:szCs w:val="28"/>
          <w14:textFill>
            <w14:solidFill>
              <w14:schemeClr w14:val="tx1"/>
            </w14:solidFill>
          </w14:textFill>
        </w:rPr>
      </w:pPr>
      <w:r/>
      <w:bookmarkStart w:id="62" w:name="_Toc426469869"/>
      <w:r/>
      <w:bookmarkStart w:id="63" w:name="_Toc20823272"/>
      <w:r/>
      <w:bookmarkStart w:id="64" w:name="_Toc479757206"/>
      <w:r/>
      <w:bookmarkStart w:id="65" w:name="_Toc513029200"/>
      <w:r/>
      <w:bookmarkStart w:id="66" w:name="_Toc382813885"/>
      <w:r/>
      <w:bookmarkStart w:id="67" w:name="_Toc16938516"/>
      <w:r/>
      <w:bookmarkStart w:id="68" w:name="_Toc382812472"/>
      <w:r/>
      <w:bookmarkStart w:id="69" w:name="_Toc382813966"/>
      <w:r/>
      <w:bookmarkStart w:id="70" w:name="_Toc523127445"/>
      <w:r>
        <w:rPr>
          <w:rFonts w:hint="eastAsia" w:ascii="宋体" w:hAnsi="宋体" w:cs="Calibri"/>
          <w:color w:val="000000" w:themeColor="text1"/>
          <w:sz w:val="28"/>
          <w:szCs w:val="28"/>
          <w14:textFill>
            <w14:solidFill>
              <w14:schemeClr w14:val="tx1"/>
            </w14:solidFill>
          </w14:textFill>
        </w:rPr>
        <w:t xml:space="preserve">1.招标人信息</w:t>
      </w:r>
      <w:r/>
    </w:p>
    <w:p>
      <w:pPr>
        <w:ind w:firstLine="561"/>
        <w:jc w:val="left"/>
        <w:spacing w:line="500" w:lineRule="exact"/>
        <w:widowControl/>
        <w:rPr>
          <w:rFonts w:ascii="宋体" w:hAnsi="宋体" w:cs="Calibri"/>
          <w:color w:val="000000" w:themeColor="text1"/>
          <w:sz w:val="28"/>
          <w:szCs w:val="28"/>
          <w14:textFill>
            <w14:solidFill>
              <w14:schemeClr w14:val="tx1"/>
            </w14:solidFill>
          </w14:textFill>
        </w:rPr>
      </w:pPr>
      <w:r>
        <w:rPr>
          <w:rFonts w:hint="eastAsia" w:ascii="宋体" w:hAnsi="宋体" w:cs="Calibri"/>
          <w:color w:val="000000" w:themeColor="text1"/>
          <w:sz w:val="28"/>
          <w:szCs w:val="28"/>
          <w14:textFill>
            <w14:solidFill>
              <w14:schemeClr w14:val="tx1"/>
            </w14:solidFill>
          </w14:textFill>
        </w:rPr>
        <w:t xml:space="preserve">招标人：</w:t>
      </w:r>
      <w:r>
        <w:rPr>
          <w:rFonts w:hint="eastAsia" w:ascii="宋体" w:hAnsi="宋体" w:cs="Calibri"/>
          <w:color w:val="000000" w:themeColor="text1"/>
          <w:sz w:val="28"/>
          <w:szCs w:val="28"/>
          <w:u w:val="single"/>
          <w14:textFill>
            <w14:solidFill>
              <w14:schemeClr w14:val="tx1"/>
            </w14:solidFill>
          </w14:textFill>
        </w:rPr>
        <w:t xml:space="preserve">泰兴市公安局交通管理大队</w:t>
      </w:r>
      <w:r/>
    </w:p>
    <w:p>
      <w:pPr>
        <w:pStyle w:val="717"/>
        <w:ind w:left="1580" w:hanging="980"/>
        <w:spacing w:before="0" w:after="0" w:line="460" w:lineRule="exact"/>
        <w:rPr>
          <w:rFonts w:hint="default"/>
          <w:color w:val="000000" w:themeColor="text1"/>
          <w14:textFill>
            <w14:solidFill>
              <w14:schemeClr w14:val="tx1"/>
            </w14:solidFill>
          </w14:textFill>
        </w:rPr>
      </w:pPr>
      <w:r>
        <w:rPr>
          <w:rFonts w:cs="Calibri"/>
          <w:color w:val="000000" w:themeColor="text1"/>
          <w:sz w:val="28"/>
          <w:szCs w:val="28"/>
          <w14:textFill>
            <w14:solidFill>
              <w14:schemeClr w14:val="tx1"/>
            </w14:solidFill>
          </w14:textFill>
        </w:rPr>
        <w:t xml:space="preserve">地 址：</w:t>
      </w:r>
      <w:r>
        <w:rPr>
          <w:rFonts w:cs="Calibri"/>
          <w:color w:val="000000" w:themeColor="text1"/>
          <w:sz w:val="28"/>
          <w:szCs w:val="28"/>
          <w:u w:val="single"/>
          <w14:textFill>
            <w14:solidFill>
              <w14:schemeClr w14:val="tx1"/>
            </w14:solidFill>
          </w14:textFill>
        </w:rPr>
        <w:t xml:space="preserve">泰兴市阳江路</w:t>
      </w:r>
      <w:r/>
    </w:p>
    <w:p>
      <w:pPr>
        <w:ind w:firstLine="561"/>
        <w:jc w:val="left"/>
        <w:spacing w:line="500" w:lineRule="exact"/>
        <w:widowControl/>
        <w:rPr>
          <w:rFonts w:ascii="宋体" w:hAnsi="宋体" w:cs="Calibri"/>
          <w:color w:val="000000" w:themeColor="text1"/>
          <w:sz w:val="28"/>
          <w:szCs w:val="28"/>
          <w14:textFill>
            <w14:solidFill>
              <w14:schemeClr w14:val="tx1"/>
            </w14:solidFill>
          </w14:textFill>
        </w:rPr>
      </w:pPr>
      <w:r>
        <w:rPr>
          <w:rFonts w:hint="eastAsia" w:ascii="宋体" w:hAnsi="宋体" w:cs="Calibri"/>
          <w:color w:val="000000" w:themeColor="text1"/>
          <w:sz w:val="28"/>
          <w:szCs w:val="28"/>
          <w14:textFill>
            <w14:solidFill>
              <w14:schemeClr w14:val="tx1"/>
            </w14:solidFill>
          </w14:textFill>
        </w:rPr>
        <w:t xml:space="preserve">联系方式：</w:t>
      </w:r>
      <w:r>
        <w:rPr>
          <w:rFonts w:hint="eastAsia" w:ascii="宋体" w:hAnsi="宋体" w:cs="Calibri"/>
          <w:color w:val="000000" w:themeColor="text1"/>
          <w:sz w:val="28"/>
          <w:szCs w:val="28"/>
          <w:u w:val="single"/>
          <w14:textFill>
            <w14:solidFill>
              <w14:schemeClr w14:val="tx1"/>
            </w14:solidFill>
          </w14:textFill>
        </w:rPr>
        <w:t xml:space="preserve">0523-80870117</w:t>
      </w:r>
      <w:r/>
    </w:p>
    <w:p>
      <w:pPr>
        <w:ind w:firstLine="561"/>
        <w:jc w:val="left"/>
        <w:spacing w:line="500" w:lineRule="exact"/>
        <w:widowControl/>
        <w:rPr>
          <w:rFonts w:ascii="宋体" w:hAnsi="宋体" w:cs="Calibri"/>
          <w:color w:val="000000" w:themeColor="text1"/>
          <w:sz w:val="28"/>
          <w:szCs w:val="28"/>
          <w14:textFill>
            <w14:solidFill>
              <w14:schemeClr w14:val="tx1"/>
            </w14:solidFill>
          </w14:textFill>
        </w:rPr>
      </w:pPr>
      <w:r>
        <w:rPr>
          <w:rFonts w:hint="eastAsia" w:ascii="宋体" w:hAnsi="宋体" w:cs="Calibri"/>
          <w:color w:val="000000" w:themeColor="text1"/>
          <w:sz w:val="28"/>
          <w:szCs w:val="28"/>
          <w14:textFill>
            <w14:solidFill>
              <w14:schemeClr w14:val="tx1"/>
            </w14:solidFill>
          </w14:textFill>
        </w:rPr>
        <w:t xml:space="preserve">2.采购代理机构信息</w:t>
      </w:r>
      <w:r/>
    </w:p>
    <w:p>
      <w:pPr>
        <w:pStyle w:val="717"/>
        <w:ind w:firstLine="561"/>
        <w:jc w:val="both"/>
        <w:spacing w:before="0" w:after="0" w:line="500" w:lineRule="exact"/>
        <w:rPr>
          <w:rFonts w:hint="default"/>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 xml:space="preserve">名 称：</w:t>
      </w:r>
      <w:r>
        <w:rPr>
          <w:color w:val="000000" w:themeColor="text1"/>
          <w:sz w:val="28"/>
          <w:szCs w:val="28"/>
          <w:u w:val="single"/>
          <w14:textFill>
            <w14:solidFill>
              <w14:schemeClr w14:val="tx1"/>
            </w14:solidFill>
          </w14:textFill>
        </w:rPr>
        <w:t xml:space="preserve">江苏苏维工程管理有限公司</w:t>
      </w:r>
      <w:r/>
    </w:p>
    <w:p>
      <w:pPr>
        <w:pStyle w:val="717"/>
        <w:ind w:firstLine="561"/>
        <w:jc w:val="both"/>
        <w:spacing w:before="0" w:after="0" w:line="500" w:lineRule="exact"/>
        <w:rPr>
          <w:rFonts w:hint="default"/>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 xml:space="preserve">地　址：</w:t>
      </w:r>
      <w:r>
        <w:rPr>
          <w:color w:val="000000" w:themeColor="text1"/>
          <w:sz w:val="28"/>
          <w:szCs w:val="28"/>
          <w:u w:val="single"/>
          <w14:textFill>
            <w14:solidFill>
              <w14:schemeClr w14:val="tx1"/>
            </w14:solidFill>
          </w14:textFill>
        </w:rPr>
        <w:t xml:space="preserve">泰兴市龙河路南侧、枕淮路东侧众安港商业广场C座7层</w:t>
      </w:r>
      <w:r/>
    </w:p>
    <w:p>
      <w:pPr>
        <w:pStyle w:val="717"/>
        <w:ind w:firstLine="561"/>
        <w:jc w:val="both"/>
        <w:spacing w:before="0" w:after="0" w:line="500" w:lineRule="exact"/>
        <w:rPr>
          <w:rFonts w:hint="default"/>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 xml:space="preserve">联系方式：</w:t>
      </w:r>
      <w:r>
        <w:rPr>
          <w:color w:val="000000" w:themeColor="text1"/>
          <w:sz w:val="28"/>
          <w:szCs w:val="28"/>
          <w:u w:val="single"/>
          <w14:textFill>
            <w14:solidFill>
              <w14:schemeClr w14:val="tx1"/>
            </w14:solidFill>
          </w14:textFill>
        </w:rPr>
        <w:t xml:space="preserve">15152973920</w:t>
      </w:r>
      <w:r/>
    </w:p>
    <w:p>
      <w:pPr>
        <w:ind w:firstLine="561"/>
        <w:spacing w:line="500" w:lineRule="exact"/>
        <w:widowControl/>
        <w:rPr>
          <w:rFonts w:ascii="宋体" w:hAnsi="宋体" w:cs="Calibri"/>
          <w:color w:val="000000" w:themeColor="text1"/>
          <w:sz w:val="28"/>
          <w:szCs w:val="28"/>
          <w14:textFill>
            <w14:solidFill>
              <w14:schemeClr w14:val="tx1"/>
            </w14:solidFill>
          </w14:textFill>
        </w:rPr>
      </w:pPr>
      <w:r>
        <w:rPr>
          <w:rFonts w:hint="eastAsia" w:ascii="宋体" w:hAnsi="宋体" w:cs="Calibri"/>
          <w:color w:val="000000" w:themeColor="text1"/>
          <w:sz w:val="28"/>
          <w:szCs w:val="28"/>
          <w14:textFill>
            <w14:solidFill>
              <w14:schemeClr w14:val="tx1"/>
            </w14:solidFill>
          </w14:textFill>
        </w:rPr>
        <w:t xml:space="preserve">4.项目联系方式</w:t>
      </w:r>
      <w:r/>
    </w:p>
    <w:p>
      <w:pPr>
        <w:pStyle w:val="717"/>
        <w:ind w:firstLine="561"/>
        <w:jc w:val="both"/>
        <w:spacing w:before="0" w:after="0" w:line="500" w:lineRule="exact"/>
        <w:rPr>
          <w:rFonts w:hint="default"/>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 xml:space="preserve">项目联系人：</w:t>
      </w:r>
      <w:bookmarkStart w:id="71" w:name="OLE_LINK121"/>
      <w:r/>
      <w:bookmarkStart w:id="72" w:name="OLE_LINK122"/>
      <w:r/>
      <w:bookmarkStart w:id="73" w:name="OLE_LINK136"/>
      <w:r/>
      <w:bookmarkStart w:id="74" w:name="OLE_LINK135"/>
      <w:r>
        <w:rPr>
          <w:rFonts w:cs="Calibri"/>
          <w:color w:val="000000" w:themeColor="text1"/>
          <w:sz w:val="28"/>
          <w:szCs w:val="28"/>
          <w:u w:val="single"/>
          <w14:textFill>
            <w14:solidFill>
              <w14:schemeClr w14:val="tx1"/>
            </w14:solidFill>
          </w14:textFill>
        </w:rPr>
        <w:t xml:space="preserve">泰兴市公安局交通管理大队  </w:t>
      </w:r>
      <w:bookmarkEnd w:id="71"/>
      <w:r/>
      <w:bookmarkEnd w:id="72"/>
      <w:r>
        <w:rPr>
          <w:rFonts w:cs="Calibri"/>
          <w:color w:val="000000" w:themeColor="text1"/>
          <w:sz w:val="28"/>
          <w:szCs w:val="28"/>
          <w:u w:val="single"/>
          <w14:textFill>
            <w14:solidFill>
              <w14:schemeClr w14:val="tx1"/>
            </w14:solidFill>
          </w14:textFill>
        </w:rPr>
        <w:t xml:space="preserve">常磊</w:t>
      </w:r>
      <w:bookmarkEnd w:id="73"/>
      <w:r/>
      <w:bookmarkEnd w:id="74"/>
      <w:r/>
      <w:r/>
    </w:p>
    <w:p>
      <w:pPr>
        <w:pStyle w:val="717"/>
        <w:ind w:firstLine="561"/>
        <w:jc w:val="both"/>
        <w:spacing w:before="0" w:after="0" w:line="500" w:lineRule="exact"/>
        <w:rPr>
          <w:rFonts w:hint="default"/>
          <w:color w:val="000000" w:themeColor="text1"/>
          <w:sz w:val="28"/>
          <w:szCs w:val="28"/>
          <w:u w:val="single"/>
          <w14:textFill>
            <w14:solidFill>
              <w14:schemeClr w14:val="tx1"/>
            </w14:solidFill>
          </w14:textFill>
        </w:rPr>
      </w:pPr>
      <w:r>
        <w:rPr>
          <w:color w:val="000000" w:themeColor="text1"/>
          <w:sz w:val="28"/>
          <w:szCs w:val="28"/>
          <w14:textFill>
            <w14:solidFill>
              <w14:schemeClr w14:val="tx1"/>
            </w14:solidFill>
          </w14:textFill>
        </w:rPr>
        <w:t xml:space="preserve">电　话：</w:t>
      </w:r>
      <w:r>
        <w:rPr>
          <w:rFonts w:cs="Calibri"/>
          <w:color w:val="000000" w:themeColor="text1"/>
          <w:sz w:val="28"/>
          <w:szCs w:val="28"/>
          <w:u w:val="single"/>
          <w14:textFill>
            <w14:solidFill>
              <w14:schemeClr w14:val="tx1"/>
            </w14:solidFill>
          </w14:textFill>
        </w:rPr>
        <w:t xml:space="preserve">0523-80870117</w:t>
      </w:r>
      <w:r/>
    </w:p>
    <w:p>
      <w:pPr>
        <w:pStyle w:val="717"/>
        <w:ind w:firstLine="561"/>
        <w:jc w:val="both"/>
        <w:spacing w:before="0" w:after="0" w:line="500" w:lineRule="exact"/>
        <w:rPr>
          <w:rFonts w:hint="default"/>
          <w:sz w:val="28"/>
          <w:szCs w:val="28"/>
          <w:u w:val="single"/>
        </w:rPr>
      </w:pPr>
      <w:r>
        <w:rPr>
          <w:color w:val="000000" w:themeColor="text1"/>
          <w:sz w:val="28"/>
          <w:szCs w:val="28"/>
          <w14:textFill>
            <w14:solidFill>
              <w14:schemeClr w14:val="tx1"/>
            </w14:solidFill>
          </w14:textFill>
        </w:rPr>
        <w:t xml:space="preserve">项目联系人：</w:t>
      </w:r>
      <w:r>
        <w:rPr>
          <w:color w:val="000000" w:themeColor="text1"/>
          <w:sz w:val="28"/>
          <w:szCs w:val="28"/>
          <w:u w:val="single"/>
          <w14:textFill>
            <w14:solidFill>
              <w14:schemeClr w14:val="tx1"/>
            </w14:solidFill>
          </w14:textFill>
        </w:rPr>
        <w:t xml:space="preserve">江苏苏维工程管理有限公司</w:t>
      </w:r>
      <w:r>
        <w:rPr>
          <w:sz w:val="28"/>
          <w:szCs w:val="28"/>
          <w:u w:val="single"/>
        </w:rPr>
        <w:t xml:space="preserve">  </w:t>
      </w:r>
      <w:bookmarkEnd w:id="14"/>
      <w:r>
        <w:rPr>
          <w:sz w:val="28"/>
          <w:szCs w:val="28"/>
          <w:u w:val="single"/>
        </w:rPr>
        <w:t xml:space="preserve">吴女士</w:t>
      </w:r>
      <w:r/>
    </w:p>
    <w:p>
      <w:pPr>
        <w:pStyle w:val="717"/>
        <w:ind w:firstLine="561"/>
        <w:jc w:val="both"/>
        <w:spacing w:before="0" w:after="0" w:line="500" w:lineRule="exact"/>
        <w:rPr>
          <w:rFonts w:hint="default"/>
          <w:sz w:val="28"/>
          <w:szCs w:val="28"/>
        </w:rPr>
      </w:pPr>
      <w:r>
        <w:rPr>
          <w:sz w:val="28"/>
          <w:szCs w:val="28"/>
        </w:rPr>
        <w:t xml:space="preserve">电 </w:t>
      </w:r>
      <w:r>
        <w:rPr>
          <w:rFonts w:hint="default"/>
          <w:sz w:val="28"/>
          <w:szCs w:val="28"/>
        </w:rPr>
        <w:t xml:space="preserve"> </w:t>
      </w:r>
      <w:r>
        <w:rPr>
          <w:sz w:val="28"/>
          <w:szCs w:val="28"/>
        </w:rPr>
        <w:t xml:space="preserve">话：</w:t>
      </w:r>
      <w:r>
        <w:rPr>
          <w:color w:val="000000" w:themeColor="text1"/>
          <w:sz w:val="28"/>
          <w:szCs w:val="28"/>
          <w:u w:val="single"/>
          <w14:textFill>
            <w14:solidFill>
              <w14:schemeClr w14:val="tx1"/>
            </w14:solidFill>
          </w14:textFill>
        </w:rPr>
        <w:t xml:space="preserve">15152973920</w:t>
      </w:r>
      <w:r/>
    </w:p>
    <w:p>
      <w:pPr>
        <w:jc w:val="center"/>
        <w:widowControl/>
        <w:rPr>
          <w:rFonts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第二章 </w:t>
      </w:r>
      <w:r>
        <w:rPr>
          <w:rFonts w:ascii="黑体" w:hAnsi="黑体" w:eastAsia="黑体"/>
          <w:b/>
          <w:sz w:val="32"/>
          <w:szCs w:val="32"/>
        </w:rPr>
        <w:t xml:space="preserve"> </w:t>
      </w:r>
      <w:r>
        <w:rPr>
          <w:rFonts w:hint="eastAsia" w:ascii="黑体" w:hAnsi="黑体" w:eastAsia="黑体"/>
          <w:b/>
          <w:sz w:val="32"/>
          <w:szCs w:val="32"/>
        </w:rPr>
        <w:t xml:space="preserve">投标人须知</w:t>
      </w:r>
      <w:bookmarkEnd w:id="62"/>
      <w:r/>
      <w:r/>
    </w:p>
    <w:p>
      <w:pPr>
        <w:rPr>
          <w:sz w:val="28"/>
          <w:szCs w:val="28"/>
        </w:rPr>
      </w:pPr>
      <w:r/>
      <w:bookmarkStart w:id="75" w:name="_Toc426469870"/>
      <w:r>
        <w:rPr>
          <w:rFonts w:hint="eastAsia"/>
          <w:sz w:val="28"/>
          <w:szCs w:val="28"/>
        </w:rPr>
        <w:t xml:space="preserve">投标人须知前附表</w:t>
      </w:r>
      <w:bookmarkEnd w:id="75"/>
      <w:r/>
      <w:r/>
    </w:p>
    <w:tbl>
      <w:tblPr>
        <w:tblStyle w:val="685"/>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521"/>
        <w:gridCol w:w="31"/>
        <w:gridCol w:w="5987"/>
      </w:tblGrid>
      <w:tr>
        <w:trPr>
          <w:jc w:val="center"/>
          <w:trHeight w:val="392"/>
        </w:trPr>
        <w:tc>
          <w:tcPr>
            <w:tcW w:w="1089"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条款号</w:t>
            </w:r>
            <w:r/>
          </w:p>
        </w:tc>
        <w:tc>
          <w:tcPr>
            <w:gridSpan w:val="2"/>
            <w:tcW w:w="2552"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条款名称</w:t>
            </w:r>
            <w:r/>
          </w:p>
        </w:tc>
        <w:tc>
          <w:tcPr>
            <w:tcW w:w="5987"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编列内容</w:t>
            </w:r>
            <w:r/>
          </w:p>
        </w:tc>
      </w:tr>
      <w:tr>
        <w:trPr>
          <w:jc w:val="center"/>
          <w:trHeight w:val="588"/>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1.1.2</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招标人</w:t>
            </w:r>
            <w:r/>
          </w:p>
        </w:tc>
        <w:tc>
          <w:tcPr>
            <w:tcW w:w="5987" w:type="dxa"/>
            <w:vAlign w:val="center"/>
            <w:textDirection w:val="lrTb"/>
            <w:noWrap w:val="false"/>
          </w:tcPr>
          <w:p>
            <w:pPr>
              <w:jc w:val="left"/>
              <w:spacing w:line="360" w:lineRule="exact"/>
              <w:rPr>
                <w:rFonts w:ascii="宋体"/>
                <w:sz w:val="28"/>
                <w:szCs w:val="28"/>
              </w:rPr>
            </w:pPr>
            <w:r>
              <w:rPr>
                <w:rFonts w:hint="eastAsia" w:ascii="宋体"/>
                <w:sz w:val="28"/>
                <w:szCs w:val="28"/>
              </w:rPr>
              <w:t xml:space="preserve">详见招标公告</w:t>
            </w:r>
            <w:r/>
          </w:p>
        </w:tc>
      </w:tr>
      <w:tr>
        <w:trPr>
          <w:jc w:val="center"/>
          <w:trHeight w:val="560"/>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1.1.3</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采购代理机构</w:t>
            </w:r>
            <w:r/>
          </w:p>
        </w:tc>
        <w:tc>
          <w:tcPr>
            <w:tcW w:w="5987" w:type="dxa"/>
            <w:vAlign w:val="center"/>
            <w:textDirection w:val="lrTb"/>
            <w:noWrap w:val="false"/>
          </w:tcPr>
          <w:p>
            <w:pPr>
              <w:jc w:val="left"/>
              <w:spacing w:line="360" w:lineRule="exact"/>
              <w:rPr>
                <w:rFonts w:ascii="宋体"/>
                <w:sz w:val="28"/>
                <w:szCs w:val="28"/>
              </w:rPr>
            </w:pPr>
            <w:r>
              <w:rPr>
                <w:rFonts w:hint="eastAsia" w:ascii="宋体"/>
                <w:sz w:val="28"/>
                <w:szCs w:val="28"/>
              </w:rPr>
              <w:t xml:space="preserve">详见招标公告</w:t>
            </w:r>
            <w:r/>
          </w:p>
        </w:tc>
      </w:tr>
      <w:tr>
        <w:trPr>
          <w:jc w:val="center"/>
          <w:trHeight w:val="828"/>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1.1.4</w:t>
            </w:r>
            <w:r/>
          </w:p>
        </w:tc>
        <w:tc>
          <w:tcPr>
            <w:gridSpan w:val="2"/>
            <w:tcW w:w="2552"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项目名称及</w:t>
            </w:r>
            <w:r/>
          </w:p>
          <w:p>
            <w:pPr>
              <w:jc w:val="center"/>
              <w:spacing w:line="360" w:lineRule="exact"/>
              <w:rPr>
                <w:rFonts w:ascii="宋体"/>
                <w:sz w:val="28"/>
                <w:szCs w:val="28"/>
              </w:rPr>
            </w:pPr>
            <w:r>
              <w:rPr>
                <w:rFonts w:hint="eastAsia" w:ascii="宋体" w:hAnsi="宋体"/>
                <w:sz w:val="28"/>
                <w:szCs w:val="28"/>
              </w:rPr>
              <w:t xml:space="preserve">项目编号</w:t>
            </w:r>
            <w:r/>
          </w:p>
        </w:tc>
        <w:tc>
          <w:tcPr>
            <w:tcW w:w="5987" w:type="dxa"/>
            <w:vAlign w:val="center"/>
            <w:textDirection w:val="lrTb"/>
            <w:noWrap w:val="false"/>
          </w:tcPr>
          <w:p>
            <w:pPr>
              <w:jc w:val="left"/>
              <w:spacing w:line="360" w:lineRule="exact"/>
              <w:rPr>
                <w:rFonts w:ascii="宋体"/>
                <w:sz w:val="28"/>
                <w:szCs w:val="28"/>
              </w:rPr>
            </w:pPr>
            <w:r>
              <w:rPr>
                <w:rFonts w:hint="eastAsia" w:ascii="宋体"/>
                <w:sz w:val="28"/>
                <w:szCs w:val="28"/>
              </w:rPr>
              <w:t xml:space="preserve">详见招标公告</w:t>
            </w:r>
            <w:r/>
          </w:p>
        </w:tc>
      </w:tr>
      <w:tr>
        <w:trPr>
          <w:jc w:val="center"/>
          <w:trHeight w:val="399"/>
        </w:trPr>
        <w:tc>
          <w:tcPr>
            <w:tcW w:w="1089" w:type="dxa"/>
            <w:vAlign w:val="center"/>
            <w:textDirection w:val="lrTb"/>
            <w:noWrap w:val="false"/>
          </w:tcPr>
          <w:p>
            <w:pPr>
              <w:jc w:val="center"/>
              <w:spacing w:line="380" w:lineRule="exact"/>
              <w:rPr>
                <w:rFonts w:ascii="宋体" w:hAnsi="宋体"/>
                <w:sz w:val="28"/>
                <w:szCs w:val="28"/>
              </w:rPr>
            </w:pPr>
            <w:r>
              <w:rPr>
                <w:rFonts w:ascii="宋体" w:hAnsi="宋体"/>
                <w:sz w:val="28"/>
                <w:szCs w:val="28"/>
              </w:rPr>
              <w:t xml:space="preserve">1.2.</w:t>
            </w:r>
            <w:r>
              <w:rPr>
                <w:rFonts w:hint="eastAsia" w:ascii="宋体" w:hAnsi="宋体"/>
                <w:sz w:val="28"/>
                <w:szCs w:val="28"/>
              </w:rPr>
              <w:t xml:space="preserve">1</w:t>
            </w:r>
            <w:r/>
          </w:p>
        </w:tc>
        <w:tc>
          <w:tcPr>
            <w:gridSpan w:val="2"/>
            <w:tcW w:w="2552" w:type="dxa"/>
            <w:vAlign w:val="center"/>
            <w:textDirection w:val="lrTb"/>
            <w:noWrap w:val="false"/>
          </w:tcPr>
          <w:p>
            <w:pPr>
              <w:jc w:val="center"/>
              <w:spacing w:line="380" w:lineRule="exact"/>
              <w:rPr>
                <w:rFonts w:ascii="宋体"/>
                <w:sz w:val="28"/>
                <w:szCs w:val="28"/>
              </w:rPr>
            </w:pPr>
            <w:r>
              <w:rPr>
                <w:rFonts w:hint="eastAsia" w:ascii="宋体"/>
                <w:sz w:val="28"/>
                <w:szCs w:val="28"/>
              </w:rPr>
              <w:t xml:space="preserve">付款方式</w:t>
            </w:r>
            <w:r/>
          </w:p>
        </w:tc>
        <w:tc>
          <w:tcPr>
            <w:tcW w:w="5987" w:type="dxa"/>
            <w:vAlign w:val="center"/>
            <w:textDirection w:val="lrTb"/>
            <w:noWrap w:val="false"/>
          </w:tcPr>
          <w:p>
            <w:pPr>
              <w:pStyle w:val="717"/>
              <w:jc w:val="both"/>
              <w:spacing w:before="0" w:after="0" w:line="400" w:lineRule="exact"/>
              <w:rPr>
                <w:rFonts w:hint="default" w:hAnsi="Times New Roman"/>
                <w:color w:val="auto"/>
                <w:sz w:val="28"/>
                <w:szCs w:val="28"/>
              </w:rPr>
            </w:pPr>
            <w:r/>
            <w:bookmarkStart w:id="76" w:name="_Hlk233877894"/>
            <w:r>
              <w:rPr>
                <w:rFonts w:hAnsi="Times New Roman"/>
                <w:color w:val="auto"/>
                <w:sz w:val="28"/>
                <w:szCs w:val="28"/>
              </w:rPr>
              <w:t xml:space="preserve">合同签订后主要设备进场后支付至合同金额的30%，项目验收合格后支付至合同金额的75%，结算审计结束后支付至审定金额的95%，余款三年免费质保期结束后一次性付清。（免费质保期从验收合格之日起计算)</w:t>
            </w:r>
            <w:bookmarkEnd w:id="76"/>
            <w:r/>
            <w:r/>
          </w:p>
        </w:tc>
      </w:tr>
      <w:tr>
        <w:trPr>
          <w:jc w:val="center"/>
          <w:trHeight w:val="467"/>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1.3.1</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采购范围</w:t>
            </w:r>
            <w:r/>
          </w:p>
        </w:tc>
        <w:tc>
          <w:tcPr>
            <w:tcW w:w="5987" w:type="dxa"/>
            <w:vAlign w:val="center"/>
            <w:textDirection w:val="lrTb"/>
            <w:noWrap w:val="false"/>
          </w:tcPr>
          <w:p>
            <w:pPr>
              <w:jc w:val="left"/>
              <w:spacing w:line="420" w:lineRule="exact"/>
              <w:rPr>
                <w:rFonts w:ascii="宋体"/>
                <w:sz w:val="28"/>
                <w:szCs w:val="28"/>
              </w:rPr>
            </w:pPr>
            <w:r>
              <w:rPr>
                <w:rFonts w:hint="eastAsia" w:ascii="宋体"/>
                <w:sz w:val="28"/>
                <w:szCs w:val="28"/>
              </w:rPr>
              <w:t xml:space="preserve">详见</w:t>
            </w:r>
            <w:r>
              <w:rPr>
                <w:rFonts w:hint="eastAsia" w:ascii="宋体" w:hAnsi="宋体"/>
                <w:sz w:val="28"/>
                <w:szCs w:val="28"/>
              </w:rPr>
              <w:t xml:space="preserve">第四章采购需求</w:t>
            </w:r>
            <w:r/>
          </w:p>
        </w:tc>
      </w:tr>
      <w:tr>
        <w:trPr>
          <w:jc w:val="center"/>
          <w:trHeight w:val="699"/>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1.3.2</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合同履行期限</w:t>
            </w:r>
            <w:r/>
          </w:p>
        </w:tc>
        <w:tc>
          <w:tcPr>
            <w:tcW w:w="5987" w:type="dxa"/>
            <w:vAlign w:val="center"/>
            <w:textDirection w:val="lrTb"/>
            <w:noWrap w:val="false"/>
          </w:tcPr>
          <w:p>
            <w:pPr>
              <w:jc w:val="left"/>
              <w:spacing w:line="360" w:lineRule="exact"/>
              <w:rPr>
                <w:rFonts w:ascii="宋体"/>
                <w:sz w:val="28"/>
                <w:szCs w:val="28"/>
              </w:rPr>
            </w:pPr>
            <w:r>
              <w:rPr>
                <w:rFonts w:hint="eastAsia" w:ascii="宋体"/>
                <w:sz w:val="28"/>
                <w:szCs w:val="28"/>
              </w:rPr>
              <w:t xml:space="preserve">详见招标公告</w:t>
            </w:r>
            <w:r/>
          </w:p>
        </w:tc>
      </w:tr>
      <w:tr>
        <w:trPr>
          <w:jc w:val="center"/>
          <w:trHeight w:val="778"/>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1.4.2</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要求投标人具备</w:t>
            </w:r>
            <w:r>
              <w:rPr>
                <w:rFonts w:hint="eastAsia" w:ascii="宋体" w:hAnsi="宋体" w:cs="宋体"/>
                <w:sz w:val="28"/>
                <w:szCs w:val="28"/>
              </w:rPr>
              <w:t xml:space="preserve">的特定资格要求</w:t>
            </w:r>
            <w:r/>
          </w:p>
        </w:tc>
        <w:tc>
          <w:tcPr>
            <w:tcW w:w="5987" w:type="dxa"/>
            <w:vAlign w:val="center"/>
            <w:textDirection w:val="lrTb"/>
            <w:noWrap w:val="false"/>
          </w:tcPr>
          <w:p>
            <w:pPr>
              <w:jc w:val="left"/>
              <w:spacing w:line="420" w:lineRule="exact"/>
              <w:rPr>
                <w:rFonts w:ascii="宋体" w:cs="宋体"/>
                <w:sz w:val="28"/>
                <w:szCs w:val="28"/>
              </w:rPr>
            </w:pPr>
            <w:r>
              <w:rPr>
                <w:rFonts w:hint="eastAsia" w:ascii="宋体"/>
                <w:sz w:val="28"/>
                <w:szCs w:val="28"/>
              </w:rPr>
              <w:t xml:space="preserve">详见</w:t>
            </w:r>
            <w:r>
              <w:rPr>
                <w:rFonts w:hint="eastAsia" w:ascii="宋体" w:hAnsi="宋体" w:cs="宋体"/>
                <w:sz w:val="28"/>
                <w:szCs w:val="28"/>
              </w:rPr>
              <w:t xml:space="preserve">招标公告</w:t>
            </w:r>
            <w:r/>
          </w:p>
        </w:tc>
      </w:tr>
      <w:tr>
        <w:trPr>
          <w:jc w:val="center"/>
          <w:trHeight w:val="503"/>
        </w:trPr>
        <w:tc>
          <w:tcPr>
            <w:tcW w:w="1089" w:type="dxa"/>
            <w:vAlign w:val="center"/>
            <w:textDirection w:val="lrTb"/>
            <w:noWrap w:val="false"/>
          </w:tcPr>
          <w:p>
            <w:pPr>
              <w:jc w:val="center"/>
              <w:spacing w:line="3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8</w:t>
            </w:r>
            <w:r>
              <w:rPr>
                <w:rFonts w:ascii="宋体" w:hAnsi="宋体"/>
                <w:sz w:val="28"/>
                <w:szCs w:val="28"/>
              </w:rPr>
              <w:t xml:space="preserve">.2</w:t>
            </w:r>
            <w:r/>
          </w:p>
        </w:tc>
        <w:tc>
          <w:tcPr>
            <w:gridSpan w:val="2"/>
            <w:tcW w:w="2552" w:type="dxa"/>
            <w:vAlign w:val="center"/>
            <w:textDirection w:val="lrTb"/>
            <w:noWrap w:val="false"/>
          </w:tcPr>
          <w:p>
            <w:pPr>
              <w:jc w:val="center"/>
              <w:spacing w:line="320" w:lineRule="exact"/>
              <w:rPr>
                <w:rFonts w:ascii="宋体"/>
                <w:sz w:val="28"/>
                <w:szCs w:val="28"/>
              </w:rPr>
            </w:pPr>
            <w:r>
              <w:rPr>
                <w:rFonts w:hint="eastAsia" w:ascii="宋体" w:hAnsi="宋体"/>
                <w:sz w:val="28"/>
                <w:szCs w:val="28"/>
              </w:rPr>
              <w:t xml:space="preserve">偏离</w:t>
            </w:r>
            <w:r/>
          </w:p>
        </w:tc>
        <w:tc>
          <w:tcPr>
            <w:tcW w:w="5987" w:type="dxa"/>
            <w:vAlign w:val="center"/>
            <w:textDirection w:val="lrTb"/>
            <w:noWrap w:val="false"/>
          </w:tcPr>
          <w:p>
            <w:pPr>
              <w:pStyle w:val="692"/>
              <w:spacing w:line="400" w:lineRule="exact"/>
              <w:rPr>
                <w:rFonts w:ascii="宋体" w:hAnsi="宋体"/>
                <w:sz w:val="28"/>
                <w:szCs w:val="28"/>
              </w:rPr>
            </w:pPr>
            <w:r/>
            <w:bookmarkStart w:id="77" w:name="FEfe800446baa24252acf6b14953dc4897"/>
            <w:r/>
            <w:bookmarkEnd w:id="77"/>
            <w:r/>
            <w:bookmarkStart w:id="78" w:name="FBfe800446baa24252acf6b14953dc4897"/>
            <w:r/>
            <w:bookmarkEnd w:id="78"/>
            <w:r>
              <w:rPr>
                <w:rFonts w:hint="eastAsia"/>
                <w:sz w:val="28"/>
                <w:szCs w:val="28"/>
              </w:rPr>
              <w:t xml:space="preserve">根据本项目评标办法自行考虑。</w:t>
            </w:r>
            <w:r/>
          </w:p>
        </w:tc>
      </w:tr>
      <w:tr>
        <w:trPr>
          <w:jc w:val="center"/>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2.1</w:t>
            </w:r>
            <w:r/>
          </w:p>
        </w:tc>
        <w:tc>
          <w:tcPr>
            <w:gridSpan w:val="2"/>
            <w:tcW w:w="2552" w:type="dxa"/>
            <w:vAlign w:val="center"/>
            <w:textDirection w:val="lrTb"/>
            <w:noWrap w:val="false"/>
          </w:tcPr>
          <w:p>
            <w:pPr>
              <w:jc w:val="center"/>
              <w:spacing w:line="320" w:lineRule="exact"/>
              <w:rPr>
                <w:rFonts w:ascii="宋体"/>
                <w:sz w:val="28"/>
                <w:szCs w:val="28"/>
              </w:rPr>
            </w:pPr>
            <w:r>
              <w:rPr>
                <w:rFonts w:hint="eastAsia" w:ascii="宋体" w:hAnsi="宋体"/>
                <w:sz w:val="28"/>
                <w:szCs w:val="28"/>
              </w:rPr>
              <w:t xml:space="preserve">构成招标文件的其他材料</w:t>
            </w:r>
            <w:r/>
          </w:p>
        </w:tc>
        <w:tc>
          <w:tcPr>
            <w:tcW w:w="5987" w:type="dxa"/>
            <w:vAlign w:val="center"/>
            <w:textDirection w:val="lrTb"/>
            <w:noWrap w:val="false"/>
          </w:tcPr>
          <w:p>
            <w:pPr>
              <w:jc w:val="left"/>
              <w:spacing w:line="360" w:lineRule="exact"/>
              <w:rPr>
                <w:rFonts w:ascii="宋体"/>
                <w:sz w:val="28"/>
                <w:szCs w:val="28"/>
              </w:rPr>
            </w:pPr>
            <w:r/>
            <w:bookmarkStart w:id="79" w:name="EB35ced2e8f8364f63a510bf246ff979f0"/>
            <w:r/>
            <w:bookmarkEnd w:id="79"/>
            <w:r>
              <w:rPr>
                <w:rFonts w:hint="eastAsia" w:ascii="宋体" w:hAnsi="宋体"/>
                <w:sz w:val="28"/>
                <w:szCs w:val="28"/>
              </w:rPr>
              <w:t xml:space="preserve">/</w:t>
            </w:r>
            <w:r/>
          </w:p>
        </w:tc>
      </w:tr>
      <w:tr>
        <w:trPr>
          <w:jc w:val="center"/>
          <w:trHeight w:val="810"/>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2.2</w:t>
            </w:r>
            <w:r/>
          </w:p>
        </w:tc>
        <w:tc>
          <w:tcPr>
            <w:gridSpan w:val="2"/>
            <w:tcW w:w="2552" w:type="dxa"/>
            <w:vAlign w:val="center"/>
            <w:textDirection w:val="lrTb"/>
            <w:noWrap w:val="false"/>
          </w:tcPr>
          <w:p>
            <w:pPr>
              <w:jc w:val="center"/>
              <w:spacing w:line="360" w:lineRule="exact"/>
              <w:rPr>
                <w:sz w:val="28"/>
                <w:szCs w:val="28"/>
              </w:rPr>
            </w:pPr>
            <w:r>
              <w:rPr>
                <w:rFonts w:hint="eastAsia"/>
                <w:sz w:val="28"/>
                <w:szCs w:val="28"/>
              </w:rPr>
              <w:t xml:space="preserve">投标人要求澄清招标文件的截止时间</w:t>
            </w:r>
            <w:r/>
          </w:p>
        </w:tc>
        <w:tc>
          <w:tcPr>
            <w:tcW w:w="5987" w:type="dxa"/>
            <w:vAlign w:val="center"/>
            <w:textDirection w:val="lrTb"/>
            <w:noWrap w:val="false"/>
          </w:tcPr>
          <w:p>
            <w:pPr>
              <w:spacing w:line="440" w:lineRule="exact"/>
              <w:rPr>
                <w:sz w:val="28"/>
                <w:szCs w:val="28"/>
              </w:rPr>
            </w:pPr>
            <w:r>
              <w:rPr>
                <w:rFonts w:hint="eastAsia"/>
                <w:sz w:val="28"/>
                <w:szCs w:val="28"/>
              </w:rPr>
              <w:t xml:space="preserve">2026年</w:t>
            </w:r>
            <w:r>
              <w:rPr>
                <w:sz w:val="28"/>
                <w:szCs w:val="28"/>
              </w:rPr>
              <w:t xml:space="preserve">8</w:t>
            </w:r>
            <w:r>
              <w:rPr>
                <w:rFonts w:hint="eastAsia"/>
                <w:sz w:val="28"/>
                <w:szCs w:val="28"/>
              </w:rPr>
              <w:t xml:space="preserve">月2</w:t>
            </w:r>
            <w:r>
              <w:rPr>
                <w:sz w:val="28"/>
                <w:szCs w:val="28"/>
              </w:rPr>
              <w:t xml:space="preserve">0</w:t>
            </w:r>
            <w:r>
              <w:rPr>
                <w:rFonts w:hint="eastAsia"/>
                <w:sz w:val="28"/>
                <w:szCs w:val="28"/>
              </w:rPr>
              <w:t xml:space="preserve">日17时30分</w:t>
            </w:r>
            <w:r/>
          </w:p>
        </w:tc>
      </w:tr>
      <w:tr>
        <w:trPr>
          <w:jc w:val="center"/>
          <w:trHeight w:val="416"/>
        </w:trPr>
        <w:tc>
          <w:tcPr>
            <w:tcW w:w="1089" w:type="dxa"/>
            <w:vAlign w:val="center"/>
            <w:textDirection w:val="lrTb"/>
            <w:noWrap w:val="false"/>
          </w:tcPr>
          <w:p>
            <w:pPr>
              <w:jc w:val="center"/>
              <w:spacing w:line="380" w:lineRule="exact"/>
              <w:rPr>
                <w:rFonts w:ascii="宋体" w:hAnsi="宋体"/>
                <w:sz w:val="28"/>
                <w:szCs w:val="28"/>
              </w:rPr>
            </w:pPr>
            <w:r>
              <w:rPr>
                <w:rFonts w:hint="eastAsia" w:ascii="宋体" w:hAnsi="宋体"/>
                <w:sz w:val="28"/>
                <w:szCs w:val="28"/>
              </w:rPr>
              <w:t xml:space="preserve">3.1</w:t>
            </w:r>
            <w:r/>
          </w:p>
        </w:tc>
        <w:tc>
          <w:tcPr>
            <w:gridSpan w:val="2"/>
            <w:tcW w:w="2552" w:type="dxa"/>
            <w:vAlign w:val="center"/>
            <w:textDirection w:val="lrTb"/>
            <w:noWrap w:val="false"/>
          </w:tcPr>
          <w:p>
            <w:pPr>
              <w:jc w:val="center"/>
              <w:spacing w:line="380" w:lineRule="exact"/>
              <w:rPr>
                <w:rFonts w:ascii="宋体" w:hAnsi="宋体" w:cs="宋体"/>
                <w:sz w:val="28"/>
                <w:szCs w:val="28"/>
              </w:rPr>
            </w:pPr>
            <w:r>
              <w:rPr>
                <w:rFonts w:hint="eastAsia" w:ascii="宋体" w:hAnsi="宋体" w:cs="宋体"/>
                <w:sz w:val="28"/>
                <w:szCs w:val="28"/>
              </w:rPr>
              <w:t xml:space="preserve">投标文件的组成</w:t>
            </w:r>
            <w:r/>
          </w:p>
        </w:tc>
        <w:tc>
          <w:tcPr>
            <w:tcW w:w="5987" w:type="dxa"/>
            <w:vAlign w:val="center"/>
            <w:textDirection w:val="lrTb"/>
            <w:noWrap w:val="false"/>
          </w:tcPr>
          <w:p>
            <w:pPr>
              <w:spacing w:line="400" w:lineRule="exact"/>
              <w:rPr>
                <w:rFonts w:ascii="宋体" w:hAnsi="宋体" w:cs="宋体"/>
                <w:sz w:val="28"/>
              </w:rPr>
            </w:pPr>
            <w:r>
              <w:rPr>
                <w:rFonts w:hint="eastAsia" w:ascii="宋体" w:hAnsi="宋体" w:cs="宋体"/>
                <w:sz w:val="28"/>
              </w:rPr>
              <w:t xml:space="preserve">（1）开标一览表；</w:t>
            </w:r>
            <w:r/>
          </w:p>
          <w:p>
            <w:pPr>
              <w:spacing w:line="400" w:lineRule="exact"/>
              <w:rPr>
                <w:rFonts w:ascii="宋体" w:hAnsi="宋体" w:cs="宋体"/>
                <w:sz w:val="28"/>
              </w:rPr>
            </w:pPr>
            <w:r>
              <w:rPr>
                <w:rFonts w:hint="eastAsia" w:ascii="宋体" w:hAnsi="宋体" w:cs="宋体"/>
                <w:sz w:val="28"/>
              </w:rPr>
              <w:t xml:space="preserve">（2）投标函；</w:t>
            </w:r>
            <w:r/>
          </w:p>
          <w:p>
            <w:pPr>
              <w:spacing w:line="400" w:lineRule="exact"/>
              <w:rPr>
                <w:rFonts w:ascii="宋体" w:hAnsi="宋体" w:cs="宋体"/>
                <w:sz w:val="28"/>
              </w:rPr>
            </w:pPr>
            <w:r>
              <w:rPr>
                <w:rFonts w:hint="eastAsia" w:ascii="宋体" w:hAnsi="宋体" w:cs="宋体"/>
                <w:sz w:val="28"/>
              </w:rPr>
              <w:t xml:space="preserve">（3）中小企业声明函（如有）；</w:t>
            </w:r>
            <w:r/>
          </w:p>
          <w:p>
            <w:pPr>
              <w:spacing w:line="400" w:lineRule="exact"/>
              <w:rPr>
                <w:rFonts w:ascii="宋体" w:hAnsi="宋体" w:cs="宋体"/>
                <w:sz w:val="28"/>
              </w:rPr>
            </w:pPr>
            <w:r>
              <w:rPr>
                <w:rFonts w:hint="eastAsia" w:ascii="宋体" w:hAnsi="宋体" w:cs="宋体"/>
                <w:sz w:val="28"/>
              </w:rPr>
              <w:t xml:space="preserve">（</w:t>
            </w:r>
            <w:r>
              <w:rPr>
                <w:rFonts w:ascii="宋体" w:hAnsi="宋体" w:cs="宋体"/>
                <w:sz w:val="28"/>
              </w:rPr>
              <w:t xml:space="preserve">4</w:t>
            </w:r>
            <w:r>
              <w:rPr>
                <w:rFonts w:hint="eastAsia" w:ascii="宋体" w:hAnsi="宋体" w:cs="宋体"/>
                <w:sz w:val="28"/>
              </w:rPr>
              <w:t xml:space="preserve">）投标报价明细表及分析说明；</w:t>
            </w:r>
            <w:r/>
          </w:p>
          <w:p>
            <w:pPr>
              <w:spacing w:line="400" w:lineRule="exact"/>
              <w:rPr>
                <w:rFonts w:ascii="宋体" w:hAnsi="宋体" w:cs="宋体"/>
                <w:sz w:val="28"/>
              </w:rPr>
            </w:pPr>
            <w:r>
              <w:rPr>
                <w:rFonts w:hint="eastAsia" w:ascii="宋体" w:hAnsi="宋体" w:cs="宋体"/>
                <w:sz w:val="28"/>
              </w:rPr>
              <w:t xml:space="preserve">（</w:t>
            </w:r>
            <w:r>
              <w:rPr>
                <w:rFonts w:ascii="宋体" w:hAnsi="宋体" w:cs="宋体"/>
                <w:sz w:val="28"/>
              </w:rPr>
              <w:t xml:space="preserve">5</w:t>
            </w:r>
            <w:r>
              <w:rPr>
                <w:rFonts w:hint="eastAsia" w:ascii="宋体" w:hAnsi="宋体" w:cs="宋体"/>
                <w:sz w:val="28"/>
              </w:rPr>
              <w:t xml:space="preserve">）资格性审查和符合性评审文件；</w:t>
            </w:r>
            <w:r/>
          </w:p>
          <w:p>
            <w:pPr>
              <w:spacing w:line="400" w:lineRule="exact"/>
              <w:rPr>
                <w:rFonts w:ascii="宋体" w:hAnsi="宋体" w:cs="宋体"/>
                <w:sz w:val="28"/>
              </w:rPr>
            </w:pPr>
            <w:r>
              <w:rPr>
                <w:rFonts w:hint="eastAsia" w:ascii="宋体" w:hAnsi="宋体" w:cs="宋体"/>
                <w:sz w:val="28"/>
              </w:rPr>
              <w:t xml:space="preserve">（</w:t>
            </w:r>
            <w:r>
              <w:rPr>
                <w:rFonts w:ascii="宋体" w:hAnsi="宋体" w:cs="宋体"/>
                <w:sz w:val="28"/>
              </w:rPr>
              <w:t xml:space="preserve">6</w:t>
            </w:r>
            <w:r>
              <w:rPr>
                <w:rFonts w:hint="eastAsia" w:ascii="宋体" w:hAnsi="宋体" w:cs="宋体"/>
                <w:sz w:val="28"/>
              </w:rPr>
              <w:t xml:space="preserve">）采购需求响应表；</w:t>
            </w:r>
            <w:r/>
          </w:p>
          <w:p>
            <w:pPr>
              <w:spacing w:line="400" w:lineRule="exact"/>
              <w:rPr>
                <w:rFonts w:ascii="宋体" w:hAnsi="宋体" w:cs="宋体"/>
                <w:sz w:val="28"/>
              </w:rPr>
            </w:pPr>
            <w:r>
              <w:rPr>
                <w:rFonts w:hint="eastAsia" w:ascii="宋体" w:hAnsi="宋体" w:cs="宋体"/>
                <w:sz w:val="28"/>
              </w:rPr>
              <w:t xml:space="preserve">（</w:t>
            </w:r>
            <w:r>
              <w:rPr>
                <w:rFonts w:ascii="宋体" w:hAnsi="宋体" w:cs="宋体"/>
                <w:sz w:val="28"/>
              </w:rPr>
              <w:t xml:space="preserve">7</w:t>
            </w:r>
            <w:r>
              <w:rPr>
                <w:rFonts w:hint="eastAsia" w:ascii="宋体" w:hAnsi="宋体" w:cs="宋体"/>
                <w:sz w:val="28"/>
              </w:rPr>
              <w:t xml:space="preserve">）对照第三章评标办法，认为应列入投标文件的其他材料。</w:t>
            </w:r>
            <w:r/>
          </w:p>
        </w:tc>
      </w:tr>
      <w:tr>
        <w:trPr>
          <w:jc w:val="center"/>
          <w:trHeight w:val="386"/>
        </w:trPr>
        <w:tc>
          <w:tcPr>
            <w:tcW w:w="1089" w:type="dxa"/>
            <w:vAlign w:val="center"/>
            <w:textDirection w:val="lrTb"/>
            <w:noWrap w:val="false"/>
          </w:tcPr>
          <w:p>
            <w:pPr>
              <w:jc w:val="center"/>
              <w:spacing w:line="380" w:lineRule="exact"/>
              <w:rPr>
                <w:rFonts w:ascii="宋体" w:hAnsi="宋体"/>
                <w:sz w:val="28"/>
                <w:szCs w:val="28"/>
              </w:rPr>
            </w:pPr>
            <w:r>
              <w:rPr>
                <w:rFonts w:ascii="宋体" w:hAnsi="宋体"/>
                <w:sz w:val="28"/>
                <w:szCs w:val="28"/>
              </w:rPr>
              <w:t xml:space="preserve">3.3.1</w:t>
            </w:r>
            <w:r/>
          </w:p>
        </w:tc>
        <w:tc>
          <w:tcPr>
            <w:gridSpan w:val="2"/>
            <w:tcW w:w="2552" w:type="dxa"/>
            <w:vAlign w:val="center"/>
            <w:textDirection w:val="lrTb"/>
            <w:noWrap w:val="false"/>
          </w:tcPr>
          <w:p>
            <w:pPr>
              <w:jc w:val="center"/>
              <w:spacing w:line="380" w:lineRule="exact"/>
              <w:rPr>
                <w:rFonts w:ascii="宋体"/>
                <w:sz w:val="28"/>
                <w:szCs w:val="28"/>
              </w:rPr>
            </w:pPr>
            <w:r>
              <w:rPr>
                <w:rFonts w:hint="eastAsia" w:ascii="宋体" w:hAnsi="宋体" w:cs="宋体"/>
                <w:sz w:val="28"/>
                <w:szCs w:val="28"/>
              </w:rPr>
              <w:t xml:space="preserve">投标有效期</w:t>
            </w:r>
            <w:r/>
          </w:p>
        </w:tc>
        <w:tc>
          <w:tcPr>
            <w:tcW w:w="5987" w:type="dxa"/>
            <w:vAlign w:val="center"/>
            <w:textDirection w:val="lrTb"/>
            <w:noWrap w:val="false"/>
          </w:tcPr>
          <w:p>
            <w:pPr>
              <w:spacing w:line="440" w:lineRule="exact"/>
              <w:rPr>
                <w:rFonts w:ascii="宋体"/>
                <w:sz w:val="28"/>
                <w:szCs w:val="28"/>
              </w:rPr>
            </w:pPr>
            <w:r>
              <w:rPr>
                <w:rFonts w:hint="eastAsia" w:ascii="宋体" w:hAnsi="宋体" w:cs="宋体"/>
                <w:sz w:val="28"/>
              </w:rPr>
              <w:t xml:space="preserve">60天</w:t>
            </w:r>
            <w:r/>
          </w:p>
        </w:tc>
      </w:tr>
      <w:tr>
        <w:trPr>
          <w:jc w:val="center"/>
          <w:trHeight w:val="910"/>
        </w:trPr>
        <w:tc>
          <w:tcPr>
            <w:tcW w:w="1089" w:type="dxa"/>
            <w:vAlign w:val="center"/>
            <w:textDirection w:val="lrTb"/>
            <w:noWrap w:val="false"/>
          </w:tcPr>
          <w:p>
            <w:pPr>
              <w:jc w:val="center"/>
              <w:spacing w:line="38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4</w:t>
            </w:r>
            <w:r>
              <w:rPr>
                <w:rFonts w:ascii="宋体" w:hAnsi="宋体"/>
                <w:sz w:val="28"/>
                <w:szCs w:val="28"/>
              </w:rPr>
              <w:t xml:space="preserve">.</w:t>
            </w:r>
            <w:r>
              <w:rPr>
                <w:rFonts w:hint="eastAsia" w:ascii="宋体" w:hAnsi="宋体"/>
                <w:sz w:val="28"/>
                <w:szCs w:val="28"/>
              </w:rPr>
              <w:t xml:space="preserve">3</w:t>
            </w:r>
            <w:r/>
          </w:p>
        </w:tc>
        <w:tc>
          <w:tcPr>
            <w:gridSpan w:val="2"/>
            <w:tcW w:w="2552" w:type="dxa"/>
            <w:vAlign w:val="center"/>
            <w:textDirection w:val="lrTb"/>
            <w:noWrap w:val="false"/>
          </w:tcPr>
          <w:p>
            <w:pPr>
              <w:jc w:val="center"/>
              <w:spacing w:line="380" w:lineRule="exact"/>
              <w:rPr>
                <w:rFonts w:ascii="宋体" w:hAnsi="宋体"/>
                <w:sz w:val="28"/>
                <w:szCs w:val="28"/>
              </w:rPr>
            </w:pPr>
            <w:r>
              <w:rPr>
                <w:rFonts w:hint="eastAsia" w:ascii="宋体" w:hAnsi="宋体"/>
                <w:sz w:val="28"/>
                <w:szCs w:val="28"/>
              </w:rPr>
              <w:t xml:space="preserve">投标文件的份数</w:t>
            </w:r>
            <w:r/>
          </w:p>
        </w:tc>
        <w:tc>
          <w:tcPr>
            <w:tcW w:w="5987" w:type="dxa"/>
            <w:vAlign w:val="center"/>
            <w:textDirection w:val="lrTb"/>
            <w:noWrap w:val="false"/>
          </w:tcPr>
          <w:p>
            <w:pPr>
              <w:spacing w:line="380" w:lineRule="exact"/>
              <w:rPr>
                <w:rFonts w:ascii="宋体" w:hAnsi="宋体"/>
                <w:sz w:val="28"/>
                <w:szCs w:val="28"/>
              </w:rPr>
            </w:pPr>
            <w:r>
              <w:rPr>
                <w:rFonts w:hint="eastAsia" w:ascii="宋体" w:hAnsi="宋体"/>
                <w:sz w:val="28"/>
                <w:szCs w:val="28"/>
              </w:rPr>
              <w:t xml:space="preserve">电子投标文件壹份。中标人提供两份与电子投标文件完全一致的纸质投标文件。</w:t>
            </w:r>
            <w:r/>
          </w:p>
        </w:tc>
      </w:tr>
      <w:tr>
        <w:trPr>
          <w:jc w:val="center"/>
          <w:trHeight w:val="416"/>
        </w:trPr>
        <w:tc>
          <w:tcPr>
            <w:tcW w:w="1089"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3.4.4</w:t>
            </w:r>
            <w:r/>
          </w:p>
        </w:tc>
        <w:tc>
          <w:tcPr>
            <w:gridSpan w:val="2"/>
            <w:tcW w:w="2552"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投标文件的签署</w:t>
            </w:r>
            <w:r/>
          </w:p>
        </w:tc>
        <w:tc>
          <w:tcPr>
            <w:tcW w:w="5987" w:type="dxa"/>
            <w:vAlign w:val="center"/>
            <w:textDirection w:val="lrTb"/>
            <w:noWrap w:val="false"/>
          </w:tcPr>
          <w:p>
            <w:pPr>
              <w:spacing w:line="440" w:lineRule="exact"/>
              <w:rPr>
                <w:rFonts w:ascii="宋体" w:hAnsi="宋体" w:cs="宋体"/>
                <w:sz w:val="28"/>
              </w:rPr>
            </w:pPr>
            <w:r>
              <w:rPr>
                <w:rFonts w:hint="eastAsia" w:ascii="宋体" w:hAnsi="宋体" w:cs="宋体"/>
                <w:sz w:val="28"/>
              </w:rPr>
              <w:t xml:space="preserve">投标函、投标人基本资格条件承诺函中须加盖投标人公章并经法定代表人（负责人）签字或签章。</w:t>
            </w:r>
            <w:r/>
          </w:p>
        </w:tc>
      </w:tr>
      <w:tr>
        <w:trPr>
          <w:jc w:val="center"/>
          <w:trHeight w:val="760"/>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5.1.1</w:t>
            </w:r>
            <w:r/>
          </w:p>
        </w:tc>
        <w:tc>
          <w:tcPr>
            <w:gridSpan w:val="2"/>
            <w:tcW w:w="2552" w:type="dxa"/>
            <w:vAlign w:val="center"/>
            <w:textDirection w:val="lrTb"/>
            <w:noWrap w:val="false"/>
          </w:tcPr>
          <w:p>
            <w:pPr>
              <w:jc w:val="center"/>
              <w:rPr>
                <w:rFonts w:ascii="宋体"/>
                <w:sz w:val="28"/>
                <w:szCs w:val="28"/>
              </w:rPr>
            </w:pPr>
            <w:r>
              <w:rPr>
                <w:rFonts w:hint="eastAsia" w:ascii="宋体" w:hAnsi="宋体" w:cs="宋体"/>
                <w:sz w:val="28"/>
                <w:szCs w:val="28"/>
              </w:rPr>
              <w:t xml:space="preserve">开标时间和地点</w:t>
            </w:r>
            <w:r/>
          </w:p>
        </w:tc>
        <w:tc>
          <w:tcPr>
            <w:tcW w:w="5987"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开标时间：</w:t>
            </w:r>
            <w:bookmarkStart w:id="80" w:name="EB72e20e40757d438698d0d924b6237fcc"/>
            <w:r/>
            <w:bookmarkEnd w:id="80"/>
            <w:r>
              <w:rPr>
                <w:rFonts w:hint="eastAsia" w:ascii="宋体" w:hAnsi="宋体"/>
                <w:sz w:val="28"/>
                <w:szCs w:val="28"/>
              </w:rPr>
              <w:t xml:space="preserve">同投标截止时间</w:t>
            </w:r>
            <w:r/>
          </w:p>
          <w:p>
            <w:pPr>
              <w:jc w:val="left"/>
              <w:spacing w:line="360" w:lineRule="exact"/>
              <w:rPr>
                <w:rFonts w:ascii="宋体"/>
                <w:sz w:val="28"/>
                <w:szCs w:val="28"/>
              </w:rPr>
            </w:pPr>
            <w:r>
              <w:rPr>
                <w:rFonts w:hint="eastAsia" w:ascii="宋体" w:hAnsi="宋体"/>
                <w:sz w:val="28"/>
                <w:szCs w:val="28"/>
              </w:rPr>
              <w:t xml:space="preserve">开标地点：</w:t>
            </w:r>
            <w:r>
              <w:rPr>
                <w:rFonts w:hint="eastAsia" w:asciiTheme="majorEastAsia" w:hAnsiTheme="majorEastAsia" w:eastAsiaTheme="majorEastAsia"/>
                <w:sz w:val="28"/>
                <w:szCs w:val="28"/>
              </w:rPr>
              <w:t xml:space="preserve">“苏采云”系统“开标大厅”</w:t>
            </w:r>
            <w:r/>
          </w:p>
        </w:tc>
      </w:tr>
      <w:tr>
        <w:trPr>
          <w:jc w:val="center"/>
          <w:trHeight w:val="1026"/>
        </w:trPr>
        <w:tc>
          <w:tcPr>
            <w:tcW w:w="1089"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5.1.2</w:t>
            </w:r>
            <w:r/>
          </w:p>
        </w:tc>
        <w:tc>
          <w:tcPr>
            <w:gridSpan w:val="2"/>
            <w:tcW w:w="2552" w:type="dxa"/>
            <w:vAlign w:val="center"/>
            <w:textDirection w:val="lrTb"/>
            <w:noWrap w:val="false"/>
          </w:tcPr>
          <w:p>
            <w:pPr>
              <w:jc w:val="center"/>
              <w:spacing w:line="460" w:lineRule="exact"/>
              <w:rPr>
                <w:rFonts w:ascii="宋体" w:hAnsi="宋体" w:cs="宋体"/>
                <w:sz w:val="28"/>
                <w:szCs w:val="28"/>
              </w:rPr>
            </w:pPr>
            <w:r>
              <w:rPr>
                <w:rFonts w:hint="eastAsia" w:ascii="宋体" w:hAnsi="宋体" w:cs="宋体"/>
                <w:sz w:val="28"/>
                <w:szCs w:val="28"/>
              </w:rPr>
              <w:t xml:space="preserve">投标人参与开标要求</w:t>
            </w:r>
            <w:r/>
          </w:p>
        </w:tc>
        <w:tc>
          <w:tcPr>
            <w:tcW w:w="5987"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开标活动将在招标公告中规定的时间和地点进行。投标人应当按照</w:t>
            </w:r>
            <w:r>
              <w:rPr>
                <w:rFonts w:hint="eastAsia" w:ascii="宋体" w:hAnsi="宋体"/>
                <w:b/>
                <w:sz w:val="28"/>
                <w:szCs w:val="28"/>
              </w:rPr>
              <w:t xml:space="preserve">《江苏省政府采购管理交易系统（苏采云）投标人操作手册》</w:t>
            </w:r>
            <w:r>
              <w:rPr>
                <w:rFonts w:hint="eastAsia" w:ascii="宋体" w:hAnsi="宋体"/>
                <w:sz w:val="28"/>
                <w:szCs w:val="28"/>
              </w:rPr>
              <w:t xml:space="preserve">规定，参加开标活动。</w:t>
            </w:r>
            <w:r/>
          </w:p>
        </w:tc>
      </w:tr>
      <w:tr>
        <w:trPr>
          <w:jc w:val="center"/>
          <w:trHeight w:val="425"/>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6.1.1</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cs="宋体"/>
                <w:sz w:val="28"/>
                <w:szCs w:val="28"/>
              </w:rPr>
              <w:t xml:space="preserve">评标委员会</w:t>
            </w:r>
            <w:r/>
          </w:p>
        </w:tc>
        <w:tc>
          <w:tcPr>
            <w:tcW w:w="5987" w:type="dxa"/>
            <w:vAlign w:val="center"/>
            <w:textDirection w:val="lrTb"/>
            <w:noWrap w:val="false"/>
          </w:tcPr>
          <w:p>
            <w:pPr>
              <w:jc w:val="left"/>
              <w:spacing w:line="360" w:lineRule="exact"/>
              <w:rPr>
                <w:rFonts w:ascii="宋体"/>
                <w:sz w:val="28"/>
                <w:szCs w:val="28"/>
              </w:rPr>
            </w:pPr>
            <w:r>
              <w:rPr>
                <w:rFonts w:hint="eastAsia" w:ascii="宋体" w:hAnsi="宋体" w:cs="宋体"/>
                <w:sz w:val="28"/>
                <w:szCs w:val="28"/>
              </w:rPr>
              <w:t xml:space="preserve">评标委员会人数</w:t>
            </w:r>
            <w:r>
              <w:rPr>
                <w:rFonts w:hint="eastAsia" w:ascii="宋体" w:hAnsi="宋体"/>
                <w:sz w:val="28"/>
                <w:szCs w:val="28"/>
              </w:rPr>
              <w:t xml:space="preserve">：</w:t>
            </w:r>
            <w:r>
              <w:rPr>
                <w:rFonts w:ascii="宋体" w:hAnsi="宋体"/>
                <w:sz w:val="28"/>
                <w:szCs w:val="28"/>
                <w:u w:val="single"/>
              </w:rPr>
              <w:t xml:space="preserve">  5  </w:t>
            </w:r>
            <w:r>
              <w:rPr>
                <w:rFonts w:hint="eastAsia" w:ascii="宋体" w:hAnsi="宋体"/>
                <w:sz w:val="28"/>
                <w:szCs w:val="28"/>
              </w:rPr>
              <w:t xml:space="preserve">人（含）以上单数。</w:t>
            </w:r>
            <w:r/>
          </w:p>
        </w:tc>
      </w:tr>
      <w:tr>
        <w:trPr>
          <w:jc w:val="center"/>
          <w:trHeight w:val="624"/>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7.2</w:t>
            </w:r>
            <w:r>
              <w:rPr>
                <w:rFonts w:hint="eastAsia" w:ascii="宋体" w:hAnsi="宋体"/>
                <w:sz w:val="28"/>
                <w:szCs w:val="28"/>
              </w:rPr>
              <w:t xml:space="preserve">.1</w:t>
            </w:r>
            <w:r/>
          </w:p>
        </w:tc>
        <w:tc>
          <w:tcPr>
            <w:gridSpan w:val="2"/>
            <w:tcW w:w="2552" w:type="dxa"/>
            <w:vAlign w:val="center"/>
            <w:textDirection w:val="lrTb"/>
            <w:noWrap w:val="false"/>
          </w:tcPr>
          <w:p>
            <w:pPr>
              <w:jc w:val="center"/>
              <w:rPr>
                <w:rFonts w:ascii="宋体"/>
                <w:sz w:val="28"/>
                <w:szCs w:val="28"/>
              </w:rPr>
            </w:pPr>
            <w:r>
              <w:rPr>
                <w:rFonts w:hint="eastAsia" w:ascii="宋体" w:hAnsi="宋体" w:cs="宋体"/>
                <w:sz w:val="28"/>
                <w:szCs w:val="28"/>
              </w:rPr>
              <w:t xml:space="preserve">中标公告媒介</w:t>
            </w:r>
            <w:r/>
          </w:p>
        </w:tc>
        <w:tc>
          <w:tcPr>
            <w:tcW w:w="5987" w:type="dxa"/>
            <w:vAlign w:val="center"/>
            <w:textDirection w:val="lrTb"/>
            <w:noWrap w:val="false"/>
          </w:tcPr>
          <w:p>
            <w:pPr>
              <w:jc w:val="left"/>
              <w:spacing w:line="360" w:lineRule="exact"/>
              <w:rPr>
                <w:rFonts w:ascii="宋体" w:hAnsi="宋体" w:cs="宋体"/>
                <w:sz w:val="28"/>
                <w:szCs w:val="28"/>
              </w:rPr>
            </w:pPr>
            <w:r>
              <w:rPr>
                <w:rFonts w:hint="eastAsia" w:ascii="宋体" w:hAnsi="宋体" w:cs="宋体"/>
                <w:sz w:val="28"/>
                <w:szCs w:val="28"/>
              </w:rPr>
              <w:t xml:space="preserve">江苏政府采购网（</w:t>
            </w:r>
            <w:r>
              <w:rPr>
                <w:rFonts w:ascii="宋体" w:hAnsi="宋体" w:cs="宋体"/>
                <w:sz w:val="28"/>
                <w:szCs w:val="28"/>
              </w:rPr>
              <w:t xml:space="preserve">www.ccgp-jiangsu.gov.cn</w:t>
            </w:r>
            <w:r>
              <w:rPr>
                <w:rFonts w:hint="eastAsia" w:ascii="宋体" w:hAnsi="宋体" w:cs="宋体"/>
                <w:sz w:val="28"/>
                <w:szCs w:val="28"/>
              </w:rPr>
              <w:t xml:space="preserve">）</w:t>
            </w:r>
            <w:r/>
          </w:p>
        </w:tc>
      </w:tr>
      <w:tr>
        <w:trPr>
          <w:jc w:val="center"/>
          <w:trHeight w:val="702"/>
        </w:trPr>
        <w:tc>
          <w:tcPr>
            <w:tcW w:w="1089" w:type="dxa"/>
            <w:vAlign w:val="center"/>
            <w:textDirection w:val="lrTb"/>
            <w:noWrap w:val="false"/>
          </w:tcPr>
          <w:p>
            <w:pPr>
              <w:jc w:val="center"/>
              <w:spacing w:line="340" w:lineRule="exact"/>
              <w:rPr>
                <w:rFonts w:ascii="宋体" w:hAnsi="宋体"/>
                <w:sz w:val="28"/>
                <w:szCs w:val="28"/>
              </w:rPr>
            </w:pPr>
            <w:r>
              <w:rPr>
                <w:rFonts w:ascii="宋体" w:hAnsi="宋体"/>
                <w:sz w:val="28"/>
                <w:szCs w:val="28"/>
              </w:rPr>
              <w:t xml:space="preserve">8.1.1</w:t>
            </w:r>
            <w:r/>
          </w:p>
        </w:tc>
        <w:tc>
          <w:tcPr>
            <w:gridSpan w:val="2"/>
            <w:tcW w:w="2552" w:type="dxa"/>
            <w:vAlign w:val="center"/>
            <w:textDirection w:val="lrTb"/>
            <w:noWrap w:val="false"/>
          </w:tcPr>
          <w:p>
            <w:pPr>
              <w:jc w:val="center"/>
              <w:spacing w:line="340" w:lineRule="exact"/>
              <w:rPr>
                <w:rFonts w:ascii="宋体" w:hAnsi="宋体"/>
                <w:sz w:val="28"/>
                <w:szCs w:val="28"/>
              </w:rPr>
            </w:pPr>
            <w:r>
              <w:rPr>
                <w:rFonts w:hint="eastAsia" w:ascii="宋体" w:hAnsi="宋体"/>
                <w:sz w:val="28"/>
                <w:szCs w:val="28"/>
              </w:rPr>
              <w:t xml:space="preserve">履约保证金</w:t>
            </w:r>
            <w:r/>
          </w:p>
        </w:tc>
        <w:tc>
          <w:tcPr>
            <w:tcW w:w="5987" w:type="dxa"/>
            <w:vAlign w:val="center"/>
            <w:textDirection w:val="lrTb"/>
            <w:noWrap w:val="false"/>
          </w:tcPr>
          <w:p>
            <w:pPr>
              <w:pStyle w:val="908"/>
              <w:ind w:left="0"/>
              <w:spacing w:line="360" w:lineRule="exact"/>
              <w:rPr>
                <w:rFonts w:ascii="宋体" w:hAnsi="宋体"/>
                <w:sz w:val="28"/>
                <w:szCs w:val="28"/>
              </w:rPr>
            </w:pPr>
            <w:r>
              <w:rPr>
                <w:rFonts w:hint="eastAsia" w:ascii="宋体" w:hAnsi="宋体"/>
                <w:sz w:val="28"/>
                <w:szCs w:val="28"/>
              </w:rPr>
              <w:t xml:space="preserve">（1）形式：中标单位需提供由金融机构、担保机构出具的保函。</w:t>
            </w:r>
            <w:r/>
          </w:p>
          <w:p>
            <w:pPr>
              <w:pStyle w:val="908"/>
              <w:ind w:left="0"/>
              <w:jc w:val="left"/>
              <w:spacing w:line="360" w:lineRule="exact"/>
              <w:rPr>
                <w:rFonts w:ascii="宋体" w:hAnsi="宋体"/>
                <w:sz w:val="28"/>
                <w:szCs w:val="28"/>
              </w:rPr>
            </w:pPr>
            <w:r>
              <w:rPr>
                <w:rFonts w:hint="eastAsia" w:ascii="宋体" w:hAnsi="宋体"/>
                <w:sz w:val="28"/>
                <w:szCs w:val="28"/>
              </w:rPr>
              <w:t xml:space="preserve">（2）金额：合同价的10%</w:t>
            </w:r>
            <w:r/>
          </w:p>
          <w:p>
            <w:pPr>
              <w:jc w:val="left"/>
              <w:spacing w:line="360" w:lineRule="exact"/>
              <w:rPr>
                <w:rFonts w:ascii="宋体"/>
                <w:sz w:val="28"/>
                <w:szCs w:val="28"/>
              </w:rPr>
            </w:pPr>
            <w:r>
              <w:rPr>
                <w:rFonts w:hint="eastAsia" w:ascii="宋体" w:hAnsi="宋体"/>
                <w:sz w:val="28"/>
                <w:szCs w:val="28"/>
              </w:rPr>
              <w:t xml:space="preserve">（3）缴纳时间：在确定成交供应商之后，签订采购合同前。</w:t>
            </w:r>
            <w:r/>
          </w:p>
        </w:tc>
      </w:tr>
      <w:tr>
        <w:trPr>
          <w:jc w:val="center"/>
          <w:trHeight w:val="702"/>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8.2.1</w:t>
            </w:r>
            <w:r/>
          </w:p>
        </w:tc>
        <w:tc>
          <w:tcPr>
            <w:gridSpan w:val="2"/>
            <w:tcW w:w="2552"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签订合同的</w:t>
            </w:r>
            <w:r/>
          </w:p>
          <w:p>
            <w:pPr>
              <w:jc w:val="center"/>
              <w:spacing w:line="360" w:lineRule="exact"/>
              <w:rPr>
                <w:rFonts w:ascii="宋体" w:hAnsi="宋体" w:cs="宋体"/>
                <w:sz w:val="28"/>
                <w:szCs w:val="28"/>
              </w:rPr>
            </w:pPr>
            <w:r>
              <w:rPr>
                <w:rFonts w:hint="eastAsia" w:ascii="宋体" w:hAnsi="宋体" w:cs="宋体"/>
                <w:sz w:val="28"/>
                <w:szCs w:val="28"/>
              </w:rPr>
              <w:t xml:space="preserve">时间要求</w:t>
            </w:r>
            <w:r/>
          </w:p>
        </w:tc>
        <w:tc>
          <w:tcPr>
            <w:tcW w:w="5987"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自中标通知书发出之日起</w:t>
            </w:r>
            <w:r>
              <w:rPr>
                <w:rFonts w:hint="eastAsia" w:ascii="宋体" w:hAnsi="宋体"/>
                <w:sz w:val="28"/>
                <w:szCs w:val="28"/>
                <w:u w:val="single"/>
              </w:rPr>
              <w:t xml:space="preserve">30</w:t>
            </w:r>
            <w:r>
              <w:rPr>
                <w:rFonts w:hint="eastAsia" w:ascii="宋体" w:hAnsi="宋体"/>
                <w:sz w:val="28"/>
                <w:szCs w:val="28"/>
              </w:rPr>
              <w:t xml:space="preserve">天内</w:t>
            </w:r>
            <w:r/>
          </w:p>
        </w:tc>
      </w:tr>
      <w:tr>
        <w:trPr>
          <w:jc w:val="center"/>
        </w:trPr>
        <w:tc>
          <w:tcPr>
            <w:tcW w:w="1089"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9</w:t>
            </w:r>
            <w:r/>
          </w:p>
        </w:tc>
        <w:tc>
          <w:tcPr>
            <w:gridSpan w:val="3"/>
            <w:tcW w:w="8539"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需要补充的其他内容</w:t>
            </w:r>
            <w:r/>
          </w:p>
        </w:tc>
      </w:tr>
      <w:tr>
        <w:trPr>
          <w:jc w:val="center"/>
          <w:trHeight w:val="688"/>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9</w:t>
            </w:r>
            <w:r>
              <w:rPr>
                <w:rFonts w:ascii="宋体" w:hAnsi="宋体"/>
                <w:b/>
                <w:sz w:val="28"/>
                <w:szCs w:val="28"/>
              </w:rPr>
              <w:t xml:space="preserve">.1</w:t>
            </w:r>
            <w:r/>
          </w:p>
        </w:tc>
        <w:tc>
          <w:tcPr>
            <w:tcW w:w="2521"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质疑和投诉</w:t>
            </w:r>
            <w:r/>
          </w:p>
        </w:tc>
        <w:tc>
          <w:tcPr>
            <w:gridSpan w:val="2"/>
            <w:tcW w:w="6018" w:type="dxa"/>
            <w:vAlign w:val="center"/>
            <w:textDirection w:val="lrTb"/>
            <w:noWrap w:val="false"/>
          </w:tcPr>
          <w:p>
            <w:pPr>
              <w:jc w:val="left"/>
              <w:spacing w:line="360" w:lineRule="exact"/>
              <w:rPr>
                <w:rFonts w:ascii="宋体"/>
                <w:sz w:val="28"/>
                <w:szCs w:val="28"/>
              </w:rPr>
            </w:pPr>
            <w:r>
              <w:rPr>
                <w:rFonts w:hint="eastAsia" w:ascii="宋体" w:hAnsi="宋体"/>
                <w:sz w:val="28"/>
                <w:szCs w:val="28"/>
              </w:rPr>
              <w:t xml:space="preserve">按照《政府采购质疑和投诉办法》（财政部第</w:t>
            </w:r>
            <w:r>
              <w:rPr>
                <w:rFonts w:ascii="宋体" w:hAnsi="宋体"/>
                <w:sz w:val="28"/>
                <w:szCs w:val="28"/>
              </w:rPr>
              <w:t xml:space="preserve">94</w:t>
            </w:r>
            <w:r>
              <w:rPr>
                <w:rFonts w:hint="eastAsia" w:ascii="宋体" w:hAnsi="宋体"/>
                <w:sz w:val="28"/>
                <w:szCs w:val="28"/>
              </w:rPr>
              <w:t xml:space="preserve">号令）处理</w:t>
            </w:r>
            <w:r/>
          </w:p>
        </w:tc>
      </w:tr>
      <w:tr>
        <w:trPr>
          <w:jc w:val="center"/>
          <w:trHeight w:val="472"/>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9</w:t>
            </w:r>
            <w:r>
              <w:rPr>
                <w:rFonts w:ascii="宋体" w:hAnsi="宋体"/>
                <w:b/>
                <w:sz w:val="28"/>
                <w:szCs w:val="28"/>
              </w:rPr>
              <w:t xml:space="preserve">.2</w:t>
            </w:r>
            <w:r/>
          </w:p>
        </w:tc>
        <w:tc>
          <w:tcPr>
            <w:tcW w:w="2521"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招标文件的解释</w:t>
            </w:r>
            <w:r/>
          </w:p>
        </w:tc>
        <w:tc>
          <w:tcPr>
            <w:gridSpan w:val="2"/>
            <w:tcW w:w="6018" w:type="dxa"/>
            <w:vAlign w:val="center"/>
            <w:textDirection w:val="lrTb"/>
            <w:noWrap w:val="false"/>
          </w:tcPr>
          <w:p>
            <w:pPr>
              <w:spacing w:line="360" w:lineRule="exact"/>
              <w:rPr>
                <w:rFonts w:ascii="宋体"/>
                <w:sz w:val="28"/>
                <w:szCs w:val="28"/>
              </w:rPr>
            </w:pPr>
            <w:r>
              <w:rPr>
                <w:rFonts w:hint="eastAsia" w:ascii="宋体" w:hAnsi="宋体"/>
                <w:sz w:val="28"/>
                <w:szCs w:val="28"/>
              </w:rPr>
              <w:t xml:space="preserve">由招标人负责</w:t>
            </w:r>
            <w:r/>
          </w:p>
        </w:tc>
      </w:tr>
      <w:tr>
        <w:trPr>
          <w:jc w:val="center"/>
          <w:trHeight w:val="699"/>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9.3</w:t>
            </w:r>
            <w:r/>
          </w:p>
        </w:tc>
        <w:tc>
          <w:tcPr>
            <w:tcW w:w="2521"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落实政府采购政策</w:t>
            </w:r>
            <w:r/>
          </w:p>
        </w:tc>
        <w:tc>
          <w:tcPr>
            <w:gridSpan w:val="2"/>
            <w:tcW w:w="6018" w:type="dxa"/>
            <w:textDirection w:val="lrTb"/>
            <w:noWrap w:val="false"/>
          </w:tcPr>
          <w:p>
            <w:pPr>
              <w:pStyle w:val="886"/>
              <w:spacing w:line="380" w:lineRule="exact"/>
              <w:tabs>
                <w:tab w:val="left" w:pos="312" w:leader="none"/>
              </w:tabs>
              <w:rPr>
                <w:rFonts w:ascii="宋体" w:hAnsi="宋体"/>
                <w:sz w:val="28"/>
                <w:szCs w:val="28"/>
              </w:rPr>
            </w:pPr>
            <w:r>
              <w:rPr>
                <w:rFonts w:hint="eastAsia" w:ascii="宋体" w:hAnsi="宋体"/>
                <w:sz w:val="28"/>
                <w:szCs w:val="28"/>
              </w:rPr>
              <w:t xml:space="preserve">根据《政府采购促进中小企业发展管理办法》（财库【2020】46号）规定，对小型和微型生产企业生产的产品或承接的服务价格给予10%的扣除，用扣除后的价格参与评审。投标人应当提供《中小企业声明函》（格式见附件）</w:t>
            </w:r>
            <w:r/>
          </w:p>
        </w:tc>
      </w:tr>
      <w:tr>
        <w:trPr>
          <w:jc w:val="center"/>
          <w:trHeight w:val="90"/>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9.4</w:t>
            </w:r>
            <w:r/>
          </w:p>
        </w:tc>
        <w:tc>
          <w:tcPr>
            <w:tcW w:w="2521"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投标报价</w:t>
            </w:r>
            <w:r/>
          </w:p>
        </w:tc>
        <w:tc>
          <w:tcPr>
            <w:gridSpan w:val="2"/>
            <w:tcW w:w="6018"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1.投标人</w:t>
            </w:r>
            <w:r>
              <w:rPr>
                <w:rFonts w:ascii="宋体" w:hAnsi="宋体"/>
                <w:sz w:val="28"/>
                <w:szCs w:val="28"/>
              </w:rPr>
              <w:t xml:space="preserve">应仔细阅读和充分理解招标文件的采购需求和合同主要条款，根据自身实际情况并综合考虑合同履行过程中的各类风险</w:t>
            </w:r>
            <w:r>
              <w:rPr>
                <w:rFonts w:hint="eastAsia" w:ascii="宋体" w:hAnsi="宋体"/>
                <w:sz w:val="28"/>
                <w:szCs w:val="28"/>
              </w:rPr>
              <w:t xml:space="preserve">，</w:t>
            </w:r>
            <w:r>
              <w:rPr>
                <w:rFonts w:ascii="宋体" w:hAnsi="宋体"/>
                <w:sz w:val="28"/>
                <w:szCs w:val="28"/>
              </w:rPr>
              <w:t xml:space="preserve">理性报价。</w:t>
            </w:r>
            <w:r/>
          </w:p>
          <w:p>
            <w:pPr>
              <w:jc w:val="left"/>
              <w:spacing w:line="360" w:lineRule="exact"/>
              <w:rPr>
                <w:rFonts w:ascii="宋体" w:hAnsi="宋体"/>
                <w:sz w:val="28"/>
                <w:szCs w:val="28"/>
              </w:rPr>
            </w:pPr>
            <w:r>
              <w:rPr>
                <w:rFonts w:hint="eastAsia" w:ascii="宋体" w:hAnsi="宋体"/>
                <w:sz w:val="28"/>
                <w:szCs w:val="28"/>
              </w:rPr>
              <w:t xml:space="preserve">2.异常的低价可能会导致投标无效。</w:t>
            </w:r>
            <w:r/>
          </w:p>
        </w:tc>
      </w:tr>
      <w:tr>
        <w:trPr>
          <w:jc w:val="center"/>
          <w:trHeight w:val="644"/>
        </w:trPr>
        <w:tc>
          <w:tcPr>
            <w:tcW w:w="1089" w:type="dxa"/>
            <w:vAlign w:val="center"/>
            <w:textDirection w:val="lrTb"/>
            <w:noWrap w:val="false"/>
          </w:tcPr>
          <w:p>
            <w:pPr>
              <w:jc w:val="center"/>
              <w:spacing w:line="360" w:lineRule="exact"/>
              <w:rPr>
                <w:rFonts w:ascii="宋体" w:hAnsi="宋体"/>
                <w:b/>
                <w:sz w:val="28"/>
                <w:szCs w:val="28"/>
              </w:rPr>
            </w:pPr>
            <w:r/>
            <w:bookmarkStart w:id="81" w:name="_Toc426469871"/>
            <w:r/>
            <w:bookmarkStart w:id="82" w:name="_Toc367784995"/>
            <w:r>
              <w:rPr>
                <w:rFonts w:hint="eastAsia" w:ascii="宋体" w:hAnsi="宋体"/>
                <w:b/>
                <w:sz w:val="28"/>
                <w:szCs w:val="28"/>
              </w:rPr>
              <w:t xml:space="preserve">9.</w:t>
            </w:r>
            <w:r>
              <w:rPr>
                <w:rFonts w:ascii="宋体" w:hAnsi="宋体"/>
                <w:b/>
                <w:sz w:val="28"/>
                <w:szCs w:val="28"/>
              </w:rPr>
              <w:t xml:space="preserve">5</w:t>
            </w:r>
            <w:r/>
          </w:p>
        </w:tc>
        <w:tc>
          <w:tcPr>
            <w:tcW w:w="2521"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标的所属行业</w:t>
            </w:r>
            <w:r/>
          </w:p>
        </w:tc>
        <w:tc>
          <w:tcPr>
            <w:gridSpan w:val="2"/>
            <w:tcW w:w="6018"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工业。</w:t>
            </w:r>
            <w:r/>
          </w:p>
        </w:tc>
      </w:tr>
      <w:tr>
        <w:trPr>
          <w:jc w:val="center"/>
          <w:trHeight w:val="644"/>
        </w:trPr>
        <w:tc>
          <w:tcPr>
            <w:tcW w:w="1089" w:type="dxa"/>
            <w:vAlign w:val="center"/>
            <w:textDirection w:val="lrTb"/>
            <w:noWrap w:val="false"/>
          </w:tcPr>
          <w:p>
            <w:pPr>
              <w:jc w:val="center"/>
              <w:spacing w:line="360" w:lineRule="exact"/>
              <w:rPr>
                <w:rFonts w:ascii="宋体" w:hAnsi="宋体"/>
                <w:b/>
                <w:color w:val="ff0000"/>
                <w:sz w:val="28"/>
                <w:szCs w:val="28"/>
              </w:rPr>
            </w:pPr>
            <w:r>
              <w:rPr>
                <w:rFonts w:hint="eastAsia" w:ascii="宋体" w:hAnsi="宋体"/>
                <w:b/>
                <w:color w:val="ff0000"/>
                <w:sz w:val="28"/>
                <w:szCs w:val="28"/>
              </w:rPr>
              <w:t xml:space="preserve">9</w:t>
            </w:r>
            <w:r>
              <w:rPr>
                <w:rFonts w:ascii="宋体" w:hAnsi="宋体"/>
                <w:b/>
                <w:color w:val="ff0000"/>
                <w:sz w:val="28"/>
                <w:szCs w:val="28"/>
              </w:rPr>
              <w:t xml:space="preserve">.6</w:t>
            </w:r>
            <w:r/>
          </w:p>
        </w:tc>
        <w:tc>
          <w:tcPr>
            <w:tcW w:w="2521" w:type="dxa"/>
            <w:vAlign w:val="center"/>
            <w:textDirection w:val="lrTb"/>
            <w:noWrap w:val="false"/>
          </w:tcPr>
          <w:p>
            <w:pPr>
              <w:jc w:val="center"/>
              <w:spacing w:line="360" w:lineRule="exact"/>
              <w:rPr>
                <w:rFonts w:ascii="宋体" w:hAnsi="宋体"/>
                <w:color w:val="ff0000"/>
                <w:sz w:val="28"/>
                <w:szCs w:val="28"/>
              </w:rPr>
            </w:pPr>
            <w:r>
              <w:rPr>
                <w:rFonts w:hint="eastAsia" w:ascii="宋体" w:hAnsi="宋体"/>
                <w:color w:val="ff0000"/>
                <w:sz w:val="28"/>
                <w:szCs w:val="28"/>
              </w:rPr>
              <w:t xml:space="preserve">核心产品</w:t>
            </w:r>
            <w:r/>
          </w:p>
        </w:tc>
        <w:tc>
          <w:tcPr>
            <w:gridSpan w:val="2"/>
            <w:tcW w:w="6018" w:type="dxa"/>
            <w:vAlign w:val="center"/>
            <w:textDirection w:val="lrTb"/>
            <w:noWrap w:val="false"/>
          </w:tcPr>
          <w:p>
            <w:pPr>
              <w:jc w:val="left"/>
              <w:spacing w:line="360" w:lineRule="exact"/>
              <w:rPr>
                <w:rFonts w:ascii="宋体" w:hAnsi="宋体"/>
                <w:color w:val="ff0000"/>
                <w:sz w:val="28"/>
                <w:szCs w:val="28"/>
              </w:rPr>
            </w:pPr>
            <w:r>
              <w:rPr>
                <w:rFonts w:hint="eastAsia" w:ascii="宋体" w:hAnsi="宋体"/>
                <w:color w:val="ff0000"/>
                <w:sz w:val="28"/>
                <w:szCs w:val="28"/>
              </w:rPr>
              <w:t xml:space="preserve">本项目核心产品为电子警察1200W。</w:t>
            </w:r>
            <w:r/>
          </w:p>
          <w:p>
            <w:pPr>
              <w:jc w:val="left"/>
              <w:spacing w:line="360" w:lineRule="exact"/>
              <w:rPr>
                <w:rFonts w:ascii="宋体" w:hAnsi="宋体"/>
                <w:sz w:val="28"/>
                <w:szCs w:val="28"/>
              </w:rPr>
            </w:pPr>
            <w:r>
              <w:rPr>
                <w:rFonts w:hint="eastAsia" w:ascii="宋体" w:hAnsi="宋体"/>
                <w:color w:val="ff0000"/>
                <w:sz w:val="28"/>
                <w:szCs w:val="28"/>
              </w:rPr>
              <w:t xml:space="preserve">注：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随机抽取确定一个投标人获得中标人推荐资格，其他同品牌投标人不作为中标候选人。</w:t>
            </w:r>
            <w:r/>
          </w:p>
        </w:tc>
      </w:tr>
      <w:tr>
        <w:trPr>
          <w:jc w:val="center"/>
          <w:trHeight w:val="504"/>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9.</w:t>
            </w:r>
            <w:r>
              <w:rPr>
                <w:rFonts w:ascii="宋体" w:hAnsi="宋体"/>
                <w:b/>
                <w:sz w:val="28"/>
                <w:szCs w:val="28"/>
              </w:rPr>
              <w:t xml:space="preserve">7</w:t>
            </w:r>
            <w:r/>
          </w:p>
        </w:tc>
        <w:tc>
          <w:tcPr>
            <w:gridSpan w:val="3"/>
            <w:tcW w:w="8539"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补充条款</w:t>
            </w:r>
            <w:r/>
          </w:p>
        </w:tc>
      </w:tr>
      <w:tr>
        <w:trPr>
          <w:jc w:val="center"/>
          <w:trHeight w:val="416"/>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9.</w:t>
            </w:r>
            <w:r>
              <w:rPr>
                <w:rFonts w:ascii="宋体" w:hAnsi="宋体"/>
                <w:b/>
                <w:sz w:val="28"/>
                <w:szCs w:val="28"/>
              </w:rPr>
              <w:t xml:space="preserve">7</w:t>
            </w:r>
            <w:r>
              <w:rPr>
                <w:rFonts w:hint="eastAsia" w:ascii="宋体" w:hAnsi="宋体"/>
                <w:b/>
                <w:sz w:val="28"/>
                <w:szCs w:val="28"/>
              </w:rPr>
              <w:t xml:space="preserve">.1 </w:t>
            </w:r>
            <w:r/>
          </w:p>
        </w:tc>
        <w:tc>
          <w:tcPr>
            <w:gridSpan w:val="3"/>
            <w:tcW w:w="8539" w:type="dxa"/>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本项目招标代理服务费由成交供应商支付。本项目招标代理服务费参照发改价格〔2011〕534号文件规定收费标准的70%计取，按实际中标价结算。此项费用包含在投标报价中，并不单独立项，由成交供应商在领取中标通知书前向招标代理机构付清。</w:t>
            </w:r>
            <w:r/>
          </w:p>
        </w:tc>
      </w:tr>
    </w:tbl>
    <w:p>
      <w:pPr>
        <w:spacing w:line="520" w:lineRule="exact"/>
        <w:rPr>
          <w:rFonts w:ascii="黑体" w:hAnsi="黑体" w:eastAsia="黑体"/>
          <w:sz w:val="32"/>
          <w:szCs w:val="32"/>
        </w:rPr>
      </w:pPr>
      <w:r>
        <w:rPr>
          <w:rFonts w:ascii="黑体" w:hAnsi="黑体" w:eastAsia="黑体"/>
          <w:sz w:val="32"/>
          <w:szCs w:val="32"/>
        </w:rPr>
        <w:t xml:space="preserve">1.</w:t>
      </w:r>
      <w:r>
        <w:rPr>
          <w:rFonts w:hint="eastAsia" w:ascii="黑体" w:hAnsi="黑体" w:eastAsia="黑体"/>
          <w:sz w:val="32"/>
          <w:szCs w:val="32"/>
        </w:rPr>
        <w:t xml:space="preserve">总则</w:t>
      </w:r>
      <w:bookmarkEnd w:id="81"/>
      <w:r/>
      <w:bookmarkEnd w:id="82"/>
      <w:r/>
      <w:r/>
    </w:p>
    <w:p>
      <w:pPr>
        <w:spacing w:line="520" w:lineRule="exact"/>
        <w:rPr>
          <w:rFonts w:ascii="楷体" w:hAnsi="楷体" w:eastAsia="楷体"/>
          <w:b/>
          <w:sz w:val="28"/>
          <w:szCs w:val="28"/>
        </w:rPr>
      </w:pPr>
      <w:r/>
      <w:bookmarkStart w:id="83" w:name="_Toc246996919"/>
      <w:r/>
      <w:bookmarkStart w:id="84" w:name="_Toc152042306"/>
      <w:r/>
      <w:bookmarkStart w:id="85" w:name="_Toc246996176"/>
      <w:r/>
      <w:bookmarkStart w:id="86" w:name="_Toc144974498"/>
      <w:r/>
      <w:bookmarkStart w:id="87" w:name="_Toc247085690"/>
      <w:r/>
      <w:bookmarkStart w:id="88" w:name="_Toc343525506"/>
      <w:r/>
      <w:bookmarkStart w:id="89" w:name="_Toc383438593"/>
      <w:r/>
      <w:bookmarkStart w:id="90" w:name="_Toc426469872"/>
      <w:r/>
      <w:bookmarkStart w:id="91" w:name="_Toc179632547"/>
      <w:r/>
      <w:bookmarkStart w:id="92" w:name="_Toc152045530"/>
      <w:r/>
      <w:bookmarkStart w:id="93" w:name="_Toc367784996"/>
      <w:r>
        <w:rPr>
          <w:rFonts w:ascii="楷体" w:hAnsi="楷体" w:eastAsia="楷体"/>
          <w:b/>
          <w:sz w:val="28"/>
          <w:szCs w:val="28"/>
        </w:rPr>
        <w:t xml:space="preserve">1.1 </w:t>
      </w:r>
      <w:r>
        <w:rPr>
          <w:rFonts w:hint="eastAsia" w:ascii="楷体" w:hAnsi="楷体" w:eastAsia="楷体" w:cs="宋体"/>
          <w:b/>
          <w:sz w:val="28"/>
          <w:szCs w:val="28"/>
        </w:rPr>
        <w:t xml:space="preserve">项目概况</w:t>
      </w:r>
      <w:bookmarkEnd w:id="83"/>
      <w:r/>
      <w:bookmarkEnd w:id="84"/>
      <w:r/>
      <w:bookmarkEnd w:id="85"/>
      <w:r/>
      <w:bookmarkEnd w:id="86"/>
      <w:r/>
      <w:bookmarkEnd w:id="87"/>
      <w:r/>
      <w:bookmarkEnd w:id="88"/>
      <w:r/>
      <w:bookmarkEnd w:id="89"/>
      <w:r/>
      <w:bookmarkEnd w:id="90"/>
      <w:r/>
      <w:bookmarkEnd w:id="91"/>
      <w:r/>
      <w:bookmarkEnd w:id="92"/>
      <w:r/>
      <w:r/>
    </w:p>
    <w:p>
      <w:pPr>
        <w:ind w:firstLine="560"/>
        <w:spacing w:line="520" w:lineRule="exact"/>
        <w:rPr>
          <w:rFonts w:ascii="宋体"/>
          <w:sz w:val="28"/>
          <w:szCs w:val="28"/>
        </w:rPr>
      </w:pPr>
      <w:r>
        <w:rPr>
          <w:rFonts w:ascii="宋体" w:hAnsi="宋体"/>
          <w:sz w:val="28"/>
          <w:szCs w:val="28"/>
        </w:rPr>
        <w:t xml:space="preserve">1.1.1</w:t>
      </w:r>
      <w:r>
        <w:rPr>
          <w:rFonts w:hint="eastAsia" w:ascii="宋体" w:hAnsi="宋体" w:cs="宋体"/>
          <w:sz w:val="28"/>
          <w:szCs w:val="28"/>
        </w:rPr>
        <w:t xml:space="preserve">根据《中华人民共和国政府采购法》、《中华人民共和国政府采购法实施条例》等有关法律、法规和规章的规定，本采购项目已具备采购条件，现对本项目进行公开招标。</w:t>
      </w:r>
      <w:r/>
    </w:p>
    <w:p>
      <w:pPr>
        <w:ind w:firstLine="560"/>
        <w:spacing w:line="520" w:lineRule="exact"/>
        <w:rPr>
          <w:rFonts w:ascii="宋体"/>
          <w:sz w:val="28"/>
          <w:szCs w:val="28"/>
        </w:rPr>
      </w:pPr>
      <w:r>
        <w:rPr>
          <w:rFonts w:ascii="宋体" w:hAnsi="宋体"/>
          <w:sz w:val="28"/>
          <w:szCs w:val="28"/>
        </w:rPr>
        <w:t xml:space="preserve">1.1.2 </w:t>
      </w:r>
      <w:r>
        <w:rPr>
          <w:rFonts w:hint="eastAsia" w:ascii="宋体" w:hAnsi="宋体" w:cs="宋体"/>
          <w:sz w:val="28"/>
          <w:szCs w:val="28"/>
        </w:rPr>
        <w:t xml:space="preserve">招标人：见投标人须知前附表。</w:t>
      </w:r>
      <w:r/>
    </w:p>
    <w:p>
      <w:pPr>
        <w:ind w:firstLine="560"/>
        <w:spacing w:line="520" w:lineRule="exact"/>
        <w:rPr>
          <w:rFonts w:ascii="宋体"/>
          <w:sz w:val="28"/>
          <w:szCs w:val="28"/>
        </w:rPr>
      </w:pPr>
      <w:r>
        <w:rPr>
          <w:rFonts w:ascii="宋体" w:hAnsi="宋体"/>
          <w:sz w:val="28"/>
          <w:szCs w:val="28"/>
        </w:rPr>
        <w:t xml:space="preserve">1.1.3 </w:t>
      </w:r>
      <w:r>
        <w:rPr>
          <w:rFonts w:hint="eastAsia" w:ascii="宋体" w:hAnsi="宋体" w:cs="宋体"/>
          <w:sz w:val="28"/>
          <w:szCs w:val="28"/>
        </w:rPr>
        <w:t xml:space="preserve">采购代理机构：见投标人须知前附表。</w:t>
      </w:r>
      <w:r/>
    </w:p>
    <w:p>
      <w:pPr>
        <w:ind w:firstLine="560"/>
        <w:spacing w:line="520" w:lineRule="exact"/>
        <w:rPr>
          <w:rFonts w:ascii="宋体"/>
          <w:sz w:val="28"/>
          <w:szCs w:val="28"/>
        </w:rPr>
      </w:pPr>
      <w:r>
        <w:rPr>
          <w:rFonts w:ascii="宋体" w:hAnsi="宋体"/>
          <w:sz w:val="28"/>
          <w:szCs w:val="28"/>
        </w:rPr>
        <w:t xml:space="preserve">1.1.4 </w:t>
      </w:r>
      <w:r>
        <w:rPr>
          <w:rFonts w:hint="eastAsia" w:ascii="宋体" w:hAnsi="宋体" w:cs="宋体"/>
          <w:sz w:val="28"/>
          <w:szCs w:val="28"/>
        </w:rPr>
        <w:t xml:space="preserve">项目名称及项目编号：见投标人须知前附表。</w:t>
      </w:r>
      <w:r/>
    </w:p>
    <w:p>
      <w:pPr>
        <w:spacing w:line="520" w:lineRule="exact"/>
        <w:rPr>
          <w:rFonts w:ascii="楷体" w:hAnsi="楷体" w:eastAsia="楷体"/>
          <w:b/>
          <w:sz w:val="28"/>
          <w:szCs w:val="28"/>
        </w:rPr>
      </w:pPr>
      <w:r/>
      <w:bookmarkStart w:id="94" w:name="_Toc152042307"/>
      <w:r/>
      <w:bookmarkStart w:id="95" w:name="_Toc144974499"/>
      <w:r/>
      <w:bookmarkStart w:id="96" w:name="_Toc343525507"/>
      <w:r/>
      <w:bookmarkStart w:id="97" w:name="_Toc247085691"/>
      <w:r/>
      <w:bookmarkStart w:id="98" w:name="_Toc383438594"/>
      <w:r/>
      <w:bookmarkStart w:id="99" w:name="_Toc179632548"/>
      <w:r/>
      <w:bookmarkStart w:id="100" w:name="_Toc426469873"/>
      <w:r/>
      <w:bookmarkStart w:id="101" w:name="_Toc246996177"/>
      <w:r/>
      <w:bookmarkStart w:id="102" w:name="_Toc246996920"/>
      <w:r/>
      <w:bookmarkStart w:id="103" w:name="_Toc152045531"/>
      <w:r>
        <w:rPr>
          <w:rFonts w:ascii="楷体" w:hAnsi="楷体" w:eastAsia="楷体"/>
          <w:b/>
          <w:sz w:val="28"/>
          <w:szCs w:val="28"/>
        </w:rPr>
        <w:t xml:space="preserve">1.2</w:t>
      </w:r>
      <w:bookmarkEnd w:id="94"/>
      <w:r/>
      <w:bookmarkEnd w:id="95"/>
      <w:r/>
      <w:bookmarkEnd w:id="96"/>
      <w:r/>
      <w:bookmarkEnd w:id="97"/>
      <w:r/>
      <w:bookmarkEnd w:id="98"/>
      <w:r/>
      <w:bookmarkEnd w:id="99"/>
      <w:r/>
      <w:bookmarkEnd w:id="100"/>
      <w:r/>
      <w:bookmarkEnd w:id="101"/>
      <w:r/>
      <w:bookmarkEnd w:id="102"/>
      <w:r/>
      <w:bookmarkEnd w:id="103"/>
      <w:r>
        <w:rPr>
          <w:rFonts w:hint="eastAsia" w:ascii="楷体" w:hAnsi="楷体" w:eastAsia="楷体"/>
          <w:b/>
          <w:sz w:val="28"/>
          <w:szCs w:val="28"/>
        </w:rPr>
        <w:t xml:space="preserve">付款方式</w:t>
      </w:r>
      <w:r/>
    </w:p>
    <w:p>
      <w:pPr>
        <w:ind w:firstLine="560"/>
        <w:spacing w:line="520" w:lineRule="exact"/>
        <w:rPr>
          <w:rFonts w:ascii="宋体"/>
          <w:sz w:val="28"/>
          <w:szCs w:val="28"/>
        </w:rPr>
      </w:pPr>
      <w:r>
        <w:rPr>
          <w:rFonts w:ascii="宋体" w:hAnsi="宋体"/>
          <w:sz w:val="28"/>
          <w:szCs w:val="28"/>
        </w:rPr>
        <w:t xml:space="preserve">1.2.</w:t>
      </w:r>
      <w:r>
        <w:rPr>
          <w:rFonts w:hint="eastAsia" w:ascii="宋体" w:hAnsi="宋体"/>
          <w:sz w:val="28"/>
          <w:szCs w:val="28"/>
        </w:rPr>
        <w:t xml:space="preserve">1</w:t>
      </w:r>
      <w:r>
        <w:rPr>
          <w:rFonts w:hint="eastAsia" w:ascii="宋体" w:hAnsi="宋体" w:cs="宋体"/>
          <w:sz w:val="28"/>
          <w:szCs w:val="28"/>
        </w:rPr>
        <w:t xml:space="preserve">付款方式：见投标人须知前附表。</w:t>
      </w:r>
      <w:r/>
    </w:p>
    <w:p>
      <w:pPr>
        <w:spacing w:line="520" w:lineRule="exact"/>
        <w:rPr>
          <w:rFonts w:ascii="楷体" w:hAnsi="楷体" w:eastAsia="楷体"/>
          <w:b/>
          <w:sz w:val="28"/>
          <w:szCs w:val="28"/>
        </w:rPr>
      </w:pPr>
      <w:r/>
      <w:bookmarkStart w:id="104" w:name="_Toc152042308"/>
      <w:r/>
      <w:bookmarkStart w:id="105" w:name="_Toc246996921"/>
      <w:r/>
      <w:bookmarkStart w:id="106" w:name="_Toc343525508"/>
      <w:r/>
      <w:bookmarkStart w:id="107" w:name="_Toc247085692"/>
      <w:r/>
      <w:bookmarkStart w:id="108" w:name="_Toc152045532"/>
      <w:r/>
      <w:bookmarkStart w:id="109" w:name="_Toc179632549"/>
      <w:r/>
      <w:bookmarkStart w:id="110" w:name="_Toc144974500"/>
      <w:r/>
      <w:bookmarkStart w:id="111" w:name="_Toc383438595"/>
      <w:r/>
      <w:bookmarkStart w:id="112" w:name="_Toc246996178"/>
      <w:r/>
      <w:bookmarkStart w:id="113" w:name="_Toc426469874"/>
      <w:r>
        <w:rPr>
          <w:rFonts w:ascii="楷体" w:hAnsi="楷体" w:eastAsia="楷体"/>
          <w:b/>
          <w:sz w:val="28"/>
          <w:szCs w:val="28"/>
        </w:rPr>
        <w:t xml:space="preserve">1.3 </w:t>
      </w:r>
      <w:bookmarkEnd w:id="104"/>
      <w:r/>
      <w:bookmarkEnd w:id="105"/>
      <w:r/>
      <w:bookmarkEnd w:id="106"/>
      <w:r/>
      <w:bookmarkEnd w:id="107"/>
      <w:r/>
      <w:bookmarkEnd w:id="108"/>
      <w:r/>
      <w:bookmarkEnd w:id="109"/>
      <w:r/>
      <w:bookmarkEnd w:id="110"/>
      <w:r/>
      <w:bookmarkEnd w:id="111"/>
      <w:r/>
      <w:bookmarkEnd w:id="112"/>
      <w:r>
        <w:rPr>
          <w:rFonts w:hint="eastAsia" w:ascii="楷体" w:hAnsi="楷体" w:eastAsia="楷体"/>
          <w:b/>
          <w:sz w:val="28"/>
          <w:szCs w:val="28"/>
        </w:rPr>
        <w:t xml:space="preserve">采购范围</w:t>
      </w:r>
      <w:bookmarkEnd w:id="113"/>
      <w:r>
        <w:rPr>
          <w:rFonts w:hint="eastAsia" w:ascii="楷体" w:hAnsi="楷体" w:eastAsia="楷体"/>
          <w:b/>
          <w:sz w:val="28"/>
          <w:szCs w:val="28"/>
        </w:rPr>
        <w:t xml:space="preserve">与合同履行期限</w:t>
      </w:r>
      <w:r/>
    </w:p>
    <w:p>
      <w:pPr>
        <w:ind w:firstLine="560"/>
        <w:spacing w:line="520" w:lineRule="exact"/>
        <w:rPr>
          <w:rFonts w:ascii="宋体"/>
          <w:sz w:val="28"/>
          <w:szCs w:val="28"/>
        </w:rPr>
      </w:pPr>
      <w:r>
        <w:rPr>
          <w:rFonts w:ascii="宋体" w:hAnsi="宋体"/>
          <w:sz w:val="28"/>
          <w:szCs w:val="28"/>
        </w:rPr>
        <w:t xml:space="preserve">1.3.1 </w:t>
      </w:r>
      <w:r>
        <w:rPr>
          <w:rFonts w:hint="eastAsia" w:ascii="宋体" w:hAnsi="宋体" w:cs="宋体"/>
          <w:sz w:val="28"/>
          <w:szCs w:val="28"/>
        </w:rPr>
        <w:t xml:space="preserve">采购范围：见投标人须知前附表。</w:t>
      </w:r>
      <w:r/>
    </w:p>
    <w:p>
      <w:pPr>
        <w:ind w:firstLine="560"/>
        <w:spacing w:line="520" w:lineRule="exact"/>
        <w:rPr>
          <w:rFonts w:ascii="宋体"/>
          <w:sz w:val="28"/>
          <w:szCs w:val="28"/>
        </w:rPr>
      </w:pPr>
      <w:r>
        <w:rPr>
          <w:rFonts w:ascii="宋体" w:hAnsi="宋体"/>
          <w:sz w:val="28"/>
          <w:szCs w:val="28"/>
        </w:rPr>
        <w:t xml:space="preserve">1.3.2 </w:t>
      </w:r>
      <w:r>
        <w:rPr>
          <w:rFonts w:hint="eastAsia" w:ascii="宋体" w:hAnsi="宋体" w:cs="宋体"/>
          <w:sz w:val="28"/>
          <w:szCs w:val="28"/>
        </w:rPr>
        <w:t xml:space="preserve">合同履行期限：见投标人须知前附表。</w:t>
      </w:r>
      <w:r/>
    </w:p>
    <w:p>
      <w:pPr>
        <w:spacing w:line="520" w:lineRule="exact"/>
        <w:rPr>
          <w:rFonts w:ascii="楷体" w:hAnsi="楷体" w:eastAsia="楷体"/>
          <w:b/>
          <w:sz w:val="28"/>
          <w:szCs w:val="28"/>
        </w:rPr>
      </w:pPr>
      <w:r/>
      <w:bookmarkStart w:id="114" w:name="_Toc152042310"/>
      <w:r/>
      <w:bookmarkStart w:id="115" w:name="_Toc144974502"/>
      <w:r/>
      <w:bookmarkStart w:id="116" w:name="_Toc426469875"/>
      <w:r/>
      <w:bookmarkStart w:id="117" w:name="_Toc179632551"/>
      <w:r/>
      <w:bookmarkStart w:id="118" w:name="_Toc383438596"/>
      <w:r/>
      <w:bookmarkStart w:id="119" w:name="_Toc246996179"/>
      <w:r/>
      <w:bookmarkStart w:id="120" w:name="_Toc343525509"/>
      <w:r/>
      <w:bookmarkStart w:id="121" w:name="_Toc246996922"/>
      <w:r/>
      <w:bookmarkStart w:id="122" w:name="_Toc247085693"/>
      <w:r/>
      <w:bookmarkStart w:id="123" w:name="_Toc152045534"/>
      <w:r>
        <w:rPr>
          <w:rFonts w:ascii="楷体" w:hAnsi="楷体" w:eastAsia="楷体"/>
          <w:b/>
          <w:sz w:val="28"/>
          <w:szCs w:val="28"/>
        </w:rPr>
        <w:t xml:space="preserve">1.4 </w:t>
      </w:r>
      <w:r>
        <w:rPr>
          <w:rFonts w:hint="eastAsia" w:ascii="楷体" w:hAnsi="楷体" w:eastAsia="楷体"/>
          <w:b/>
          <w:sz w:val="28"/>
          <w:szCs w:val="28"/>
        </w:rPr>
        <w:t xml:space="preserve">投标人资格要求</w:t>
      </w:r>
      <w:bookmarkEnd w:id="114"/>
      <w:r/>
      <w:bookmarkEnd w:id="115"/>
      <w:r/>
      <w:bookmarkEnd w:id="116"/>
      <w:r/>
      <w:bookmarkEnd w:id="117"/>
      <w:r/>
      <w:bookmarkEnd w:id="118"/>
      <w:r/>
      <w:bookmarkEnd w:id="119"/>
      <w:r/>
      <w:bookmarkEnd w:id="120"/>
      <w:r/>
      <w:bookmarkEnd w:id="121"/>
      <w:r/>
      <w:bookmarkEnd w:id="122"/>
      <w:r/>
      <w:bookmarkEnd w:id="123"/>
      <w:r/>
      <w:r/>
    </w:p>
    <w:p>
      <w:pPr>
        <w:ind w:firstLine="560"/>
        <w:spacing w:line="520" w:lineRule="exact"/>
        <w:rPr>
          <w:rFonts w:ascii="宋体"/>
          <w:sz w:val="28"/>
          <w:szCs w:val="28"/>
        </w:rPr>
      </w:pPr>
      <w:r>
        <w:rPr>
          <w:rFonts w:ascii="宋体" w:hAnsi="宋体"/>
          <w:sz w:val="28"/>
          <w:szCs w:val="28"/>
        </w:rPr>
        <w:t xml:space="preserve">1.4.1 </w:t>
      </w:r>
      <w:r>
        <w:rPr>
          <w:rFonts w:hint="eastAsia" w:ascii="宋体" w:hAnsi="宋体" w:cs="宋体"/>
          <w:sz w:val="28"/>
          <w:szCs w:val="28"/>
        </w:rPr>
        <w:t xml:space="preserve">投标人参加政府采购活动应当具备下列条件：</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）具有独立承担民事责任的能力；</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）具有良好的商业信誉和健全的财务会计制度；</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）具有履行合同所必需的设备和专业技术能力；</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4</w:t>
      </w:r>
      <w:r>
        <w:rPr>
          <w:rFonts w:hint="eastAsia" w:ascii="宋体" w:hAnsi="宋体" w:cs="宋体"/>
          <w:sz w:val="28"/>
          <w:szCs w:val="28"/>
        </w:rPr>
        <w:t xml:space="preserve">）有依法缴纳税收和社会保障资金的良好记录；</w:t>
      </w:r>
      <w:r/>
    </w:p>
    <w:p>
      <w:pPr>
        <w:ind w:firstLine="560"/>
        <w:spacing w:line="520" w:lineRule="exact"/>
        <w:rPr>
          <w:rFonts w:ascii="宋体" w:hAnsi="宋体" w:cs="宋体"/>
          <w:sz w:val="28"/>
          <w:szCs w:val="28"/>
        </w:rPr>
      </w:pPr>
      <w:r>
        <w:rPr>
          <w:rFonts w:hint="eastAsia" w:ascii="宋体" w:hAnsi="宋体" w:cs="宋体"/>
          <w:sz w:val="28"/>
          <w:szCs w:val="28"/>
        </w:rPr>
        <w:t xml:space="preserve">（</w:t>
      </w:r>
      <w:r>
        <w:rPr>
          <w:rFonts w:ascii="宋体" w:hAnsi="宋体"/>
          <w:sz w:val="28"/>
          <w:szCs w:val="28"/>
        </w:rPr>
        <w:t xml:space="preserve">5</w:t>
      </w:r>
      <w:r>
        <w:rPr>
          <w:rFonts w:hint="eastAsia" w:ascii="宋体" w:hAnsi="宋体" w:cs="宋体"/>
          <w:sz w:val="28"/>
          <w:szCs w:val="28"/>
        </w:rPr>
        <w:t xml:space="preserve">）参加政府采购活动前三年内，在经营活动中没有重大违法记录，无贿赂工作人员等违法记录；</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6</w:t>
      </w:r>
      <w:r>
        <w:rPr>
          <w:rFonts w:hint="eastAsia" w:ascii="宋体" w:hAnsi="宋体" w:cs="宋体"/>
          <w:sz w:val="28"/>
          <w:szCs w:val="28"/>
        </w:rPr>
        <w:t xml:space="preserve">）法律、行政法规规定的其他条件。</w:t>
      </w:r>
      <w:r/>
    </w:p>
    <w:p>
      <w:pPr>
        <w:spacing w:line="520" w:lineRule="exact"/>
        <w:rPr>
          <w:rFonts w:ascii="宋体" w:hAnsi="宋体" w:cs="宋体"/>
          <w:sz w:val="28"/>
          <w:szCs w:val="28"/>
        </w:rPr>
      </w:pPr>
      <w:r>
        <w:rPr>
          <w:rFonts w:ascii="宋体" w:hAnsi="宋体"/>
          <w:sz w:val="28"/>
          <w:szCs w:val="28"/>
        </w:rPr>
        <w:t xml:space="preserve">1.4.2</w:t>
      </w:r>
      <w:r>
        <w:rPr>
          <w:rFonts w:hint="eastAsia" w:ascii="宋体" w:hAnsi="宋体" w:cs="宋体"/>
          <w:sz w:val="28"/>
          <w:szCs w:val="28"/>
        </w:rPr>
        <w:t xml:space="preserve">根据采购项目特殊要求，</w:t>
      </w:r>
      <w:r>
        <w:rPr>
          <w:rFonts w:hint="eastAsia" w:ascii="宋体" w:hAnsi="宋体"/>
          <w:sz w:val="28"/>
          <w:szCs w:val="28"/>
        </w:rPr>
        <w:t xml:space="preserve">要求投标人具备</w:t>
      </w:r>
      <w:r>
        <w:rPr>
          <w:rFonts w:hint="eastAsia" w:ascii="宋体" w:hAnsi="宋体" w:cs="宋体"/>
          <w:sz w:val="28"/>
          <w:szCs w:val="28"/>
        </w:rPr>
        <w:t xml:space="preserve">的特定资格要求：见投</w:t>
      </w:r>
      <w:r/>
    </w:p>
    <w:p>
      <w:pPr>
        <w:spacing w:line="520" w:lineRule="exact"/>
        <w:rPr>
          <w:rFonts w:ascii="宋体"/>
          <w:sz w:val="28"/>
          <w:szCs w:val="28"/>
        </w:rPr>
      </w:pPr>
      <w:r>
        <w:rPr>
          <w:rFonts w:hint="eastAsia" w:ascii="宋体" w:hAnsi="宋体" w:cs="宋体"/>
          <w:sz w:val="28"/>
          <w:szCs w:val="28"/>
        </w:rPr>
        <w:t xml:space="preserve">标人须知前附表。</w:t>
      </w:r>
      <w:r/>
    </w:p>
    <w:p>
      <w:pPr>
        <w:spacing w:line="520" w:lineRule="exact"/>
        <w:rPr>
          <w:rFonts w:ascii="宋体"/>
          <w:sz w:val="28"/>
          <w:szCs w:val="28"/>
        </w:rPr>
      </w:pPr>
      <w:r>
        <w:rPr>
          <w:rFonts w:ascii="宋体" w:hAnsi="宋体"/>
          <w:sz w:val="28"/>
          <w:szCs w:val="28"/>
        </w:rPr>
        <w:t xml:space="preserve">1.4.3</w:t>
      </w:r>
      <w:r>
        <w:rPr>
          <w:rFonts w:hint="eastAsia" w:ascii="宋体" w:hAnsi="宋体" w:cs="宋体"/>
          <w:sz w:val="28"/>
          <w:szCs w:val="28"/>
        </w:rPr>
        <w:t xml:space="preserve">投标人不得存在下列情形之一：</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l</w:t>
      </w:r>
      <w:r>
        <w:rPr>
          <w:rFonts w:hint="eastAsia" w:ascii="宋体" w:hAnsi="宋体" w:cs="宋体"/>
          <w:sz w:val="28"/>
          <w:szCs w:val="28"/>
        </w:rPr>
        <w:t xml:space="preserve">）与招标人或采购代理机构存在隶属关系或者其他利害关系；</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）为采购项目提供了整体设计、规范编制或者项目管理、监理、检测等服务；</w:t>
      </w:r>
      <w:r/>
    </w:p>
    <w:p>
      <w:pPr>
        <w:ind w:firstLine="560"/>
        <w:spacing w:line="520" w:lineRule="exact"/>
        <w:rPr>
          <w:rFonts w:ascii="宋体" w:hAnsi="宋体" w:cs="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）单位负责人为同一人或者存在直接控股、管理关系的不同投标人，参加同一合同项下的政府采购活动。</w:t>
      </w:r>
      <w:r/>
    </w:p>
    <w:p>
      <w:pPr>
        <w:ind w:firstLine="560"/>
        <w:spacing w:line="520" w:lineRule="exact"/>
        <w:rPr>
          <w:rFonts w:ascii="宋体"/>
          <w:sz w:val="28"/>
          <w:szCs w:val="28"/>
        </w:rPr>
      </w:pPr>
      <w:r>
        <w:rPr>
          <w:rFonts w:hint="eastAsia" w:ascii="宋体" w:hAnsi="宋体" w:cs="宋体"/>
          <w:sz w:val="28"/>
          <w:szCs w:val="28"/>
        </w:rPr>
        <w:t xml:space="preserve">（</w:t>
      </w:r>
      <w:r>
        <w:rPr>
          <w:rFonts w:hint="eastAsia" w:ascii="宋体" w:hAnsi="宋体"/>
          <w:sz w:val="28"/>
          <w:szCs w:val="28"/>
        </w:rPr>
        <w:t xml:space="preserve">4</w:t>
      </w:r>
      <w:r>
        <w:rPr>
          <w:rFonts w:hint="eastAsia" w:ascii="宋体" w:hAnsi="宋体" w:cs="宋体"/>
          <w:sz w:val="28"/>
          <w:szCs w:val="28"/>
        </w:rPr>
        <w:t xml:space="preserve">）法律、行政法规规定的其他条件。</w:t>
      </w:r>
      <w:r/>
    </w:p>
    <w:p>
      <w:pPr>
        <w:spacing w:line="520" w:lineRule="exact"/>
        <w:rPr>
          <w:rFonts w:ascii="楷体" w:hAnsi="楷体" w:eastAsia="楷体"/>
          <w:b/>
          <w:sz w:val="28"/>
          <w:szCs w:val="28"/>
        </w:rPr>
      </w:pPr>
      <w:r/>
      <w:bookmarkStart w:id="124" w:name="_Toc343525510"/>
      <w:r/>
      <w:bookmarkStart w:id="125" w:name="_Toc246996923"/>
      <w:r/>
      <w:bookmarkStart w:id="126" w:name="_Toc246996180"/>
      <w:r/>
      <w:bookmarkStart w:id="127" w:name="_Toc144974503"/>
      <w:r/>
      <w:bookmarkStart w:id="128" w:name="_Toc179632552"/>
      <w:r/>
      <w:bookmarkStart w:id="129" w:name="_Toc247085694"/>
      <w:r/>
      <w:bookmarkStart w:id="130" w:name="_Toc426469876"/>
      <w:r/>
      <w:bookmarkStart w:id="131" w:name="_Toc152045535"/>
      <w:r/>
      <w:bookmarkStart w:id="132" w:name="_Toc152042311"/>
      <w:r/>
      <w:bookmarkStart w:id="133" w:name="_Toc383438597"/>
      <w:r>
        <w:rPr>
          <w:rFonts w:ascii="楷体" w:hAnsi="楷体" w:eastAsia="楷体"/>
          <w:b/>
          <w:sz w:val="28"/>
          <w:szCs w:val="28"/>
        </w:rPr>
        <w:t xml:space="preserve">1.5</w:t>
      </w:r>
      <w:r>
        <w:rPr>
          <w:rFonts w:hint="eastAsia" w:ascii="楷体" w:hAnsi="楷体" w:eastAsia="楷体" w:cs="宋体"/>
          <w:b/>
          <w:sz w:val="28"/>
          <w:szCs w:val="28"/>
        </w:rPr>
        <w:t xml:space="preserve">费用承担</w:t>
      </w:r>
      <w:bookmarkEnd w:id="124"/>
      <w:r/>
      <w:bookmarkEnd w:id="125"/>
      <w:r/>
      <w:bookmarkEnd w:id="126"/>
      <w:r/>
      <w:bookmarkEnd w:id="127"/>
      <w:r/>
      <w:bookmarkEnd w:id="128"/>
      <w:r/>
      <w:bookmarkEnd w:id="129"/>
      <w:r/>
      <w:bookmarkEnd w:id="130"/>
      <w:r/>
      <w:bookmarkEnd w:id="131"/>
      <w:r/>
      <w:bookmarkEnd w:id="132"/>
      <w:r/>
      <w:bookmarkEnd w:id="133"/>
      <w:r/>
      <w:r/>
    </w:p>
    <w:p>
      <w:pPr>
        <w:ind w:firstLine="560"/>
        <w:spacing w:line="520" w:lineRule="exact"/>
        <w:rPr>
          <w:rFonts w:ascii="宋体"/>
          <w:sz w:val="28"/>
          <w:szCs w:val="28"/>
        </w:rPr>
      </w:pPr>
      <w:r>
        <w:rPr>
          <w:rFonts w:hint="eastAsia" w:ascii="宋体" w:hAnsi="宋体" w:cs="宋体"/>
          <w:sz w:val="28"/>
          <w:szCs w:val="28"/>
        </w:rPr>
        <w:t xml:space="preserve">无论采购结果如何，投标人为准备和参加投标活动发生的费用自理。</w:t>
      </w:r>
      <w:r/>
    </w:p>
    <w:p>
      <w:pPr>
        <w:spacing w:line="520" w:lineRule="exact"/>
        <w:rPr>
          <w:rFonts w:ascii="楷体" w:hAnsi="楷体" w:eastAsia="楷体"/>
          <w:b/>
          <w:sz w:val="28"/>
          <w:szCs w:val="28"/>
        </w:rPr>
      </w:pPr>
      <w:r/>
      <w:bookmarkStart w:id="134" w:name="_Toc144974505"/>
      <w:r/>
      <w:bookmarkStart w:id="135" w:name="_Toc426469878"/>
      <w:r/>
      <w:bookmarkStart w:id="136" w:name="_Toc152042313"/>
      <w:r/>
      <w:bookmarkStart w:id="137" w:name="_Toc179632554"/>
      <w:r/>
      <w:bookmarkStart w:id="138" w:name="_Toc246996925"/>
      <w:r/>
      <w:bookmarkStart w:id="139" w:name="_Toc152045537"/>
      <w:r/>
      <w:bookmarkStart w:id="140" w:name="_Toc247085696"/>
      <w:r/>
      <w:bookmarkStart w:id="141" w:name="_Toc343525512"/>
      <w:r/>
      <w:bookmarkStart w:id="142" w:name="_Toc246996182"/>
      <w:r/>
      <w:bookmarkStart w:id="143" w:name="_Toc383438599"/>
      <w:r>
        <w:rPr>
          <w:rFonts w:ascii="楷体" w:hAnsi="楷体" w:eastAsia="楷体"/>
          <w:b/>
          <w:sz w:val="28"/>
          <w:szCs w:val="28"/>
        </w:rPr>
        <w:t xml:space="preserve">1.</w:t>
      </w:r>
      <w:r>
        <w:rPr>
          <w:rFonts w:hint="eastAsia" w:ascii="楷体" w:hAnsi="楷体" w:eastAsia="楷体"/>
          <w:b/>
          <w:sz w:val="28"/>
          <w:szCs w:val="28"/>
        </w:rPr>
        <w:t xml:space="preserve">6</w:t>
      </w:r>
      <w:r>
        <w:rPr>
          <w:rFonts w:hint="eastAsia" w:ascii="楷体" w:hAnsi="楷体" w:eastAsia="楷体" w:cs="宋体"/>
          <w:b/>
          <w:sz w:val="28"/>
          <w:szCs w:val="28"/>
        </w:rPr>
        <w:t xml:space="preserve">语言</w:t>
      </w:r>
      <w:bookmarkEnd w:id="134"/>
      <w:r>
        <w:rPr>
          <w:rFonts w:hint="eastAsia" w:ascii="楷体" w:hAnsi="楷体" w:eastAsia="楷体" w:cs="宋体"/>
          <w:b/>
          <w:sz w:val="28"/>
          <w:szCs w:val="28"/>
        </w:rPr>
        <w:t xml:space="preserve">文字</w:t>
      </w:r>
      <w:bookmarkEnd w:id="135"/>
      <w:r/>
      <w:bookmarkEnd w:id="136"/>
      <w:r/>
      <w:bookmarkEnd w:id="137"/>
      <w:r/>
      <w:bookmarkEnd w:id="138"/>
      <w:r/>
      <w:bookmarkEnd w:id="139"/>
      <w:r/>
      <w:bookmarkEnd w:id="140"/>
      <w:r/>
      <w:bookmarkEnd w:id="141"/>
      <w:r/>
      <w:bookmarkEnd w:id="142"/>
      <w:r/>
      <w:bookmarkEnd w:id="143"/>
      <w:r/>
      <w:r/>
    </w:p>
    <w:p>
      <w:pPr>
        <w:ind w:firstLine="560"/>
        <w:spacing w:line="520" w:lineRule="exact"/>
        <w:rPr>
          <w:rFonts w:ascii="宋体"/>
          <w:sz w:val="28"/>
          <w:szCs w:val="28"/>
        </w:rPr>
      </w:pPr>
      <w:r/>
      <w:bookmarkStart w:id="144" w:name="_Toc144974506"/>
      <w:r/>
      <w:bookmarkStart w:id="145" w:name="_Toc179632555"/>
      <w:r/>
      <w:bookmarkStart w:id="146" w:name="_Toc152042314"/>
      <w:r/>
      <w:bookmarkStart w:id="147" w:name="_Toc246996926"/>
      <w:r/>
      <w:bookmarkStart w:id="148" w:name="_Toc246996183"/>
      <w:r/>
      <w:bookmarkStart w:id="149" w:name="_Toc152045538"/>
      <w:r/>
      <w:bookmarkStart w:id="150" w:name="_Toc247085697"/>
      <w:r>
        <w:rPr>
          <w:rFonts w:hint="eastAsia" w:ascii="宋体" w:hAnsi="宋体" w:cs="宋体"/>
          <w:sz w:val="28"/>
          <w:szCs w:val="28"/>
        </w:rPr>
        <w:t xml:space="preserve">招投标文件使用的语言文字为中文。专用术语使用外文的，应附有中文注释。</w:t>
      </w:r>
      <w:r/>
    </w:p>
    <w:p>
      <w:pPr>
        <w:spacing w:line="520" w:lineRule="exact"/>
        <w:rPr>
          <w:rFonts w:ascii="楷体" w:hAnsi="楷体" w:eastAsia="楷体"/>
          <w:b/>
          <w:sz w:val="28"/>
          <w:szCs w:val="28"/>
        </w:rPr>
      </w:pPr>
      <w:r/>
      <w:bookmarkStart w:id="151" w:name="_Toc383438600"/>
      <w:r/>
      <w:bookmarkStart w:id="152" w:name="_Toc343525513"/>
      <w:r/>
      <w:bookmarkStart w:id="153" w:name="_Toc426469879"/>
      <w:r>
        <w:rPr>
          <w:rFonts w:ascii="楷体" w:hAnsi="楷体" w:eastAsia="楷体"/>
          <w:b/>
          <w:sz w:val="28"/>
          <w:szCs w:val="28"/>
        </w:rPr>
        <w:t xml:space="preserve">1.</w:t>
      </w:r>
      <w:r>
        <w:rPr>
          <w:rFonts w:hint="eastAsia" w:ascii="楷体" w:hAnsi="楷体" w:eastAsia="楷体"/>
          <w:b/>
          <w:sz w:val="28"/>
          <w:szCs w:val="28"/>
        </w:rPr>
        <w:t xml:space="preserve">7</w:t>
      </w:r>
      <w:r>
        <w:rPr>
          <w:rFonts w:hint="eastAsia" w:ascii="楷体" w:hAnsi="楷体" w:eastAsia="楷体" w:cs="宋体"/>
          <w:b/>
          <w:sz w:val="28"/>
          <w:szCs w:val="28"/>
        </w:rPr>
        <w:t xml:space="preserve">计量单位</w:t>
      </w:r>
      <w:bookmarkEnd w:id="144"/>
      <w:r/>
      <w:bookmarkEnd w:id="145"/>
      <w:r/>
      <w:bookmarkEnd w:id="146"/>
      <w:r/>
      <w:bookmarkEnd w:id="147"/>
      <w:r/>
      <w:bookmarkEnd w:id="148"/>
      <w:r/>
      <w:bookmarkEnd w:id="149"/>
      <w:r/>
      <w:bookmarkEnd w:id="150"/>
      <w:r/>
      <w:bookmarkEnd w:id="151"/>
      <w:r/>
      <w:bookmarkEnd w:id="152"/>
      <w:r/>
      <w:bookmarkEnd w:id="153"/>
      <w:r/>
      <w:r/>
    </w:p>
    <w:p>
      <w:pPr>
        <w:ind w:firstLine="560"/>
        <w:spacing w:line="520" w:lineRule="exact"/>
        <w:rPr>
          <w:rFonts w:ascii="宋体"/>
          <w:sz w:val="28"/>
          <w:szCs w:val="28"/>
        </w:rPr>
      </w:pPr>
      <w:r>
        <w:rPr>
          <w:rFonts w:hint="eastAsia" w:ascii="宋体" w:hAnsi="宋体" w:cs="宋体"/>
          <w:sz w:val="28"/>
          <w:szCs w:val="28"/>
        </w:rPr>
        <w:t xml:space="preserve">所有计量均采用中华人民共和国法定计量单位。</w:t>
      </w:r>
      <w:r/>
    </w:p>
    <w:p>
      <w:pPr>
        <w:spacing w:line="520" w:lineRule="exact"/>
        <w:rPr>
          <w:rFonts w:ascii="楷体" w:hAnsi="楷体" w:eastAsia="楷体"/>
          <w:b/>
          <w:sz w:val="28"/>
          <w:szCs w:val="28"/>
        </w:rPr>
      </w:pPr>
      <w:r/>
      <w:bookmarkStart w:id="154" w:name="_Toc426469881"/>
      <w:r>
        <w:rPr>
          <w:rFonts w:ascii="楷体" w:hAnsi="楷体" w:eastAsia="楷体"/>
          <w:b/>
          <w:sz w:val="28"/>
          <w:szCs w:val="28"/>
        </w:rPr>
        <w:t xml:space="preserve">1.</w:t>
      </w:r>
      <w:r>
        <w:rPr>
          <w:rFonts w:hint="eastAsia" w:ascii="楷体" w:hAnsi="楷体" w:eastAsia="楷体"/>
          <w:b/>
          <w:sz w:val="28"/>
          <w:szCs w:val="28"/>
        </w:rPr>
        <w:t xml:space="preserve">8</w:t>
      </w:r>
      <w:r>
        <w:rPr>
          <w:rFonts w:hint="eastAsia" w:ascii="楷体" w:hAnsi="楷体" w:eastAsia="楷体" w:cs="宋体"/>
          <w:b/>
          <w:sz w:val="28"/>
          <w:szCs w:val="28"/>
        </w:rPr>
        <w:t xml:space="preserve">偏离</w:t>
      </w:r>
      <w:bookmarkEnd w:id="154"/>
      <w:r/>
      <w:r/>
    </w:p>
    <w:p>
      <w:pPr>
        <w:ind w:firstLine="560"/>
        <w:spacing w:line="520" w:lineRule="exact"/>
        <w:rPr>
          <w:rFonts w:ascii="宋体"/>
          <w:sz w:val="28"/>
          <w:szCs w:val="28"/>
        </w:rPr>
      </w:pPr>
      <w:r>
        <w:rPr>
          <w:rFonts w:ascii="宋体" w:hAnsi="宋体"/>
          <w:sz w:val="28"/>
          <w:szCs w:val="28"/>
        </w:rPr>
        <w:t xml:space="preserve">1.</w:t>
      </w:r>
      <w:r>
        <w:rPr>
          <w:rFonts w:hint="eastAsia" w:ascii="宋体" w:hAnsi="宋体"/>
          <w:sz w:val="28"/>
          <w:szCs w:val="28"/>
        </w:rPr>
        <w:t xml:space="preserve">8</w:t>
      </w:r>
      <w:r>
        <w:rPr>
          <w:rFonts w:ascii="宋体" w:hAnsi="宋体"/>
          <w:sz w:val="28"/>
          <w:szCs w:val="28"/>
        </w:rPr>
        <w:t xml:space="preserve">.1</w:t>
      </w:r>
      <w:r>
        <w:rPr>
          <w:rFonts w:hint="eastAsia" w:ascii="宋体" w:hAnsi="宋体" w:cs="宋体"/>
          <w:sz w:val="28"/>
          <w:szCs w:val="28"/>
        </w:rPr>
        <w:t xml:space="preserve">偏离是指投标文件中的内容与招标文件中规定的技术参数、标准、服务要求等不一致的情形。优于招标文件规定的技术参数、标准、服务要求的为正偏离，反之为负偏离。</w:t>
      </w:r>
      <w:r/>
    </w:p>
    <w:p>
      <w:pPr>
        <w:ind w:firstLine="560"/>
        <w:spacing w:line="520" w:lineRule="exact"/>
        <w:rPr>
          <w:rFonts w:ascii="宋体" w:hAnsi="宋体" w:cs="宋体"/>
          <w:sz w:val="28"/>
          <w:szCs w:val="28"/>
        </w:rPr>
      </w:pPr>
      <w:r>
        <w:rPr>
          <w:rFonts w:ascii="宋体" w:hAnsi="宋体"/>
          <w:sz w:val="28"/>
          <w:szCs w:val="28"/>
        </w:rPr>
        <w:t xml:space="preserve">1.</w:t>
      </w:r>
      <w:r>
        <w:rPr>
          <w:rFonts w:hint="eastAsia" w:ascii="宋体" w:hAnsi="宋体"/>
          <w:sz w:val="28"/>
          <w:szCs w:val="28"/>
        </w:rPr>
        <w:t xml:space="preserve">8</w:t>
      </w:r>
      <w:r>
        <w:rPr>
          <w:rFonts w:ascii="宋体" w:hAnsi="宋体"/>
          <w:sz w:val="28"/>
          <w:szCs w:val="28"/>
        </w:rPr>
        <w:t xml:space="preserve">.2</w:t>
      </w:r>
      <w:r>
        <w:rPr>
          <w:rFonts w:hint="eastAsia" w:ascii="宋体" w:hAnsi="宋体" w:cs="宋体"/>
          <w:sz w:val="28"/>
          <w:szCs w:val="28"/>
        </w:rPr>
        <w:t xml:space="preserve">偏离的具体要求见投标人须知前附表。</w:t>
      </w:r>
      <w:r/>
    </w:p>
    <w:p>
      <w:pPr>
        <w:spacing w:line="520" w:lineRule="exact"/>
        <w:rPr>
          <w:rFonts w:ascii="黑体" w:hAnsi="黑体" w:eastAsia="黑体"/>
          <w:sz w:val="32"/>
          <w:szCs w:val="32"/>
        </w:rPr>
      </w:pPr>
      <w:r/>
      <w:bookmarkStart w:id="155" w:name="_Toc383438604"/>
      <w:r/>
      <w:bookmarkStart w:id="156" w:name="_Toc343525517"/>
      <w:r/>
      <w:bookmarkStart w:id="157" w:name="_Toc426469882"/>
      <w:r>
        <w:rPr>
          <w:rFonts w:ascii="黑体" w:hAnsi="黑体" w:eastAsia="黑体"/>
          <w:sz w:val="32"/>
          <w:szCs w:val="32"/>
        </w:rPr>
        <w:t xml:space="preserve">2. </w:t>
      </w:r>
      <w:r>
        <w:rPr>
          <w:rFonts w:hint="eastAsia" w:ascii="黑体" w:hAnsi="黑体" w:eastAsia="黑体" w:cs="宋体"/>
          <w:sz w:val="32"/>
          <w:szCs w:val="32"/>
        </w:rPr>
        <w:t xml:space="preserve">招标文件</w:t>
      </w:r>
      <w:bookmarkEnd w:id="155"/>
      <w:r/>
      <w:bookmarkEnd w:id="156"/>
      <w:r/>
      <w:bookmarkEnd w:id="157"/>
      <w:r/>
      <w:r/>
    </w:p>
    <w:p>
      <w:pPr>
        <w:spacing w:line="520" w:lineRule="exact"/>
        <w:rPr>
          <w:rFonts w:ascii="楷体" w:hAnsi="楷体" w:eastAsia="楷体"/>
          <w:b/>
          <w:sz w:val="28"/>
          <w:szCs w:val="28"/>
        </w:rPr>
      </w:pPr>
      <w:r/>
      <w:bookmarkStart w:id="158" w:name="_Toc152045543"/>
      <w:r/>
      <w:bookmarkStart w:id="159" w:name="_Toc179632561"/>
      <w:r/>
      <w:bookmarkStart w:id="160" w:name="_Toc247085702"/>
      <w:r/>
      <w:bookmarkStart w:id="161" w:name="_Toc426469883"/>
      <w:r/>
      <w:bookmarkStart w:id="162" w:name="_Toc246996931"/>
      <w:r/>
      <w:bookmarkStart w:id="163" w:name="_Toc152042319"/>
      <w:r/>
      <w:bookmarkStart w:id="164" w:name="_Toc144974511"/>
      <w:r/>
      <w:bookmarkStart w:id="165" w:name="_Toc343525518"/>
      <w:r/>
      <w:bookmarkStart w:id="166" w:name="_Toc246996188"/>
      <w:r/>
      <w:bookmarkStart w:id="167" w:name="_Toc383438605"/>
      <w:r>
        <w:rPr>
          <w:rFonts w:ascii="楷体" w:hAnsi="楷体" w:eastAsia="楷体"/>
          <w:b/>
          <w:sz w:val="28"/>
          <w:szCs w:val="28"/>
        </w:rPr>
        <w:t xml:space="preserve">2.1 </w:t>
      </w:r>
      <w:r>
        <w:rPr>
          <w:rFonts w:hint="eastAsia" w:ascii="楷体" w:hAnsi="楷体" w:eastAsia="楷体" w:cs="宋体"/>
          <w:b/>
          <w:sz w:val="28"/>
          <w:szCs w:val="28"/>
        </w:rPr>
        <w:t xml:space="preserve">招标文件的组成</w:t>
      </w:r>
      <w:bookmarkEnd w:id="158"/>
      <w:r/>
      <w:bookmarkEnd w:id="159"/>
      <w:r/>
      <w:bookmarkEnd w:id="160"/>
      <w:r/>
      <w:bookmarkEnd w:id="161"/>
      <w:r/>
      <w:bookmarkEnd w:id="162"/>
      <w:r/>
      <w:bookmarkEnd w:id="163"/>
      <w:r/>
      <w:bookmarkEnd w:id="164"/>
      <w:r/>
      <w:bookmarkEnd w:id="165"/>
      <w:r/>
      <w:bookmarkEnd w:id="166"/>
      <w:r/>
      <w:bookmarkEnd w:id="167"/>
      <w:r/>
      <w:r/>
    </w:p>
    <w:p>
      <w:pPr>
        <w:ind w:firstLine="560"/>
        <w:spacing w:line="520" w:lineRule="exact"/>
        <w:rPr>
          <w:rFonts w:ascii="宋体"/>
          <w:sz w:val="28"/>
          <w:szCs w:val="28"/>
        </w:rPr>
      </w:pPr>
      <w:r>
        <w:rPr>
          <w:rFonts w:ascii="宋体" w:hAnsi="宋体"/>
          <w:sz w:val="28"/>
          <w:szCs w:val="28"/>
        </w:rPr>
        <w:t xml:space="preserve">2.1.1 </w:t>
      </w:r>
      <w:r>
        <w:rPr>
          <w:rFonts w:hint="eastAsia" w:ascii="宋体" w:hAnsi="宋体" w:cs="宋体"/>
          <w:sz w:val="28"/>
          <w:szCs w:val="28"/>
        </w:rPr>
        <w:t xml:space="preserve">本招标文件包括：</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）招标公告；</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）投标人须知；</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）评标办法；</w:t>
      </w:r>
      <w:r/>
    </w:p>
    <w:p>
      <w:pPr>
        <w:ind w:firstLine="560"/>
        <w:spacing w:line="520" w:lineRule="exact"/>
        <w:rPr>
          <w:rFonts w:ascii="宋体" w:hAnsi="宋体"/>
          <w:sz w:val="28"/>
          <w:szCs w:val="28"/>
        </w:rPr>
      </w:pPr>
      <w:r>
        <w:rPr>
          <w:rFonts w:hint="eastAsia" w:ascii="宋体" w:hAnsi="宋体" w:cs="宋体"/>
          <w:sz w:val="28"/>
          <w:szCs w:val="28"/>
        </w:rPr>
        <w:t xml:space="preserve">（</w:t>
      </w:r>
      <w:r>
        <w:rPr>
          <w:rFonts w:hint="eastAsia" w:ascii="宋体" w:hAnsi="宋体"/>
          <w:sz w:val="28"/>
          <w:szCs w:val="28"/>
        </w:rPr>
        <w:t xml:space="preserve">4</w:t>
      </w:r>
      <w:r>
        <w:rPr>
          <w:rFonts w:hint="eastAsia" w:ascii="宋体" w:hAnsi="宋体" w:cs="宋体"/>
          <w:sz w:val="28"/>
          <w:szCs w:val="28"/>
        </w:rPr>
        <w:t xml:space="preserve">）</w:t>
      </w:r>
      <w:r>
        <w:rPr>
          <w:rFonts w:hint="eastAsia" w:ascii="宋体" w:hAnsi="宋体"/>
          <w:sz w:val="28"/>
          <w:szCs w:val="28"/>
        </w:rPr>
        <w:t xml:space="preserve">采购需求</w:t>
      </w:r>
      <w:r>
        <w:rPr>
          <w:rFonts w:hint="eastAsia" w:ascii="宋体" w:hAnsi="宋体" w:cs="宋体"/>
          <w:sz w:val="28"/>
          <w:szCs w:val="28"/>
        </w:rPr>
        <w:t xml:space="preserve">；</w:t>
      </w:r>
      <w:r/>
    </w:p>
    <w:p>
      <w:pPr>
        <w:ind w:firstLine="560"/>
        <w:spacing w:line="520" w:lineRule="exact"/>
        <w:rPr>
          <w:rFonts w:ascii="宋体"/>
          <w:sz w:val="28"/>
          <w:szCs w:val="28"/>
        </w:rPr>
      </w:pPr>
      <w:r>
        <w:rPr>
          <w:rFonts w:hint="eastAsia" w:ascii="宋体" w:hAnsi="宋体" w:cs="宋体"/>
          <w:sz w:val="28"/>
          <w:szCs w:val="28"/>
        </w:rPr>
        <w:t xml:space="preserve">（</w:t>
      </w:r>
      <w:r>
        <w:rPr>
          <w:rFonts w:hint="eastAsia" w:ascii="宋体" w:hAnsi="宋体"/>
          <w:sz w:val="28"/>
          <w:szCs w:val="28"/>
        </w:rPr>
        <w:t xml:space="preserve">5</w:t>
      </w:r>
      <w:r>
        <w:rPr>
          <w:rFonts w:hint="eastAsia" w:ascii="宋体" w:hAnsi="宋体" w:cs="宋体"/>
          <w:sz w:val="28"/>
          <w:szCs w:val="28"/>
        </w:rPr>
        <w:t xml:space="preserve">）投标文件的编制要求及参考格式；</w:t>
      </w:r>
      <w:r/>
    </w:p>
    <w:p>
      <w:pPr>
        <w:ind w:firstLine="560"/>
        <w:spacing w:line="520" w:lineRule="exact"/>
        <w:rPr>
          <w:rFonts w:ascii="宋体" w:hAnsi="宋体" w:cs="宋体"/>
          <w:sz w:val="28"/>
          <w:szCs w:val="28"/>
        </w:rPr>
      </w:pPr>
      <w:r>
        <w:rPr>
          <w:rFonts w:hint="eastAsia" w:ascii="宋体" w:hAnsi="宋体" w:cs="宋体"/>
          <w:sz w:val="28"/>
          <w:szCs w:val="28"/>
        </w:rPr>
        <w:t xml:space="preserve">（</w:t>
      </w:r>
      <w:r>
        <w:rPr>
          <w:rFonts w:hint="eastAsia" w:ascii="宋体" w:hAnsi="宋体"/>
          <w:sz w:val="28"/>
          <w:szCs w:val="28"/>
        </w:rPr>
        <w:t xml:space="preserve">6</w:t>
      </w:r>
      <w:r>
        <w:rPr>
          <w:rFonts w:hint="eastAsia" w:ascii="宋体" w:hAnsi="宋体" w:cs="宋体"/>
          <w:sz w:val="28"/>
          <w:szCs w:val="28"/>
        </w:rPr>
        <w:t xml:space="preserve">）投标人须知前附表规定的构成招标文件的其他材料；</w:t>
      </w:r>
      <w:r/>
    </w:p>
    <w:p>
      <w:pPr>
        <w:ind w:firstLine="560"/>
        <w:spacing w:line="520" w:lineRule="exact"/>
        <w:rPr>
          <w:rFonts w:ascii="宋体" w:hAnsi="宋体" w:cs="宋体"/>
          <w:sz w:val="28"/>
          <w:szCs w:val="28"/>
        </w:rPr>
      </w:pPr>
      <w:r>
        <w:rPr>
          <w:rFonts w:hint="eastAsia" w:ascii="宋体" w:hAnsi="宋体" w:cs="宋体"/>
          <w:sz w:val="28"/>
          <w:szCs w:val="28"/>
        </w:rPr>
        <w:t xml:space="preserve">（</w:t>
      </w:r>
      <w:r>
        <w:rPr>
          <w:rFonts w:hint="eastAsia" w:ascii="宋体" w:hAnsi="宋体"/>
          <w:sz w:val="28"/>
          <w:szCs w:val="28"/>
        </w:rPr>
        <w:t xml:space="preserve">7</w:t>
      </w:r>
      <w:r>
        <w:rPr>
          <w:rFonts w:hint="eastAsia" w:ascii="宋体" w:hAnsi="宋体" w:cs="宋体"/>
          <w:sz w:val="28"/>
          <w:szCs w:val="28"/>
        </w:rPr>
        <w:t xml:space="preserve">）合同条款及格式。</w:t>
      </w:r>
      <w:r/>
    </w:p>
    <w:p>
      <w:pPr>
        <w:ind w:firstLine="560"/>
        <w:spacing w:line="520" w:lineRule="exact"/>
        <w:rPr>
          <w:rFonts w:ascii="宋体"/>
          <w:sz w:val="28"/>
          <w:szCs w:val="28"/>
        </w:rPr>
      </w:pPr>
      <w:r>
        <w:rPr>
          <w:rFonts w:ascii="宋体" w:hAnsi="宋体"/>
          <w:sz w:val="28"/>
          <w:szCs w:val="28"/>
        </w:rPr>
        <w:t xml:space="preserve">2.1.2</w:t>
      </w:r>
      <w:r>
        <w:rPr>
          <w:rFonts w:hint="eastAsia" w:ascii="宋体" w:hAnsi="宋体" w:cs="宋体"/>
          <w:sz w:val="28"/>
          <w:szCs w:val="28"/>
        </w:rPr>
        <w:t xml:space="preserve">根据本章第</w:t>
      </w:r>
      <w:r>
        <w:rPr>
          <w:rFonts w:ascii="宋体" w:hAnsi="宋体"/>
          <w:sz w:val="28"/>
          <w:szCs w:val="28"/>
        </w:rPr>
        <w:t xml:space="preserve">2.2</w:t>
      </w:r>
      <w:r>
        <w:rPr>
          <w:rFonts w:hint="eastAsia" w:ascii="宋体" w:hAnsi="宋体" w:cs="宋体"/>
          <w:sz w:val="28"/>
          <w:szCs w:val="28"/>
        </w:rPr>
        <w:t xml:space="preserve">款和第</w:t>
      </w:r>
      <w:r>
        <w:rPr>
          <w:rFonts w:ascii="宋体" w:hAnsi="宋体"/>
          <w:sz w:val="28"/>
          <w:szCs w:val="28"/>
        </w:rPr>
        <w:t xml:space="preserve">2.3</w:t>
      </w:r>
      <w:r>
        <w:rPr>
          <w:rFonts w:hint="eastAsia" w:ascii="宋体" w:hAnsi="宋体" w:cs="宋体"/>
          <w:sz w:val="28"/>
          <w:szCs w:val="28"/>
        </w:rPr>
        <w:t xml:space="preserve">款对招标文件所作的澄清、修改，构成招标文件的组成部分</w:t>
      </w:r>
      <w:r>
        <w:rPr>
          <w:rFonts w:hint="eastAsia" w:ascii="宋体" w:hAnsi="宋体"/>
          <w:sz w:val="28"/>
          <w:szCs w:val="28"/>
        </w:rPr>
        <w:t xml:space="preserve">。</w:t>
      </w:r>
      <w:r/>
    </w:p>
    <w:p>
      <w:pPr>
        <w:spacing w:line="520" w:lineRule="exact"/>
        <w:rPr>
          <w:rFonts w:ascii="楷体" w:hAnsi="楷体" w:eastAsia="楷体"/>
          <w:b/>
          <w:sz w:val="28"/>
          <w:szCs w:val="28"/>
        </w:rPr>
      </w:pPr>
      <w:r/>
      <w:bookmarkStart w:id="168" w:name="_Toc426469884"/>
      <w:r/>
      <w:bookmarkStart w:id="169" w:name="_Toc246996189"/>
      <w:r/>
      <w:bookmarkStart w:id="170" w:name="_Toc247085703"/>
      <w:r/>
      <w:bookmarkStart w:id="171" w:name="_Toc179632562"/>
      <w:r/>
      <w:bookmarkStart w:id="172" w:name="_Toc343525519"/>
      <w:r/>
      <w:bookmarkStart w:id="173" w:name="_Toc152042320"/>
      <w:r/>
      <w:bookmarkStart w:id="174" w:name="_Toc383438606"/>
      <w:r/>
      <w:bookmarkStart w:id="175" w:name="_Toc152045544"/>
      <w:r/>
      <w:bookmarkStart w:id="176" w:name="_Toc144974512"/>
      <w:r/>
      <w:bookmarkStart w:id="177" w:name="_Toc246996932"/>
      <w:r>
        <w:rPr>
          <w:rFonts w:ascii="楷体" w:hAnsi="楷体" w:eastAsia="楷体"/>
          <w:b/>
          <w:sz w:val="28"/>
          <w:szCs w:val="28"/>
        </w:rPr>
        <w:t xml:space="preserve">2.2 </w:t>
      </w:r>
      <w:r>
        <w:rPr>
          <w:rFonts w:hint="eastAsia" w:ascii="楷体" w:hAnsi="楷体" w:eastAsia="楷体" w:cs="宋体"/>
          <w:b/>
          <w:sz w:val="28"/>
          <w:szCs w:val="28"/>
        </w:rPr>
        <w:t xml:space="preserve">招标文件的澄清</w:t>
      </w:r>
      <w:bookmarkEnd w:id="168"/>
      <w:r/>
      <w:bookmarkEnd w:id="169"/>
      <w:r/>
      <w:bookmarkEnd w:id="170"/>
      <w:r/>
      <w:bookmarkEnd w:id="171"/>
      <w:r/>
      <w:bookmarkEnd w:id="172"/>
      <w:r/>
      <w:bookmarkEnd w:id="173"/>
      <w:r/>
      <w:bookmarkEnd w:id="174"/>
      <w:r/>
      <w:bookmarkEnd w:id="175"/>
      <w:r/>
      <w:bookmarkEnd w:id="176"/>
      <w:r/>
      <w:bookmarkEnd w:id="177"/>
      <w:r/>
      <w:r/>
    </w:p>
    <w:p>
      <w:pPr>
        <w:ind w:firstLine="560"/>
        <w:spacing w:line="520" w:lineRule="exact"/>
        <w:rPr>
          <w:rFonts w:ascii="宋体"/>
          <w:sz w:val="28"/>
          <w:szCs w:val="28"/>
        </w:rPr>
      </w:pPr>
      <w:r>
        <w:rPr>
          <w:rFonts w:hint="eastAsia" w:ascii="宋体" w:hAnsi="宋体" w:cs="宋体"/>
          <w:sz w:val="28"/>
          <w:szCs w:val="28"/>
        </w:rPr>
        <w:t xml:space="preserve">投标人应仔细阅读和检查招标文件的全部内容。如发现缺页或附件不全，应及时向招标人或采购代理机构提出，以便补齐。如有疑问，应在投标人须知前附表规定的时间前，要求招标人或采购代理机构对招标文件予以澄清。</w:t>
      </w:r>
      <w:r/>
    </w:p>
    <w:p>
      <w:pPr>
        <w:ind w:firstLine="560"/>
        <w:spacing w:line="520" w:lineRule="exact"/>
        <w:rPr>
          <w:rFonts w:ascii="宋体"/>
          <w:sz w:val="28"/>
          <w:szCs w:val="28"/>
        </w:rPr>
      </w:pPr>
      <w:r>
        <w:rPr>
          <w:rFonts w:hint="eastAsia" w:ascii="宋体" w:hAnsi="宋体" w:cs="宋体"/>
          <w:sz w:val="28"/>
          <w:szCs w:val="28"/>
        </w:rPr>
        <w:t xml:space="preserve">招标文件的澄清将在投标截止时间</w:t>
      </w:r>
      <w:r>
        <w:rPr>
          <w:rFonts w:ascii="宋体" w:hAnsi="宋体"/>
          <w:sz w:val="28"/>
          <w:szCs w:val="28"/>
        </w:rPr>
        <w:t xml:space="preserve">15</w:t>
      </w:r>
      <w:r>
        <w:rPr>
          <w:rFonts w:hint="eastAsia" w:ascii="宋体" w:hAnsi="宋体" w:cs="宋体"/>
          <w:sz w:val="28"/>
          <w:szCs w:val="28"/>
        </w:rPr>
        <w:t xml:space="preserve">天前在原公告信息发布媒体公开发布</w:t>
      </w:r>
      <w:r>
        <w:rPr>
          <w:rFonts w:ascii="宋体"/>
          <w:sz w:val="28"/>
          <w:szCs w:val="28"/>
        </w:rPr>
        <w:t xml:space="preserve">,</w:t>
      </w:r>
      <w:r>
        <w:rPr>
          <w:rFonts w:hint="eastAsia" w:ascii="宋体" w:hAnsi="宋体" w:cs="宋体"/>
          <w:sz w:val="28"/>
          <w:szCs w:val="28"/>
        </w:rPr>
        <w:t xml:space="preserve">但不指明问题的来源。如果澄清发布的时间距投标截止时间不足</w:t>
      </w:r>
      <w:r>
        <w:rPr>
          <w:rFonts w:ascii="宋体" w:hAnsi="宋体"/>
          <w:sz w:val="28"/>
          <w:szCs w:val="28"/>
        </w:rPr>
        <w:t xml:space="preserve">15</w:t>
      </w:r>
      <w:r>
        <w:rPr>
          <w:rFonts w:hint="eastAsia" w:ascii="宋体" w:hAnsi="宋体" w:cs="宋体"/>
          <w:sz w:val="28"/>
          <w:szCs w:val="28"/>
        </w:rPr>
        <w:t xml:space="preserve">天，并且澄清内容影响投标文件编制的，将相应延长投标截止时间。</w:t>
      </w:r>
      <w:r/>
    </w:p>
    <w:p>
      <w:pPr>
        <w:spacing w:line="520" w:lineRule="exact"/>
        <w:rPr>
          <w:rFonts w:ascii="楷体" w:hAnsi="楷体" w:eastAsia="楷体"/>
          <w:b/>
          <w:sz w:val="28"/>
          <w:szCs w:val="28"/>
        </w:rPr>
      </w:pPr>
      <w:r/>
      <w:bookmarkStart w:id="178" w:name="_Toc247085704"/>
      <w:r/>
      <w:bookmarkStart w:id="179" w:name="_Toc246996933"/>
      <w:r/>
      <w:bookmarkStart w:id="180" w:name="_Toc152045545"/>
      <w:r/>
      <w:bookmarkStart w:id="181" w:name="_Toc383438607"/>
      <w:r/>
      <w:bookmarkStart w:id="182" w:name="_Toc179632563"/>
      <w:r/>
      <w:bookmarkStart w:id="183" w:name="_Toc144974513"/>
      <w:r/>
      <w:bookmarkStart w:id="184" w:name="_Toc152042321"/>
      <w:r/>
      <w:bookmarkStart w:id="185" w:name="_Toc426469885"/>
      <w:r/>
      <w:bookmarkStart w:id="186" w:name="_Toc246996190"/>
      <w:r/>
      <w:bookmarkStart w:id="187" w:name="_Toc343525520"/>
      <w:r>
        <w:rPr>
          <w:rFonts w:ascii="楷体" w:hAnsi="楷体" w:eastAsia="楷体"/>
          <w:b/>
          <w:sz w:val="28"/>
          <w:szCs w:val="28"/>
        </w:rPr>
        <w:t xml:space="preserve">2.3 </w:t>
      </w:r>
      <w:r>
        <w:rPr>
          <w:rFonts w:hint="eastAsia" w:ascii="楷体" w:hAnsi="楷体" w:eastAsia="楷体" w:cs="宋体"/>
          <w:b/>
          <w:sz w:val="28"/>
          <w:szCs w:val="28"/>
        </w:rPr>
        <w:t xml:space="preserve">招标文件的修改</w:t>
      </w:r>
      <w:bookmarkEnd w:id="178"/>
      <w:r/>
      <w:bookmarkEnd w:id="179"/>
      <w:r/>
      <w:bookmarkEnd w:id="180"/>
      <w:r/>
      <w:bookmarkEnd w:id="181"/>
      <w:r/>
      <w:bookmarkEnd w:id="182"/>
      <w:r/>
      <w:bookmarkEnd w:id="183"/>
      <w:r/>
      <w:bookmarkEnd w:id="184"/>
      <w:r/>
      <w:bookmarkEnd w:id="185"/>
      <w:r/>
      <w:bookmarkEnd w:id="186"/>
      <w:r/>
      <w:bookmarkEnd w:id="187"/>
      <w:r/>
      <w:r/>
    </w:p>
    <w:p>
      <w:pPr>
        <w:ind w:firstLine="560"/>
        <w:spacing w:line="520" w:lineRule="exact"/>
        <w:rPr>
          <w:rFonts w:ascii="宋体" w:hAnsi="宋体" w:cs="宋体"/>
          <w:sz w:val="28"/>
          <w:szCs w:val="28"/>
        </w:rPr>
      </w:pPr>
      <w:r>
        <w:rPr>
          <w:rFonts w:hint="eastAsia" w:ascii="宋体" w:hAnsi="宋体" w:cs="宋体"/>
          <w:sz w:val="28"/>
          <w:szCs w:val="28"/>
        </w:rPr>
        <w:t xml:space="preserve">对已发出的招标文件可以进行必要的修改，修改后的内容是招标文件的组成部分，并将在原公告信息发布媒体公开发布。如果修改招标文件的时间距投标截止时间不足</w:t>
      </w:r>
      <w:r>
        <w:rPr>
          <w:rFonts w:ascii="宋体" w:hAnsi="宋体" w:cs="宋体"/>
          <w:sz w:val="28"/>
          <w:szCs w:val="28"/>
        </w:rPr>
        <w:t xml:space="preserve">15</w:t>
      </w:r>
      <w:r>
        <w:rPr>
          <w:rFonts w:hint="eastAsia" w:ascii="宋体" w:hAnsi="宋体" w:cs="宋体"/>
          <w:sz w:val="28"/>
          <w:szCs w:val="28"/>
        </w:rPr>
        <w:t xml:space="preserve">天，并且修改内容影响投标文件编制的，将相应延长投标截止时间。</w:t>
      </w:r>
      <w:r/>
    </w:p>
    <w:p>
      <w:pPr>
        <w:spacing w:line="520" w:lineRule="exact"/>
        <w:rPr>
          <w:rFonts w:ascii="楷体" w:hAnsi="楷体" w:eastAsia="楷体" w:cs="宋体"/>
          <w:b/>
          <w:sz w:val="28"/>
          <w:szCs w:val="28"/>
        </w:rPr>
      </w:pPr>
      <w:r>
        <w:rPr>
          <w:rFonts w:hint="eastAsia" w:ascii="楷体" w:hAnsi="楷体" w:eastAsia="楷体" w:cs="宋体"/>
          <w:b/>
          <w:sz w:val="28"/>
          <w:szCs w:val="28"/>
        </w:rPr>
        <w:t xml:space="preserve">2.4招标文件的重新发布</w:t>
      </w:r>
      <w:r/>
    </w:p>
    <w:p>
      <w:pPr>
        <w:ind w:firstLine="560"/>
        <w:spacing w:line="520" w:lineRule="exact"/>
        <w:rPr>
          <w:rFonts w:ascii="宋体" w:hAnsi="宋体" w:cs="宋体"/>
          <w:sz w:val="28"/>
          <w:szCs w:val="28"/>
        </w:rPr>
      </w:pPr>
      <w:r>
        <w:rPr>
          <w:rFonts w:hint="eastAsia" w:ascii="宋体" w:hAnsi="宋体" w:cs="宋体"/>
          <w:sz w:val="28"/>
          <w:szCs w:val="28"/>
        </w:rPr>
        <w:t xml:space="preserve">招标文件的澄清或修改涉及到申请人的资格条件、评标办法、采购需求等实质性内容时，将重新发布招标公告。</w:t>
      </w:r>
      <w:r/>
    </w:p>
    <w:p>
      <w:pPr>
        <w:spacing w:line="520" w:lineRule="exact"/>
        <w:rPr>
          <w:rFonts w:ascii="黑体" w:hAnsi="黑体" w:eastAsia="黑体"/>
          <w:b/>
          <w:sz w:val="32"/>
          <w:szCs w:val="32"/>
        </w:rPr>
      </w:pPr>
      <w:r/>
      <w:bookmarkStart w:id="188" w:name="_Toc383438609"/>
      <w:r/>
      <w:bookmarkStart w:id="189" w:name="_Toc144974514"/>
      <w:r/>
      <w:bookmarkStart w:id="190" w:name="_Toc152042322"/>
      <w:r/>
      <w:bookmarkStart w:id="191" w:name="_Toc179632564"/>
      <w:r/>
      <w:bookmarkStart w:id="192" w:name="_Toc246996191"/>
      <w:r/>
      <w:bookmarkStart w:id="193" w:name="_Toc152045546"/>
      <w:r/>
      <w:bookmarkStart w:id="194" w:name="_Toc247085705"/>
      <w:r/>
      <w:bookmarkStart w:id="195" w:name="_Toc246996934"/>
      <w:r/>
      <w:bookmarkStart w:id="196" w:name="_Toc343525522"/>
      <w:r/>
      <w:bookmarkStart w:id="197" w:name="_Toc426469887"/>
      <w:r>
        <w:rPr>
          <w:rFonts w:ascii="黑体" w:hAnsi="黑体" w:eastAsia="黑体"/>
          <w:b/>
          <w:sz w:val="32"/>
          <w:szCs w:val="32"/>
        </w:rPr>
        <w:t xml:space="preserve">3. </w:t>
      </w:r>
      <w:r>
        <w:rPr>
          <w:rFonts w:hint="eastAsia" w:ascii="黑体" w:hAnsi="黑体" w:eastAsia="黑体" w:cs="宋体"/>
          <w:b/>
          <w:sz w:val="32"/>
          <w:szCs w:val="32"/>
        </w:rPr>
        <w:t xml:space="preserve">投标</w:t>
      </w:r>
      <w:bookmarkEnd w:id="188"/>
      <w:r/>
      <w:bookmarkEnd w:id="189"/>
      <w:r/>
      <w:bookmarkEnd w:id="190"/>
      <w:r/>
      <w:bookmarkEnd w:id="191"/>
      <w:r/>
      <w:bookmarkEnd w:id="192"/>
      <w:r/>
      <w:bookmarkEnd w:id="193"/>
      <w:r/>
      <w:bookmarkEnd w:id="194"/>
      <w:r/>
      <w:bookmarkEnd w:id="195"/>
      <w:r/>
      <w:bookmarkEnd w:id="196"/>
      <w:r>
        <w:rPr>
          <w:rFonts w:hint="eastAsia" w:ascii="黑体" w:hAnsi="黑体" w:eastAsia="黑体" w:cs="宋体"/>
          <w:b/>
          <w:sz w:val="32"/>
          <w:szCs w:val="32"/>
        </w:rPr>
        <w:t xml:space="preserve">文件</w:t>
      </w:r>
      <w:bookmarkEnd w:id="197"/>
      <w:r/>
      <w:r/>
    </w:p>
    <w:p>
      <w:pPr>
        <w:spacing w:line="520" w:lineRule="exact"/>
        <w:rPr>
          <w:rFonts w:ascii="楷体" w:hAnsi="楷体" w:eastAsia="楷体" w:cs="宋体"/>
          <w:b/>
          <w:sz w:val="28"/>
          <w:szCs w:val="28"/>
        </w:rPr>
      </w:pPr>
      <w:r/>
      <w:bookmarkStart w:id="198" w:name="_Toc383438610"/>
      <w:r/>
      <w:bookmarkStart w:id="199" w:name="_Toc152045547"/>
      <w:r/>
      <w:bookmarkStart w:id="200" w:name="_Toc247085706"/>
      <w:r/>
      <w:bookmarkStart w:id="201" w:name="_Toc179632565"/>
      <w:r/>
      <w:bookmarkStart w:id="202" w:name="_Toc343525523"/>
      <w:r/>
      <w:bookmarkStart w:id="203" w:name="_Toc246996192"/>
      <w:r/>
      <w:bookmarkStart w:id="204" w:name="_Toc144974515"/>
      <w:r/>
      <w:bookmarkStart w:id="205" w:name="_Toc152042323"/>
      <w:r/>
      <w:bookmarkStart w:id="206" w:name="_Toc246996935"/>
      <w:r/>
      <w:bookmarkStart w:id="207" w:name="_Toc426469888"/>
      <w:r>
        <w:rPr>
          <w:rFonts w:ascii="楷体" w:hAnsi="楷体" w:eastAsia="楷体"/>
          <w:b/>
          <w:sz w:val="28"/>
          <w:szCs w:val="28"/>
        </w:rPr>
        <w:t xml:space="preserve">3</w:t>
      </w:r>
      <w:r>
        <w:rPr>
          <w:rFonts w:ascii="楷体" w:hAnsi="楷体" w:eastAsia="楷体" w:cs="宋体"/>
          <w:b/>
          <w:sz w:val="28"/>
          <w:szCs w:val="28"/>
        </w:rPr>
        <w:t xml:space="preserve">.1</w:t>
      </w:r>
      <w:bookmarkEnd w:id="198"/>
      <w:r/>
      <w:bookmarkEnd w:id="199"/>
      <w:r/>
      <w:bookmarkEnd w:id="200"/>
      <w:r/>
      <w:bookmarkEnd w:id="201"/>
      <w:r/>
      <w:bookmarkEnd w:id="202"/>
      <w:r/>
      <w:bookmarkEnd w:id="203"/>
      <w:r/>
      <w:bookmarkEnd w:id="204"/>
      <w:r/>
      <w:bookmarkEnd w:id="205"/>
      <w:r/>
      <w:bookmarkEnd w:id="206"/>
      <w:r>
        <w:rPr>
          <w:rFonts w:hint="eastAsia" w:ascii="楷体" w:hAnsi="楷体" w:eastAsia="楷体" w:cs="宋体"/>
          <w:b/>
          <w:sz w:val="28"/>
          <w:szCs w:val="28"/>
        </w:rPr>
        <w:t xml:space="preserve">投标文件的组成</w:t>
      </w:r>
      <w:bookmarkEnd w:id="207"/>
      <w:r/>
      <w:r/>
    </w:p>
    <w:p>
      <w:pPr>
        <w:ind w:firstLine="560"/>
        <w:spacing w:line="520" w:lineRule="exact"/>
        <w:rPr>
          <w:rFonts w:ascii="宋体" w:hAnsi="宋体" w:cs="宋体"/>
          <w:sz w:val="28"/>
          <w:szCs w:val="28"/>
        </w:rPr>
      </w:pPr>
      <w:r>
        <w:rPr>
          <w:rFonts w:hint="eastAsia" w:ascii="宋体" w:hAnsi="宋体" w:cs="宋体"/>
          <w:sz w:val="28"/>
          <w:szCs w:val="28"/>
        </w:rPr>
        <w:t xml:space="preserve">投标文件的组成：见投标人须知前附表。</w:t>
      </w:r>
      <w:r/>
    </w:p>
    <w:p>
      <w:pPr>
        <w:spacing w:line="520" w:lineRule="exact"/>
        <w:rPr>
          <w:rFonts w:ascii="楷体" w:hAnsi="楷体" w:eastAsia="楷体" w:cs="宋体"/>
          <w:b/>
          <w:sz w:val="28"/>
          <w:szCs w:val="28"/>
        </w:rPr>
      </w:pPr>
      <w:r/>
      <w:bookmarkStart w:id="208" w:name="_Toc367785004"/>
      <w:r/>
      <w:bookmarkStart w:id="209" w:name="_Toc426469889"/>
      <w:r>
        <w:rPr>
          <w:rFonts w:ascii="楷体" w:hAnsi="楷体" w:eastAsia="楷体" w:cs="宋体"/>
          <w:b/>
          <w:sz w:val="28"/>
          <w:szCs w:val="28"/>
        </w:rPr>
        <w:t xml:space="preserve">3.2</w:t>
      </w:r>
      <w:bookmarkEnd w:id="208"/>
      <w:r>
        <w:rPr>
          <w:rFonts w:hint="eastAsia" w:ascii="楷体" w:hAnsi="楷体" w:eastAsia="楷体" w:cs="宋体"/>
          <w:b/>
          <w:sz w:val="28"/>
          <w:szCs w:val="28"/>
        </w:rPr>
        <w:t xml:space="preserve">投标报价</w:t>
      </w:r>
      <w:bookmarkEnd w:id="209"/>
      <w:r/>
      <w:r/>
    </w:p>
    <w:p>
      <w:pPr>
        <w:ind w:firstLine="560"/>
        <w:spacing w:line="520" w:lineRule="exact"/>
        <w:rPr>
          <w:rFonts w:ascii="宋体" w:hAnsi="宋体" w:cs="宋体"/>
          <w:sz w:val="28"/>
          <w:szCs w:val="28"/>
        </w:rPr>
      </w:pPr>
      <w:r/>
      <w:bookmarkStart w:id="210" w:name="_Toc152042325"/>
      <w:r/>
      <w:bookmarkStart w:id="211" w:name="_Toc246996194"/>
      <w:r/>
      <w:bookmarkStart w:id="212" w:name="_Toc247085708"/>
      <w:r/>
      <w:bookmarkStart w:id="213" w:name="_Toc383438612"/>
      <w:r/>
      <w:bookmarkStart w:id="214" w:name="_Toc426469890"/>
      <w:r/>
      <w:bookmarkStart w:id="215" w:name="_Toc144974517"/>
      <w:r/>
      <w:bookmarkStart w:id="216" w:name="_Toc246996937"/>
      <w:r/>
      <w:bookmarkStart w:id="217" w:name="_Toc343525525"/>
      <w:r/>
      <w:bookmarkStart w:id="218" w:name="_Toc179632567"/>
      <w:r/>
      <w:bookmarkStart w:id="219" w:name="_Toc152045549"/>
      <w:r>
        <w:rPr>
          <w:rFonts w:hint="eastAsia" w:ascii="宋体" w:hAnsi="宋体" w:cs="宋体"/>
          <w:sz w:val="28"/>
          <w:szCs w:val="28"/>
        </w:rPr>
        <w:t xml:space="preserve">3.2.1 投标人应按招标文件规定的供货及服务要求、责任范围和合同条件，以人民币进行报价。报价应包括但不限于：所投货物和服务、辅材（含专用工具）、软件开发、运用、维护、知识产权、税金、运输、装卸、保险、检测验收、人员培训、安装调试、交付后质保等所有费用。</w:t>
      </w:r>
      <w:r/>
    </w:p>
    <w:p>
      <w:pPr>
        <w:ind w:firstLine="560"/>
        <w:spacing w:line="520" w:lineRule="exact"/>
        <w:rPr>
          <w:rFonts w:ascii="宋体" w:hAnsi="宋体" w:cs="宋体"/>
          <w:sz w:val="28"/>
          <w:szCs w:val="28"/>
        </w:rPr>
      </w:pPr>
      <w:r>
        <w:rPr>
          <w:rFonts w:hint="eastAsia" w:ascii="宋体" w:hAnsi="宋体" w:cs="宋体"/>
          <w:sz w:val="28"/>
          <w:szCs w:val="28"/>
        </w:rPr>
        <w:t xml:space="preserve">3.2.2 投标人应按开标一览表和分项价格表的内容和格式要求填写各项货物及服务的分项价格和总价。投标总价中不得包含招标文件要求以外的内容，否则，在评标时不予核减。投标总价中也不得缺漏招标文件所要求的内容，否则，在评标时将其视为无效投标。</w:t>
      </w:r>
      <w:r/>
    </w:p>
    <w:p>
      <w:pPr>
        <w:ind w:firstLine="560"/>
        <w:spacing w:line="520" w:lineRule="exact"/>
        <w:rPr>
          <w:rFonts w:ascii="宋体" w:hAnsi="宋体" w:cs="宋体"/>
          <w:sz w:val="28"/>
          <w:szCs w:val="28"/>
        </w:rPr>
      </w:pPr>
      <w:r>
        <w:rPr>
          <w:rFonts w:hint="eastAsia" w:ascii="宋体" w:hAnsi="宋体" w:cs="宋体"/>
          <w:sz w:val="28"/>
          <w:szCs w:val="28"/>
        </w:rPr>
        <w:t xml:space="preserve">3.2.3投标人对每种货物及服务只允许有一个报价，不接受选择性报价，否则，在评标时将其视为无效投标。</w:t>
      </w:r>
      <w:r/>
    </w:p>
    <w:p>
      <w:pPr>
        <w:ind w:firstLine="560"/>
        <w:spacing w:line="520" w:lineRule="exact"/>
        <w:rPr>
          <w:rFonts w:ascii="宋体" w:hAnsi="宋体" w:cs="宋体"/>
          <w:sz w:val="28"/>
          <w:szCs w:val="28"/>
        </w:rPr>
      </w:pPr>
      <w:r>
        <w:rPr>
          <w:rFonts w:hint="eastAsia" w:ascii="宋体" w:hAnsi="宋体" w:cs="宋体"/>
          <w:sz w:val="28"/>
          <w:szCs w:val="28"/>
        </w:rPr>
        <w:t xml:space="preserve">3.2.4投标人的投标报价不得超过采购项目最高限价。</w:t>
      </w:r>
      <w:r/>
    </w:p>
    <w:p>
      <w:pPr>
        <w:ind w:firstLine="560"/>
        <w:spacing w:line="520" w:lineRule="exact"/>
        <w:rPr>
          <w:rFonts w:ascii="宋体" w:hAnsi="宋体" w:cs="宋体"/>
          <w:sz w:val="28"/>
          <w:szCs w:val="28"/>
        </w:rPr>
      </w:pPr>
      <w:r>
        <w:rPr>
          <w:rFonts w:hint="eastAsia" w:ascii="宋体" w:hAnsi="宋体" w:cs="宋体"/>
          <w:sz w:val="28"/>
          <w:szCs w:val="28"/>
        </w:rPr>
        <w:t xml:space="preserve">3.2.5投标文件中标明的价格在合同执行过程中是固定不变的，不得以任何理由予以变更。任何包含价格调整要求和条件的投标，在评标时将其视为无效投标。</w:t>
      </w:r>
      <w:r/>
    </w:p>
    <w:p>
      <w:pPr>
        <w:spacing w:line="520" w:lineRule="exact"/>
        <w:rPr>
          <w:rFonts w:ascii="楷体" w:hAnsi="楷体" w:eastAsia="楷体"/>
          <w:b/>
          <w:sz w:val="28"/>
          <w:szCs w:val="28"/>
        </w:rPr>
      </w:pPr>
      <w:r>
        <w:rPr>
          <w:rFonts w:ascii="楷体" w:hAnsi="楷体" w:eastAsia="楷体"/>
          <w:b/>
          <w:sz w:val="28"/>
          <w:szCs w:val="28"/>
        </w:rPr>
        <w:t xml:space="preserve">3.3</w:t>
      </w:r>
      <w:r>
        <w:rPr>
          <w:rFonts w:hint="eastAsia" w:ascii="楷体" w:hAnsi="楷体" w:eastAsia="楷体" w:cs="宋体"/>
          <w:b/>
          <w:sz w:val="28"/>
          <w:szCs w:val="28"/>
        </w:rPr>
        <w:t xml:space="preserve">投标有效期</w:t>
      </w:r>
      <w:bookmarkEnd w:id="210"/>
      <w:r/>
      <w:bookmarkEnd w:id="211"/>
      <w:r/>
      <w:bookmarkEnd w:id="212"/>
      <w:r/>
      <w:bookmarkEnd w:id="213"/>
      <w:r/>
      <w:bookmarkEnd w:id="214"/>
      <w:r/>
      <w:bookmarkEnd w:id="215"/>
      <w:r/>
      <w:bookmarkEnd w:id="216"/>
      <w:r/>
      <w:bookmarkEnd w:id="217"/>
      <w:r/>
      <w:bookmarkEnd w:id="218"/>
      <w:r/>
      <w:bookmarkEnd w:id="219"/>
      <w:r/>
      <w:r/>
    </w:p>
    <w:p>
      <w:pPr>
        <w:ind w:firstLine="560"/>
        <w:spacing w:line="520" w:lineRule="exact"/>
        <w:rPr>
          <w:rFonts w:ascii="宋体"/>
          <w:sz w:val="28"/>
          <w:szCs w:val="28"/>
        </w:rPr>
      </w:pPr>
      <w:r>
        <w:rPr>
          <w:rFonts w:ascii="宋体" w:hAnsi="宋体"/>
          <w:sz w:val="28"/>
          <w:szCs w:val="28"/>
        </w:rPr>
        <w:t xml:space="preserve">3.3.1在</w:t>
      </w:r>
      <w:r>
        <w:rPr>
          <w:rFonts w:hint="eastAsia" w:ascii="宋体" w:hAnsi="宋体" w:cs="宋体"/>
          <w:sz w:val="28"/>
          <w:szCs w:val="28"/>
        </w:rPr>
        <w:t xml:space="preserve">投标人须知前附表规定的投标有效期内，投标人不得要求撤销或修改其投标文件。</w:t>
      </w:r>
      <w:r/>
    </w:p>
    <w:p>
      <w:pPr>
        <w:ind w:firstLine="560"/>
        <w:spacing w:line="520" w:lineRule="exact"/>
        <w:rPr>
          <w:rFonts w:ascii="宋体"/>
          <w:sz w:val="28"/>
          <w:szCs w:val="28"/>
        </w:rPr>
      </w:pPr>
      <w:r>
        <w:rPr>
          <w:rFonts w:ascii="宋体" w:hAnsi="宋体"/>
          <w:sz w:val="28"/>
          <w:szCs w:val="28"/>
        </w:rPr>
        <w:t xml:space="preserve">3.3.2</w:t>
      </w:r>
      <w:r>
        <w:rPr>
          <w:rFonts w:hint="eastAsia" w:ascii="宋体" w:hAnsi="宋体" w:cs="宋体"/>
          <w:sz w:val="28"/>
          <w:szCs w:val="28"/>
        </w:rPr>
        <w:t xml:space="preserve">出现特殊情况需要延长投标有效期的，招标人将以书面形式通知投标人。投标人拒绝延长投标有效期的，其投标失效。</w:t>
      </w:r>
      <w:r/>
    </w:p>
    <w:p>
      <w:pPr>
        <w:spacing w:line="520" w:lineRule="exact"/>
        <w:rPr>
          <w:rFonts w:ascii="楷体" w:hAnsi="楷体" w:eastAsia="楷体"/>
          <w:b/>
          <w:sz w:val="28"/>
          <w:szCs w:val="28"/>
        </w:rPr>
      </w:pPr>
      <w:r/>
      <w:bookmarkStart w:id="220" w:name="_Toc426469892"/>
      <w:r>
        <w:rPr>
          <w:rFonts w:ascii="楷体" w:hAnsi="楷体" w:eastAsia="楷体"/>
          <w:b/>
          <w:sz w:val="28"/>
          <w:szCs w:val="28"/>
        </w:rPr>
        <w:t xml:space="preserve">3.4</w:t>
      </w:r>
      <w:r>
        <w:rPr>
          <w:rFonts w:hint="eastAsia" w:ascii="楷体" w:hAnsi="楷体" w:eastAsia="楷体" w:cs="宋体"/>
          <w:b/>
          <w:sz w:val="28"/>
          <w:szCs w:val="28"/>
        </w:rPr>
        <w:t xml:space="preserve">投标文件的编制</w:t>
      </w:r>
      <w:bookmarkEnd w:id="220"/>
      <w:r/>
      <w:r/>
    </w:p>
    <w:p>
      <w:pPr>
        <w:ind w:firstLine="560"/>
        <w:spacing w:line="520" w:lineRule="exact"/>
        <w:rPr>
          <w:rFonts w:ascii="宋体"/>
          <w:sz w:val="28"/>
          <w:szCs w:val="28"/>
        </w:rPr>
      </w:pPr>
      <w:r>
        <w:rPr>
          <w:rFonts w:ascii="宋体" w:hAnsi="宋体"/>
          <w:sz w:val="28"/>
          <w:szCs w:val="28"/>
        </w:rPr>
        <w:t xml:space="preserve">3.4.1</w:t>
      </w:r>
      <w:r>
        <w:rPr>
          <w:rFonts w:hint="eastAsia" w:ascii="宋体" w:hAnsi="宋体" w:cs="宋体"/>
          <w:sz w:val="28"/>
          <w:szCs w:val="28"/>
        </w:rPr>
        <w:t xml:space="preserve">投标人可以按照第五章</w:t>
      </w:r>
      <w:r>
        <w:rPr>
          <w:rFonts w:hint="eastAsia" w:ascii="宋体" w:hAnsi="宋体"/>
          <w:sz w:val="28"/>
          <w:szCs w:val="28"/>
        </w:rPr>
        <w:t xml:space="preserve">“</w:t>
      </w:r>
      <w:r>
        <w:rPr>
          <w:rFonts w:hint="eastAsia" w:ascii="宋体" w:hAnsi="宋体" w:cs="宋体"/>
          <w:sz w:val="28"/>
          <w:szCs w:val="28"/>
        </w:rPr>
        <w:t xml:space="preserve">投标文件的编制要求及参考格式</w:t>
      </w:r>
      <w:r>
        <w:rPr>
          <w:rFonts w:hint="eastAsia" w:ascii="宋体" w:hAnsi="宋体"/>
          <w:sz w:val="28"/>
          <w:szCs w:val="28"/>
        </w:rPr>
        <w:t xml:space="preserve">”</w:t>
      </w:r>
      <w:r>
        <w:rPr>
          <w:rFonts w:hint="eastAsia" w:ascii="宋体" w:hAnsi="宋体" w:cs="宋体"/>
          <w:sz w:val="28"/>
          <w:szCs w:val="28"/>
        </w:rPr>
        <w:t xml:space="preserve">要求编制投标文件。需另行增加的相关内容和材料应编入投标文件相应章节，作为投标文件的组成部分。</w:t>
      </w:r>
      <w:r/>
    </w:p>
    <w:p>
      <w:pPr>
        <w:ind w:firstLine="560"/>
        <w:spacing w:line="520" w:lineRule="exact"/>
        <w:rPr>
          <w:rFonts w:ascii="宋体" w:hAnsi="宋体"/>
          <w:sz w:val="28"/>
          <w:szCs w:val="28"/>
        </w:rPr>
      </w:pPr>
      <w:r>
        <w:rPr>
          <w:rFonts w:ascii="宋体" w:hAnsi="宋体"/>
          <w:sz w:val="28"/>
          <w:szCs w:val="28"/>
        </w:rPr>
        <w:t xml:space="preserve">3.4.2</w:t>
      </w:r>
      <w:r>
        <w:rPr>
          <w:rFonts w:hint="eastAsia" w:ascii="宋体" w:hAnsi="宋体"/>
          <w:sz w:val="28"/>
          <w:szCs w:val="28"/>
        </w:rPr>
        <w:t xml:space="preserve">投标人</w:t>
      </w:r>
      <w:r>
        <w:rPr>
          <w:rFonts w:ascii="宋体" w:hAnsi="宋体"/>
          <w:sz w:val="28"/>
          <w:szCs w:val="28"/>
        </w:rPr>
        <w:t xml:space="preserve">应对招标文件中的资格要求、</w:t>
      </w:r>
      <w:r>
        <w:rPr>
          <w:rFonts w:hint="eastAsia" w:ascii="宋体" w:hAnsi="宋体" w:cs="宋体"/>
          <w:sz w:val="28"/>
          <w:szCs w:val="28"/>
        </w:rPr>
        <w:t xml:space="preserve">合同履行期限、投标有效期、技术、服务标准和要求等实质性内容作出响应，并根据评审因素提供相应的证明材料。</w:t>
      </w:r>
      <w:r/>
    </w:p>
    <w:p>
      <w:pPr>
        <w:ind w:firstLine="560"/>
        <w:spacing w:line="520" w:lineRule="exact"/>
        <w:rPr>
          <w:rFonts w:ascii="宋体" w:hAnsi="宋体"/>
          <w:sz w:val="28"/>
          <w:szCs w:val="28"/>
        </w:rPr>
      </w:pPr>
      <w:r>
        <w:rPr>
          <w:rFonts w:hint="eastAsia" w:ascii="宋体" w:hAnsi="宋体"/>
          <w:sz w:val="28"/>
          <w:szCs w:val="28"/>
        </w:rPr>
        <w:t xml:space="preserve">3.4.3 投标文件的数量：见投标人须知前附表。</w:t>
      </w:r>
      <w:r/>
    </w:p>
    <w:p>
      <w:pPr>
        <w:ind w:firstLine="560"/>
        <w:spacing w:line="520" w:lineRule="exact"/>
        <w:rPr>
          <w:rFonts w:ascii="宋体" w:hAnsi="宋体"/>
          <w:sz w:val="28"/>
          <w:szCs w:val="28"/>
        </w:rPr>
      </w:pPr>
      <w:r/>
      <w:bookmarkStart w:id="221" w:name="_Toc367785016"/>
      <w:r/>
      <w:bookmarkStart w:id="222" w:name="_Toc426469894"/>
      <w:r>
        <w:rPr>
          <w:rFonts w:hint="eastAsia" w:ascii="宋体" w:hAnsi="宋体"/>
          <w:sz w:val="28"/>
          <w:szCs w:val="28"/>
        </w:rPr>
        <w:t xml:space="preserve">3.4.4投标文件的签署：见投标人须知前附表。</w:t>
      </w:r>
      <w:bookmarkEnd w:id="93"/>
      <w:bookmarkEnd w:id="221"/>
      <w:bookmarkEnd w:id="222"/>
      <w:r/>
    </w:p>
    <w:p>
      <w:pPr>
        <w:spacing w:line="520" w:lineRule="exact"/>
        <w:rPr>
          <w:rFonts w:ascii="黑体" w:hAnsi="黑体" w:eastAsia="黑体"/>
          <w:sz w:val="32"/>
          <w:szCs w:val="32"/>
        </w:rPr>
      </w:pPr>
      <w:r/>
      <w:bookmarkStart w:id="223" w:name="_Toc152045587"/>
      <w:r/>
      <w:bookmarkStart w:id="224" w:name="_Toc144974554"/>
      <w:r/>
      <w:bookmarkStart w:id="225" w:name="_Toc247085745"/>
      <w:r/>
      <w:bookmarkStart w:id="226" w:name="_Toc152042364"/>
      <w:r/>
      <w:bookmarkStart w:id="227" w:name="_Toc390099019"/>
      <w:r/>
      <w:bookmarkStart w:id="228" w:name="_Toc390098841"/>
      <w:r/>
      <w:bookmarkStart w:id="229" w:name="_Toc179632605"/>
      <w:r/>
      <w:bookmarkStart w:id="230" w:name="_Toc246996230"/>
      <w:r/>
      <w:bookmarkStart w:id="231" w:name="_Toc383623673"/>
      <w:r/>
      <w:bookmarkStart w:id="232" w:name="_Toc383625994"/>
      <w:r/>
      <w:bookmarkStart w:id="233" w:name="_Toc383587457"/>
      <w:r/>
      <w:bookmarkStart w:id="234" w:name="_Toc383623945"/>
      <w:r/>
      <w:bookmarkStart w:id="235" w:name="_Toc343525562"/>
      <w:r/>
      <w:bookmarkStart w:id="236" w:name="_Toc383698648"/>
      <w:r/>
      <w:bookmarkStart w:id="237" w:name="_Toc383438646"/>
      <w:r/>
      <w:bookmarkStart w:id="238" w:name="_Toc390246906"/>
      <w:r/>
      <w:bookmarkStart w:id="239" w:name="_Toc246996973"/>
      <w:r/>
      <w:bookmarkStart w:id="240" w:name="_Toc383679747"/>
      <w:r>
        <w:rPr>
          <w:rFonts w:ascii="黑体" w:hAnsi="黑体" w:eastAsia="黑体"/>
          <w:sz w:val="32"/>
          <w:szCs w:val="32"/>
        </w:rPr>
        <w:t xml:space="preserve">4.</w:t>
      </w:r>
      <w:r>
        <w:rPr>
          <w:rFonts w:hint="eastAsia" w:ascii="黑体" w:hAnsi="黑体" w:eastAsia="黑体" w:cs="宋体"/>
          <w:sz w:val="32"/>
          <w:szCs w:val="32"/>
        </w:rPr>
        <w:t xml:space="preserve">投标</w:t>
      </w:r>
      <w:r/>
    </w:p>
    <w:p>
      <w:pPr>
        <w:spacing w:line="520" w:lineRule="exact"/>
        <w:rPr>
          <w:rFonts w:ascii="楷体" w:hAnsi="楷体" w:eastAsia="楷体" w:cs="宋体"/>
          <w:b/>
          <w:bCs/>
          <w:sz w:val="28"/>
          <w:szCs w:val="28"/>
        </w:rPr>
      </w:pPr>
      <w:r>
        <w:rPr>
          <w:rFonts w:ascii="楷体" w:hAnsi="楷体" w:eastAsia="楷体"/>
          <w:b/>
          <w:sz w:val="28"/>
          <w:szCs w:val="28"/>
        </w:rPr>
        <w:t xml:space="preserve">4.1</w:t>
      </w:r>
      <w:r>
        <w:rPr>
          <w:rFonts w:hint="eastAsia" w:ascii="楷体" w:hAnsi="楷体" w:eastAsia="楷体" w:cs="宋体"/>
          <w:b/>
          <w:bCs/>
          <w:sz w:val="28"/>
          <w:szCs w:val="28"/>
        </w:rPr>
        <w:t xml:space="preserve">投标文件的上传</w:t>
      </w:r>
      <w:r/>
    </w:p>
    <w:p>
      <w:pPr>
        <w:ind w:firstLine="560"/>
        <w:spacing w:line="520" w:lineRule="exact"/>
        <w:rPr>
          <w:rFonts w:ascii="宋体" w:hAnsi="宋体" w:cs="宋体"/>
          <w:sz w:val="28"/>
          <w:szCs w:val="28"/>
        </w:rPr>
      </w:pPr>
      <w:r>
        <w:rPr>
          <w:rFonts w:hint="eastAsia" w:ascii="宋体" w:hAnsi="宋体" w:cs="宋体"/>
          <w:sz w:val="28"/>
          <w:szCs w:val="28"/>
        </w:rPr>
        <w:t xml:space="preserve">投标人应充分考虑</w:t>
      </w:r>
      <w:r>
        <w:rPr>
          <w:rFonts w:ascii="宋体" w:hAnsi="宋体" w:cs="宋体"/>
          <w:sz w:val="28"/>
          <w:szCs w:val="28"/>
        </w:rPr>
        <w:t xml:space="preserve">网络及系统平台可能存在的非正常情况等</w:t>
      </w:r>
      <w:r>
        <w:rPr>
          <w:rFonts w:hint="eastAsia" w:ascii="宋体" w:hAnsi="宋体" w:cs="宋体"/>
          <w:sz w:val="28"/>
          <w:szCs w:val="28"/>
        </w:rPr>
        <w:t xml:space="preserve">各种风险因素，在招标文件规定的投标截止时间前，通过江苏省政府采购管理交易系统（苏采云），完成投标文件的上传。在招标文件规定的投标截止时间后，江苏省政府采购管理交易系统（苏采云）将不再接受投标文件的上传。</w:t>
      </w:r>
      <w:r/>
    </w:p>
    <w:p>
      <w:pPr>
        <w:spacing w:line="520" w:lineRule="exact"/>
        <w:rPr>
          <w:rFonts w:ascii="楷体" w:hAnsi="楷体" w:eastAsia="楷体" w:cs="宋体"/>
          <w:b/>
          <w:sz w:val="28"/>
          <w:szCs w:val="28"/>
        </w:rPr>
      </w:pPr>
      <w:r>
        <w:rPr>
          <w:rFonts w:ascii="楷体" w:hAnsi="楷体" w:eastAsia="楷体" w:cs="宋体"/>
          <w:b/>
          <w:sz w:val="28"/>
          <w:szCs w:val="28"/>
        </w:rPr>
        <w:t xml:space="preserve">4.2</w:t>
      </w:r>
      <w:r>
        <w:rPr>
          <w:rFonts w:hint="eastAsia" w:ascii="楷体" w:hAnsi="楷体" w:eastAsia="楷体" w:cs="宋体"/>
          <w:b/>
          <w:sz w:val="28"/>
          <w:szCs w:val="28"/>
        </w:rPr>
        <w:t xml:space="preserve">投标文件的修改与撤回</w:t>
      </w:r>
      <w:r/>
    </w:p>
    <w:p>
      <w:pPr>
        <w:ind w:firstLine="560"/>
        <w:spacing w:line="520" w:lineRule="exact"/>
        <w:rPr>
          <w:rFonts w:ascii="宋体" w:hAnsi="宋体" w:cs="宋体"/>
          <w:sz w:val="28"/>
          <w:szCs w:val="28"/>
        </w:rPr>
      </w:pPr>
      <w:r>
        <w:rPr>
          <w:rFonts w:ascii="宋体" w:hAnsi="宋体" w:cs="宋体"/>
          <w:sz w:val="28"/>
          <w:szCs w:val="28"/>
        </w:rPr>
        <w:t xml:space="preserve">4.2.1</w:t>
      </w:r>
      <w:r>
        <w:rPr>
          <w:rFonts w:hint="eastAsia" w:ascii="宋体" w:hAnsi="宋体" w:cs="宋体"/>
          <w:sz w:val="28"/>
          <w:szCs w:val="28"/>
        </w:rPr>
        <w:t xml:space="preserve">在投标截止时间前，投标人可以修改或撤回已递交的投标文件。具体操作方法见《江苏省政府采购管理交易系统（苏采云）投标人操作手册》。</w:t>
      </w:r>
      <w:r/>
    </w:p>
    <w:p>
      <w:pPr>
        <w:ind w:firstLine="560"/>
        <w:spacing w:line="520" w:lineRule="exact"/>
        <w:rPr>
          <w:rFonts w:ascii="宋体" w:hAnsi="宋体" w:cs="宋体"/>
          <w:sz w:val="28"/>
          <w:szCs w:val="28"/>
        </w:rPr>
      </w:pPr>
      <w:r>
        <w:rPr>
          <w:rFonts w:ascii="宋体" w:hAnsi="宋体" w:cs="宋体"/>
          <w:sz w:val="28"/>
          <w:szCs w:val="28"/>
        </w:rPr>
        <w:t xml:space="preserve">4.2.2</w:t>
      </w:r>
      <w:r>
        <w:rPr>
          <w:rFonts w:hint="eastAsia" w:ascii="宋体" w:hAnsi="宋体" w:cs="宋体"/>
          <w:sz w:val="28"/>
          <w:szCs w:val="28"/>
        </w:rPr>
        <w:t xml:space="preserve">修改的投标文件应按照本招标文件规定进行编制和重新上传。</w:t>
      </w:r>
      <w:r/>
    </w:p>
    <w:p>
      <w:pPr>
        <w:spacing w:line="520" w:lineRule="exact"/>
        <w:rPr>
          <w:rFonts w:ascii="楷体" w:hAnsi="楷体" w:eastAsia="楷体" w:cs="宋体"/>
          <w:b/>
          <w:sz w:val="28"/>
          <w:szCs w:val="28"/>
        </w:rPr>
      </w:pPr>
      <w:r>
        <w:rPr>
          <w:rFonts w:hint="eastAsia" w:ascii="楷体" w:hAnsi="楷体" w:eastAsia="楷体" w:cs="宋体"/>
          <w:b/>
          <w:sz w:val="28"/>
          <w:szCs w:val="28"/>
        </w:rPr>
        <w:t xml:space="preserve">4.3投标文件的确认</w:t>
      </w:r>
      <w:r/>
    </w:p>
    <w:p>
      <w:pPr>
        <w:ind w:firstLine="560"/>
        <w:spacing w:line="520" w:lineRule="exact"/>
        <w:rPr>
          <w:rFonts w:ascii="宋体" w:hAnsi="宋体" w:cs="宋体"/>
          <w:sz w:val="28"/>
          <w:szCs w:val="28"/>
        </w:rPr>
      </w:pPr>
      <w:r>
        <w:rPr>
          <w:rFonts w:hint="eastAsia" w:ascii="宋体" w:hAnsi="宋体" w:cs="宋体"/>
          <w:sz w:val="28"/>
          <w:szCs w:val="28"/>
        </w:rPr>
        <w:t xml:space="preserve">投标人可以通过江苏省政府采购管理交易系统（苏采云）多次上传投标文件，以招标文件规定的投标截止时间前，江苏省政府采购管理交易系统（苏采云）接受到的最后一份投标文件为准。</w:t>
      </w:r>
      <w:r/>
    </w:p>
    <w:p>
      <w:pPr>
        <w:spacing w:line="520" w:lineRule="exact"/>
        <w:rPr>
          <w:rFonts w:ascii="黑体" w:hAnsi="黑体" w:eastAsia="黑体"/>
          <w:sz w:val="32"/>
          <w:szCs w:val="32"/>
        </w:rPr>
      </w:pPr>
      <w:r>
        <w:rPr>
          <w:rFonts w:ascii="黑体" w:hAnsi="黑体" w:eastAsia="黑体"/>
          <w:sz w:val="32"/>
          <w:szCs w:val="32"/>
        </w:rPr>
        <w:t xml:space="preserve">5. </w:t>
      </w:r>
      <w:r>
        <w:rPr>
          <w:rFonts w:hint="eastAsia" w:ascii="黑体" w:hAnsi="黑体" w:eastAsia="黑体"/>
          <w:sz w:val="32"/>
          <w:szCs w:val="32"/>
        </w:rPr>
        <w:t xml:space="preserve">开标</w:t>
      </w:r>
      <w:r/>
    </w:p>
    <w:p>
      <w:pPr>
        <w:spacing w:line="520" w:lineRule="exact"/>
        <w:rPr>
          <w:rFonts w:ascii="楷体" w:hAnsi="楷体" w:eastAsia="楷体"/>
          <w:b/>
          <w:sz w:val="28"/>
          <w:szCs w:val="28"/>
        </w:rPr>
      </w:pPr>
      <w:r>
        <w:rPr>
          <w:rFonts w:ascii="楷体" w:hAnsi="楷体" w:eastAsia="楷体"/>
          <w:b/>
          <w:sz w:val="28"/>
          <w:szCs w:val="28"/>
        </w:rPr>
        <w:t xml:space="preserve">5.1 </w:t>
      </w:r>
      <w:r>
        <w:rPr>
          <w:rFonts w:hint="eastAsia" w:ascii="楷体" w:hAnsi="楷体" w:eastAsia="楷体" w:cs="宋体"/>
          <w:b/>
          <w:sz w:val="28"/>
          <w:szCs w:val="28"/>
        </w:rPr>
        <w:t xml:space="preserve">开标时间和地点</w:t>
      </w:r>
      <w:r/>
    </w:p>
    <w:p>
      <w:pPr>
        <w:ind w:firstLine="560"/>
        <w:spacing w:line="520" w:lineRule="exact"/>
        <w:rPr>
          <w:rFonts w:ascii="宋体"/>
          <w:sz w:val="28"/>
          <w:szCs w:val="28"/>
        </w:rPr>
      </w:pPr>
      <w:r>
        <w:rPr>
          <w:rFonts w:ascii="宋体" w:hAnsi="宋体"/>
          <w:sz w:val="28"/>
          <w:szCs w:val="28"/>
        </w:rPr>
        <w:t xml:space="preserve">5.1.1</w:t>
      </w:r>
      <w:r>
        <w:rPr>
          <w:rFonts w:hint="eastAsia" w:ascii="宋体" w:hAnsi="宋体" w:cs="宋体"/>
          <w:sz w:val="28"/>
          <w:szCs w:val="28"/>
        </w:rPr>
        <w:t xml:space="preserve">开标时间和地点：见投标人须知前附表。</w:t>
      </w:r>
      <w:r/>
    </w:p>
    <w:p>
      <w:pPr>
        <w:ind w:firstLine="560"/>
        <w:spacing w:line="520" w:lineRule="exact"/>
        <w:rPr>
          <w:rFonts w:ascii="宋体" w:hAnsi="宋体" w:cs="宋体"/>
          <w:sz w:val="28"/>
          <w:szCs w:val="28"/>
        </w:rPr>
      </w:pPr>
      <w:r>
        <w:rPr>
          <w:rFonts w:ascii="宋体" w:hAnsi="宋体" w:cs="宋体"/>
          <w:sz w:val="28"/>
          <w:szCs w:val="28"/>
        </w:rPr>
        <w:t xml:space="preserve">5.1.2</w:t>
      </w:r>
      <w:r>
        <w:rPr>
          <w:rFonts w:hint="eastAsia" w:ascii="宋体" w:hAnsi="宋体" w:cs="宋体"/>
          <w:sz w:val="28"/>
          <w:szCs w:val="28"/>
        </w:rPr>
        <w:t xml:space="preserve">开标活动在江苏政府采购“苏采云”系统“开标大厅”内公开进行，投标人应当按照《江苏省政府采购管理交易系统（苏采云）投标人操作手册》规定，参加开标活动。</w:t>
      </w:r>
      <w:r/>
    </w:p>
    <w:p>
      <w:pPr>
        <w:spacing w:line="520" w:lineRule="exact"/>
        <w:rPr>
          <w:rFonts w:ascii="楷体" w:hAnsi="楷体" w:eastAsia="楷体"/>
          <w:b/>
          <w:sz w:val="28"/>
          <w:szCs w:val="28"/>
        </w:rPr>
      </w:pPr>
      <w:r>
        <w:rPr>
          <w:rFonts w:ascii="楷体" w:hAnsi="楷体" w:eastAsia="楷体"/>
          <w:b/>
          <w:sz w:val="28"/>
          <w:szCs w:val="28"/>
        </w:rPr>
        <w:t xml:space="preserve">5.2 不见面</w:t>
      </w:r>
      <w:r>
        <w:rPr>
          <w:rFonts w:hint="eastAsia" w:ascii="楷体" w:hAnsi="楷体" w:eastAsia="楷体" w:cs="宋体"/>
          <w:b/>
          <w:sz w:val="28"/>
          <w:szCs w:val="28"/>
        </w:rPr>
        <w:t xml:space="preserve">开标程序</w:t>
      </w:r>
      <w:r/>
    </w:p>
    <w:p>
      <w:pPr>
        <w:ind w:firstLine="560"/>
        <w:spacing w:line="52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（1）系统登录。投标人应在投标截止时间前登录开标大厅。</w:t>
      </w:r>
      <w:r/>
    </w:p>
    <w:p>
      <w:pPr>
        <w:ind w:firstLine="560"/>
        <w:spacing w:line="52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（2）投标人解密投标文件。按照系统内提示，在规定的时间内完成投标文件的解密。</w:t>
      </w:r>
      <w:r/>
    </w:p>
    <w:p>
      <w:pPr>
        <w:ind w:firstLine="560"/>
        <w:spacing w:line="52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（3）唱标。</w:t>
      </w:r>
      <w:r/>
    </w:p>
    <w:p>
      <w:pPr>
        <w:ind w:firstLine="560"/>
        <w:spacing w:line="52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（4）开标记录确认。</w:t>
      </w:r>
      <w:r/>
    </w:p>
    <w:p>
      <w:pPr>
        <w:ind w:firstLine="560"/>
        <w:spacing w:line="52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（5）开标结束。</w:t>
      </w:r>
      <w:r/>
    </w:p>
    <w:p>
      <w:pPr>
        <w:spacing w:line="520" w:lineRule="exact"/>
        <w:rPr>
          <w:rFonts w:ascii="楷体" w:hAnsi="楷体" w:eastAsia="楷体"/>
          <w:b/>
          <w:sz w:val="28"/>
          <w:szCs w:val="28"/>
        </w:rPr>
      </w:pPr>
      <w:r>
        <w:rPr>
          <w:rFonts w:hint="eastAsia" w:ascii="楷体" w:hAnsi="楷体" w:eastAsia="楷体"/>
          <w:b/>
          <w:sz w:val="28"/>
          <w:szCs w:val="28"/>
        </w:rPr>
        <w:t xml:space="preserve">5.3特殊情况的处置</w:t>
      </w:r>
      <w:r/>
    </w:p>
    <w:p>
      <w:pPr>
        <w:ind w:firstLine="560"/>
        <w:spacing w:line="52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5.3.1在投标截止时间后，开标系统出现下列情况之一时，项目未开标的，暂停开标活动；正在开标的，立即暂停开标，待系统恢复正常后再组织开标。</w:t>
      </w:r>
      <w:r/>
    </w:p>
    <w:p>
      <w:pPr>
        <w:ind w:firstLine="560"/>
        <w:spacing w:line="520" w:lineRule="exact"/>
        <w:rPr>
          <w:rFonts w:cs="宋体" w:asciiTheme="minorEastAsia" w:hAnsiTheme="minorEastAsia" w:eastAsiaTheme="minorEastAsia"/>
          <w:sz w:val="28"/>
          <w:szCs w:val="28"/>
        </w:rPr>
      </w:pPr>
      <w:r>
        <w:rPr>
          <w:rFonts w:cs="宋体" w:asciiTheme="minorEastAsia" w:hAnsiTheme="minorEastAsia" w:eastAsiaTheme="minorEastAsia"/>
          <w:sz w:val="28"/>
          <w:szCs w:val="28"/>
        </w:rPr>
        <w:t xml:space="preserve">（1）系统服务器发生故障，无法访问或无法使用系统； </w:t>
      </w:r>
      <w:r/>
    </w:p>
    <w:p>
      <w:pPr>
        <w:ind w:firstLine="560"/>
        <w:spacing w:line="520" w:lineRule="exact"/>
        <w:rPr>
          <w:rFonts w:cs="宋体" w:asciiTheme="minorEastAsia" w:hAnsiTheme="minorEastAsia" w:eastAsiaTheme="minorEastAsia"/>
          <w:sz w:val="28"/>
          <w:szCs w:val="28"/>
        </w:rPr>
      </w:pPr>
      <w:r>
        <w:rPr>
          <w:rFonts w:cs="宋体" w:asciiTheme="minorEastAsia" w:hAnsiTheme="minorEastAsia" w:eastAsiaTheme="minorEastAsia"/>
          <w:sz w:val="28"/>
          <w:szCs w:val="28"/>
        </w:rPr>
        <w:t xml:space="preserve">（2）系统的软件或数据库出现错误，不能进行正常操作； </w:t>
      </w:r>
      <w:r/>
    </w:p>
    <w:p>
      <w:pPr>
        <w:ind w:firstLine="560"/>
        <w:spacing w:line="520" w:lineRule="exact"/>
        <w:rPr>
          <w:rFonts w:cs="宋体" w:asciiTheme="minorEastAsia" w:hAnsiTheme="minorEastAsia" w:eastAsiaTheme="minorEastAsia"/>
          <w:sz w:val="28"/>
          <w:szCs w:val="28"/>
        </w:rPr>
      </w:pPr>
      <w:r>
        <w:rPr>
          <w:rFonts w:cs="宋体" w:asciiTheme="minorEastAsia" w:hAnsiTheme="minorEastAsia" w:eastAsiaTheme="minorEastAsia"/>
          <w:sz w:val="28"/>
          <w:szCs w:val="28"/>
        </w:rPr>
        <w:t xml:space="preserve">（3）系统发现有安全漏洞，有潜在的泄密危险； </w:t>
      </w:r>
      <w:r/>
    </w:p>
    <w:p>
      <w:pPr>
        <w:ind w:firstLine="560"/>
        <w:spacing w:line="520" w:lineRule="exact"/>
        <w:rPr>
          <w:rFonts w:cs="宋体" w:asciiTheme="minorEastAsia" w:hAnsiTheme="minorEastAsia" w:eastAsiaTheme="minorEastAsia"/>
          <w:sz w:val="28"/>
          <w:szCs w:val="28"/>
        </w:rPr>
      </w:pPr>
      <w:r>
        <w:rPr>
          <w:rFonts w:cs="宋体" w:asciiTheme="minorEastAsia" w:hAnsiTheme="minorEastAsia" w:eastAsiaTheme="minorEastAsia"/>
          <w:sz w:val="28"/>
          <w:szCs w:val="28"/>
        </w:rPr>
        <w:t xml:space="preserve">（4）其他无法保证招投标过程公平和信息安全的情形。</w:t>
      </w:r>
      <w:r/>
    </w:p>
    <w:p>
      <w:pPr>
        <w:ind w:firstLine="560"/>
        <w:spacing w:line="52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5.3.2因投标人自身原因造成投标文件无法解密的，视为撤销投标文件。</w:t>
      </w:r>
      <w:r/>
    </w:p>
    <w:p>
      <w:pPr>
        <w:ind w:firstLine="560"/>
        <w:spacing w:line="52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5.3.3投标人对开标过程和开标记录有疑义的，可向招标人或者采购代理机构提出。</w:t>
      </w:r>
      <w:r/>
    </w:p>
    <w:p>
      <w:pPr>
        <w:ind w:firstLine="560"/>
        <w:spacing w:line="52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5.3.4投标人未在开标系统中确认开标结果的，视同认可开标结果。</w:t>
      </w:r>
      <w:r/>
    </w:p>
    <w:p>
      <w:pPr>
        <w:spacing w:line="520" w:lineRule="exact"/>
        <w:rPr>
          <w:rFonts w:ascii="黑体" w:hAnsi="黑体" w:eastAsia="黑体"/>
          <w:sz w:val="32"/>
          <w:szCs w:val="32"/>
        </w:rPr>
      </w:pPr>
      <w:r>
        <w:rPr>
          <w:rFonts w:ascii="黑体" w:hAnsi="黑体" w:eastAsia="黑体"/>
          <w:sz w:val="32"/>
          <w:szCs w:val="32"/>
        </w:rPr>
        <w:t xml:space="preserve">6. </w:t>
      </w:r>
      <w:r>
        <w:rPr>
          <w:rFonts w:hint="eastAsia" w:ascii="黑体" w:hAnsi="黑体" w:eastAsia="黑体"/>
          <w:sz w:val="32"/>
          <w:szCs w:val="32"/>
        </w:rPr>
        <w:t xml:space="preserve">评标</w:t>
      </w:r>
      <w:r/>
    </w:p>
    <w:p>
      <w:pPr>
        <w:spacing w:line="520" w:lineRule="exact"/>
        <w:rPr>
          <w:rFonts w:ascii="楷体" w:hAnsi="楷体" w:eastAsia="楷体"/>
          <w:b/>
          <w:sz w:val="28"/>
          <w:szCs w:val="28"/>
        </w:rPr>
      </w:pPr>
      <w:r>
        <w:rPr>
          <w:rFonts w:ascii="楷体" w:hAnsi="楷体" w:eastAsia="楷体"/>
          <w:b/>
          <w:sz w:val="28"/>
          <w:szCs w:val="28"/>
        </w:rPr>
        <w:t xml:space="preserve">6.1 </w:t>
      </w:r>
      <w:r>
        <w:rPr>
          <w:rFonts w:hint="eastAsia" w:ascii="楷体" w:hAnsi="楷体" w:eastAsia="楷体" w:cs="宋体"/>
          <w:b/>
          <w:sz w:val="28"/>
          <w:szCs w:val="28"/>
        </w:rPr>
        <w:t xml:space="preserve">评标委员会</w:t>
      </w:r>
      <w:r/>
    </w:p>
    <w:p>
      <w:pPr>
        <w:ind w:firstLine="560"/>
        <w:spacing w:line="520" w:lineRule="exact"/>
        <w:rPr>
          <w:rFonts w:ascii="宋体"/>
          <w:sz w:val="28"/>
          <w:szCs w:val="28"/>
        </w:rPr>
      </w:pPr>
      <w:r>
        <w:rPr>
          <w:rFonts w:ascii="宋体" w:hAnsi="宋体"/>
          <w:sz w:val="28"/>
          <w:szCs w:val="28"/>
        </w:rPr>
        <w:t xml:space="preserve">6.1.1</w:t>
      </w:r>
      <w:r>
        <w:rPr>
          <w:rFonts w:hint="eastAsia" w:ascii="宋体" w:hAnsi="宋体" w:cs="宋体"/>
          <w:sz w:val="28"/>
          <w:szCs w:val="28"/>
        </w:rPr>
        <w:t xml:space="preserve">评标由招标人依法组建的评标委员会负责。评标委员会由招标人代表，以及有关技术、经济等方面的专家组成。具体人数见投标人须知前附表。</w:t>
      </w:r>
      <w:r/>
    </w:p>
    <w:p>
      <w:pPr>
        <w:ind w:firstLine="560"/>
        <w:spacing w:line="520" w:lineRule="exact"/>
        <w:rPr>
          <w:rFonts w:ascii="宋体"/>
          <w:sz w:val="28"/>
          <w:szCs w:val="28"/>
        </w:rPr>
      </w:pPr>
      <w:r>
        <w:rPr>
          <w:rFonts w:ascii="宋体" w:hAnsi="宋体"/>
          <w:sz w:val="28"/>
          <w:szCs w:val="28"/>
        </w:rPr>
        <w:t xml:space="preserve">6.1.2</w:t>
      </w:r>
      <w:r>
        <w:rPr>
          <w:rFonts w:hint="eastAsia" w:ascii="宋体" w:hAnsi="宋体" w:cs="宋体"/>
          <w:sz w:val="28"/>
          <w:szCs w:val="28"/>
        </w:rPr>
        <w:t xml:space="preserve">评标委员会成员有下列情形之一的，应当回避：</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w:t>
      </w:r>
      <w:r>
        <w:rPr>
          <w:rFonts w:ascii="宋体" w:hAnsi="宋体" w:cs="宋体"/>
          <w:sz w:val="28"/>
          <w:szCs w:val="28"/>
        </w:rPr>
        <w:t xml:space="preserve">参加采购活动前三年内,与</w:t>
      </w:r>
      <w:r>
        <w:rPr>
          <w:rFonts w:hint="eastAsia" w:ascii="宋体" w:hAnsi="宋体" w:cs="宋体"/>
          <w:sz w:val="28"/>
          <w:szCs w:val="28"/>
        </w:rPr>
        <w:t xml:space="preserve">投标人</w:t>
      </w:r>
      <w:r>
        <w:rPr>
          <w:rFonts w:ascii="宋体" w:hAnsi="宋体" w:cs="宋体"/>
          <w:sz w:val="28"/>
          <w:szCs w:val="28"/>
        </w:rPr>
        <w:t xml:space="preserve">存在劳动关系,或者担任过</w:t>
      </w:r>
      <w:r>
        <w:rPr>
          <w:rFonts w:hint="eastAsia" w:ascii="宋体" w:hAnsi="宋体" w:cs="宋体"/>
          <w:sz w:val="28"/>
          <w:szCs w:val="28"/>
        </w:rPr>
        <w:t xml:space="preserve">投标人</w:t>
      </w:r>
      <w:r>
        <w:rPr>
          <w:rFonts w:ascii="宋体" w:hAnsi="宋体" w:cs="宋体"/>
          <w:sz w:val="28"/>
          <w:szCs w:val="28"/>
        </w:rPr>
        <w:t xml:space="preserve">的董事、监事,或者是</w:t>
      </w:r>
      <w:r>
        <w:rPr>
          <w:rFonts w:hint="eastAsia" w:ascii="宋体" w:hAnsi="宋体" w:cs="宋体"/>
          <w:sz w:val="28"/>
          <w:szCs w:val="28"/>
        </w:rPr>
        <w:t xml:space="preserve">投标人</w:t>
      </w:r>
      <w:r>
        <w:rPr>
          <w:rFonts w:ascii="宋体" w:hAnsi="宋体" w:cs="宋体"/>
          <w:sz w:val="28"/>
          <w:szCs w:val="28"/>
        </w:rPr>
        <w:t xml:space="preserve">的控股股东或实际控制人</w:t>
      </w:r>
      <w:r>
        <w:rPr>
          <w:rFonts w:hint="eastAsia" w:ascii="宋体" w:hAnsi="宋体" w:cs="宋体"/>
          <w:sz w:val="28"/>
          <w:szCs w:val="28"/>
        </w:rPr>
        <w:t xml:space="preserve">；</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w:t>
      </w:r>
      <w:r>
        <w:rPr>
          <w:rFonts w:ascii="宋体" w:hAnsi="宋体" w:cs="宋体"/>
          <w:sz w:val="28"/>
          <w:szCs w:val="28"/>
        </w:rPr>
        <w:t xml:space="preserve">与</w:t>
      </w:r>
      <w:r>
        <w:rPr>
          <w:rFonts w:hint="eastAsia" w:ascii="宋体" w:hAnsi="宋体" w:cs="宋体"/>
          <w:sz w:val="28"/>
          <w:szCs w:val="28"/>
        </w:rPr>
        <w:t xml:space="preserve">投标人</w:t>
      </w:r>
      <w:r>
        <w:rPr>
          <w:rFonts w:ascii="宋体" w:hAnsi="宋体" w:cs="宋体"/>
          <w:sz w:val="28"/>
          <w:szCs w:val="28"/>
        </w:rPr>
        <w:t xml:space="preserve">的法定代表人或者负责人有夫妻、直系血亲、三代以内旁系血亲或者近姻亲关系</w:t>
      </w:r>
      <w:r>
        <w:rPr>
          <w:rFonts w:hint="eastAsia" w:ascii="宋体" w:hAnsi="宋体" w:cs="宋体"/>
          <w:sz w:val="28"/>
          <w:szCs w:val="28"/>
        </w:rPr>
        <w:t xml:space="preserve">；</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w:t>
      </w:r>
      <w:r>
        <w:rPr>
          <w:rFonts w:ascii="宋体" w:hAnsi="宋体" w:cs="宋体"/>
          <w:sz w:val="28"/>
          <w:szCs w:val="28"/>
        </w:rPr>
        <w:t xml:space="preserve">与</w:t>
      </w:r>
      <w:r>
        <w:rPr>
          <w:rFonts w:hint="eastAsia" w:ascii="宋体" w:hAnsi="宋体" w:cs="宋体"/>
          <w:sz w:val="28"/>
          <w:szCs w:val="28"/>
        </w:rPr>
        <w:t xml:space="preserve">投标人</w:t>
      </w:r>
      <w:r>
        <w:rPr>
          <w:rFonts w:ascii="宋体" w:hAnsi="宋体" w:cs="宋体"/>
          <w:sz w:val="28"/>
          <w:szCs w:val="28"/>
        </w:rPr>
        <w:t xml:space="preserve">有其他可能影响政府采购活动公平、公正进行的关系</w:t>
      </w:r>
      <w:r>
        <w:rPr>
          <w:rFonts w:hint="eastAsia" w:ascii="宋体" w:hAnsi="宋体" w:cs="宋体"/>
          <w:sz w:val="28"/>
          <w:szCs w:val="28"/>
        </w:rPr>
        <w:t xml:space="preserve">；</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4</w:t>
      </w:r>
      <w:r>
        <w:rPr>
          <w:rFonts w:hint="eastAsia" w:ascii="宋体" w:hAnsi="宋体" w:cs="宋体"/>
          <w:sz w:val="28"/>
          <w:szCs w:val="28"/>
        </w:rPr>
        <w:t xml:space="preserve">）法律、行政法规规定的其他条件。</w:t>
      </w:r>
      <w:r/>
    </w:p>
    <w:p>
      <w:pPr>
        <w:spacing w:line="520" w:lineRule="exact"/>
        <w:rPr>
          <w:rFonts w:ascii="楷体" w:hAnsi="楷体" w:eastAsia="楷体"/>
          <w:b/>
          <w:sz w:val="28"/>
          <w:szCs w:val="28"/>
        </w:rPr>
      </w:pPr>
      <w:r>
        <w:rPr>
          <w:rFonts w:ascii="楷体" w:hAnsi="楷体" w:eastAsia="楷体"/>
          <w:b/>
          <w:sz w:val="28"/>
          <w:szCs w:val="28"/>
        </w:rPr>
        <w:t xml:space="preserve">6.2 </w:t>
      </w:r>
      <w:r>
        <w:rPr>
          <w:rFonts w:hint="eastAsia" w:ascii="楷体" w:hAnsi="楷体" w:eastAsia="楷体" w:cs="宋体"/>
          <w:b/>
          <w:sz w:val="28"/>
          <w:szCs w:val="28"/>
        </w:rPr>
        <w:t xml:space="preserve">评标</w:t>
      </w:r>
      <w:r/>
    </w:p>
    <w:p>
      <w:pPr>
        <w:ind w:firstLine="560"/>
        <w:spacing w:line="520" w:lineRule="exact"/>
        <w:rPr>
          <w:rFonts w:ascii="宋体" w:hAnsi="宋体" w:cs="宋体"/>
          <w:sz w:val="28"/>
          <w:szCs w:val="28"/>
        </w:rPr>
      </w:pPr>
      <w:r>
        <w:rPr>
          <w:rFonts w:hint="eastAsia" w:ascii="宋体" w:hAnsi="宋体" w:cs="宋体"/>
          <w:sz w:val="28"/>
        </w:rPr>
        <w:t xml:space="preserve">评标活动遵循公正、客观、审慎的原则。</w:t>
      </w:r>
      <w:r>
        <w:rPr>
          <w:rFonts w:hint="eastAsia" w:ascii="宋体" w:hAnsi="宋体" w:cs="宋体"/>
          <w:sz w:val="28"/>
          <w:szCs w:val="28"/>
        </w:rPr>
        <w:t xml:space="preserve">评标委员会严格按照第三章</w:t>
      </w:r>
      <w:r>
        <w:rPr>
          <w:rFonts w:hint="eastAsia" w:ascii="宋体" w:hAnsi="宋体"/>
          <w:sz w:val="28"/>
          <w:szCs w:val="28"/>
        </w:rPr>
        <w:t xml:space="preserve">“</w:t>
      </w:r>
      <w:r>
        <w:rPr>
          <w:rFonts w:hint="eastAsia" w:ascii="宋体" w:hAnsi="宋体" w:cs="宋体"/>
          <w:sz w:val="28"/>
          <w:szCs w:val="28"/>
        </w:rPr>
        <w:t xml:space="preserve">评标办法</w:t>
      </w:r>
      <w:r>
        <w:rPr>
          <w:rFonts w:hint="eastAsia" w:ascii="宋体" w:hAnsi="宋体"/>
          <w:sz w:val="28"/>
          <w:szCs w:val="28"/>
        </w:rPr>
        <w:t xml:space="preserve">”</w:t>
      </w:r>
      <w:r>
        <w:rPr>
          <w:rFonts w:hint="eastAsia" w:ascii="宋体" w:hAnsi="宋体" w:cs="宋体"/>
          <w:sz w:val="28"/>
          <w:szCs w:val="28"/>
        </w:rPr>
        <w:t xml:space="preserve">规定的评标方法、评标程序和评标标准进行独立评审。第三章</w:t>
      </w:r>
      <w:r>
        <w:rPr>
          <w:rFonts w:hint="eastAsia" w:ascii="宋体" w:hAnsi="宋体"/>
          <w:sz w:val="28"/>
          <w:szCs w:val="28"/>
        </w:rPr>
        <w:t xml:space="preserve">“</w:t>
      </w:r>
      <w:r>
        <w:rPr>
          <w:rFonts w:hint="eastAsia" w:ascii="宋体" w:hAnsi="宋体" w:cs="宋体"/>
          <w:sz w:val="28"/>
          <w:szCs w:val="28"/>
        </w:rPr>
        <w:t xml:space="preserve">评标办法</w:t>
      </w:r>
      <w:r>
        <w:rPr>
          <w:rFonts w:hint="eastAsia" w:ascii="宋体" w:hAnsi="宋体"/>
          <w:sz w:val="28"/>
          <w:szCs w:val="28"/>
        </w:rPr>
        <w:t xml:space="preserve">”</w:t>
      </w:r>
      <w:r>
        <w:rPr>
          <w:rFonts w:hint="eastAsia" w:ascii="宋体" w:hAnsi="宋体" w:cs="宋体"/>
          <w:sz w:val="28"/>
          <w:szCs w:val="28"/>
        </w:rPr>
        <w:t xml:space="preserve">没有规定的评标标准，不得作为评标依据。</w:t>
      </w:r>
      <w:r/>
    </w:p>
    <w:p>
      <w:pPr>
        <w:spacing w:line="520" w:lineRule="exact"/>
        <w:rPr>
          <w:rFonts w:ascii="黑体" w:hAnsi="黑体" w:eastAsia="黑体"/>
          <w:sz w:val="32"/>
          <w:szCs w:val="32"/>
        </w:rPr>
      </w:pPr>
      <w:r>
        <w:rPr>
          <w:rFonts w:ascii="黑体" w:hAnsi="黑体" w:eastAsia="黑体"/>
          <w:sz w:val="32"/>
          <w:szCs w:val="32"/>
        </w:rPr>
        <w:t xml:space="preserve">7.</w:t>
      </w:r>
      <w:r>
        <w:rPr>
          <w:rFonts w:hint="eastAsia" w:ascii="黑体" w:hAnsi="黑体" w:eastAsia="黑体" w:cs="宋体"/>
          <w:sz w:val="32"/>
          <w:szCs w:val="32"/>
        </w:rPr>
        <w:t xml:space="preserve">中标</w:t>
      </w:r>
      <w:r/>
    </w:p>
    <w:p>
      <w:pPr>
        <w:spacing w:line="520" w:lineRule="exact"/>
        <w:rPr>
          <w:rFonts w:ascii="楷体" w:hAnsi="楷体" w:eastAsia="楷体"/>
          <w:b/>
          <w:sz w:val="28"/>
          <w:szCs w:val="28"/>
        </w:rPr>
      </w:pPr>
      <w:r>
        <w:rPr>
          <w:rFonts w:ascii="楷体" w:hAnsi="楷体" w:eastAsia="楷体"/>
          <w:b/>
          <w:sz w:val="28"/>
          <w:szCs w:val="28"/>
        </w:rPr>
        <w:t xml:space="preserve">7.1</w:t>
      </w:r>
      <w:r>
        <w:rPr>
          <w:rFonts w:hint="eastAsia" w:ascii="楷体" w:hAnsi="楷体" w:eastAsia="楷体"/>
          <w:b/>
          <w:sz w:val="28"/>
          <w:szCs w:val="28"/>
        </w:rPr>
        <w:t xml:space="preserve">确定中标人</w:t>
      </w:r>
      <w:r/>
    </w:p>
    <w:p>
      <w:pPr>
        <w:ind w:firstLine="560"/>
        <w:spacing w:line="520" w:lineRule="exact"/>
        <w:rPr>
          <w:rFonts w:ascii="宋体" w:hAnsi="宋体" w:cs="宋体"/>
          <w:sz w:val="28"/>
          <w:szCs w:val="28"/>
        </w:rPr>
      </w:pPr>
      <w:r>
        <w:rPr>
          <w:rFonts w:hint="eastAsia" w:ascii="宋体" w:hAnsi="宋体" w:cs="宋体"/>
          <w:sz w:val="28"/>
          <w:szCs w:val="28"/>
        </w:rPr>
        <w:t xml:space="preserve">7.1.1自收到评标报告之日起５个工作日内，在评标报告确定的中标候选人名单中按顺序确定中标人。</w:t>
      </w:r>
      <w:r/>
    </w:p>
    <w:p>
      <w:pPr>
        <w:ind w:firstLine="560"/>
        <w:spacing w:line="520" w:lineRule="exact"/>
        <w:rPr>
          <w:rFonts w:ascii="宋体"/>
          <w:sz w:val="28"/>
          <w:szCs w:val="28"/>
        </w:rPr>
      </w:pPr>
      <w:r>
        <w:rPr>
          <w:rFonts w:hint="eastAsia" w:ascii="宋体" w:hAnsi="宋体" w:cs="宋体"/>
          <w:sz w:val="28"/>
          <w:szCs w:val="28"/>
        </w:rPr>
        <w:t xml:space="preserve">7.1.2排名第一的中标候选人出现下列情形之一的，除合格投标人的数量不符合法定的要求外，招标人将按照评标委员会提出的中标候选人名单排序依次确定其他中标候选人为中标人。</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）因不可抗力或者自身原因不能履行合同的；</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）经过财政部门处理投诉举报、监督检查，认定中标无效的；</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）拒绝与招标人签订合同的。</w:t>
      </w:r>
      <w:r/>
    </w:p>
    <w:p>
      <w:pPr>
        <w:spacing w:line="520" w:lineRule="exact"/>
        <w:rPr>
          <w:rFonts w:ascii="楷体" w:hAnsi="楷体" w:eastAsia="楷体"/>
          <w:b/>
          <w:sz w:val="28"/>
          <w:szCs w:val="28"/>
        </w:rPr>
      </w:pPr>
      <w:r>
        <w:rPr>
          <w:rFonts w:ascii="楷体" w:hAnsi="楷体" w:eastAsia="楷体"/>
          <w:b/>
          <w:sz w:val="28"/>
          <w:szCs w:val="28"/>
        </w:rPr>
        <w:t xml:space="preserve">7.2</w:t>
      </w:r>
      <w:r>
        <w:rPr>
          <w:rFonts w:hint="eastAsia" w:ascii="楷体" w:hAnsi="楷体" w:eastAsia="楷体"/>
          <w:b/>
          <w:sz w:val="28"/>
          <w:szCs w:val="28"/>
        </w:rPr>
        <w:t xml:space="preserve">中标公告及中标通知书</w:t>
      </w:r>
      <w:r/>
    </w:p>
    <w:p>
      <w:pPr>
        <w:ind w:firstLine="560"/>
        <w:spacing w:line="520" w:lineRule="exact"/>
        <w:rPr>
          <w:rFonts w:ascii="宋体" w:hAnsi="宋体" w:cs="宋体"/>
          <w:sz w:val="28"/>
          <w:szCs w:val="28"/>
        </w:rPr>
      </w:pPr>
      <w:r>
        <w:rPr>
          <w:rFonts w:hint="eastAsia" w:ascii="宋体" w:hAnsi="宋体" w:cs="宋体"/>
          <w:sz w:val="28"/>
          <w:szCs w:val="28"/>
        </w:rPr>
        <w:t xml:space="preserve">7.2.1自中标人确定之日起2个工作日内，在投标人须知前附表规定的媒介上公告中标结果，公告期限为1个工作日。</w:t>
      </w:r>
      <w:r/>
    </w:p>
    <w:p>
      <w:pPr>
        <w:ind w:firstLine="560"/>
        <w:spacing w:line="520" w:lineRule="exact"/>
        <w:rPr>
          <w:rFonts w:ascii="宋体" w:hAnsi="宋体"/>
          <w:sz w:val="28"/>
          <w:szCs w:val="28"/>
        </w:rPr>
      </w:pPr>
      <w:r>
        <w:rPr>
          <w:rFonts w:hint="eastAsia" w:ascii="宋体" w:hAnsi="宋体" w:cs="宋体"/>
          <w:sz w:val="28"/>
          <w:szCs w:val="28"/>
        </w:rPr>
        <w:t xml:space="preserve">7.2.2在公告中标结果的同时，向中标人发出中标通知书。中标通知书对招标人和中标人具有同等法律效力。</w:t>
      </w:r>
      <w:bookmarkEnd w:id="63"/>
      <w:bookmarkEnd w:id="64"/>
      <w:bookmarkEnd w:id="65"/>
      <w:bookmarkEnd w:id="66"/>
      <w:bookmarkEnd w:id="67"/>
      <w:bookmarkEnd w:id="68"/>
      <w:bookmarkEnd w:id="69"/>
      <w:bookmarkEnd w:id="70"/>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r/>
    </w:p>
    <w:p>
      <w:pPr>
        <w:spacing w:line="520" w:lineRule="exact"/>
        <w:rPr>
          <w:rFonts w:ascii="黑体" w:hAnsi="黑体" w:eastAsia="黑体"/>
          <w:sz w:val="32"/>
          <w:szCs w:val="32"/>
        </w:rPr>
      </w:pPr>
      <w:r/>
      <w:bookmarkStart w:id="241" w:name="_Hlt26671372"/>
      <w:r/>
      <w:bookmarkEnd w:id="241"/>
      <w:r/>
      <w:bookmarkStart w:id="242" w:name="_Hlt26955064"/>
      <w:r/>
      <w:bookmarkEnd w:id="242"/>
      <w:r/>
      <w:bookmarkStart w:id="243" w:name="_Hlt26580838"/>
      <w:r/>
      <w:bookmarkEnd w:id="243"/>
      <w:r/>
      <w:bookmarkStart w:id="244" w:name="_Hlt26782999"/>
      <w:r/>
      <w:bookmarkEnd w:id="244"/>
      <w:r/>
      <w:bookmarkStart w:id="245" w:name="_Hlt24879081"/>
      <w:r/>
      <w:bookmarkEnd w:id="245"/>
      <w:r/>
      <w:bookmarkStart w:id="246" w:name="_Hlt26609391"/>
      <w:r/>
      <w:bookmarkEnd w:id="246"/>
      <w:r/>
      <w:bookmarkStart w:id="247" w:name="_Hlt26671343"/>
      <w:r/>
      <w:bookmarkEnd w:id="247"/>
      <w:r/>
      <w:bookmarkStart w:id="248" w:name="_Hlt26955056"/>
      <w:r/>
      <w:bookmarkEnd w:id="248"/>
      <w:r>
        <w:rPr>
          <w:rFonts w:ascii="黑体" w:hAnsi="黑体" w:eastAsia="黑体"/>
          <w:sz w:val="32"/>
          <w:szCs w:val="32"/>
        </w:rPr>
        <w:t xml:space="preserve">8.</w:t>
      </w:r>
      <w:r>
        <w:rPr>
          <w:rFonts w:hint="eastAsia" w:ascii="黑体" w:hAnsi="黑体" w:eastAsia="黑体" w:cs="宋体"/>
          <w:sz w:val="32"/>
          <w:szCs w:val="32"/>
        </w:rPr>
        <w:t xml:space="preserve">合同</w:t>
      </w:r>
      <w:r/>
    </w:p>
    <w:p>
      <w:pPr>
        <w:spacing w:line="520" w:lineRule="exact"/>
        <w:rPr>
          <w:rFonts w:ascii="楷体" w:hAnsi="楷体" w:eastAsia="楷体" w:cs="宋体"/>
          <w:b/>
          <w:sz w:val="28"/>
          <w:szCs w:val="28"/>
        </w:rPr>
      </w:pPr>
      <w:r>
        <w:rPr>
          <w:rFonts w:ascii="楷体" w:hAnsi="楷体" w:eastAsia="楷体"/>
          <w:b/>
          <w:sz w:val="28"/>
          <w:szCs w:val="28"/>
        </w:rPr>
        <w:t xml:space="preserve">8.1 </w:t>
      </w:r>
      <w:r>
        <w:rPr>
          <w:rFonts w:hint="eastAsia" w:ascii="楷体" w:hAnsi="楷体" w:eastAsia="楷体" w:cs="宋体"/>
          <w:b/>
          <w:sz w:val="28"/>
          <w:szCs w:val="28"/>
        </w:rPr>
        <w:t xml:space="preserve">履约保证金</w:t>
      </w:r>
      <w:r/>
    </w:p>
    <w:p>
      <w:pPr>
        <w:ind w:firstLine="560"/>
        <w:spacing w:line="520" w:lineRule="exact"/>
        <w:rPr>
          <w:rFonts w:ascii="宋体"/>
          <w:sz w:val="28"/>
          <w:szCs w:val="28"/>
        </w:rPr>
      </w:pPr>
      <w:r>
        <w:rPr>
          <w:rFonts w:ascii="宋体" w:hAnsi="宋体"/>
          <w:sz w:val="28"/>
          <w:szCs w:val="28"/>
        </w:rPr>
        <w:t xml:space="preserve">8.1.1</w:t>
      </w:r>
      <w:r>
        <w:rPr>
          <w:rFonts w:hint="eastAsia" w:ascii="宋体" w:hAnsi="宋体" w:cs="宋体"/>
          <w:sz w:val="28"/>
          <w:szCs w:val="28"/>
        </w:rPr>
        <w:t xml:space="preserve">中标人应按供应商须知前附表规定的履约保证金的形式、金额和提交时间向招标人提交履约保证金。</w:t>
      </w:r>
      <w:r/>
    </w:p>
    <w:p>
      <w:pPr>
        <w:ind w:firstLine="560"/>
        <w:spacing w:line="520" w:lineRule="exact"/>
        <w:rPr>
          <w:rFonts w:ascii="楷体" w:hAnsi="楷体" w:eastAsia="楷体"/>
          <w:b/>
          <w:sz w:val="28"/>
          <w:szCs w:val="28"/>
        </w:rPr>
      </w:pPr>
      <w:r>
        <w:rPr>
          <w:rFonts w:ascii="宋体" w:hAnsi="宋体"/>
          <w:sz w:val="28"/>
          <w:szCs w:val="28"/>
        </w:rPr>
        <w:t xml:space="preserve">8.1.2</w:t>
      </w:r>
      <w:r>
        <w:rPr>
          <w:rFonts w:hint="eastAsia" w:ascii="宋体" w:hAnsi="宋体" w:cs="宋体"/>
          <w:sz w:val="28"/>
          <w:szCs w:val="28"/>
        </w:rPr>
        <w:t xml:space="preserve">中标人不能按本招标文件要求提交履约保证金的，视为放弃中标，给招标人造成损失的，中标人还应当予以赔偿。</w:t>
      </w:r>
      <w:r/>
    </w:p>
    <w:p>
      <w:pPr>
        <w:spacing w:line="520" w:lineRule="exact"/>
        <w:rPr>
          <w:rFonts w:ascii="楷体" w:hAnsi="楷体" w:eastAsia="楷体"/>
          <w:b/>
          <w:sz w:val="28"/>
          <w:szCs w:val="28"/>
        </w:rPr>
      </w:pPr>
      <w:r>
        <w:rPr>
          <w:rFonts w:ascii="楷体" w:hAnsi="楷体" w:eastAsia="楷体"/>
          <w:b/>
          <w:sz w:val="28"/>
          <w:szCs w:val="28"/>
        </w:rPr>
        <w:t xml:space="preserve">8.2</w:t>
      </w:r>
      <w:r>
        <w:rPr>
          <w:rFonts w:hint="eastAsia" w:ascii="楷体" w:hAnsi="楷体" w:eastAsia="楷体" w:cs="宋体"/>
          <w:b/>
          <w:sz w:val="28"/>
          <w:szCs w:val="28"/>
        </w:rPr>
        <w:t xml:space="preserve">签订合同</w:t>
      </w:r>
      <w:r/>
    </w:p>
    <w:p>
      <w:pPr>
        <w:ind w:firstLine="560"/>
        <w:spacing w:line="520" w:lineRule="exact"/>
        <w:rPr>
          <w:rFonts w:ascii="宋体"/>
          <w:sz w:val="28"/>
          <w:szCs w:val="28"/>
        </w:rPr>
      </w:pPr>
      <w:r>
        <w:rPr>
          <w:rFonts w:hint="eastAsia" w:ascii="宋体" w:hAnsi="宋体" w:cs="宋体"/>
          <w:sz w:val="28"/>
          <w:szCs w:val="28"/>
        </w:rPr>
        <w:t xml:space="preserve">招标人和中标人在供应商须知前附表规定的时间内，根据招标文件和中标人的投标文件订立书面合同。中标人无正当理由拒签合同的，招标人取消其中标资格；给招标人造成损失的，中标人还应当对予以赔偿。</w:t>
      </w:r>
      <w:r/>
    </w:p>
    <w:p>
      <w:pPr>
        <w:spacing w:line="520" w:lineRule="exact"/>
        <w:rPr>
          <w:rFonts w:ascii="黑体" w:hAnsi="黑体" w:eastAsia="黑体" w:cs="宋体"/>
          <w:sz w:val="32"/>
          <w:szCs w:val="32"/>
        </w:rPr>
      </w:pPr>
      <w:r>
        <w:rPr>
          <w:rFonts w:hint="eastAsia" w:ascii="黑体" w:hAnsi="黑体" w:eastAsia="黑体"/>
          <w:sz w:val="32"/>
          <w:szCs w:val="32"/>
        </w:rPr>
        <w:t xml:space="preserve">9</w:t>
      </w:r>
      <w:r>
        <w:rPr>
          <w:rFonts w:ascii="黑体" w:hAnsi="黑体" w:eastAsia="黑体"/>
          <w:sz w:val="32"/>
          <w:szCs w:val="32"/>
        </w:rPr>
        <w:t xml:space="preserve">. </w:t>
      </w:r>
      <w:r>
        <w:rPr>
          <w:rFonts w:hint="eastAsia" w:ascii="黑体" w:hAnsi="黑体" w:eastAsia="黑体" w:cs="宋体"/>
          <w:sz w:val="32"/>
          <w:szCs w:val="32"/>
        </w:rPr>
        <w:t xml:space="preserve">需要补充的其他内容</w:t>
      </w:r>
      <w:r/>
    </w:p>
    <w:p>
      <w:pPr>
        <w:ind w:firstLine="560"/>
        <w:spacing w:line="520" w:lineRule="exact"/>
        <w:rPr>
          <w:rFonts w:ascii="楷体" w:hAnsi="楷体" w:eastAsia="楷体"/>
          <w:b/>
          <w:sz w:val="28"/>
          <w:szCs w:val="28"/>
        </w:rPr>
      </w:pPr>
      <w:r>
        <w:rPr>
          <w:rFonts w:hint="eastAsia" w:ascii="宋体" w:hAnsi="宋体" w:cs="宋体"/>
          <w:sz w:val="28"/>
        </w:rPr>
        <w:t xml:space="preserve">需要补充的其他内容：见供应商须知前附表。</w:t>
      </w:r>
      <w:r/>
    </w:p>
    <w:p>
      <w:pPr>
        <w:jc w:val="left"/>
        <w:widowControl/>
      </w:pPr>
      <w:r>
        <w:br w:type="page" w:clear="all"/>
      </w:r>
      <w:r/>
    </w:p>
    <w:p>
      <w:pPr>
        <w:pStyle w:val="686"/>
        <w:ind w:left="-2" w:firstLine="643"/>
        <w:jc w:val="center"/>
        <w:spacing w:line="360" w:lineRule="exact"/>
        <w:rPr>
          <w:rFonts w:ascii="黑体" w:hAnsi="黑体" w:eastAsia="黑体"/>
          <w:b/>
          <w:color w:val="auto"/>
          <w:sz w:val="32"/>
          <w:szCs w:val="32"/>
        </w:rPr>
        <w:outlineLvl w:val="0"/>
      </w:pPr>
      <w:r>
        <w:rPr>
          <w:rFonts w:hint="eastAsia" w:ascii="黑体" w:hAnsi="黑体" w:eastAsia="黑体"/>
          <w:b/>
          <w:color w:val="auto"/>
          <w:sz w:val="32"/>
          <w:szCs w:val="32"/>
        </w:rPr>
        <w:t xml:space="preserve">第三章</w:t>
      </w:r>
      <w:r>
        <w:rPr>
          <w:rFonts w:ascii="黑体" w:hAnsi="黑体" w:eastAsia="黑体"/>
          <w:b/>
          <w:color w:val="auto"/>
          <w:sz w:val="32"/>
          <w:szCs w:val="32"/>
        </w:rPr>
        <w:t xml:space="preserve"> 资格审查及</w:t>
      </w:r>
      <w:r>
        <w:rPr>
          <w:rFonts w:hint="eastAsia" w:ascii="黑体" w:hAnsi="黑体" w:eastAsia="黑体"/>
          <w:b/>
          <w:color w:val="auto"/>
          <w:sz w:val="32"/>
          <w:szCs w:val="32"/>
        </w:rPr>
        <w:t xml:space="preserve">评标办法</w:t>
      </w:r>
      <w:r/>
    </w:p>
    <w:p>
      <w:pPr>
        <w:rPr>
          <w:sz w:val="28"/>
          <w:szCs w:val="28"/>
        </w:rPr>
      </w:pPr>
      <w:r/>
      <w:bookmarkStart w:id="249" w:name="_Toc152042365"/>
      <w:r/>
      <w:bookmarkStart w:id="250" w:name="_Toc152045588"/>
      <w:r/>
      <w:bookmarkStart w:id="251" w:name="_Toc383438647"/>
      <w:r/>
      <w:bookmarkStart w:id="252" w:name="_Toc246996231"/>
      <w:r/>
      <w:bookmarkStart w:id="253" w:name="_Toc144974555"/>
      <w:r/>
      <w:bookmarkStart w:id="254" w:name="_Toc343525563"/>
      <w:r/>
      <w:bookmarkStart w:id="255" w:name="_Toc426469920"/>
      <w:r/>
      <w:bookmarkStart w:id="256" w:name="_Toc179632606"/>
      <w:r/>
      <w:bookmarkStart w:id="257" w:name="_Toc246996974"/>
      <w:r/>
      <w:bookmarkStart w:id="258" w:name="_Toc247085746"/>
      <w:r>
        <w:rPr>
          <w:rFonts w:hint="eastAsia"/>
          <w:sz w:val="28"/>
          <w:szCs w:val="28"/>
        </w:rPr>
        <w:t xml:space="preserve">资格审查和评标办法前附表</w:t>
      </w:r>
      <w:bookmarkEnd w:id="249"/>
      <w:r/>
      <w:bookmarkEnd w:id="250"/>
      <w:r/>
      <w:bookmarkEnd w:id="251"/>
      <w:r/>
      <w:bookmarkEnd w:id="252"/>
      <w:r/>
      <w:bookmarkEnd w:id="253"/>
      <w:r/>
      <w:bookmarkEnd w:id="254"/>
      <w:r/>
      <w:bookmarkEnd w:id="255"/>
      <w:r/>
      <w:bookmarkEnd w:id="256"/>
      <w:r/>
      <w:bookmarkEnd w:id="257"/>
      <w:r/>
      <w:bookmarkEnd w:id="258"/>
      <w:r/>
      <w:bookmarkStart w:id="259" w:name="_Toc247085747"/>
      <w:r/>
      <w:bookmarkStart w:id="260" w:name="_Toc179632607"/>
      <w:r/>
      <w:bookmarkStart w:id="261" w:name="_Toc343525564"/>
      <w:r/>
      <w:bookmarkStart w:id="262" w:name="_Toc152042366"/>
      <w:r/>
      <w:bookmarkStart w:id="263" w:name="_Toc246996975"/>
      <w:r/>
      <w:bookmarkStart w:id="264" w:name="_Toc144974556"/>
      <w:r/>
      <w:bookmarkStart w:id="265" w:name="_Toc246996232"/>
      <w:r/>
      <w:bookmarkStart w:id="266" w:name="_Toc152045589"/>
      <w:r/>
      <w:r/>
    </w:p>
    <w:tbl>
      <w:tblPr>
        <w:tblStyle w:val="685"/>
        <w:tblW w:w="9663"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67"/>
        <w:gridCol w:w="591"/>
        <w:gridCol w:w="676"/>
        <w:gridCol w:w="2273"/>
        <w:gridCol w:w="5556"/>
      </w:tblGrid>
      <w:tr>
        <w:trPr>
          <w:jc w:val="center"/>
          <w:trHeight w:val="484"/>
        </w:trPr>
        <w:tc>
          <w:tcPr>
            <w:gridSpan w:val="2"/>
            <w:tcBorders>
              <w:top w:val="single" w:color="auto" w:sz="6" w:space="0"/>
              <w:left w:val="single" w:color="auto" w:sz="6" w:space="0"/>
              <w:bottom w:val="single" w:color="auto" w:sz="6" w:space="0"/>
              <w:right w:val="single" w:color="auto" w:sz="6" w:space="0"/>
            </w:tcBorders>
            <w:tcW w:w="1158" w:type="dxa"/>
            <w:vAlign w:val="center"/>
            <w:textDirection w:val="lrTb"/>
            <w:noWrap w:val="false"/>
          </w:tcPr>
          <w:p>
            <w:pPr>
              <w:jc w:val="center"/>
              <w:spacing w:line="400" w:lineRule="exact"/>
              <w:rPr>
                <w:rFonts w:asciiTheme="minorEastAsia" w:hAnsiTheme="minorEastAsia" w:eastAsiaTheme="minorEastAsia"/>
              </w:rPr>
            </w:pPr>
            <w:r>
              <w:rPr>
                <w:rFonts w:hint="eastAsia" w:asciiTheme="minorEastAsia" w:hAnsiTheme="minorEastAsia" w:eastAsiaTheme="minorEastAsia"/>
              </w:rPr>
              <w:t xml:space="preserve">条款号</w:t>
            </w:r>
            <w:r/>
          </w:p>
        </w:tc>
        <w:tc>
          <w:tcPr>
            <w:gridSpan w:val="2"/>
            <w:tcBorders>
              <w:top w:val="single" w:color="auto" w:sz="6" w:space="0"/>
              <w:left w:val="single" w:color="auto" w:sz="6" w:space="0"/>
              <w:bottom w:val="single" w:color="auto" w:sz="6" w:space="0"/>
              <w:right w:val="single" w:color="auto" w:sz="6" w:space="0"/>
            </w:tcBorders>
            <w:tcW w:w="2949" w:type="dxa"/>
            <w:vAlign w:val="center"/>
            <w:textDirection w:val="lrTb"/>
            <w:noWrap w:val="false"/>
          </w:tcPr>
          <w:p>
            <w:pPr>
              <w:jc w:val="center"/>
              <w:spacing w:line="400" w:lineRule="exact"/>
              <w:rPr>
                <w:rFonts w:asciiTheme="minorEastAsia" w:hAnsiTheme="minorEastAsia" w:eastAsiaTheme="minorEastAsia"/>
              </w:rPr>
            </w:pPr>
            <w:r>
              <w:rPr>
                <w:rFonts w:hint="eastAsia" w:asciiTheme="minorEastAsia" w:hAnsiTheme="minorEastAsia" w:eastAsiaTheme="minorEastAsia"/>
              </w:rPr>
              <w:t xml:space="preserve">评审因素</w:t>
            </w:r>
            <w:r/>
          </w:p>
        </w:tc>
        <w:tc>
          <w:tcPr>
            <w:tcBorders>
              <w:top w:val="single" w:color="auto" w:sz="6" w:space="0"/>
              <w:left w:val="single" w:color="auto" w:sz="6" w:space="0"/>
              <w:bottom w:val="single" w:color="auto" w:sz="6" w:space="0"/>
              <w:right w:val="single" w:color="auto" w:sz="6" w:space="0"/>
            </w:tcBorders>
            <w:tcW w:w="5556" w:type="dxa"/>
            <w:vAlign w:val="center"/>
            <w:textDirection w:val="lrTb"/>
            <w:noWrap w:val="false"/>
          </w:tcPr>
          <w:p>
            <w:pPr>
              <w:jc w:val="center"/>
              <w:spacing w:line="400" w:lineRule="exact"/>
              <w:rPr>
                <w:rFonts w:asciiTheme="minorEastAsia" w:hAnsiTheme="minorEastAsia" w:eastAsiaTheme="minorEastAsia"/>
              </w:rPr>
            </w:pPr>
            <w:r>
              <w:rPr>
                <w:rFonts w:hint="eastAsia" w:asciiTheme="minorEastAsia" w:hAnsiTheme="minorEastAsia" w:eastAsiaTheme="minorEastAsia"/>
              </w:rPr>
              <w:t xml:space="preserve">评审标准</w:t>
            </w:r>
            <w:r/>
          </w:p>
        </w:tc>
      </w:tr>
      <w:tr>
        <w:trPr>
          <w:jc w:val="center"/>
          <w:trHeight w:val="630"/>
        </w:trPr>
        <w:tc>
          <w:tcPr>
            <w:tcBorders>
              <w:top w:val="single" w:color="auto" w:sz="6" w:space="0"/>
              <w:left w:val="single" w:color="auto" w:sz="6" w:space="0"/>
              <w:right w:val="single" w:color="auto" w:sz="6" w:space="0"/>
            </w:tcBorders>
            <w:tcW w:w="567" w:type="dxa"/>
            <w:vAlign w:val="center"/>
            <w:vMerge w:val="restart"/>
            <w:textDirection w:val="lrTb"/>
            <w:noWrap w:val="false"/>
          </w:tcPr>
          <w:p>
            <w:pPr>
              <w:jc w:val="center"/>
              <w:spacing w:line="360" w:lineRule="exact"/>
              <w:rPr>
                <w:rFonts w:eastAsiaTheme="minorEastAsia"/>
                <w:spacing w:val="-40"/>
              </w:rPr>
            </w:pPr>
            <w:r>
              <w:rPr>
                <w:rFonts w:asciiTheme="minorEastAsia" w:hAnsiTheme="minorEastAsia" w:eastAsiaTheme="minorEastAsia"/>
                <w:spacing w:val="-14"/>
              </w:rPr>
              <w:t xml:space="preserve">1.2</w:t>
            </w:r>
            <w:r/>
          </w:p>
        </w:tc>
        <w:tc>
          <w:tcPr>
            <w:tcBorders>
              <w:top w:val="single" w:color="auto" w:sz="6" w:space="0"/>
              <w:left w:val="single" w:color="auto" w:sz="6" w:space="0"/>
              <w:right w:val="single" w:color="auto" w:sz="6" w:space="0"/>
            </w:tcBorders>
            <w:tcW w:w="591" w:type="dxa"/>
            <w:vAlign w:val="center"/>
            <w:vMerge w:val="restart"/>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资格审查</w:t>
            </w:r>
            <w:r/>
          </w:p>
        </w:tc>
        <w:tc>
          <w:tcPr>
            <w:gridSpan w:val="2"/>
            <w:tcBorders>
              <w:top w:val="single" w:color="auto" w:sz="6" w:space="0"/>
              <w:left w:val="single" w:color="auto" w:sz="6" w:space="0"/>
              <w:bottom w:val="single" w:color="auto" w:sz="6" w:space="0"/>
              <w:right w:val="single" w:color="auto" w:sz="6" w:space="0"/>
            </w:tcBorders>
            <w:tcW w:w="2949" w:type="dxa"/>
            <w:vAlign w:val="center"/>
            <w:textDirection w:val="lrTb"/>
            <w:noWrap w:val="false"/>
          </w:tcPr>
          <w:p>
            <w:pPr>
              <w:jc w:val="left"/>
              <w:spacing w:line="320" w:lineRule="exact"/>
              <w:rPr>
                <w:rFonts w:asciiTheme="minorEastAsia" w:hAnsiTheme="minorEastAsia" w:eastAsiaTheme="minorEastAsia"/>
              </w:rPr>
            </w:pPr>
            <w:r>
              <w:rPr>
                <w:rFonts w:hint="eastAsia" w:asciiTheme="minorEastAsia" w:hAnsiTheme="minorEastAsia" w:eastAsiaTheme="minorEastAsia"/>
              </w:rPr>
              <w:t xml:space="preserve">基本资格条件的承诺</w:t>
            </w:r>
            <w:r/>
          </w:p>
        </w:tc>
        <w:tc>
          <w:tcPr>
            <w:tcBorders>
              <w:top w:val="single" w:color="auto" w:sz="6" w:space="0"/>
              <w:left w:val="single" w:color="auto" w:sz="6" w:space="0"/>
              <w:bottom w:val="single" w:color="auto" w:sz="6" w:space="0"/>
              <w:right w:val="single" w:color="auto" w:sz="6" w:space="0"/>
            </w:tcBorders>
            <w:tcW w:w="5556" w:type="dxa"/>
            <w:vAlign w:val="center"/>
            <w:textDirection w:val="lrTb"/>
            <w:noWrap w:val="false"/>
          </w:tcPr>
          <w:p>
            <w:pPr>
              <w:jc w:val="left"/>
              <w:spacing w:line="320" w:lineRule="exact"/>
              <w:rPr>
                <w:rFonts w:asciiTheme="minorEastAsia" w:hAnsiTheme="minorEastAsia" w:eastAsiaTheme="minorEastAsia"/>
              </w:rPr>
            </w:pPr>
            <w:r>
              <w:rPr>
                <w:rFonts w:hint="eastAsia" w:asciiTheme="minorEastAsia" w:hAnsiTheme="minorEastAsia" w:eastAsiaTheme="minorEastAsia"/>
              </w:rPr>
              <w:t xml:space="preserve">根据供应商提供的承诺书，内容完整且签章完备。（内容及格式参照第六章《供应商基本资格条件承诺书》）</w:t>
            </w:r>
            <w:r/>
          </w:p>
        </w:tc>
      </w:tr>
      <w:tr>
        <w:trPr>
          <w:jc w:val="center"/>
          <w:trHeight w:val="587"/>
        </w:trPr>
        <w:tc>
          <w:tcPr>
            <w:tcBorders>
              <w:left w:val="single" w:color="auto" w:sz="6" w:space="0"/>
              <w:right w:val="single" w:color="auto" w:sz="6" w:space="0"/>
            </w:tcBorders>
            <w:tcW w:w="567" w:type="dxa"/>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Borders>
              <w:left w:val="single" w:color="auto" w:sz="6" w:space="0"/>
              <w:right w:val="single" w:color="auto" w:sz="6" w:space="0"/>
            </w:tcBorders>
            <w:tcW w:w="591"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gridSpan w:val="2"/>
            <w:tcBorders>
              <w:top w:val="single" w:color="auto" w:sz="6" w:space="0"/>
              <w:left w:val="single" w:color="auto" w:sz="6" w:space="0"/>
              <w:bottom w:val="single" w:color="auto" w:sz="6" w:space="0"/>
              <w:right w:val="single" w:color="auto" w:sz="6" w:space="0"/>
            </w:tcBorders>
            <w:tcW w:w="2949" w:type="dxa"/>
            <w:vAlign w:val="center"/>
            <w:textDirection w:val="lrTb"/>
            <w:noWrap w:val="false"/>
          </w:tcPr>
          <w:p>
            <w:pPr>
              <w:jc w:val="left"/>
              <w:spacing w:line="320" w:lineRule="exact"/>
              <w:rPr>
                <w:rFonts w:asciiTheme="minorEastAsia" w:hAnsiTheme="minorEastAsia" w:eastAsiaTheme="minorEastAsia"/>
              </w:rPr>
            </w:pPr>
            <w:r>
              <w:rPr>
                <w:rFonts w:hint="eastAsia" w:asciiTheme="minorEastAsia" w:hAnsiTheme="minorEastAsia" w:eastAsiaTheme="minorEastAsia"/>
              </w:rPr>
              <w:t xml:space="preserve">招标人根据本项目特点，要求投标人具备的条件</w:t>
            </w:r>
            <w:r/>
          </w:p>
        </w:tc>
        <w:tc>
          <w:tcPr>
            <w:tcBorders>
              <w:top w:val="single" w:color="auto" w:sz="6" w:space="0"/>
              <w:left w:val="single" w:color="auto" w:sz="6" w:space="0"/>
              <w:bottom w:val="single" w:color="auto" w:sz="6" w:space="0"/>
              <w:right w:val="single" w:color="auto" w:sz="6" w:space="0"/>
            </w:tcBorders>
            <w:tcW w:w="5556"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见招标公告</w:t>
            </w:r>
            <w:r/>
          </w:p>
        </w:tc>
      </w:tr>
      <w:tr>
        <w:trPr>
          <w:jc w:val="center"/>
          <w:trHeight w:val="308"/>
        </w:trPr>
        <w:tc>
          <w:tcPr>
            <w:gridSpan w:val="5"/>
            <w:tcBorders>
              <w:top w:val="single" w:color="auto" w:sz="6" w:space="0"/>
              <w:left w:val="single" w:color="auto" w:sz="6" w:space="0"/>
              <w:bottom w:val="single" w:color="auto" w:sz="6" w:space="0"/>
              <w:right w:val="single" w:color="auto" w:sz="6" w:space="0"/>
            </w:tcBorders>
            <w:tcW w:w="9663" w:type="dxa"/>
            <w:vAlign w:val="center"/>
            <w:textDirection w:val="lrTb"/>
            <w:noWrap w:val="false"/>
          </w:tcPr>
          <w:p>
            <w:pPr>
              <w:jc w:val="center"/>
              <w:spacing w:line="460" w:lineRule="exact"/>
              <w:rPr>
                <w:rFonts w:asciiTheme="minorEastAsia" w:hAnsiTheme="minorEastAsia" w:eastAsiaTheme="minorEastAsia"/>
                <w:b/>
                <w:spacing w:val="-14"/>
              </w:rPr>
            </w:pPr>
            <w:r>
              <w:rPr>
                <w:rFonts w:hint="eastAsia" w:asciiTheme="minorEastAsia" w:hAnsiTheme="minorEastAsia" w:eastAsiaTheme="minorEastAsia"/>
                <w:b/>
                <w:spacing w:val="-14"/>
              </w:rPr>
              <w:t xml:space="preserve">1.2项评审内容由招标人负责，投标文件不符合1.2项评审标准的，作无效标处理。</w:t>
            </w:r>
            <w:r/>
          </w:p>
        </w:tc>
      </w:tr>
      <w:tr>
        <w:trPr>
          <w:jc w:val="center"/>
          <w:trHeight w:val="460"/>
        </w:trPr>
        <w:tc>
          <w:tcPr>
            <w:tcBorders>
              <w:top w:val="single" w:color="auto" w:sz="6" w:space="0"/>
              <w:left w:val="single" w:color="auto" w:sz="6" w:space="0"/>
              <w:bottom w:val="single" w:color="auto" w:sz="6" w:space="0"/>
              <w:right w:val="single" w:color="auto" w:sz="6" w:space="0"/>
            </w:tcBorders>
            <w:tcW w:w="567" w:type="dxa"/>
            <w:vAlign w:val="center"/>
            <w:vMerge w:val="restart"/>
            <w:textDirection w:val="lrTb"/>
            <w:noWrap w:val="false"/>
          </w:tcPr>
          <w:p>
            <w:pPr>
              <w:jc w:val="center"/>
              <w:spacing w:line="360" w:lineRule="exact"/>
              <w:rPr>
                <w:rFonts w:asciiTheme="minorEastAsia" w:hAnsiTheme="minorEastAsia" w:eastAsiaTheme="minorEastAsia"/>
              </w:rPr>
            </w:pPr>
            <w:r>
              <w:rPr>
                <w:rFonts w:hint="eastAsia" w:asciiTheme="minorEastAsia" w:hAnsiTheme="minorEastAsia" w:eastAsiaTheme="minorEastAsia"/>
                <w:spacing w:val="-14"/>
              </w:rPr>
              <w:t xml:space="preserve">2.2.2</w:t>
            </w:r>
            <w:r/>
          </w:p>
        </w:tc>
        <w:tc>
          <w:tcPr>
            <w:tcBorders>
              <w:top w:val="single" w:color="auto" w:sz="6" w:space="0"/>
              <w:left w:val="single" w:color="auto" w:sz="6" w:space="0"/>
              <w:bottom w:val="single" w:color="auto" w:sz="6" w:space="0"/>
              <w:right w:val="single" w:color="auto" w:sz="6" w:space="0"/>
            </w:tcBorders>
            <w:tcW w:w="591" w:type="dxa"/>
            <w:vAlign w:val="center"/>
            <w:vMerge w:val="restart"/>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符</w:t>
            </w:r>
            <w:r/>
          </w:p>
          <w:p>
            <w:pPr>
              <w:jc w:val="center"/>
              <w:rPr>
                <w:rFonts w:asciiTheme="minorEastAsia" w:hAnsiTheme="minorEastAsia" w:eastAsiaTheme="minorEastAsia"/>
              </w:rPr>
            </w:pPr>
            <w:r>
              <w:rPr>
                <w:rFonts w:hint="eastAsia" w:asciiTheme="minorEastAsia" w:hAnsiTheme="minorEastAsia" w:eastAsiaTheme="minorEastAsia"/>
              </w:rPr>
              <w:t xml:space="preserve">合</w:t>
            </w:r>
            <w:r/>
          </w:p>
          <w:p>
            <w:pPr>
              <w:jc w:val="center"/>
              <w:rPr>
                <w:rFonts w:asciiTheme="minorEastAsia" w:hAnsiTheme="minorEastAsia" w:eastAsiaTheme="minorEastAsia"/>
              </w:rPr>
            </w:pPr>
            <w:r>
              <w:rPr>
                <w:rFonts w:hint="eastAsia" w:asciiTheme="minorEastAsia" w:hAnsiTheme="minorEastAsia" w:eastAsiaTheme="minorEastAsia"/>
              </w:rPr>
              <w:t xml:space="preserve">性</w:t>
            </w:r>
            <w:r/>
          </w:p>
          <w:p>
            <w:pPr>
              <w:jc w:val="center"/>
              <w:rPr>
                <w:rFonts w:asciiTheme="minorEastAsia" w:hAnsiTheme="minorEastAsia" w:eastAsiaTheme="minorEastAsia"/>
              </w:rPr>
            </w:pPr>
            <w:r>
              <w:rPr>
                <w:rFonts w:hint="eastAsia" w:asciiTheme="minorEastAsia" w:hAnsiTheme="minorEastAsia" w:eastAsiaTheme="minorEastAsia"/>
              </w:rPr>
              <w:t xml:space="preserve">评</w:t>
            </w:r>
            <w:r/>
          </w:p>
          <w:p>
            <w:pPr>
              <w:jc w:val="center"/>
              <w:rPr>
                <w:rFonts w:asciiTheme="minorEastAsia" w:hAnsiTheme="minorEastAsia" w:eastAsiaTheme="minorEastAsia"/>
              </w:rPr>
            </w:pPr>
            <w:r>
              <w:rPr>
                <w:rFonts w:hint="eastAsia" w:asciiTheme="minorEastAsia" w:hAnsiTheme="minorEastAsia" w:eastAsiaTheme="minorEastAsia"/>
              </w:rPr>
              <w:t xml:space="preserve">审</w:t>
            </w:r>
            <w:r/>
          </w:p>
        </w:tc>
        <w:tc>
          <w:tcPr>
            <w:gridSpan w:val="2"/>
            <w:tcBorders>
              <w:top w:val="single" w:color="auto" w:sz="6" w:space="0"/>
              <w:left w:val="single" w:color="auto" w:sz="6" w:space="0"/>
              <w:bottom w:val="single" w:color="auto" w:sz="6" w:space="0"/>
              <w:right w:val="single" w:color="auto" w:sz="6" w:space="0"/>
            </w:tcBorders>
            <w:tcW w:w="2949" w:type="dxa"/>
            <w:vAlign w:val="center"/>
            <w:textDirection w:val="lrTb"/>
            <w:noWrap w:val="false"/>
          </w:tcPr>
          <w:p>
            <w:pPr>
              <w:jc w:val="left"/>
              <w:spacing w:line="380" w:lineRule="exact"/>
              <w:rPr>
                <w:rFonts w:asciiTheme="minorEastAsia" w:hAnsiTheme="minorEastAsia" w:eastAsiaTheme="minorEastAsia"/>
              </w:rPr>
            </w:pPr>
            <w:r/>
            <w:bookmarkStart w:id="267" w:name="OLE_LINK30"/>
            <w:r/>
            <w:bookmarkStart w:id="268" w:name="OLE_LINK29"/>
            <w:r>
              <w:rPr>
                <w:rFonts w:hint="eastAsia" w:asciiTheme="minorEastAsia" w:hAnsiTheme="minorEastAsia" w:eastAsiaTheme="minorEastAsia"/>
              </w:rPr>
              <w:t xml:space="preserve">投标文件的签署</w:t>
            </w:r>
            <w:bookmarkEnd w:id="267"/>
            <w:r/>
            <w:bookmarkEnd w:id="268"/>
            <w:r/>
            <w:r/>
          </w:p>
        </w:tc>
        <w:tc>
          <w:tcPr>
            <w:tcBorders>
              <w:top w:val="single" w:color="auto" w:sz="6" w:space="0"/>
              <w:left w:val="single" w:color="auto" w:sz="6" w:space="0"/>
              <w:bottom w:val="single" w:color="auto" w:sz="6" w:space="0"/>
              <w:right w:val="single" w:color="auto" w:sz="6" w:space="0"/>
            </w:tcBorders>
            <w:tcW w:w="5556" w:type="dxa"/>
            <w:vAlign w:val="center"/>
            <w:textDirection w:val="lrTb"/>
            <w:noWrap w:val="false"/>
          </w:tcPr>
          <w:p>
            <w:pPr>
              <w:jc w:val="left"/>
              <w:spacing w:line="380" w:lineRule="exact"/>
              <w:rPr>
                <w:rFonts w:asciiTheme="minorEastAsia" w:hAnsiTheme="minorEastAsia" w:eastAsiaTheme="minorEastAsia"/>
              </w:rPr>
            </w:pPr>
            <w:r/>
            <w:bookmarkStart w:id="269" w:name="OLE_LINK31"/>
            <w:r/>
            <w:bookmarkStart w:id="270" w:name="OLE_LINK32"/>
            <w:r>
              <w:rPr>
                <w:rFonts w:hint="eastAsia" w:asciiTheme="minorEastAsia" w:hAnsiTheme="minorEastAsia" w:eastAsiaTheme="minorEastAsia"/>
              </w:rPr>
              <w:t xml:space="preserve">符合第二章第3.4.4项规定</w:t>
            </w:r>
            <w:bookmarkEnd w:id="269"/>
            <w:r/>
            <w:bookmarkEnd w:id="270"/>
            <w:r/>
            <w:r/>
          </w:p>
        </w:tc>
      </w:tr>
      <w:tr>
        <w:trPr>
          <w:jc w:val="center"/>
          <w:trHeight w:val="460"/>
        </w:trPr>
        <w:tc>
          <w:tcPr>
            <w:tcBorders>
              <w:top w:val="single" w:color="auto" w:sz="6" w:space="0"/>
              <w:left w:val="single" w:color="auto" w:sz="6" w:space="0"/>
              <w:bottom w:val="single" w:color="auto" w:sz="6" w:space="0"/>
              <w:right w:val="single" w:color="auto" w:sz="6" w:space="0"/>
            </w:tcBorders>
            <w:tcW w:w="567" w:type="dxa"/>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591"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gridSpan w:val="2"/>
            <w:tcBorders>
              <w:top w:val="single" w:color="auto" w:sz="6" w:space="0"/>
              <w:left w:val="single" w:color="auto" w:sz="6" w:space="0"/>
              <w:bottom w:val="single" w:color="auto" w:sz="6" w:space="0"/>
              <w:right w:val="single" w:color="auto" w:sz="6" w:space="0"/>
            </w:tcBorders>
            <w:tcW w:w="2949"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报价</w:t>
            </w:r>
            <w:r/>
          </w:p>
        </w:tc>
        <w:tc>
          <w:tcPr>
            <w:tcBorders>
              <w:top w:val="single" w:color="auto" w:sz="6" w:space="0"/>
              <w:left w:val="single" w:color="auto" w:sz="6" w:space="0"/>
              <w:bottom w:val="single" w:color="auto" w:sz="6" w:space="0"/>
              <w:right w:val="single" w:color="auto" w:sz="6" w:space="0"/>
            </w:tcBorders>
            <w:tcW w:w="5556" w:type="dxa"/>
            <w:vAlign w:val="center"/>
            <w:textDirection w:val="lrTb"/>
            <w:noWrap w:val="false"/>
          </w:tcPr>
          <w:p>
            <w:pPr>
              <w:jc w:val="left"/>
              <w:spacing w:line="320" w:lineRule="exact"/>
              <w:rPr>
                <w:rFonts w:asciiTheme="minorEastAsia" w:hAnsiTheme="minorEastAsia" w:eastAsiaTheme="minorEastAsia"/>
              </w:rPr>
            </w:pPr>
            <w:r/>
            <w:bookmarkStart w:id="271" w:name="OLE_LINK27"/>
            <w:r/>
            <w:bookmarkStart w:id="272" w:name="OLE_LINK28"/>
            <w:r>
              <w:rPr>
                <w:rFonts w:hint="eastAsia" w:asciiTheme="minorEastAsia" w:hAnsiTheme="minorEastAsia" w:eastAsiaTheme="minorEastAsia"/>
              </w:rPr>
              <w:t xml:space="preserve">有且只有一个有效报价；未超过采购预算或最高限价；</w:t>
            </w:r>
            <w:bookmarkEnd w:id="271"/>
            <w:r/>
            <w:bookmarkEnd w:id="272"/>
            <w:r/>
            <w:r/>
          </w:p>
        </w:tc>
      </w:tr>
      <w:tr>
        <w:trPr>
          <w:jc w:val="center"/>
          <w:trHeight w:val="460"/>
        </w:trPr>
        <w:tc>
          <w:tcPr>
            <w:tcBorders>
              <w:top w:val="single" w:color="auto" w:sz="6" w:space="0"/>
              <w:left w:val="single" w:color="auto" w:sz="6" w:space="0"/>
              <w:bottom w:val="single" w:color="auto" w:sz="6" w:space="0"/>
              <w:right w:val="single" w:color="auto" w:sz="6" w:space="0"/>
            </w:tcBorders>
            <w:tcW w:w="567" w:type="dxa"/>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591"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gridSpan w:val="2"/>
            <w:tcBorders>
              <w:top w:val="single" w:color="auto" w:sz="6" w:space="0"/>
              <w:left w:val="single" w:color="auto" w:sz="6" w:space="0"/>
              <w:bottom w:val="single" w:color="auto" w:sz="6" w:space="0"/>
              <w:right w:val="single" w:color="auto" w:sz="6" w:space="0"/>
            </w:tcBorders>
            <w:tcW w:w="2949" w:type="dxa"/>
            <w:vAlign w:val="center"/>
            <w:textDirection w:val="lrTb"/>
            <w:noWrap w:val="false"/>
          </w:tcPr>
          <w:p>
            <w:pPr>
              <w:jc w:val="left"/>
              <w:spacing w:line="380" w:lineRule="exact"/>
              <w:rPr>
                <w:rFonts w:asciiTheme="minorEastAsia" w:hAnsiTheme="minorEastAsia" w:eastAsiaTheme="minorEastAsia"/>
              </w:rPr>
            </w:pPr>
            <w:r/>
            <w:bookmarkStart w:id="273" w:name="OLE_LINK33"/>
            <w:r/>
            <w:bookmarkStart w:id="274" w:name="OLE_LINK34"/>
            <w:r>
              <w:rPr>
                <w:rFonts w:hint="eastAsia" w:asciiTheme="minorEastAsia" w:hAnsiTheme="minorEastAsia" w:eastAsiaTheme="minorEastAsia"/>
              </w:rPr>
              <w:t xml:space="preserve">合同履行期限</w:t>
            </w:r>
            <w:bookmarkEnd w:id="273"/>
            <w:r/>
            <w:bookmarkEnd w:id="274"/>
            <w:r/>
            <w:r/>
          </w:p>
        </w:tc>
        <w:tc>
          <w:tcPr>
            <w:tcBorders>
              <w:top w:val="single" w:color="auto" w:sz="6" w:space="0"/>
              <w:left w:val="single" w:color="auto" w:sz="6" w:space="0"/>
              <w:bottom w:val="single" w:color="auto" w:sz="6" w:space="0"/>
              <w:right w:val="single" w:color="auto" w:sz="6" w:space="0"/>
            </w:tcBorders>
            <w:tcW w:w="5556" w:type="dxa"/>
            <w:vAlign w:val="center"/>
            <w:textDirection w:val="lrTb"/>
            <w:noWrap w:val="false"/>
          </w:tcPr>
          <w:p>
            <w:pPr>
              <w:jc w:val="left"/>
              <w:spacing w:line="380" w:lineRule="exact"/>
              <w:rPr>
                <w:rFonts w:asciiTheme="minorEastAsia" w:hAnsiTheme="minorEastAsia" w:eastAsiaTheme="minorEastAsia"/>
              </w:rPr>
            </w:pPr>
            <w:r/>
            <w:bookmarkStart w:id="275" w:name="OLE_LINK35"/>
            <w:r/>
            <w:bookmarkStart w:id="276" w:name="OLE_LINK36"/>
            <w:r>
              <w:rPr>
                <w:rFonts w:hint="eastAsia" w:asciiTheme="minorEastAsia" w:hAnsiTheme="minorEastAsia" w:eastAsiaTheme="minorEastAsia"/>
              </w:rPr>
              <w:t xml:space="preserve">符合第二章第</w:t>
            </w:r>
            <w:r>
              <w:rPr>
                <w:rFonts w:asciiTheme="minorEastAsia" w:hAnsiTheme="minorEastAsia" w:eastAsiaTheme="minorEastAsia"/>
              </w:rPr>
              <w:t xml:space="preserve">1.3.2</w:t>
            </w:r>
            <w:r>
              <w:rPr>
                <w:rFonts w:hint="eastAsia" w:asciiTheme="minorEastAsia" w:hAnsiTheme="minorEastAsia" w:eastAsiaTheme="minorEastAsia"/>
              </w:rPr>
              <w:t xml:space="preserve">项规定</w:t>
            </w:r>
            <w:bookmarkEnd w:id="275"/>
            <w:r/>
            <w:bookmarkEnd w:id="276"/>
            <w:r/>
            <w:r/>
          </w:p>
        </w:tc>
      </w:tr>
      <w:tr>
        <w:trPr>
          <w:jc w:val="center"/>
          <w:trHeight w:val="410"/>
        </w:trPr>
        <w:tc>
          <w:tcPr>
            <w:tcBorders>
              <w:top w:val="single" w:color="auto" w:sz="6" w:space="0"/>
              <w:left w:val="single" w:color="auto" w:sz="6" w:space="0"/>
              <w:bottom w:val="single" w:color="auto" w:sz="6" w:space="0"/>
              <w:right w:val="single" w:color="auto" w:sz="6" w:space="0"/>
            </w:tcBorders>
            <w:tcW w:w="567" w:type="dxa"/>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591"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gridSpan w:val="2"/>
            <w:tcBorders>
              <w:top w:val="single" w:color="auto" w:sz="6" w:space="0"/>
              <w:left w:val="single" w:color="auto" w:sz="6" w:space="0"/>
              <w:bottom w:val="single" w:color="auto" w:sz="6" w:space="0"/>
              <w:right w:val="single" w:color="auto" w:sz="6" w:space="0"/>
            </w:tcBorders>
            <w:tcW w:w="2949" w:type="dxa"/>
            <w:vAlign w:val="center"/>
            <w:textDirection w:val="lrTb"/>
            <w:noWrap w:val="false"/>
          </w:tcPr>
          <w:p>
            <w:pPr>
              <w:jc w:val="left"/>
              <w:spacing w:line="380" w:lineRule="exact"/>
              <w:rPr>
                <w:rFonts w:asciiTheme="minorEastAsia" w:hAnsiTheme="minorEastAsia" w:eastAsiaTheme="minorEastAsia"/>
              </w:rPr>
            </w:pPr>
            <w:r/>
            <w:bookmarkStart w:id="277" w:name="OLE_LINK37"/>
            <w:r/>
            <w:bookmarkStart w:id="278" w:name="OLE_LINK38"/>
            <w:r>
              <w:rPr>
                <w:rFonts w:hint="eastAsia" w:asciiTheme="minorEastAsia" w:hAnsiTheme="minorEastAsia" w:eastAsiaTheme="minorEastAsia"/>
              </w:rPr>
              <w:t xml:space="preserve">投标有效期</w:t>
            </w:r>
            <w:bookmarkEnd w:id="277"/>
            <w:r/>
            <w:bookmarkEnd w:id="278"/>
            <w:r/>
            <w:r/>
          </w:p>
        </w:tc>
        <w:tc>
          <w:tcPr>
            <w:tcBorders>
              <w:top w:val="single" w:color="auto" w:sz="6" w:space="0"/>
              <w:left w:val="single" w:color="auto" w:sz="6" w:space="0"/>
              <w:bottom w:val="single" w:color="auto" w:sz="6" w:space="0"/>
              <w:right w:val="single" w:color="auto" w:sz="6" w:space="0"/>
            </w:tcBorders>
            <w:tcW w:w="5556" w:type="dxa"/>
            <w:vAlign w:val="center"/>
            <w:textDirection w:val="lrTb"/>
            <w:noWrap w:val="false"/>
          </w:tcPr>
          <w:p>
            <w:pPr>
              <w:jc w:val="left"/>
              <w:spacing w:line="380" w:lineRule="exact"/>
              <w:rPr>
                <w:rFonts w:asciiTheme="minorEastAsia" w:hAnsiTheme="minorEastAsia" w:eastAsiaTheme="minorEastAsia"/>
              </w:rPr>
            </w:pPr>
            <w:r/>
            <w:bookmarkStart w:id="279" w:name="OLE_LINK2"/>
            <w:r/>
            <w:bookmarkStart w:id="280" w:name="OLE_LINK39"/>
            <w:r>
              <w:rPr>
                <w:rFonts w:hint="eastAsia" w:asciiTheme="minorEastAsia" w:hAnsiTheme="minorEastAsia" w:eastAsiaTheme="minorEastAsia"/>
              </w:rPr>
              <w:t xml:space="preserve">符合第二章第</w:t>
            </w:r>
            <w:r>
              <w:rPr>
                <w:rFonts w:asciiTheme="minorEastAsia" w:hAnsiTheme="minorEastAsia" w:eastAsiaTheme="minorEastAsia"/>
              </w:rPr>
              <w:t xml:space="preserve">3.3.1</w:t>
            </w:r>
            <w:r>
              <w:rPr>
                <w:rFonts w:hint="eastAsia" w:asciiTheme="minorEastAsia" w:hAnsiTheme="minorEastAsia" w:eastAsiaTheme="minorEastAsia"/>
              </w:rPr>
              <w:t xml:space="preserve">项规定</w:t>
            </w:r>
            <w:bookmarkEnd w:id="279"/>
            <w:r/>
            <w:bookmarkEnd w:id="280"/>
            <w:r/>
            <w:r/>
          </w:p>
        </w:tc>
      </w:tr>
      <w:tr>
        <w:trPr>
          <w:jc w:val="center"/>
          <w:trHeight w:val="346"/>
        </w:trPr>
        <w:tc>
          <w:tcPr>
            <w:tcBorders>
              <w:top w:val="single" w:color="auto" w:sz="6" w:space="0"/>
              <w:left w:val="single" w:color="auto" w:sz="6" w:space="0"/>
              <w:bottom w:val="single" w:color="auto" w:sz="6" w:space="0"/>
              <w:right w:val="single" w:color="auto" w:sz="6" w:space="0"/>
            </w:tcBorders>
            <w:tcW w:w="567"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591"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gridSpan w:val="2"/>
            <w:tcBorders>
              <w:top w:val="single" w:color="auto" w:sz="6" w:space="0"/>
              <w:left w:val="single" w:color="auto" w:sz="6" w:space="0"/>
              <w:bottom w:val="single" w:color="auto" w:sz="6" w:space="0"/>
              <w:right w:val="single" w:color="auto" w:sz="6" w:space="0"/>
            </w:tcBorders>
            <w:tcW w:w="2949" w:type="dxa"/>
            <w:vAlign w:val="center"/>
            <w:textDirection w:val="lrTb"/>
            <w:noWrap w:val="false"/>
          </w:tcPr>
          <w:p>
            <w:pPr>
              <w:jc w:val="left"/>
              <w:spacing w:line="380" w:lineRule="exact"/>
              <w:rPr>
                <w:rFonts w:asciiTheme="minorEastAsia" w:hAnsiTheme="minorEastAsia" w:eastAsiaTheme="minorEastAsia"/>
              </w:rPr>
            </w:pPr>
            <w:r/>
            <w:bookmarkStart w:id="281" w:name="OLE_LINK41"/>
            <w:r/>
            <w:bookmarkStart w:id="282" w:name="OLE_LINK40"/>
            <w:r>
              <w:rPr>
                <w:rFonts w:hint="eastAsia" w:asciiTheme="minorEastAsia" w:hAnsiTheme="minorEastAsia" w:eastAsiaTheme="minorEastAsia"/>
              </w:rPr>
              <w:t xml:space="preserve">偏离</w:t>
            </w:r>
            <w:bookmarkEnd w:id="281"/>
            <w:r/>
            <w:bookmarkEnd w:id="282"/>
            <w:r/>
            <w:r/>
          </w:p>
        </w:tc>
        <w:tc>
          <w:tcPr>
            <w:tcBorders>
              <w:top w:val="single" w:color="auto" w:sz="6" w:space="0"/>
              <w:left w:val="single" w:color="auto" w:sz="6" w:space="0"/>
              <w:bottom w:val="single" w:color="auto" w:sz="6" w:space="0"/>
              <w:right w:val="single" w:color="auto" w:sz="6" w:space="0"/>
            </w:tcBorders>
            <w:tcW w:w="5556" w:type="dxa"/>
            <w:vAlign w:val="center"/>
            <w:textDirection w:val="lrTb"/>
            <w:noWrap w:val="false"/>
          </w:tcPr>
          <w:p>
            <w:pPr>
              <w:jc w:val="left"/>
              <w:spacing w:line="380" w:lineRule="exact"/>
              <w:rPr>
                <w:rFonts w:asciiTheme="minorEastAsia" w:hAnsiTheme="minorEastAsia" w:eastAsiaTheme="minorEastAsia"/>
              </w:rPr>
            </w:pPr>
            <w:r/>
            <w:bookmarkStart w:id="283" w:name="OLE_LINK14"/>
            <w:r/>
            <w:bookmarkStart w:id="284" w:name="OLE_LINK13"/>
            <w:r>
              <w:rPr>
                <w:rFonts w:hint="eastAsia" w:asciiTheme="minorEastAsia" w:hAnsiTheme="minorEastAsia" w:eastAsiaTheme="minorEastAsia"/>
              </w:rPr>
              <w:t xml:space="preserve">符合第二章“投标人须知”第</w:t>
            </w:r>
            <w:r>
              <w:rPr>
                <w:rFonts w:asciiTheme="minorEastAsia" w:hAnsiTheme="minorEastAsia" w:eastAsiaTheme="minorEastAsia"/>
              </w:rPr>
              <w:t xml:space="preserve">1.</w:t>
            </w:r>
            <w:r>
              <w:rPr>
                <w:rFonts w:hint="eastAsia" w:asciiTheme="minorEastAsia" w:hAnsiTheme="minorEastAsia" w:eastAsiaTheme="minorEastAsia"/>
              </w:rPr>
              <w:t xml:space="preserve">8项规定</w:t>
            </w:r>
            <w:bookmarkEnd w:id="283"/>
            <w:r/>
            <w:bookmarkEnd w:id="284"/>
            <w:r/>
            <w:r/>
          </w:p>
        </w:tc>
      </w:tr>
      <w:tr>
        <w:trPr>
          <w:jc w:val="center"/>
          <w:trHeight w:val="378"/>
        </w:trPr>
        <w:tc>
          <w:tcPr>
            <w:gridSpan w:val="5"/>
            <w:tcBorders>
              <w:top w:val="single" w:color="auto" w:sz="6" w:space="0"/>
              <w:left w:val="single" w:color="auto" w:sz="6" w:space="0"/>
              <w:bottom w:val="single" w:color="auto" w:sz="6" w:space="0"/>
              <w:right w:val="single" w:color="auto" w:sz="6" w:space="0"/>
            </w:tcBorders>
            <w:tcW w:w="9663" w:type="dxa"/>
            <w:vAlign w:val="center"/>
            <w:textDirection w:val="lrTb"/>
            <w:noWrap w:val="false"/>
          </w:tcPr>
          <w:p>
            <w:pPr>
              <w:jc w:val="center"/>
              <w:spacing w:line="460" w:lineRule="exact"/>
              <w:rPr>
                <w:rFonts w:asciiTheme="minorEastAsia" w:hAnsiTheme="minorEastAsia" w:eastAsiaTheme="minorEastAsia"/>
                <w:spacing w:val="-18"/>
              </w:rPr>
            </w:pPr>
            <w:r>
              <w:rPr>
                <w:rFonts w:hint="eastAsia" w:asciiTheme="minorEastAsia" w:hAnsiTheme="minorEastAsia" w:eastAsiaTheme="minorEastAsia"/>
                <w:b/>
                <w:spacing w:val="-14"/>
              </w:rPr>
              <w:t xml:space="preserve">2.2.2项评审内容由评标委员会负责，投标文件不符合2.2.2项评审标准的，作无效标处理。</w:t>
            </w:r>
            <w:r/>
          </w:p>
        </w:tc>
      </w:tr>
      <w:tr>
        <w:trPr>
          <w:jc w:val="center"/>
          <w:trHeight w:val="276"/>
        </w:trPr>
        <w:tc>
          <w:tcPr>
            <w:gridSpan w:val="5"/>
            <w:tcBorders>
              <w:top w:val="single" w:color="auto" w:sz="6" w:space="0"/>
              <w:left w:val="single" w:color="auto" w:sz="6" w:space="0"/>
              <w:bottom w:val="single" w:color="auto" w:sz="6" w:space="0"/>
              <w:right w:val="single" w:color="auto" w:sz="6" w:space="0"/>
            </w:tcBorders>
            <w:tcW w:w="9663" w:type="dxa"/>
            <w:vAlign w:val="center"/>
            <w:textDirection w:val="lrTb"/>
            <w:noWrap w:val="false"/>
          </w:tcPr>
          <w:p>
            <w:pPr>
              <w:jc w:val="center"/>
              <w:spacing w:line="320" w:lineRule="exact"/>
              <w:rPr>
                <w:rFonts w:ascii="宋体"/>
                <w:b/>
              </w:rPr>
            </w:pPr>
            <w:r>
              <w:rPr>
                <w:rFonts w:hint="eastAsia" w:ascii="宋体"/>
                <w:b/>
              </w:rPr>
              <w:t xml:space="preserve">2.3详细评审</w:t>
            </w:r>
            <w:r/>
          </w:p>
        </w:tc>
      </w:tr>
      <w:tr>
        <w:trPr>
          <w:jc w:val="center"/>
          <w:trHeight w:val="56"/>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firstLine="28"/>
              <w:jc w:val="center"/>
              <w:rPr>
                <w:rFonts w:ascii="宋体" w:hAnsi="宋体"/>
                <w:b/>
                <w:bCs/>
                <w:szCs w:val="21"/>
              </w:rPr>
            </w:pPr>
            <w:r/>
            <w:bookmarkStart w:id="285" w:name="_Toc426469921"/>
            <w:r>
              <w:rPr>
                <w:rFonts w:hint="eastAsia" w:ascii="宋体" w:hAnsi="宋体"/>
                <w:b/>
                <w:bCs/>
                <w:szCs w:val="21"/>
              </w:rPr>
              <w:t xml:space="preserve">序号</w:t>
            </w:r>
            <w:r/>
          </w:p>
        </w:tc>
        <w:tc>
          <w:tcPr>
            <w:gridSpan w:val="2"/>
            <w:tcBorders>
              <w:top w:val="single" w:color="auto" w:sz="4" w:space="0"/>
              <w:left w:val="none" w:color="000000" w:sz="4" w:space="0"/>
              <w:bottom w:val="single" w:color="auto" w:sz="4" w:space="0"/>
              <w:right w:val="single" w:color="auto" w:sz="4" w:space="0"/>
            </w:tcBorders>
            <w:tcW w:w="1267" w:type="dxa"/>
            <w:vAlign w:val="center"/>
            <w:textDirection w:val="lrTb"/>
            <w:noWrap w:val="false"/>
          </w:tcPr>
          <w:p>
            <w:pPr>
              <w:ind w:firstLine="28"/>
              <w:jc w:val="center"/>
              <w:rPr>
                <w:rFonts w:ascii="宋体" w:hAnsi="宋体"/>
                <w:b/>
                <w:bCs/>
                <w:szCs w:val="21"/>
              </w:rPr>
            </w:pPr>
            <w:r>
              <w:rPr>
                <w:rFonts w:hint="eastAsia" w:ascii="宋体" w:hAnsi="宋体"/>
                <w:b/>
                <w:bCs/>
                <w:szCs w:val="21"/>
              </w:rPr>
              <w:t xml:space="preserve">评分因素</w:t>
            </w:r>
            <w:r/>
          </w:p>
          <w:p>
            <w:pPr>
              <w:ind w:firstLine="28"/>
              <w:jc w:val="center"/>
              <w:rPr>
                <w:rFonts w:ascii="宋体" w:hAnsi="宋体"/>
                <w:b/>
                <w:bCs/>
                <w:szCs w:val="21"/>
              </w:rPr>
            </w:pPr>
            <w:r>
              <w:rPr>
                <w:rFonts w:hint="eastAsia" w:ascii="宋体" w:hAnsi="宋体"/>
                <w:b/>
                <w:bCs/>
                <w:szCs w:val="21"/>
              </w:rPr>
              <w:t xml:space="preserve">及权重</w:t>
            </w:r>
            <w:r/>
          </w:p>
        </w:tc>
        <w:tc>
          <w:tcPr>
            <w:gridSpan w:val="2"/>
            <w:tcBorders>
              <w:top w:val="single" w:color="auto" w:sz="4" w:space="0"/>
              <w:left w:val="none" w:color="000000" w:sz="4" w:space="0"/>
              <w:bottom w:val="single" w:color="auto" w:sz="4" w:space="0"/>
              <w:right w:val="single" w:color="auto" w:sz="4" w:space="0"/>
            </w:tcBorders>
            <w:tcW w:w="7829" w:type="dxa"/>
            <w:vAlign w:val="center"/>
            <w:textDirection w:val="lrTb"/>
            <w:noWrap w:val="false"/>
          </w:tcPr>
          <w:p>
            <w:pPr>
              <w:ind w:firstLine="28"/>
              <w:jc w:val="center"/>
              <w:spacing w:line="500" w:lineRule="exact"/>
              <w:rPr>
                <w:rFonts w:ascii="宋体" w:hAnsi="宋体"/>
                <w:b/>
                <w:bCs/>
                <w:szCs w:val="21"/>
              </w:rPr>
            </w:pPr>
            <w:r>
              <w:rPr>
                <w:rFonts w:hint="eastAsia" w:ascii="宋体" w:hAnsi="宋体"/>
                <w:b/>
                <w:bCs/>
                <w:szCs w:val="21"/>
              </w:rPr>
              <w:t xml:space="preserve">评分标准</w:t>
            </w:r>
            <w:r/>
          </w:p>
        </w:tc>
      </w:tr>
      <w:tr>
        <w:trPr>
          <w:jc w:val="center"/>
          <w:trHeight w:val="56"/>
        </w:trPr>
        <w:tc>
          <w:tcPr>
            <w:gridSpan w:val="5"/>
            <w:tcBorders>
              <w:top w:val="single" w:color="auto" w:sz="4" w:space="0"/>
              <w:left w:val="single" w:color="auto" w:sz="4" w:space="0"/>
              <w:bottom w:val="single" w:color="auto" w:sz="4" w:space="0"/>
              <w:right w:val="single" w:color="auto" w:sz="4" w:space="0"/>
            </w:tcBorders>
            <w:tcW w:w="9663" w:type="dxa"/>
            <w:vAlign w:val="center"/>
            <w:textDirection w:val="lrTb"/>
            <w:noWrap w:val="false"/>
          </w:tcPr>
          <w:p>
            <w:pPr>
              <w:ind w:firstLine="28"/>
              <w:jc w:val="center"/>
              <w:spacing w:line="500" w:lineRule="exact"/>
              <w:rPr>
                <w:rFonts w:ascii="宋体" w:hAnsi="宋体"/>
                <w:b/>
                <w:bCs/>
                <w:sz w:val="28"/>
                <w:szCs w:val="28"/>
              </w:rPr>
            </w:pPr>
            <w:r>
              <w:rPr>
                <w:rFonts w:hint="eastAsia" w:ascii="宋体" w:hAnsi="宋体"/>
                <w:b/>
                <w:bCs/>
              </w:rPr>
              <w:t xml:space="preserve">报价部分（30分）</w:t>
            </w:r>
            <w:r/>
          </w:p>
        </w:tc>
      </w:tr>
      <w:tr>
        <w:trPr>
          <w:jc w:val="center"/>
          <w:trHeight w:val="273"/>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firstLine="28"/>
              <w:jc w:val="center"/>
              <w:spacing w:line="500" w:lineRule="exact"/>
              <w:rPr>
                <w:rFonts w:ascii="宋体" w:hAnsi="宋体"/>
                <w:szCs w:val="21"/>
              </w:rPr>
            </w:pPr>
            <w:r>
              <w:rPr>
                <w:rFonts w:hint="eastAsia" w:ascii="宋体" w:hAnsi="宋体"/>
                <w:szCs w:val="21"/>
              </w:rPr>
              <w:t xml:space="preserve">1</w:t>
            </w:r>
            <w:r/>
          </w:p>
        </w:tc>
        <w:tc>
          <w:tcPr>
            <w:gridSpan w:val="2"/>
            <w:tcBorders>
              <w:top w:val="single" w:color="auto" w:sz="4" w:space="0"/>
              <w:left w:val="none" w:color="000000" w:sz="4" w:space="0"/>
              <w:bottom w:val="single" w:color="auto" w:sz="4" w:space="0"/>
              <w:right w:val="single" w:color="auto" w:sz="4" w:space="0"/>
            </w:tcBorders>
            <w:tcW w:w="1267" w:type="dxa"/>
            <w:vAlign w:val="center"/>
            <w:textDirection w:val="lrTb"/>
            <w:noWrap w:val="false"/>
          </w:tcPr>
          <w:p>
            <w:pPr>
              <w:ind w:firstLine="28"/>
              <w:jc w:val="center"/>
              <w:spacing w:line="500" w:lineRule="exact"/>
              <w:rPr>
                <w:rFonts w:ascii="宋体" w:hAnsi="宋体"/>
                <w:szCs w:val="21"/>
              </w:rPr>
            </w:pPr>
            <w:r>
              <w:rPr>
                <w:rFonts w:hint="eastAsia" w:ascii="宋体" w:hAnsi="宋体"/>
                <w:szCs w:val="21"/>
              </w:rPr>
              <w:t xml:space="preserve">投标报价</w:t>
            </w:r>
            <w:r/>
          </w:p>
        </w:tc>
        <w:tc>
          <w:tcPr>
            <w:gridSpan w:val="2"/>
            <w:tcBorders>
              <w:top w:val="single" w:color="auto" w:sz="4" w:space="0"/>
              <w:left w:val="none" w:color="000000" w:sz="4" w:space="0"/>
              <w:bottom w:val="single" w:color="auto" w:sz="4" w:space="0"/>
              <w:right w:val="single" w:color="auto" w:sz="4" w:space="0"/>
            </w:tcBorders>
            <w:tcW w:w="7829" w:type="dxa"/>
            <w:vAlign w:val="center"/>
            <w:textDirection w:val="lrTb"/>
            <w:noWrap w:val="false"/>
          </w:tcPr>
          <w:p>
            <w:pPr>
              <w:spacing w:line="400" w:lineRule="exact"/>
              <w:rPr>
                <w:rFonts w:ascii="宋体" w:hAnsi="宋体"/>
                <w:bCs/>
                <w:szCs w:val="21"/>
                <w:lang w:val="zh-CN"/>
              </w:rPr>
            </w:pPr>
            <w:r/>
            <w:bookmarkStart w:id="286" w:name="OLE_LINK15"/>
            <w:r/>
            <w:bookmarkStart w:id="287" w:name="OLE_LINK43"/>
            <w:r/>
            <w:bookmarkStart w:id="288" w:name="OLE_LINK42"/>
            <w:r>
              <w:rPr>
                <w:rFonts w:hint="eastAsia" w:asciiTheme="minorEastAsia" w:hAnsiTheme="minorEastAsia" w:eastAsiaTheme="minorEastAsia" w:cstheme="minorEastAsia"/>
              </w:rPr>
              <w:t xml:space="preserve">价格分统一采用低价优先法计算，即满足招标文件要求且投标价格最低的投标报价为评标基准价，其价格分为满分，其他招标人的价格分统一按照下列公式计算：投标报价得分＝（评标基准价/投标报价）×30分。</w:t>
            </w:r>
            <w:bookmarkEnd w:id="286"/>
            <w:r/>
            <w:bookmarkEnd w:id="287"/>
            <w:r/>
            <w:bookmarkEnd w:id="288"/>
            <w:r/>
            <w:r/>
          </w:p>
        </w:tc>
      </w:tr>
      <w:tr>
        <w:trPr>
          <w:jc w:val="center"/>
          <w:trHeight w:val="273"/>
        </w:trPr>
        <w:tc>
          <w:tcPr>
            <w:gridSpan w:val="5"/>
            <w:tcBorders>
              <w:top w:val="single" w:color="auto" w:sz="4" w:space="0"/>
              <w:left w:val="single" w:color="auto" w:sz="4" w:space="0"/>
              <w:bottom w:val="single" w:color="auto" w:sz="4" w:space="0"/>
              <w:right w:val="single" w:color="auto" w:sz="4" w:space="0"/>
            </w:tcBorders>
            <w:tcW w:w="9663" w:type="dxa"/>
            <w:vAlign w:val="center"/>
            <w:textDirection w:val="lrTb"/>
            <w:noWrap w:val="false"/>
          </w:tcPr>
          <w:p>
            <w:pPr>
              <w:ind w:firstLine="28"/>
              <w:jc w:val="center"/>
              <w:spacing w:line="500" w:lineRule="exact"/>
              <w:rPr>
                <w:rFonts w:ascii="宋体" w:hAnsi="宋体"/>
                <w:bCs/>
                <w:lang w:val="zh-CN"/>
              </w:rPr>
            </w:pPr>
            <w:r>
              <w:rPr>
                <w:rFonts w:hint="eastAsia" w:ascii="宋体" w:hAnsi="宋体"/>
                <w:b/>
                <w:bCs/>
              </w:rPr>
              <w:t xml:space="preserve">商务部分（2</w:t>
            </w:r>
            <w:r>
              <w:rPr>
                <w:rFonts w:ascii="宋体" w:hAnsi="宋体"/>
                <w:b/>
                <w:bCs/>
              </w:rPr>
              <w:t xml:space="preserve">8</w:t>
            </w:r>
            <w:r>
              <w:rPr>
                <w:rFonts w:hint="eastAsia" w:ascii="宋体" w:hAnsi="宋体"/>
                <w:b/>
                <w:bCs/>
              </w:rPr>
              <w:t xml:space="preserve">分）</w:t>
            </w:r>
            <w:r/>
          </w:p>
        </w:tc>
      </w:tr>
      <w:tr>
        <w:trPr>
          <w:jc w:val="center"/>
          <w:trHeight w:val="511"/>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440" w:lineRule="atLeast"/>
              <w:rPr>
                <w:rFonts w:ascii="宋体" w:hAnsi="宋体"/>
                <w:szCs w:val="21"/>
              </w:rPr>
            </w:pPr>
            <w:r/>
            <w:bookmarkStart w:id="289" w:name="_Hlk216682853"/>
            <w:r>
              <w:rPr>
                <w:rFonts w:hint="eastAsia" w:ascii="宋体" w:hAnsi="宋体"/>
                <w:szCs w:val="21"/>
              </w:rPr>
              <w:t xml:space="preserve">2</w:t>
            </w:r>
            <w:r/>
          </w:p>
        </w:tc>
        <w:tc>
          <w:tcPr>
            <w:gridSpan w:val="2"/>
            <w:tcBorders>
              <w:top w:val="single" w:color="auto" w:sz="4" w:space="0"/>
              <w:left w:val="none" w:color="000000" w:sz="4" w:space="0"/>
              <w:bottom w:val="single" w:color="auto" w:sz="4" w:space="0"/>
              <w:right w:val="single" w:color="auto" w:sz="4" w:space="0"/>
            </w:tcBorders>
            <w:tcW w:w="1267" w:type="dxa"/>
            <w:vAlign w:val="center"/>
            <w:textDirection w:val="lrTb"/>
            <w:noWrap w:val="false"/>
          </w:tcPr>
          <w:p>
            <w:pPr>
              <w:jc w:val="center"/>
              <w:spacing w:line="440" w:lineRule="atLeast"/>
              <w:rPr>
                <w:rFonts w:ascii="宋体" w:hAnsi="宋体"/>
                <w:szCs w:val="21"/>
              </w:rPr>
            </w:pPr>
            <w:r>
              <w:rPr>
                <w:rFonts w:hint="eastAsia" w:ascii="宋体" w:hAnsi="宋体"/>
                <w:szCs w:val="21"/>
              </w:rPr>
              <w:t xml:space="preserve">投标人证书（1</w:t>
            </w:r>
            <w:r>
              <w:rPr>
                <w:rFonts w:ascii="宋体" w:hAnsi="宋体"/>
                <w:szCs w:val="21"/>
              </w:rPr>
              <w:t xml:space="preserve">3</w:t>
            </w:r>
            <w:r>
              <w:rPr>
                <w:rFonts w:hint="eastAsia" w:ascii="宋体" w:hAnsi="宋体"/>
                <w:szCs w:val="21"/>
              </w:rPr>
              <w:t xml:space="preserve">分）</w:t>
            </w:r>
            <w:r/>
          </w:p>
        </w:tc>
        <w:tc>
          <w:tcPr>
            <w:gridSpan w:val="2"/>
            <w:tcBorders>
              <w:top w:val="single" w:color="auto" w:sz="4" w:space="0"/>
              <w:left w:val="none" w:color="000000" w:sz="4" w:space="0"/>
              <w:bottom w:val="single" w:color="auto" w:sz="4" w:space="0"/>
              <w:right w:val="single" w:color="auto" w:sz="4" w:space="0"/>
            </w:tcBorders>
            <w:tcW w:w="7829" w:type="dxa"/>
            <w:vAlign w:val="center"/>
            <w:textDirection w:val="lrTb"/>
            <w:noWrap w:val="false"/>
          </w:tcPr>
          <w:p>
            <w:pPr>
              <w:pStyle w:val="687"/>
              <w:numPr>
                <w:ilvl w:val="0"/>
                <w:numId w:val="2"/>
              </w:num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投标人具有有效的信息系统服务交付能力等级证书，能力达到一级得2分，二级得1分。</w:t>
            </w:r>
            <w:r/>
          </w:p>
          <w:p>
            <w:pPr>
              <w:pStyle w:val="687"/>
              <w:numPr>
                <w:ilvl w:val="0"/>
                <w:numId w:val="2"/>
              </w:num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投标人具有有效的安防工程企业设计施工维护能力证书，壹级证书得3分，贰级证书得2分，叁级证书得1分。</w:t>
            </w:r>
            <w:r/>
          </w:p>
          <w:p>
            <w:pPr>
              <w:pStyle w:val="687"/>
              <w:numPr>
                <w:ilvl w:val="0"/>
                <w:numId w:val="2"/>
              </w:num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投标人具有有效的信息系统建设和服务能力等级证书的，能力达到优秀级CS4及以上的，得2分；良好级CS3的，得1分；基本级CS2及以下的，得0.5分。</w:t>
            </w:r>
            <w:r/>
          </w:p>
          <w:p>
            <w:pPr>
              <w:pStyle w:val="687"/>
              <w:numPr>
                <w:ilvl w:val="0"/>
                <w:numId w:val="2"/>
              </w:num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投标人具备有效的商品售后服务认证证书（GB/T27922-2011《商品售后服务评价体系》），五星级的，得2分；四星级的，得1分，其他不得分。</w:t>
            </w:r>
            <w:r/>
          </w:p>
          <w:p>
            <w:pPr>
              <w:pStyle w:val="687"/>
              <w:numPr>
                <w:ilvl w:val="0"/>
                <w:numId w:val="2"/>
              </w:num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投标人具备有效的ITSS信息技术服务标准符合性证书智能运维，得4分。</w:t>
            </w:r>
            <w:r/>
          </w:p>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注：序号1-</w:t>
            </w:r>
            <w:r>
              <w:rPr>
                <w:rFonts w:asciiTheme="minorEastAsia" w:hAnsiTheme="minorEastAsia" w:eastAsiaTheme="minorEastAsia" w:cstheme="minorEastAsia"/>
              </w:rPr>
              <w:t xml:space="preserve">5</w:t>
            </w:r>
            <w:r>
              <w:rPr>
                <w:rFonts w:hint="eastAsia" w:asciiTheme="minorEastAsia" w:hAnsiTheme="minorEastAsia" w:eastAsiaTheme="minorEastAsia" w:cstheme="minorEastAsia"/>
              </w:rPr>
              <w:t xml:space="preserve">须提供证书原件扫描件，</w:t>
            </w:r>
            <w:bookmarkStart w:id="290" w:name="OLE_LINK47"/>
            <w:r>
              <w:rPr>
                <w:rFonts w:hint="eastAsia" w:asciiTheme="minorEastAsia" w:hAnsiTheme="minorEastAsia" w:eastAsiaTheme="minorEastAsia" w:cstheme="minorEastAsia"/>
              </w:rPr>
              <w:t xml:space="preserve">否则不得分</w:t>
            </w:r>
            <w:bookmarkEnd w:id="290"/>
            <w:r>
              <w:rPr>
                <w:rFonts w:hint="eastAsia" w:asciiTheme="minorEastAsia" w:hAnsiTheme="minorEastAsia" w:eastAsiaTheme="minorEastAsia" w:cstheme="minorEastAsia"/>
              </w:rPr>
              <w:t xml:space="preserve">。</w:t>
            </w:r>
            <w:r/>
          </w:p>
        </w:tc>
      </w:tr>
      <w:tr>
        <w:trPr>
          <w:jc w:val="center"/>
          <w:trHeight w:val="511"/>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440" w:lineRule="atLeast"/>
              <w:rPr>
                <w:rFonts w:ascii="宋体" w:hAnsi="宋体"/>
                <w:szCs w:val="21"/>
              </w:rPr>
            </w:pPr>
            <w:r>
              <w:rPr>
                <w:rFonts w:hint="eastAsia" w:ascii="宋体" w:hAnsi="宋体"/>
                <w:szCs w:val="21"/>
              </w:rPr>
              <w:t xml:space="preserve">3</w:t>
            </w:r>
            <w:r/>
          </w:p>
        </w:tc>
        <w:tc>
          <w:tcPr>
            <w:gridSpan w:val="2"/>
            <w:tcBorders>
              <w:top w:val="single" w:color="auto" w:sz="4" w:space="0"/>
              <w:left w:val="none" w:color="000000" w:sz="4" w:space="0"/>
              <w:bottom w:val="single" w:color="auto" w:sz="4" w:space="0"/>
              <w:right w:val="single" w:color="auto" w:sz="4" w:space="0"/>
            </w:tcBorders>
            <w:tcW w:w="1267" w:type="dxa"/>
            <w:vAlign w:val="center"/>
            <w:textDirection w:val="lrTb"/>
            <w:noWrap w:val="false"/>
          </w:tcPr>
          <w:p>
            <w:pPr>
              <w:jc w:val="center"/>
              <w:spacing w:line="440" w:lineRule="atLeast"/>
              <w:rPr>
                <w:rFonts w:ascii="宋体" w:hAnsi="宋体"/>
                <w:szCs w:val="21"/>
              </w:rPr>
            </w:pPr>
            <w:r>
              <w:rPr>
                <w:rFonts w:hint="eastAsia" w:ascii="宋体" w:hAnsi="宋体"/>
                <w:szCs w:val="21"/>
              </w:rPr>
              <w:t xml:space="preserve">项目团队（</w:t>
            </w:r>
            <w:r>
              <w:rPr>
                <w:rFonts w:ascii="宋体" w:hAnsi="宋体"/>
                <w:szCs w:val="21"/>
              </w:rPr>
              <w:t xml:space="preserve">9</w:t>
            </w:r>
            <w:r>
              <w:rPr>
                <w:rFonts w:hint="eastAsia" w:ascii="宋体" w:hAnsi="宋体"/>
                <w:szCs w:val="21"/>
              </w:rPr>
              <w:t xml:space="preserve">分）</w:t>
            </w:r>
            <w:r/>
          </w:p>
        </w:tc>
        <w:tc>
          <w:tcPr>
            <w:gridSpan w:val="2"/>
            <w:tcBorders>
              <w:top w:val="single" w:color="auto" w:sz="4" w:space="0"/>
              <w:left w:val="none" w:color="000000" w:sz="4" w:space="0"/>
              <w:bottom w:val="single" w:color="auto" w:sz="4" w:space="0"/>
              <w:right w:val="single" w:color="auto" w:sz="4" w:space="0"/>
            </w:tcBorders>
            <w:tcW w:w="7829" w:type="dxa"/>
            <w:vAlign w:val="center"/>
            <w:textDirection w:val="lrTb"/>
            <w:noWrap w:val="false"/>
          </w:tcPr>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1、投标人所派项目经理具有系统集成项目管理工程师、信息系统项目管理师、网络规划设计师，每提供1个得1分，本项最高得3分。</w:t>
            </w:r>
            <w:r/>
          </w:p>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2、投标人所派技术负责人具备信息系统项目管理师、高级弱电系统工程师、电子信息工程工程师，每提供1个得1分，本项最高得3分。</w:t>
            </w:r>
            <w:r/>
          </w:p>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3、投标人所派项目团队其他人员具有系统架构设计师、建造师（机电工程二级及以上）、高级IT运维工程师、电工证证书的，每提供1类人员证书的得 </w:t>
            </w:r>
            <w:r>
              <w:rPr>
                <w:rFonts w:asciiTheme="minorEastAsia" w:hAnsiTheme="minorEastAsia" w:eastAsiaTheme="minorEastAsia" w:cstheme="minorEastAsia"/>
              </w:rPr>
              <w:t xml:space="preserve">1</w:t>
            </w:r>
            <w:r>
              <w:rPr>
                <w:rFonts w:hint="eastAsia" w:asciiTheme="minorEastAsia" w:hAnsiTheme="minorEastAsia" w:eastAsiaTheme="minorEastAsia" w:cstheme="minorEastAsia"/>
              </w:rPr>
              <w:t xml:space="preserve"> 分，本项最多得 </w:t>
            </w:r>
            <w:r>
              <w:rPr>
                <w:rFonts w:asciiTheme="minorEastAsia" w:hAnsiTheme="minorEastAsia" w:eastAsiaTheme="minorEastAsia" w:cstheme="minorEastAsia"/>
              </w:rPr>
              <w:t xml:space="preserve">3</w:t>
            </w:r>
            <w:r>
              <w:rPr>
                <w:rFonts w:hint="eastAsia" w:asciiTheme="minorEastAsia" w:hAnsiTheme="minorEastAsia" w:eastAsiaTheme="minorEastAsia" w:cstheme="minorEastAsia"/>
              </w:rPr>
              <w:t xml:space="preserve">分，不提供不得分。</w:t>
            </w:r>
            <w:r/>
          </w:p>
          <w:p>
            <w:pPr>
              <w:spacing w:line="400" w:lineRule="exact"/>
              <w:rPr>
                <w:rFonts w:ascii="宋体" w:hAnsi="宋体"/>
                <w:szCs w:val="21"/>
              </w:rPr>
            </w:pPr>
            <w:r>
              <w:rPr>
                <w:rFonts w:hint="eastAsia" w:asciiTheme="minorEastAsia" w:hAnsiTheme="minorEastAsia" w:eastAsiaTheme="minorEastAsia" w:cstheme="minorEastAsia"/>
              </w:rPr>
              <w:t xml:space="preserve">注：以上所有人员不得相互兼任，项目团队表格（格式自拟），项目团队成员需提供证书原件扫描</w:t>
            </w:r>
            <w:bookmarkStart w:id="357" w:name="_GoBack"/>
            <w:r>
              <w:rPr>
                <w:rFonts w:hint="eastAsia" w:asciiTheme="minorEastAsia" w:hAnsiTheme="minorEastAsia" w:eastAsiaTheme="minorEastAsia" w:cstheme="minorEastAsia"/>
                <w:highlight w:val="none"/>
              </w:rPr>
              <w:t xml:space="preserve">件和投标单位为其</w:t>
            </w:r>
            <w:bookmarkEnd w:id="357"/>
            <w:r>
              <w:rPr>
                <w:rFonts w:hint="eastAsia" w:asciiTheme="minorEastAsia" w:hAnsiTheme="minorEastAsia" w:eastAsiaTheme="minorEastAsia" w:cstheme="minorEastAsia"/>
              </w:rPr>
              <w:t xml:space="preserve">缴纳的投标截止时间前近三个月内任意一个月在投标单位参保的社保缴费证明原件扫描件，否则不得分。</w:t>
            </w:r>
            <w:r/>
          </w:p>
        </w:tc>
      </w:tr>
      <w:tr>
        <w:trPr>
          <w:jc w:val="center"/>
          <w:trHeight w:val="511"/>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440" w:lineRule="atLeast"/>
              <w:rPr>
                <w:rFonts w:ascii="宋体" w:hAnsi="宋体"/>
                <w:szCs w:val="21"/>
              </w:rPr>
            </w:pPr>
            <w:r>
              <w:rPr>
                <w:rFonts w:hint="eastAsia" w:ascii="宋体" w:hAnsi="宋体"/>
                <w:szCs w:val="21"/>
              </w:rPr>
              <w:t xml:space="preserve">4</w:t>
            </w:r>
            <w:r/>
          </w:p>
        </w:tc>
        <w:tc>
          <w:tcPr>
            <w:gridSpan w:val="2"/>
            <w:tcBorders>
              <w:top w:val="single" w:color="auto" w:sz="4" w:space="0"/>
              <w:left w:val="none" w:color="000000" w:sz="4" w:space="0"/>
              <w:bottom w:val="single" w:color="auto" w:sz="4" w:space="0"/>
              <w:right w:val="single" w:color="auto" w:sz="4" w:space="0"/>
            </w:tcBorders>
            <w:tcW w:w="1267" w:type="dxa"/>
            <w:vAlign w:val="center"/>
            <w:textDirection w:val="lrTb"/>
            <w:noWrap w:val="false"/>
          </w:tcPr>
          <w:p>
            <w:pPr>
              <w:jc w:val="center"/>
              <w:spacing w:line="440" w:lineRule="atLeast"/>
              <w:rPr>
                <w:rFonts w:ascii="宋体" w:hAnsi="宋体"/>
                <w:szCs w:val="21"/>
              </w:rPr>
            </w:pPr>
            <w:r>
              <w:rPr>
                <w:rFonts w:hint="eastAsia" w:ascii="宋体" w:hAnsi="宋体"/>
                <w:szCs w:val="21"/>
              </w:rPr>
              <w:t xml:space="preserve">投标人业绩（6分）</w:t>
            </w:r>
            <w:r/>
          </w:p>
        </w:tc>
        <w:tc>
          <w:tcPr>
            <w:gridSpan w:val="2"/>
            <w:tcBorders>
              <w:top w:val="single" w:color="auto" w:sz="4" w:space="0"/>
              <w:left w:val="none" w:color="000000" w:sz="4" w:space="0"/>
              <w:bottom w:val="single" w:color="auto" w:sz="4" w:space="0"/>
              <w:right w:val="single" w:color="auto" w:sz="4" w:space="0"/>
            </w:tcBorders>
            <w:tcW w:w="7829" w:type="dxa"/>
            <w:vAlign w:val="center"/>
            <w:textDirection w:val="lrTb"/>
            <w:noWrap w:val="false"/>
          </w:tcPr>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自2023年1月1日以来（以合同签订时间为准），投标人具有类似本项目（合同中需包含电子警察）业绩的，每提供一个业绩得2分，本项最多得6分。</w:t>
            </w:r>
            <w:r/>
          </w:p>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须提供的证明材料：中标通知书（成交通知书）、合同及验收证书（以上材料原件扫描件编入投标文件，否则不得分）。</w:t>
            </w:r>
            <w:r/>
          </w:p>
        </w:tc>
      </w:tr>
      <w:tr>
        <w:trPr>
          <w:jc w:val="center"/>
          <w:trHeight w:val="511"/>
        </w:trPr>
        <w:tc>
          <w:tcPr>
            <w:gridSpan w:val="5"/>
            <w:tcBorders>
              <w:top w:val="single" w:color="auto" w:sz="4" w:space="0"/>
              <w:left w:val="single" w:color="auto" w:sz="4" w:space="0"/>
              <w:bottom w:val="single" w:color="auto" w:sz="4" w:space="0"/>
              <w:right w:val="single" w:color="auto" w:sz="4" w:space="0"/>
            </w:tcBorders>
            <w:tcW w:w="9663" w:type="dxa"/>
            <w:vAlign w:val="center"/>
            <w:textDirection w:val="lrTb"/>
            <w:noWrap w:val="false"/>
          </w:tcPr>
          <w:p>
            <w:pPr>
              <w:ind w:firstLine="28"/>
              <w:jc w:val="center"/>
              <w:spacing w:line="500" w:lineRule="exact"/>
              <w:rPr>
                <w:rFonts w:ascii="宋体" w:hAnsi="宋体"/>
                <w:szCs w:val="21"/>
              </w:rPr>
            </w:pPr>
            <w:r>
              <w:rPr>
                <w:rFonts w:hint="eastAsia" w:ascii="宋体" w:hAnsi="宋体"/>
                <w:b/>
                <w:bCs/>
              </w:rPr>
              <w:t xml:space="preserve">技术部分（4</w:t>
            </w:r>
            <w:r>
              <w:rPr>
                <w:rFonts w:ascii="宋体" w:hAnsi="宋体"/>
                <w:b/>
                <w:bCs/>
              </w:rPr>
              <w:t xml:space="preserve">2</w:t>
            </w:r>
            <w:r>
              <w:rPr>
                <w:rFonts w:hint="eastAsia" w:ascii="宋体" w:hAnsi="宋体"/>
                <w:b/>
                <w:bCs/>
              </w:rPr>
              <w:t xml:space="preserve">分）</w:t>
            </w:r>
            <w:r/>
          </w:p>
        </w:tc>
      </w:tr>
      <w:tr>
        <w:trPr>
          <w:jc w:val="center"/>
          <w:trHeight w:val="511"/>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440" w:lineRule="atLeast"/>
              <w:rPr>
                <w:rFonts w:ascii="宋体" w:hAnsi="宋体"/>
                <w:szCs w:val="21"/>
              </w:rPr>
            </w:pPr>
            <w:r>
              <w:rPr>
                <w:rFonts w:hint="eastAsia" w:ascii="宋体" w:hAnsi="宋体"/>
                <w:szCs w:val="21"/>
              </w:rPr>
              <w:t xml:space="preserve">4</w:t>
            </w:r>
            <w:r/>
          </w:p>
        </w:tc>
        <w:tc>
          <w:tcPr>
            <w:gridSpan w:val="2"/>
            <w:tcBorders>
              <w:top w:val="single" w:color="auto" w:sz="4" w:space="0"/>
              <w:left w:val="none" w:color="000000" w:sz="4" w:space="0"/>
              <w:bottom w:val="single" w:color="auto" w:sz="4" w:space="0"/>
              <w:right w:val="single" w:color="auto" w:sz="4" w:space="0"/>
            </w:tcBorders>
            <w:tcW w:w="1267" w:type="dxa"/>
            <w:vAlign w:val="center"/>
            <w:textDirection w:val="lrTb"/>
            <w:noWrap w:val="false"/>
          </w:tcPr>
          <w:p>
            <w:pPr>
              <w:jc w:val="center"/>
              <w:spacing w:line="440" w:lineRule="atLeast"/>
              <w:rPr>
                <w:rFonts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技术参数</w:t>
            </w:r>
            <w:r/>
          </w:p>
          <w:p>
            <w:pPr>
              <w:jc w:val="center"/>
              <w:spacing w:line="440" w:lineRule="atLeast"/>
              <w:rPr>
                <w:rFonts w:ascii="宋体" w:hAnsi="宋体" w:eastAsiaTheme="minorEastAsia"/>
                <w:szCs w:val="21"/>
              </w:rPr>
            </w:pPr>
            <w:r>
              <w:rPr>
                <w:rFonts w:hint="eastAsia" w:asciiTheme="minorEastAsia" w:hAnsiTheme="minorEastAsia" w:eastAsiaTheme="minorEastAsia" w:cstheme="minorEastAsia"/>
                <w:color w:val="000000" w:themeColor="text1"/>
                <w14:textFill>
                  <w14:solidFill>
                    <w14:schemeClr w14:val="tx1"/>
                  </w14:solidFill>
                </w14:textFill>
              </w:rPr>
              <w:t xml:space="preserve">（</w:t>
            </w:r>
            <w:r>
              <w:rPr>
                <w:rFonts w:asciiTheme="minorEastAsia" w:hAnsiTheme="minorEastAsia" w:eastAsiaTheme="minorEastAsia" w:cstheme="minorEastAsia"/>
                <w:color w:val="000000" w:themeColor="text1"/>
                <w14:textFill>
                  <w14:solidFill>
                    <w14:schemeClr w14:val="tx1"/>
                  </w14:solidFill>
                </w14:textFill>
              </w:rPr>
              <w:t xml:space="preserve">30</w:t>
            </w:r>
            <w:r>
              <w:rPr>
                <w:rFonts w:hint="eastAsia" w:asciiTheme="minorEastAsia" w:hAnsiTheme="minorEastAsia" w:eastAsiaTheme="minorEastAsia" w:cstheme="minorEastAsia"/>
                <w:color w:val="000000" w:themeColor="text1"/>
                <w14:textFill>
                  <w14:solidFill>
                    <w14:schemeClr w14:val="tx1"/>
                  </w14:solidFill>
                </w14:textFill>
              </w:rPr>
              <w:t xml:space="preserve">分）</w:t>
            </w:r>
            <w:r/>
          </w:p>
        </w:tc>
        <w:tc>
          <w:tcPr>
            <w:gridSpan w:val="2"/>
            <w:tcBorders>
              <w:top w:val="single" w:color="auto" w:sz="4" w:space="0"/>
              <w:left w:val="none" w:color="000000" w:sz="4" w:space="0"/>
              <w:bottom w:val="single" w:color="auto" w:sz="4" w:space="0"/>
              <w:right w:val="single" w:color="auto" w:sz="4" w:space="0"/>
            </w:tcBorders>
            <w:tcW w:w="7829" w:type="dxa"/>
            <w:vAlign w:val="center"/>
            <w:textDirection w:val="lrTb"/>
            <w:noWrap w:val="false"/>
          </w:tcPr>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投标人需针对招标文件中设备清单所有技术标准和要求，结合自身实际，编制详细的技术规格响应偏离表。评委根据投标文件内容进行评分：</w:t>
            </w:r>
            <w:r/>
          </w:p>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根据投标人所投产品的技术参数与招标文件要求比较，完全响应招标文件要求（即无偏离或正偏离）的得30分。每有一项关键标“★”技术参数存在负偏离的扣2分，其他技术参数存在负偏离的扣1分，扣完为止。</w:t>
            </w:r>
            <w:r/>
          </w:p>
          <w:p>
            <w:pPr>
              <w:spacing w:line="400" w:lineRule="exact"/>
              <w:rPr>
                <w:rFonts w:ascii="宋体" w:hAnsi="宋体"/>
                <w:szCs w:val="21"/>
              </w:rPr>
            </w:pPr>
            <w:r>
              <w:rPr>
                <w:rFonts w:hint="eastAsia" w:asciiTheme="minorEastAsia" w:hAnsiTheme="minorEastAsia" w:eastAsiaTheme="minorEastAsia" w:cstheme="minorEastAsia"/>
              </w:rPr>
              <w:t xml:space="preserve">技术参数要求提供相关证明材料的，如未按要求提供证明材料，视作负偏离。</w:t>
            </w:r>
            <w:r/>
          </w:p>
        </w:tc>
      </w:tr>
      <w:tr>
        <w:trPr>
          <w:jc w:val="center"/>
          <w:trHeight w:val="511"/>
        </w:trPr>
        <w:tc>
          <w:tcPr>
            <w:tcBorders>
              <w:top w:val="single" w:color="auto" w:sz="4" w:space="0"/>
              <w:left w:val="single" w:color="auto" w:sz="4" w:space="0"/>
              <w:right w:val="single" w:color="auto" w:sz="4" w:space="0"/>
            </w:tcBorders>
            <w:tcW w:w="567" w:type="dxa"/>
            <w:vAlign w:val="center"/>
            <w:vMerge w:val="restart"/>
            <w:textDirection w:val="lrTb"/>
            <w:noWrap w:val="false"/>
          </w:tcPr>
          <w:p>
            <w:pPr>
              <w:jc w:val="center"/>
              <w:spacing w:line="440" w:lineRule="atLeast"/>
              <w:rPr>
                <w:rFonts w:ascii="宋体" w:hAnsi="宋体"/>
                <w:szCs w:val="21"/>
              </w:rPr>
            </w:pPr>
            <w:r>
              <w:rPr>
                <w:rFonts w:hint="eastAsia" w:ascii="宋体" w:hAnsi="宋体"/>
                <w:szCs w:val="21"/>
              </w:rPr>
              <w:t xml:space="preserve">5</w:t>
            </w:r>
            <w:r/>
          </w:p>
        </w:tc>
        <w:tc>
          <w:tcPr>
            <w:gridSpan w:val="2"/>
            <w:tcBorders>
              <w:top w:val="single" w:color="auto" w:sz="4" w:space="0"/>
              <w:left w:val="none" w:color="000000" w:sz="4" w:space="0"/>
              <w:bottom w:val="single" w:color="auto" w:sz="4" w:space="0"/>
              <w:right w:val="single" w:color="auto" w:sz="4" w:space="0"/>
            </w:tcBorders>
            <w:tcW w:w="1267" w:type="dxa"/>
            <w:vAlign w:val="center"/>
            <w:textDirection w:val="lrTb"/>
            <w:noWrap w:val="false"/>
          </w:tcPr>
          <w:p>
            <w:pPr>
              <w:jc w:val="center"/>
              <w:spacing w:line="440" w:lineRule="atLeast"/>
              <w:rPr>
                <w:rFonts w:ascii="宋体" w:hAnsi="宋体"/>
                <w:szCs w:val="21"/>
              </w:rPr>
            </w:pPr>
            <w:r>
              <w:rPr>
                <w:rFonts w:hint="eastAsia" w:ascii="宋体" w:hAnsi="宋体"/>
                <w:szCs w:val="21"/>
              </w:rPr>
              <w:t xml:space="preserve">技术方案（</w:t>
            </w:r>
            <w:r>
              <w:rPr>
                <w:rFonts w:ascii="宋体" w:hAnsi="宋体"/>
                <w:szCs w:val="21"/>
              </w:rPr>
              <w:t xml:space="preserve">6</w:t>
            </w:r>
            <w:r>
              <w:rPr>
                <w:rFonts w:hint="eastAsia" w:ascii="宋体" w:hAnsi="宋体"/>
                <w:szCs w:val="21"/>
              </w:rPr>
              <w:t xml:space="preserve">分）</w:t>
            </w:r>
            <w:r/>
          </w:p>
        </w:tc>
        <w:tc>
          <w:tcPr>
            <w:gridSpan w:val="2"/>
            <w:tcBorders>
              <w:top w:val="single" w:color="auto" w:sz="4" w:space="0"/>
              <w:left w:val="none" w:color="000000" w:sz="4" w:space="0"/>
              <w:bottom w:val="single" w:color="auto" w:sz="4" w:space="0"/>
              <w:right w:val="single" w:color="auto" w:sz="4" w:space="0"/>
            </w:tcBorders>
            <w:tcW w:w="7829" w:type="dxa"/>
            <w:vAlign w:val="center"/>
            <w:textDirection w:val="lrTb"/>
            <w:noWrap w:val="false"/>
          </w:tcPr>
          <w:p>
            <w:pPr>
              <w:spacing w:line="360" w:lineRule="exact"/>
              <w:rPr>
                <w:rFonts w:asciiTheme="minorEastAsia" w:hAnsiTheme="minorEastAsia" w:eastAsiaTheme="minorEastAsia" w:cstheme="minorEastAsia"/>
              </w:rPr>
            </w:pPr>
            <w:r>
              <w:rPr>
                <w:rFonts w:hint="eastAsia" w:asciiTheme="minorEastAsia" w:hAnsiTheme="minorEastAsia" w:eastAsiaTheme="minorEastAsia" w:cstheme="minorEastAsia"/>
                <w:color w:val="000000" w:themeColor="text1"/>
                <w14:textFill>
                  <w14:solidFill>
                    <w14:schemeClr w14:val="tx1"/>
                  </w14:solidFill>
                </w14:textFill>
              </w:rPr>
              <w:t xml:space="preserve">包含本项目建设拟采用的技术、系统构架、设计思路、系统安全及性能等方面。方案思路清晰、描述详细、贴合实际要求，优于采购需求的，得6分；方案思路完整、内容基本详实，能够满足采购需求的，得4分；内容不完善、 操作性不强，但经过优化可实现采购需求的，得2分；内容差或不提供的则不得分。</w:t>
            </w:r>
            <w:r/>
          </w:p>
        </w:tc>
      </w:tr>
      <w:tr>
        <w:trPr>
          <w:jc w:val="center"/>
          <w:trHeight w:val="511"/>
        </w:trPr>
        <w:tc>
          <w:tcPr>
            <w:tcBorders>
              <w:left w:val="single" w:color="auto" w:sz="4" w:space="0"/>
              <w:right w:val="single" w:color="auto" w:sz="4" w:space="0"/>
            </w:tcBorders>
            <w:tcW w:w="567" w:type="dxa"/>
            <w:vAlign w:val="center"/>
            <w:vMerge w:val="continue"/>
            <w:textDirection w:val="lrTb"/>
            <w:noWrap w:val="false"/>
          </w:tcPr>
          <w:p>
            <w:pPr>
              <w:jc w:val="center"/>
              <w:spacing w:line="440" w:lineRule="atLeast"/>
              <w:rPr>
                <w:rFonts w:ascii="宋体" w:hAnsi="宋体"/>
                <w:szCs w:val="21"/>
              </w:rPr>
            </w:pPr>
            <w:r>
              <w:rPr>
                <w:rFonts w:ascii="宋体" w:hAnsi="宋体"/>
                <w:szCs w:val="21"/>
              </w:rPr>
            </w:r>
            <w:r/>
          </w:p>
        </w:tc>
        <w:tc>
          <w:tcPr>
            <w:gridSpan w:val="2"/>
            <w:tcBorders>
              <w:top w:val="single" w:color="auto" w:sz="4" w:space="0"/>
              <w:left w:val="none" w:color="000000" w:sz="4" w:space="0"/>
              <w:bottom w:val="single" w:color="auto" w:sz="4" w:space="0"/>
              <w:right w:val="single" w:color="auto" w:sz="4" w:space="0"/>
            </w:tcBorders>
            <w:tcW w:w="1267" w:type="dxa"/>
            <w:vAlign w:val="center"/>
            <w:textDirection w:val="lrTb"/>
            <w:noWrap w:val="false"/>
          </w:tcPr>
          <w:p>
            <w:pPr>
              <w:jc w:val="center"/>
              <w:spacing w:line="440" w:lineRule="atLeast"/>
              <w:rPr>
                <w:rFonts w:ascii="宋体" w:hAnsi="宋体"/>
                <w:szCs w:val="21"/>
              </w:rPr>
            </w:pPr>
            <w:r>
              <w:rPr>
                <w:rFonts w:hint="eastAsia" w:ascii="宋体" w:hAnsi="宋体"/>
                <w:szCs w:val="21"/>
              </w:rPr>
              <w:t xml:space="preserve">组织实施方案（3分）</w:t>
            </w:r>
            <w:r/>
          </w:p>
        </w:tc>
        <w:tc>
          <w:tcPr>
            <w:gridSpan w:val="2"/>
            <w:tcBorders>
              <w:top w:val="single" w:color="auto" w:sz="4" w:space="0"/>
              <w:left w:val="none" w:color="000000" w:sz="4" w:space="0"/>
              <w:bottom w:val="single" w:color="auto" w:sz="4" w:space="0"/>
              <w:right w:val="single" w:color="auto" w:sz="4" w:space="0"/>
            </w:tcBorders>
            <w:tcW w:w="7829" w:type="dxa"/>
            <w:vAlign w:val="center"/>
            <w:textDirection w:val="lrTb"/>
            <w:noWrap w:val="false"/>
          </w:tcPr>
          <w:p>
            <w:pPr>
              <w:spacing w:line="360" w:lineRule="exact"/>
              <w:rPr>
                <w:rFonts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投标人自行勘察现场，制定项目实施方案，评委根据投标人施工组织方案内容，包含项目建设内容、实施进度计划、质量保证体系和措施、安全施工等内容。措施有力，切实可行且重点突出的得3分，内容完整、合理可行得1分，内容差或不提供的则不得分。</w:t>
            </w:r>
            <w:r/>
          </w:p>
        </w:tc>
      </w:tr>
      <w:tr>
        <w:trPr>
          <w:jc w:val="center"/>
          <w:trHeight w:val="511"/>
        </w:trPr>
        <w:tc>
          <w:tcPr>
            <w:tcBorders>
              <w:left w:val="single" w:color="auto" w:sz="4" w:space="0"/>
              <w:right w:val="single" w:color="auto" w:sz="4" w:space="0"/>
            </w:tcBorders>
            <w:tcW w:w="567" w:type="dxa"/>
            <w:vAlign w:val="center"/>
            <w:vMerge w:val="continue"/>
            <w:textDirection w:val="lrTb"/>
            <w:noWrap w:val="false"/>
          </w:tcPr>
          <w:p>
            <w:pPr>
              <w:jc w:val="center"/>
              <w:spacing w:line="440" w:lineRule="atLeast"/>
              <w:rPr>
                <w:rFonts w:ascii="宋体" w:hAnsi="宋体"/>
                <w:szCs w:val="21"/>
              </w:rPr>
            </w:pPr>
            <w:r>
              <w:rPr>
                <w:rFonts w:ascii="宋体" w:hAnsi="宋体"/>
                <w:szCs w:val="21"/>
              </w:rPr>
            </w:r>
            <w:r/>
          </w:p>
        </w:tc>
        <w:tc>
          <w:tcPr>
            <w:gridSpan w:val="2"/>
            <w:tcBorders>
              <w:top w:val="single" w:color="auto" w:sz="4" w:space="0"/>
              <w:left w:val="none" w:color="000000" w:sz="4" w:space="0"/>
              <w:right w:val="single" w:color="auto" w:sz="4" w:space="0"/>
            </w:tcBorders>
            <w:tcW w:w="1267" w:type="dxa"/>
            <w:vAlign w:val="center"/>
            <w:textDirection w:val="lrTb"/>
            <w:noWrap w:val="false"/>
          </w:tcPr>
          <w:p>
            <w:pPr>
              <w:jc w:val="center"/>
              <w:spacing w:line="440" w:lineRule="atLeast"/>
              <w:rPr>
                <w:rFonts w:ascii="宋体" w:hAnsi="宋体"/>
                <w:szCs w:val="21"/>
              </w:rPr>
            </w:pPr>
            <w:r>
              <w:rPr>
                <w:rFonts w:hint="eastAsia" w:ascii="宋体" w:hAnsi="宋体"/>
                <w:szCs w:val="21"/>
              </w:rPr>
              <w:t xml:space="preserve">售后服务（3分）</w:t>
            </w:r>
            <w:r/>
          </w:p>
        </w:tc>
        <w:tc>
          <w:tcPr>
            <w:gridSpan w:val="2"/>
            <w:tcBorders>
              <w:top w:val="single" w:color="auto" w:sz="4" w:space="0"/>
              <w:left w:val="none" w:color="000000" w:sz="4" w:space="0"/>
              <w:bottom w:val="single" w:color="auto" w:sz="4" w:space="0"/>
              <w:right w:val="single" w:color="auto" w:sz="4" w:space="0"/>
            </w:tcBorders>
            <w:tcW w:w="7829" w:type="dxa"/>
            <w:vAlign w:val="center"/>
            <w:textDirection w:val="lrTb"/>
            <w:noWrap w:val="false"/>
          </w:tcPr>
          <w:p>
            <w:pPr>
              <w:spacing w:line="360" w:lineRule="exact"/>
              <w:rPr>
                <w:rFonts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投标人制定符合招标人要求的售后服务方案，评委根据投标人响应时长、故障处理流程、应急处理能力等综合考虑，措施有力，切实可行且重点突出得3分；内容完整、合理得1分；内容差或不提供的则不得分。</w:t>
            </w:r>
            <w:bookmarkEnd w:id="289"/>
            <w:r/>
          </w:p>
        </w:tc>
      </w:tr>
    </w:tbl>
    <w:p>
      <w:pPr>
        <w:ind w:firstLine="560"/>
        <w:spacing w:line="500" w:lineRule="exact"/>
        <w:rPr>
          <w:sz w:val="28"/>
          <w:szCs w:val="28"/>
        </w:rPr>
      </w:pPr>
      <w:r>
        <w:rPr>
          <w:rFonts w:hint="eastAsia"/>
          <w:sz w:val="28"/>
          <w:szCs w:val="28"/>
        </w:rPr>
        <w:t xml:space="preserve">评标采用综合评分法，评标委员会对满足招标文件实质要求的投标文件，按照本章规定的评分标准进行打分，并按得分由高到低顺序推荐中标候选人。</w:t>
      </w:r>
      <w:r>
        <w:rPr>
          <w:rFonts w:hint="eastAsia"/>
          <w:b/>
          <w:sz w:val="28"/>
          <w:szCs w:val="28"/>
        </w:rPr>
        <w:t xml:space="preserve">招标人有权</w:t>
      </w:r>
      <w:r>
        <w:rPr>
          <w:b/>
          <w:sz w:val="28"/>
          <w:szCs w:val="28"/>
        </w:rPr>
        <w:t xml:space="preserve">对第一中标候选人提交的所有资料</w:t>
      </w:r>
      <w:r>
        <w:rPr>
          <w:rFonts w:hint="eastAsia"/>
          <w:b/>
          <w:sz w:val="28"/>
          <w:szCs w:val="28"/>
        </w:rPr>
        <w:t xml:space="preserve">的真实性</w:t>
      </w:r>
      <w:r>
        <w:rPr>
          <w:b/>
          <w:sz w:val="28"/>
          <w:szCs w:val="28"/>
        </w:rPr>
        <w:t xml:space="preserve">进行考察、核实，若发现弄虚作假的，取消中标资格，并进行公示等相关处罚。</w:t>
      </w:r>
      <w:r/>
    </w:p>
    <w:p>
      <w:pPr>
        <w:jc w:val="left"/>
        <w:spacing w:line="500" w:lineRule="exact"/>
        <w:rPr>
          <w:rFonts w:ascii="黑体" w:hAnsi="黑体" w:eastAsia="黑体"/>
          <w:sz w:val="32"/>
          <w:szCs w:val="32"/>
        </w:rPr>
      </w:pPr>
      <w:r>
        <w:rPr>
          <w:rFonts w:hint="eastAsia" w:ascii="黑体" w:hAnsi="黑体" w:eastAsia="黑体"/>
          <w:sz w:val="32"/>
          <w:szCs w:val="32"/>
        </w:rPr>
        <w:t xml:space="preserve">1.资格审查</w:t>
      </w:r>
      <w:r/>
    </w:p>
    <w:p>
      <w:pPr>
        <w:pStyle w:val="693"/>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1.1项目开标结束后，招标人对投标人的资格进行审查。</w:t>
      </w:r>
      <w:r/>
    </w:p>
    <w:p>
      <w:pPr>
        <w:pStyle w:val="693"/>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1.2资格审查的内容和标准：见资格审查和评标办法前附表。</w:t>
      </w:r>
      <w:r/>
    </w:p>
    <w:p>
      <w:pPr>
        <w:jc w:val="left"/>
        <w:spacing w:line="500" w:lineRule="exact"/>
        <w:rPr>
          <w:rFonts w:ascii="黑体" w:hAnsi="黑体" w:eastAsia="黑体"/>
          <w:sz w:val="32"/>
          <w:szCs w:val="32"/>
        </w:rPr>
      </w:pPr>
      <w:r>
        <w:rPr>
          <w:rFonts w:hint="eastAsia" w:ascii="黑体" w:hAnsi="黑体" w:eastAsia="黑体"/>
          <w:sz w:val="32"/>
          <w:szCs w:val="32"/>
        </w:rPr>
        <w:t xml:space="preserve">2</w:t>
      </w:r>
      <w:r>
        <w:rPr>
          <w:rFonts w:ascii="黑体" w:hAnsi="黑体" w:eastAsia="黑体"/>
          <w:sz w:val="32"/>
          <w:szCs w:val="32"/>
        </w:rPr>
        <w:t xml:space="preserve">.</w:t>
      </w:r>
      <w:r>
        <w:rPr>
          <w:rFonts w:hint="eastAsia" w:ascii="黑体" w:hAnsi="黑体" w:eastAsia="黑体"/>
          <w:sz w:val="32"/>
          <w:szCs w:val="32"/>
        </w:rPr>
        <w:t xml:space="preserve">评标</w:t>
      </w:r>
      <w:bookmarkEnd w:id="285"/>
      <w:r/>
      <w:r/>
    </w:p>
    <w:p>
      <w:pPr>
        <w:spacing w:line="500" w:lineRule="exact"/>
        <w:rPr>
          <w:rFonts w:ascii="楷体" w:hAnsi="楷体" w:eastAsia="楷体"/>
          <w:b/>
          <w:sz w:val="28"/>
          <w:szCs w:val="28"/>
        </w:rPr>
      </w:pPr>
      <w:r>
        <w:rPr>
          <w:rFonts w:hint="eastAsia" w:ascii="楷体" w:hAnsi="楷体" w:eastAsia="楷体"/>
          <w:b/>
          <w:sz w:val="28"/>
          <w:szCs w:val="28"/>
        </w:rPr>
        <w:t xml:space="preserve">2.1评标方法</w:t>
      </w:r>
      <w:r/>
    </w:p>
    <w:p>
      <w:pPr>
        <w:ind w:firstLine="560"/>
        <w:spacing w:line="500" w:lineRule="exact"/>
        <w:rPr>
          <w:sz w:val="28"/>
          <w:szCs w:val="28"/>
        </w:rPr>
      </w:pPr>
      <w:r>
        <w:rPr>
          <w:rFonts w:hint="eastAsia"/>
          <w:sz w:val="28"/>
          <w:szCs w:val="28"/>
        </w:rPr>
        <w:t xml:space="preserve">评标采用综合评分法，评标委员会对满足招标文件实质要求的投标文件，按照本章规定的程序和方法进行评审，并按总得分由高到低顺序推荐中标候选人。</w:t>
      </w:r>
      <w:r/>
    </w:p>
    <w:p>
      <w:pPr>
        <w:spacing w:line="500" w:lineRule="exact"/>
        <w:rPr>
          <w:rFonts w:ascii="楷体" w:hAnsi="楷体" w:eastAsia="楷体"/>
          <w:b/>
          <w:sz w:val="28"/>
          <w:szCs w:val="28"/>
        </w:rPr>
      </w:pPr>
      <w:r>
        <w:rPr>
          <w:rFonts w:hint="eastAsia" w:ascii="楷体" w:hAnsi="楷体" w:eastAsia="楷体"/>
          <w:b/>
          <w:sz w:val="28"/>
          <w:szCs w:val="28"/>
        </w:rPr>
        <w:t xml:space="preserve">2.2初步评审</w:t>
      </w:r>
      <w:r/>
    </w:p>
    <w:p>
      <w:pPr>
        <w:ind w:firstLine="560"/>
        <w:spacing w:line="500" w:lineRule="exact"/>
        <w:rPr>
          <w:rFonts w:ascii="宋体" w:hAnsi="宋体"/>
          <w:sz w:val="28"/>
          <w:szCs w:val="28"/>
        </w:rPr>
      </w:pPr>
      <w:r>
        <w:rPr>
          <w:rFonts w:hint="eastAsia" w:ascii="宋体" w:hAnsi="宋体"/>
          <w:sz w:val="28"/>
          <w:szCs w:val="28"/>
        </w:rPr>
        <w:t xml:space="preserve">2.2.1评标委员会对通过资格审查的投标人进行初步评审。</w:t>
      </w:r>
      <w:r/>
    </w:p>
    <w:p>
      <w:pPr>
        <w:pStyle w:val="693"/>
        <w:ind w:firstLine="560"/>
        <w:spacing w:line="500" w:lineRule="exact"/>
        <w:rPr>
          <w:rFonts w:ascii="宋体" w:hAnsi="宋体"/>
          <w:sz w:val="28"/>
          <w:szCs w:val="28"/>
        </w:rPr>
      </w:pPr>
      <w:r>
        <w:rPr>
          <w:rFonts w:hint="eastAsia" w:asciiTheme="minorEastAsia" w:hAnsiTheme="minorEastAsia" w:eastAsiaTheme="minorEastAsia"/>
          <w:sz w:val="28"/>
          <w:szCs w:val="28"/>
        </w:rPr>
        <w:t xml:space="preserve">2.2.2初步评审的内容为投标文件的符合性评审。</w:t>
      </w:r>
      <w:r>
        <w:rPr>
          <w:rFonts w:hint="eastAsia" w:ascii="宋体" w:hAnsi="宋体"/>
          <w:sz w:val="28"/>
          <w:szCs w:val="28"/>
        </w:rPr>
        <w:t xml:space="preserve">符合性评审的内容及标准：见</w:t>
      </w:r>
      <w:r>
        <w:rPr>
          <w:rFonts w:hint="eastAsia" w:asciiTheme="minorEastAsia" w:hAnsiTheme="minorEastAsia" w:eastAsiaTheme="minorEastAsia"/>
          <w:sz w:val="28"/>
          <w:szCs w:val="28"/>
        </w:rPr>
        <w:t xml:space="preserve">资格审查和评标办法</w:t>
      </w:r>
      <w:r>
        <w:rPr>
          <w:rFonts w:hint="eastAsia" w:ascii="宋体" w:hAnsi="宋体"/>
          <w:sz w:val="28"/>
          <w:szCs w:val="28"/>
        </w:rPr>
        <w:t xml:space="preserve">前附表。</w:t>
      </w:r>
      <w:r/>
    </w:p>
    <w:p>
      <w:pPr>
        <w:pStyle w:val="693"/>
        <w:spacing w:line="500" w:lineRule="exact"/>
        <w:rPr>
          <w:rFonts w:ascii="楷体" w:hAnsi="楷体" w:eastAsia="楷体"/>
          <w:b/>
          <w:sz w:val="28"/>
          <w:szCs w:val="28"/>
        </w:rPr>
      </w:pPr>
      <w:r>
        <w:rPr>
          <w:rFonts w:hint="eastAsia" w:ascii="楷体" w:hAnsi="楷体" w:eastAsia="楷体"/>
          <w:b/>
          <w:sz w:val="28"/>
          <w:szCs w:val="28"/>
        </w:rPr>
        <w:t xml:space="preserve">2.3详细评审</w:t>
      </w:r>
      <w:r/>
    </w:p>
    <w:p>
      <w:pPr>
        <w:pStyle w:val="693"/>
        <w:ind w:firstLine="560"/>
        <w:spacing w:line="500" w:lineRule="exact"/>
        <w:rPr>
          <w:rFonts w:ascii="宋体" w:hAnsi="宋体"/>
          <w:sz w:val="28"/>
          <w:szCs w:val="28"/>
        </w:rPr>
      </w:pPr>
      <w:r>
        <w:rPr>
          <w:rFonts w:hint="eastAsia" w:ascii="宋体" w:hAnsi="宋体"/>
          <w:sz w:val="28"/>
          <w:szCs w:val="28"/>
        </w:rPr>
        <w:t xml:space="preserve">2.3.1评标委员会对通过初步评审的投标人进行详细评审。</w:t>
      </w:r>
      <w:r/>
    </w:p>
    <w:p>
      <w:pPr>
        <w:pStyle w:val="693"/>
        <w:ind w:firstLine="560"/>
        <w:spacing w:line="500" w:lineRule="exact"/>
        <w:rPr>
          <w:rFonts w:ascii="宋体" w:hAnsi="宋体"/>
          <w:sz w:val="28"/>
          <w:szCs w:val="28"/>
        </w:rPr>
      </w:pPr>
      <w:r>
        <w:rPr>
          <w:rFonts w:hint="eastAsia" w:ascii="宋体" w:hAnsi="宋体"/>
          <w:sz w:val="28"/>
          <w:szCs w:val="28"/>
        </w:rPr>
        <w:t xml:space="preserve">2.3.2详细评审的内容及标准：见</w:t>
      </w:r>
      <w:r>
        <w:rPr>
          <w:rFonts w:hint="eastAsia" w:asciiTheme="minorEastAsia" w:hAnsiTheme="minorEastAsia" w:eastAsiaTheme="minorEastAsia"/>
          <w:sz w:val="28"/>
          <w:szCs w:val="28"/>
        </w:rPr>
        <w:t xml:space="preserve">资格审查和评标办法</w:t>
      </w:r>
      <w:r>
        <w:rPr>
          <w:rFonts w:hint="eastAsia" w:ascii="宋体" w:hAnsi="宋体"/>
          <w:sz w:val="28"/>
          <w:szCs w:val="28"/>
        </w:rPr>
        <w:t xml:space="preserve">前附表。</w:t>
      </w:r>
      <w:r/>
    </w:p>
    <w:p>
      <w:pPr>
        <w:pStyle w:val="693"/>
        <w:ind w:firstLine="560"/>
        <w:spacing w:line="500" w:lineRule="exact"/>
        <w:rPr>
          <w:rFonts w:ascii="宋体" w:hAnsi="宋体"/>
          <w:sz w:val="28"/>
          <w:szCs w:val="28"/>
        </w:rPr>
      </w:pPr>
      <w:r>
        <w:rPr>
          <w:rFonts w:hint="eastAsia" w:ascii="宋体" w:hAnsi="宋体"/>
          <w:sz w:val="28"/>
          <w:szCs w:val="28"/>
        </w:rPr>
        <w:t xml:space="preserve">2.3.3因落实政府采购政策进行价格调整的，以调整后的价格计算评标基准价和投标报价。</w:t>
      </w:r>
      <w:r/>
    </w:p>
    <w:p>
      <w:pPr>
        <w:pStyle w:val="693"/>
        <w:ind w:firstLine="560"/>
        <w:spacing w:line="500" w:lineRule="exact"/>
        <w:rPr>
          <w:rFonts w:ascii="宋体" w:hAnsi="宋体"/>
          <w:sz w:val="28"/>
          <w:szCs w:val="28"/>
        </w:rPr>
      </w:pPr>
      <w:r>
        <w:rPr>
          <w:rFonts w:hint="eastAsia" w:ascii="宋体" w:hAnsi="宋体"/>
          <w:sz w:val="28"/>
          <w:szCs w:val="28"/>
        </w:rPr>
        <w:t xml:space="preserve">2.3.3.1对小型和微型企业产品的价格给予10%的扣除。参加报价的中小企业，应当按照《政府采购促进中小企业发展管理办法》（财库〔2020〕46号）的规定提供《中小企业声明函》（中小企业划型标准详见《关于印发中小企业划型标准规定的通知》工信部联企业〔2011〕300号）。如投标人填写是小、微型企业的，必须提供投标人《中小企业声明函》（格式见附件），如未按要求填写和提供有效证明或相关内容表述不清的，不得享受价格扣除。投标人对所报相关数据的真实性负责。</w:t>
      </w:r>
      <w:r/>
    </w:p>
    <w:p>
      <w:pPr>
        <w:pStyle w:val="693"/>
        <w:ind w:firstLine="560"/>
        <w:spacing w:line="500" w:lineRule="exact"/>
        <w:rPr>
          <w:rFonts w:ascii="宋体" w:hAnsi="宋体"/>
          <w:color w:val="ff0000"/>
          <w:sz w:val="28"/>
          <w:szCs w:val="28"/>
        </w:rPr>
      </w:pPr>
      <w:r>
        <w:rPr>
          <w:rFonts w:hint="eastAsia" w:ascii="宋体" w:hAnsi="宋体"/>
          <w:color w:val="ff0000"/>
          <w:sz w:val="28"/>
          <w:szCs w:val="28"/>
        </w:rPr>
        <w:t xml:space="preserve">2.3.3.2对本国产品的报价给予20%的价格扣除，用扣除后的价格参与评审。当采购项目或者采购包中含有多种产品，供应商为该采购项目或者采购包提供的符合本国产品标准的产品成本之和占供应商提供的全部产品成本之和的比例达到80%以上时，对供应商提供的全部产品给予价格评审优惠，即对供应商提供的全部产品的总报价给予20%的价格扣除，用扣除后的价格参与评审。本国产品标准、成本核算规则等规定详见《国务院办公厅关于在政府采购中实施本国产品标准及相关政策的通知》（国办发[2025]34号）文件。</w:t>
      </w:r>
      <w:r/>
    </w:p>
    <w:p>
      <w:pPr>
        <w:spacing w:line="500" w:lineRule="exact"/>
        <w:rPr>
          <w:rFonts w:ascii="楷体" w:hAnsi="楷体" w:eastAsia="楷体"/>
          <w:b/>
          <w:sz w:val="28"/>
          <w:szCs w:val="28"/>
        </w:rPr>
      </w:pPr>
      <w:r/>
      <w:bookmarkStart w:id="291" w:name="_Toc426469924"/>
      <w:r>
        <w:rPr>
          <w:rFonts w:hint="eastAsia" w:ascii="楷体" w:hAnsi="楷体" w:eastAsia="楷体"/>
          <w:b/>
          <w:sz w:val="28"/>
          <w:szCs w:val="28"/>
        </w:rPr>
        <w:t xml:space="preserve">2.4</w:t>
      </w:r>
      <w:r>
        <w:rPr>
          <w:rFonts w:hint="eastAsia" w:ascii="楷体" w:hAnsi="楷体" w:eastAsia="楷体" w:cs="宋体"/>
          <w:b/>
          <w:sz w:val="28"/>
          <w:szCs w:val="28"/>
        </w:rPr>
        <w:t xml:space="preserve">评标报告</w:t>
      </w:r>
      <w:r/>
    </w:p>
    <w:p>
      <w:pPr>
        <w:ind w:firstLine="560"/>
        <w:spacing w:line="50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4</w:t>
      </w:r>
      <w:r>
        <w:rPr>
          <w:rFonts w:ascii="宋体" w:hAnsi="宋体"/>
          <w:sz w:val="28"/>
          <w:szCs w:val="28"/>
        </w:rPr>
        <w:t xml:space="preserve">.1详细评审结束后，</w:t>
      </w:r>
      <w:r>
        <w:rPr>
          <w:rFonts w:hint="eastAsia" w:ascii="宋体" w:hAnsi="宋体"/>
          <w:sz w:val="28"/>
          <w:szCs w:val="28"/>
        </w:rPr>
        <w:t xml:space="preserve">评标委员会负责编写评标报告。</w:t>
      </w:r>
      <w:r/>
    </w:p>
    <w:p>
      <w:pPr>
        <w:pStyle w:val="693"/>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2.4.2采购代理机构自评审结束之日起2个工作日内将评标报告送交招标人。</w:t>
      </w:r>
      <w:r/>
    </w:p>
    <w:p>
      <w:pPr>
        <w:spacing w:line="500" w:lineRule="exact"/>
        <w:rPr>
          <w:rFonts w:ascii="楷体" w:hAnsi="楷体" w:eastAsia="楷体"/>
          <w:b/>
          <w:sz w:val="28"/>
          <w:szCs w:val="28"/>
        </w:rPr>
      </w:pPr>
      <w:r>
        <w:rPr>
          <w:rFonts w:hint="eastAsia" w:ascii="楷体" w:hAnsi="楷体" w:eastAsia="楷体"/>
          <w:b/>
          <w:sz w:val="28"/>
          <w:szCs w:val="28"/>
        </w:rPr>
        <w:t xml:space="preserve">2.5</w:t>
      </w:r>
      <w:r>
        <w:rPr>
          <w:rFonts w:hint="eastAsia" w:ascii="楷体" w:hAnsi="楷体" w:eastAsia="楷体" w:cs="宋体"/>
          <w:b/>
          <w:sz w:val="28"/>
          <w:szCs w:val="28"/>
        </w:rPr>
        <w:t xml:space="preserve">澄清、说明或补正</w:t>
      </w:r>
      <w:r/>
    </w:p>
    <w:p>
      <w:pPr>
        <w:ind w:firstLine="560"/>
        <w:spacing w:line="50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5</w:t>
      </w:r>
      <w:r>
        <w:rPr>
          <w:rFonts w:ascii="宋体" w:hAnsi="宋体"/>
          <w:sz w:val="28"/>
          <w:szCs w:val="28"/>
        </w:rPr>
        <w:t xml:space="preserve">.1</w:t>
      </w:r>
      <w:r>
        <w:rPr>
          <w:rFonts w:hint="eastAsia" w:ascii="宋体" w:hAnsi="宋体"/>
          <w:sz w:val="28"/>
          <w:szCs w:val="28"/>
        </w:rPr>
        <w:t xml:space="preserve">评标委员会在评审过程中，可以要求投标人对投标文件中含义不明确、同类问题表述不一致或者有明显文字和计算错误的内容等作出必要的澄清、说明或者更正。</w:t>
      </w:r>
      <w:r/>
    </w:p>
    <w:p>
      <w:pPr>
        <w:ind w:firstLine="560"/>
        <w:spacing w:line="50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5</w:t>
      </w:r>
      <w:r>
        <w:rPr>
          <w:rFonts w:ascii="宋体" w:hAnsi="宋体"/>
          <w:sz w:val="28"/>
          <w:szCs w:val="28"/>
        </w:rPr>
        <w:t xml:space="preserve">.2</w:t>
      </w:r>
      <w:r>
        <w:rPr>
          <w:rFonts w:hint="eastAsia" w:ascii="宋体" w:hAnsi="宋体"/>
          <w:sz w:val="28"/>
          <w:szCs w:val="28"/>
        </w:rPr>
        <w:t xml:space="preserve">评标委员会要求投标人澄清、说明或者更正投标文件应当以书面形式作出。</w:t>
      </w:r>
      <w:r/>
    </w:p>
    <w:p>
      <w:pPr>
        <w:ind w:firstLine="560"/>
        <w:spacing w:line="500" w:lineRule="exact"/>
        <w:rPr>
          <w:rFonts w:ascii="宋体"/>
          <w:sz w:val="28"/>
          <w:szCs w:val="28"/>
        </w:rPr>
      </w:pPr>
      <w:r>
        <w:rPr>
          <w:rFonts w:hint="eastAsia" w:ascii="宋体" w:hAnsi="宋体"/>
          <w:sz w:val="28"/>
          <w:szCs w:val="28"/>
        </w:rPr>
        <w:t xml:space="preserve">2.5.3投标人的澄清、说明或者更正应当由法定代表人或其授权代表签字或者加盖公章。由授权代表签字的，应当附法定代表人授权书。投标人的书面澄清材料作为投标文件的补充。</w:t>
      </w:r>
      <w:r/>
    </w:p>
    <w:p>
      <w:pPr>
        <w:ind w:firstLine="560"/>
        <w:spacing w:line="500" w:lineRule="exact"/>
        <w:rPr>
          <w:rFonts w:ascii="宋体" w:hAnsi="宋体"/>
          <w:sz w:val="28"/>
          <w:szCs w:val="28"/>
        </w:rPr>
      </w:pPr>
      <w:r>
        <w:rPr>
          <w:rFonts w:hint="eastAsia" w:ascii="宋体" w:hAnsi="宋体"/>
          <w:sz w:val="28"/>
          <w:szCs w:val="28"/>
        </w:rPr>
        <w:t xml:space="preserve">2.5.4投标人的澄清、说明或者更正不得超出投标文件的范围或者改变投标文件的实质性内容。</w:t>
      </w:r>
      <w:r/>
    </w:p>
    <w:p>
      <w:pPr>
        <w:ind w:firstLine="560"/>
        <w:spacing w:line="500" w:lineRule="exact"/>
        <w:rPr>
          <w:rFonts w:ascii="宋体"/>
          <w:sz w:val="28"/>
          <w:szCs w:val="28"/>
        </w:rPr>
      </w:pPr>
      <w:r>
        <w:rPr>
          <w:rFonts w:ascii="宋体" w:hAnsi="宋体"/>
          <w:sz w:val="28"/>
          <w:szCs w:val="28"/>
        </w:rPr>
        <w:t xml:space="preserve">2.</w:t>
      </w:r>
      <w:r>
        <w:rPr>
          <w:rFonts w:hint="eastAsia" w:ascii="宋体" w:hAnsi="宋体"/>
          <w:sz w:val="28"/>
          <w:szCs w:val="28"/>
        </w:rPr>
        <w:t xml:space="preserve">5</w:t>
      </w:r>
      <w:r>
        <w:rPr>
          <w:rFonts w:ascii="宋体" w:hAnsi="宋体"/>
          <w:sz w:val="28"/>
          <w:szCs w:val="28"/>
        </w:rPr>
        <w:t xml:space="preserve">.</w:t>
      </w:r>
      <w:r>
        <w:rPr>
          <w:rFonts w:hint="eastAsia" w:ascii="宋体" w:hAnsi="宋体"/>
          <w:sz w:val="28"/>
          <w:szCs w:val="28"/>
        </w:rPr>
        <w:t xml:space="preserve">5评标委员会不得接受投标人主动提出的澄清、说明或补正。</w:t>
      </w:r>
      <w:r/>
    </w:p>
    <w:p>
      <w:pPr>
        <w:spacing w:line="500" w:lineRule="exact"/>
        <w:rPr>
          <w:rFonts w:ascii="黑体" w:hAnsi="黑体" w:eastAsia="黑体"/>
          <w:b/>
          <w:sz w:val="28"/>
          <w:szCs w:val="28"/>
        </w:rPr>
      </w:pPr>
      <w:r>
        <w:rPr>
          <w:rFonts w:hint="eastAsia" w:ascii="黑体" w:hAnsi="黑体" w:eastAsia="黑体"/>
          <w:b/>
          <w:sz w:val="28"/>
          <w:szCs w:val="28"/>
        </w:rPr>
        <w:t xml:space="preserve">3.评标过程中特殊情况的处理规定</w:t>
      </w:r>
      <w:r/>
    </w:p>
    <w:p>
      <w:pPr>
        <w:pStyle w:val="693"/>
        <w:spacing w:line="500" w:lineRule="exact"/>
        <w:rPr>
          <w:rFonts w:ascii="楷体" w:hAnsi="楷体" w:eastAsia="楷体"/>
          <w:b/>
          <w:sz w:val="28"/>
          <w:szCs w:val="28"/>
        </w:rPr>
      </w:pPr>
      <w:r>
        <w:rPr>
          <w:rFonts w:hint="eastAsia" w:ascii="楷体" w:hAnsi="楷体" w:eastAsia="楷体"/>
          <w:b/>
          <w:sz w:val="28"/>
          <w:szCs w:val="28"/>
        </w:rPr>
        <w:t xml:space="preserve">3.1投标报价的修正</w:t>
      </w:r>
      <w:r/>
    </w:p>
    <w:p>
      <w:pPr>
        <w:pStyle w:val="693"/>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投标文件报价出现前后不一致的，按照下列规定修正： </w:t>
      </w:r>
      <w:r/>
    </w:p>
    <w:p>
      <w:pPr>
        <w:pStyle w:val="693"/>
        <w:ind w:firstLine="280"/>
        <w:spacing w:line="44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（1）投标文件中开标一览表内容与投标文件中相应内容不一致的，以开标一览表为准； </w:t>
      </w:r>
      <w:r/>
    </w:p>
    <w:p>
      <w:pPr>
        <w:pStyle w:val="693"/>
        <w:ind w:firstLine="280"/>
        <w:spacing w:line="44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（2）大写金额和小写金额不一致的，以大写金额为准； </w:t>
      </w:r>
      <w:r/>
    </w:p>
    <w:p>
      <w:pPr>
        <w:pStyle w:val="693"/>
        <w:ind w:firstLine="280"/>
        <w:spacing w:line="44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（3）单价金额小数点或者百分比有明显错位的，以开标一览表的总价为准，并修改单价； </w:t>
      </w:r>
      <w:r/>
    </w:p>
    <w:p>
      <w:pPr>
        <w:pStyle w:val="693"/>
        <w:ind w:firstLine="280"/>
        <w:spacing w:line="44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（4）总价金额与按单价汇总金额不一致的，以单价金额计算结果为准。 </w:t>
      </w:r>
      <w:r/>
    </w:p>
    <w:p>
      <w:pPr>
        <w:pStyle w:val="693"/>
        <w:ind w:firstLine="560"/>
        <w:spacing w:line="44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同时出现两种以上不一致的，按照前款规定的顺序修正。修正后的报价按照本章第2.5条的规定经投标人确认后产生约束力，投标人不确认的，其投标无效。</w:t>
      </w:r>
      <w:r/>
    </w:p>
    <w:p>
      <w:pPr>
        <w:pStyle w:val="693"/>
        <w:spacing w:line="500" w:lineRule="exact"/>
        <w:rPr>
          <w:rFonts w:ascii="楷体" w:hAnsi="楷体" w:eastAsia="楷体"/>
          <w:b/>
          <w:sz w:val="28"/>
          <w:szCs w:val="28"/>
        </w:rPr>
      </w:pPr>
      <w:r>
        <w:rPr>
          <w:rFonts w:hint="eastAsia" w:ascii="楷体" w:hAnsi="楷体" w:eastAsia="楷体"/>
          <w:b/>
          <w:sz w:val="28"/>
          <w:szCs w:val="28"/>
        </w:rPr>
        <w:t xml:space="preserve">3.2评标委员会成员的更换</w:t>
      </w:r>
      <w:r/>
    </w:p>
    <w:p>
      <w:pPr>
        <w:pStyle w:val="693"/>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3.2.1评标过程中，因评标委员会成员缺席、回避或者健康等特殊原因导致评标委员会组成不符合规定的，招标人将依法补足后继续评标。被更换的评标委员会成员所作出的评标意见无效。 </w:t>
      </w:r>
      <w:r/>
    </w:p>
    <w:p>
      <w:pPr>
        <w:pStyle w:val="693"/>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3.2.2无法及时补足评标委员会成员的，招标人将停止评标活动，封存所有投标文件和开标、评标资料，依法重新组建评标委员会进行评标。原评标委员会所作出的评标意见无效。</w:t>
      </w:r>
      <w:r/>
    </w:p>
    <w:p>
      <w:pPr>
        <w:pStyle w:val="693"/>
        <w:spacing w:line="500" w:lineRule="exact"/>
        <w:rPr>
          <w:rFonts w:ascii="楷体" w:hAnsi="楷体" w:eastAsia="楷体"/>
          <w:b/>
          <w:sz w:val="28"/>
          <w:szCs w:val="28"/>
        </w:rPr>
      </w:pPr>
      <w:r>
        <w:rPr>
          <w:rFonts w:hint="eastAsia" w:ascii="楷体" w:hAnsi="楷体" w:eastAsia="楷体"/>
          <w:b/>
          <w:sz w:val="28"/>
          <w:szCs w:val="28"/>
        </w:rPr>
        <w:t xml:space="preserve">3.3异常低价的处理</w:t>
      </w:r>
      <w:r/>
    </w:p>
    <w:p>
      <w:pPr>
        <w:pStyle w:val="693"/>
        <w:ind w:firstLine="560"/>
        <w:spacing w:line="500" w:lineRule="exact"/>
        <w:rPr>
          <w:rFonts w:ascii="宋体" w:hAnsi="宋体"/>
          <w:color w:val="ff0000"/>
          <w:sz w:val="28"/>
          <w:szCs w:val="28"/>
        </w:rPr>
      </w:pPr>
      <w:r>
        <w:rPr>
          <w:rFonts w:hint="eastAsia" w:ascii="宋体" w:hAnsi="宋体"/>
          <w:color w:val="ff0000"/>
          <w:sz w:val="28"/>
          <w:szCs w:val="28"/>
        </w:rPr>
        <w:t xml:space="preserve">各供应商应慎重报价，不得恶意降价，评审委员会在评审过程中认为供应商报价过低，有可能影响产品质量或者不能诚信履约的，评审委员会将启动异常低价投标审查程序。具体异常低价的情形及相关内容按照财库[2026]2号文件规定执行。</w:t>
      </w:r>
      <w:r/>
    </w:p>
    <w:p>
      <w:pPr>
        <w:pStyle w:val="693"/>
        <w:ind w:firstLine="560"/>
        <w:spacing w:line="500" w:lineRule="exact"/>
        <w:rPr>
          <w:rFonts w:ascii="宋体" w:hAnsi="宋体"/>
          <w:color w:val="ff0000"/>
          <w:sz w:val="28"/>
          <w:szCs w:val="28"/>
        </w:rPr>
      </w:pPr>
      <w:r>
        <w:rPr>
          <w:rFonts w:hint="eastAsia" w:ascii="宋体" w:hAnsi="宋体"/>
          <w:color w:val="ff0000"/>
          <w:sz w:val="28"/>
          <w:szCs w:val="28"/>
        </w:rPr>
        <w:t xml:space="preserve">若投标报价出现财库[2026]2号文件第二条（一）第</w:t>
      </w:r>
      <w:r>
        <w:rPr>
          <w:rFonts w:hint="eastAsia" w:ascii="宋体" w:hAnsi="宋体"/>
          <w:color w:val="ff0000"/>
          <w:sz w:val="28"/>
          <w:szCs w:val="28"/>
        </w:rPr>
        <w:t xml:space="preserve">1条投标（响应）报价低于全部通过符合性审查供应商投标（响应）报价平均值50%的，即投标（响应）报价&lt;全部通过符合性审查供应商投标（响应）报价平均值×50%；第2条投标（响应）报价低于通过符合性审查的次低报价供应商投标（响应）报价50%的，即投标（响应）报价&lt;通过符合性审查的次低报价供应商投标（响应）报价×50%；第3条投标（响应）报价低于采购项目最高限价45%的，即投标（响应）报价&lt;采购项目最高限价×45%情形及第4条评审委员会基于专业判断，认为供应商报价过低，有可能影响产品质量或者不能诚信履约的其他情形。</w:t>
      </w:r>
      <w:r/>
    </w:p>
    <w:p>
      <w:pPr>
        <w:pStyle w:val="693"/>
        <w:ind w:firstLine="560"/>
        <w:spacing w:line="500" w:lineRule="exact"/>
        <w:rPr>
          <w:rFonts w:ascii="宋体" w:hAnsi="宋体"/>
          <w:color w:val="ff0000"/>
          <w:sz w:val="28"/>
          <w:szCs w:val="28"/>
        </w:rPr>
      </w:pPr>
      <w:r>
        <w:rPr>
          <w:rFonts w:hint="eastAsia" w:ascii="宋体" w:hAnsi="宋体"/>
          <w:color w:val="ff0000"/>
          <w:sz w:val="28"/>
          <w:szCs w:val="28"/>
        </w:rPr>
        <w:t xml:space="preserve">评审委员会启动异常低价投标（响应）审查后，属于前述第1条至第4条情形的，应当要求相关供应商在评审现场合理的时间内对投标（响应）价格作出解释，提供项目具体成本测算等与报价合理性相关的书面说明及必要的证明材料，包括但不限于原材料成本、人工成本、制造费用等。其中，属于第3条情形，供应商已随投标（响应）文件一并提交相关书面说明及必要的证明材料的，在评审现场可不再重复提交。</w:t>
      </w:r>
      <w:r/>
    </w:p>
    <w:p>
      <w:pPr>
        <w:pStyle w:val="693"/>
        <w:ind w:firstLine="560"/>
        <w:spacing w:line="500" w:lineRule="exact"/>
        <w:rPr>
          <w:rFonts w:ascii="宋体" w:hAnsi="宋体"/>
          <w:sz w:val="28"/>
          <w:szCs w:val="28"/>
        </w:rPr>
      </w:pPr>
      <w:r>
        <w:rPr>
          <w:rFonts w:hint="eastAsia" w:ascii="宋体" w:hAnsi="宋体"/>
          <w:color w:val="ff0000"/>
          <w:sz w:val="28"/>
          <w:szCs w:val="28"/>
        </w:rPr>
        <w:t xml:space="preserve">如果投标供应商未提供书面说明、证明材料，或者提供的书面说明、证明材料不能证明其报价合理性的，评标委员会应对其作为无效投标处理。</w:t>
      </w:r>
      <w:r/>
    </w:p>
    <w:p>
      <w:pPr>
        <w:pStyle w:val="693"/>
        <w:ind w:firstLine="562"/>
        <w:spacing w:line="500" w:lineRule="exact"/>
        <w:rPr>
          <w:rFonts w:ascii="楷体" w:hAnsi="楷体" w:eastAsia="楷体" w:cs="宋体"/>
          <w:b/>
          <w:sz w:val="28"/>
          <w:szCs w:val="28"/>
        </w:rPr>
      </w:pPr>
      <w:r>
        <w:rPr>
          <w:rFonts w:hint="eastAsia" w:ascii="楷体" w:hAnsi="楷体" w:eastAsia="楷体"/>
          <w:b/>
          <w:sz w:val="28"/>
          <w:szCs w:val="28"/>
        </w:rPr>
        <w:t xml:space="preserve">3.4</w:t>
      </w:r>
      <w:r>
        <w:rPr>
          <w:rFonts w:hint="eastAsia" w:ascii="楷体" w:hAnsi="楷体" w:eastAsia="楷体" w:cs="宋体"/>
          <w:b/>
          <w:sz w:val="28"/>
          <w:szCs w:val="28"/>
        </w:rPr>
        <w:t xml:space="preserve">争议解决</w:t>
      </w:r>
      <w:r/>
    </w:p>
    <w:p>
      <w:pPr>
        <w:pStyle w:val="693"/>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评标委员会成员对需要共同认定的事项存在争议的，按照少数服从多数的原则作出结论。持不同意见的评标委员会成员须在评标报告上签署不同意见及理由。</w:t>
      </w:r>
      <w:r/>
    </w:p>
    <w:p>
      <w:pPr>
        <w:spacing w:line="500" w:lineRule="exact"/>
        <w:rPr>
          <w:rFonts w:ascii="楷体" w:hAnsi="楷体" w:eastAsia="楷体"/>
          <w:b/>
          <w:sz w:val="28"/>
          <w:szCs w:val="28"/>
        </w:rPr>
      </w:pPr>
      <w:r>
        <w:rPr>
          <w:rFonts w:hint="eastAsia" w:ascii="楷体" w:hAnsi="楷体" w:eastAsia="楷体"/>
          <w:b/>
          <w:sz w:val="28"/>
          <w:szCs w:val="28"/>
        </w:rPr>
        <w:t xml:space="preserve">3.5评标终止</w:t>
      </w:r>
      <w:r/>
    </w:p>
    <w:p>
      <w:pPr>
        <w:pStyle w:val="693"/>
        <w:ind w:firstLine="560"/>
        <w:spacing w:line="500" w:lineRule="exact"/>
        <w:rPr>
          <w:sz w:val="28"/>
          <w:szCs w:val="28"/>
        </w:rPr>
      </w:pPr>
      <w:r>
        <w:rPr>
          <w:rFonts w:hint="eastAsia"/>
          <w:sz w:val="28"/>
          <w:szCs w:val="28"/>
        </w:rPr>
        <w:t xml:space="preserve">评标委员会发现招标文件存在歧义、重大缺陷导致评标工作无法进行，或者招标文件内容违反国家有关强制性规定的，应当停止评标工作，与招标人或者采购代理机构沟通并作书面记录。招标人确认后，终止评标活动。</w:t>
      </w:r>
      <w:r/>
    </w:p>
    <w:p>
      <w:pPr>
        <w:spacing w:line="500" w:lineRule="exact"/>
        <w:rPr>
          <w:rFonts w:ascii="楷体" w:hAnsi="楷体" w:eastAsia="楷体"/>
          <w:b/>
          <w:sz w:val="28"/>
          <w:szCs w:val="28"/>
        </w:rPr>
      </w:pPr>
      <w:r>
        <w:rPr>
          <w:rFonts w:hint="eastAsia" w:ascii="楷体" w:hAnsi="楷体" w:eastAsia="楷体"/>
          <w:b/>
          <w:sz w:val="28"/>
          <w:szCs w:val="28"/>
        </w:rPr>
        <w:t xml:space="preserve">3.6修改评标结果</w:t>
      </w:r>
      <w:r/>
    </w:p>
    <w:p>
      <w:pPr>
        <w:ind w:firstLine="560"/>
        <w:spacing w:line="500" w:lineRule="exact"/>
        <w:rPr>
          <w:rFonts w:ascii="宋体"/>
          <w:sz w:val="28"/>
          <w:szCs w:val="28"/>
        </w:rPr>
      </w:pPr>
      <w:r>
        <w:rPr>
          <w:rFonts w:hint="eastAsia" w:ascii="宋体" w:hAnsi="宋体"/>
          <w:sz w:val="28"/>
          <w:szCs w:val="28"/>
        </w:rPr>
        <w:t xml:space="preserve">评审组长负责汇总和核对各</w:t>
      </w:r>
      <w:r>
        <w:rPr>
          <w:rFonts w:hint="eastAsia" w:asciiTheme="minorEastAsia" w:hAnsiTheme="minorEastAsia" w:eastAsiaTheme="minorEastAsia"/>
          <w:sz w:val="28"/>
          <w:szCs w:val="28"/>
        </w:rPr>
        <w:t xml:space="preserve">评标委员会成员</w:t>
      </w:r>
      <w:r>
        <w:rPr>
          <w:rFonts w:hint="eastAsia" w:ascii="宋体" w:hAnsi="宋体"/>
          <w:sz w:val="28"/>
          <w:szCs w:val="28"/>
        </w:rPr>
        <w:t xml:space="preserve">的评审结果。在评标报告签署前，出现下列情形之一的，可以要求其当场修改评审结果：</w:t>
      </w:r>
      <w:r/>
    </w:p>
    <w:p>
      <w:pPr>
        <w:ind w:firstLine="560"/>
        <w:spacing w:line="500" w:lineRule="exact"/>
        <w:rPr>
          <w:rFonts w:ascii="宋体"/>
          <w:sz w:val="28"/>
          <w:szCs w:val="28"/>
        </w:rPr>
      </w:pPr>
      <w:r>
        <w:rPr>
          <w:rFonts w:hint="eastAsia" w:ascii="宋体" w:hAnsi="宋体"/>
          <w:sz w:val="28"/>
          <w:szCs w:val="28"/>
        </w:rPr>
        <w:t xml:space="preserve">（</w:t>
      </w:r>
      <w:r>
        <w:rPr>
          <w:rFonts w:ascii="宋体" w:hAnsi="宋体"/>
          <w:sz w:val="28"/>
          <w:szCs w:val="28"/>
        </w:rPr>
        <w:t xml:space="preserve">1</w:t>
      </w:r>
      <w:r>
        <w:rPr>
          <w:rFonts w:hint="eastAsia" w:ascii="宋体" w:hAnsi="宋体"/>
          <w:sz w:val="28"/>
          <w:szCs w:val="28"/>
        </w:rPr>
        <w:t xml:space="preserve">）分值汇总计算错误；</w:t>
      </w:r>
      <w:r/>
    </w:p>
    <w:p>
      <w:pPr>
        <w:ind w:firstLine="560"/>
        <w:spacing w:line="500" w:lineRule="exact"/>
        <w:rPr>
          <w:rFonts w:ascii="宋体"/>
          <w:sz w:val="28"/>
          <w:szCs w:val="28"/>
        </w:rPr>
      </w:pPr>
      <w:r>
        <w:rPr>
          <w:rFonts w:hint="eastAsia" w:ascii="宋体" w:hAnsi="宋体"/>
          <w:sz w:val="28"/>
          <w:szCs w:val="28"/>
        </w:rPr>
        <w:t xml:space="preserve">（</w:t>
      </w:r>
      <w:r>
        <w:rPr>
          <w:rFonts w:ascii="宋体" w:hAnsi="宋体"/>
          <w:sz w:val="28"/>
          <w:szCs w:val="28"/>
        </w:rPr>
        <w:t xml:space="preserve">2</w:t>
      </w:r>
      <w:r>
        <w:rPr>
          <w:rFonts w:hint="eastAsia" w:ascii="宋体" w:hAnsi="宋体"/>
          <w:sz w:val="28"/>
          <w:szCs w:val="28"/>
        </w:rPr>
        <w:t xml:space="preserve">）分项评分超出评分标准范围；</w:t>
      </w:r>
      <w:r/>
    </w:p>
    <w:p>
      <w:pPr>
        <w:ind w:firstLine="560"/>
        <w:spacing w:line="500" w:lineRule="exact"/>
        <w:rPr>
          <w:rFonts w:ascii="宋体"/>
          <w:sz w:val="28"/>
          <w:szCs w:val="28"/>
        </w:rPr>
      </w:pPr>
      <w:r>
        <w:rPr>
          <w:rFonts w:hint="eastAsia" w:ascii="宋体" w:hAnsi="宋体"/>
          <w:sz w:val="28"/>
          <w:szCs w:val="28"/>
        </w:rPr>
        <w:t xml:space="preserve">（</w:t>
      </w:r>
      <w:r>
        <w:rPr>
          <w:rFonts w:ascii="宋体" w:hAnsi="宋体"/>
          <w:sz w:val="28"/>
          <w:szCs w:val="28"/>
        </w:rPr>
        <w:t xml:space="preserve">3</w:t>
      </w:r>
      <w:r>
        <w:rPr>
          <w:rFonts w:hint="eastAsia" w:ascii="宋体" w:hAnsi="宋体"/>
          <w:sz w:val="28"/>
          <w:szCs w:val="28"/>
        </w:rPr>
        <w:t xml:space="preserve">）评标委员会成员对客观评审因素评分不一致；</w:t>
      </w:r>
      <w:r/>
    </w:p>
    <w:p>
      <w:pPr>
        <w:pStyle w:val="693"/>
        <w:ind w:firstLine="560"/>
        <w:spacing w:line="500" w:lineRule="exact"/>
      </w:pPr>
      <w:r>
        <w:rPr>
          <w:rFonts w:hint="eastAsia" w:ascii="宋体" w:hAnsi="宋体"/>
          <w:sz w:val="28"/>
          <w:szCs w:val="28"/>
        </w:rPr>
        <w:t xml:space="preserve">（</w:t>
      </w:r>
      <w:r>
        <w:rPr>
          <w:rFonts w:ascii="宋体" w:hAnsi="宋体"/>
          <w:sz w:val="28"/>
          <w:szCs w:val="28"/>
        </w:rPr>
        <w:t xml:space="preserve">4</w:t>
      </w:r>
      <w:r>
        <w:rPr>
          <w:rFonts w:hint="eastAsia" w:ascii="宋体" w:hAnsi="宋体"/>
          <w:sz w:val="28"/>
          <w:szCs w:val="28"/>
        </w:rPr>
        <w:t xml:space="preserve">）经评标委员会认定评分畸高或畸低。</w:t>
      </w:r>
      <w:r/>
    </w:p>
    <w:p>
      <w:pPr>
        <w:pStyle w:val="693"/>
        <w:spacing w:line="500" w:lineRule="exact"/>
        <w:rPr>
          <w:rFonts w:ascii="楷体" w:hAnsi="楷体" w:eastAsia="楷体"/>
          <w:b/>
          <w:sz w:val="28"/>
          <w:szCs w:val="28"/>
        </w:rPr>
      </w:pPr>
      <w:r>
        <w:rPr>
          <w:rFonts w:hint="eastAsia" w:ascii="楷体" w:hAnsi="楷体" w:eastAsia="楷体"/>
          <w:b/>
          <w:sz w:val="28"/>
          <w:szCs w:val="28"/>
        </w:rPr>
        <w:t xml:space="preserve">3.7 投标人总分相同</w:t>
      </w:r>
      <w:r/>
    </w:p>
    <w:p>
      <w:pPr>
        <w:ind w:firstLine="560"/>
        <w:spacing w:line="500" w:lineRule="exact"/>
        <w:rPr>
          <w:rFonts w:ascii="宋体"/>
          <w:sz w:val="28"/>
          <w:szCs w:val="28"/>
        </w:rPr>
      </w:pPr>
      <w:r>
        <w:rPr>
          <w:rFonts w:hint="eastAsia" w:ascii="宋体" w:hAnsi="宋体"/>
          <w:sz w:val="28"/>
          <w:szCs w:val="28"/>
        </w:rPr>
        <w:t xml:space="preserve">投标人总分相同时，投标报价低的排名优先；如投标报价也相同，由招标人抽签确定排序。</w:t>
      </w:r>
      <w:r/>
    </w:p>
    <w:p>
      <w:pPr>
        <w:pStyle w:val="693"/>
        <w:spacing w:line="500" w:lineRule="exact"/>
        <w:rPr>
          <w:rFonts w:ascii="楷体" w:hAnsi="楷体" w:eastAsia="楷体"/>
          <w:b/>
          <w:sz w:val="28"/>
          <w:szCs w:val="28"/>
        </w:rPr>
      </w:pPr>
      <w:r>
        <w:rPr>
          <w:rFonts w:hint="eastAsia" w:ascii="楷体" w:hAnsi="楷体" w:eastAsia="楷体"/>
          <w:b/>
          <w:sz w:val="28"/>
          <w:szCs w:val="28"/>
        </w:rPr>
        <w:t xml:space="preserve">3.8评标报告签署</w:t>
      </w:r>
      <w:r/>
    </w:p>
    <w:p>
      <w:pPr>
        <w:ind w:firstLine="560"/>
        <w:spacing w:line="500" w:lineRule="exact"/>
        <w:rPr>
          <w:rFonts w:ascii="宋体" w:hAnsi="宋体"/>
          <w:sz w:val="28"/>
          <w:szCs w:val="28"/>
        </w:rPr>
      </w:pPr>
      <w:r>
        <w:rPr>
          <w:rFonts w:hint="eastAsia" w:ascii="宋体" w:hAnsi="宋体"/>
          <w:sz w:val="28"/>
          <w:szCs w:val="28"/>
        </w:rPr>
        <w:t xml:space="preserve">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r/>
    </w:p>
    <w:p>
      <w:pPr>
        <w:pStyle w:val="693"/>
        <w:spacing w:line="500" w:lineRule="exact"/>
        <w:rPr>
          <w:rFonts w:ascii="黑体" w:hAnsi="黑体" w:eastAsia="黑体"/>
          <w:b/>
          <w:sz w:val="28"/>
          <w:szCs w:val="28"/>
        </w:rPr>
      </w:pPr>
      <w:r>
        <w:rPr>
          <w:rFonts w:hint="eastAsia" w:ascii="黑体" w:hAnsi="黑体" w:eastAsia="黑体"/>
          <w:b/>
          <w:sz w:val="28"/>
          <w:szCs w:val="28"/>
        </w:rPr>
        <w:t xml:space="preserve">4.判定无效投标的规定</w:t>
      </w:r>
      <w:r/>
    </w:p>
    <w:p>
      <w:pPr>
        <w:pStyle w:val="693"/>
        <w:spacing w:line="500" w:lineRule="exact"/>
        <w:rPr>
          <w:rFonts w:ascii="楷体" w:hAnsi="楷体" w:eastAsia="楷体"/>
          <w:b/>
          <w:sz w:val="28"/>
          <w:szCs w:val="28"/>
        </w:rPr>
      </w:pPr>
      <w:r>
        <w:rPr>
          <w:rFonts w:hint="eastAsia" w:ascii="楷体" w:hAnsi="楷体" w:eastAsia="楷体"/>
          <w:b/>
          <w:sz w:val="28"/>
          <w:szCs w:val="28"/>
        </w:rPr>
        <w:t xml:space="preserve">4.1开标过程中，有下列情形之一的，作无效投标处理。</w:t>
      </w:r>
      <w:r/>
    </w:p>
    <w:p>
      <w:pPr>
        <w:pStyle w:val="693"/>
        <w:ind w:firstLine="560"/>
        <w:spacing w:after="0"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（1）投标文件无法解密；</w:t>
      </w:r>
      <w:r/>
    </w:p>
    <w:p>
      <w:pPr>
        <w:pStyle w:val="693"/>
        <w:ind w:firstLine="560"/>
        <w:spacing w:after="0"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（2）投标文件未在规定的时间内解密成功。</w:t>
      </w:r>
      <w:r/>
    </w:p>
    <w:p>
      <w:pPr>
        <w:pStyle w:val="693"/>
        <w:spacing w:after="0" w:line="500" w:lineRule="exact"/>
        <w:rPr>
          <w:rFonts w:ascii="楷体" w:hAnsi="楷体" w:eastAsia="楷体"/>
          <w:b/>
          <w:spacing w:val="-14"/>
          <w:sz w:val="28"/>
          <w:szCs w:val="28"/>
        </w:rPr>
      </w:pPr>
      <w:r>
        <w:rPr>
          <w:rFonts w:hint="eastAsia" w:ascii="楷体" w:hAnsi="楷体" w:eastAsia="楷体"/>
          <w:b/>
          <w:sz w:val="28"/>
          <w:szCs w:val="28"/>
        </w:rPr>
        <w:t xml:space="preserve">4.2资格审查过程中，</w:t>
      </w:r>
      <w:r>
        <w:rPr>
          <w:rFonts w:hint="eastAsia" w:ascii="楷体" w:hAnsi="楷体" w:eastAsia="楷体"/>
          <w:b/>
          <w:spacing w:val="-14"/>
          <w:sz w:val="28"/>
          <w:szCs w:val="28"/>
        </w:rPr>
        <w:t xml:space="preserve">投标文件出现不符合1.2项评审标准之一的，作无效标处理。</w:t>
      </w:r>
      <w:r/>
    </w:p>
    <w:p>
      <w:pPr>
        <w:pStyle w:val="693"/>
        <w:spacing w:after="0" w:line="480" w:lineRule="exact"/>
        <w:rPr>
          <w:rFonts w:ascii="楷体" w:hAnsi="楷体" w:eastAsia="楷体"/>
          <w:b/>
          <w:spacing w:val="-14"/>
          <w:sz w:val="28"/>
          <w:szCs w:val="28"/>
        </w:rPr>
      </w:pPr>
      <w:r>
        <w:rPr>
          <w:rFonts w:hint="eastAsia" w:ascii="楷体" w:hAnsi="楷体" w:eastAsia="楷体"/>
          <w:b/>
          <w:spacing w:val="-14"/>
          <w:sz w:val="28"/>
          <w:szCs w:val="28"/>
        </w:rPr>
        <w:t xml:space="preserve">4.3</w:t>
      </w:r>
      <w:r>
        <w:rPr>
          <w:rFonts w:hint="eastAsia" w:ascii="楷体" w:hAnsi="楷体" w:eastAsia="楷体"/>
          <w:b/>
          <w:sz w:val="28"/>
          <w:szCs w:val="28"/>
        </w:rPr>
        <w:t xml:space="preserve">评标过程中，有下列情形之一的，作无效投标处理。</w:t>
      </w:r>
      <w:r/>
    </w:p>
    <w:p>
      <w:pPr>
        <w:pStyle w:val="693"/>
        <w:ind w:firstLine="560"/>
        <w:spacing w:after="0" w:line="48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（1）符合性评审时，投标文件出现不符合</w:t>
      </w:r>
      <w:r>
        <w:rPr>
          <w:rFonts w:asciiTheme="minorEastAsia" w:hAnsiTheme="minorEastAsia" w:eastAsiaTheme="minorEastAsia"/>
          <w:sz w:val="28"/>
          <w:szCs w:val="28"/>
        </w:rPr>
        <w:t xml:space="preserve">2.</w:t>
      </w:r>
      <w:r>
        <w:rPr>
          <w:rFonts w:hint="eastAsia" w:asciiTheme="minorEastAsia" w:hAnsiTheme="minorEastAsia" w:eastAsiaTheme="minorEastAsia"/>
          <w:sz w:val="28"/>
          <w:szCs w:val="28"/>
        </w:rPr>
        <w:t xml:space="preserve">2.2项评审标准之一的；</w:t>
      </w:r>
      <w:r/>
    </w:p>
    <w:p>
      <w:pPr>
        <w:pStyle w:val="693"/>
        <w:ind w:firstLine="560"/>
        <w:spacing w:after="0" w:line="48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（2）投标人不确认评标委员会提出的投标报价修正意见的；</w:t>
      </w:r>
      <w:r/>
    </w:p>
    <w:p>
      <w:pPr>
        <w:pStyle w:val="693"/>
        <w:ind w:firstLine="560"/>
        <w:spacing w:after="0" w:line="48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（3）未按照评标委员会要求提供书面说明及相关证明材料证明其报价合理性的；</w:t>
      </w:r>
      <w:r/>
    </w:p>
    <w:p>
      <w:pPr>
        <w:pStyle w:val="693"/>
        <w:ind w:firstLine="560"/>
        <w:spacing w:after="0" w:line="48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（4）投标文件含有招标人不能接受的附加条件的。</w:t>
      </w:r>
      <w:r/>
    </w:p>
    <w:p>
      <w:pPr>
        <w:pStyle w:val="693"/>
        <w:spacing w:after="0" w:line="480" w:lineRule="exact"/>
        <w:rPr>
          <w:rFonts w:ascii="楷体" w:hAnsi="楷体" w:eastAsia="楷体"/>
          <w:b/>
          <w:sz w:val="28"/>
          <w:szCs w:val="28"/>
        </w:rPr>
      </w:pPr>
      <w:r>
        <w:rPr>
          <w:rFonts w:hint="eastAsia" w:ascii="楷体" w:hAnsi="楷体" w:eastAsia="楷体"/>
          <w:b/>
          <w:sz w:val="28"/>
          <w:szCs w:val="28"/>
        </w:rPr>
        <w:t xml:space="preserve">4.4法律、法规规定的其他投标无效情形。</w:t>
      </w:r>
      <w:bookmarkEnd w:id="259"/>
      <w:r/>
      <w:bookmarkEnd w:id="260"/>
      <w:r/>
      <w:bookmarkEnd w:id="261"/>
      <w:r/>
      <w:bookmarkEnd w:id="262"/>
      <w:r/>
      <w:bookmarkEnd w:id="263"/>
      <w:r/>
      <w:bookmarkEnd w:id="264"/>
      <w:r/>
      <w:bookmarkEnd w:id="265"/>
      <w:r/>
      <w:bookmarkEnd w:id="266"/>
      <w:r/>
      <w:bookmarkEnd w:id="291"/>
      <w:r/>
      <w:r/>
    </w:p>
    <w:p>
      <w:pPr>
        <w:pStyle w:val="694"/>
      </w:pPr>
      <w:r/>
      <w:r/>
    </w:p>
    <w:p>
      <w:pPr>
        <w:pStyle w:val="694"/>
      </w:pPr>
      <w:r/>
      <w:r/>
    </w:p>
    <w:p>
      <w:pPr>
        <w:pStyle w:val="694"/>
      </w:pPr>
      <w:r/>
      <w:r/>
    </w:p>
    <w:p>
      <w:pPr>
        <w:pStyle w:val="694"/>
      </w:pPr>
      <w:r/>
      <w:r/>
    </w:p>
    <w:p>
      <w:pPr>
        <w:pStyle w:val="694"/>
      </w:pPr>
      <w:r/>
      <w:r/>
    </w:p>
    <w:p>
      <w:pPr>
        <w:pStyle w:val="694"/>
      </w:pPr>
      <w:r/>
      <w:r/>
    </w:p>
    <w:p>
      <w:pPr>
        <w:pStyle w:val="694"/>
      </w:pPr>
      <w:r/>
      <w:r/>
    </w:p>
    <w:p>
      <w:pPr>
        <w:pStyle w:val="694"/>
      </w:pPr>
      <w:r/>
      <w:r/>
    </w:p>
    <w:p>
      <w:pPr>
        <w:pStyle w:val="694"/>
      </w:pPr>
      <w:r/>
      <w:r/>
    </w:p>
    <w:p>
      <w:pPr>
        <w:pStyle w:val="694"/>
      </w:pPr>
      <w:r/>
      <w:r/>
    </w:p>
    <w:p>
      <w:pPr>
        <w:pStyle w:val="694"/>
      </w:pPr>
      <w:r/>
      <w:r/>
    </w:p>
    <w:p>
      <w:pPr>
        <w:pStyle w:val="694"/>
      </w:pPr>
      <w:r/>
      <w:r/>
    </w:p>
    <w:p>
      <w:pPr>
        <w:pStyle w:val="694"/>
      </w:pPr>
      <w:r/>
      <w:r/>
    </w:p>
    <w:p>
      <w:pPr>
        <w:pStyle w:val="694"/>
      </w:pPr>
      <w:r/>
      <w:r/>
    </w:p>
    <w:p>
      <w:pPr>
        <w:pStyle w:val="694"/>
      </w:pPr>
      <w:r/>
      <w:r/>
    </w:p>
    <w:p>
      <w:pPr>
        <w:pStyle w:val="694"/>
      </w:pPr>
      <w:r/>
      <w:r/>
    </w:p>
    <w:p>
      <w:pPr>
        <w:pStyle w:val="694"/>
      </w:pPr>
      <w:r/>
      <w:r/>
    </w:p>
    <w:p>
      <w:pPr>
        <w:pStyle w:val="694"/>
      </w:pPr>
      <w:r/>
      <w:r/>
    </w:p>
    <w:p>
      <w:pPr>
        <w:pStyle w:val="694"/>
      </w:pPr>
      <w:r/>
      <w:r/>
    </w:p>
    <w:p>
      <w:pPr>
        <w:pStyle w:val="694"/>
      </w:pPr>
      <w:r/>
      <w:r/>
    </w:p>
    <w:p>
      <w:pPr>
        <w:pStyle w:val="694"/>
      </w:pPr>
      <w:r/>
      <w:r/>
    </w:p>
    <w:p>
      <w:pPr>
        <w:pStyle w:val="694"/>
      </w:pPr>
      <w:r/>
      <w:r/>
    </w:p>
    <w:p>
      <w:pPr>
        <w:pStyle w:val="694"/>
      </w:pPr>
      <w:r/>
      <w:r/>
    </w:p>
    <w:p>
      <w:pPr>
        <w:pStyle w:val="694"/>
      </w:pPr>
      <w:r/>
      <w:r/>
    </w:p>
    <w:p>
      <w:pPr>
        <w:pStyle w:val="694"/>
      </w:pPr>
      <w:r/>
      <w:r/>
    </w:p>
    <w:p>
      <w:pPr>
        <w:pStyle w:val="694"/>
        <w:rPr>
          <w:rFonts w:hint="eastAsia"/>
        </w:rPr>
      </w:pPr>
      <w:r>
        <w:rPr>
          <w:rFonts w:hint="eastAsia"/>
        </w:rPr>
      </w:r>
      <w:r/>
    </w:p>
    <w:p>
      <w:pPr>
        <w:jc w:val="center"/>
        <w:rPr>
          <w:rFonts w:ascii="黑体" w:hAnsi="黑体" w:eastAsia="黑体" w:cs="仿宋"/>
          <w:b/>
          <w:sz w:val="32"/>
          <w:szCs w:val="32"/>
        </w:rPr>
      </w:pPr>
      <w:r>
        <w:rPr>
          <w:rFonts w:ascii="黑体" w:hAnsi="黑体" w:eastAsia="黑体" w:cs="仿宋"/>
          <w:b/>
          <w:sz w:val="32"/>
          <w:szCs w:val="32"/>
        </w:rPr>
      </w:r>
      <w:r/>
    </w:p>
    <w:p>
      <w:pPr>
        <w:jc w:val="center"/>
        <w:rPr>
          <w:rFonts w:ascii="黑体" w:hAnsi="黑体" w:eastAsia="黑体" w:cs="仿宋"/>
          <w:b/>
          <w:sz w:val="32"/>
          <w:szCs w:val="32"/>
        </w:rPr>
      </w:pPr>
      <w:r/>
      <w:bookmarkStart w:id="292" w:name="_Hlk237355497"/>
      <w:r/>
      <w:bookmarkStart w:id="293" w:name="OLE_LINK12"/>
      <w:r/>
      <w:bookmarkStart w:id="294" w:name="OLE_LINK11"/>
      <w:r>
        <w:rPr>
          <w:rFonts w:hint="eastAsia" w:ascii="黑体" w:hAnsi="黑体" w:eastAsia="黑体" w:cs="仿宋"/>
          <w:b/>
          <w:sz w:val="32"/>
          <w:szCs w:val="32"/>
        </w:rPr>
        <w:t xml:space="preserve">第四章 </w:t>
      </w:r>
      <w:bookmarkStart w:id="295" w:name="OLE_LINK128"/>
      <w:r/>
      <w:bookmarkStart w:id="296" w:name="OLE_LINK129"/>
      <w:r>
        <w:rPr>
          <w:rFonts w:hint="eastAsia" w:ascii="黑体" w:hAnsi="黑体" w:eastAsia="黑体" w:cs="仿宋"/>
          <w:b/>
          <w:sz w:val="32"/>
          <w:szCs w:val="32"/>
        </w:rPr>
        <w:t xml:space="preserve">采购需求</w:t>
      </w:r>
      <w:bookmarkEnd w:id="295"/>
      <w:r/>
      <w:bookmarkEnd w:id="296"/>
      <w:r/>
      <w:r/>
    </w:p>
    <w:p>
      <w:pPr>
        <w:pStyle w:val="675"/>
        <w:numPr>
          <w:ilvl w:val="0"/>
          <w:numId w:val="3"/>
        </w:numPr>
        <w:keepLines w:val="0"/>
        <w:keepNext w:val="0"/>
        <w:spacing w:before="320" w:after="0" w:line="300" w:lineRule="auto"/>
        <w:rPr>
          <w:rFonts w:ascii="黑体" w:hAnsi="黑体" w:cs="黑体"/>
          <w:sz w:val="36"/>
          <w:szCs w:val="36"/>
        </w:rPr>
      </w:pPr>
      <w:r>
        <w:rPr>
          <w:sz w:val="36"/>
          <w:szCs w:val="36"/>
        </w:rPr>
        <w:t xml:space="preserve">项目背景及建设概况</w:t>
      </w:r>
      <w:r/>
    </w:p>
    <w:p>
      <w:pPr>
        <w:pStyle w:val="693"/>
        <w:ind w:firstLine="480"/>
      </w:pPr>
      <w:r>
        <w:t xml:space="preserve">根据《省政府办公厅关于印发全省道路交通安全重点隐患路段“5510”整治工程实施方案的通知》(苏政办发[2025]50号)，结合本地实际，新建电子警察8处、智能球机19处、哨兵测速预警4套、交通信号灯8处；配套LED灯带、语音提示、学校交安设施、标志标线62处；配套杆件、护栏、标牌、管线、立杆基础、防雷接地、机房后端设备；同步实施交通安全宣传、200处点位绿化修剪及项目配套服务。</w:t>
      </w:r>
      <w:r/>
    </w:p>
    <w:p>
      <w:pPr>
        <w:pStyle w:val="675"/>
        <w:numPr>
          <w:ilvl w:val="0"/>
          <w:numId w:val="3"/>
        </w:numPr>
        <w:keepLines w:val="0"/>
        <w:keepNext w:val="0"/>
        <w:spacing w:before="320" w:after="0" w:line="300" w:lineRule="auto"/>
        <w:rPr>
          <w:sz w:val="36"/>
          <w:szCs w:val="36"/>
        </w:rPr>
      </w:pPr>
      <w:r>
        <w:rPr>
          <w:sz w:val="36"/>
          <w:szCs w:val="36"/>
        </w:rPr>
        <w:t xml:space="preserve">采购全包范围</w:t>
      </w:r>
      <w:r/>
    </w:p>
    <w:p>
      <w:pPr>
        <w:pStyle w:val="693"/>
        <w:ind w:firstLine="480"/>
      </w:pPr>
      <w:r/>
      <w:bookmarkStart w:id="297" w:name="heading_2"/>
      <w:r>
        <w:t xml:space="preserve">本项目投标人所投报价包含项目建设全过程所有费用。报价涵盖全部前端智能硬件设备采购、道路交通标线施划、交通标识标牌制作安装、各类施工辅材购置、设备运输吊装、地下管线开挖及非开挖顶管施工、现场安装布设、系统软硬件调试、市级交管平台联网对接、项目整体验收交付、合同期内质量质保与运维服务、操作人员技术培训、施工现场清障复原、点位绿化修剪规整、工程材料专项检测、监理全过程配合服务及项目完工场地复原等全部工作内容，投标人需全面统筹项目设计、采购、施工、调试、验收、运维全流程工作，确保项目整体落地达标、正常稳定运行。</w:t>
      </w:r>
      <w:r/>
    </w:p>
    <w:p>
      <w:pPr>
        <w:pStyle w:val="676"/>
        <w:numPr>
          <w:ilvl w:val="0"/>
          <w:numId w:val="4"/>
        </w:numPr>
        <w:keepLines w:val="0"/>
        <w:keepNext w:val="0"/>
        <w:spacing w:before="280" w:after="0" w:line="300" w:lineRule="auto"/>
      </w:pPr>
      <w:r>
        <w:t xml:space="preserve">设备技术标准要求</w:t>
      </w:r>
      <w:bookmarkEnd w:id="297"/>
      <w:r/>
      <w:r/>
    </w:p>
    <w:p>
      <w:pPr>
        <w:pStyle w:val="693"/>
        <w:ind w:firstLine="480"/>
      </w:pPr>
      <w:r>
        <w:t xml:space="preserve">本项目所采购的电子警察、智能监控球机、雷</w:t>
      </w:r>
      <w:r>
        <w:t xml:space="preserve">达哨兵测速设备、交通信号灯等所有智能交通设备，须严格符合国家现行标准、公安行业专项标准及江苏省智能交通系统建设技术规范，设备通信协议、数据格式、管控逻辑需与泰兴市现有交管智能化平台完全适配，实现视频画面、违法数据、设备状态、通行数据等信息无缝接入、实时上传、双向互通，保障全市交管系统一体化、标准化运行。道路交通标志标线、安全防护设施须严格执行《道路交通标志和标线》（GB5768）、《城市道路交通信号灯设置与安装规范》（GB14886）等国家现行强制性标准，所有设施参数、施工工艺、成品质量均满足国标规范要求。</w:t>
      </w:r>
      <w:r/>
    </w:p>
    <w:p>
      <w:pPr>
        <w:pStyle w:val="676"/>
        <w:numPr>
          <w:ilvl w:val="0"/>
          <w:numId w:val="4"/>
        </w:numPr>
        <w:keepLines w:val="0"/>
        <w:keepNext w:val="0"/>
        <w:spacing w:before="280" w:after="0" w:line="300" w:lineRule="auto"/>
      </w:pPr>
      <w:r/>
      <w:bookmarkStart w:id="298" w:name="heading_3"/>
      <w:r>
        <w:t xml:space="preserve">现场施工规范要求</w:t>
      </w:r>
      <w:bookmarkEnd w:id="298"/>
      <w:r/>
      <w:r/>
    </w:p>
    <w:p>
      <w:pPr>
        <w:pStyle w:val="693"/>
        <w:ind w:firstLine="480"/>
      </w:pPr>
      <w:r>
        <w:t xml:space="preserve">投标人须严格落实文明施工、安全施</w:t>
      </w:r>
      <w:r>
        <w:t xml:space="preserve">工及道路交通保通要求，施工全过程设置标准化交通导行设施、安全围挡、警示标识，合理规划施工时段，最大限度降低施工对道路交通通行的影响。进场施工前，必须采用专业设备全面探明施工区域地下管线、电缆、管网等隐蔽设施，精准定位管线分布位置，制定专项管线保护方案，杜绝施工过程中造成原有管线破损、故障。所有地下管线敷设、基础浇筑、防雷接地等隐蔽工程，须严格按照施工规范及设计方案施工，完成后及时报请监理单位验收，验收合格并签署验收记录后方可开展下一工序施工，全程留存施工影像、检测数据及验收资料，确保施工质量可追溯、可核查。</w:t>
      </w:r>
      <w:r/>
    </w:p>
    <w:p>
      <w:pPr>
        <w:pStyle w:val="694"/>
        <w:rPr>
          <w:rFonts w:hint="eastAsia"/>
        </w:rPr>
      </w:pPr>
      <w:r>
        <w:rPr>
          <w:rFonts w:hint="eastAsia"/>
        </w:rPr>
      </w:r>
      <w:r/>
    </w:p>
    <w:p>
      <w:pPr>
        <w:pStyle w:val="675"/>
        <w:numPr>
          <w:ilvl w:val="0"/>
          <w:numId w:val="3"/>
        </w:numPr>
        <w:keepLines w:val="0"/>
        <w:keepNext w:val="0"/>
        <w:spacing w:before="320" w:after="0" w:line="300" w:lineRule="auto"/>
        <w:rPr>
          <w:sz w:val="36"/>
          <w:szCs w:val="36"/>
        </w:rPr>
      </w:pPr>
      <w:r>
        <w:rPr>
          <w:sz w:val="36"/>
          <w:szCs w:val="36"/>
        </w:rPr>
        <w:t xml:space="preserve">工期、质量、质保（实质性条款，不得负偏离）</w:t>
      </w:r>
      <w:r/>
    </w:p>
    <w:p>
      <w:pPr>
        <w:pStyle w:val="693"/>
        <w:numPr>
          <w:ilvl w:val="0"/>
          <w:numId w:val="5"/>
        </w:numPr>
        <w:spacing w:before="100" w:after="100" w:line="300" w:lineRule="auto"/>
      </w:pPr>
      <w:r>
        <w:t xml:space="preserve">工期：</w:t>
      </w:r>
      <w:bookmarkStart w:id="299" w:name="OLE_LINK21"/>
      <w:r>
        <w:t xml:space="preserve">合同签订</w:t>
      </w:r>
      <w:r>
        <w:rPr>
          <w:u w:val="single"/>
        </w:rPr>
        <w:t xml:space="preserve">90</w:t>
      </w:r>
      <w:r>
        <w:t xml:space="preserve">日内完成全部安装调试并稳定运行</w:t>
      </w:r>
      <w:bookmarkEnd w:id="299"/>
      <w:r>
        <w:t xml:space="preserve">；</w:t>
      </w:r>
      <w:r/>
    </w:p>
    <w:p>
      <w:pPr>
        <w:pStyle w:val="693"/>
        <w:numPr>
          <w:ilvl w:val="0"/>
          <w:numId w:val="5"/>
        </w:numPr>
        <w:spacing w:before="100" w:after="100" w:line="300" w:lineRule="auto"/>
      </w:pPr>
      <w:r>
        <w:t xml:space="preserve">质量：所有设备全新原厂正品，软硬件与现有交管系统完全兼容，施工、设备均符合国家现行规范。</w:t>
      </w:r>
      <w:r/>
    </w:p>
    <w:p>
      <w:pPr>
        <w:pStyle w:val="693"/>
        <w:numPr>
          <w:ilvl w:val="0"/>
          <w:numId w:val="5"/>
        </w:numPr>
        <w:spacing w:before="100" w:after="100" w:line="300" w:lineRule="auto"/>
      </w:pPr>
      <w:r>
        <w:t xml:space="preserve">质保：</w:t>
      </w:r>
      <w:r>
        <w:rPr>
          <w:u w:val="single"/>
        </w:rPr>
        <w:t xml:space="preserve">项目整体免费维保</w:t>
      </w:r>
      <w:r>
        <w:rPr>
          <w:b/>
          <w:u w:val="single"/>
        </w:rPr>
        <w:t xml:space="preserve">3</w:t>
      </w:r>
      <w:r>
        <w:rPr>
          <w:u w:val="single"/>
        </w:rPr>
        <w:t xml:space="preserve">年；全部电子智能设备质保3年；质保自竣工验收合格起算，含免费换件、系统升级、7×24小时技术服务</w:t>
      </w:r>
      <w:r>
        <w:t xml:space="preserve">。</w:t>
      </w:r>
      <w:r/>
    </w:p>
    <w:p>
      <w:pPr>
        <w:pStyle w:val="675"/>
        <w:numPr>
          <w:ilvl w:val="0"/>
          <w:numId w:val="3"/>
        </w:numPr>
        <w:keepLines w:val="0"/>
        <w:keepNext w:val="0"/>
        <w:spacing w:before="320" w:after="0" w:line="300" w:lineRule="auto"/>
        <w:rPr>
          <w:sz w:val="36"/>
          <w:szCs w:val="36"/>
        </w:rPr>
      </w:pPr>
      <w:r>
        <w:rPr>
          <w:sz w:val="36"/>
          <w:szCs w:val="36"/>
        </w:rPr>
        <w:t xml:space="preserve">前端智能管控系统核心要求</w:t>
      </w:r>
      <w:r/>
    </w:p>
    <w:p>
      <w:pPr>
        <w:pStyle w:val="676"/>
        <w:numPr>
          <w:ilvl w:val="0"/>
          <w:numId w:val="6"/>
        </w:numPr>
        <w:keepLines w:val="0"/>
        <w:keepNext w:val="0"/>
        <w:spacing w:before="280" w:after="0" w:line="300" w:lineRule="auto"/>
      </w:pPr>
      <w:r>
        <w:t xml:space="preserve">交通信号系统</w:t>
      </w:r>
      <w:r/>
    </w:p>
    <w:p>
      <w:pPr>
        <w:pStyle w:val="693"/>
        <w:ind w:firstLine="480"/>
      </w:pPr>
      <w:r>
        <w:t xml:space="preserve">国省道机动车灯Φ400mm，人行灯Φ300mm，符合GB14887-2011；配联网型信号机，支持GB/T20999通信协议，接入交警交通信号灯控制平台，支持实现自适应配时、绿波、应急优先通行；具备宽电压适配、故障黄闪、断电数据保存功能，配套倒计时、同步灯带、信号灯检测器，配套标准化灯杆、混凝土基础与防雷接地。</w:t>
      </w:r>
      <w:r/>
    </w:p>
    <w:p>
      <w:pPr>
        <w:pStyle w:val="676"/>
        <w:numPr>
          <w:ilvl w:val="0"/>
          <w:numId w:val="6"/>
        </w:numPr>
        <w:keepLines w:val="0"/>
        <w:keepNext w:val="0"/>
        <w:spacing w:before="280" w:after="0" w:line="300" w:lineRule="auto"/>
      </w:pPr>
      <w:r>
        <w:t xml:space="preserve">电子警察抓拍系统</w:t>
      </w:r>
      <w:r/>
    </w:p>
    <w:p>
      <w:pPr>
        <w:pStyle w:val="693"/>
        <w:ind w:firstLine="480"/>
      </w:pPr>
      <w:r>
        <w:t xml:space="preserve">本系统所有设备完全符合《公安视频监控联网系统技术要求》（GB 35114-2017）标准规范，满足公安联网、数据合规上传要求。针对不同道路等级差异化配置设备：国省道主干路段配置1200万像素高清电子警察设备，可全面覆盖4车道通行抓拍需求；县乡道路配置900万像素电子警察设备，适配1-3车道通行场景，同步配套900万像素反向卡口摄像机、全景鱼眼辅助摄像机，实现路口全方位、无死角监控抓拍。针对大货车通行管控需求，配套部署专用管控终端服务器，支持多设备视频、图像数据合成处理，形成完整违法取证资料。</w:t>
      </w:r>
      <w:r/>
    </w:p>
    <w:p>
      <w:pPr>
        <w:pStyle w:val="693"/>
        <w:ind w:firstLine="480"/>
      </w:pPr>
      <w:r>
        <w:t xml:space="preserve">系统采用无地感视频智能检测技术，无需埋设地感线圈，通过视频智能识别实现车辆通行检测，闯红灯违法行为可自动抓拍3张完整时序取证图片，全程记录违法过程。系统核心性能指标</w:t>
      </w:r>
      <w:r>
        <w:t xml:space="preserve">严格达标：车辆捕获率≥99%，违法记录有效率≥95%；支持对通行车辆的人车属性、人脸信息、车牌号码、车辆车型、车身颜色等全维度结构化智能识别，具备断网续传功能，网络中断时可本地缓存数据，网络恢复后自动补传，杜绝数据丢失。每处电警点位配套安装LED频闪补光灯、三合一爆闪补光灯，保障夜间、阴雨、逆光等低光环境抓拍清晰度。立杆安装严格遵循规范标准，国省道点位电警立杆距路口停止线距离≥32m，县乡道点位≥25m，所有立杆采用全套热镀锌防腐杆件，配套独立C25标号混凝土基础，结构稳固、防腐耐用，适配户外长期运行环境。</w:t>
      </w:r>
      <w:r/>
    </w:p>
    <w:p>
      <w:pPr>
        <w:pStyle w:val="676"/>
        <w:numPr>
          <w:ilvl w:val="0"/>
          <w:numId w:val="6"/>
        </w:numPr>
        <w:keepLines w:val="0"/>
        <w:keepNext w:val="0"/>
        <w:spacing w:before="280" w:after="0" w:line="300" w:lineRule="auto"/>
      </w:pPr>
      <w:r>
        <w:t xml:space="preserve">视频监控与哨兵预警</w:t>
      </w:r>
      <w:r/>
    </w:p>
    <w:p>
      <w:pPr>
        <w:pStyle w:val="693"/>
        <w:ind w:firstLine="480"/>
      </w:pPr>
      <w:r>
        <w:t xml:space="preserve">本系统设备均符合GB 35114-2017公安行业标准，支持公安平台合规联网接入。项目配置19台400万像素双目智能球形监控摄像机，设备搭载25倍光学变倍镜头，支持高清变焦抓拍、</w:t>
      </w:r>
      <w:r>
        <w:t xml:space="preserve">大范围全景监控，具备车辆、人员全结构化信息抓取、道路拥堵智能识别、交通事故主动预警、360°全景画面拼接等智能功能，可实现路口动态实时监测、异常事件主动告警。配套部署4套雷达哨兵测速提示屏系统，设备采用雷达精准测速技术，可实时检测过往车辆通行速度，通过声光提示、屏幕显示方式对超速车辆进行减速警示，主要适配无信号灯支路路口、村镇路段等事故高发点位，有效压降超速违法行为。同时配置6台违停枪球一体机，可自动识别道路违法停车、机非混行、占道通行等违规行为，支持声光联动警示、自动抓拍取证，实现道路通行秩序智能化管控。</w:t>
      </w:r>
      <w:r/>
    </w:p>
    <w:p>
      <w:pPr>
        <w:pStyle w:val="676"/>
        <w:numPr>
          <w:ilvl w:val="0"/>
          <w:numId w:val="6"/>
        </w:numPr>
        <w:keepLines w:val="0"/>
        <w:keepNext w:val="0"/>
        <w:spacing w:before="280" w:after="0" w:line="300" w:lineRule="auto"/>
      </w:pPr>
      <w:r>
        <w:t xml:space="preserve">传输、供电、管线、防雷</w:t>
      </w:r>
      <w:r/>
    </w:p>
    <w:p>
      <w:pPr>
        <w:pStyle w:val="693"/>
        <w:ind w:firstLine="480"/>
      </w:pPr>
      <w:r>
        <w:t xml:space="preserve">各监控路口、管控点位均部署千兆工业级交换机，保障视频数据、设备信号高速稳定传输，通过租用运营商1000M专用裸纤链路上联至交警中心平台，数据传输全程遵循GB/T28181、GA/T1400公安行业标准，确保数据传输合规、安全、高效。系统采用就近取电、独立布线模式，单独布设供电线路，避免与其他设备共用线路，杜绝供电干扰。设备机箱、控制箱体配备两级防雷防护装置，所有点位接地电阻严格控制在＜4Ω，有效防范雷击、静电、电压波动对设备造成损坏。</w:t>
      </w:r>
      <w:r/>
    </w:p>
    <w:p>
      <w:pPr>
        <w:pStyle w:val="693"/>
        <w:ind w:firstLine="480"/>
      </w:pPr>
      <w:r>
        <w:t xml:space="preserve">管线施工严格执行标准化工艺，道路过街路段采用Φ75PE管非开挖顶管施工，人行道区域敷设Φ50PE防护管线，管线敷设全程规整规范，每间隔50-60米设置一处管线手井，便于后期检修、运维。农村路段采用标准化钢缆明敷布线方式，布线整齐、固定牢固、防护到位。所有户外落地机柜、抱杆箱体均达到IP65防尘防水防护等级，机柜内部强弱电线路分层隔离、分区布设，杜绝线路干扰，所有杆件、箱体、金属构件统一做防腐、防锈、防氧化处理，适配户外复杂气候环境，延长设备使用寿命。</w:t>
      </w:r>
      <w:r/>
    </w:p>
    <w:p>
      <w:pPr>
        <w:pStyle w:val="675"/>
        <w:numPr>
          <w:ilvl w:val="0"/>
          <w:numId w:val="3"/>
        </w:numPr>
        <w:keepLines w:val="0"/>
        <w:keepNext w:val="0"/>
        <w:spacing w:before="320" w:after="0" w:line="300" w:lineRule="auto"/>
        <w:rPr>
          <w:sz w:val="36"/>
          <w:szCs w:val="36"/>
        </w:rPr>
      </w:pPr>
      <w:r>
        <w:rPr>
          <w:sz w:val="36"/>
          <w:szCs w:val="36"/>
        </w:rPr>
        <w:t xml:space="preserve">道路交通安全设施工程</w:t>
      </w:r>
      <w:r/>
    </w:p>
    <w:p>
      <w:pPr>
        <w:pStyle w:val="676"/>
        <w:numPr>
          <w:ilvl w:val="0"/>
          <w:numId w:val="7"/>
        </w:numPr>
        <w:keepLines w:val="0"/>
        <w:keepNext w:val="0"/>
        <w:spacing w:before="280" w:after="0" w:line="300" w:lineRule="auto"/>
      </w:pPr>
      <w:r/>
      <w:bookmarkStart w:id="300" w:name="heading_14"/>
      <w:r>
        <w:t xml:space="preserve">道路标线工程</w:t>
      </w:r>
      <w:bookmarkEnd w:id="300"/>
      <w:r/>
      <w:r/>
    </w:p>
    <w:p>
      <w:pPr>
        <w:pStyle w:val="693"/>
        <w:ind w:firstLine="480"/>
      </w:pPr>
      <w:r>
        <w:t xml:space="preserve">本项目标线包含热熔黄白交通标线、彩色陶瓷颗粒防滑标线两大类，所有标线施工成型厚度≥1.5mm，严格满足《道路交通标志和标线 第3部分：道路交通标线》（GB5768.3-2025）最新逆反射性能标准，标线反光度、耐磨度、防滑系数均达标，昼夜可视效果良好。施工前需彻底清除路面老旧破损标线、残留胶层及路面杂物，完成路面清理平整后实施新标线施划，施工后及时清理施工现场，恢复路面整洁完好，确保标线规整清晰、贴合路面、经久耐用。</w:t>
      </w:r>
      <w:r/>
    </w:p>
    <w:p>
      <w:pPr>
        <w:pStyle w:val="676"/>
        <w:numPr>
          <w:ilvl w:val="0"/>
          <w:numId w:val="7"/>
        </w:numPr>
        <w:keepLines w:val="0"/>
        <w:keepNext w:val="0"/>
        <w:spacing w:before="280" w:after="0" w:line="300" w:lineRule="auto"/>
      </w:pPr>
      <w:r/>
      <w:bookmarkStart w:id="301" w:name="heading_15"/>
      <w:r>
        <w:t xml:space="preserve">安全防护设施</w:t>
      </w:r>
      <w:bookmarkEnd w:id="301"/>
      <w:r/>
      <w:r/>
    </w:p>
    <w:p>
      <w:pPr>
        <w:pStyle w:val="693"/>
        <w:ind w:firstLine="480"/>
      </w:pPr>
      <w:r>
        <w:t xml:space="preserve">针对辖区村镇主干道、学校周边路段、临水临崖、弯道坡道等隐患路段，配套布设三波波形安全护栏、道路减速垄、道路广角凹凸镜、红白警示桩等安全防护设施，通过物理防护、视觉警示、强制减速等方式，有效降低车辆通行速度，规避车辆冲出路面、路口碰撞、视线盲区引发的交通事故，全面提升重点路段通行安全性。</w:t>
      </w:r>
      <w:r/>
    </w:p>
    <w:p>
      <w:pPr>
        <w:pStyle w:val="676"/>
        <w:numPr>
          <w:ilvl w:val="0"/>
          <w:numId w:val="7"/>
        </w:numPr>
        <w:keepLines w:val="0"/>
        <w:keepNext w:val="0"/>
        <w:spacing w:before="280" w:after="0" w:line="300" w:lineRule="auto"/>
      </w:pPr>
      <w:r/>
      <w:bookmarkStart w:id="302" w:name="heading_16"/>
      <w:r>
        <w:t xml:space="preserve">交通标识标牌</w:t>
      </w:r>
      <w:bookmarkEnd w:id="302"/>
      <w:r/>
      <w:r/>
    </w:p>
    <w:p>
      <w:pPr>
        <w:pStyle w:val="693"/>
        <w:ind w:firstLine="480"/>
      </w:pPr>
      <w:r>
        <w:t xml:space="preserve">所有交通标牌采用2mm厚铝合金板基材，表面粘贴Ⅲ类高强反光膜，反光性能强、耐候性好、不易褪色变形。标牌类型涵盖道路限速标识、校园警示标识、人行横道提示标识、停车让行标识、货车管控专用标识、路况警示标识等全品类交通标识，全面覆盖项目整治路段管控需求。配套匹配多规格标准化标志牌杆，浇筑专用混凝土固定基础，确保标牌安装牢固、位置合理、视角规范、清晰醒目，符合道路通行警示引导要求。</w:t>
      </w:r>
      <w:r/>
    </w:p>
    <w:p>
      <w:pPr>
        <w:pStyle w:val="676"/>
        <w:numPr>
          <w:ilvl w:val="0"/>
          <w:numId w:val="7"/>
        </w:numPr>
        <w:keepLines w:val="0"/>
        <w:keepNext w:val="0"/>
        <w:spacing w:before="280" w:after="0" w:line="300" w:lineRule="auto"/>
      </w:pPr>
      <w:r/>
      <w:bookmarkStart w:id="303" w:name="heading_17"/>
      <w:r>
        <w:t xml:space="preserve">校园专项交安设施</w:t>
      </w:r>
      <w:bookmarkEnd w:id="303"/>
      <w:r/>
      <w:r/>
    </w:p>
    <w:p>
      <w:pPr>
        <w:pStyle w:val="693"/>
        <w:ind w:firstLine="480"/>
        <w:rPr>
          <w:b/>
        </w:rPr>
      </w:pPr>
      <w:r>
        <w:t xml:space="preserve">针对辖区18处学校周边重点路段，实施专项交通安全防护提升工程，全套配置校园警示标牌、路段减速设施、太阳能闪光警示灯、学生过街提示设施、隔离防护设施等专项设备，全方位完善校园周边交通安全防护体系，精准防范学生过街、上下学时段道路通行风险，全力保障校园周边道路通行秩序及学生出行安全。</w:t>
      </w:r>
      <w:r/>
    </w:p>
    <w:p>
      <w:pPr>
        <w:pStyle w:val="675"/>
        <w:numPr>
          <w:ilvl w:val="0"/>
          <w:numId w:val="3"/>
        </w:numPr>
        <w:keepLines w:val="0"/>
        <w:keepNext w:val="0"/>
        <w:spacing w:before="320" w:after="0" w:line="300" w:lineRule="auto"/>
        <w:rPr>
          <w:sz w:val="36"/>
          <w:szCs w:val="36"/>
        </w:rPr>
      </w:pPr>
      <w:r>
        <w:rPr>
          <w:sz w:val="36"/>
          <w:szCs w:val="36"/>
        </w:rPr>
        <w:t xml:space="preserve">后端机房配套系统</w:t>
      </w:r>
      <w:r/>
    </w:p>
    <w:p>
      <w:pPr>
        <w:pStyle w:val="676"/>
        <w:numPr>
          <w:ilvl w:val="0"/>
          <w:numId w:val="8"/>
        </w:numPr>
        <w:keepLines w:val="0"/>
        <w:keepNext w:val="0"/>
        <w:spacing w:before="280" w:after="0" w:line="300" w:lineRule="auto"/>
      </w:pPr>
      <w:r/>
      <w:bookmarkStart w:id="304" w:name="heading_19"/>
      <w:r>
        <w:t xml:space="preserve">机房硬件设备</w:t>
      </w:r>
      <w:bookmarkEnd w:id="304"/>
      <w:r/>
      <w:r/>
    </w:p>
    <w:p>
      <w:pPr>
        <w:pStyle w:val="693"/>
        <w:ind w:firstLine="480"/>
      </w:pPr>
      <w:r>
        <w:t xml:space="preserve">项目配套建设后端机房管控系统，配置42U标准工业机柜2套，机柜具备防尘、散热、防雷、接地等防护功能，满足设备集中部署、安全存放需求；配置国产化双路服务器1台，设备性能稳定、算力充足，可支撑辖区点位数据处理、业务调度、平台管控等核心工作；配置48盘位云存储节点2套，设备搭载冗余电源、冗余散热风扇，具备断电保护、智能散热功能，可支持300路视频画面实时直存，采用纠删码数据保护技术，有效防范数据丢失、数据损坏，保障视频数据、违法取证数据长期安全存储、可查可溯。</w:t>
      </w:r>
      <w:r/>
    </w:p>
    <w:p>
      <w:pPr>
        <w:pStyle w:val="676"/>
        <w:numPr>
          <w:ilvl w:val="0"/>
          <w:numId w:val="8"/>
        </w:numPr>
        <w:keepLines w:val="0"/>
        <w:keepNext w:val="0"/>
        <w:spacing w:before="280" w:after="0" w:line="300" w:lineRule="auto"/>
      </w:pPr>
      <w:r/>
      <w:bookmarkStart w:id="305" w:name="heading_20"/>
      <w:r>
        <w:t xml:space="preserve">软件授权与系统功能</w:t>
      </w:r>
      <w:bookmarkEnd w:id="305"/>
      <w:r/>
      <w:r/>
    </w:p>
    <w:p>
      <w:pPr>
        <w:pStyle w:val="693"/>
        <w:ind w:firstLine="480"/>
      </w:pPr>
      <w:r>
        <w:t xml:space="preserve">项目配套提供全额有效软件授权，包含本项目所有前端智能设备视频点位授权、卡口抓拍设备授权、云存储服务授权等全套授权权限。系统具备视频实时预览、历史视频回放、违法数据调取、黑名单车辆布控、道路交通流量统计、机动车行驶轨迹追溯等核心功能，可实现与现有交管系统数据互通、业务联动。系统支持多级用户分级权限管理，可根据岗位需求配置不同操作权限，保障系统操作规范性、数据安全性，满足交管日常管控、执法取证、数据分析、隐患研判等工作需求。</w:t>
      </w:r>
      <w:r/>
    </w:p>
    <w:p>
      <w:r/>
      <w:r/>
    </w:p>
    <w:p>
      <w:pPr>
        <w:pStyle w:val="675"/>
        <w:numPr>
          <w:ilvl w:val="0"/>
          <w:numId w:val="3"/>
        </w:numPr>
        <w:keepLines w:val="0"/>
        <w:keepNext w:val="0"/>
        <w:spacing w:before="320" w:after="0" w:line="300" w:lineRule="auto"/>
        <w:rPr>
          <w:sz w:val="36"/>
          <w:szCs w:val="36"/>
        </w:rPr>
      </w:pPr>
      <w:r>
        <w:rPr>
          <w:sz w:val="36"/>
          <w:szCs w:val="36"/>
        </w:rPr>
        <w:t xml:space="preserve">配套服务</w:t>
      </w:r>
      <w:r/>
    </w:p>
    <w:p>
      <w:pPr>
        <w:pStyle w:val="676"/>
        <w:numPr>
          <w:ilvl w:val="0"/>
          <w:numId w:val="9"/>
        </w:numPr>
        <w:keepLines w:val="0"/>
        <w:keepNext w:val="0"/>
        <w:spacing w:before="280" w:after="0" w:line="300" w:lineRule="auto"/>
      </w:pPr>
      <w:r/>
      <w:bookmarkStart w:id="306" w:name="heading_22"/>
      <w:r>
        <w:t xml:space="preserve">设备与施工配套服务</w:t>
      </w:r>
      <w:bookmarkEnd w:id="306"/>
      <w:r/>
      <w:r/>
    </w:p>
    <w:p>
      <w:pPr>
        <w:pStyle w:val="693"/>
        <w:ind w:firstLine="480"/>
      </w:pPr>
      <w:r>
        <w:t xml:space="preserve">投标人须完成所有前端智能设备单机单点调试、设备间联动调试、平台联网联调等全流程调试工作，确保单设备运行正常、系统整体联动顺畅、数据上传精准无误。全面负责杆件吊装架设、设备精准安装、管线敷设浇筑、基础施工、绿化及路面破损复原等一体化施工服务，施工完成后做好现场规整、垃圾清运，确保施工现场整洁、道路通行正常，最大限度恢复原有场地风貌。</w:t>
      </w:r>
      <w:r/>
    </w:p>
    <w:p>
      <w:pPr>
        <w:pStyle w:val="676"/>
        <w:numPr>
          <w:ilvl w:val="0"/>
          <w:numId w:val="9"/>
        </w:numPr>
        <w:keepLines w:val="0"/>
        <w:keepNext w:val="0"/>
        <w:spacing w:before="280" w:after="0" w:line="300" w:lineRule="auto"/>
      </w:pPr>
      <w:r/>
      <w:bookmarkStart w:id="307" w:name="heading_23"/>
      <w:r>
        <w:t xml:space="preserve">交通安全宣传服务</w:t>
      </w:r>
      <w:bookmarkEnd w:id="307"/>
      <w:r/>
      <w:r/>
    </w:p>
    <w:p>
      <w:pPr>
        <w:pStyle w:val="693"/>
        <w:ind w:firstLine="480"/>
      </w:pPr>
      <w:r>
        <w:t xml:space="preserve">结合项目隐患整治工作，开展全方位、多渠道交通安全宣传工作。线上依托地方电视台、政务官方新媒体、政务视频号等主流平台，定期推送道路事故警示案例、交通违法曝光信息、安全通行科普知识等内容，扩大宣传覆盖面与影响力。线下配套制作安装宣传展架、交通安全三折页、宣传画册、户外固定警示牌、交通安全主题海报等宣传物料，在学校、村镇路口、重点路段、社区点位布设宣传，提升群众交通安全意识，营造文明通行、安全出行的良好氛围。</w:t>
      </w:r>
      <w:r/>
    </w:p>
    <w:p>
      <w:pPr>
        <w:pStyle w:val="676"/>
        <w:numPr>
          <w:ilvl w:val="0"/>
          <w:numId w:val="9"/>
        </w:numPr>
        <w:keepLines w:val="0"/>
        <w:keepNext w:val="0"/>
        <w:spacing w:before="280" w:after="0" w:line="300" w:lineRule="auto"/>
      </w:pPr>
      <w:r/>
      <w:bookmarkStart w:id="308" w:name="heading_24"/>
      <w:r>
        <w:t xml:space="preserve">其他配套服务</w:t>
      </w:r>
      <w:bookmarkEnd w:id="308"/>
      <w:r/>
      <w:r/>
    </w:p>
    <w:p>
      <w:pPr>
        <w:pStyle w:val="693"/>
        <w:ind w:firstLine="480"/>
      </w:pPr>
      <w:r>
        <w:t xml:space="preserve">1.针对项目所有监控点位、设备布设点位开展专项绿化修剪规整服务，对点位周边遮挡监控视线、影响设备运行、阻碍通行视野的树木、绿植进行合理修剪清理，保障设备监控视野全覆盖、无遮挡，同时保持绿化规整美观，完成施工后全面做好场地复原、设施养护等配套工作。 </w:t>
      </w:r>
      <w:r/>
    </w:p>
    <w:p>
      <w:pPr>
        <w:pStyle w:val="675"/>
        <w:numPr>
          <w:ilvl w:val="0"/>
          <w:numId w:val="3"/>
        </w:numPr>
        <w:keepLines w:val="0"/>
        <w:keepNext w:val="0"/>
        <w:spacing w:before="320" w:after="0" w:line="300" w:lineRule="auto"/>
        <w:rPr>
          <w:sz w:val="36"/>
          <w:szCs w:val="36"/>
        </w:rPr>
      </w:pPr>
      <w:r>
        <w:rPr>
          <w:sz w:val="36"/>
          <w:szCs w:val="36"/>
        </w:rPr>
        <w:t xml:space="preserve">工程量清单</w:t>
      </w:r>
      <w:r/>
    </w:p>
    <w:tbl>
      <w:tblPr>
        <w:tblStyle w:val="685"/>
        <w:tblW w:w="5083" w:type="pct"/>
        <w:tblInd w:w="0" w:type="dxa"/>
        <w:tblLayout w:type="fixed"/>
        <w:tblCellMar>
          <w:left w:w="108" w:type="dxa"/>
          <w:top w:w="0" w:type="dxa"/>
          <w:right w:w="108" w:type="dxa"/>
          <w:bottom w:w="0" w:type="dxa"/>
        </w:tblCellMar>
        <w:tblLook w:val="04A0" w:firstRow="1" w:lastRow="0" w:firstColumn="1" w:lastColumn="0" w:noHBand="0" w:noVBand="1"/>
      </w:tblPr>
      <w:tblGrid>
        <w:gridCol w:w="423"/>
        <w:gridCol w:w="236"/>
        <w:gridCol w:w="624"/>
        <w:gridCol w:w="95"/>
        <w:gridCol w:w="610"/>
        <w:gridCol w:w="5374"/>
        <w:gridCol w:w="84"/>
        <w:gridCol w:w="520"/>
        <w:gridCol w:w="84"/>
        <w:gridCol w:w="598"/>
        <w:gridCol w:w="142"/>
      </w:tblGrid>
      <w:tr>
        <w:trPr>
          <w:trHeight w:val="405"/>
        </w:trPr>
        <w:tc>
          <w:tcPr>
            <w:gridSpan w:val="11"/>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center"/>
              <w:widowControl/>
              <w:rPr>
                <w:rFonts w:ascii="宋体" w:hAnsi="宋体" w:cs="宋体"/>
                <w:b/>
                <w:bCs/>
                <w:color w:val="000000"/>
                <w:sz w:val="28"/>
                <w:szCs w:val="28"/>
              </w:rPr>
            </w:pPr>
            <w:r>
              <w:rPr>
                <w:rFonts w:ascii="宋体" w:hAnsi="宋体" w:cs="宋体"/>
                <w:b/>
                <w:bCs/>
                <w:color w:val="000000"/>
                <w:sz w:val="28"/>
                <w:szCs w:val="28"/>
              </w:rPr>
            </w:r>
            <w:r/>
          </w:p>
        </w:tc>
      </w:tr>
      <w:tr>
        <w:trPr>
          <w:trHeight w:val="360"/>
        </w:trPr>
        <w:tc>
          <w:tcPr>
            <w:gridSpan w:val="11"/>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left"/>
              <w:rPr>
                <w:rFonts w:ascii="宋体" w:hAnsi="宋体" w:cs="宋体"/>
                <w:color w:val="000000"/>
                <w:sz w:val="20"/>
                <w:szCs w:val="20"/>
              </w:rPr>
            </w:pPr>
            <w:r>
              <w:rPr>
                <w:rFonts w:hint="eastAsia" w:ascii="宋体" w:hAnsi="宋体" w:cs="宋体"/>
                <w:color w:val="000000"/>
                <w:sz w:val="20"/>
                <w:szCs w:val="20"/>
                <w:lang w:bidi="ar"/>
              </w:rPr>
              <w:t xml:space="preserve">工程名称：道路交通安全“5510”整治工程（电子警察、信号灯等）</w:t>
            </w:r>
            <w:r/>
          </w:p>
        </w:tc>
      </w:tr>
      <w:tr>
        <w:trPr>
          <w:trHeight w:val="58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序号</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项目名称</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项目特征描述</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计量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单位</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工程量</w:t>
            </w:r>
            <w:r/>
          </w:p>
        </w:tc>
      </w:tr>
      <w:tr>
        <w:trPr>
          <w:trHeight w:val="66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电子警察1200W</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生态卡口抓拍单元由防护罩组件及高清智能摄像机组成，抓拍单元防护罩前面板具有防尘、防水功能，单元内置LED暖光灯，单元支持网络防雷、防浪涌，宽温宽压等。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内置摄像机采用1.1英寸高帧率全局曝光CMOS传感器，分辨率可达4112 × 3072，帧率高达25帧，具有清晰度高、照度低、帧率高、色彩还原度好等特点。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视频采用H.265、H.264或MJPEG编码，低延时，低码率，压缩比高，处理灵活。</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支持视频触发等多种触发模式并实现全结构化：支持深度学习算法，支持多目标混合场景应用，实时提取机动车、非机动车、行人、人脸等目标全结构化信息，为大数据业务提供全方位的特征数据基础。</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支持机动车的车牌，车身颜色，车型，子品牌，驾驶室人员等特征检测，支持机动车的过车记录和违章行为检测抓拍。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支持非机动车和行人的抓拍和特征检测。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支持车辆检测处理器、雷达、补光灯的接入。</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白天使用闪光灯补光，夜晚仅使用LED频闪灯补光，抓拍图片可看清司乘人员人脸。</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支持远程数据上传，GB/T 28181视频联网标准、GA/T 1400视图库标准、FTP协议，可将抓拍的图片上传给终端服务器、FTP服务器或者后端平台。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可支持TF插卡本地存储，可支持至256G，抓拍图片可断网续传。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支持中国香港、中国澳门和大陆车牌识别。</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传感器类型：1.1” Global shutter CMOS</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图像控制：曝光速度、AGC控制、白平衡方式控制等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视频压缩标准：H.264, H.265, MJPEG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视频分辨率：4112(H) × 3072(V)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压缩输出码率：32 Kbps~16 Mbps</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帧率：25fps</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多码流：支持3码流：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主码流：4112×3072（默认）；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子码流：1920×1080（默认）；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三码流：1920×1080（默认）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抓拍图片格式：JPEG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抓拍图片分辨率：4112(H) × 3072(V)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存储功能：TF, USB</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镜头规格：25mm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光圈类型：手动光圈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通讯接口：3个RS-485接口，1个RS-232接口；2个RJ45 10M/100M/1000M自适应以太网口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触发输入：1个触发/报警输入</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触发输出：7路F+/F-输出接口，可作为补光灯同步输出控制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同步输入：SYNC信号灯电源同步输入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违章检测：超速、压车道线、违章变道、未系安全带、未戴头盔、非机动车载人、不礼让行人、逆行、低速、机动车闯禁令、打电话、占用机动车道、摩托车闯禁令、加塞等违法行为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机动车：车牌识别：支持识别符合GA 36《中华人民共和国机动车号牌》标准的车牌类型；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车身颜色识别：白、灰、黄、红、紫、绿、蓝、棕、黑；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车型识别：大客车、中型客车、大货车、小货车、面包车、皮卡、轿车、SUV/MPV、二轮车、三轮车；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车辆品牌，子品牌识别</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非机动车：车型识别、特征识别</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行人：人体识别、特征识别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整体组成：防尘、防水面板，内置LED补光灯，摄像机，单元防护罩，电源适配器（AC220转DC12）</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工作温度：-30℃~70℃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工作湿度：5%~95%@40℃，无凝结</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电源：100 VAC～240 VAC；频率：48 Hz～52 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功耗：Max. 32 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闯禁令支持根据车牌类型区分抓拍计划，包括蓝牌、新能源和货车三种，支持设置蓝牌和新能源车牌在22点～7点进行抓拍，黄牌货车24小时全天进行抓拍。（需提供有效期内的公安部检测报告或具有CMA、CNAS资质认定的检测机构出具的检测报告或提供同等效力的检验检测证明的复印件）</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14 </w:t>
            </w:r>
            <w:r/>
          </w:p>
        </w:tc>
      </w:tr>
      <w:tr>
        <w:trPr>
          <w:trHeight w:val="44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电子警察900W</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电警抓拍单元由防护罩组件及高清智能摄像机组成，抓拍单元防护罩前面板具有防尘、防水功能，单元内置LED暖光灯，单元支持网络防雷、防浪涌，宽温宽压等。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内置摄像机采用1英寸高帧率全局曝光CMOS传感器，分辨率可达4096 × 2160，帧率高达25帧，具有清晰度高、照度低、帧率高、色彩还原度好等特点。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视频采用H.265、H.264或MJPEG编码，低延时，低码率，压缩比高，处理灵活。</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支持LED频闪灯同步补光。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支持机动车辆、非机动车、行人抓拍。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支持车牌、车型、车身颜色（环境光有要求）、车标、子品牌等信息识别功能，支持压线、逆行、闯红灯、不按导向行驶等违法检测功能。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红绿灯信号检测方式支持：IO信号，红绿灯检测器，视频检测。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支持远程数据上传，GB/T 28181视频联网标准、GA/T 1400视图库标准、FTP协议，可将抓拍的图片上传给终端服务器、FTP服务器或者后端平台。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可支持TF插卡本地存储，可支持至256G，抓拍图片可断网续传。</w:t>
            </w:r>
            <w:r>
              <w:rPr>
                <w:rFonts w:hint="eastAsia" w:ascii="宋体" w:hAnsi="宋体" w:cs="宋体"/>
                <w:color w:val="000000"/>
                <w:sz w:val="20"/>
                <w:szCs w:val="20"/>
                <w:lang w:bidi="ar"/>
              </w:rPr>
              <w:br/>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传感器类型：1” Global shutter CMOS</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图像控制：曝光速度、AGC控制、白平衡方式控制等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视频压缩标准：H.264, H.265, MJPEG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视频分辨率：4096(H) × 2160(V)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压缩输出码率：32 Kbps~16 Mbps</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帧率：25fps</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多码流：支持3码流：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主码流：4096×2160（默认）；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子码流：1920×1080P（默认）；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三码流：704×576（默认）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抓拍图片格式：JPEG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抓拍图片分辨率：4096(H) × 2160(V)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存储功能：TF, USB</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镜头规格：16mm或12mm可选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光圈类型：手动光圈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通讯接口：3个RS-485接口，1个RS-232接口；2个RJ45 10M/100M/1000M自适应以太网口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触发输入：1个触发/报警输入</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触发输出：7路F+/F-输出接口，可作为补光灯同步输出控制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同步输入：SYNC信号灯电源同步输入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违章检测：压线、逆行、闯红灯、不按导向行驶、违法变道、路口停车、绿灯停车、违章掉头、左转不让直行、右转不让左转、掉头不让直行、大弯小转、机占非、闯禁令（禁左、禁右、禁止大车、禁摩托车）、不礼让行人、闯绿灯、加塞、未戴头盔、占用机动车道等违法行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机动车：车牌识别：民用车牌，新能源车牌；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车身颜色识别：白、灰、黄、红、紫、绿、蓝、棕、黑；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车型识别：大客车、中型客车、大货车、小货车、面包车、皮卡、轿车、SUV/MPV、二轮车、三轮车；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车辆品牌，子品牌识别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整体组成：防尘、防水面板，内置LED补光灯，摄像机，IP54单元防护罩，电源适配器（AC220转DC12）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工作温度：-30℃~70℃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工作湿度：5%~95%@40℃，无凝结</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电源：100 VAC～240 VAC；频率：48 Hz～52 Hz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★车牌识别功能检查 ：支持对25×10 像素～1100×3000 像素的机动车车牌进行抓拍并识别号码； 支持抓拍并识别垂直倾斜角度≤45°、水平倾斜角度≤35°、俯仰角度≤40°的机动车车牌号码。（需提供有效期内的公安部检测报告或具有CMA、CNAS资质认定的检测机构出具的检测报告或提供同等效力的检验检测证明的复印件）</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13 </w:t>
            </w:r>
            <w:r/>
          </w:p>
        </w:tc>
      </w:tr>
      <w:tr>
        <w:trPr>
          <w:trHeight w:val="7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反向卡口900W</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环保卡口抓拍单元由防护罩组件及高清智能摄像机组成，抓拍单元防护罩前面板具有防尘、防水功能，单元内置LED暖光灯，单元支持网络防雷、防浪涌，宽温宽压等。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采用多光谱融合技术，可以在晚间使用内置LED灯结合红外爆闪灯的情况下，仍得到全彩的图片，解决夜间白光爆闪光污染。</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内置摄像机采用2个1英寸高帧率全局曝光CMOS传感器，分辨率可达4096 × 2160，帧率高达25帧，具有清晰度高、照度低、帧率高、色彩还原度好等特点。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视频采用H.265、H.264或MJPEG编码，低延时，低码率，压缩比高，处理灵活。</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支持白天用白光爆闪，晚上用内置灯或外置LED灯加红外爆闪同步补光。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支持视频触发等多种触发模式并实现全结构化：支持深度学习算法，支持多目标混合场景应用，实时提取机动车、非机动车、行人、人脸等目标全结构化信息，为大数据业务提供全方位的特征数据基础。</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支持机动车的车牌，车身颜色，车型，子品牌，驾驶室人员等特征检测，支持机动车的过车记录和违章行为检测抓拍。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支持非机动车和行人的抓拍和特征检测。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支持车辆检测处理器、雷达、补光灯的接入。</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支持远程数据上传，GB/T 28181视频联网标准、GA/T 1400视图库标准、FTP协议，可将抓拍的图片上传给终端服务器、FTP服务器或者后端平台。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可支持TF插卡本地存储，可支持至256G，抓拍图片可断网续传。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支持中国香港、中国澳门和大陆车牌识别。</w:t>
            </w:r>
            <w:r>
              <w:rPr>
                <w:rFonts w:hint="eastAsia" w:ascii="宋体" w:hAnsi="宋体" w:cs="宋体"/>
                <w:color w:val="000000"/>
                <w:sz w:val="20"/>
                <w:szCs w:val="20"/>
                <w:lang w:bidi="ar"/>
              </w:rPr>
              <w:br/>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传感器类型：1” Global shutter CMOS（*2）</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图像控制：曝光速度、AGC控制、白平衡方式控制等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视频压缩标准：H.264, H.265, MJPEG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视频分辨率：4096(H) × 2160(V)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压缩输出码率：32 Kbps~16 Mbps</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帧率：25fps</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多码流：支持3码流：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主码流：4096×2160（默认）；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子码流：1920×1080（默认）；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三码流：1920×1080（默认）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抓拍图片格式：JPEG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抓拍图片分辨率：4096(H) × 2160(V)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存储功能：TF, USB</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支持协议：ISAPI，GB/T 28181视频联网标准，GA/T 1400视图库标准，SDK，FTP协议等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镜头规格：25mm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光圈类型：手动光圈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通讯接口：3个RS-485接口，1个RS-232接口；2个RJ45 10M/100M/1000M自适应以太网口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触发输入：1个触发/报警输入</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触发输出：7路F+/F-输出接口，可作为补光灯同步输出控制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同步输入：SYNC信号灯电源同步输入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违章检测：超速、压车道线、违章变道、未系安全带、未戴头盔、非机动车载人、不礼让行人、逆行、低速、机动车闯禁令、打电话、占用机动车道、摩托车闯禁令、加塞等违法行为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机动车：车牌识别：民用车牌，新能源车牌；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车身颜色识别：白、灰、黄、红、紫、绿、蓝、棕、黑；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车型识别：大客车、中型客车、大货车、小货车、面包车、皮卡、轿车、SUV/MPV、二轮车、三轮车；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车辆品牌，子品牌识别</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非机动车：车型识别、特征识别</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行人：人体识别、特征识别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整体组成：防尘、防水面板，内置LED补光灯，摄像机，单元防护罩，电源适配器（AC220转DC12）</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工作温度：-30℃~70℃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工作湿度：5%~95%@40℃，无凝结</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电源：180 VAC～240 VAC；频率：48 Hz～52 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外接鱼眼相机联动功能检查：支持两台设备（一个卡口、一个电警）和外接鱼眼相机，实现车辆的管控取证和违章变道的取证（支持配合终端服务器输出卡口和电警的抓拍合成图，可配置输出合成鱼眼图）（需提供有效期内的公安部检测报告或具有CMA、CNAS资质认定的检测机构出具的检测报告或提供同等效力的检验检测证明的复印件）</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23 </w:t>
            </w:r>
            <w:r/>
          </w:p>
        </w:tc>
      </w:tr>
      <w:tr>
        <w:trPr>
          <w:trHeight w:val="62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结构化相机</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400万25倍大模型智能球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全结构化系列大模型VR球机、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通过深度建模真实场景的时空特征，实现多维语义精准分类与细粒度目标识别，显著提升周界场景的检出率及检准率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镜头采用1/1.8＂CMOS传感器，高清成像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支持人脸抓拍、非机动车识别、车牌识别等全结构化功能，更好助力平安城市人车管理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适用于城市道路、路口、路段、广场、操场、服务区、停车场、景区、江面、湖面等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支持智能资源切换：大模型Smart事件(默认)、全结构化，混合比对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大模型Smart事件：基于大模型技术，实现越界侦测、区域入侵侦测、进入/离开区域侦测等智能侦测功能，有效提升检测效率，降低误报率，并可实现事件触发联动球机进行跟踪。1倍下白天检测距离100米，夜间检测距离60米联动球机进行跟踪。1倍下白天检测距离100米，夜间检测距离60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全结构化：支持细节路混合目标检测，对检测区域内的人、非机动车、车进行同时抓拍上传，人脸人体关联输出，并实现对人脸、人体、车辆结构化属性特征信息提取，同时检测目标数量30个</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混合目标比对：支持人脸、人体混合检测和人脸比对功能，对检测区域内的人脸、人体进行同时抓拍上传，支持人脸、人体结构化属性特征信息提取；前端存储15万张人脸图片进行建模后，对场景中抓拍的人脸进行比对并输出结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 AI-ISP：采用去噪卷积神经网络将深度结构、学习算法用于图像去噪，最终使画面成像更新清晰，噪点更小图像更干净</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支持自动合成全景图功能，结合球机360°图片抓拍的能力，自动拼接成360°全景图，无需人工手动合成，高效省时，合成图有柱状和鱼眼两种可选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搭配VR全景应用平台，把现实中的人、车、事、物叠加到在虚拟的场景中，通过场景漫游、标记标绘、视频投影及联动应用，以虚实结合的方式和沉浸式的交互体验，为用户了解区域内的感知数据情况、辅助决策提供新方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支持25倍光学变倍，16倍数字变倍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支持GB35114A级安全加密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采用双光补光，暖白光和红外补光</w:t>
            </w:r>
            <w:r>
              <w:rPr>
                <w:rFonts w:hint="eastAsia" w:ascii="宋体" w:hAnsi="宋体" w:cs="宋体"/>
                <w:color w:val="000000"/>
                <w:sz w:val="20"/>
                <w:szCs w:val="20"/>
                <w:lang w:bidi="ar"/>
              </w:rPr>
              <w:br/>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传感器类型：1/1.8" Progressive Scan CMOS</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最低照度：彩色：0.0005 Lux @（F1.5，AGC ON）；黑白：0.0001 Lux @（F1.5，AGC ON）；0 Lux with light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焦距：5.9-147.5mm，25倍光学变倍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视场角：59.8-2.7度(广角-望远)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补光灯类型：混合光（红外+白光）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补光灯距离：红外照射距离：最远可达200 m，白光照射距离：最远可达30 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防补光过曝：支持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水平范围：0-360°连续旋转</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垂直范围：-15°-90°(自动翻转)</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水平速度：水平键控速度：0.1°-160°/s,速度可设;水平预置点速度：240°/s</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垂直速度：垂直键控速度：0.1°-120°/s,速度可设;垂直预置点速度：200°/s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主码流帧率分辨率：50 Hz：25 fps（2688 × 1520 ,  2560 × 1440，1920 × 1080，1280 × 960，1280 × 720）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60 Hz：30 fps（2688 × 1520 , 2560 × 1440，1920 × 1080，1280 × 960，1280 × 720）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视频压缩标准：H.265，H.264，MJPEG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宽动态：120 dB超宽动态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网络接口：RJ45网口;自适应10M/100M网络数据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SD卡扩展：内置MicroSD/MicroSDHC/MicroSDXC 插槽，最大支持512 GB</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报警：2路报警输入，1路报警输出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音频：1路音频输入，音频峰值：2-2.4V[p-p]，输入阻抗：1 kΩ±10%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1路音频输出，线性电平，阻抗：600 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RS-485：采用半双工模式，支持自适应，PELCO-P和PELCO-D（可添加）协议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电源：供电方式：DC：36 V，1.67 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最大功耗：30 W（其中加热最大功耗3.5 W，补光灯最大功耗4.2 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工作温湿度：-30 °C~65 °C；湿度小于95%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防护：IP66；符合GB/T 17626.5 认证标准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设备具有AI-ISP图像质量提升功能，在低照度环境下，可自动调节预览场景视频画面中人脸、人体、车辆等目标及预览场景视频画面的区域曝光、亮度、色彩饱和度、对比度、锐度等（需提供有效期内的公安部检测报告或具有CMA、CNAS资质认定的检测机构出具的检测报告或提供同等效力的检验检测证明的复印件。）</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 </w:t>
            </w:r>
            <w:r/>
          </w:p>
        </w:tc>
      </w:tr>
      <w:tr>
        <w:trPr>
          <w:trHeight w:val="68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球机</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400万+400万单枪版32倍臻全彩枪球一体机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全景400万单目臻全彩，细节球机400万32倍，采用双镜头设计，兼顾全景细节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全景采用1个 F1.0大光圈全彩镜头，可输出90°大场景画面，细节采用1/1.8 CMOS传感器光学变倍镜头，高清成像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支持多种智能资源切换：【全景】Smart事件；【细节】全抓拍、道路监控、Smart事件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支持AR功能，摄像机的实时视频画面中添加最多500个AR标签，且可实现标签与标签联动的功能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适用于城市道路、路口、路段、广场、操场、服务区、停车场、景区、江面、湖面等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Smart事件：支持全景路对设定区域进行布防，当检测到目标时联动细节摄像机对目标进行跟踪及报警，实现周界布防，全景Smart事件检测距离50米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内置喇叭，支持声光警戒，报警联动白光闪烁报警和声音报警，声音内容可选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全抓拍：细节支持人、非机动车、车辆混行检测，可同时对人、非机动车、车辆进行抓拍并可对车牌识别提取</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道路监控：细节支持车辆检测（支持车牌识别，车型/车身颜色/车牌颜色识别）和混行检测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AI-ISP降噪：采用去噪卷积神经网络将深度结构、学习算法用于图像去噪，最终使画面成像更新清晰，噪点更小图像更干净准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细节球机支持双光补光，暖白光补光距离：50米，红外补光距离：200米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全景采用暖白光补光，补光距离30米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支持GB35114A级安全加密</w:t>
            </w:r>
            <w:r>
              <w:rPr>
                <w:rFonts w:hint="eastAsia" w:ascii="宋体" w:hAnsi="宋体" w:cs="宋体"/>
                <w:color w:val="000000"/>
                <w:sz w:val="20"/>
                <w:szCs w:val="20"/>
                <w:lang w:bidi="ar"/>
              </w:rPr>
              <w:br/>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传感器类型：【全景】1/1.8＂ progressive scan CMOS,【细节】1/1.8＂ progressive scan CMOS</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最低照度：【全景】彩色 0.0005Lux @ (F1.0，AGC ON)，黑白0.0001Lux @(F1.0，AGC ON)， 0Lux with lght；【细节】彩色 0.0005Lux @ (F1.5，AGC ON)，黑白0.0001Lux @(F1.5，AGC ON)， 0Lux with light；</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光学变倍：【全景】不支持；【细节】32倍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焦距：【全景】4mm；【细节】5.9~188.8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视场角：【全景】90°；【细节】59.8°-2.3°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补光灯类型：混合光（红外+白光）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补光灯距离：【全景】暖白光30米；【细节】暖白光50米，红外200米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防补光过曝：支持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水平范围：【全景】不支持；【细节】0-360°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垂直范围：【全景】7-17°；【细节】-20-90°(自动翻转)</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水平速度：【全景】不支持；【细节】水平键控速度：0.1°-160°/s,速度可设;水平预置点速度：240°/s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垂直速度：【全景】垂直键控速度可设；【细节】垂直键控速度：0.1°-120°/s,速度可设;垂直预置点速度：200°/s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主码流帧率分辨率：【全景】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50 Hz：25 fps（2688 × 1520，2560 × 1440，1920 × 1080，1280 × 960，1280 × 720）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60 Hz：30 fps（2688 × 1520，2560 × 1440，1920 × 1080，1280 × 960，1280 × 720）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【细节】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50 Hz：25 fps（2688 × 1520 ,  2560 × 1440，1920 × 1080，1280 × 960，1280 × 720）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60 Hz：30 fps（2688 × 1520 , 2560 × 1440，1920 × 1080，1280 × 960，1280 × 720）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视频压缩标准：H.265,H.264,MJPEG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宽动态：真宽动态/120 dB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陀螺仪：支持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内置扬声器：1个内置扬声器，有效距离可达20 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网络接口：支持100M网络数据,RJ45网口,自适应网络数据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SD卡扩展：内置Micro SD卡插槽,支持Micro SD/Micro SDHC/Micro SDXC卡,最大支持512 GB</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报警：7路报警输入，2路报警输出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音频：1路音频输入，音频峰值：2-2.4V[p-p]，输入阻抗：1 kΩ±10%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1路音频输出，线性电平，阻抗：600 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RS-485：采用半双工模式，支持自适应，PELCO-P和PELCO-D(可添加)协议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恢复出厂设置：支持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电流及功耗：供电方式：DC36V，1.67A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最大功耗：60 W（其中【全景】加热6 W，补光灯6 W；【细节】加热6 W，补光灯12 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工作温湿度：-40 ℃~70 ℃；湿度小于95%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喇叭温度-30 ℃~55 ℃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除雾：支持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防护：IP67；符合GB/T 17626.5 认证标准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3.支架形式：U型支架，大样详见图纸</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7 </w:t>
            </w:r>
            <w:r/>
          </w:p>
        </w:tc>
      </w:tr>
      <w:tr>
        <w:trPr>
          <w:trHeight w:val="76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球机</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400万+400万单枪版32倍臻全彩枪球一体机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全景400万单目臻全彩，细节球机400万32倍，采用双镜头设计，兼顾全景细节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全景采用1个 F1.0大光圈全彩镜头，可输出90°大场景画面，细节采用1/1.8 CMOS传感器光学变倍镜头，高清成像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支持多种智能资源切换：【全景】Smart事件；【细节】全抓拍、道路监控、Smart事件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支持AR功能，摄像机的实时视频画面中添加最多500个AR标签，且可实现标签与标签联动的功能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适用于城市道路、路口、路段、广场、操场、服务区、停车场、景区、江面、湖面等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Smart事件：支持全景路对设定区域进行布防，当检测到目标时联动细节摄像机对目标进行跟踪及报警，实现周界布防，全景Smart事件检测距离50米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内置喇叭，支持声光警戒，报警联动白光闪烁报警和声音报警，声音内容可选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全抓拍：细节支持人、非机动车、车辆混行检测，可同时对人、非机动车、车辆进行抓拍并可对车牌识别提取</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道路监控：细节支持车辆检测（支持车牌识别，车型/车身颜色/车牌颜色识别）和混行检测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AI-ISP降噪：采用去噪卷积神经网络将深度结构、学习算法用于图像去噪，最终使画面成像更新清晰，噪点更小图像更干净准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细节球机支持双光补光，暖白光补光距离：50米，红外补光距离：200米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全景采用暖白光补光，补光距离30米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支持GB35114A级安全加密</w:t>
            </w:r>
            <w:r>
              <w:rPr>
                <w:rFonts w:hint="eastAsia" w:ascii="宋体" w:hAnsi="宋体" w:cs="宋体"/>
                <w:color w:val="000000"/>
                <w:sz w:val="20"/>
                <w:szCs w:val="20"/>
                <w:lang w:bidi="ar"/>
              </w:rPr>
              <w:br/>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传感器类型：【全景】1/1.8＂ progressive scan CMOS,【细节】1/1.8＂ progressive scan CMOS</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最低照度：【全景】彩色 0.0005Lux @ (F1.0，AGC ON)，黑白0.0001Lux @(F1.0，AGC ON)， 0Lux with lght；【细节】彩色 0.0005Lux @ (F1.5，AGC ON)，黑白0.0001Lux @(F1.5，AGC ON)， 0Lux with light；</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光学变倍：【全景】不支持；【细节】32倍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焦距：【全景】4mm；【细节】5.9~188.8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视场角：【全景】90°；【细节】59.8°-2.3°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补光灯类型：混合光（红外+白光）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补光灯距离：【全景】暖白光30米；【细节】暖白光50米，红外200米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防补光过曝：支持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水平范围：【全景】不支持；【细节】0-360°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垂直范围：【全景】7-17°；【细节】-20-90°(自动翻转)</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水平速度：【全景】不支持；【细节】水平键控速度：0.1°-160°/s,速度可设;水平预置点速度：240°/s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垂直速度：【全景】垂直键控速度可设；【细节】垂直键控速度：0.1°-120°/s,速度可设;垂直预置点速度：200°/s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主码流帧率分辨率：【全景】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50 Hz：25 fps（2688 × 1520，2560 × 1440，1920 × 1080，1280 × 960，1280 × 720）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60 Hz：30 fps（2688 × 1520，2560 × 1440，1920 × 1080，1280 × 960，1280 × 720）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【细节】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50 Hz：25 fps（2688 × 1520 ,  2560 × 1440，1920 × 1080，1280 × 960，1280 × 720）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60 Hz：30 fps（2688 × 1520 , 2560 × 1440，1920 × 1080，1280 × 960，1280 × 720）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视频压缩标准：H.265,H.264,MJPEG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宽动态：真宽动态/120 dB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陀螺仪：支持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内置扬声器：1个内置扬声器，有效距离可达20 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网络接口：支持100M网络数据,RJ45网口,自适应网络数据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SD卡扩展：内置Micro SD卡插槽,支持Micro SD/Micro SDHC/Micro SDXC卡,最大支持512 GB</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报警：7路报警输入，2路报警输出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音频：1路音频输入，音频峰值：2-2.4V[p-p]，输入阻抗：1 kΩ±10%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1路音频输出，线性电平，阻抗：600 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RS-485：采用半双工模式，支持自适应，PELCO-P和PELCO-D(可添加)协议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恢复出厂设置：支持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电流及功耗：供电方式：DC36V，1.67A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最大功耗：60 W（其中【全景】加热6 W，补光灯6 W；【细节】加热6 W，补光灯12 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工作温湿度：-40 ℃~70 ℃；湿度小于95%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喇叭温度-30 ℃~55 ℃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除雾：支持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防护：IP67；符合GB/T 17626.5 认证标准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3.支架形式：杆装横臂2m：Q235材质，白色，直径不低60mm，安装法兰不低15cm宽*60cm长，厚度不低于3mm，带斜撑，斜撑不低于φ32 2.5mm厚，详见大样图</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 </w:t>
            </w:r>
            <w:r/>
          </w:p>
        </w:tc>
      </w:tr>
      <w:tr>
        <w:trPr>
          <w:trHeight w:val="1725"/>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7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鱼眼</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支持开放应用平台，可配套线上应用商城和管理平台，对智能应用进行安装、卸载、升级，并可导入第三方智能应用，共享算力2 T、系统内存60 MB、智能内存800 MB、eMMC存储资源2GB</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支持2种智能资源模式切换：人数统计、倾斜客流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人数统计：支持同时运行区域关注度、路口分析、热度图功能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区域关注度：1、支持最多8个区域，每个区域支持单独的布防时间和联动方式；2、支持生成报告对比不同区域的排队效率，展示队列的状态变化；3、支持联动录像、报警输出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路口分析：支持人员路口运动方向统计，分析路口数量：1个，路口出口最大支持10条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热度图：1、支持图像化的方式展示配置区域的访问热度（用人数或者停留时间计算得出）；2、支持两种热度图报告形式，空间热度图和时间热度折线图；3、支持定时上传热度数据；4、支持查询获取热度伪彩图；5、数据存储在Flash中，无需额外存储介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倾斜客流：基于行人分析，统计指定场景内目标人员进入、离开和经过的情况，至多支持3个识别区域，128个目标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Smart事件模式： 支持越界侦测，区域入侵侦测，进入/离开区域侦测，徘徊侦测，人员聚集侦测，快速运动侦测，停车侦测，物品遗留/拿取侦测，场景变更侦测，音频陡升/陡降侦测，音频有无侦测，虚焦侦测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系统功能：支持开放型网络视频接口、ISAPI、GB/T28181协议接入；支持同时20路取流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支持2路Mic输入，支持降噪算法</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支持硬解展开模式：原图模式、180°全景模式、180°双通道全景模式、全景模式、4PTZ模式、原图+3PTZ模式、4PTZ融合模式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支持软解展开模式：鱼眼原图、180全景、360全景全景、360全景+PTZ、360全景+3PTZ、360全景+6PTZ、360全景+8PTZ、2PTZ、4PTZ、鱼眼+3PTZ、鱼眼+8PTZ、半球、AR半球、圆柱展开</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支持吸顶装、壁装、吊装、桌面装</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安全服务：支持三级用户权限管理，支持授权的用户和密码，支持IP地址过滤</w:t>
            </w:r>
            <w:r>
              <w:rPr>
                <w:rFonts w:hint="eastAsia" w:ascii="宋体" w:hAnsi="宋体" w:cs="宋体"/>
                <w:color w:val="000000"/>
                <w:sz w:val="20"/>
                <w:szCs w:val="20"/>
                <w:lang w:bidi="ar"/>
              </w:rPr>
              <w:br/>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传感器类型：1/1.8" Progressive Scan CMOS</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最大图像尺寸：2560 × 2560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最低照度：彩色：0.03 Lux @（F2.4，AGC ON）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黑白：0.007 Lux @（F2.4，AGC ON），0 Lux with IR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焦距&amp;视场角：2 mm，水平视场角：172°，垂直视场角：172°</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景深范围：0.2 m~∞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DORI：D（发现）：43.2 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O（观察）：17.2 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R（认出）：8.6 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I（识别）：4.3 m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补光灯类型：红外灯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补光距离：最远可达15 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补光灯数量：3颗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防补光过曝：支持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红外波长范围：850 nm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视频压缩标准：主码流：H.265/H.264</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子码流：H.265/H.264/MJPEG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网络：1个RJ45 10 M/100 M/1000 M自适应以太网口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SD卡扩展：内置MicroSD/MicroSDHC/MicroSDXC 插槽，最大支持256 GB</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内置麦克风：2个内置麦克风，支持降噪算法</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内置扬声器：支持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音频：1路3.5 mm音频输入（Line in），1路3.5 mm音频输出（Line out），2个内置麦克风，1个内置扬声器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报警：1路输入，1路输出（报警输入支持开关量，报警输出最大支持DC24 V，1 A），接口类型端子座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RS-485：1个RS-485（半双工模式，支持自适应，Pelco-P，Pelco-D协议），接口类型端子座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存储温湿度：-40 °C~60 °C，湿度小于95%（无凝结）</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启动和工作温湿度：-40 °C~60 °C，湿度小于95%（无凝结）</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加热模块：支持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恢复出厂设置：支持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文件系统双备份：支持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电流及功耗：DC：12 V，0.75 A，最大功耗：9 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PoE：IEEE 802.3af，Class 3，最大功耗：10 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供电方式：DC：12 V ± 20%，支持防反接保护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PoE：IEEE 802.3af，Class 3</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电源接口类型：2芯接口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线缆长度：310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安装条件：吸顶装、壁装、吊装、桌面装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防护：IP67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★支持路口分析配置功能，可配置路口的位置、区域和岔路的数量、方向。（需提供有效期内的公安部检测报告或具有CMA、CNAS资质认定的检测机构出具的检测报告或提供同等效力的检验检测证明的复印件。）</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14 </w:t>
            </w:r>
            <w:r/>
          </w:p>
        </w:tc>
      </w:tr>
      <w:tr>
        <w:trPr>
          <w:trHeight w:val="82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8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终端服务器</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可接入不低于16路网络摄像机。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支持过车记录存储、图片存储、视频存储、视频osd叠加、数据上传、视频流转发。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支持配置多种字符叠加、图片合成模式。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支持黑白名单功能、区间测速、区间限停；卡口匹配、电警卡口匹配、模糊匹配。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支持交通数据（卡口、违法、事件、取证、人体）查询，web导出，交通流量展示。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支持对接显示屏、音柱。</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支持图片存储和录像存储的空间配额设置。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支持机柜门打开后声音报警及报警上传功能。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易拆卸硬盘设计，便于施工操作与后期维护。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低功耗设计，发热量小，工作温度-30℃~+70℃。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支持不少于2个远程主机、2个FTP主机上传数据，支持断网续传。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Web操作，完善的SDK支持。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可选配支持4G无线全网通模块。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可选配支持GPS/北斗校时模块。</w:t>
            </w:r>
            <w:r>
              <w:rPr>
                <w:rFonts w:hint="eastAsia" w:ascii="宋体" w:hAnsi="宋体" w:cs="宋体"/>
                <w:color w:val="000000"/>
                <w:sz w:val="20"/>
                <w:szCs w:val="20"/>
                <w:lang w:bidi="ar"/>
              </w:rPr>
              <w:br/>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触发输入：2个报警输入</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触发输出：2个报警输出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音频接口：1路音频输入，1路音频输出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光纤接口数量：2</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硬盘盘位数量：4</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USB数量：1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硬盘：4个SATA盘接口，单盘最大支持8T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工作指示灯：电源/报警/硬盘/就绪，共4个状态指示灯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网络接口：18个RJ45 10M/100M/1000M自适应以太网口；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双网卡设计，网卡一具备17个1000M以太网接口及1个可光电复用SFP千兆光纤接口，网卡二具备1个1000M以太网接口及1个SFP千兆光纤接口；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串口：2个RS485接口,2个RS232接口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通用功能：心跳,密码保护,NTP校时、GPS校时；设备状态检测、通道状态检测、网络状态、网络流量监控；硬盘管理、远程升级、日志管理；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专用功能：支持过车记录存储、图片存储、视频存储、视频osd叠加、数据上传、视频流转发；支持配置多种字符叠加、图片合成模式；支持黑白名单功能、区间测速、区间限停；卡口匹配、电警卡口匹配、模糊匹配；支持交通数据（卡口、违法、事件、取证、人体）查询，web导出，交通流量展示；支持对接显示屏、音柱。</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接入路数：16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防护等级：IP54</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4块3.5或2.5英寸硬盘接入，每块盘位最大兼容12TB硬盘，支持硬盘自动切换，当一块硬盘损坏后，能自动切换至其它硬盘进行存储。支持SSD,机械硬盘和SSD可以混合使用。（需提供有效期内的公安部检测报告或具有CMA、CNAS资质认定的检测机构出具的检测报告或提供同等效力的检验检测证明的复印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工作湿度：10%~90%@40℃，无凝结</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电源：DC12V±10%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安装方式：水平托盘放置</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 </w:t>
            </w:r>
            <w:r/>
          </w:p>
        </w:tc>
      </w:tr>
      <w:tr>
        <w:trPr>
          <w:trHeight w:val="5003"/>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9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大货车闯红灯终端服务器</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大货车管理终端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可接入不低于16路网络摄像机进行视音频存储、图片存储与上传。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可配置多种字符叠加、图片合成模式。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易拆卸硬盘设计，便于施工操作与后期维护。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低功耗设计，发热量小，工作温度-40℃~+70℃。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支持机柜门打开后声音报警及报警上传功能。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可选配支持4G无线全网通模块。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可选配支持GPS校时模块。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支持不少于2个远程主机、2个FTP主机上传数据。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Web操作，完善的SDK支持。</w:t>
            </w:r>
            <w:r>
              <w:rPr>
                <w:rFonts w:hint="eastAsia" w:ascii="宋体" w:hAnsi="宋体" w:cs="宋体"/>
                <w:color w:val="000000"/>
                <w:sz w:val="20"/>
                <w:szCs w:val="20"/>
                <w:lang w:bidi="ar"/>
              </w:rPr>
              <w:br/>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通讯接口：2个RS-485接口,2个RS-232接口；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触发输入：2个报警输入</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触发输出：2个报警输出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音频接口：1路音频输入，1路音频输出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网口数量：18</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光纤接口数量：2</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硬盘盘位数量：4</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USB数量：1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工作指示灯：电源/报警/硬盘/就绪，共4个状态指示灯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通用功能：心跳,密码保护,NTP校时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专用功能：支持12个通道的过车记录存储、图片存储、视频存储、数据上传、视频流转发；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产品主要用于大货车管控，结合大货车专用相机，实现多个大货车管控方案抓拍。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接入路数：16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工作湿度：10%~90%@40℃，无凝结</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电源：DC12V±10%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配置路段名称、路段编号、路段距离，能够对驶入驶出该路段的车辆抓拍数据匹配并计算车辆的区间速度值；支持设置过滤阈值，对异常测速结果进行过滤；支持超速检测和欠速检测，可分别设定高限速和低限速值；（需提供有效期内的公安部检测报告或具有CMA、CNAS资质认定的检测机构出具的检测报告或提供同等效力的检验检测证明的复印件）</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 </w:t>
            </w:r>
            <w:r/>
          </w:p>
        </w:tc>
      </w:tr>
      <w:tr>
        <w:trPr>
          <w:trHeight w:val="318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10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频闪灯</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LED频闪灯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光源类型：16颗原装大功率LED</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发光角度10°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覆盖范围：单车道环境补光灯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最佳补光范围16米～25米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触发方式： 4V~6V电平量触发（高电平有效）（可选配开关量触发）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触发信号：频率15~250HZ，占空比1%~39%，响应时间小于20US</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外壳材质金属铝</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工作湿度：湿度5%~95%@40℃，无凝结</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电源：220VAC±10%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防护等级：IP66</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58 </w:t>
            </w:r>
            <w:r/>
          </w:p>
        </w:tc>
      </w:tr>
      <w:tr>
        <w:trPr>
          <w:trHeight w:val="414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11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3合1爆闪灯</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三合一一级补光灯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铝合金灯体，鳍片式散热结构，面罩透光效果好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采用24颗高性能大功率高亮度LED光源，发光效率高、寿命长，稳定性好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带LED格栅，有效减少周边光污染</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气体灯管采用大尺寸高功率灯管，质量可靠，寿命长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经专业光学设计，发光均匀，目标光斑明显，有效减少光污染</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采用步进电机功能，实现红外滤片的切换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LED控制采用先进的恒流驱动技术，电流控制准确、稳定，产品稳定性好、可靠性高，有效减少光衰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气体光源回电时间小于67ms，支持超速连拍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支持LED灯频闪、LED爆闪、白光气体爆闪，红外气体爆闪</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支持相机误触发保护功能，触发信号输入异常时自动保护、且自动恢复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灯体全新设计，新颖别致，适应性强，安装简单，调节方便</w:t>
            </w:r>
            <w:r>
              <w:rPr>
                <w:rFonts w:hint="eastAsia" w:ascii="宋体" w:hAnsi="宋体" w:cs="宋体"/>
                <w:color w:val="000000"/>
                <w:sz w:val="20"/>
                <w:szCs w:val="20"/>
                <w:lang w:bidi="ar"/>
              </w:rPr>
              <w:br/>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光源类型：LED灯珠、气体灯管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发光角度：LED：10°；气体灯：10°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色温：LED＜4000K，气体灯＜7000K</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补光距离：16~25m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光栅：内置LED格栅</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覆盖范围：单车道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电源：220V±20%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瞬时功率：1500W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回电时间：小于67ms</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响应时间：LED≤20us，爆闪≤47us</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触发方式：电平量，可配置开关量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LED触发频率：1Hz~250Hz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LED触发占空比：1%~39%，当占空比大于等于40%时进入自保护状态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爆闪时长：300us</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RS485接口：1路，可配置（基线不带485需下配置单实现）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气体闪光次数：＞2000万次（2S闪一次）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工作湿度：湿度5%～95%@40℃，无凝结</w:t>
            </w:r>
            <w:r>
              <w:rPr>
                <w:rFonts w:hint="eastAsia" w:ascii="宋体" w:hAnsi="宋体" w:cs="宋体"/>
                <w:color w:val="000000"/>
                <w:sz w:val="20"/>
                <w:szCs w:val="20"/>
                <w:lang w:bidi="ar"/>
              </w:rPr>
              <w:br/>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防护等级：IP65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外壳材质：铝</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线缆长度：6m</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39 </w:t>
            </w:r>
            <w:r/>
          </w:p>
        </w:tc>
      </w:tr>
      <w:tr>
        <w:trPr>
          <w:trHeight w:val="36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12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违停球机</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400万+600万25倍拼接版臻全彩枪球一体机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全景600万臻全彩拼接，细节球机400万25倍，采用三镜头设计，兼顾全景细节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全景采用2个F1.0大光圈全彩镜头，可输出190°大场景拼接画面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支持多种智能资源切换：【全景】Smart事件（默认），人员密度；【细节】Smart事件（默认），全结构化，混合目标比对，智能交通，人员布控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支持AR功能，摄像机的实时视频画面中添加最多500个AR标签，且可实现标签与标签联动的功能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适用于城市道路、路口、路段、广场、操场、服务区、停车场、景区、江面、湖面等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Smart事件：支持全景路对设定区域进行布防，当检测到目标时联动细节摄像机对目标进行跟随及报警，实现周界布防，全景Smart事件检测距离50米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内置喇叭，支持声光警戒，报警联动白光闪烁报警和声音报警，声音内容可选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人员密度检测：全景支持人员密度检测功能，输出实时人数概况及拥堵等级，可根据人数和占空比配置密度等级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人员布控：支持前端实时建模比对，对人脸和人体进行布控跟踪，跟踪过程中目标经纬度信息实时上传，构建时空域场景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智能交通智能：包括城市道路违章取证、交通数据采集、道路事件检测、车辆布控跟踪四类智能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城市道路违章取证：细节路支持违停、逆行、压线、变道、机占非、掉头，违停有效检测距离200 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交通数据采集：细节路支持车流量、车道平均速度、车头时距、车头间距、车道时间占有率、车道空间占有率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道路事件检测：（1）高速、高架场景道路事件检测：支持细节路抛洒物检测、行人检测、拥堵检测、路障检测、施工检测、交通事故检测；（2）城市道路场景道路事件检测：支持细节路拥堵检测、路障检测、施工检测、交通事故检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车辆布控：支持前端实时建模比对，对授权和非授权名单车辆进行布控跟踪，跟踪过程中目标经纬度信息实时上传，构建时空域场景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AI-ISP降噪：采用去噪卷积神经网络将深度结构、学习算法用于图像去噪，最终使画面成像更新清晰，噪点更小图像更干净</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支持GB35114A级安全加密</w:t>
            </w:r>
            <w:r>
              <w:rPr>
                <w:rFonts w:hint="eastAsia" w:ascii="宋体" w:hAnsi="宋体" w:cs="宋体"/>
                <w:color w:val="000000"/>
                <w:sz w:val="20"/>
                <w:szCs w:val="20"/>
                <w:lang w:bidi="ar"/>
              </w:rPr>
              <w:br/>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传感器类型：【全景】1/1.8＂ progressive scan CMOS,【细节】1/1.8＂ progressive scan CMOS</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最低照度：【全景】彩色 0.0005Lux @ (F1.0，AGC ON)，黑白0.0001Lux @(F1.0，AGC ON)， 0Lux with Light；【细节】彩色 0.0005Lux @ (F1.2，AGC ON)，黑白0.0001Lux @(F1.2，AGC ON)， 0Lux with IR；</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变倍：数字变倍：【全景】不支持；【细节】16倍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光学变倍：【细节】25倍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焦距：【全景】2.8mm；【细节】6~150mm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视场角： 【全景】水平190°±5°，垂直80°±5°；【细节】59.8°~2.7°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补光灯距离：【全景】暖白光30米；【细节】暖白光50米，红外250米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防补光过曝：支持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水平范围：【全景】不支持；【细节】0-360°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垂直范围：【全景】12°~24°；【细节】-20-90°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水平速度：【全景】不支持；【细节】水平键控速度：0.1°-160°/s,速度可设;水平预置点速度：240°/s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垂直速度：【全景】垂直键控速度可设；【细节】垂直键控速度：0.1°-120°/s,速度可设;垂直预置点速度：200°/s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主码流帧率分辨率：【全景】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50 Hz：25 fps（3680 × 1656，3632 × 1632）；</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60 Hz：30 fps（3680 × 1656，3632 × 1632）；</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【细节】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高帧率：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50 Hz：50 fps（2688 × 1520 ,  2560 × 1440，1920 × 1080，1280 × 960，1280 × 720）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60 Hz：60 fps（2688 × 1520 , 2560 × 1440，1920 × 1080，1280 × 960，1280 × 720）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常规帧率：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50 Hz：25 fps（2688 × 1520 ,  2560 × 1440，1920 × 1080，1280 × 960，1280 × 720）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60 Hz：30 fps（2688 × 1520 , 2560 × 1440，1920 × 1080，1280 × 960，1280 × 720）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视频压缩标准：H.265,H.264,MJPEG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宽动态：【全景】数字宽动态；【细节】120dB超宽动态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陀螺仪：支持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网络接口：支持100 M网络数据，RJ45网口，自适应网络数据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SD卡扩展：内置Micro SD卡插槽,支持Micro SD/Micro SDHC/Micro SDXC卡,最大支持512G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报警：7路报警输入</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2路报警输出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音频：1路音频输入，1路音频输出，音频峰值：2-2.4V[p-p]，输入阻抗：1 kΩ±10%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RS-485：采用半双工模式，支持自适应，PELCO-P和PELCO-D(可添加)协议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恢复出厂设置：支持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电源：DC36V/1.67A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工作温湿度：-40 ℃~70 ℃；湿度小于95%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喇叭温度-30 ℃~55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除雾：支持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功耗：最大功耗：60 W（其中【全景】加热6 W，补光灯6 W；【细节】加热6 W，补光灯12 W）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防护：IP67; 6000V 防雷、防浪涌、防突波，符合GB/T17626.2/3/4/5/6四级标准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3.支架形式：横臂长1米，Q235材质，白色，直径不低60mm，安装法兰不低15cm宽*60cm长，厚度不低于3mm，带斜撑，斜撑不低于φ32 2.5mm厚，详见大样图</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 </w:t>
            </w:r>
            <w:r/>
          </w:p>
        </w:tc>
      </w:tr>
      <w:tr>
        <w:trPr>
          <w:trHeight w:val="198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13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监控摄像机</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400万+600万25倍拼接版臻全彩枪球一体机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全景600万臻全彩拼接，细节球机400万25倍，采用三镜头设计，兼顾全景细节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全景采用2个F1.0大光圈全彩镜头，可输出190°大场景拼接画面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支持多种智能资源切换：【全景】Smart事件（默认），人员密度；【细节】Smart事件（默认），全结构化，混合目标比对，智能交通，人员布控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支持AR功能，摄像机的实时视频画面中添加最多500个AR标签，且可实现标签与标签联动的功能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适用于城市道路、路口、路段、广场、操场、服务区、停车场、景区、江面、湖面等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Smart事件：支持全景路对设定区域进行布防，当检测到目标时联动细节摄像机对目标进行跟随及报警，实现周界布防，全景Smart事件检测距离50米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内置喇叭，支持声光警戒，报警联动白光闪烁报警和声音报警，声音内容可选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人员密度检测：全景支持人员密度检测功能，输出实时人数概况及拥堵等级，可根据人数和占空比配置密度等级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人员布控：支持前端实时建模比对，对人脸和人体进行布控跟踪，跟踪过程中目标经纬度信息实时上传，构建时空域场景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智能交通智能：包括城市道路违章取证、交通数据采集、道路事件检测、车辆布控跟踪四类智能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城市道路违章取证：细节路支持违停、逆行、压线、变道、机占非、掉头，违停有效检测距离200 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交通数据采集：细节路支持车流量、车道平均速度、车头时距、车头间距、车道时间占有率、车道空间占有率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道路事件检测：（1）高速、高架场景道路事件检测：支持细节路抛洒物检测、行人检测、拥堵检测、路障检测、施工检测、交通事故检测；（2）城市道路场景道路事件检测：支持细节路拥堵检测、路障检测、施工检测、交通事故检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车辆布控：支持前端实时建模比对，对授权和非授权名单车辆进行布控跟踪，跟踪过程中目标经纬度信息实时上传，构建时空域场景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AI-ISP降噪：采用去噪卷积神经网络将深度结构、学习算法用于图像去噪，最终使画面成像更新清晰，噪点更小图像更干净</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支持GB35114A级安全加密</w:t>
            </w:r>
            <w:r>
              <w:rPr>
                <w:rFonts w:hint="eastAsia" w:ascii="宋体" w:hAnsi="宋体" w:cs="宋体"/>
                <w:color w:val="000000"/>
                <w:sz w:val="20"/>
                <w:szCs w:val="20"/>
                <w:lang w:bidi="ar"/>
              </w:rPr>
              <w:br/>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传感器类型：【全景】1/1.8＂ progressive scan CMOS,【细节】1/1.8＂ progressive scan CMOS</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最低照度：【全景】彩色 0.0005Lux @ (F1.0，AGC ON)，黑白0.0001Lux @(F1.0，AGC ON)， 0Lux with Light；【细节】彩色 0.0005Lux @ (F1.2，AGC ON)，黑白0.0001Lux @(F1.2，AGC ON)， 0Lux with IR；</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变倍：数字变倍：【全景】不支持；【细节】16倍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光学变倍：【细节】25倍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焦距：【全景】2.8mm；【细节】6~150mm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视场角： 【全景】水平190°±5°，垂直80°±5°；【细节】59.8°~2.7°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补光灯距离：【全景】暖白光30米；【细节】暖白光50米，红外250米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防补光过曝：支持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水平范围：【全景】不支持；【细节】0-360°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垂直范围：【全景】12°~24°；【细节】-20-90°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水平速度：【全景】不支持；【细节】水平键控速度：0.1°-160°/s,速度可设;水平预置点速度：240°/s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垂直速度：【全景】垂直键控速度可设；【细节】垂直键控速度：0.1°-120°/s,速度可设;垂直预置点速度：200°/s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主码流帧率分辨率：【全景】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50 Hz：25 fps（3680 × 1656，3632 × 1632）；</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60 Hz：30 fps（3680 × 1656，3632 × 1632）；</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【细节】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高帧率：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50 Hz：50 fps（2688 × 1520 ,  2560 × 1440，1920 × 1080，1280 × 960，1280 × 720）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60 Hz：60 fps（2688 × 1520 , 2560 × 1440，1920 × 1080，1280 × 960，1280 × 720）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常规帧率：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50 Hz：25 fps（2688 × 1520 ,  2560 × 1440，1920 × 1080，1280 × 960，1280 × 720）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60 Hz：30 fps（2688 × 1520 , 2560 × 1440，1920 × 1080，1280 × 960，1280 × 720）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视频压缩标准：H.265,H.264,MJPEG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宽动态：【全景】数字宽动态；【细节】120dB超宽动态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陀螺仪：支持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网络接口：支持100 M网络数据，RJ45网口，自适应网络数据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SD卡扩展：内置Micro SD卡插槽,支持Micro SD/Micro SDHC/Micro SDXC卡,最大支持512G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报警：7路报警输入</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2路报警输出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音频：1路音频输入，1路音频输出，音频峰值：2-2.4V[p-p]，输入阻抗：1 kΩ±10%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RS-485：采用半双工模式，支持自适应，PELCO-P和PELCO-D(可添加)协议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恢复出厂设置：支持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电源：DC36V/1.67A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工作温湿度：-40 ℃~70 ℃；湿度小于95%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喇叭温度-30 ℃~55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除雾：支持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功耗：最大功耗：60 W（其中【全景】加热6 W，补光灯6 W；【细节】加热6 W，补光灯12 W）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防护：IP67; 6000V 防雷、防浪涌、防突波，符合GB/T17626.2/3/4/5/6四级标准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3.支架形式：横臂长3米，Q235材质，白色，直径不低76mm，安装法兰不低15cm宽*60cm长，厚度不低于3mm，带斜撑，斜撑不低于φ32 2.5mm厚，详见大样图</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 </w:t>
            </w:r>
            <w:r/>
          </w:p>
        </w:tc>
      </w:tr>
      <w:tr>
        <w:trPr>
          <w:trHeight w:val="176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14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信号灯检测器</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16路信号灯交流信号输入接口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4个RS485输出接口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1路100M网口输出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1个5VDC输出接口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5路拨码开关，用来设置波特率、地址和上传模式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16路交通灯状态指示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检测、通讯单元采用微控制器设计，稳定可靠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输入接口采用压电保护、光电隔离等防护措施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实时输出交通灯信号状态</w:t>
            </w:r>
            <w:r>
              <w:rPr>
                <w:rFonts w:hint="eastAsia" w:ascii="宋体" w:hAnsi="宋体" w:cs="宋体"/>
                <w:color w:val="000000"/>
                <w:sz w:val="20"/>
                <w:szCs w:val="20"/>
                <w:lang w:bidi="ar"/>
              </w:rPr>
              <w:br/>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工作温度：温度-30℃~70℃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工作湿度：湿度5%~95%@40℃，无凝结</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电源：AC220V±10%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功耗：＜5W</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9 </w:t>
            </w:r>
            <w:r/>
          </w:p>
        </w:tc>
      </w:tr>
      <w:tr>
        <w:trPr>
          <w:trHeight w:val="278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15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灯盘-圆盘灯</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每套信号灯由红、黄、绿三个几何单元合并组成，灯体外壳颜色为黑色，底壳、前门盖、透光片及密封圈表面平滑,无缺料、开裂、银丝、变形和毛刺等缺陷，表面有牢固的防锈、防腐蚀层。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灯芯尺寸：392mm，三联体</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外壳材料：优质PC工程材料</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面罩材料：高透光率玻璃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LED数量：红色LED:168颗；黄色LED:168颗；绿色LED：165颗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单灯发光强度：红灯≥697cd 、黄灯≥613cd、绿灯≥701cd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LED光强：红色≥6000mcd、黄色≥6000mcd、绿色≥10000mcd</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LED波长：红623±2nm；黄592±2nm；绿502±2nm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单灯功率：红、黄、绿均≤14W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控制方式支持学习、通讯、触动模式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外壳防护等级：IP55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执行标准：GB 14887-2011《道路交通信号灯》</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26 </w:t>
            </w:r>
            <w:r/>
          </w:p>
        </w:tc>
      </w:tr>
      <w:tr>
        <w:trPr>
          <w:trHeight w:val="274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16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灯盘-人行灯</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由静态红色人、动态绿色人两个几何单元合并组成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灯芯尺寸：291mm，两联体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外壳材料：优质PC工程材料</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面罩材料：高透光率PC</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LED数量：红色LED:≥80颗；绿色LED：≥96颗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单灯发光强度：红灯≥280cd、绿灯≥314cd</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LED光强：红色4000~6300mcd、绿色8000~12500mcd</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LED波长：红625±2nm；绿500±2nm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单灯功率：静红人≤5W；动红人≤6W；静绿人≤5W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外壳防护等级：不低于IP55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执行标准：GB 14887-2011《道路交通信号灯》</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52 </w:t>
            </w:r>
            <w:r/>
          </w:p>
        </w:tc>
      </w:tr>
      <w:tr>
        <w:trPr>
          <w:trHeight w:val="1582"/>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17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倒计时器</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倒计时器与交通信号灯同步显示红、黄、绿三色，字体美观。采用开关电源供电，不受电压正常波动范围影响，模块化设计，便于维护。能够进行自适应实时显示，字高不低于650mm。最大显示时间99秒，十位数为0时能自动关闭十位数的显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支持通讯方式控制的倒计时显示器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支持跟随方式控制的倒计时显示器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支持采用触发方式控制的倒计时显示器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输入电压 : 85～264VAC</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电源频率 : 48～52Hz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发光亮度：红色4000~6300mcd，黄色4600~6650mcd，绿色800012500mcd</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色度：符合GA/T 508-2014 道路交通信号倒计时显示器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光源寿命：≥10万小时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可视角度：≥30度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可视距离：≥ 300m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外壳防护等级：≥IP55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耐温：-40℃～+70℃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湿热性能：温度为15℃时，空气相对湿度≤55％±2％</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绝缘电阻：≥500MΩ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抗振动：符合GA/T 508-2014 《道路交通信号倒计时显示器》</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26 </w:t>
            </w:r>
            <w:r/>
          </w:p>
        </w:tc>
      </w:tr>
      <w:tr>
        <w:trPr>
          <w:trHeight w:val="376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18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电子测速提示牌</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1、功率：50W，省电模式：30-40W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2、工作电压： 配DC12V(太阳能供电、蓄电池供电)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3、触发模式:  视频、雷达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4、限速值:  固定数值（标配，可选配可变显示）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5、太阳能供电套件:  200W太阳能板+120AH锂电池，使用时间：2-3天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6、抓拍相机：400万像素车牌抓拍机，可抓拍车速范围 200km/h以内(400万抓拍机) 镜头 标配高清定焦或手动变焦镜头，可识别3条车道内的车头及车尾牌照号码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7、字符叠加:  抓拍时间、日期、车牌号码等信息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8、本地存储内存:  标配32G TF内存卡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9、测速雷达：内置K波段平板窄波束24.15GHZ射频雷达，角度范围:水平30度、俯仰16度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10、测速精度:  土1km/h (运动方向与波束为0度夹角时)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11、安装方式：背部抱箍安装、挂装、侧装，雷视抓拍机可与显示屏分开安装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12、适用场景：平交路口、丁字路口、异形路口、山区公路、园区、国道等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13、含配套基础及安装</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 </w:t>
            </w:r>
            <w:r/>
          </w:p>
        </w:tc>
      </w:tr>
      <w:tr>
        <w:trPr>
          <w:trHeight w:val="108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19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哨兵系统</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在无红绿灯的交叉路口安装，可以预警支路司机，前方即将有主路来车，请提前减速让行，也可预警行人注意避让。包括屏幕文字提醒、警示灯提醒、语音提醒。配合本公司的本地管理系统或云平台管理系统，可查询所有车牌信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1、一体式预警主机：材质应为钣金外壳一体成型，表面喷塑；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2、电压：供电电压AC 220V±15%，或者工作电压DC 12V±25% ，额定功率≤70W；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3、工作环境要求：环境温度：支持-20 ℃~80℃，环境湿度：支持≤95%(无凝结) ，防护等级：≥IP55；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功能模块如下：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1.内置高精测速雷达，并3D万向可调，也可分开安装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2.测速范围：1 -199公里/小时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3.测速距离：1-150米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4.测速精度：±5公里/小时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5.红绿圆饼闪烁灯（当对面来车时，黄灯闪烁提示，没车时绿灯显示）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6.数码显示：高亮单红，实时显示对面来车的速度及自定义文字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7.支持4G模块以及云平台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8.喇叭功率：150w双功放语音内容：可自定义）播报时间：支持定时播放，音量：支持调节                                                                             9、太阳能供电套件:  200W太阳能板+120AH锂电池，使用时间：2-3天</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10.含配套基础及安装</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 </w:t>
            </w:r>
            <w:r/>
          </w:p>
        </w:tc>
      </w:tr>
      <w:tr>
        <w:trPr>
          <w:trHeight w:val="23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20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黄警示灯</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每套信号灯由黄色几何单元组成，灯体外壳颜色为黑色，底壳、前门盖、透光片及密封圈表面平滑,无缺料、开裂、银丝、变形和毛刺等缺陷，表面有牢固的防锈、防腐蚀层。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外壳材料：优质PC工程材料</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面罩材料：高透光率PC</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LED数量：黄色LED:219颗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LED光强：黄色4600~6650mcd</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LED波长：黄590±2nm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单灯功率：≤14W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控制方式支持学习、通讯、触动模式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外壳防护等级：IP55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执行标准：GB 14887-2011《道路交通信号灯》</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 </w:t>
            </w:r>
            <w:r/>
          </w:p>
        </w:tc>
      </w:tr>
      <w:tr>
        <w:trPr>
          <w:trHeight w:val="16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21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灯带</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工作电压:AC220V+20%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工作频率:50Hz+2Hz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LED数量:红色144颗/米、黄色144颗/米、绿色144颗/米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LED波长:红625±2nm、黄590±2nm、绿500±2nm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LED光强:红色≥4000~6300mcd、黄色4600~6650mcd、绿色8000~12500mcd</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工作温度:-40℃~+70°C</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湿热性能:温度为15℃时，空气相对湿度≤55%+2%</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外形尺寸:1000*60*55mm(长*宽*高)</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可视角度:&gt;30°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可视距离:≥300m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道路交通信号灯带是安装在信号灯杆的竖杆和横臂上，可以跟随交通信号灯同步切换红色、黄色、绿色的交通信号辅助设备。当信号灯为红灯时，灯带同步显示红色;当信号灯转为绿灯时，灯带同步显示绿色;当信号灯转为黄灯时，灯带则同步显示黄色。每排LED不少于三颗，支持学习、通讯、触动等控制模式，可设置和本相或对向信号灯倒计时同步倒计递减显示</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m</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72 </w:t>
            </w:r>
            <w:r/>
          </w:p>
        </w:tc>
      </w:tr>
      <w:tr>
        <w:trPr>
          <w:trHeight w:val="7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22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灯带控制器</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控制灯带跟随交通信号灯同步切换红色、黄色、绿色的交通信号辅助设备。当信号灯为红灯时，灯带同步显示红色;当信号灯转为绿灯时，灯带同步显示绿色;当信号灯转为黄灯时，灯带则同步显示黄色。每排LED不少于三颗，支持学习、通讯、触动等控制模式，可设置和本相或对向信号灯倒计时同步倒计递减显示</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 </w:t>
            </w:r>
            <w:r/>
          </w:p>
        </w:tc>
      </w:tr>
      <w:tr>
        <w:trPr>
          <w:trHeight w:val="146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23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交换机</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2千兆SFP光+8千兆电，网管型工业交换机；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交换容量：256Gbps；包转发率：14.88Mpps；</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支持工业环网协议STP/RSTP/MSTP/EAPS/ERPS；</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3路工业级直流冗余输入（2路DC12~55V工业端子输入，1路DC12V输入）；</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工作温度-40~75℃；防雷6KV；防护等级IP40；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铸铁外壳，卡轨式安装，不标配电源线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具备CE、FCC认证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功耗：≤10W</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24 </w:t>
            </w:r>
            <w:r/>
          </w:p>
        </w:tc>
      </w:tr>
      <w:tr>
        <w:trPr>
          <w:trHeight w:val="25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24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交换机</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1.名称：交换机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2.规格："4千兆SFP光+8千兆电，网管型工业交换机；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交换容量：256Gbps；包转发率：17.85Mpps；</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支持工业环网协议STP/RSTP/MSTP/EAPS/ERPS；</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3路工业级直流冗余输入（2路DC12~55V工业端子输入，1路DC12V输入）；</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工作温度-40~75℃；防雷6KV；防护等级IP40；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铸铁外壳，卡轨式安装，不标配电源线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具备CE、FCC认证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功耗：≤10W"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3.安装方式：箱内安装</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7 </w:t>
            </w:r>
            <w:r/>
          </w:p>
        </w:tc>
      </w:tr>
      <w:tr>
        <w:trPr>
          <w:trHeight w:val="244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25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信号控制机箱（内置信号机）</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★信号机应符合GB25280-2016国家标准《道路交通信号控制机》要求，需提供有效期内的公安部检测报告或具有CMA、CNAS资质认定的检测机构出具的检测报告或提供同等效力的检验检测证明的复印件。。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★信号机需符合GB/T 20999-2017《交通信号控制机与上位机间的数据通信协议》，且标准符合性测试的符合度能达到100%，需提供有效期内的测试报告复印件。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投标人需承诺所投交通信号控制器能接入交警现有交通信号优化系统，并能支撑实现联网监视、远程控制、优化方案下发、警卫任务等上述平台所有功能，投标人需提供承诺函。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1、信号机性能指标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（1）模块化建设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交通信号控制器需采用模块化建设，更换电路板方便。信号机的主要单元至少包括电源单元、控制器单元、配置单元、灯控信号输出单元、通信接口单元、时钟单元。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（2）微处理器模块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中央微处理器（CPU）需采用32位及以上微处理器，具备断电仍可继续运作的时钟。</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（3）灯控输出单元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信号机需提供不少于48路灯控输出，48组检测器、24组倒计时牌连接。</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（4）信号配时方案</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信号机支持配置不少于96个定周期信号配时方案，每天支持划分48个时段。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（5）通信接口单元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信号机需具备RS232接口、RS485接口和10/100M的RJ45接口等基本接口。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（6）时钟校正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信号机需配备GPS校时模块，可以自动校正信号机时钟。需支持中心系统校时功能，可以与中心控制系统连接，接收并执行中心校时命令。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2.电源及电气装置指标要求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（1）避雷装置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交通信号控制器的电源输入端及灯控信号输出端均需安装避雷装置，或者采取其它避雷措施。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（2）强、弱电隔离</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控制电路与灯控器件之间需采用电耦合器、固态继电器或其它器件连接，使输出端的灯控强电电路与内部的弱电电路能有效隔离。在输出回路中需安装快速熔断器，在短路时保护灯控器件。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（3）信号机电气指标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信号机整机功耗为：小于100W。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信号机相对湿度：5%-95％，非冷凝。</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本次大部分建设点位在乡镇地区，存在电压不稳定等问题，要求交通信号控制机具备宽电压功能，主电源额定电压需在AC88V~264V、50Hz±2Hz范围，确保设备稳定运行（需提供有效期内的公安部检测报告或具有CMA、CNAS资质认定的检测机构出具的检测报告或提供同等效力的检验检测证明的复印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3.机柜物理结构要求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（1）机柜外观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交通信号控制器机柜的内、外表面及控制面板需光洁、平整，无凹痕、划伤、裂缝、变形等缺陷。表面需有牢固的防锈、防腐蚀镀层或漆层，金属零件无锈蚀及其它机械损伤，各滑动或转动部件活动应灵活，紧固部件不松动，外部表面无可能导致伤害的尖锐的突起或拐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（2）机柜结构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1）交通信号控制器机柜整体结构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a为避免人为破坏信号机，保障信号机安全，要求交通信号控制器具有防撬设计。★交通信号控制机需满足机柜门内嵌在柜体内，连接柜门与柜体的铰链突出柜体表面小于3mm，柜门（前门、后门、侧门）与柜体的缝隙小于3mm，（需提供有效期内的公安部检测报告或具有CMA、CNAS资质认定的检测机构出具的检测报告或提供同等效力的检验检测证明的复印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b交通信号控制器机柜设计需能防雨并且尽可能降低灰尘及有害物质的侵入，机柜设计还应防止顶面积水。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c需室外型机柜，需作防腐处理。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d★信号机底部需采用扁平化、分类设计，应能将不通方向、种类的线缆分类穿线理线，便于后期维护。（需提供有效期内的公安部检测报告或具有CMA、CNAS资质认定的检测机构出具的检测报告或提供同等效力的检验检测证明的复印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e信号机外壳防护等级需达到IP65及以上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交通信号控制器机柜应采用铝制机柜，防锈、防腐蚀。交通信号控制器内部的印刷电路板材料及部件应进行防潮、防腐、防盐雾的处理。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4.信号机基本功能要求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用户应可以通过交通信号管理系统控制中心设施更新预先制定的方案和任务(使用上载/下载功能)，监视系统运行和监视实时的交通路口情况。上传交通信号机执行现况及检测器采集的交通数据至中心,亦可接收中心下传控制、设定、查询等信息及响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人机界面路口状态显示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交通信号控制器需具备全彩液晶显示屏，应支持触摸操作，使信号机维护工作可视化、直观化、简便化。</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图形化参数配置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信号机需支持通过维护软件图形化配置路口方案，需包括渠化信息（支持环岛、二次过街、可变车道、潮汐车道等特殊路口的配置）、检测器、信号灯连接关系、配时方案和时段信息。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主控单元故障应急保护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信号机主控单元故障时，信号机需能继续执行定周期工作方式，当前路口方向状态不受影响，无灭灯现象。此时，当信号机出现绿冲突、信号灯组红绿同亮、信号灯组所有红灯熄灭，信号机能立即转入黄闪控制方式，信号机主控单元故障排除后，信号机能自动恢复自主控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数据断电保存</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信号机需具有在断电情况下的数据保存功能，数据断电保存期限至少为1个月。</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后台远程升级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信号机需内置WEB服务，可通过浏览器远程升级信号机嵌入式程序。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一带多功能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信号机需具备一带多功能，每个路口的方案可单独配置，并在液晶屏上分别显示。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信号机应具备U盘升级功能，可通过USB口现场升级信号机嵌入式程序。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为了便于后期维护，投标人所投信号机的穿线孔需采用扁平化、分类、防小动物设计，可将不同方向、种类的线缆分类穿线理线、防止小动物进入机柜。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5.信号机控制功能要求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信号机需具有丰富的控制功能，包括联网控制、远程控制，感应控制、自适应优化、绿波控制、感应式绿波控制、闪光控制、强制控制控制模式。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3.垫层、基础材料品种、厚度：基础尺寸≥600mm*600mm*700mm，C25混凝土浇筑，基础高于地面300mm，模板制安拆除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4.含土方挖填及余土弃置</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9 </w:t>
            </w:r>
            <w:r/>
          </w:p>
        </w:tc>
      </w:tr>
      <w:tr>
        <w:trPr>
          <w:trHeight w:val="6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26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专用光纤通信费</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1000M-信号灯路口；一年</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年*路口</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12 </w:t>
            </w:r>
            <w:r/>
          </w:p>
        </w:tc>
      </w:tr>
      <w:tr>
        <w:trPr>
          <w:trHeight w:val="64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27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专用光纤通信费</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1000M-监控路口；一年</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年*路口</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 </w:t>
            </w:r>
            <w:r/>
          </w:p>
        </w:tc>
      </w:tr>
      <w:tr>
        <w:trPr>
          <w:trHeight w:val="292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28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爆闪语音提示</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1.太阳能板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6V 15W太阳能滴胶板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2.蓄电池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锂电池3.7V/10000MA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3.LED 灯珠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高亮160个灯珠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4.颜色：2种颜色可以选择·红蓝色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外壳采用ABS材料整体注射成型，抗老化、抗震性能好，灯壳PC材质+铝合金.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6.喇叭：8W</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58 </w:t>
            </w:r>
            <w:r/>
          </w:p>
        </w:tc>
      </w:tr>
      <w:tr>
        <w:trPr>
          <w:trHeight w:val="36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29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太阳能警示灯</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1.太阳能板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6V 6W太阳能滴胶板,寿命&gt;8年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 电 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锂电池3.7V/2200MA,寿命&gt;2年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3.LED 灯珠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高亮LED贴片2835灯珠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4.颜色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红蓝色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5.工作时间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太阳下充电8小时可以工作48小时、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6.工作环境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在-25- +65摄氏度可正常工作，防护等级IP50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7.组装配件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螺丝，胶水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外壳采用ABS材料整体注射成型，抗老化、抗震性能好，灯壳PC材质.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9.充电方式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光能自动充电</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7 </w:t>
            </w:r>
            <w:r/>
          </w:p>
        </w:tc>
      </w:tr>
      <w:tr>
        <w:trPr>
          <w:trHeight w:val="116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30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太阳能照明灯</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"灯珠数量：5730大灯珠780颗 电池容量：20000mAh 加大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同行标识：远超同行标识7000平 覆盖面积 600平(高亮区域300平)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产品功能：人体感应+光控+遥控 照明时长：满电亮整夜"</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 </w:t>
            </w:r>
            <w:r/>
          </w:p>
        </w:tc>
      </w:tr>
      <w:tr>
        <w:trPr>
          <w:trHeight w:val="228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31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照明中杆灯</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1.灯杆材质、高度：热镀锌喷塑钢杆，高度13米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2.灯架形式及臂长：灯架与灯杆呈T字型，弧型灯架，正视图中L=1.5米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3.光源数量、技术要求：3*120W LED</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4.附件配置要求：8*M27*1500地脚螺栓、20厚D450法兰、粘路灯号牌、灯头线敷设BVVB-3*2.5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5.垫层、基础材料品种、混凝土强度等级、尺寸：C25砼基础，尺寸1.4m*1.4m*1.6m，模板制安拆除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6.接线端子材质、规格：无端子接线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7.接地要求：L50*5*2500镀锌角钢接地极1根，用40*4热镀锌扁钢连接</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8.含土方挖填及余土弃置</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 </w:t>
            </w:r>
            <w:r/>
          </w:p>
        </w:tc>
      </w:tr>
      <w:tr>
        <w:trPr>
          <w:trHeight w:val="254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32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普通灯具</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1.太阳能板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5V 1.5W太阳能滴胶板,寿命&gt;2年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2.蓄 电 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锂电池3.7V/2000MA,寿命&gt;2年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3.LED 灯珠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高亮LED贴片2835灯珠.10个高亮LED</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4.颜色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黄色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5.工作时间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太阳下充电8小时可以工作48小时,连续放电72小时以上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6.工作环境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在-25- +65摄氏度可正常工作，防护等级IP50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7.组装配件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螺丝，胶水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外壳采用ABS材料整体注射成型，抗老化、抗震性能好</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40 </w:t>
            </w:r>
            <w:r/>
          </w:p>
        </w:tc>
      </w:tr>
      <w:tr>
        <w:trPr>
          <w:trHeight w:val="176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33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交通标志杆</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1.类型：电警杆件，7.0m挑臂18m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2.材质：Q235材质，表面热镀锌喷塑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3.规格尺寸：白色，立杆直径390-450-10mm厚，横臂分两节直径100-220-4mm厚、220-340-6mm厚,垂直法兰480×480（550×550）-11×M27，底盘及预埋件规格Φ600mm(750-t6)-8×M36-H1.7m（L1.8m)，详见大样图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4.垫层、基础材料品种、混凝土强度等级、厚度：基础长2.0m×宽2.0m×高2.2m，C25混凝土浇筑，模板制安拆除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5.含土方挖填及余土弃置</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根</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 </w:t>
            </w:r>
            <w:r/>
          </w:p>
        </w:tc>
      </w:tr>
      <w:tr>
        <w:trPr>
          <w:trHeight w:val="224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34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交通标志杆</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1.类型：电警杆件，高7.0m挑臂16m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2.材质：Q235材质，表面热镀锌喷塑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3.规格尺寸：白色，立杆直径340-400-8mm厚，横臂分两节直径100-200-4mm厚、200-300-6mm厚,垂直法兰420×420（500×500）-9×M27，底盘及预埋件规格Φ550mm(650-t4)-8×M30-H1.7m（L1.8m)，详见大样图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4.垫层、基础材料品种、混凝土强度等级、厚度：基础长1.6m×宽1.6m×高2.2m，C25混凝土浇筑，模板制安拆除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5.含土方挖填及余土弃置</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根</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 </w:t>
            </w:r>
            <w:r/>
          </w:p>
        </w:tc>
      </w:tr>
      <w:tr>
        <w:trPr>
          <w:trHeight w:val="174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35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交通标志杆</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1.类型：电警杆件，高7.0m挑臂12m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2.材质：Q235材质，表面热镀锌喷塑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3.规格尺寸：白色，立杆直径270-330-6mm厚，横臂直径100-240-5mm厚,垂直法兰350×350（420×420）-8×M24，底盘及预埋件规格Φ450mm(550-t4)-8×M27-H1.4m（L1.5m)，详见大样图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4.垫层、基础材料品种、混凝土强度等级、厚度：基础长1.6m×宽1.6m×高1.8m，C25混凝土浇筑，模板制安拆除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5.含土方挖填及余土弃置</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根</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 </w:t>
            </w:r>
            <w:r/>
          </w:p>
        </w:tc>
      </w:tr>
      <w:tr>
        <w:trPr>
          <w:trHeight w:val="21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36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交通标志杆</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1.类型：电警杆件，高7.0m挑臂11m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2.材质：Q235材质，表面热镀锌喷塑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3.规格尺寸：白色，立杆直径270-330-6mm厚，横臂直径100-240-5mm厚,垂直法兰350×350（420×420）-8×M24，底盘及预埋件规格Φ450mm(550-t4)-8×M27-H1.4m（L1.5m)，详见大样图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4.垫层、基础材料品种、混凝土强度等级、厚度：基础长1.6m×宽1.6m×高1.8m，C25混凝土浇筑，模板制安拆除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5.含土方挖填及余土弃置</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根</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11 </w:t>
            </w:r>
            <w:r/>
          </w:p>
        </w:tc>
      </w:tr>
      <w:tr>
        <w:trPr>
          <w:trHeight w:val="192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37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交通标志杆</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1.类型：电警杆件，高7.0m挑臂7m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2.材质：Q235材质，表面热镀锌喷塑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3.规格尺寸：白色，立杆直径220-280-5mm厚，横臂直径90-180-4mm厚,垂直法兰280×280（350×350）-6×M20，底盘及预埋件规格Φ400mm(500-t4)-8×M24-H1.2m（L1.3m)，详见大样图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4.垫层、基础材料品种、混凝土强度等级、厚度：基础长1.2m×宽1.2m×高1.4m，C25混凝土浇筑，模板制安拆除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5.含土方挖填及余土弃置</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根</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 </w:t>
            </w:r>
            <w:r/>
          </w:p>
        </w:tc>
      </w:tr>
      <w:tr>
        <w:trPr>
          <w:trHeight w:val="18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38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交通标志杆</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1.类型：电警杆件，高7.0m挑臂6m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2.材质：Q235材质，表面热镀锌喷塑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3.规格尺寸：白色，立杆直径180-240-5mm厚，横臂直径90-165-3mm厚，垂直法兰250×250（320×320）-6×M20，底盘及预埋件规格Φ350mm(450-t4)-6×M24-H1.0m（L1.1m)，详见大样图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4.垫层、基础材料品种、混凝土强度等级、厚度：基础长1m×宽1m×高1.2m，C25混凝土浇筑，模板制安拆除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5.含土方挖填及余土弃置</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根</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 </w:t>
            </w:r>
            <w:r/>
          </w:p>
        </w:tc>
      </w:tr>
      <w:tr>
        <w:trPr>
          <w:trHeight w:val="148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39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交通标志杆</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1.类型：电警杆件，高7.0m挑臂5m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2.材质：Q235材质，表面热镀锌喷塑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3.规格尺寸：白色，立杆直径180-240-5mm厚，横臂直径90-165-3mm厚,垂直法兰250×250（320×320）-6×M20，底盘及预埋件规格Φ350mm(450-t4)-6×M24-H1.0m（L1.1m)，详见大样图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4.垫层、基础材料品种、混凝土强度等级、厚度：基础长1m×宽1m×高1.2m，C25混凝土浇筑，模板制安拆除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5.含土方挖填及余土弃置</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根</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 </w:t>
            </w:r>
            <w:r/>
          </w:p>
        </w:tc>
      </w:tr>
      <w:tr>
        <w:trPr>
          <w:trHeight w:val="21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40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交通标志杆</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1.类型：信号灯杆件，高3m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2.材质：Q235材质，表面热镀锌喷塑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3.规格尺寸：白色，立杆直径110-3mm厚，底部法兰及预埋件规格φ300mm*300mm-t4-4×M18-H0.5m（L0.6m)，详见大样图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4.垫层、基础材料品种、混凝土强度等级、厚度：基础长0.5m×宽0.5m×高0.6m，C25混凝土浇筑，模板制安拆除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5.含土方挖填及余土弃置</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根</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21 </w:t>
            </w:r>
            <w:r/>
          </w:p>
        </w:tc>
      </w:tr>
      <w:tr>
        <w:trPr>
          <w:trHeight w:val="224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41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交通标志杆</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1.类型：信号灯杆件，高6m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2.材质：Q235材质，表面热镀锌喷塑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3.规格尺寸：白色，立杆直径140-3mm厚，底部法兰及预埋件规格Φ300mm(400-t4)-6×M20-H0.6m（L0.7m)，详见大样图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4.垫层、基础材料品种、混凝土强度等级、厚度：基础长0.6m×宽0.6m×高0.7m，C25混凝土浇筑，模板制安拆除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5.含土方挖填及余土弃置</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根</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 </w:t>
            </w:r>
            <w:r/>
          </w:p>
        </w:tc>
      </w:tr>
      <w:tr>
        <w:trPr>
          <w:trHeight w:val="202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42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交通标志杆</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1.类型：信号灯杆件，高7.0m挑臂10m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2.材质：Q235材质，表面热镀锌喷塑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3.规格尺寸：白色，立杆直径270-330-6mm厚，横臂直径110-240-5mm厚，垂直法兰350×350（420×420-t18）-8×M24，底盘及预埋件规格Φ450mm(550-t4)-8×M27-H1.4m（L1.5m)，详见大样图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4.垫层、基础材料品种、混凝土强度等级、厚度：基础长1.4m×宽1.4m×高1.6m，C25混凝土浇筑，模板制安拆除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5.含土方挖填及余土弃置</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根</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8 </w:t>
            </w:r>
            <w:r/>
          </w:p>
        </w:tc>
      </w:tr>
      <w:tr>
        <w:trPr>
          <w:trHeight w:val="158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43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交通标志杆</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1.类型：信号灯杆件，高7.0m挑臂4m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2.材质：Q235材质，表面热镀锌喷塑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3.规格尺寸：白色，立杆直径180-240-4mm厚，横臂直径110-145-3mm厚，垂直法兰250×250（320×320-t16）-6×M20，底盘及预埋件规格Φ350mm(450-t4)-6×M24-H1.0m（L1.1m)，详见大样图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4.垫层、基础材料品种、混凝土强度等级、厚度：基础长1m×宽1m×高1.2m，C25混凝土浇筑，模板制安拆除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5.含土方挖填及余土弃置</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根</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 </w:t>
            </w:r>
            <w:r/>
          </w:p>
        </w:tc>
      </w:tr>
      <w:tr>
        <w:trPr>
          <w:trHeight w:val="18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44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交通标志杆</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1.类型：信号灯杆件，高7.0m挑臂5m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2.材质：Q235材质，表面热镀锌喷塑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3.规格尺寸：白色，立杆直径220-280-5mm厚，横臂直径110-180-4mm厚，垂直法兰280×280（350×350-t16）-6×M20，底盘及预埋件规格Φ400mm(500-t4)-8×M24-H1.2m（L1.3m)，详见大样图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4.垫层、基础材料品种、混凝土强度等级、厚度：基础长1m×宽1m×高1.4m，C25混凝土浇筑，模板制安拆除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5.含土方挖填及余土弃置</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根</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 </w:t>
            </w:r>
            <w:r/>
          </w:p>
        </w:tc>
      </w:tr>
      <w:tr>
        <w:trPr>
          <w:trHeight w:val="174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45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交通标志杆</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1.类型：信号灯杆件，高7.0m挑臂6+4m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2.材质：Q235材质，表面热镀锌喷塑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3.规格尺寸：白色，立杆直径220-280-5mm厚，横臂1直径110-180-4mm厚，横臂2直径110-145-3mm厚，垂直法兰280×280（350×350-t16）-6×M20，底盘及预埋件规格Φ400mm(500-t4)-8×M24-H1.2m（L1.3m)，详见大样图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4.垫层、基础材料品种、混凝土强度等级、厚度：基础长1m×宽1m×高1.4m，C25混凝土浇筑，模板制安拆除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5.含土方挖填及余土弃置</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根</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 </w:t>
            </w:r>
            <w:r/>
          </w:p>
        </w:tc>
      </w:tr>
      <w:tr>
        <w:trPr>
          <w:trHeight w:val="166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46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交通标志杆</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1.类型：信号灯杆件，高7.0m挑臂6m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2.材质：Q235材质，表面热镀锌喷塑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3.规格尺寸：白色，立杆直径220-280-5mm厚，横臂直径110-180-4mm厚，垂直法兰280×280（350×350-t16）-6×M20，底盘及预埋件规格Φ400mm(500-t4)-8×M24-H1.2m（L1.3m)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4.垫层、基础材料品种、混凝土强度等级、厚度：基础长1m×宽1m×高1.4m，C25混凝土浇筑，模板制安拆除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5.含土方挖填及余土弃置</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根</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 </w:t>
            </w:r>
            <w:r/>
          </w:p>
        </w:tc>
      </w:tr>
      <w:tr>
        <w:trPr>
          <w:trHeight w:val="184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47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交通标志杆</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1.类型：信号灯杆件，高7.0m挑臂7m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2.材质：Q235材质，表面热镀锌喷塑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3.规格尺寸：白色，立杆直径240-300-6mm厚，横臂直径110-210-4mm厚，垂直法兰300×300（400×400-t16）-8×M20，底盘及预埋件规格Φ450mm(550-t4)-8×M27-H1.4m（L1.5m)，详见大样图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4.垫层、基础材料品种、混凝土强度等级、厚度：基础长1.2m×宽1.2m×高1.4m，C25混凝土浇筑，模板制安拆除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5.含土方挖填及余土弃置</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根</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 </w:t>
            </w:r>
            <w:r/>
          </w:p>
        </w:tc>
      </w:tr>
      <w:tr>
        <w:trPr>
          <w:trHeight w:val="168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48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交通标志杆</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1.类型：标志牌杆件，高7.0m挑臂4m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2.材质：Q235材质，表面热镀锌喷塑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3.规格尺寸：白色，立杆直径180-240-4mm厚，横臂直径110-145-3mm厚，垂直法兰250×250（320×320-t16）-6×M20，底盘及预埋件规格Φ350mm(450-t4)-6×M24-H1.0m（L1.1m)，详见大样图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4.垫层、基础材料品种、混凝土强度等级、厚度：基础长1m×宽1m×高1.2m，C25混凝土浇筑，模板制安拆除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5.含土方挖填及余土弃置</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根</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 </w:t>
            </w:r>
            <w:r/>
          </w:p>
        </w:tc>
      </w:tr>
      <w:tr>
        <w:trPr>
          <w:trHeight w:val="162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49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交通标志杆</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1.类型：φ89标志牌杆件，高3m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2.材质：Q235材质，表面热镀锌喷塑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3.规格尺寸：白色，立杆直径3mm厚，300mm*300mm-t4-4×M18-H0.5m（L0.6m)，详见大样图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4.垫层、基础材料品种、混凝土强度等级、厚度：基础长0.5m×宽0.5m×高0.6m，C25混凝土浇筑，模板制安拆除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5.含土方挖填及余土弃置</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根</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 </w:t>
            </w:r>
            <w:r/>
          </w:p>
        </w:tc>
      </w:tr>
      <w:tr>
        <w:trPr>
          <w:trHeight w:val="148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50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交通标志杆</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1.类型：φ89标志牌杆件，高2.5m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2.材质：Q235材质，表面热镀锌喷塑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3.规格尺寸：白色，立杆直径3mm厚，300mm*300mm-t4-4×M18-H0.5m（L0.6m)，详见大样图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4.垫层、基础材料品种、混凝土强度等级、厚度：基础长0.5m×宽0.5m×高0.6m，C25混凝土浇筑，模板制安拆除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5.含土方挖填及余土弃置</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根</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 </w:t>
            </w:r>
            <w:r/>
          </w:p>
        </w:tc>
      </w:tr>
      <w:tr>
        <w:trPr>
          <w:trHeight w:val="8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51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水平定向钻进管道</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Style w:val="926"/>
                <w:rFonts w:hint="default"/>
                <w:lang w:bidi="ar"/>
              </w:rPr>
              <w:t xml:space="preserve">1.材质及规格：2根De50 PE管、1.25MPa</w:t>
            </w:r>
            <w:r>
              <w:rPr>
                <w:rStyle w:val="926"/>
                <w:rFonts w:hint="default"/>
                <w:lang w:bidi="ar"/>
              </w:rPr>
              <w:br/>
            </w:r>
            <w:r>
              <w:rPr>
                <w:rStyle w:val="926"/>
                <w:rFonts w:hint="default"/>
                <w:lang w:bidi="ar"/>
              </w:rPr>
              <w:t xml:space="preserve">2.一次成孔长度：50米内</w:t>
            </w:r>
            <w:r>
              <w:rPr>
                <w:rStyle w:val="926"/>
                <w:rFonts w:hint="default"/>
                <w:lang w:bidi="ar"/>
              </w:rPr>
              <w:br/>
            </w:r>
            <w:r>
              <w:rPr>
                <w:rStyle w:val="926"/>
                <w:rFonts w:hint="default"/>
                <w:lang w:bidi="ar"/>
              </w:rPr>
              <w:t xml:space="preserve">3.连接形式：热熔</w:t>
            </w:r>
            <w:r>
              <w:rPr>
                <w:rStyle w:val="926"/>
                <w:rFonts w:hint="default"/>
                <w:lang w:bidi="ar"/>
              </w:rPr>
              <w:br/>
            </w:r>
            <w:r>
              <w:rPr>
                <w:rStyle w:val="927"/>
                <w:rFonts w:hint="default"/>
                <w:lang w:bidi="ar"/>
              </w:rPr>
              <w:t xml:space="preserve">4.路面破除恢复，土石方开挖、回填及清运、管材及辅材采购与施工</w:t>
            </w:r>
            <w:r>
              <w:rPr>
                <w:rStyle w:val="927"/>
                <w:rFonts w:hint="default"/>
                <w:lang w:bidi="ar"/>
              </w:rPr>
              <w:br/>
            </w:r>
            <w:r>
              <w:rPr>
                <w:rStyle w:val="927"/>
                <w:rFonts w:hint="default"/>
                <w:lang w:bidi="ar"/>
              </w:rPr>
              <w:t xml:space="preserve">5.含机械费及机械转场费</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m</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530 </w:t>
            </w:r>
            <w:r/>
          </w:p>
        </w:tc>
      </w:tr>
      <w:tr>
        <w:trPr>
          <w:trHeight w:val="74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52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电缆保护管</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Style w:val="926"/>
                <w:rFonts w:hint="default"/>
                <w:lang w:bidi="ar"/>
              </w:rPr>
              <w:t xml:space="preserve">1.规格：2根Φ50并排敷设</w:t>
            </w:r>
            <w:r>
              <w:rPr>
                <w:rStyle w:val="926"/>
                <w:rFonts w:hint="default"/>
                <w:lang w:bidi="ar"/>
              </w:rPr>
              <w:br/>
            </w:r>
            <w:r>
              <w:rPr>
                <w:rStyle w:val="926"/>
                <w:rFonts w:hint="default"/>
                <w:lang w:bidi="ar"/>
              </w:rPr>
              <w:t xml:space="preserve">2.材质：PE管</w:t>
            </w:r>
            <w:r>
              <w:rPr>
                <w:rStyle w:val="926"/>
                <w:rFonts w:hint="default"/>
                <w:lang w:bidi="ar"/>
              </w:rPr>
              <w:br/>
            </w:r>
            <w:r>
              <w:rPr>
                <w:rStyle w:val="926"/>
                <w:rFonts w:hint="default"/>
                <w:lang w:bidi="ar"/>
              </w:rPr>
              <w:t xml:space="preserve">3.敷设方式：埋地敷设深度不低于0.5m</w:t>
            </w:r>
            <w:r>
              <w:rPr>
                <w:rStyle w:val="926"/>
                <w:rFonts w:hint="default"/>
                <w:lang w:bidi="ar"/>
              </w:rPr>
              <w:br/>
            </w:r>
            <w:r>
              <w:rPr>
                <w:rStyle w:val="927"/>
                <w:rFonts w:hint="default"/>
                <w:lang w:bidi="ar"/>
              </w:rPr>
              <w:t xml:space="preserve">4.涉及到路面及绿化带区域的，含路面及绿化带拆除及恢复</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m</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1400 </w:t>
            </w:r>
            <w:r/>
          </w:p>
        </w:tc>
      </w:tr>
      <w:tr>
        <w:trPr>
          <w:trHeight w:val="76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53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挖沟槽土方</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1.土类别： 一、二类土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2.挖土深度：沟槽0.5m深，0.3米宽</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m3</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210 </w:t>
            </w:r>
            <w:r/>
          </w:p>
        </w:tc>
      </w:tr>
      <w:tr>
        <w:trPr>
          <w:trHeight w:val="414"/>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54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沟槽、基坑回填方</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1.填方来源：夯填原土</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m3</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210 </w:t>
            </w:r>
            <w:r/>
          </w:p>
        </w:tc>
      </w:tr>
      <w:tr>
        <w:trPr>
          <w:trHeight w:val="94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55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光缆</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1.名称：光缆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2.规格：GYTA-4B1</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3.敷设方式：管内穿放</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m</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1840 </w:t>
            </w:r>
            <w:r/>
          </w:p>
        </w:tc>
      </w:tr>
      <w:tr>
        <w:trPr>
          <w:trHeight w:val="106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56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光缆</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1.型号：光缆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2.规格：GYTA-4B1</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3.敷设部位：架空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4.敷设方式：挂钩法</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m</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460 </w:t>
            </w:r>
            <w:r/>
          </w:p>
        </w:tc>
      </w:tr>
      <w:tr>
        <w:trPr>
          <w:trHeight w:val="72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57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配线</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1.配线形式：管内穿线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2.型号：RVV-12*1.5</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m</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1400 </w:t>
            </w:r>
            <w:r/>
          </w:p>
        </w:tc>
      </w:tr>
      <w:tr>
        <w:trPr>
          <w:trHeight w:val="6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58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配线</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1.配线形式：管内穿线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2.型号：RVV-5*1.5</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m</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1050 </w:t>
            </w:r>
            <w:r/>
          </w:p>
        </w:tc>
      </w:tr>
      <w:tr>
        <w:trPr>
          <w:trHeight w:val="6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59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配线</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1.配线形式：管内穿线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2.型号：RVV-4*1.5</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m</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940 </w:t>
            </w:r>
            <w:r/>
          </w:p>
        </w:tc>
      </w:tr>
      <w:tr>
        <w:trPr>
          <w:trHeight w:val="72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60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配线</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1.配线形式：管内穿线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2.型号：RVV-3*1.5</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m</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1620 </w:t>
            </w:r>
            <w:r/>
          </w:p>
        </w:tc>
      </w:tr>
      <w:tr>
        <w:trPr>
          <w:trHeight w:val="68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61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配线</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1.配线形式：管内穿线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2.型号：RVV-3*2.5</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m</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1900 </w:t>
            </w:r>
            <w:r/>
          </w:p>
        </w:tc>
      </w:tr>
      <w:tr>
        <w:trPr>
          <w:trHeight w:val="68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62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配线</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1.配线形式：管内穿线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2.型号：RVSP-2*1.5</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m</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1400 </w:t>
            </w:r>
            <w:r/>
          </w:p>
        </w:tc>
      </w:tr>
      <w:tr>
        <w:trPr>
          <w:trHeight w:val="68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63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配线</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1.配线形式：管内穿线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2.型号：RVV-3*6</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m</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2000 </w:t>
            </w:r>
            <w:r/>
          </w:p>
        </w:tc>
      </w:tr>
      <w:tr>
        <w:trPr>
          <w:trHeight w:val="78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64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双绞线缆</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1.名称：网络线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2.规格：防水超五类</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3.敷设方式：管内穿放</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m</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1620 </w:t>
            </w:r>
            <w:r/>
          </w:p>
        </w:tc>
      </w:tr>
      <w:tr>
        <w:trPr>
          <w:trHeight w:val="176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65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抱杆机箱</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1.型号：镀锌钢板喷塑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2.规格：尺寸：510*380*260mm、门板壁厚1.2mm，箱体壁厚1mm；内置：空开*1；交流电源防雷*1；导轨插座*3；接地排*1；网络防雷*1；光纤盘*1；防水三角锁扣，辅材，定制丝印等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3.端子板外部接线材质、规格：无端子接线、光纤尾纤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4.支架材质、规格：不锈钢带抱箍</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25 </w:t>
            </w:r>
            <w:r/>
          </w:p>
        </w:tc>
      </w:tr>
      <w:tr>
        <w:trPr>
          <w:trHeight w:val="182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66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设备控制机箱</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1.类型：电警落地箱</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2.材质、规格尺寸：尺寸：660mm*415mm*1355mm:单前门+下开门；32A空开*1,导轨插座*1:16A,空开*5:机架式PDU插座*1(七位),机架式抽拉熔纤盘*1(12口SC),隔板*3;接地*1,箱体S1.2mm厚度镀锌；表面喷塑：箱门按项目要求彩色丝印等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3.垫层、基础材料品种、厚度：基础尺寸≥600mm*600mm*700mm，C25混凝土浇筑，基础高于地面300mm，模板制安拆除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4.含土方挖填及余土弃置</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7 </w:t>
            </w:r>
            <w:r/>
          </w:p>
        </w:tc>
      </w:tr>
      <w:tr>
        <w:trPr>
          <w:trHeight w:val="72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67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接地极</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1.材质：镀锌角钢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2.规格：L50*5*1500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3.土质：普通土</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根</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90 </w:t>
            </w:r>
            <w:r/>
          </w:p>
        </w:tc>
      </w:tr>
      <w:tr>
        <w:trPr>
          <w:trHeight w:val="8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68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接地母线</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1.材质：镀锌扁钢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2.规格：40*4</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3.安装部位：埋地</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m</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90 </w:t>
            </w:r>
            <w:r/>
          </w:p>
        </w:tc>
      </w:tr>
      <w:tr>
        <w:trPr>
          <w:trHeight w:val="142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69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人(手)孔井</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1.材料品种：MU15砼实心砖矩形砖砌井</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2.规格尺寸：井壁厚12cm,井内径尺寸：0.38m*0.38m*0.6m、1：2水泥砂浆内侧粉刷</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3.盖板材质、规格：0.4m*0.4m树脂复合井盖井座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4.垫层、基础材料品种、混凝土强度等级、厚度：10cm厚C20砼垫层，伸出井外壁10cm，模板制安拆除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5.含土方挖填及余土弃置</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座</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110 </w:t>
            </w:r>
            <w:r/>
          </w:p>
        </w:tc>
      </w:tr>
      <w:tr>
        <w:trPr>
          <w:trHeight w:val="8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70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系统调试</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1.调试内容：电子警察系统调试</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ff0000"/>
                <w:sz w:val="20"/>
                <w:szCs w:val="20"/>
              </w:rPr>
            </w:pPr>
            <w:r>
              <w:rPr>
                <w:rFonts w:hint="eastAsia" w:ascii="宋体" w:hAnsi="宋体" w:cs="宋体"/>
                <w:color w:val="ff0000"/>
                <w:sz w:val="20"/>
                <w:szCs w:val="20"/>
                <w:lang w:bidi="ar"/>
              </w:rPr>
              <w:t xml:space="preserve">项</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 </w:t>
            </w:r>
            <w:r/>
          </w:p>
        </w:tc>
      </w:tr>
      <w:tr>
        <w:trPr>
          <w:trHeight w:val="300"/>
        </w:trPr>
        <w:tc>
          <w:tcPr>
            <w:gridSpan w:val="11"/>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left"/>
              <w:rPr>
                <w:rFonts w:ascii="宋体" w:hAnsi="宋体" w:cs="宋体"/>
                <w:color w:val="000000"/>
                <w:sz w:val="20"/>
                <w:szCs w:val="20"/>
              </w:rPr>
            </w:pPr>
            <w:r>
              <w:rPr>
                <w:rFonts w:hint="eastAsia" w:ascii="宋体" w:hAnsi="宋体" w:cs="宋体"/>
                <w:color w:val="000000"/>
                <w:sz w:val="20"/>
                <w:szCs w:val="20"/>
                <w:lang w:bidi="ar"/>
              </w:rPr>
              <w:t xml:space="preserve">工程名称：道路交通安全“5510”整治工程（后端设备）</w:t>
            </w:r>
            <w:r/>
          </w:p>
        </w:tc>
      </w:tr>
      <w:tr>
        <w:trPr>
          <w:trHeight w:val="52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序号</w:t>
            </w:r>
            <w:r/>
          </w:p>
        </w:tc>
        <w:tc>
          <w:tcPr>
            <w:tcBorders>
              <w:top w:val="single" w:color="000000" w:sz="4" w:space="0"/>
              <w:left w:val="single" w:color="000000" w:sz="4" w:space="0"/>
              <w:bottom w:val="single" w:color="000000" w:sz="4" w:space="0"/>
              <w:right w:val="single" w:color="000000" w:sz="4" w:space="0"/>
            </w:tcBorders>
            <w:tcW w:w="13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项目名称</w:t>
            </w:r>
            <w:r/>
          </w:p>
        </w:tc>
        <w:tc>
          <w:tcPr>
            <w:gridSpan w:val="4"/>
            <w:tcBorders>
              <w:top w:val="single" w:color="000000" w:sz="4" w:space="0"/>
              <w:left w:val="single" w:color="000000" w:sz="4" w:space="0"/>
              <w:bottom w:val="single" w:color="000000" w:sz="4" w:space="0"/>
              <w:right w:val="single" w:color="000000" w:sz="4" w:space="0"/>
            </w:tcBorders>
            <w:tcW w:w="381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项目特征描述</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计量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单位</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工程量</w:t>
            </w:r>
            <w:r/>
          </w:p>
        </w:tc>
      </w:tr>
      <w:tr>
        <w:trPr>
          <w:trHeight w:val="336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机柜</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1.名称：机柜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2.规格：·型号：600×600×2000（42U）</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·材质：SPCC优质冷轧钢板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·材料厚度：立柱2.0，横梁1.2，门板1.0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·通风系统：置顶式风机散热单元，底部活动进线孔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·立柱间距： 19英寸</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·表面处理工艺：脱脂-酸洗-磷化-静电喷塑，方孔条镀锌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·附加功能：速拆卸式双侧板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·配置：3个层板，5MM钢化玻璃前门+冷轧钢网孔后门，20套哈姆螺丝</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·防护等级：IP20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·用途：装载网络设备及配件等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·特点：采用国际通用的19英寸标准，四根立柱，3块层板（可选加装多层），具有良好的通用性。"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3.安装方式：落地安装</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 </w:t>
            </w:r>
            <w:r/>
          </w:p>
        </w:tc>
      </w:tr>
      <w:tr>
        <w:trPr>
          <w:trHeight w:val="15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电力电缆</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1.名称：电缆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2.型号：YJV-3*6mm2</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3.材质：铜芯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4.电压(kV)：1KV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5.敷设方式：室内</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m</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90 </w:t>
            </w:r>
            <w:r/>
          </w:p>
        </w:tc>
      </w:tr>
      <w:tr>
        <w:trPr>
          <w:trHeight w:val="5693"/>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云存储数据存储节点</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1.名称：云存储数据存储节点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2.规格："8U机架式48盘位网络存储设备，搭载64位多核处理器，1+1冗余电源、冗余风扇，实现7×24小时稳定运行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【硬件规格】，满配48块8T企业级硬盘</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处理器：1颗64位多核处理器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系统内存：8GB</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系统盘：1×240GB SSD</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磁盘接口：48个SATA接口，支持硬盘热插拔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网络接口：2个千兆数据网口，1个千兆管理口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其他接口：1×COM，2×USB2.0，2×USB3.0，1×VGA，1×HDMI</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整机电源：1200W，1+1冗余电源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【产品性能】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视频性能：最大支持接入300路（最大接入带宽600Mbps）</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【产品功能】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设备内置视频云存储软件（含授权）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支持视频流、图片流直存</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支持ONVIF、GB/T 28181、RTSP等标准协议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云存储系统支持单机/集群化部署，对外提供唯一IP的存储服务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支持云存储节点之间容量及业务负载均衡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支持云存储节点在线无缝扩容，容量和性能线性增长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支持云存储空间按需分配，分配的存储空间在线扩大或缩小，不影响读写业务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云存储系统提供虚拟化资源池，支持按周期覆盖、容量覆盖、不覆盖等多种存储模式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云存储系统具备纠删码数据保护技术，保障数据完整性，支持超损回放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云存储系统支持与视频监控平台、虚拟化平台对接；一套云存储系统支持同时给多个视频监控平台系统提供服务，可提供视频监控业务，具备容错处理能力;（需提供有效期内的公安部检测报告或具有CMA、CNAS资质认定的检测机构出具的检测报告或提供同等效力的检验检测证明的复印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3.安装方式：机架式安装</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 </w:t>
            </w:r>
            <w:r/>
          </w:p>
        </w:tc>
      </w:tr>
      <w:tr>
        <w:trPr>
          <w:trHeight w:val="402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高性能服务器（国产化）</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1.名称：高性能服务器（国产化）</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2.规格："双路通用服务器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技术规格：2U海光3000双路标准机架式服务器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CPU：配置2颗 C86架构HYGON 3350处理器，单处理器物理核心数≥8核，主频≥3.0 GHz，末级缓存容量≥16 MB，线程数≥16线程，支持内存的最高速率≥3200 MHz，通道数≥2，位宽≥64；</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内存：配置128G DDR4，8根内存插槽，最大可支持扩展至1TB；</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硬盘：2块600G 10K SAS HDD硬盘，前置最大可选支持12块3.5寸(兼容2.5寸)热插拔SATA/SAS硬盘，后置最大可选支持2块2.5寸热插拔SATA/SAS硬盘，内置最大可选支持2块2.5寸非热插拔SATA SSD硬盘，板载最大可选支持1个SATA M.2硬盘；</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阵列卡：配置SAS_HBA卡（支持RAID 0/1/10）；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PCIE扩展：最大支持4个标准PCIE插槽；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网口：标配板载2个千兆电口，支持选配10GbE/25GbE SFP+等多种网络接口；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其他接口：标配1个IPMI RJ-45管理接口，位于机箱后部；7个USB 3.0接口 4个位于机箱后部，2个位于机箱前部，1个位于机箱内部；2个VGA接口 1个位于机箱前部，1个位于机箱后部；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电源：配置800W（1+1）高效铂金CRPS冗余电源；"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3.安装方式：机架式安装</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 </w:t>
            </w:r>
            <w:r/>
          </w:p>
        </w:tc>
      </w:tr>
      <w:tr>
        <w:trPr>
          <w:trHeight w:val="6383"/>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交通综合管控平台授权</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1.名称：交通综合管控平台授权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2.规格："1、资源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支持切换查看基础目录及业务目录，资源以资源树形式展示，点击可查看下层资源及点位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支持目录刷新的按钮变成常显，方便用户进行手动刷新。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支持点位预览、收藏、录像回放，支持查看点位属性详情</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支持针对点位进行周边搜索，点击后支持在弹出的地图页面上进行点位选择</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支持根据关键字及拼音字母进行点位模糊搜索，支持对检索点位进行定位到资源树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2、收藏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""支持收藏夹点位展示，支持查看我的收藏及分享给我的收藏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支持创建新的收藏夹分组，并支持编辑、修改排序以及删除个人收藏夹分组，支持收藏夹刷新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支持查看收藏夹内点位，支持针对收藏夹内点位进行查看详情、预览及回放，并支持添加及删除收藏夹内点位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支持针对收藏夹内进行区域广播""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支持将创建的分组分享给其他用户，支持统计收藏夹被分享的用户数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支持查看其他用户共享的收藏夹分组，并支持查看分享人及分享时间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支持分享点位在关联用户配置以及分享到用户同时支持展示用户名和真实姓名，并且支持真实姓名和用户名进行检索。方式为：用户名（真实姓名）。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支持根据关键字及拼音字母对收藏内点位进行模糊搜索，支持对检索点位进行定位到资源树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3、预案</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支持创建公有预案及私有预案，新增预案时需配置预案详细信息，编辑预案名称、预案类型、轮巡间隔、是否自动执行预案及时间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支持编辑、删除预案，并支持添加或删除预案内点位，支持调整点位顺序、设置预案点位的主子码流及关联预置点信息，支持预案轮巡预览</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支持查看预案创建者及创建时间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4、历史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按时间顺序显示近期查看过的点位，支持对近期查看过的点位视频快速进行播放，支持清空历史列表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5、视频预览</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支持画面抓图、录像、电子放大、3D放大、云台控制、视频增强、打开声音、对讲。抓图产生的图片支持打开目录、编辑图片和上传暂存架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支持即时回放功能，即时回放过程中支持控制回放时间及画面，支持针对即时回放画面进行抓图、回放、视频增强、打开声音、对讲、录像保存、播放暂停、单帧倒退及单帧前进</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支持多画面保存为预案，支持多画面同时抓图、同时录像、全部关闭、批量收藏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支持开启多屏，开启后新增一个多屏预览窗口，可进行一机双屏操作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支持切换画面为1、4、9、16、25、1+5、3+4、1+7、1+9、2+8、1+12、4+9、1+1+12、1+16及自定义屏幕分屏，支持画面以4:3或16:9展示，支持全屏播放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支持主子码流切换播放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支持组播预览</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取流失败点击窗口按钮后能重新播放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支持按权限控制播放声音，有权限的才能有声音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针对实时预览画面，支持右键进行抓图、录像、电子放大、3D放大、云台控制、打开声音、打开对讲、切换主子码流、打开视频智能信息、一键上墙、点位分享、切换录像回放、关闭画面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播放窗口顶部控制条支持浮动显示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支持实时视频云台控制及水平扫描，可以在视频上直接控制。支持八方向转动：上、下、左、右、左上、左下、右上、右下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支持设置云台转动速度；支持焦距放大缩小；支持聚焦控制；支持光圈扩大缩小；支持一键对焦；支持打开灯光；支持打开雨刮器；支持云台重置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支持高权限用户抢占云台控制权限，并支持云台锁定，可设置云台锁定时长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支持设置、修改及快速选择预置点(当前支持设置9个预置点)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支持设置、修改及快速选择云台巡航(当前支持设置9个巡航)</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支持云台控制叠加osd配置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支持录制及调用云台运行线路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6、视频回放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支持画面抓图、录像、电子放大、视频增强、音频播放，抓图产生的图片支持打开目录、编辑图片和上传暂存架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支持录像分段回放功能，可以将录像文件分成多个片段同时回放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支持录像向前定位功能，自动跳转至当前时间前几秒位置进行播放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支持多画面同步播放，即多个画面播放时间一致，统一进行时间控制；也支持多画面异步播放，即个画面播放时间不一致，分别控制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支持进度条缩放，并支持滚轮控制，支持在时间轴上切换画面播放时间，支持控制时间轴收起与展开，支持鼠标悬停查看当前时间点回放录像缩略图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支持以不同颜色标记录像属性（移动录像、报警录像、计划录像、手动录像），并支持依照类型进行录像筛选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支持针对录像进行框选下载，支持多路同时下载（最多支持9路同时下载）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支持针对一段录像进行标签标注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支持多画面同时抓图、同时录像、收藏、全部关闭功能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单画面及多画面播放控制，支持画面倒放、逐帧倒放、逐帧前进，支持调整画面播放倍速，支持1倍、2倍、4倍、8倍、16倍快速播放，也支持1/2、1/4、1/8、1/16倍速慢放，支持高倍速回放的点位还支持32倍、64倍播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支持多屏播放，支持切换画面为1、4、9、16分屏，支持画面以4:3或16:9展示，支持全屏播放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支持针对目标点位进行录像片段时间设置及查询，并支持快速打开录像进行回放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支持进度条的不展示，支持开启多屏，开启后新增一个多屏回放窗口，可进行一机双屏操作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针对录像回放画面，支持右键进行抓图、录像、电子放大、打开声音、打开视频智能信息、切换实时预览、关闭画面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支持按权限控制播放声音，有权限的才能有声音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级联点位倒放提示不支持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播放窗口顶部控制条支持浮动显示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只有一个录像类型的点位，支持直接双击播放"</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路</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87 </w:t>
            </w:r>
            <w:r/>
          </w:p>
        </w:tc>
      </w:tr>
      <w:tr>
        <w:trPr>
          <w:trHeight w:val="27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云存储授权</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1.名称：云存储授权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2.规格："1、必选，视频云存储必选软件模块，将所有磁盘容量格式化后虚拟化成一个或者多个资源池使用，资源池无单节点容量限制；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2、支持灵活设置同一个集群不同域的磁盘级EC或者设备级EC，从而满足不同的数据保护等级需求；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3、支持在线调整资源池的数据保护EC级别；</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4、支持在域中创建资源池，设置资源池的容量大小，当资源池容量不够时，可以对资源池进行扩容操作，将域中剩余未分配的容量扩容到资源池中；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5、支持通过配置资源池的周期性覆盖、容量覆盖、不覆盖的策略来设置数据的覆盖策略；</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6、支持通过修改资源池的保存周期，来批量设置点位的保存时长，修改后可及时生效；</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7、支持通过修改资源池的数据存储策略来批量修改点位的数据存储周期，修改后可同步更新点位的历史数据的生命周期。"</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T</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768 </w:t>
            </w:r>
            <w:r/>
          </w:p>
        </w:tc>
      </w:tr>
      <w:tr>
        <w:trPr>
          <w:trHeight w:val="340"/>
        </w:trPr>
        <w:tc>
          <w:tcPr>
            <w:gridSpan w:val="11"/>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left"/>
              <w:rPr>
                <w:rFonts w:ascii="宋体" w:hAnsi="宋体" w:cs="宋体"/>
                <w:color w:val="000000"/>
                <w:sz w:val="20"/>
                <w:szCs w:val="20"/>
              </w:rPr>
            </w:pPr>
            <w:r>
              <w:rPr>
                <w:rFonts w:hint="eastAsia" w:ascii="宋体" w:hAnsi="宋体" w:cs="宋体"/>
                <w:color w:val="000000"/>
                <w:sz w:val="20"/>
                <w:szCs w:val="20"/>
                <w:lang w:bidi="ar"/>
              </w:rPr>
              <w:t xml:space="preserve">工程名称：道路交通安全“5510”整治工程（标牌标线等）</w:t>
            </w:r>
            <w:r/>
          </w:p>
        </w:tc>
      </w:tr>
      <w:tr>
        <w:trPr>
          <w:gridAfter w:val="1"/>
          <w:trHeight w:val="62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序号</w:t>
            </w:r>
            <w:r/>
          </w:p>
        </w:tc>
        <w:tc>
          <w:tcPr>
            <w:tcBorders>
              <w:top w:val="single" w:color="000000" w:sz="4" w:space="0"/>
              <w:left w:val="single" w:color="000000" w:sz="4" w:space="0"/>
              <w:bottom w:val="single" w:color="000000" w:sz="4" w:space="0"/>
              <w:right w:val="single" w:color="000000" w:sz="4" w:space="0"/>
            </w:tcBorders>
            <w:tcW w:w="13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项目名称</w:t>
            </w:r>
            <w:r/>
          </w:p>
        </w:tc>
        <w:tc>
          <w:tcPr>
            <w:gridSpan w:val="5"/>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项目特征描述</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计量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单位</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工程量</w:t>
            </w:r>
            <w:r/>
          </w:p>
        </w:tc>
      </w:tr>
      <w:tr>
        <w:trPr>
          <w:trHeight w:val="15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隔离护栏</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1.类型：三波波型护栏，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2.规格、型号：栏高：950mm，波宽：506mm，含配套端头、立柱、轮廓标等，详见设计大样图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材料品种：护栏采用φ140×4.5×2500mm钢管立柱,三波形梁板厚度为4mm，护栏螺栓采用防盗螺母，轮廓标材料采用厚1.5mm的薄钢板（反光材料采用IV类反光膜在道路右侧为白色，左侧为黄色，反射体规格为4cm*18cm，直线段间距8m曲线段适当加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4.垫层、基础材料品种、混凝土强度等级、厚度：立柱打入深度1650mm；</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m</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72 </w:t>
            </w:r>
            <w:r/>
          </w:p>
        </w:tc>
      </w:tr>
      <w:tr>
        <w:trPr>
          <w:trHeight w:val="10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减速垄</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1.材料品种：减速垄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2.规格、型号：橡胶，国产优质</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m</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32 </w:t>
            </w:r>
            <w:r/>
          </w:p>
        </w:tc>
      </w:tr>
      <w:tr>
        <w:trPr>
          <w:trHeight w:val="10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广角镜安装</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1.样式、材质、规格：直径80CM凹凸镜，含立柱及配套基础</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11 </w:t>
            </w:r>
            <w:r/>
          </w:p>
        </w:tc>
      </w:tr>
      <w:tr>
        <w:trPr>
          <w:trHeight w:val="10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警示柱</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1.类型：道口警示桩</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2.材料品种：镀锌钢管，贴红白色Ⅲ类反光膜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3.规格、型号：直径12cm壁厚3mm，地上80cm埋入地下砼内40cm，C20砼基础35*35*45cm</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根</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 </w:t>
            </w:r>
            <w:r/>
          </w:p>
        </w:tc>
      </w:tr>
      <w:tr>
        <w:trPr>
          <w:trHeight w:val="10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清除标线</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1.清除方法：水除线</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m2</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380 </w:t>
            </w:r>
            <w:r/>
          </w:p>
        </w:tc>
      </w:tr>
      <w:tr>
        <w:trPr>
          <w:trHeight w:val="10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标志牌</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1.类型：拆除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2.材质、规格尺寸：老旧标志牌</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块</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10 </w:t>
            </w:r>
            <w:r/>
          </w:p>
        </w:tc>
      </w:tr>
      <w:tr>
        <w:trPr>
          <w:trHeight w:val="10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7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减速垄</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1.材料品种：拆除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2.规格、型号：破损减速垄</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m</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60 </w:t>
            </w:r>
            <w:r/>
          </w:p>
        </w:tc>
      </w:tr>
      <w:tr>
        <w:trPr>
          <w:trHeight w:val="10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8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标志牌</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1.类型：铝板(符合国标GB57682-2022标准)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2.材质、规格尺寸：铝板厚度≥2mm,T字路口-三角牌，边长70cm，龙骨等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3.板面反光膜等级：Ⅲ类反光膜</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块</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8 </w:t>
            </w:r>
            <w:r/>
          </w:p>
        </w:tc>
      </w:tr>
      <w:tr>
        <w:trPr>
          <w:trHeight w:val="10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9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标志牌</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1.类型：铝板(符合国标GB57682-2022标准)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2.材质、规格尺寸：铝板厚度≥2mm,T字路口-三角牌，边长90cm，龙骨等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3.板面反光膜等级：Ⅲ类反光膜</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块</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 </w:t>
            </w:r>
            <w:r/>
          </w:p>
        </w:tc>
      </w:tr>
      <w:tr>
        <w:trPr>
          <w:trHeight w:val="10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10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标志牌</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1.类型：铝板(符合国标GB57682-2022标准)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2.材质、规格尺寸：铝板厚度≥2mm,货车危险三角牌，边长90cm，龙骨等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3.板面反光膜等级：Ⅲ类反光膜</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块</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 </w:t>
            </w:r>
            <w:r/>
          </w:p>
        </w:tc>
      </w:tr>
      <w:tr>
        <w:trPr>
          <w:trHeight w:val="10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11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标志牌</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1.类型：铝板(符合国标GB57682-2022标准)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2.材质、规格尺寸：铝板厚度≥2mm,减速让行-三角牌，边长70cm，龙骨等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3.板面反光膜等级：Ⅲ类反光膜</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块</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 </w:t>
            </w:r>
            <w:r/>
          </w:p>
        </w:tc>
      </w:tr>
      <w:tr>
        <w:trPr>
          <w:trHeight w:val="10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12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标志牌</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1.类型：铝板(符合国标GB57682-2022标准)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2.材质、规格尺寸：铝板厚度≥2mm,禁止危险品运输车右转1.1*1.4m，龙骨等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3.板面反光膜等级：Ⅲ类反光膜</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块</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 </w:t>
            </w:r>
            <w:r/>
          </w:p>
        </w:tc>
      </w:tr>
      <w:tr>
        <w:trPr>
          <w:trHeight w:val="10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13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标志牌</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1.类型：铝板(符合国标GB57682-2022标准)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2.材质、规格尺寸：铝板厚度≥2mm,人行横道标志牌，80cm*80cm，龙骨等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3.板面反光膜等级：Ⅲ类反光膜</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块</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11 </w:t>
            </w:r>
            <w:r/>
          </w:p>
        </w:tc>
      </w:tr>
      <w:tr>
        <w:trPr>
          <w:trHeight w:val="10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14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标志牌</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1.类型：铝板(符合国标GB57682-2022标准)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2.材质、规格尺寸：铝板厚度≥2mm,十字路口三角牌，边长70cm，龙骨等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3.板面反光膜等级：Ⅲ类反光膜</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块</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8 </w:t>
            </w:r>
            <w:r/>
          </w:p>
        </w:tc>
      </w:tr>
      <w:tr>
        <w:trPr>
          <w:trHeight w:val="10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15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标志牌</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1.类型：铝板(符合国标GB57682-2022标准)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2.材质、规格尺寸：铝板厚度≥2mm,停车场出口，60*80cm，龙骨等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3.板面反光膜等级：Ⅲ类反光膜</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块</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 </w:t>
            </w:r>
            <w:r/>
          </w:p>
        </w:tc>
      </w:tr>
      <w:tr>
        <w:trPr>
          <w:trHeight w:val="10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16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标志牌</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1.类型：铝板(符合国标GB57682-2022标准)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2.材质、规格尺寸：铝板厚度≥2mm,停车让行八角牌，80cm*80cm，龙骨等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3.板面反光膜等级：Ⅲ类反光膜</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块</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18 </w:t>
            </w:r>
            <w:r/>
          </w:p>
        </w:tc>
      </w:tr>
      <w:tr>
        <w:trPr>
          <w:trHeight w:val="10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17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标志牌</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1.类型：铝板(符合国标GB57682-2022标准)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2.材质、规格尺寸：铝板厚度≥2mm,外框加荧光黄绿色人行横道标志牌，1m*1m，龙骨等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3.板面反光膜等级：Ⅲ类反光膜</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块</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24 </w:t>
            </w:r>
            <w:r/>
          </w:p>
        </w:tc>
      </w:tr>
      <w:tr>
        <w:trPr>
          <w:trHeight w:val="10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18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标志牌</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1.类型：铝板(符合国标GB57682-2022标准)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2.材质、规格尺寸：铝板厚度≥2mm,向左向右线型诱导标志牌，60cm*160cm，龙骨等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3.板面反光膜等级：Ⅲ类反光膜</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块</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7 </w:t>
            </w:r>
            <w:r/>
          </w:p>
        </w:tc>
      </w:tr>
      <w:tr>
        <w:trPr>
          <w:trHeight w:val="10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19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标志牌</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1.类型：铝板(符合国标GB57682-2022标准)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2.材质、规格尺寸：铝板厚度≥2mm,右转黄牌货车必须停车观察确认安全后重新起步，1.1*1.4m，龙骨等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3.板面反光膜等级：Ⅲ类反光膜</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块</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 </w:t>
            </w:r>
            <w:r/>
          </w:p>
        </w:tc>
      </w:tr>
      <w:tr>
        <w:trPr>
          <w:trHeight w:val="10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20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标志牌</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1.类型：铝板(符合国标GB57682-2022标准)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2.材质、规格尺寸：铝板厚度≥2mm,右转停车再起步，0.8m*1.2m，龙骨等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3.板面反光膜等级：Ⅲ类反光膜</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块</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 </w:t>
            </w:r>
            <w:r/>
          </w:p>
        </w:tc>
      </w:tr>
      <w:tr>
        <w:trPr>
          <w:trHeight w:val="10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21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标志牌</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1.类型：铝板(符合国标GB57682-2022标准)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2.材质、规格尺寸：铝板厚度≥2mm,,注意危险三角牌，边长90cm，龙骨等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3.板面反光膜等级：Ⅲ类反光膜</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块</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 </w:t>
            </w:r>
            <w:r/>
          </w:p>
        </w:tc>
      </w:tr>
      <w:tr>
        <w:trPr>
          <w:trHeight w:val="10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22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标志牌</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1.类型：铝板(符合国标GB57682-2022标准)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2.材质、规格尺寸：铝板厚度≥2mm,注意行人标志牌，边长90cm，龙骨等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3.板面反光膜等级：Ⅲ类反光膜</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块</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 </w:t>
            </w:r>
            <w:r/>
          </w:p>
        </w:tc>
      </w:tr>
      <w:tr>
        <w:trPr>
          <w:trHeight w:val="10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23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标志牌</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1.类型：铝板(符合国标GB57682-2022标准)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2.材质、规格尺寸：铝板厚度≥2mm,解除限速30，φ80cm，龙骨等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3.板面反光膜等级：Ⅲ类反光膜</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块</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 </w:t>
            </w:r>
            <w:r/>
          </w:p>
        </w:tc>
      </w:tr>
      <w:tr>
        <w:trPr>
          <w:trHeight w:val="10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24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标志牌</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1.类型：铝板(符合国标GB57682-2022标准)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2.材质、规格尺寸：铝板厚度≥2mm,人行横道标志牌，80cm*80cm，龙骨等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3.板面反光膜等级：Ⅲ类反光膜</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块</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20 </w:t>
            </w:r>
            <w:r/>
          </w:p>
        </w:tc>
      </w:tr>
      <w:tr>
        <w:trPr>
          <w:trHeight w:val="10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25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标志牌</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1.类型：铝板(符合国标GB57682-2022标准)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2.材质、规格尺寸：铝板厚度≥2mm,,限速30，φ80cm，龙骨等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3.板面反光膜等级：Ⅲ类反光膜</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块</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20 </w:t>
            </w:r>
            <w:r/>
          </w:p>
        </w:tc>
      </w:tr>
      <w:tr>
        <w:trPr>
          <w:trHeight w:val="10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26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标志牌</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1.类型：铝板(符合国标GB57682-2022标准)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2.材质、规格尺寸：铝板厚度≥2mm,学校区域辅助牌,60*37cm，龙骨等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3.板面反光膜等级：Ⅲ类反光膜</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块</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13 </w:t>
            </w:r>
            <w:r/>
          </w:p>
        </w:tc>
      </w:tr>
      <w:tr>
        <w:trPr>
          <w:trHeight w:val="10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27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标志牌</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1.类型：铝板(符合国标GB57682-2022标准)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2.材质、规格尺寸：铝板厚度≥2mm,注意儿童三角牌，边长70cm，龙骨等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3.板面反光膜等级：Ⅲ类反光膜</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块</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13 </w:t>
            </w:r>
            <w:r/>
          </w:p>
        </w:tc>
      </w:tr>
      <w:tr>
        <w:trPr>
          <w:trHeight w:val="10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28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标记</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1.材料品种：直行箭头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2.类型：符合 GB 5768.3-2025标准，热熔标线厚度≥1.5mm，逆反射系数（夜间亮度）：白色≥300mcd・m⁻²・lx⁻¹，黄色≥200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3.规格尺寸：长度6m，线宽30cm，具体见设计大样图</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37 </w:t>
            </w:r>
            <w:r/>
          </w:p>
        </w:tc>
      </w:tr>
      <w:tr>
        <w:trPr>
          <w:trHeight w:val="10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29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标记</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1.材料品种：转弯箭头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2.类型：符合 GB 5768.3-2025标准，热熔标线厚度≥1.5mm，逆反射系数（夜间亮度）：白色≥300mcd・m⁻²・lx⁻¹，黄色≥200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3.规格尺寸：长度6m，线宽30cm，具体见设计大样图</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 </w:t>
            </w:r>
            <w:r/>
          </w:p>
        </w:tc>
      </w:tr>
      <w:tr>
        <w:trPr>
          <w:trHeight w:val="10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30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标记</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1.材料品种：直行+转弯箭头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2.类型：符合 GB 5768.3-2025标准，热熔标线厚度≥1.5mm，逆反射系数（夜间亮度）：白色≥300mcd・m⁻²・lx⁻¹，黄色≥200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3.规格尺寸：长度6m，线宽30cm，具体见设计大样图</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 </w:t>
            </w:r>
            <w:r/>
          </w:p>
        </w:tc>
      </w:tr>
      <w:tr>
        <w:trPr>
          <w:trHeight w:val="10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31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标记</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1.材料品种：非机动车道图标（自行车）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2.类型：符合 GB 5768.3-2025标准，热熔标线厚度≥1.5mm，逆反射系数（夜间亮度）：白色≥300mcd・m⁻²・lx⁻¹，黄色≥200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3.规格尺寸：长度6m，线宽30cm，具体见设计大样图</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7 </w:t>
            </w:r>
            <w:r/>
          </w:p>
        </w:tc>
      </w:tr>
      <w:tr>
        <w:trPr>
          <w:trHeight w:val="10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32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标记</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1.材料品种：菱行预告标示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2.类型：符合 GB 5768.3-2025标准，热熔标线厚度≥1.5mm，逆反射系数（夜间亮度）：白色≥300mcd・m⁻²・lx⁻¹，黄色≥200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3.规格尺寸：菱行预告标示(1×2.5m) ，具体见设计大样图</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22 </w:t>
            </w:r>
            <w:r/>
          </w:p>
        </w:tc>
      </w:tr>
      <w:tr>
        <w:trPr>
          <w:trHeight w:val="10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33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标记</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1.材料品种：文字标记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2.类型：符合 GB 5768.3-2025标准，热熔标线厚度≥1.5mm，逆反射系数（夜间亮度）：白色≥300mcd・m⁻²・lx⁻¹，黄色≥200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3.规格尺寸：字高3m内，具体见设计大样图</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25 </w:t>
            </w:r>
            <w:r/>
          </w:p>
        </w:tc>
      </w:tr>
      <w:tr>
        <w:trPr>
          <w:trHeight w:val="10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34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横道线</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1.材料品种：斑马线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2.类型：符合 GB 5768.3-2025标准，热熔标线厚度≥1.5mm，逆反射系数（夜间亮度）：白色≥300mcd・m⁻²・lx⁻¹，黄色≥200</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m2</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1030.65 </w:t>
            </w:r>
            <w:r/>
          </w:p>
        </w:tc>
      </w:tr>
      <w:tr>
        <w:trPr>
          <w:trHeight w:val="10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35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标线</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1.材料品种：彩色标线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2.类型：符合 GB 5768.3-2025标准，聚氨酯陶瓷颗粒</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m2</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1730 </w:t>
            </w:r>
            <w:r/>
          </w:p>
        </w:tc>
      </w:tr>
      <w:tr>
        <w:trPr>
          <w:trHeight w:val="10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36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标线</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1.材料品种：标线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2.类型：符合 GB 5768.3-2025标准，热熔标线厚度≥1.5mm，逆反射系数（夜间亮度）：白色≥300mcd・m⁻²・lx⁻¹，黄色≥200</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m2</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2255.2 </w:t>
            </w:r>
            <w:r/>
          </w:p>
        </w:tc>
      </w:tr>
      <w:tr>
        <w:trPr>
          <w:trHeight w:val="10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37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绿化修剪</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1.绿化修剪：泰兴国省道前端点位绿化遮挡修剪</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处</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200 </w:t>
            </w:r>
            <w:r/>
          </w:p>
        </w:tc>
      </w:tr>
      <w:tr>
        <w:trPr>
          <w:trHeight w:val="10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38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交通标志杆</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1.类型：标志杆（人行斑马线标志牌800*800）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2.材质：镀锌电焊钢管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3.规格尺寸：102*5*3550，镀锌钢板，螺栓</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4.垫层、基础材料品种、混凝土强度等级、厚度：600*600*1000mmC20混凝土基础，钢筋，模板</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根</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 </w:t>
            </w:r>
            <w:r/>
          </w:p>
        </w:tc>
      </w:tr>
      <w:tr>
        <w:trPr>
          <w:trHeight w:val="10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39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交通标志杆</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1.类型：标志杆（停车让行标志牌800八角）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2.材质：镀锌电焊钢管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3.规格尺寸：89*5*3650，镀锌钢板，螺栓</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4.垫层、基础材料品种、混凝土强度等级、厚度：600*600*1000mmC20混凝土基础，钢筋，模板</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根</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8 </w:t>
            </w:r>
            <w:r/>
          </w:p>
        </w:tc>
      </w:tr>
      <w:tr>
        <w:trPr>
          <w:trHeight w:val="10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40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交通标志杆</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1.类型：标志杆（减速让行标志牌900三角）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2.材质：镀锌电焊钢管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3.规格尺寸：89*5*3450，镀锌钢板，螺栓</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4.垫层、基础材料品种、混凝土强度等级、厚度：600*600*1000mmC20混凝土基础，钢筋，模板</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根</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 </w:t>
            </w:r>
            <w:r/>
          </w:p>
        </w:tc>
      </w:tr>
      <w:tr>
        <w:trPr>
          <w:trHeight w:val="340"/>
        </w:trPr>
        <w:tc>
          <w:tcPr>
            <w:gridSpan w:val="11"/>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left"/>
              <w:rPr>
                <w:rFonts w:ascii="宋体" w:hAnsi="宋体" w:cs="宋体"/>
                <w:color w:val="000000"/>
                <w:sz w:val="20"/>
                <w:szCs w:val="20"/>
              </w:rPr>
            </w:pPr>
            <w:r>
              <w:rPr>
                <w:rFonts w:hint="eastAsia" w:ascii="宋体" w:hAnsi="宋体" w:cs="宋体"/>
                <w:color w:val="000000"/>
                <w:sz w:val="20"/>
                <w:szCs w:val="20"/>
                <w:lang w:bidi="ar"/>
              </w:rPr>
              <w:t xml:space="preserve">工程名称：道路交通安全“5510”整治工程（宣传）</w:t>
            </w:r>
            <w:r/>
          </w:p>
        </w:tc>
      </w:tr>
      <w:tr>
        <w:trPr>
          <w:trHeight w:val="62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项目名称</w:t>
            </w:r>
            <w:r/>
          </w:p>
        </w:tc>
        <w:tc>
          <w:tcPr>
            <w:gridSpan w:val="3"/>
            <w:tcBorders>
              <w:top w:val="single" w:color="000000" w:sz="4" w:space="0"/>
              <w:left w:val="single" w:color="000000" w:sz="4" w:space="0"/>
              <w:bottom w:val="single" w:color="000000" w:sz="4" w:space="0"/>
              <w:right w:val="single" w:color="000000" w:sz="4" w:space="0"/>
            </w:tcBorders>
            <w:tcW w:w="345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项目特征描述</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计量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单位</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工程量</w:t>
            </w:r>
            <w:r/>
          </w:p>
        </w:tc>
      </w:tr>
      <w:tr>
        <w:trPr>
          <w:trHeight w:val="8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 </w:t>
            </w:r>
            <w:r/>
          </w:p>
        </w:tc>
        <w:tc>
          <w:tcPr>
            <w:gridSpan w:val="2"/>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随警执法拍摄采访</w:t>
            </w:r>
            <w:r/>
          </w:p>
        </w:tc>
        <w:tc>
          <w:tcPr>
            <w:gridSpan w:val="3"/>
            <w:tcBorders>
              <w:top w:val="single" w:color="000000" w:sz="4" w:space="0"/>
              <w:left w:val="single" w:color="000000" w:sz="4" w:space="0"/>
              <w:bottom w:val="single" w:color="000000" w:sz="4" w:space="0"/>
              <w:right w:val="single" w:color="000000" w:sz="4" w:space="0"/>
            </w:tcBorders>
            <w:tcW w:w="3457"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制作报道并泰兴电视台、新媒体资源全覆盖推广</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次</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12</w:t>
            </w:r>
            <w:r/>
          </w:p>
        </w:tc>
      </w:tr>
      <w:tr>
        <w:trPr>
          <w:trHeight w:val="8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 </w:t>
            </w:r>
            <w:r/>
          </w:p>
        </w:tc>
        <w:tc>
          <w:tcPr>
            <w:gridSpan w:val="2"/>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交警在线视频号</w:t>
            </w:r>
            <w:r/>
          </w:p>
        </w:tc>
        <w:tc>
          <w:tcPr>
            <w:gridSpan w:val="3"/>
            <w:tcBorders>
              <w:top w:val="single" w:color="000000" w:sz="4" w:space="0"/>
              <w:left w:val="single" w:color="000000" w:sz="4" w:space="0"/>
              <w:bottom w:val="single" w:color="000000" w:sz="4" w:space="0"/>
              <w:right w:val="single" w:color="000000" w:sz="4" w:space="0"/>
            </w:tcBorders>
            <w:tcW w:w="3457"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交警风采、交管纪实，以短视频形式制作推送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智慧泰兴和泰兴发布等微信、抖音号等政务平台</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12</w:t>
            </w:r>
            <w:r/>
          </w:p>
        </w:tc>
      </w:tr>
      <w:tr>
        <w:trPr>
          <w:trHeight w:val="8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 </w:t>
            </w:r>
            <w:r/>
          </w:p>
        </w:tc>
        <w:tc>
          <w:tcPr>
            <w:gridSpan w:val="2"/>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事故警示、安全提醒</w:t>
            </w:r>
            <w:r/>
          </w:p>
        </w:tc>
        <w:tc>
          <w:tcPr>
            <w:gridSpan w:val="3"/>
            <w:tcBorders>
              <w:top w:val="single" w:color="000000" w:sz="4" w:space="0"/>
              <w:left w:val="single" w:color="000000" w:sz="4" w:space="0"/>
              <w:bottom w:val="single" w:color="000000" w:sz="4" w:space="0"/>
              <w:right w:val="single" w:color="000000" w:sz="4" w:space="0"/>
            </w:tcBorders>
            <w:tcW w:w="3457"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公众号推送智慧泰兴和泰兴发布等政务平台</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52</w:t>
            </w:r>
            <w:r/>
          </w:p>
        </w:tc>
      </w:tr>
      <w:tr>
        <w:trPr>
          <w:trHeight w:val="8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交通违法曝光台</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融媒体微信公众号推文、电视台专栏</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52</w:t>
            </w:r>
            <w:r/>
          </w:p>
        </w:tc>
      </w:tr>
      <w:tr>
        <w:trPr>
          <w:trHeight w:val="8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宣传丽屏展架</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加重防风型特质骨架，外框83*183CM，内页单面高</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清画面79.7*180cm，包含设计制作印刷</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幅</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200</w:t>
            </w:r>
            <w:r/>
          </w:p>
        </w:tc>
      </w:tr>
      <w:tr>
        <w:trPr>
          <w:trHeight w:val="8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 </w:t>
            </w:r>
            <w:r/>
          </w:p>
        </w:tc>
        <w:tc>
          <w:tcPr>
            <w:gridSpan w:val="3"/>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交通安全知识宣传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三折页</w:t>
            </w:r>
            <w:r/>
          </w:p>
        </w:tc>
        <w:tc>
          <w:tcPr>
            <w:gridSpan w:val="2"/>
            <w:tcBorders>
              <w:top w:val="single" w:color="000000" w:sz="4" w:space="0"/>
              <w:left w:val="single" w:color="000000" w:sz="4" w:space="0"/>
              <w:bottom w:val="single" w:color="000000" w:sz="4" w:space="0"/>
              <w:right w:val="single" w:color="000000" w:sz="4" w:space="0"/>
            </w:tcBorders>
            <w:tcW w:w="3403"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A4尺寸，210*290mm，157g铜版纸，四色印刷包含设计制作印刷</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本</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20000</w:t>
            </w:r>
            <w:r/>
          </w:p>
        </w:tc>
      </w:tr>
      <w:tr>
        <w:trPr>
          <w:trHeight w:val="8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7 </w:t>
            </w:r>
            <w:r/>
          </w:p>
        </w:tc>
        <w:tc>
          <w:tcPr>
            <w:gridSpan w:val="4"/>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交通安全知识、事故案例宣传画册</w:t>
            </w:r>
            <w:r/>
          </w:p>
        </w:tc>
        <w:tc>
          <w:tcPr>
            <w:tcBorders>
              <w:top w:val="single" w:color="000000" w:sz="4" w:space="0"/>
              <w:left w:val="single" w:color="000000" w:sz="4" w:space="0"/>
              <w:bottom w:val="single" w:color="000000" w:sz="4" w:space="0"/>
              <w:right w:val="single" w:color="000000" w:sz="4" w:space="0"/>
            </w:tcBorders>
            <w:tcW w:w="3057"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A5尺寸，210*140mm，封面200g铜版纸覆光膜，内页157g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铜版纸，24P，四色印刷无线胶装，包含设计制作印刷</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本</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20000</w:t>
            </w:r>
            <w:r/>
          </w:p>
        </w:tc>
      </w:tr>
      <w:tr>
        <w:trPr>
          <w:trHeight w:val="8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8 </w:t>
            </w:r>
            <w:r/>
          </w:p>
        </w:tc>
        <w:tc>
          <w:tcPr>
            <w:gridSpan w:val="4"/>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安全警示宣传牌</w:t>
            </w:r>
            <w:r/>
          </w:p>
        </w:tc>
        <w:tc>
          <w:tcPr>
            <w:tcBorders>
              <w:top w:val="single" w:color="000000" w:sz="4" w:space="0"/>
              <w:left w:val="single" w:color="000000" w:sz="4" w:space="0"/>
              <w:bottom w:val="single" w:color="000000" w:sz="4" w:space="0"/>
              <w:right w:val="single" w:color="000000" w:sz="4" w:space="0"/>
            </w:tcBorders>
            <w:tcW w:w="3057"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不锈钢材质200*110cm,画面尺寸80*100cm，双面PVC高清画面，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包含设计制作印刷，标牌地基人工开挖40*40*60cm，C25商砼浇筑等</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块</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r>
      <w:tr>
        <w:trPr>
          <w:trHeight w:val="8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9 </w:t>
            </w:r>
            <w:r/>
          </w:p>
        </w:tc>
        <w:tc>
          <w:tcPr>
            <w:gridSpan w:val="4"/>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1.22全国交通安全宣传日宣传海报</w:t>
            </w:r>
            <w:r/>
          </w:p>
        </w:tc>
        <w:tc>
          <w:tcPr>
            <w:tcBorders>
              <w:top w:val="single" w:color="000000" w:sz="4" w:space="0"/>
              <w:left w:val="single" w:color="000000" w:sz="4" w:space="0"/>
              <w:bottom w:val="single" w:color="000000" w:sz="4" w:space="0"/>
              <w:right w:val="single" w:color="000000" w:sz="4" w:space="0"/>
            </w:tcBorders>
            <w:tcW w:w="3057"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50*90cm，高清喷绘，覆光膜，室外热熔防水背胶，包含设计制作印刷</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张</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3000</w:t>
            </w:r>
            <w:r/>
          </w:p>
        </w:tc>
      </w:tr>
      <w:tr>
        <w:trPr>
          <w:trHeight w:val="8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10 </w:t>
            </w:r>
            <w:r/>
          </w:p>
        </w:tc>
        <w:tc>
          <w:tcPr>
            <w:gridSpan w:val="4"/>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春运交通安全宣传海报</w:t>
            </w:r>
            <w:r/>
          </w:p>
        </w:tc>
        <w:tc>
          <w:tcPr>
            <w:tcBorders>
              <w:top w:val="single" w:color="000000" w:sz="4" w:space="0"/>
              <w:left w:val="single" w:color="000000" w:sz="4" w:space="0"/>
              <w:bottom w:val="single" w:color="000000" w:sz="4" w:space="0"/>
              <w:right w:val="single" w:color="000000" w:sz="4" w:space="0"/>
            </w:tcBorders>
            <w:tcW w:w="3057" w:type="pct"/>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50*90cm，高清喷绘，覆光膜，室外热熔防水背胶，包含设计制作印刷</w:t>
            </w:r>
            <w:r/>
          </w:p>
        </w:tc>
        <w:tc>
          <w:tcPr>
            <w:gridSpan w:val="2"/>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张</w:t>
            </w:r>
            <w:r/>
          </w:p>
        </w:tc>
        <w:tc>
          <w:tcPr>
            <w:gridSpan w:val="3"/>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3000</w:t>
            </w:r>
            <w:bookmarkEnd w:id="292"/>
            <w:r/>
          </w:p>
        </w:tc>
      </w:tr>
    </w:tbl>
    <w:p>
      <w:pPr>
        <w:pStyle w:val="693"/>
        <w:ind w:firstLine="560"/>
        <w:spacing w:after="0" w:line="480" w:lineRule="exact"/>
        <w:rPr>
          <w:rFonts w:asciiTheme="minorEastAsia" w:hAnsiTheme="minorEastAsia" w:eastAsiaTheme="minorEastAsia"/>
          <w:sz w:val="28"/>
          <w:szCs w:val="28"/>
        </w:rPr>
      </w:pPr>
      <w:r>
        <w:rPr>
          <w:rFonts w:asciiTheme="minorEastAsia" w:hAnsiTheme="minorEastAsia" w:eastAsiaTheme="minorEastAsia"/>
          <w:sz w:val="28"/>
          <w:szCs w:val="28"/>
        </w:rPr>
      </w:r>
      <w:r/>
    </w:p>
    <w:p>
      <w:pPr>
        <w:rPr>
          <w:color w:val="000000" w:themeColor="text1"/>
          <w14:textFill>
            <w14:solidFill>
              <w14:schemeClr w14:val="tx1"/>
            </w14:solidFill>
          </w14:textFill>
        </w:rPr>
      </w:pPr>
      <w:r>
        <w:rPr>
          <w:color w:val="000000" w:themeColor="text1"/>
          <w14:textFill>
            <w14:solidFill>
              <w14:schemeClr w14:val="tx1"/>
            </w14:solidFill>
          </w14:textFill>
        </w:rPr>
      </w:r>
      <w:bookmarkEnd w:id="293"/>
      <w:bookmarkEnd w:id="294"/>
      <w:r/>
    </w:p>
    <w:p>
      <w:pPr>
        <w:jc w:val="center"/>
        <w:spacing w:line="500" w:lineRule="exact"/>
        <w:rPr>
          <w:rFonts w:ascii="宋体" w:hAnsi="宋体" w:cs="宋体"/>
          <w:b/>
          <w:sz w:val="28"/>
          <w:szCs w:val="28"/>
        </w:rPr>
        <w:sectPr>
          <w:footerReference w:type="default" r:id="rId9"/>
          <w:footnotePr/>
          <w:endnotePr/>
          <w:type w:val="nextPage"/>
          <w:pgSz w:w="11906" w:h="16838" w:orient="portrait"/>
          <w:pgMar w:top="1440" w:right="1559" w:bottom="1440" w:left="1701" w:header="851" w:footer="992" w:gutter="0"/>
          <w:cols w:num="1" w:sep="0" w:space="0" w:equalWidth="1"/>
          <w:docGrid w:linePitch="360"/>
        </w:sectPr>
      </w:pPr>
      <w:r>
        <w:rPr>
          <w:rFonts w:ascii="宋体" w:hAnsi="宋体" w:cs="宋体"/>
          <w:b/>
          <w:sz w:val="28"/>
          <w:szCs w:val="28"/>
        </w:rPr>
      </w:r>
      <w:r/>
    </w:p>
    <w:p>
      <w:pPr>
        <w:jc w:val="center"/>
        <w:rPr>
          <w:rFonts w:ascii="黑体" w:hAnsi="黑体" w:eastAsia="黑体" w:cs="仿宋"/>
          <w:b/>
          <w:sz w:val="32"/>
          <w:szCs w:val="32"/>
        </w:rPr>
      </w:pPr>
      <w:r>
        <w:rPr>
          <w:rFonts w:ascii="黑体" w:hAnsi="黑体" w:eastAsia="黑体" w:cs="仿宋"/>
          <w:b/>
          <w:sz w:val="32"/>
          <w:szCs w:val="32"/>
        </w:rPr>
        <w:t xml:space="preserve">第</w:t>
      </w:r>
      <w:r>
        <w:rPr>
          <w:rFonts w:hint="eastAsia" w:ascii="黑体" w:hAnsi="黑体" w:eastAsia="黑体" w:cs="仿宋"/>
          <w:b/>
          <w:sz w:val="32"/>
          <w:szCs w:val="32"/>
        </w:rPr>
        <w:t xml:space="preserve">五</w:t>
      </w:r>
      <w:r>
        <w:rPr>
          <w:rFonts w:ascii="黑体" w:hAnsi="黑体" w:eastAsia="黑体" w:cs="仿宋"/>
          <w:b/>
          <w:sz w:val="32"/>
          <w:szCs w:val="32"/>
        </w:rPr>
        <w:t xml:space="preserve">章</w:t>
      </w:r>
      <w:r>
        <w:rPr>
          <w:rFonts w:hint="eastAsia" w:ascii="黑体" w:hAnsi="黑体" w:eastAsia="黑体" w:cs="仿宋"/>
          <w:b/>
          <w:sz w:val="32"/>
          <w:szCs w:val="32"/>
        </w:rPr>
        <w:t xml:space="preserve"> </w:t>
      </w:r>
      <w:r>
        <w:rPr>
          <w:rFonts w:ascii="黑体" w:hAnsi="黑体" w:eastAsia="黑体" w:cs="仿宋"/>
          <w:b/>
          <w:sz w:val="32"/>
          <w:szCs w:val="32"/>
        </w:rPr>
        <w:t xml:space="preserve"> </w:t>
      </w:r>
      <w:r>
        <w:rPr>
          <w:rFonts w:hint="eastAsia" w:ascii="黑体" w:hAnsi="黑体" w:eastAsia="黑体" w:cs="仿宋"/>
          <w:b/>
          <w:sz w:val="32"/>
          <w:szCs w:val="32"/>
        </w:rPr>
        <w:t xml:space="preserve">投标文件的编制要求及参考格式</w:t>
      </w:r>
      <w:bookmarkStart w:id="309" w:name="_Hlt26671244"/>
      <w:r/>
      <w:bookmarkEnd w:id="309"/>
      <w:r/>
      <w:bookmarkStart w:id="310" w:name="_Hlt26955039"/>
      <w:r/>
      <w:bookmarkEnd w:id="310"/>
      <w:r/>
      <w:bookmarkStart w:id="311" w:name="_Toc282446331"/>
      <w:r/>
      <w:bookmarkStart w:id="312" w:name="_Toc26554094"/>
      <w:r/>
      <w:bookmarkStart w:id="313" w:name="_Toc288030359"/>
      <w:r/>
      <w:bookmarkStart w:id="314" w:name="_Toc120614282"/>
      <w:r/>
      <w:bookmarkStart w:id="315" w:name="_Toc49090576"/>
      <w:r/>
      <w:r/>
    </w:p>
    <w:p>
      <w:pPr>
        <w:spacing w:line="500" w:lineRule="exact"/>
        <w:rPr>
          <w:rFonts w:ascii="黑体" w:hAnsi="黑体" w:eastAsia="黑体"/>
          <w:sz w:val="32"/>
          <w:szCs w:val="32"/>
        </w:rPr>
      </w:pPr>
      <w:r/>
      <w:bookmarkStart w:id="316" w:name="_Toc426469932"/>
      <w:r>
        <w:rPr>
          <w:rFonts w:ascii="黑体" w:hAnsi="黑体" w:eastAsia="黑体"/>
          <w:sz w:val="32"/>
          <w:szCs w:val="32"/>
        </w:rPr>
        <w:t xml:space="preserve">1.</w:t>
      </w:r>
      <w:r>
        <w:rPr>
          <w:rFonts w:hint="eastAsia" w:ascii="黑体" w:hAnsi="黑体" w:eastAsia="黑体" w:cs="宋体"/>
          <w:sz w:val="32"/>
          <w:szCs w:val="32"/>
        </w:rPr>
        <w:t xml:space="preserve">投标文件的组成</w:t>
      </w:r>
      <w:bookmarkEnd w:id="316"/>
      <w:r/>
      <w:r/>
    </w:p>
    <w:p>
      <w:pPr>
        <w:ind w:firstLine="560"/>
        <w:spacing w:line="500" w:lineRule="exact"/>
        <w:rPr>
          <w:rFonts w:ascii="宋体"/>
          <w:sz w:val="28"/>
          <w:szCs w:val="28"/>
        </w:rPr>
      </w:pPr>
      <w:r/>
      <w:bookmarkStart w:id="317" w:name="_Toc426469933"/>
      <w:r>
        <w:rPr>
          <w:rFonts w:ascii="宋体"/>
          <w:sz w:val="28"/>
          <w:szCs w:val="28"/>
        </w:rPr>
        <w:t xml:space="preserve">见本招标文件第二章</w:t>
      </w:r>
      <w:r>
        <w:rPr>
          <w:rFonts w:hint="eastAsia" w:ascii="宋体"/>
          <w:sz w:val="28"/>
          <w:szCs w:val="28"/>
        </w:rPr>
        <w:t xml:space="preserve">3.1条。</w:t>
      </w:r>
      <w:r/>
    </w:p>
    <w:p>
      <w:pPr>
        <w:spacing w:line="500" w:lineRule="exact"/>
        <w:rPr>
          <w:rFonts w:ascii="黑体" w:hAnsi="黑体" w:eastAsia="黑体"/>
          <w:sz w:val="32"/>
          <w:szCs w:val="32"/>
        </w:rPr>
      </w:pPr>
      <w:r>
        <w:rPr>
          <w:rFonts w:ascii="黑体" w:hAnsi="黑体" w:eastAsia="黑体"/>
          <w:sz w:val="32"/>
          <w:szCs w:val="32"/>
        </w:rPr>
        <w:t xml:space="preserve">2.</w:t>
      </w:r>
      <w:r>
        <w:rPr>
          <w:rFonts w:hint="eastAsia" w:ascii="黑体" w:hAnsi="黑体" w:eastAsia="黑体" w:cs="宋体"/>
          <w:sz w:val="32"/>
          <w:szCs w:val="32"/>
        </w:rPr>
        <w:t xml:space="preserve">投标文件的编制内容及编制要求</w:t>
      </w:r>
      <w:bookmarkEnd w:id="317"/>
      <w:r/>
      <w:r/>
    </w:p>
    <w:p>
      <w:pPr>
        <w:spacing w:line="500" w:lineRule="exact"/>
        <w:rPr>
          <w:rFonts w:ascii="楷体" w:hAnsi="楷体" w:eastAsia="楷体"/>
          <w:b/>
          <w:sz w:val="28"/>
          <w:szCs w:val="28"/>
        </w:rPr>
      </w:pPr>
      <w:r>
        <w:rPr>
          <w:rFonts w:ascii="楷体" w:hAnsi="楷体" w:eastAsia="楷体"/>
          <w:b/>
          <w:sz w:val="28"/>
          <w:szCs w:val="28"/>
        </w:rPr>
        <w:t xml:space="preserve">2.1</w:t>
      </w:r>
      <w:r>
        <w:rPr>
          <w:rFonts w:hint="eastAsia" w:ascii="楷体" w:hAnsi="楷体" w:eastAsia="楷体" w:cs="宋体"/>
          <w:b/>
          <w:sz w:val="28"/>
          <w:szCs w:val="28"/>
        </w:rPr>
        <w:t xml:space="preserve">开标一览表</w:t>
      </w:r>
      <w:r/>
    </w:p>
    <w:p>
      <w:pPr>
        <w:ind w:firstLine="560"/>
        <w:spacing w:line="500" w:lineRule="exact"/>
        <w:rPr>
          <w:rFonts w:ascii="宋体"/>
          <w:sz w:val="28"/>
          <w:szCs w:val="28"/>
        </w:rPr>
      </w:pPr>
      <w:r>
        <w:rPr>
          <w:rFonts w:ascii="宋体" w:hAnsi="宋体"/>
          <w:sz w:val="28"/>
          <w:szCs w:val="28"/>
        </w:rPr>
        <w:t xml:space="preserve">2.1.1 </w:t>
      </w:r>
      <w:r>
        <w:rPr>
          <w:rFonts w:hint="eastAsia" w:ascii="宋体" w:hAnsi="宋体" w:cs="宋体"/>
          <w:sz w:val="28"/>
          <w:szCs w:val="28"/>
        </w:rPr>
        <w:t xml:space="preserve">投标人应按表中格式完整、清晰、正确填写；</w:t>
      </w:r>
      <w:r/>
    </w:p>
    <w:p>
      <w:pPr>
        <w:ind w:firstLine="560"/>
        <w:spacing w:line="500" w:lineRule="exact"/>
        <w:rPr>
          <w:rFonts w:ascii="宋体"/>
          <w:sz w:val="28"/>
          <w:szCs w:val="28"/>
        </w:rPr>
      </w:pPr>
      <w:r>
        <w:rPr>
          <w:rFonts w:ascii="宋体" w:hAnsi="宋体"/>
          <w:sz w:val="28"/>
          <w:szCs w:val="28"/>
        </w:rPr>
        <w:t xml:space="preserve">2.1.2</w:t>
      </w:r>
      <w:r>
        <w:rPr>
          <w:rFonts w:hint="eastAsia" w:ascii="宋体" w:hAnsi="宋体" w:cs="宋体"/>
          <w:sz w:val="28"/>
          <w:szCs w:val="28"/>
        </w:rPr>
        <w:t xml:space="preserve">开标一览表中的价格应与投标文件中</w:t>
      </w:r>
      <w:bookmarkStart w:id="318" w:name="OLE_LINK8"/>
      <w:r>
        <w:rPr>
          <w:rFonts w:hint="eastAsia" w:ascii="宋体" w:hAnsi="宋体" w:cs="宋体"/>
          <w:sz w:val="28"/>
          <w:szCs w:val="28"/>
        </w:rPr>
        <w:t xml:space="preserve">投标报价明细表</w:t>
      </w:r>
      <w:bookmarkEnd w:id="318"/>
      <w:r>
        <w:rPr>
          <w:rFonts w:hint="eastAsia" w:ascii="宋体" w:hAnsi="宋体" w:cs="宋体"/>
          <w:sz w:val="28"/>
          <w:szCs w:val="28"/>
        </w:rPr>
        <w:t xml:space="preserve">中的价格一致。</w:t>
      </w:r>
      <w:r/>
    </w:p>
    <w:p>
      <w:pPr>
        <w:ind w:firstLine="560"/>
        <w:spacing w:line="500" w:lineRule="exact"/>
        <w:rPr>
          <w:rFonts w:ascii="宋体"/>
          <w:sz w:val="28"/>
          <w:szCs w:val="28"/>
        </w:rPr>
      </w:pPr>
      <w:r>
        <w:rPr>
          <w:rFonts w:ascii="宋体" w:hAnsi="宋体"/>
          <w:sz w:val="28"/>
          <w:szCs w:val="28"/>
        </w:rPr>
        <w:t xml:space="preserve">2.1.</w:t>
      </w:r>
      <w:r>
        <w:rPr>
          <w:rFonts w:hint="eastAsia" w:ascii="宋体" w:hAnsi="宋体"/>
          <w:sz w:val="28"/>
          <w:szCs w:val="28"/>
        </w:rPr>
        <w:t xml:space="preserve">3</w:t>
      </w:r>
      <w:r>
        <w:rPr>
          <w:rFonts w:hint="eastAsia" w:ascii="宋体" w:hAnsi="宋体" w:cs="宋体"/>
          <w:sz w:val="28"/>
          <w:szCs w:val="28"/>
        </w:rPr>
        <w:t xml:space="preserve">开标一览表格式见附件。</w:t>
      </w:r>
      <w:r/>
    </w:p>
    <w:p>
      <w:pPr>
        <w:spacing w:line="500" w:lineRule="exact"/>
        <w:rPr>
          <w:rFonts w:ascii="楷体" w:hAnsi="楷体" w:eastAsia="楷体"/>
          <w:b/>
          <w:sz w:val="28"/>
          <w:szCs w:val="28"/>
        </w:rPr>
      </w:pPr>
      <w:r>
        <w:rPr>
          <w:rFonts w:ascii="楷体" w:hAnsi="楷体" w:eastAsia="楷体"/>
          <w:b/>
          <w:sz w:val="28"/>
          <w:szCs w:val="28"/>
        </w:rPr>
        <w:t xml:space="preserve">2.2 </w:t>
      </w:r>
      <w:r>
        <w:rPr>
          <w:rFonts w:hint="eastAsia" w:ascii="楷体" w:hAnsi="楷体" w:eastAsia="楷体" w:cs="宋体"/>
          <w:b/>
          <w:sz w:val="28"/>
          <w:szCs w:val="28"/>
        </w:rPr>
        <w:t xml:space="preserve">投标函</w:t>
      </w:r>
      <w:r/>
    </w:p>
    <w:p>
      <w:pPr>
        <w:ind w:firstLine="560"/>
        <w:spacing w:line="500" w:lineRule="exact"/>
        <w:rPr>
          <w:rFonts w:ascii="宋体"/>
          <w:sz w:val="28"/>
          <w:szCs w:val="28"/>
        </w:rPr>
      </w:pPr>
      <w:r>
        <w:rPr>
          <w:rFonts w:ascii="宋体" w:hAnsi="宋体"/>
          <w:sz w:val="28"/>
          <w:szCs w:val="28"/>
        </w:rPr>
        <w:t xml:space="preserve">2.2.1</w:t>
      </w:r>
      <w:r>
        <w:rPr>
          <w:rFonts w:hint="eastAsia" w:ascii="宋体" w:hAnsi="宋体" w:cs="宋体"/>
          <w:sz w:val="28"/>
          <w:szCs w:val="28"/>
        </w:rPr>
        <w:t xml:space="preserve">投标人应按表中规定格式完整、清晰、正确填写；</w:t>
      </w:r>
      <w:r/>
    </w:p>
    <w:p>
      <w:pPr>
        <w:ind w:firstLine="560"/>
        <w:spacing w:line="500" w:lineRule="exact"/>
        <w:rPr>
          <w:rFonts w:ascii="宋体" w:hAnsi="宋体" w:cs="宋体"/>
          <w:sz w:val="28"/>
          <w:szCs w:val="28"/>
        </w:rPr>
      </w:pPr>
      <w:r>
        <w:rPr>
          <w:rFonts w:ascii="宋体" w:hAnsi="宋体"/>
          <w:sz w:val="28"/>
          <w:szCs w:val="28"/>
        </w:rPr>
        <w:t xml:space="preserve">2.2.2</w:t>
      </w:r>
      <w:r>
        <w:rPr>
          <w:rFonts w:hint="eastAsia" w:ascii="宋体" w:hAnsi="宋体" w:cs="宋体"/>
          <w:sz w:val="28"/>
          <w:szCs w:val="28"/>
        </w:rPr>
        <w:t xml:space="preserve">投标函必须加盖投标人公章并经法定代表人（负责人）签字或签章。</w:t>
      </w:r>
      <w:r/>
    </w:p>
    <w:p>
      <w:pPr>
        <w:spacing w:line="500" w:lineRule="exact"/>
        <w:rPr>
          <w:rFonts w:ascii="楷体" w:hAnsi="楷体" w:eastAsia="楷体"/>
          <w:b/>
          <w:sz w:val="28"/>
          <w:szCs w:val="28"/>
        </w:rPr>
      </w:pPr>
      <w:r>
        <w:rPr>
          <w:rFonts w:hint="eastAsia" w:ascii="楷体" w:hAnsi="楷体" w:eastAsia="楷体"/>
          <w:b/>
          <w:sz w:val="28"/>
          <w:szCs w:val="28"/>
        </w:rPr>
        <w:t xml:space="preserve">2.3投标报价明细表及分析说明</w:t>
      </w:r>
      <w:r/>
    </w:p>
    <w:p>
      <w:pPr>
        <w:ind w:firstLine="560"/>
        <w:spacing w:line="500" w:lineRule="exact"/>
        <w:rPr>
          <w:rFonts w:ascii="宋体" w:hAnsi="宋体"/>
          <w:sz w:val="28"/>
          <w:szCs w:val="28"/>
        </w:rPr>
      </w:pPr>
      <w:r>
        <w:rPr>
          <w:rFonts w:hint="eastAsia" w:ascii="宋体" w:hAnsi="宋体"/>
          <w:sz w:val="28"/>
          <w:szCs w:val="28"/>
        </w:rPr>
        <w:t xml:space="preserve">2.3.1投标人必须按表中规定格式完整、清晰、正确填写，表格中各项可进一步细分，栏数不够可自行添加。</w:t>
      </w:r>
      <w:r/>
    </w:p>
    <w:p>
      <w:pPr>
        <w:ind w:firstLine="560"/>
        <w:spacing w:line="500" w:lineRule="exact"/>
        <w:rPr>
          <w:rFonts w:ascii="宋体" w:hAnsi="宋体"/>
          <w:sz w:val="28"/>
          <w:szCs w:val="28"/>
        </w:rPr>
      </w:pPr>
      <w:r>
        <w:rPr>
          <w:rFonts w:hint="eastAsia" w:ascii="宋体" w:hAnsi="宋体"/>
          <w:sz w:val="28"/>
          <w:szCs w:val="28"/>
        </w:rPr>
        <w:t xml:space="preserve">2.3.2投标报价构成表及分析说明见附件。</w:t>
      </w:r>
      <w:r/>
    </w:p>
    <w:p>
      <w:pPr>
        <w:spacing w:line="500" w:lineRule="exact"/>
        <w:rPr>
          <w:rFonts w:ascii="楷体" w:hAnsi="楷体" w:eastAsia="楷体"/>
          <w:b/>
          <w:sz w:val="28"/>
          <w:szCs w:val="28"/>
        </w:rPr>
      </w:pPr>
      <w:r>
        <w:rPr>
          <w:rFonts w:hint="eastAsia" w:ascii="楷体" w:hAnsi="楷体" w:eastAsia="楷体"/>
          <w:b/>
          <w:sz w:val="28"/>
          <w:szCs w:val="28"/>
        </w:rPr>
        <w:t xml:space="preserve">2.4资格条件证明文件</w:t>
      </w:r>
      <w:r/>
    </w:p>
    <w:p>
      <w:pPr>
        <w:ind w:firstLine="560"/>
        <w:spacing w:line="50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）投标人基本资格条件承诺函；</w:t>
      </w:r>
      <w:r/>
    </w:p>
    <w:p>
      <w:pPr>
        <w:ind w:firstLine="560"/>
        <w:spacing w:line="50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）招标文件要求的其他资格条件证明材料。</w:t>
      </w:r>
      <w:r/>
    </w:p>
    <w:p>
      <w:pPr>
        <w:spacing w:line="500" w:lineRule="exact"/>
        <w:rPr>
          <w:rFonts w:ascii="楷体" w:hAnsi="楷体" w:eastAsia="楷体"/>
          <w:b/>
          <w:sz w:val="28"/>
          <w:szCs w:val="28"/>
        </w:rPr>
      </w:pPr>
      <w:r>
        <w:rPr>
          <w:rFonts w:ascii="楷体" w:hAnsi="楷体" w:eastAsia="楷体"/>
          <w:b/>
          <w:sz w:val="28"/>
          <w:szCs w:val="28"/>
        </w:rPr>
        <w:t xml:space="preserve">2.</w:t>
      </w:r>
      <w:r>
        <w:rPr>
          <w:rFonts w:hint="eastAsia" w:ascii="楷体" w:hAnsi="楷体" w:eastAsia="楷体"/>
          <w:b/>
          <w:sz w:val="28"/>
          <w:szCs w:val="28"/>
        </w:rPr>
        <w:t xml:space="preserve">5采购需求</w:t>
      </w:r>
      <w:r>
        <w:rPr>
          <w:rFonts w:hint="eastAsia" w:ascii="楷体" w:hAnsi="楷体" w:eastAsia="楷体" w:cs="宋体"/>
          <w:b/>
          <w:sz w:val="28"/>
          <w:szCs w:val="28"/>
        </w:rPr>
        <w:t xml:space="preserve">响应表</w:t>
      </w:r>
      <w:r/>
    </w:p>
    <w:p>
      <w:pPr>
        <w:ind w:firstLine="560"/>
        <w:spacing w:line="500" w:lineRule="exact"/>
        <w:rPr>
          <w:rFonts w:ascii="宋体" w:hAnsi="宋体"/>
          <w:b/>
          <w:sz w:val="28"/>
          <w:szCs w:val="28"/>
        </w:rPr>
      </w:pPr>
      <w:r>
        <w:rPr>
          <w:rFonts w:hint="eastAsia" w:ascii="宋体" w:hAnsi="宋体"/>
          <w:sz w:val="28"/>
          <w:szCs w:val="28"/>
        </w:rPr>
        <w:t xml:space="preserve">投标人应仔细阅读招标文件第四章采购需求，结合自身的实际情况，如实编制，格式附后。</w:t>
      </w:r>
      <w:r>
        <w:rPr>
          <w:rFonts w:hint="eastAsia" w:ascii="宋体" w:hAnsi="宋体"/>
          <w:b/>
          <w:sz w:val="28"/>
          <w:szCs w:val="28"/>
        </w:rPr>
        <w:t xml:space="preserve">采购需求响应表须详细说明实际提供的货物、服务及其他采购需求中相关要求的响应情况。</w:t>
      </w:r>
      <w:r/>
    </w:p>
    <w:p>
      <w:pPr>
        <w:spacing w:line="500" w:lineRule="exact"/>
        <w:rPr>
          <w:rFonts w:ascii="楷体" w:hAnsi="楷体" w:eastAsia="楷体" w:cs="宋体"/>
          <w:b/>
          <w:sz w:val="28"/>
          <w:szCs w:val="28"/>
        </w:rPr>
      </w:pPr>
      <w:r>
        <w:rPr>
          <w:rFonts w:ascii="楷体" w:hAnsi="楷体" w:eastAsia="楷体"/>
          <w:b/>
          <w:sz w:val="28"/>
          <w:szCs w:val="28"/>
        </w:rPr>
        <w:t xml:space="preserve">2.</w:t>
      </w:r>
      <w:r>
        <w:rPr>
          <w:rFonts w:hint="eastAsia" w:ascii="楷体" w:hAnsi="楷体" w:eastAsia="楷体"/>
          <w:b/>
          <w:sz w:val="28"/>
          <w:szCs w:val="28"/>
        </w:rPr>
        <w:t xml:space="preserve">6</w:t>
      </w:r>
      <w:r>
        <w:rPr>
          <w:rFonts w:hint="eastAsia" w:ascii="楷体" w:hAnsi="楷体" w:eastAsia="楷体" w:cs="宋体"/>
          <w:b/>
          <w:sz w:val="28"/>
          <w:szCs w:val="28"/>
        </w:rPr>
        <w:t xml:space="preserve">投标人认为应列入投标文件的其他材料</w:t>
      </w:r>
      <w:r/>
    </w:p>
    <w:p>
      <w:pPr>
        <w:ind w:firstLine="560"/>
        <w:spacing w:line="500" w:lineRule="exact"/>
        <w:rPr>
          <w:rFonts w:ascii="宋体"/>
          <w:sz w:val="28"/>
          <w:szCs w:val="28"/>
        </w:rPr>
      </w:pPr>
      <w:r>
        <w:rPr>
          <w:rFonts w:hint="eastAsia" w:ascii="宋体" w:hAnsi="宋体"/>
          <w:sz w:val="28"/>
          <w:szCs w:val="28"/>
        </w:rPr>
        <w:t xml:space="preserve">投标人应对照第三章评标办法中的评审因素，结合自身的实际情况，如实编制，格式自拟。</w:t>
      </w:r>
      <w:r/>
    </w:p>
    <w:p>
      <w:pPr>
        <w:spacing w:line="500" w:lineRule="exact"/>
        <w:rPr>
          <w:rFonts w:ascii="黑体" w:hAnsi="黑体" w:eastAsia="黑体"/>
          <w:sz w:val="32"/>
          <w:szCs w:val="32"/>
        </w:rPr>
      </w:pPr>
      <w:r/>
      <w:bookmarkStart w:id="319" w:name="_Toc426469934"/>
      <w:r>
        <w:rPr>
          <w:rFonts w:ascii="黑体" w:hAnsi="黑体" w:eastAsia="黑体"/>
          <w:sz w:val="32"/>
          <w:szCs w:val="32"/>
        </w:rPr>
        <w:br w:type="page" w:clear="all"/>
      </w:r>
      <w:r>
        <w:rPr>
          <w:rFonts w:ascii="黑体" w:hAnsi="黑体" w:eastAsia="黑体"/>
          <w:sz w:val="32"/>
          <w:szCs w:val="32"/>
        </w:rPr>
        <w:t xml:space="preserve">3. </w:t>
      </w:r>
      <w:r>
        <w:rPr>
          <w:rFonts w:hint="eastAsia" w:ascii="黑体" w:hAnsi="黑体" w:eastAsia="黑体" w:cs="宋体"/>
          <w:sz w:val="32"/>
          <w:szCs w:val="32"/>
        </w:rPr>
        <w:t xml:space="preserve">投标文件参考格式</w:t>
      </w:r>
      <w:bookmarkEnd w:id="311"/>
      <w:r/>
      <w:bookmarkEnd w:id="312"/>
      <w:r/>
      <w:bookmarkEnd w:id="313"/>
      <w:r/>
      <w:bookmarkEnd w:id="314"/>
      <w:r/>
      <w:bookmarkEnd w:id="315"/>
      <w:r/>
      <w:bookmarkEnd w:id="319"/>
      <w:r/>
      <w:bookmarkStart w:id="320" w:name="_Toc426469936"/>
      <w:r/>
      <w:bookmarkStart w:id="321" w:name="_Toc426469937"/>
      <w:r/>
      <w:bookmarkStart w:id="322" w:name="_Toc383587529"/>
      <w:r/>
      <w:bookmarkStart w:id="323" w:name="_Toc382814038"/>
      <w:r/>
      <w:bookmarkStart w:id="324" w:name="_Toc382812316"/>
      <w:r/>
      <w:bookmarkStart w:id="325" w:name="_Toc382812507"/>
      <w:r/>
      <w:bookmarkStart w:id="326" w:name="_Toc390099111"/>
      <w:r/>
      <w:bookmarkStart w:id="327" w:name="_Toc383626069"/>
      <w:r/>
      <w:bookmarkStart w:id="328" w:name="_Toc390098915"/>
      <w:r/>
      <w:bookmarkStart w:id="329" w:name="_Toc382811607"/>
      <w:r/>
      <w:bookmarkStart w:id="330" w:name="_Toc390246998"/>
      <w:r/>
      <w:bookmarkStart w:id="331" w:name="_Toc383698722"/>
      <w:r/>
      <w:bookmarkStart w:id="332" w:name="_Toc383679822"/>
      <w:r/>
      <w:bookmarkStart w:id="333" w:name="_Toc383623749"/>
      <w:r/>
      <w:bookmarkStart w:id="334" w:name="_Toc382811202"/>
      <w:r/>
      <w:bookmarkStart w:id="335" w:name="_Toc383624021"/>
      <w:r/>
      <w:bookmarkStart w:id="336" w:name="_Toc382813957"/>
      <w:r/>
      <w:r/>
    </w:p>
    <w:p>
      <w:pPr>
        <w:rPr>
          <w:rFonts w:ascii="楷体" w:hAnsi="楷体" w:eastAsia="楷体"/>
          <w:b/>
          <w:sz w:val="28"/>
          <w:szCs w:val="28"/>
        </w:rPr>
      </w:pPr>
      <w:r>
        <w:rPr>
          <w:rFonts w:ascii="楷体" w:hAnsi="楷体" w:eastAsia="楷体"/>
          <w:b/>
          <w:sz w:val="28"/>
          <w:szCs w:val="28"/>
        </w:rPr>
        <w:t xml:space="preserve">3.</w:t>
      </w:r>
      <w:r>
        <w:rPr>
          <w:rFonts w:hint="eastAsia" w:ascii="楷体" w:hAnsi="楷体" w:eastAsia="楷体"/>
          <w:b/>
          <w:sz w:val="28"/>
          <w:szCs w:val="28"/>
        </w:rPr>
        <w:t xml:space="preserve">1</w:t>
      </w:r>
      <w:r>
        <w:rPr>
          <w:rFonts w:hint="eastAsia" w:ascii="楷体" w:hAnsi="楷体" w:eastAsia="楷体" w:cs="宋体"/>
          <w:b/>
          <w:sz w:val="28"/>
          <w:szCs w:val="28"/>
        </w:rPr>
        <w:t xml:space="preserve">投标文件封面格式</w:t>
      </w:r>
      <w:bookmarkEnd w:id="320"/>
      <w:r/>
      <w:r/>
    </w:p>
    <w:p>
      <w:pPr>
        <w:ind w:firstLine="480"/>
        <w:jc w:val="center"/>
        <w:spacing w:line="360" w:lineRule="exact"/>
        <w:rPr>
          <w:rFonts w:ascii="宋体"/>
        </w:rPr>
      </w:pPr>
      <w:r>
        <w:rPr>
          <w:rFonts w:ascii="宋体"/>
        </w:rPr>
      </w:r>
      <w:r/>
    </w:p>
    <w:p>
      <w:pPr>
        <w:ind w:firstLine="480"/>
        <w:jc w:val="center"/>
        <w:spacing w:line="360" w:lineRule="exact"/>
        <w:rPr>
          <w:rFonts w:ascii="宋体"/>
        </w:rPr>
      </w:pPr>
      <w:r>
        <w:rPr>
          <w:rFonts w:ascii="宋体"/>
        </w:rPr>
      </w:r>
      <w:r/>
    </w:p>
    <w:p>
      <w:pPr>
        <w:jc w:val="center"/>
        <w:rPr>
          <w:rFonts w:ascii="宋体"/>
          <w:b/>
          <w:sz w:val="48"/>
          <w:szCs w:val="48"/>
        </w:rPr>
      </w:pPr>
      <w:r/>
      <w:bookmarkStart w:id="337" w:name="OLE_LINK73"/>
      <w:r/>
      <w:bookmarkStart w:id="338" w:name="OLE_LINK72"/>
      <w:r>
        <w:rPr>
          <w:rFonts w:hint="eastAsia" w:ascii="宋体"/>
          <w:b/>
          <w:sz w:val="48"/>
          <w:szCs w:val="48"/>
        </w:rPr>
        <w:t xml:space="preserve">投标文件</w:t>
      </w:r>
      <w:r/>
    </w:p>
    <w:p>
      <w:pPr>
        <w:pStyle w:val="693"/>
      </w:pPr>
      <w:r/>
      <w:r/>
    </w:p>
    <w:p>
      <w:pPr>
        <w:ind w:firstLine="2520"/>
        <w:spacing w:line="440" w:lineRule="exact"/>
        <w:rPr>
          <w:rFonts w:ascii="宋体"/>
          <w:sz w:val="28"/>
          <w:szCs w:val="28"/>
        </w:rPr>
      </w:pPr>
      <w:r>
        <w:rPr>
          <w:rFonts w:hint="eastAsia" w:ascii="宋体"/>
          <w:sz w:val="28"/>
          <w:szCs w:val="28"/>
        </w:rPr>
        <w:t xml:space="preserve">采购项目名称：</w:t>
      </w:r>
      <w:r/>
    </w:p>
    <w:p>
      <w:pPr>
        <w:ind w:firstLine="2520"/>
        <w:spacing w:line="440" w:lineRule="exact"/>
        <w:rPr>
          <w:rFonts w:ascii="宋体" w:cs="宋体"/>
          <w:sz w:val="28"/>
          <w:szCs w:val="28"/>
          <w:u w:val="single"/>
        </w:rPr>
      </w:pPr>
      <w:r>
        <w:rPr>
          <w:rFonts w:hint="eastAsia" w:ascii="宋体"/>
          <w:sz w:val="28"/>
          <w:szCs w:val="28"/>
        </w:rPr>
        <w:t xml:space="preserve">采购项目编号：</w:t>
      </w:r>
      <w:r/>
    </w:p>
    <w:p>
      <w:pPr>
        <w:ind w:firstLine="1260"/>
        <w:spacing w:line="360" w:lineRule="exact"/>
        <w:rPr>
          <w:rFonts w:ascii="宋体"/>
          <w:sz w:val="28"/>
          <w:szCs w:val="28"/>
        </w:rPr>
      </w:pPr>
      <w:r>
        <w:rPr>
          <w:rFonts w:ascii="宋体"/>
          <w:sz w:val="28"/>
          <w:szCs w:val="28"/>
        </w:rPr>
      </w:r>
      <w:r/>
    </w:p>
    <w:p>
      <w:pPr>
        <w:ind w:firstLine="560"/>
        <w:spacing w:line="360" w:lineRule="exact"/>
        <w:rPr>
          <w:rFonts w:ascii="宋体"/>
          <w:sz w:val="28"/>
          <w:szCs w:val="28"/>
        </w:rPr>
      </w:pPr>
      <w:r>
        <w:rPr>
          <w:rFonts w:ascii="宋体"/>
          <w:sz w:val="28"/>
          <w:szCs w:val="28"/>
        </w:rPr>
      </w:r>
      <w:r/>
    </w:p>
    <w:p>
      <w:pPr>
        <w:ind w:firstLine="2520"/>
        <w:spacing w:line="400" w:lineRule="exact"/>
        <w:tabs>
          <w:tab w:val="left" w:pos="2700" w:leader="none"/>
        </w:tabs>
        <w:rPr>
          <w:rFonts w:ascii="宋体"/>
          <w:sz w:val="28"/>
          <w:szCs w:val="28"/>
          <w:u w:val="single"/>
        </w:rPr>
      </w:pPr>
      <w:r>
        <w:rPr>
          <w:rFonts w:hint="eastAsia" w:ascii="宋体"/>
          <w:sz w:val="28"/>
          <w:szCs w:val="28"/>
        </w:rPr>
        <w:t xml:space="preserve">投标人名称：</w:t>
      </w:r>
      <w:r>
        <w:rPr>
          <w:rFonts w:hint="eastAsia" w:ascii="宋体"/>
          <w:sz w:val="28"/>
          <w:szCs w:val="28"/>
          <w:u w:val="single"/>
        </w:rPr>
        <w:t xml:space="preserve">（加盖CA电子公章）</w:t>
      </w:r>
      <w:r/>
    </w:p>
    <w:p>
      <w:pPr>
        <w:ind w:firstLine="2520"/>
        <w:spacing w:line="400" w:lineRule="exact"/>
        <w:tabs>
          <w:tab w:val="left" w:pos="2700" w:leader="none"/>
        </w:tabs>
        <w:rPr>
          <w:rFonts w:ascii="宋体"/>
          <w:sz w:val="28"/>
          <w:szCs w:val="28"/>
          <w:u w:val="single"/>
        </w:rPr>
      </w:pPr>
      <w:r>
        <w:rPr>
          <w:rFonts w:hint="eastAsia" w:ascii="宋体"/>
          <w:sz w:val="28"/>
          <w:szCs w:val="28"/>
        </w:rPr>
        <w:t xml:space="preserve">联系人：</w:t>
      </w:r>
      <w:r/>
    </w:p>
    <w:p>
      <w:pPr>
        <w:ind w:firstLine="2520"/>
        <w:spacing w:line="400" w:lineRule="exact"/>
        <w:tabs>
          <w:tab w:val="left" w:pos="2700" w:leader="none"/>
        </w:tabs>
        <w:rPr>
          <w:rFonts w:ascii="宋体"/>
          <w:sz w:val="28"/>
          <w:szCs w:val="28"/>
          <w:u w:val="single"/>
        </w:rPr>
      </w:pPr>
      <w:r>
        <w:rPr>
          <w:rFonts w:hint="eastAsia" w:ascii="宋体"/>
          <w:sz w:val="28"/>
          <w:szCs w:val="28"/>
        </w:rPr>
        <w:t xml:space="preserve">联系电话：</w:t>
      </w:r>
      <w:r/>
    </w:p>
    <w:p>
      <w:pPr>
        <w:ind w:firstLine="2520"/>
        <w:spacing w:line="400" w:lineRule="exact"/>
        <w:rPr>
          <w:rFonts w:ascii="宋体"/>
          <w:sz w:val="28"/>
          <w:szCs w:val="28"/>
        </w:rPr>
      </w:pPr>
      <w:r>
        <w:rPr>
          <w:rFonts w:hint="eastAsia" w:ascii="宋体"/>
          <w:sz w:val="28"/>
          <w:szCs w:val="28"/>
        </w:rPr>
        <w:t xml:space="preserve">日期：</w:t>
      </w:r>
      <w:r>
        <w:rPr>
          <w:rFonts w:ascii="宋体"/>
          <w:sz w:val="28"/>
          <w:szCs w:val="28"/>
        </w:rPr>
        <w:t xml:space="preserve">______</w:t>
      </w:r>
      <w:r>
        <w:rPr>
          <w:rFonts w:hint="eastAsia" w:ascii="宋体"/>
          <w:sz w:val="28"/>
          <w:szCs w:val="28"/>
        </w:rPr>
        <w:t xml:space="preserve">年</w:t>
      </w:r>
      <w:r>
        <w:rPr>
          <w:rFonts w:ascii="宋体"/>
          <w:sz w:val="28"/>
          <w:szCs w:val="28"/>
        </w:rPr>
        <w:t xml:space="preserve">____</w:t>
      </w:r>
      <w:r>
        <w:rPr>
          <w:rFonts w:hint="eastAsia" w:ascii="宋体"/>
          <w:sz w:val="28"/>
          <w:szCs w:val="28"/>
        </w:rPr>
        <w:t xml:space="preserve">月</w:t>
      </w:r>
      <w:r>
        <w:rPr>
          <w:rFonts w:ascii="宋体"/>
          <w:sz w:val="28"/>
          <w:szCs w:val="28"/>
        </w:rPr>
        <w:t xml:space="preserve">____</w:t>
      </w:r>
      <w:r>
        <w:rPr>
          <w:rFonts w:hint="eastAsia" w:ascii="宋体"/>
          <w:sz w:val="28"/>
          <w:szCs w:val="28"/>
        </w:rPr>
        <w:t xml:space="preserve">日</w:t>
      </w:r>
      <w:bookmarkEnd w:id="337"/>
      <w:r/>
      <w:bookmarkEnd w:id="338"/>
      <w:r/>
      <w:r/>
    </w:p>
    <w:p>
      <w:pPr>
        <w:ind w:firstLine="2520"/>
        <w:spacing w:line="400" w:lineRule="exact"/>
        <w:rPr>
          <w:rFonts w:ascii="宋体"/>
          <w:sz w:val="28"/>
          <w:szCs w:val="28"/>
        </w:rPr>
      </w:pPr>
      <w:r>
        <w:rPr>
          <w:rFonts w:ascii="宋体"/>
          <w:sz w:val="28"/>
          <w:szCs w:val="28"/>
        </w:rPr>
      </w:r>
      <w:r/>
    </w:p>
    <w:p>
      <w:pPr>
        <w:spacing w:line="400" w:lineRule="exact"/>
        <w:rPr>
          <w:rFonts w:ascii="宋体"/>
          <w:sz w:val="28"/>
          <w:szCs w:val="28"/>
        </w:rPr>
      </w:pPr>
      <w:r>
        <w:rPr>
          <w:rFonts w:ascii="宋体"/>
          <w:sz w:val="28"/>
          <w:szCs w:val="28"/>
        </w:rPr>
      </w:r>
      <w:r/>
    </w:p>
    <w:p>
      <w:pPr>
        <w:spacing w:line="400" w:lineRule="exact"/>
        <w:rPr>
          <w:rFonts w:ascii="宋体"/>
          <w:sz w:val="28"/>
          <w:szCs w:val="28"/>
        </w:rPr>
      </w:pPr>
      <w:r>
        <w:rPr>
          <w:rFonts w:ascii="宋体"/>
          <w:sz w:val="28"/>
          <w:szCs w:val="28"/>
        </w:rPr>
      </w:r>
      <w:r/>
    </w:p>
    <w:p>
      <w:pPr>
        <w:spacing w:line="400" w:lineRule="exact"/>
        <w:rPr>
          <w:rFonts w:ascii="楷体" w:hAnsi="楷体" w:eastAsia="楷体"/>
          <w:b/>
          <w:sz w:val="28"/>
          <w:szCs w:val="28"/>
        </w:rPr>
      </w:pPr>
      <w:r>
        <w:rPr>
          <w:rFonts w:ascii="楷体" w:hAnsi="楷体" w:eastAsia="楷体"/>
          <w:b/>
          <w:sz w:val="28"/>
          <w:szCs w:val="28"/>
        </w:rPr>
        <w:t xml:space="preserve">3.</w:t>
      </w:r>
      <w:r>
        <w:rPr>
          <w:rFonts w:hint="eastAsia" w:ascii="楷体" w:hAnsi="楷体" w:eastAsia="楷体"/>
          <w:b/>
          <w:sz w:val="28"/>
          <w:szCs w:val="28"/>
        </w:rPr>
        <w:t xml:space="preserve">2</w:t>
      </w:r>
      <w:r>
        <w:rPr>
          <w:rFonts w:hint="eastAsia" w:ascii="楷体" w:hAnsi="楷体" w:eastAsia="楷体" w:cs="宋体"/>
          <w:b/>
          <w:sz w:val="28"/>
          <w:szCs w:val="28"/>
        </w:rPr>
        <w:t xml:space="preserve">开标一览表</w:t>
      </w:r>
      <w:bookmarkEnd w:id="321"/>
      <w:r/>
      <w:r/>
    </w:p>
    <w:p>
      <w:pPr>
        <w:ind w:firstLine="843"/>
        <w:spacing w:line="400" w:lineRule="exact"/>
        <w:rPr>
          <w:rFonts w:eastAsia="楷体"/>
          <w:b/>
          <w:sz w:val="28"/>
          <w:szCs w:val="28"/>
        </w:rPr>
      </w:pPr>
      <w:r/>
      <w:bookmarkStart w:id="339" w:name="_Toc426469938"/>
      <w:r/>
      <w:r/>
    </w:p>
    <w:p>
      <w:pPr>
        <w:ind w:firstLine="843"/>
        <w:spacing w:line="400" w:lineRule="exact"/>
        <w:rPr>
          <w:rFonts w:eastAsia="楷体"/>
          <w:b/>
          <w:sz w:val="28"/>
          <w:szCs w:val="28"/>
        </w:rPr>
      </w:pPr>
      <w:r>
        <w:rPr>
          <w:rFonts w:eastAsia="楷体"/>
          <w:b/>
          <w:sz w:val="28"/>
          <w:szCs w:val="28"/>
        </w:rPr>
      </w:r>
      <w:r/>
    </w:p>
    <w:p>
      <w:pPr>
        <w:ind w:firstLine="843"/>
        <w:spacing w:line="400" w:lineRule="exact"/>
        <w:rPr>
          <w:rFonts w:eastAsia="楷体"/>
          <w:b/>
          <w:sz w:val="28"/>
          <w:szCs w:val="28"/>
        </w:rPr>
      </w:pPr>
      <w:r>
        <w:rPr>
          <w:rFonts w:hint="eastAsia" w:eastAsia="楷体"/>
          <w:b/>
          <w:sz w:val="28"/>
          <w:szCs w:val="28"/>
        </w:rPr>
        <w:t xml:space="preserve">按“江苏省政府采购管理交易系统（苏采云）”中格式填写。</w:t>
      </w:r>
      <w:r/>
    </w:p>
    <w:p>
      <w:r/>
      <w:r/>
    </w:p>
    <w:p>
      <w:pPr>
        <w:rPr>
          <w:rFonts w:ascii="楷体" w:hAnsi="楷体" w:eastAsia="楷体"/>
          <w:sz w:val="28"/>
          <w:szCs w:val="28"/>
        </w:rPr>
      </w:pPr>
      <w:r>
        <w:br w:type="page" w:clear="all"/>
      </w:r>
      <w:r>
        <w:rPr>
          <w:rFonts w:hint="eastAsia" w:ascii="楷体" w:hAnsi="楷体" w:eastAsia="楷体" w:cs="宋体"/>
          <w:b/>
          <w:sz w:val="32"/>
          <w:szCs w:val="32"/>
        </w:rPr>
        <w:t xml:space="preserve">3.3投标函</w:t>
      </w:r>
      <w:bookmarkEnd w:id="339"/>
      <w:r/>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r/>
    </w:p>
    <w:p>
      <w:pPr>
        <w:jc w:val="center"/>
        <w:rPr>
          <w:sz w:val="44"/>
          <w:szCs w:val="44"/>
        </w:rPr>
      </w:pPr>
      <w:r/>
      <w:bookmarkStart w:id="340" w:name="_Toc367785041"/>
      <w:r/>
      <w:bookmarkStart w:id="341" w:name="OLE_LINK75"/>
      <w:r/>
      <w:bookmarkStart w:id="342" w:name="OLE_LINK74"/>
      <w:r/>
      <w:bookmarkStart w:id="343" w:name="OLE_LINK89"/>
      <w:r>
        <w:rPr>
          <w:rFonts w:hint="eastAsia"/>
          <w:sz w:val="44"/>
          <w:szCs w:val="44"/>
        </w:rPr>
        <w:t xml:space="preserve">投</w:t>
      </w:r>
      <w:r>
        <w:rPr>
          <w:rFonts w:hint="eastAsia" w:ascii="宋体" w:hAnsi="宋体" w:cs="宋体"/>
          <w:sz w:val="44"/>
          <w:szCs w:val="44"/>
        </w:rPr>
        <w:t xml:space="preserve">标函</w:t>
      </w:r>
      <w:bookmarkEnd w:id="340"/>
      <w:r/>
      <w:r/>
    </w:p>
    <w:p>
      <w:pPr>
        <w:rPr>
          <w:rFonts w:asciiTheme="minorEastAsia" w:hAnsiTheme="minorEastAsia"/>
          <w:sz w:val="28"/>
          <w:szCs w:val="28"/>
        </w:rPr>
      </w:pPr>
      <w:r>
        <w:rPr>
          <w:rFonts w:hint="eastAsia" w:asciiTheme="minorEastAsia" w:hAnsiTheme="minorEastAsia"/>
          <w:sz w:val="28"/>
          <w:szCs w:val="28"/>
        </w:rPr>
        <w:t xml:space="preserve">致：</w:t>
      </w:r>
      <w:r>
        <w:rPr>
          <w:rFonts w:asciiTheme="minorEastAsia" w:hAnsiTheme="minorEastAsia"/>
          <w:sz w:val="28"/>
          <w:szCs w:val="28"/>
          <w:u w:val="single"/>
        </w:rPr>
        <w:t xml:space="preserve">(</w:t>
      </w:r>
      <w:r>
        <w:rPr>
          <w:rFonts w:hint="eastAsia" w:asciiTheme="minorEastAsia" w:hAnsiTheme="minorEastAsia"/>
          <w:sz w:val="28"/>
          <w:szCs w:val="28"/>
          <w:u w:val="single"/>
        </w:rPr>
        <w:t xml:space="preserve">招标人名称</w:t>
      </w:r>
      <w:r>
        <w:rPr>
          <w:rFonts w:asciiTheme="minorEastAsia" w:hAnsiTheme="minorEastAsia"/>
          <w:sz w:val="28"/>
          <w:szCs w:val="28"/>
          <w:u w:val="single"/>
        </w:rPr>
        <w:t xml:space="preserve">)</w:t>
      </w:r>
      <w:r>
        <w:rPr>
          <w:rFonts w:hint="eastAsia" w:asciiTheme="minorEastAsia" w:hAnsiTheme="minorEastAsia"/>
          <w:sz w:val="28"/>
          <w:szCs w:val="28"/>
        </w:rPr>
        <w:t xml:space="preserve">：</w:t>
      </w:r>
      <w:r/>
    </w:p>
    <w:p>
      <w:pPr>
        <w:ind w:firstLine="560"/>
        <w:spacing w:line="520" w:lineRule="exact"/>
        <w:rPr>
          <w:rFonts w:asciiTheme="minorEastAsia" w:hAnsiTheme="minorEastAsia"/>
          <w:sz w:val="28"/>
          <w:szCs w:val="28"/>
        </w:rPr>
      </w:pPr>
      <w:r>
        <w:rPr>
          <w:rFonts w:hint="eastAsia" w:asciiTheme="minorEastAsia" w:hAnsiTheme="minorEastAsia"/>
          <w:sz w:val="28"/>
          <w:szCs w:val="28"/>
        </w:rPr>
        <w:t xml:space="preserve">根据</w:t>
      </w:r>
      <w:r>
        <w:rPr>
          <w:rFonts w:hint="eastAsia" w:asciiTheme="minorEastAsia" w:hAnsiTheme="minorEastAsia"/>
          <w:sz w:val="28"/>
          <w:szCs w:val="28"/>
          <w:u w:val="single"/>
        </w:rPr>
        <w:t xml:space="preserve">（项目名称）</w:t>
      </w:r>
      <w:r>
        <w:rPr>
          <w:rFonts w:hint="eastAsia" w:asciiTheme="minorEastAsia" w:hAnsiTheme="minorEastAsia"/>
          <w:sz w:val="28"/>
          <w:szCs w:val="28"/>
        </w:rPr>
        <w:t xml:space="preserve">招标文件的所有条款要求，遵照《中华人民共和国政府采购法》、《中华人民共和国政府采购法实施条例》等有关规定，我方承诺如下：</w:t>
      </w:r>
      <w:r/>
    </w:p>
    <w:p>
      <w:pPr>
        <w:ind w:firstLine="560"/>
        <w:spacing w:line="520" w:lineRule="exact"/>
        <w:rPr>
          <w:rFonts w:ascii="宋体" w:hAnsi="宋体" w:cs="宋体"/>
          <w:sz w:val="28"/>
          <w:szCs w:val="28"/>
          <w:u w:val="single"/>
        </w:rPr>
      </w:pPr>
      <w:r>
        <w:rPr>
          <w:rFonts w:hint="eastAsia" w:ascii="宋体" w:hAnsi="宋体" w:cs="宋体"/>
          <w:sz w:val="28"/>
          <w:szCs w:val="28"/>
        </w:rPr>
        <w:t xml:space="preserve">1、如我方中标，我方将按招标文件的规定履行合同责任和义务。</w:t>
      </w:r>
      <w:r/>
    </w:p>
    <w:p>
      <w:pPr>
        <w:ind w:firstLine="560"/>
        <w:spacing w:line="520" w:lineRule="exact"/>
        <w:rPr>
          <w:rFonts w:ascii="宋体" w:hAnsi="宋体" w:cs="宋体"/>
          <w:sz w:val="28"/>
          <w:szCs w:val="28"/>
          <w:u w:val="single"/>
        </w:rPr>
      </w:pPr>
      <w:r>
        <w:rPr>
          <w:rFonts w:hint="eastAsia" w:ascii="宋体" w:hAnsi="宋体" w:cs="宋体"/>
          <w:sz w:val="28"/>
          <w:szCs w:val="28"/>
        </w:rPr>
        <w:t xml:space="preserve">2、合同履行期限：</w:t>
      </w:r>
      <w:r>
        <w:rPr>
          <w:rFonts w:hint="eastAsia" w:ascii="宋体" w:hAnsi="宋体" w:cs="宋体"/>
          <w:sz w:val="28"/>
          <w:szCs w:val="28"/>
          <w:u w:val="single"/>
        </w:rPr>
        <w:t xml:space="preserve"> 合同签订90日内完成全部安装调试并稳定运行。 </w:t>
      </w:r>
      <w:r/>
    </w:p>
    <w:p>
      <w:pPr>
        <w:ind w:firstLine="560"/>
        <w:spacing w:line="520" w:lineRule="exact"/>
        <w:rPr>
          <w:rFonts w:asciiTheme="minorEastAsia" w:hAnsiTheme="minorEastAsia"/>
          <w:sz w:val="28"/>
          <w:szCs w:val="28"/>
        </w:rPr>
      </w:pPr>
      <w:r>
        <w:rPr>
          <w:rFonts w:hint="eastAsia" w:asciiTheme="minorEastAsia" w:hAnsiTheme="minorEastAsia"/>
          <w:sz w:val="28"/>
          <w:szCs w:val="28"/>
        </w:rPr>
        <w:t xml:space="preserve">3、投标有效期：</w:t>
      </w:r>
      <w:r>
        <w:rPr>
          <w:rFonts w:hint="eastAsia" w:asciiTheme="minorEastAsia" w:hAnsiTheme="minorEastAsia"/>
          <w:sz w:val="28"/>
          <w:szCs w:val="28"/>
          <w:u w:val="single"/>
        </w:rPr>
        <w:t xml:space="preserve"> 60天 </w:t>
      </w:r>
      <w:r>
        <w:rPr>
          <w:rFonts w:hint="eastAsia" w:asciiTheme="minorEastAsia" w:hAnsiTheme="minorEastAsia"/>
          <w:sz w:val="28"/>
          <w:szCs w:val="28"/>
        </w:rPr>
        <w:t xml:space="preserve">。在投标有效期内我方同意遵守本投标文件中的承诺且在此期限期满之前投标文件对我方具有法律约束力。</w:t>
      </w:r>
      <w:r/>
    </w:p>
    <w:p>
      <w:pPr>
        <w:ind w:firstLine="560"/>
        <w:spacing w:line="520" w:lineRule="exact"/>
        <w:rPr>
          <w:rFonts w:asciiTheme="minorEastAsia" w:hAnsiTheme="minorEastAsia"/>
          <w:sz w:val="28"/>
          <w:szCs w:val="28"/>
        </w:rPr>
      </w:pPr>
      <w:r>
        <w:rPr>
          <w:rFonts w:hint="eastAsia" w:asciiTheme="minorEastAsia" w:hAnsiTheme="minorEastAsia"/>
          <w:sz w:val="28"/>
          <w:szCs w:val="28"/>
        </w:rPr>
        <w:t xml:space="preserve">4、我方已详细审查全部招标文件。我们完全理解并同意放弃对这方面有不明及误解的权力。</w:t>
      </w:r>
      <w:r/>
    </w:p>
    <w:p>
      <w:pPr>
        <w:ind w:firstLine="560"/>
        <w:spacing w:line="520" w:lineRule="exact"/>
        <w:rPr>
          <w:rFonts w:asciiTheme="minorEastAsia" w:hAnsiTheme="minorEastAsia"/>
          <w:sz w:val="28"/>
          <w:szCs w:val="28"/>
        </w:rPr>
      </w:pPr>
      <w:r>
        <w:rPr>
          <w:rFonts w:hint="eastAsia" w:asciiTheme="minorEastAsia" w:hAnsiTheme="minorEastAsia"/>
          <w:sz w:val="28"/>
          <w:szCs w:val="28"/>
        </w:rPr>
        <w:t xml:space="preserve">5、我方投标文件中作出的所有承诺，在采购项目评审（评标）环节结束后，随时接受招标人、采购代理机构的检查验证，并自觉配合提供相关证明材料。经调查核实为虚假承诺的，同意视为“提供虚假材料谋取中标、成交”的违法行为，依照《政府采购法》等法律法规承担相应责任。</w:t>
      </w:r>
      <w:r/>
    </w:p>
    <w:p>
      <w:pPr>
        <w:pStyle w:val="693"/>
      </w:pPr>
      <w:r/>
      <w:r/>
    </w:p>
    <w:p>
      <w:pPr>
        <w:ind w:right="560" w:firstLine="3080"/>
        <w:spacing w:line="520" w:lineRule="exact"/>
        <w:rPr>
          <w:rFonts w:asciiTheme="minorEastAsia" w:hAnsiTheme="minorEastAsia"/>
          <w:sz w:val="28"/>
          <w:szCs w:val="28"/>
        </w:rPr>
      </w:pPr>
      <w:r>
        <w:rPr>
          <w:rFonts w:hint="eastAsia" w:asciiTheme="minorEastAsia" w:hAnsiTheme="minorEastAsia"/>
          <w:sz w:val="28"/>
          <w:szCs w:val="28"/>
        </w:rPr>
        <w:t xml:space="preserve">投标人名称(加盖CA电子公章)：</w:t>
      </w:r>
      <w:r/>
    </w:p>
    <w:p>
      <w:pPr>
        <w:ind w:firstLine="3080"/>
        <w:spacing w:line="520" w:lineRule="exact"/>
        <w:rPr>
          <w:rFonts w:asciiTheme="minorEastAsia" w:hAnsiTheme="minorEastAsia"/>
          <w:sz w:val="28"/>
          <w:szCs w:val="28"/>
        </w:rPr>
      </w:pPr>
      <w:r>
        <w:rPr>
          <w:rFonts w:hint="eastAsia" w:asciiTheme="minorEastAsia" w:hAnsiTheme="minorEastAsia"/>
          <w:sz w:val="28"/>
          <w:szCs w:val="28"/>
        </w:rPr>
        <w:t xml:space="preserve">法定代表人 （负责人）(签字或签章)：</w:t>
      </w:r>
      <w:r/>
    </w:p>
    <w:p>
      <w:pPr>
        <w:ind w:firstLine="3080"/>
        <w:spacing w:line="520" w:lineRule="exact"/>
        <w:rPr>
          <w:rFonts w:asciiTheme="minorEastAsia" w:hAnsiTheme="minorEastAsia"/>
          <w:sz w:val="28"/>
          <w:szCs w:val="28"/>
        </w:rPr>
      </w:pPr>
      <w:r>
        <w:rPr>
          <w:rFonts w:hint="eastAsia" w:asciiTheme="minorEastAsia" w:hAnsiTheme="minorEastAsia"/>
          <w:sz w:val="28"/>
          <w:szCs w:val="28"/>
        </w:rPr>
        <w:t xml:space="preserve">日期：   年  月   日</w:t>
      </w:r>
      <w:bookmarkEnd w:id="341"/>
      <w:r/>
      <w:bookmarkEnd w:id="342"/>
      <w:r/>
      <w:bookmarkEnd w:id="343"/>
      <w:r/>
      <w:r/>
    </w:p>
    <w:p>
      <w:pPr>
        <w:jc w:val="left"/>
        <w:spacing w:line="500" w:lineRule="exact"/>
        <w:widowControl/>
        <w:rPr>
          <w:rFonts w:asciiTheme="minorEastAsia" w:hAnsiTheme="minorEastAsia"/>
          <w:sz w:val="28"/>
          <w:szCs w:val="28"/>
        </w:rPr>
      </w:pPr>
      <w:r>
        <w:rPr>
          <w:rFonts w:asciiTheme="minorEastAsia" w:hAnsiTheme="minorEastAsia"/>
          <w:sz w:val="28"/>
          <w:szCs w:val="28"/>
        </w:rPr>
        <w:br w:type="page" w:clear="all"/>
      </w:r>
      <w:r/>
    </w:p>
    <w:p>
      <w:pPr>
        <w:jc w:val="left"/>
        <w:spacing w:line="500" w:lineRule="exact"/>
        <w:widowControl/>
        <w:rPr>
          <w:rFonts w:ascii="楷体" w:hAnsi="楷体" w:eastAsia="楷体" w:cs="宋体"/>
          <w:b/>
          <w:sz w:val="32"/>
          <w:szCs w:val="32"/>
        </w:rPr>
      </w:pPr>
      <w:r>
        <w:rPr>
          <w:rFonts w:hint="eastAsia" w:ascii="楷体" w:hAnsi="楷体" w:eastAsia="楷体" w:cs="宋体"/>
          <w:b/>
          <w:sz w:val="32"/>
          <w:szCs w:val="32"/>
        </w:rPr>
        <w:t xml:space="preserve">3.4投标报价明细表及分析说明</w:t>
      </w:r>
      <w:r/>
    </w:p>
    <w:p>
      <w:pPr>
        <w:jc w:val="center"/>
        <w:rPr>
          <w:rFonts w:ascii="宋体" w:hAnsi="宋体" w:cs="宋体"/>
          <w:bCs/>
          <w:sz w:val="28"/>
          <w:szCs w:val="28"/>
        </w:rPr>
      </w:pPr>
      <w:r>
        <w:rPr>
          <w:rFonts w:ascii="宋体" w:hAnsi="宋体" w:cs="宋体"/>
          <w:bCs/>
          <w:sz w:val="28"/>
          <w:szCs w:val="28"/>
        </w:rPr>
      </w:r>
      <w:r/>
    </w:p>
    <w:p>
      <w:pPr>
        <w:rPr>
          <w:color w:val="000000" w:themeColor="text1"/>
          <w14:textFill>
            <w14:solidFill>
              <w14:schemeClr w14:val="tx1"/>
            </w14:solidFill>
          </w14:textFill>
        </w:rPr>
      </w:pPr>
      <w:r/>
      <w:bookmarkStart w:id="344" w:name="OLE_LINK77"/>
      <w:r/>
      <w:bookmarkStart w:id="345" w:name="OLE_LINK76"/>
      <w:r/>
      <w:bookmarkStart w:id="346" w:name="OLE_LINK79"/>
      <w:r/>
      <w:bookmarkStart w:id="347" w:name="OLE_LINK78"/>
      <w:r>
        <w:rPr>
          <w:rFonts w:hint="eastAsia" w:ascii="宋体" w:hAnsi="宋体"/>
          <w:bCs/>
        </w:rPr>
        <w:t xml:space="preserve">                  投标报价明细表                       （单位：元） </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rFonts w:ascii="宋体" w:hAnsi="宋体"/>
          <w:bCs/>
        </w:rPr>
      </w:pPr>
      <w:r>
        <w:rPr>
          <w:rFonts w:ascii="宋体" w:hAnsi="宋体"/>
          <w:bCs/>
        </w:rPr>
      </w:r>
      <w:r/>
    </w:p>
    <w:p>
      <w:pPr>
        <w:jc w:val="center"/>
        <w:rPr>
          <w:rFonts w:ascii="宋体" w:hAnsi="宋体"/>
          <w:bCs/>
        </w:rPr>
      </w:pPr>
      <w:r>
        <w:rPr>
          <w:rFonts w:ascii="宋体" w:hAnsi="宋体"/>
          <w:bCs/>
        </w:rPr>
      </w:r>
      <w:r/>
    </w:p>
    <w:p>
      <w:pPr>
        <w:jc w:val="left"/>
        <w:rPr>
          <w:rFonts w:ascii="宋体" w:hAnsi="宋体"/>
          <w:bCs/>
        </w:rPr>
      </w:pPr>
      <w:r>
        <w:rPr>
          <w:rFonts w:hint="eastAsia" w:ascii="宋体" w:hAnsi="宋体"/>
          <w:bCs/>
        </w:rPr>
        <w:t xml:space="preserve">分析说明（格式自拟）</w:t>
      </w:r>
      <w:r/>
    </w:p>
    <w:p>
      <w:pPr>
        <w:jc w:val="center"/>
        <w:rPr>
          <w:rFonts w:ascii="宋体" w:hAnsi="宋体"/>
          <w:bCs/>
        </w:rPr>
      </w:pPr>
      <w:r>
        <w:rPr>
          <w:rFonts w:ascii="宋体" w:hAnsi="宋体"/>
          <w:bCs/>
        </w:rPr>
      </w:r>
      <w:r/>
    </w:p>
    <w:p>
      <w:pPr>
        <w:pStyle w:val="686"/>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pStyle w:val="686"/>
      </w:pPr>
      <w:r/>
      <w:r/>
    </w:p>
    <w:p>
      <w:pPr>
        <w:ind w:firstLine="3360"/>
        <w:spacing w:before="166" w:line="500" w:lineRule="exact"/>
        <w:rPr>
          <w:rFonts w:asciiTheme="minorEastAsia" w:hAnsiTheme="minorEastAsia" w:eastAsiaTheme="minorEastAsia"/>
        </w:rPr>
      </w:pPr>
      <w:r>
        <w:rPr>
          <w:rFonts w:asciiTheme="minorEastAsia" w:hAnsiTheme="minorEastAsia" w:eastAsiaTheme="minorEastAsia"/>
        </w:rPr>
        <w:t xml:space="preserve">投标人名称(</w:t>
      </w:r>
      <w:r>
        <w:rPr>
          <w:rFonts w:hint="eastAsia" w:asciiTheme="minorEastAsia" w:hAnsiTheme="minorEastAsia" w:eastAsiaTheme="minorEastAsia"/>
        </w:rPr>
        <w:t xml:space="preserve">加盖CA电子公章</w:t>
      </w:r>
      <w:r>
        <w:rPr>
          <w:rFonts w:asciiTheme="minorEastAsia" w:hAnsiTheme="minorEastAsia" w:eastAsiaTheme="minorEastAsia"/>
        </w:rPr>
        <w:t xml:space="preserve">)：</w:t>
      </w:r>
      <w:r/>
    </w:p>
    <w:p>
      <w:pPr>
        <w:ind w:firstLine="3360"/>
        <w:spacing w:before="166" w:line="500" w:lineRule="exact"/>
        <w:rPr>
          <w:rFonts w:asciiTheme="minorEastAsia" w:hAnsiTheme="minorEastAsia" w:eastAsiaTheme="minorEastAsia"/>
          <w:u w:val="single"/>
        </w:rPr>
      </w:pPr>
      <w:r>
        <w:rPr>
          <w:rFonts w:hint="eastAsia" w:asciiTheme="minorEastAsia" w:hAnsiTheme="minorEastAsia" w:eastAsiaTheme="minorEastAsia"/>
        </w:rPr>
        <w:t xml:space="preserve">法定代表人（负责人）</w:t>
      </w:r>
      <w:r>
        <w:rPr>
          <w:rFonts w:asciiTheme="minorEastAsia" w:hAnsiTheme="minorEastAsia" w:eastAsiaTheme="minorEastAsia"/>
        </w:rPr>
        <w:t xml:space="preserve"> (</w:t>
      </w:r>
      <w:r>
        <w:rPr>
          <w:rFonts w:hint="eastAsia" w:asciiTheme="minorEastAsia" w:hAnsiTheme="minorEastAsia" w:eastAsiaTheme="minorEastAsia"/>
        </w:rPr>
        <w:t xml:space="preserve">签字或签章</w:t>
      </w:r>
      <w:r>
        <w:rPr>
          <w:rFonts w:asciiTheme="minorEastAsia" w:hAnsiTheme="minorEastAsia" w:eastAsiaTheme="minorEastAsia"/>
        </w:rPr>
        <w:t xml:space="preserve">)</w:t>
      </w:r>
      <w:r>
        <w:rPr>
          <w:rFonts w:hint="eastAsia" w:asciiTheme="minorEastAsia" w:hAnsiTheme="minorEastAsia" w:eastAsiaTheme="minorEastAsia"/>
        </w:rPr>
        <w:t xml:space="preserve">：</w:t>
      </w:r>
      <w:r/>
    </w:p>
    <w:p>
      <w:pPr>
        <w:ind w:firstLine="3360"/>
        <w:spacing w:before="166" w:line="500" w:lineRule="exact"/>
        <w:rPr>
          <w:rFonts w:asciiTheme="minorEastAsia" w:hAnsiTheme="minorEastAsia" w:eastAsiaTheme="minorEastAsia"/>
        </w:rPr>
      </w:pPr>
      <w:r>
        <w:rPr>
          <w:rFonts w:hint="eastAsia" w:asciiTheme="minorEastAsia" w:hAnsiTheme="minorEastAsia" w:eastAsiaTheme="minorEastAsia"/>
        </w:rPr>
        <w:t xml:space="preserve">日期：   年  月   日</w:t>
      </w:r>
      <w:bookmarkEnd w:id="344"/>
      <w:r/>
      <w:bookmarkEnd w:id="345"/>
      <w:r/>
      <w:r/>
    </w:p>
    <w:p>
      <w:pPr>
        <w:pStyle w:val="686"/>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pStyle w:val="686"/>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pStyle w:val="686"/>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pStyle w:val="686"/>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pStyle w:val="686"/>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pStyle w:val="686"/>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pStyle w:val="686"/>
      </w:pPr>
      <w:r/>
      <w:r/>
    </w:p>
    <w:p>
      <w:r/>
      <w:r/>
    </w:p>
    <w:p>
      <w:pPr>
        <w:pStyle w:val="686"/>
      </w:pPr>
      <w:r/>
      <w:r/>
    </w:p>
    <w:p>
      <w:r/>
      <w:r/>
    </w:p>
    <w:p>
      <w:pPr>
        <w:pStyle w:val="686"/>
      </w:pPr>
      <w:r/>
      <w:r/>
    </w:p>
    <w:p>
      <w:r/>
      <w:r/>
    </w:p>
    <w:p>
      <w:pPr>
        <w:pStyle w:val="686"/>
      </w:pPr>
      <w:r/>
      <w:r/>
    </w:p>
    <w:p>
      <w:r/>
      <w:r/>
    </w:p>
    <w:p>
      <w:pPr>
        <w:pStyle w:val="686"/>
      </w:pPr>
      <w:r/>
      <w:r/>
    </w:p>
    <w:p>
      <w:pPr>
        <w:pStyle w:val="686"/>
        <w:rPr>
          <w:rFonts w:asciiTheme="minorEastAsia" w:hAnsiTheme="minorEastAsia" w:eastAsiaTheme="minorEastAsia"/>
        </w:rPr>
      </w:pPr>
      <w:r>
        <w:rPr>
          <w:rFonts w:asciiTheme="minorEastAsia" w:hAnsiTheme="minorEastAsia" w:eastAsiaTheme="minorEastAsia"/>
        </w:rPr>
      </w:r>
      <w:bookmarkEnd w:id="346"/>
      <w:bookmarkEnd w:id="347"/>
      <w:r/>
    </w:p>
    <w:p>
      <w:r/>
      <w:r/>
    </w:p>
    <w:p>
      <w:pPr>
        <w:jc w:val="left"/>
        <w:spacing w:line="500" w:lineRule="exact"/>
        <w:widowControl/>
        <w:rPr>
          <w:rFonts w:ascii="楷体" w:hAnsi="楷体" w:eastAsia="楷体" w:cs="宋体"/>
          <w:b/>
          <w:sz w:val="32"/>
          <w:szCs w:val="32"/>
        </w:rPr>
      </w:pPr>
      <w:r>
        <w:rPr>
          <w:rFonts w:hint="eastAsia" w:ascii="楷体" w:hAnsi="楷体" w:eastAsia="楷体" w:cs="宋体"/>
          <w:b/>
          <w:sz w:val="32"/>
          <w:szCs w:val="32"/>
        </w:rPr>
        <w:t xml:space="preserve">3.5投标人资格条件证明文件</w:t>
      </w:r>
      <w:r/>
    </w:p>
    <w:p>
      <w:pPr>
        <w:pStyle w:val="691"/>
        <w:spacing w:line="500" w:lineRule="exact"/>
        <w:rPr>
          <w:rFonts w:cs="宋体" w:asciiTheme="minorEastAsia" w:hAnsiTheme="minorEastAsia" w:eastAsiaTheme="minorEastAsia"/>
          <w:b/>
          <w:sz w:val="28"/>
          <w:szCs w:val="28"/>
        </w:rPr>
      </w:pPr>
      <w:r>
        <w:rPr>
          <w:rFonts w:hint="eastAsia" w:cs="宋体" w:asciiTheme="minorEastAsia" w:hAnsiTheme="minorEastAsia" w:eastAsiaTheme="minorEastAsia"/>
          <w:b/>
          <w:sz w:val="28"/>
          <w:szCs w:val="28"/>
        </w:rPr>
        <w:t xml:space="preserve">（1）投标人基本资格条件承诺函</w:t>
      </w:r>
      <w:r/>
    </w:p>
    <w:p>
      <w:pPr>
        <w:pStyle w:val="691"/>
        <w:jc w:val="center"/>
        <w:spacing w:line="500" w:lineRule="exact"/>
        <w:rPr>
          <w:rFonts w:cs="宋体" w:asciiTheme="minorEastAsia" w:hAnsiTheme="minorEastAsia" w:eastAsiaTheme="minorEastAsia"/>
          <w:b/>
          <w:sz w:val="28"/>
          <w:szCs w:val="28"/>
        </w:rPr>
      </w:pPr>
      <w:r/>
      <w:bookmarkStart w:id="348" w:name="OLE_LINK87"/>
      <w:r/>
      <w:bookmarkStart w:id="349" w:name="OLE_LINK84"/>
      <w:r/>
      <w:bookmarkStart w:id="350" w:name="OLE_LINK86"/>
      <w:r>
        <w:rPr>
          <w:rFonts w:hint="eastAsia" w:cs="宋体" w:asciiTheme="minorEastAsia" w:hAnsiTheme="minorEastAsia" w:eastAsiaTheme="minorEastAsia"/>
          <w:b/>
          <w:sz w:val="28"/>
          <w:szCs w:val="28"/>
        </w:rPr>
        <w:t xml:space="preserve">投标人基本资格条件承诺函</w:t>
      </w:r>
      <w:r/>
    </w:p>
    <w:p>
      <w:pPr>
        <w:ind w:firstLine="560"/>
        <w:spacing w:line="50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一、按照《政府采购法》第二十二条规定的投标人基本资格条件，我公司郑重承诺如下：</w:t>
      </w:r>
      <w:r/>
    </w:p>
    <w:p>
      <w:pPr>
        <w:pStyle w:val="691"/>
        <w:ind w:firstLine="560"/>
        <w:spacing w:line="500" w:lineRule="exact"/>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rPr>
        <w:t xml:space="preserve">1.我公司具有</w:t>
      </w:r>
      <w:r>
        <w:rPr>
          <w:rFonts w:hint="eastAsia" w:asciiTheme="minorEastAsia" w:hAnsiTheme="minorEastAsia" w:eastAsiaTheme="minorEastAsia"/>
          <w:sz w:val="28"/>
          <w:szCs w:val="28"/>
          <w:shd w:val="clear" w:color="auto" w:fill="ffffff"/>
        </w:rPr>
        <w:t xml:space="preserve">良好的商业信誉和健全的财务制度；</w:t>
      </w:r>
      <w:r/>
    </w:p>
    <w:p>
      <w:pPr>
        <w:pStyle w:val="691"/>
        <w:ind w:firstLine="560"/>
        <w:spacing w:line="500" w:lineRule="exact"/>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 xml:space="preserve">2.我公司具有履行合同所必须的设备和专业技术能力；</w:t>
      </w:r>
      <w:r/>
    </w:p>
    <w:p>
      <w:pPr>
        <w:pStyle w:val="691"/>
        <w:ind w:firstLine="560"/>
        <w:spacing w:line="500" w:lineRule="exact"/>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 xml:space="preserve">3.我公司具有依法缴纳税收和社会保障资金的良好记录；</w:t>
      </w:r>
      <w:r/>
    </w:p>
    <w:p>
      <w:pPr>
        <w:ind w:firstLine="560"/>
        <w:spacing w:line="520" w:lineRule="exact"/>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 xml:space="preserve">4.我公司参加政府采购活动前三年内，在经营活动中没有重大违法记录，无贿赂工作人员等违法记录；</w:t>
      </w:r>
      <w:r/>
    </w:p>
    <w:p>
      <w:pPr>
        <w:pStyle w:val="691"/>
        <w:ind w:firstLine="560"/>
        <w:spacing w:line="500" w:lineRule="exact"/>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 xml:space="preserve">5.我公司未列入在信用中国网站（www.creditchina.gov.cn）“失信被执行人”、“重大税收违法案件当事人名单”中，也未列入中国政府采购网（www.ccgp.gov.cn）“政府采购严重违法失信行为记录名单”中</w:t>
      </w:r>
      <w:r>
        <w:rPr>
          <w:rFonts w:hint="eastAsia" w:asciiTheme="minorEastAsia" w:hAnsiTheme="minorEastAsia" w:eastAsiaTheme="minorEastAsia"/>
          <w:sz w:val="28"/>
          <w:szCs w:val="28"/>
        </w:rPr>
        <w:t xml:space="preserve">。</w:t>
      </w:r>
      <w:r/>
    </w:p>
    <w:p>
      <w:pPr>
        <w:pStyle w:val="691"/>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shd w:val="clear" w:color="auto" w:fill="ffffff"/>
        </w:rPr>
        <w:t xml:space="preserve">二、</w:t>
      </w:r>
      <w:r>
        <w:rPr>
          <w:rFonts w:hint="eastAsia" w:asciiTheme="minorEastAsia" w:hAnsiTheme="minorEastAsia" w:eastAsiaTheme="minorEastAsia"/>
          <w:sz w:val="28"/>
          <w:szCs w:val="28"/>
        </w:rPr>
        <w:t xml:space="preserve">我公司承诺：在本次投标过程中，我公司不存在本项目招标文件第二章第1.4.3条所列情形之一。</w:t>
      </w:r>
      <w:r/>
    </w:p>
    <w:p>
      <w:pPr>
        <w:ind w:firstLine="3920"/>
        <w:spacing w:before="166" w:line="500" w:lineRule="exact"/>
        <w:rPr>
          <w:rFonts w:asciiTheme="minorEastAsia" w:hAnsiTheme="minorEastAsia" w:eastAsiaTheme="minorEastAsia"/>
          <w:sz w:val="28"/>
          <w:szCs w:val="28"/>
        </w:rPr>
      </w:pPr>
      <w:r>
        <w:rPr>
          <w:rFonts w:asciiTheme="minorEastAsia" w:hAnsiTheme="minorEastAsia" w:eastAsiaTheme="minorEastAsia"/>
          <w:sz w:val="28"/>
          <w:szCs w:val="28"/>
        </w:rPr>
      </w:r>
      <w:r/>
    </w:p>
    <w:p>
      <w:pPr>
        <w:ind w:firstLine="3640"/>
        <w:spacing w:before="166" w:line="500" w:lineRule="exact"/>
        <w:rPr>
          <w:rFonts w:asciiTheme="minorEastAsia" w:hAnsiTheme="minorEastAsia" w:eastAsiaTheme="minorEastAsia"/>
          <w:sz w:val="28"/>
          <w:szCs w:val="28"/>
        </w:rPr>
      </w:pPr>
      <w:r>
        <w:rPr>
          <w:rFonts w:asciiTheme="minorEastAsia" w:hAnsiTheme="minorEastAsia" w:eastAsiaTheme="minorEastAsia"/>
          <w:sz w:val="28"/>
          <w:szCs w:val="28"/>
        </w:rPr>
        <w:t xml:space="preserve">投标人名称(</w:t>
      </w:r>
      <w:r>
        <w:rPr>
          <w:rFonts w:hint="eastAsia" w:asciiTheme="minorEastAsia" w:hAnsiTheme="minorEastAsia" w:eastAsiaTheme="minorEastAsia"/>
          <w:sz w:val="28"/>
          <w:szCs w:val="28"/>
        </w:rPr>
        <w:t xml:space="preserve">加盖CA电子公章</w:t>
      </w:r>
      <w:r>
        <w:rPr>
          <w:rFonts w:asciiTheme="minorEastAsia" w:hAnsiTheme="minorEastAsia" w:eastAsiaTheme="minorEastAsia"/>
          <w:sz w:val="28"/>
          <w:szCs w:val="28"/>
        </w:rPr>
        <w:t xml:space="preserve">)：</w:t>
      </w:r>
      <w:r/>
    </w:p>
    <w:p>
      <w:pPr>
        <w:ind w:firstLine="3640"/>
        <w:spacing w:before="166" w:line="500" w:lineRule="exact"/>
        <w:rPr>
          <w:rFonts w:asciiTheme="minorEastAsia" w:hAnsiTheme="minorEastAsia" w:eastAsiaTheme="minorEastAsia"/>
          <w:sz w:val="28"/>
          <w:szCs w:val="28"/>
          <w:u w:val="single"/>
        </w:rPr>
      </w:pPr>
      <w:r>
        <w:rPr>
          <w:rFonts w:hint="eastAsia" w:asciiTheme="minorEastAsia" w:hAnsiTheme="minorEastAsia" w:eastAsiaTheme="minorEastAsia"/>
          <w:sz w:val="28"/>
          <w:szCs w:val="28"/>
        </w:rPr>
        <w:t xml:space="preserve">法定代表人（负责人）</w:t>
      </w:r>
      <w:r>
        <w:rPr>
          <w:rFonts w:asciiTheme="minorEastAsia" w:hAnsiTheme="minorEastAsia" w:eastAsiaTheme="minorEastAsia"/>
          <w:sz w:val="28"/>
          <w:szCs w:val="28"/>
        </w:rPr>
        <w:t xml:space="preserve"> (</w:t>
      </w:r>
      <w:r>
        <w:rPr>
          <w:rFonts w:hint="eastAsia" w:asciiTheme="minorEastAsia" w:hAnsiTheme="minorEastAsia" w:eastAsiaTheme="minorEastAsia"/>
          <w:sz w:val="28"/>
          <w:szCs w:val="28"/>
        </w:rPr>
        <w:t xml:space="preserve">签字或签章</w:t>
      </w:r>
      <w:r>
        <w:rPr>
          <w:rFonts w:asciiTheme="minorEastAsia" w:hAnsiTheme="minorEastAsia" w:eastAsiaTheme="minorEastAsia"/>
          <w:sz w:val="28"/>
          <w:szCs w:val="28"/>
        </w:rPr>
        <w:t xml:space="preserve">)</w:t>
      </w:r>
      <w:r>
        <w:rPr>
          <w:rFonts w:hint="eastAsia" w:asciiTheme="minorEastAsia" w:hAnsiTheme="minorEastAsia" w:eastAsiaTheme="minorEastAsia"/>
          <w:sz w:val="28"/>
          <w:szCs w:val="28"/>
        </w:rPr>
        <w:t xml:space="preserve">：</w:t>
      </w:r>
      <w:r/>
    </w:p>
    <w:p>
      <w:pPr>
        <w:ind w:firstLine="3920"/>
        <w:spacing w:before="166"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日期：   年  月   日</w:t>
      </w:r>
      <w:bookmarkEnd w:id="348"/>
      <w:r/>
      <w:bookmarkEnd w:id="349"/>
      <w:r/>
      <w:bookmarkEnd w:id="350"/>
      <w:r/>
      <w:r/>
    </w:p>
    <w:p>
      <w:pPr>
        <w:pStyle w:val="691"/>
        <w:spacing w:line="500" w:lineRule="exact"/>
        <w:rPr>
          <w:rFonts w:asciiTheme="minorEastAsia" w:hAnsiTheme="minorEastAsia" w:eastAsiaTheme="minorEastAsia"/>
          <w:b/>
          <w:sz w:val="28"/>
          <w:szCs w:val="28"/>
        </w:rPr>
      </w:pPr>
      <w:r>
        <w:rPr>
          <w:rFonts w:asciiTheme="minorEastAsia" w:hAnsiTheme="minorEastAsia" w:eastAsiaTheme="minorEastAsia"/>
          <w:b/>
          <w:sz w:val="28"/>
          <w:szCs w:val="28"/>
        </w:rPr>
      </w:r>
      <w:r/>
    </w:p>
    <w:p>
      <w:pPr>
        <w:pStyle w:val="691"/>
        <w:spacing w:line="500" w:lineRule="exac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（2）</w:t>
      </w:r>
      <w:r>
        <w:rPr>
          <w:rFonts w:hint="eastAsia" w:cs="宋体" w:asciiTheme="minorEastAsia" w:hAnsiTheme="minorEastAsia" w:eastAsiaTheme="minorEastAsia"/>
          <w:b/>
          <w:sz w:val="28"/>
          <w:szCs w:val="28"/>
        </w:rPr>
        <w:t xml:space="preserve">招标文件要求的其他资格条件及证明材料</w:t>
      </w:r>
      <w:r/>
    </w:p>
    <w:p>
      <w:pPr>
        <w:pStyle w:val="691"/>
        <w:ind w:firstLine="560"/>
        <w:spacing w:line="50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1.具有有效的营业执照（附证书的扫描件）；</w:t>
      </w:r>
      <w:r/>
    </w:p>
    <w:p>
      <w:pPr>
        <w:ind w:firstLine="560"/>
        <w:spacing w:line="48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2.本项目的特定资格要求提供的证明材料（具体见招标公告要求）。</w:t>
      </w:r>
      <w:r/>
    </w:p>
    <w:p>
      <w:pPr>
        <w:jc w:val="left"/>
        <w:widowControl/>
        <w:rPr>
          <w:rFonts w:cs="宋体" w:asciiTheme="majorEastAsia" w:hAnsiTheme="majorEastAsia" w:eastAsiaTheme="majorEastAsia"/>
          <w:sz w:val="30"/>
          <w:szCs w:val="30"/>
        </w:rPr>
      </w:pPr>
      <w:r>
        <w:rPr>
          <w:rFonts w:cs="宋体" w:asciiTheme="majorEastAsia" w:hAnsiTheme="majorEastAsia" w:eastAsiaTheme="majorEastAsia"/>
          <w:b/>
          <w:sz w:val="30"/>
          <w:szCs w:val="30"/>
        </w:rPr>
        <w:br w:type="page" w:clear="all"/>
      </w:r>
      <w:r>
        <w:rPr>
          <w:rFonts w:hint="eastAsia" w:cs="宋体" w:asciiTheme="majorEastAsia" w:hAnsiTheme="majorEastAsia" w:eastAsiaTheme="majorEastAsia"/>
          <w:b/>
          <w:sz w:val="30"/>
          <w:szCs w:val="30"/>
        </w:rPr>
        <w:t xml:space="preserve">附件：中小企业声明函</w:t>
      </w:r>
      <w:r/>
    </w:p>
    <w:p>
      <w:pPr>
        <w:jc w:val="center"/>
        <w:rPr>
          <w:rFonts w:ascii="宋体" w:hAnsi="宋体" w:cs="宋体"/>
          <w:b/>
          <w:sz w:val="36"/>
          <w:szCs w:val="28"/>
        </w:rPr>
      </w:pPr>
      <w:r/>
      <w:bookmarkStart w:id="351" w:name="OLE_LINK82"/>
      <w:r/>
      <w:bookmarkStart w:id="352" w:name="OLE_LINK88"/>
      <w:r/>
      <w:bookmarkStart w:id="353" w:name="OLE_LINK83"/>
      <w:r>
        <w:rPr>
          <w:rFonts w:hint="eastAsia" w:ascii="宋体" w:hAnsi="宋体" w:cs="宋体"/>
          <w:b/>
          <w:sz w:val="36"/>
          <w:szCs w:val="28"/>
        </w:rPr>
        <w:t xml:space="preserve">中小企业声明函（货物）</w:t>
      </w:r>
      <w:r/>
    </w:p>
    <w:p>
      <w:pPr>
        <w:ind w:firstLine="566"/>
        <w:spacing w:line="500" w:lineRule="exact"/>
        <w:rPr>
          <w:rFonts w:ascii="宋体" w:hAnsi="宋体" w:cs="宋体"/>
          <w:sz w:val="28"/>
          <w:szCs w:val="28"/>
        </w:rPr>
      </w:pPr>
      <w:r>
        <w:rPr>
          <w:rFonts w:hint="eastAsia" w:ascii="宋体" w:hAnsi="宋体" w:cs="宋体"/>
          <w:sz w:val="28"/>
          <w:szCs w:val="28"/>
        </w:rPr>
        <w:t xml:space="preserve">本公司（联合体）郑重声明，根据《政府采购促进中小企业发展管理办法》（财库﹝2020﹞46 号）的规定，本公司（联合体）参加</w:t>
      </w:r>
      <w:r>
        <w:rPr>
          <w:rFonts w:hint="eastAsia" w:ascii="宋体" w:hAnsi="宋体" w:cs="宋体"/>
          <w:sz w:val="28"/>
          <w:szCs w:val="28"/>
          <w:u w:val="single"/>
        </w:rPr>
        <w:t xml:space="preserve">（单位名称）</w:t>
      </w:r>
      <w:r>
        <w:rPr>
          <w:rFonts w:hint="eastAsia" w:ascii="宋体" w:hAnsi="宋体" w:cs="宋体"/>
          <w:sz w:val="28"/>
          <w:szCs w:val="28"/>
        </w:rPr>
        <w:t xml:space="preserve">的</w:t>
      </w:r>
      <w:r>
        <w:rPr>
          <w:rFonts w:hint="eastAsia" w:ascii="宋体" w:hAnsi="宋体" w:cs="宋体"/>
          <w:sz w:val="28"/>
          <w:szCs w:val="28"/>
          <w:u w:val="single"/>
        </w:rPr>
        <w:t xml:space="preserve">（项目名称）</w:t>
      </w:r>
      <w:r>
        <w:rPr>
          <w:rFonts w:hint="eastAsia" w:ascii="宋体" w:hAnsi="宋体" w:cs="宋体"/>
          <w:sz w:val="28"/>
          <w:szCs w:val="28"/>
        </w:rPr>
        <w:t xml:space="preserve">采购活动，提供的货物全部由符合政策要求的中小企业制造。相关企业（含联合体中的中小企业、签订分包意向协议的中小企业）的具体情况如下：</w:t>
      </w:r>
      <w:r/>
    </w:p>
    <w:p>
      <w:pPr>
        <w:ind w:firstLine="566"/>
        <w:spacing w:line="500" w:lineRule="exact"/>
        <w:rPr>
          <w:rFonts w:ascii="宋体" w:hAnsi="宋体" w:cs="宋体"/>
          <w:sz w:val="28"/>
          <w:szCs w:val="28"/>
        </w:rPr>
      </w:pPr>
      <w:r>
        <w:rPr>
          <w:rFonts w:hint="eastAsia" w:ascii="宋体" w:hAnsi="宋体" w:cs="宋体"/>
          <w:sz w:val="28"/>
          <w:szCs w:val="28"/>
        </w:rPr>
        <w:t xml:space="preserve">1. </w:t>
      </w:r>
      <w:r>
        <w:rPr>
          <w:rFonts w:hint="eastAsia" w:ascii="宋体" w:hAnsi="宋体" w:cs="宋体"/>
          <w:sz w:val="28"/>
          <w:szCs w:val="28"/>
          <w:u w:val="single"/>
        </w:rPr>
        <w:t xml:space="preserve">（标的名称）</w:t>
      </w:r>
      <w:r>
        <w:rPr>
          <w:rFonts w:hint="eastAsia" w:ascii="宋体" w:hAnsi="宋体" w:cs="宋体"/>
          <w:sz w:val="28"/>
          <w:szCs w:val="28"/>
        </w:rPr>
        <w:t xml:space="preserve">，属于</w:t>
      </w:r>
      <w:r>
        <w:rPr>
          <w:rFonts w:hint="eastAsia" w:ascii="宋体" w:hAnsi="宋体" w:cs="宋体"/>
          <w:sz w:val="28"/>
          <w:szCs w:val="28"/>
          <w:u w:val="single"/>
        </w:rPr>
        <w:t xml:space="preserve">（采购文件中明确的所属行业）行业</w:t>
      </w:r>
      <w:r>
        <w:rPr>
          <w:rFonts w:hint="eastAsia" w:ascii="宋体" w:hAnsi="宋体" w:cs="宋体"/>
          <w:sz w:val="28"/>
          <w:szCs w:val="28"/>
        </w:rPr>
        <w:t xml:space="preserve">；制造商为</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万元1，属于</w:t>
      </w:r>
      <w:r>
        <w:rPr>
          <w:rFonts w:hint="eastAsia" w:ascii="宋体" w:hAnsi="宋体" w:cs="宋体"/>
          <w:sz w:val="28"/>
          <w:szCs w:val="28"/>
          <w:u w:val="single"/>
        </w:rPr>
        <w:t xml:space="preserve">（中型企业、小型企业、微型企业）</w:t>
      </w:r>
      <w:r>
        <w:rPr>
          <w:rFonts w:hint="eastAsia" w:ascii="宋体" w:hAnsi="宋体" w:cs="宋体"/>
          <w:sz w:val="28"/>
          <w:szCs w:val="28"/>
        </w:rPr>
        <w:t xml:space="preserve">；</w:t>
      </w:r>
      <w:r/>
    </w:p>
    <w:p>
      <w:pPr>
        <w:ind w:firstLine="566"/>
        <w:spacing w:line="500" w:lineRule="exact"/>
        <w:rPr>
          <w:rFonts w:ascii="宋体" w:hAnsi="宋体" w:cs="宋体"/>
          <w:sz w:val="28"/>
          <w:szCs w:val="28"/>
        </w:rPr>
      </w:pPr>
      <w:r>
        <w:rPr>
          <w:rFonts w:hint="eastAsia" w:ascii="宋体" w:hAnsi="宋体" w:cs="宋体"/>
          <w:sz w:val="28"/>
          <w:szCs w:val="28"/>
        </w:rPr>
        <w:t xml:space="preserve">2. </w:t>
      </w:r>
      <w:r>
        <w:rPr>
          <w:rFonts w:hint="eastAsia" w:ascii="宋体" w:hAnsi="宋体" w:cs="宋体"/>
          <w:sz w:val="28"/>
          <w:szCs w:val="28"/>
          <w:u w:val="single"/>
        </w:rPr>
        <w:t xml:space="preserve">（标的名称）</w:t>
      </w:r>
      <w:r>
        <w:rPr>
          <w:rFonts w:hint="eastAsia" w:ascii="宋体" w:hAnsi="宋体" w:cs="宋体"/>
          <w:sz w:val="28"/>
          <w:szCs w:val="28"/>
        </w:rPr>
        <w:t xml:space="preserve">，属于</w:t>
      </w:r>
      <w:r>
        <w:rPr>
          <w:rFonts w:hint="eastAsia" w:ascii="宋体" w:hAnsi="宋体" w:cs="宋体"/>
          <w:sz w:val="28"/>
          <w:szCs w:val="28"/>
          <w:u w:val="single"/>
        </w:rPr>
        <w:t xml:space="preserve">（采购文件中明确的所属行业）行业</w:t>
      </w:r>
      <w:r>
        <w:rPr>
          <w:rFonts w:hint="eastAsia" w:ascii="宋体" w:hAnsi="宋体" w:cs="宋体"/>
          <w:sz w:val="28"/>
          <w:szCs w:val="28"/>
        </w:rPr>
        <w:t xml:space="preserve">；制造商为</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w:t>
      </w:r>
      <w:r>
        <w:rPr>
          <w:rFonts w:hint="eastAsia" w:ascii="宋体" w:hAnsi="宋体" w:cs="宋体"/>
          <w:sz w:val="28"/>
          <w:szCs w:val="28"/>
          <w:u w:val="single"/>
        </w:rPr>
        <w:t xml:space="preserve">（中型企业、小型企业、微型企业）</w:t>
      </w:r>
      <w:r>
        <w:rPr>
          <w:rFonts w:hint="eastAsia" w:ascii="宋体" w:hAnsi="宋体" w:cs="宋体"/>
          <w:sz w:val="28"/>
          <w:szCs w:val="28"/>
        </w:rPr>
        <w:t xml:space="preserve">；</w:t>
      </w:r>
      <w:r/>
    </w:p>
    <w:p>
      <w:pPr>
        <w:ind w:firstLine="566"/>
        <w:spacing w:line="500" w:lineRule="exact"/>
        <w:rPr>
          <w:rFonts w:ascii="宋体" w:hAnsi="宋体" w:cs="宋体"/>
          <w:sz w:val="28"/>
          <w:szCs w:val="28"/>
        </w:rPr>
      </w:pPr>
      <w:r>
        <w:rPr>
          <w:rFonts w:hint="eastAsia" w:ascii="宋体" w:hAnsi="宋体" w:cs="宋体"/>
          <w:sz w:val="28"/>
          <w:szCs w:val="28"/>
        </w:rPr>
        <w:t xml:space="preserve">……</w:t>
      </w:r>
      <w:r/>
    </w:p>
    <w:p>
      <w:pPr>
        <w:ind w:firstLine="566"/>
        <w:spacing w:line="500" w:lineRule="exact"/>
        <w:rPr>
          <w:rFonts w:ascii="宋体" w:hAnsi="宋体" w:cs="宋体"/>
          <w:sz w:val="28"/>
          <w:szCs w:val="28"/>
        </w:rPr>
      </w:pPr>
      <w:r>
        <w:rPr>
          <w:rFonts w:hint="eastAsia" w:ascii="宋体" w:hAnsi="宋体" w:cs="宋体"/>
          <w:sz w:val="28"/>
          <w:szCs w:val="28"/>
        </w:rPr>
        <w:t xml:space="preserve">以上企业，不属于大企业的分支机构，不存在控股股东为大企业的情形，也不存在与大企业的负责人为同一人的情形。</w:t>
      </w:r>
      <w:r/>
    </w:p>
    <w:p>
      <w:pPr>
        <w:ind w:firstLine="566"/>
        <w:spacing w:line="500" w:lineRule="exact"/>
        <w:rPr>
          <w:rFonts w:ascii="宋体" w:hAnsi="宋体" w:cs="宋体"/>
          <w:sz w:val="28"/>
          <w:szCs w:val="28"/>
        </w:rPr>
      </w:pPr>
      <w:r>
        <w:rPr>
          <w:rFonts w:hint="eastAsia" w:ascii="宋体" w:hAnsi="宋体" w:cs="宋体"/>
          <w:sz w:val="28"/>
          <w:szCs w:val="28"/>
        </w:rPr>
        <w:t xml:space="preserve">本企业对上述声明内容的真实性负责。如有虚假，将依法承担相应责任。</w:t>
      </w:r>
      <w:r/>
    </w:p>
    <w:p>
      <w:pPr>
        <w:ind w:firstLine="4962"/>
        <w:spacing w:line="500" w:lineRule="exact"/>
        <w:rPr>
          <w:rFonts w:ascii="宋体" w:hAnsi="宋体" w:cs="宋体"/>
          <w:sz w:val="28"/>
          <w:szCs w:val="28"/>
        </w:rPr>
      </w:pPr>
      <w:r>
        <w:rPr>
          <w:rFonts w:hint="eastAsia" w:ascii="宋体" w:hAnsi="宋体" w:cs="宋体"/>
          <w:sz w:val="28"/>
          <w:szCs w:val="28"/>
        </w:rPr>
        <w:t xml:space="preserve">企业名称（盖章）：</w:t>
      </w:r>
      <w:r/>
    </w:p>
    <w:p>
      <w:pPr>
        <w:ind w:firstLine="4962"/>
        <w:spacing w:line="500" w:lineRule="exact"/>
        <w:rPr>
          <w:rFonts w:ascii="宋体" w:hAnsi="宋体" w:cs="宋体"/>
          <w:sz w:val="28"/>
          <w:szCs w:val="28"/>
        </w:rPr>
      </w:pPr>
      <w:r>
        <w:rPr>
          <w:rFonts w:hint="eastAsia" w:ascii="宋体" w:hAnsi="宋体" w:cs="宋体"/>
          <w:sz w:val="28"/>
          <w:szCs w:val="28"/>
        </w:rPr>
        <w:t xml:space="preserve">日期：</w:t>
      </w:r>
      <w:r/>
    </w:p>
    <w:p>
      <w:pPr>
        <w:pStyle w:val="886"/>
        <w:ind w:left="562" w:hanging="562"/>
        <w:spacing w:line="400" w:lineRule="exact"/>
        <w:rPr>
          <w:rFonts w:ascii="宋体" w:hAnsi="宋体" w:cs="宋体"/>
          <w:b/>
          <w:sz w:val="28"/>
          <w:szCs w:val="28"/>
        </w:rPr>
      </w:pPr>
      <w:r>
        <w:rPr>
          <w:rFonts w:hint="eastAsia" w:ascii="宋体" w:hAnsi="宋体" w:cs="宋体"/>
          <w:b/>
          <w:sz w:val="28"/>
          <w:szCs w:val="28"/>
        </w:rPr>
        <w:t xml:space="preserve">备注说明：</w:t>
      </w:r>
      <w:r/>
    </w:p>
    <w:p>
      <w:pPr>
        <w:pStyle w:val="886"/>
        <w:ind w:left="562" w:hanging="562"/>
        <w:spacing w:line="400" w:lineRule="exact"/>
        <w:rPr>
          <w:rFonts w:ascii="宋体" w:hAnsi="宋体" w:cs="宋体"/>
          <w:b/>
          <w:sz w:val="28"/>
          <w:szCs w:val="28"/>
        </w:rPr>
      </w:pPr>
      <w:r>
        <w:rPr>
          <w:rFonts w:hint="eastAsia" w:ascii="宋体" w:hAnsi="宋体" w:cs="宋体"/>
          <w:b/>
          <w:sz w:val="28"/>
          <w:szCs w:val="28"/>
        </w:rPr>
        <w:t xml:space="preserve">1、从业人员、营业收入填报上一年度数据，无上一年度数据的新成立企业可不填报。</w:t>
      </w:r>
      <w:r/>
    </w:p>
    <w:p>
      <w:pPr>
        <w:spacing w:line="400" w:lineRule="exact"/>
        <w:rPr>
          <w:rFonts w:ascii="宋体" w:hAnsi="宋体" w:cs="宋体"/>
          <w:b/>
          <w:sz w:val="28"/>
          <w:szCs w:val="28"/>
        </w:rPr>
      </w:pPr>
      <w:r>
        <w:rPr>
          <w:rFonts w:hint="eastAsia" w:ascii="宋体" w:hAnsi="宋体" w:cs="宋体"/>
          <w:b/>
          <w:sz w:val="28"/>
          <w:szCs w:val="28"/>
        </w:rPr>
        <w:t xml:space="preserve">2、供应商未提供此声明函的，将无法享受价格优惠评审。</w:t>
      </w:r>
      <w:r/>
    </w:p>
    <w:p>
      <w:pPr>
        <w:pStyle w:val="689"/>
        <w:ind w:firstLine="0"/>
        <w:spacing w:line="400" w:lineRule="exact"/>
        <w:rPr>
          <w:rFonts w:ascii="宋体" w:hAnsi="宋体" w:cs="宋体"/>
          <w:sz w:val="28"/>
          <w:szCs w:val="28"/>
        </w:rPr>
      </w:pPr>
      <w:r>
        <w:rPr>
          <w:rFonts w:hint="eastAsia" w:ascii="宋体" w:hAnsi="宋体" w:cs="宋体"/>
          <w:b/>
          <w:sz w:val="28"/>
          <w:szCs w:val="28"/>
        </w:rPr>
        <w:t xml:space="preserve">3、供应商提供的声明函内容不实的，属于提供虚假材料谋取中标，依照《中华人民共和国政府采购法》等国家有关规定追究相应责任。</w:t>
      </w:r>
      <w:bookmarkEnd w:id="351"/>
      <w:r/>
      <w:bookmarkEnd w:id="352"/>
      <w:r/>
      <w:bookmarkEnd w:id="353"/>
      <w:r>
        <w:rPr>
          <w:rFonts w:hint="eastAsia"/>
          <w:b/>
          <w:color w:val="ff0000"/>
        </w:rPr>
        <w:t xml:space="preserve">4、</w:t>
      </w:r>
      <w:r>
        <w:rPr>
          <w:rFonts w:hint="eastAsia" w:ascii="宋体" w:hAnsi="宋体" w:cs="宋体"/>
          <w:b/>
          <w:color w:val="ff0000"/>
        </w:rPr>
        <w:t xml:space="preserve">友情提醒:投标人若为产品经销商，须填写生产厂家的中小企业声明函及相关信息，否则将不予享受关于《政府采购促进中小企业发展暂行办法》规定中针对小型和微型企业的产品价格优惠政策。</w:t>
      </w:r>
      <w:r/>
    </w:p>
    <w:p>
      <w:pPr>
        <w:ind w:firstLine="560"/>
        <w:spacing w:line="440" w:lineRule="exact"/>
        <w:rPr>
          <w:rFonts w:cs="宋体" w:asciiTheme="majorEastAsia" w:hAnsiTheme="majorEastAsia" w:eastAsiaTheme="majorEastAsia"/>
          <w:sz w:val="28"/>
          <w:szCs w:val="28"/>
        </w:rPr>
      </w:pPr>
      <w:r>
        <w:rPr>
          <w:rFonts w:cs="宋体" w:asciiTheme="majorEastAsia" w:hAnsiTheme="majorEastAsia" w:eastAsiaTheme="majorEastAsia"/>
          <w:sz w:val="28"/>
          <w:szCs w:val="28"/>
        </w:rPr>
      </w:r>
      <w:r/>
    </w:p>
    <w:p>
      <w:pPr>
        <w:ind w:firstLine="560"/>
        <w:spacing w:line="440" w:lineRule="exact"/>
        <w:rPr>
          <w:rFonts w:cs="宋体" w:asciiTheme="majorEastAsia" w:hAnsiTheme="majorEastAsia" w:eastAsiaTheme="majorEastAsia"/>
          <w:sz w:val="28"/>
          <w:szCs w:val="28"/>
        </w:rPr>
      </w:pPr>
      <w:r>
        <w:rPr>
          <w:rFonts w:cs="宋体" w:asciiTheme="majorEastAsia" w:hAnsiTheme="majorEastAsia" w:eastAsiaTheme="majorEastAsia"/>
          <w:sz w:val="28"/>
          <w:szCs w:val="28"/>
        </w:rPr>
      </w:r>
      <w:r/>
    </w:p>
    <w:p>
      <w:pPr>
        <w:jc w:val="left"/>
        <w:spacing w:line="440" w:lineRule="exact"/>
        <w:widowControl/>
        <w:rPr>
          <w:rFonts w:ascii="楷体" w:hAnsi="楷体" w:eastAsia="楷体" w:cs="宋体"/>
          <w:b/>
          <w:sz w:val="32"/>
          <w:szCs w:val="32"/>
        </w:rPr>
      </w:pPr>
      <w:r>
        <w:rPr>
          <w:rFonts w:hint="eastAsia" w:ascii="楷体" w:hAnsi="楷体" w:eastAsia="楷体" w:cs="宋体"/>
          <w:b/>
          <w:sz w:val="32"/>
          <w:szCs w:val="32"/>
        </w:rPr>
        <w:t xml:space="preserve">3.6采购需求响应表</w:t>
      </w:r>
      <w:r/>
    </w:p>
    <w:p>
      <w:pPr>
        <w:jc w:val="center"/>
        <w:rPr>
          <w:rFonts w:ascii="宋体" w:hAnsi="宋体" w:cs="Arial Unicode MS"/>
          <w:sz w:val="28"/>
          <w:szCs w:val="28"/>
        </w:rPr>
      </w:pPr>
      <w:r/>
      <w:bookmarkStart w:id="354" w:name="OLE_LINK81"/>
      <w:r/>
      <w:bookmarkStart w:id="355" w:name="OLE_LINK80"/>
      <w:r/>
      <w:bookmarkStart w:id="356" w:name="OLE_LINK90"/>
      <w:r>
        <w:rPr>
          <w:rFonts w:hint="eastAsia" w:ascii="宋体" w:hAnsi="宋体" w:cs="Arial Unicode MS"/>
          <w:sz w:val="28"/>
          <w:szCs w:val="28"/>
        </w:rPr>
        <w:t xml:space="preserve">响应表</w:t>
      </w:r>
      <w:r/>
    </w:p>
    <w:tbl>
      <w:tblPr>
        <w:tblStyle w:val="685"/>
        <w:tblW w:w="915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1083"/>
        <w:gridCol w:w="996"/>
        <w:gridCol w:w="2241"/>
        <w:gridCol w:w="1080"/>
        <w:gridCol w:w="1266"/>
        <w:gridCol w:w="1599"/>
        <w:gridCol w:w="888"/>
      </w:tblGrid>
      <w:tr>
        <w:trPr>
          <w:jc w:val="center"/>
          <w:trHeight w:val="88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cs="Arial"/>
                <w:szCs w:val="21"/>
              </w:rPr>
            </w:pPr>
            <w:r>
              <w:rPr>
                <w:rFonts w:hint="eastAsia" w:ascii="宋体" w:cs="Arial"/>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spacing w:line="360" w:lineRule="auto"/>
              <w:rPr>
                <w:rFonts w:ascii="宋体" w:cs="Arial"/>
                <w:szCs w:val="21"/>
              </w:rPr>
            </w:pPr>
            <w:r>
              <w:rPr>
                <w:rFonts w:hint="eastAsia" w:ascii="宋体" w:cs="Arial"/>
                <w:szCs w:val="21"/>
              </w:rPr>
              <w:t xml:space="preserve">招标技术参数</w:t>
            </w:r>
            <w:r/>
          </w:p>
        </w:tc>
        <w:tc>
          <w:tcPr>
            <w:gridSpan w:val="2"/>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spacing w:line="360" w:lineRule="auto"/>
              <w:rPr>
                <w:rFonts w:ascii="宋体" w:cs="Arial"/>
                <w:szCs w:val="21"/>
              </w:rPr>
            </w:pPr>
            <w:r>
              <w:rPr>
                <w:rFonts w:hint="eastAsia" w:ascii="宋体" w:cs="Arial"/>
                <w:szCs w:val="21"/>
              </w:rPr>
              <w:t xml:space="preserve">投标技术参数</w:t>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pacing w:line="360" w:lineRule="auto"/>
              <w:rPr>
                <w:rFonts w:ascii="宋体" w:cs="Arial"/>
                <w:szCs w:val="21"/>
              </w:rPr>
            </w:pPr>
            <w:r>
              <w:rPr>
                <w:rFonts w:hint="eastAsia" w:ascii="宋体" w:cs="Arial"/>
                <w:szCs w:val="21"/>
              </w:rPr>
              <w:t xml:space="preserve">是否偏离</w:t>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spacing w:line="360" w:lineRule="auto"/>
              <w:rPr>
                <w:rFonts w:ascii="宋体" w:cs="Arial"/>
                <w:szCs w:val="21"/>
              </w:rPr>
            </w:pPr>
            <w:r>
              <w:rPr>
                <w:rFonts w:hint="eastAsia" w:ascii="宋体" w:cs="Arial"/>
                <w:szCs w:val="21"/>
              </w:rPr>
              <w:t xml:space="preserve">备注</w:t>
            </w:r>
            <w:r/>
          </w:p>
        </w:tc>
      </w:tr>
      <w:tr>
        <w:trPr>
          <w:cantSplit/>
          <w:jc w:val="center"/>
          <w:trHeight w:val="76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rPr>
                <w:rFonts w:ascii="宋体" w:cs="Arial"/>
                <w:spacing w:val="-20"/>
                <w:szCs w:val="21"/>
              </w:rPr>
            </w:pPr>
            <w:r>
              <w:rPr>
                <w:rFonts w:ascii="宋体" w:cs="Arial"/>
                <w:spacing w:val="-20"/>
                <w:szCs w:val="21"/>
              </w:rPr>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spacing w:line="360" w:lineRule="auto"/>
              <w:rPr>
                <w:rFonts w:ascii="宋体" w:cs="Arial"/>
                <w:szCs w:val="21"/>
              </w:rPr>
            </w:pPr>
            <w:r>
              <w:rPr>
                <w:rFonts w:ascii="宋体" w:cs="Arial"/>
                <w:szCs w:val="21"/>
              </w:rPr>
            </w:r>
            <w:r/>
          </w:p>
        </w:tc>
      </w:tr>
      <w:tr>
        <w:trPr>
          <w:cantSplit/>
          <w:jc w:val="center"/>
          <w:trHeight w:val="76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rPr>
                <w:rFonts w:ascii="宋体" w:cs="Arial"/>
                <w:spacing w:val="-20"/>
                <w:szCs w:val="21"/>
              </w:rPr>
            </w:pPr>
            <w:r>
              <w:rPr>
                <w:rFonts w:ascii="宋体" w:cs="Arial"/>
                <w:spacing w:val="-20"/>
                <w:szCs w:val="21"/>
              </w:rPr>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spacing w:line="360" w:lineRule="auto"/>
              <w:rPr>
                <w:rFonts w:ascii="宋体" w:cs="Arial"/>
                <w:szCs w:val="21"/>
              </w:rPr>
            </w:pPr>
            <w:r>
              <w:rPr>
                <w:rFonts w:ascii="宋体" w:cs="Arial"/>
                <w:szCs w:val="21"/>
              </w:rPr>
            </w:r>
            <w:r/>
          </w:p>
        </w:tc>
      </w:tr>
      <w:tr>
        <w:trPr>
          <w:cantSplit/>
          <w:jc w:val="center"/>
          <w:trHeight w:val="76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rPr>
                <w:rFonts w:ascii="宋体" w:cs="Arial"/>
                <w:spacing w:val="-20"/>
                <w:szCs w:val="21"/>
              </w:rPr>
            </w:pPr>
            <w:r>
              <w:rPr>
                <w:rFonts w:ascii="宋体" w:cs="Arial"/>
                <w:spacing w:val="-20"/>
                <w:szCs w:val="21"/>
              </w:rPr>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spacing w:line="360" w:lineRule="auto"/>
              <w:rPr>
                <w:rFonts w:ascii="宋体" w:cs="Arial"/>
                <w:szCs w:val="21"/>
              </w:rPr>
            </w:pPr>
            <w:r>
              <w:rPr>
                <w:rFonts w:ascii="宋体" w:cs="Arial"/>
                <w:szCs w:val="21"/>
              </w:rPr>
            </w:r>
            <w:r/>
          </w:p>
        </w:tc>
      </w:tr>
      <w:tr>
        <w:trPr>
          <w:cantSplit/>
          <w:jc w:val="center"/>
          <w:trHeight w:val="76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rPr>
                <w:rFonts w:ascii="宋体" w:cs="Arial"/>
                <w:spacing w:val="-20"/>
                <w:szCs w:val="21"/>
              </w:rPr>
            </w:pPr>
            <w:r>
              <w:rPr>
                <w:rFonts w:ascii="宋体" w:cs="Arial"/>
                <w:spacing w:val="-20"/>
                <w:szCs w:val="21"/>
              </w:rPr>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spacing w:line="360" w:lineRule="auto"/>
              <w:rPr>
                <w:rFonts w:ascii="宋体" w:cs="Arial"/>
                <w:szCs w:val="21"/>
              </w:rPr>
            </w:pPr>
            <w:r>
              <w:rPr>
                <w:rFonts w:ascii="宋体" w:cs="Arial"/>
                <w:szCs w:val="21"/>
              </w:rPr>
            </w:r>
            <w:r/>
          </w:p>
        </w:tc>
      </w:tr>
      <w:tr>
        <w:trPr>
          <w:cantSplit/>
          <w:jc w:val="center"/>
          <w:trHeight w:val="76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rPr>
                <w:rFonts w:ascii="宋体" w:cs="Arial"/>
                <w:spacing w:val="-20"/>
                <w:szCs w:val="21"/>
              </w:rPr>
            </w:pPr>
            <w:r>
              <w:rPr>
                <w:rFonts w:ascii="宋体" w:cs="Arial"/>
                <w:spacing w:val="-20"/>
                <w:szCs w:val="21"/>
              </w:rPr>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spacing w:line="360" w:lineRule="auto"/>
              <w:rPr>
                <w:rFonts w:ascii="宋体" w:cs="Arial"/>
                <w:szCs w:val="21"/>
              </w:rPr>
            </w:pPr>
            <w:r>
              <w:rPr>
                <w:rFonts w:ascii="宋体" w:cs="Arial"/>
                <w:szCs w:val="21"/>
              </w:rPr>
            </w:r>
            <w:r/>
          </w:p>
        </w:tc>
      </w:tr>
      <w:tr>
        <w:trPr>
          <w:cantSplit/>
          <w:jc w:val="center"/>
          <w:trHeight w:val="76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rPr>
                <w:rFonts w:ascii="宋体" w:cs="Arial"/>
                <w:spacing w:val="-20"/>
                <w:szCs w:val="21"/>
              </w:rPr>
            </w:pPr>
            <w:r>
              <w:rPr>
                <w:rFonts w:ascii="宋体" w:cs="Arial"/>
                <w:spacing w:val="-20"/>
                <w:szCs w:val="21"/>
              </w:rPr>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spacing w:line="360" w:lineRule="auto"/>
              <w:rPr>
                <w:rFonts w:ascii="宋体" w:cs="Arial"/>
                <w:szCs w:val="21"/>
              </w:rPr>
            </w:pPr>
            <w:r>
              <w:rPr>
                <w:rFonts w:ascii="宋体" w:cs="Arial"/>
                <w:szCs w:val="21"/>
              </w:rPr>
            </w:r>
            <w:r/>
          </w:p>
        </w:tc>
      </w:tr>
      <w:tr>
        <w:trPr>
          <w:cantSplit/>
          <w:jc w:val="center"/>
          <w:trHeight w:val="76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rPr>
                <w:rFonts w:ascii="宋体" w:cs="Arial"/>
                <w:spacing w:val="-20"/>
                <w:szCs w:val="21"/>
              </w:rPr>
            </w:pPr>
            <w:r>
              <w:rPr>
                <w:rFonts w:ascii="宋体" w:cs="Arial"/>
                <w:spacing w:val="-20"/>
                <w:szCs w:val="21"/>
              </w:rPr>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spacing w:line="360" w:lineRule="auto"/>
              <w:rPr>
                <w:rFonts w:ascii="宋体" w:cs="Arial"/>
                <w:szCs w:val="21"/>
              </w:rPr>
            </w:pPr>
            <w:r>
              <w:rPr>
                <w:rFonts w:ascii="宋体" w:cs="Arial"/>
                <w:szCs w:val="21"/>
              </w:rPr>
            </w:r>
            <w:r/>
          </w:p>
        </w:tc>
      </w:tr>
      <w:tr>
        <w:trPr>
          <w:cantSplit/>
          <w:jc w:val="center"/>
          <w:trHeight w:val="76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rPr>
                <w:rFonts w:ascii="宋体" w:cs="Arial"/>
                <w:spacing w:val="-20"/>
                <w:szCs w:val="21"/>
              </w:rPr>
            </w:pPr>
            <w:r>
              <w:rPr>
                <w:rFonts w:ascii="宋体" w:cs="Arial"/>
                <w:spacing w:val="-20"/>
                <w:szCs w:val="21"/>
              </w:rPr>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spacing w:line="360" w:lineRule="auto"/>
              <w:rPr>
                <w:rFonts w:ascii="宋体" w:cs="Arial"/>
                <w:szCs w:val="21"/>
              </w:rPr>
            </w:pPr>
            <w:r>
              <w:rPr>
                <w:rFonts w:ascii="宋体" w:cs="Arial"/>
                <w:szCs w:val="21"/>
              </w:rPr>
            </w:r>
            <w:r/>
          </w:p>
        </w:tc>
      </w:tr>
      <w:tr>
        <w:trPr>
          <w:cantSplit/>
          <w:jc w:val="center"/>
          <w:trHeight w:val="76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rPr>
                <w:rFonts w:ascii="宋体" w:cs="Arial"/>
                <w:spacing w:val="-20"/>
                <w:szCs w:val="21"/>
              </w:rPr>
            </w:pPr>
            <w:r>
              <w:rPr>
                <w:rFonts w:ascii="宋体" w:cs="Arial"/>
                <w:spacing w:val="-20"/>
                <w:szCs w:val="21"/>
              </w:rPr>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spacing w:line="360" w:lineRule="auto"/>
              <w:rPr>
                <w:rFonts w:ascii="宋体" w:cs="Arial"/>
                <w:szCs w:val="21"/>
              </w:rPr>
            </w:pPr>
            <w:r>
              <w:rPr>
                <w:rFonts w:ascii="宋体" w:cs="Arial"/>
                <w:szCs w:val="21"/>
              </w:rPr>
            </w:r>
            <w:r/>
          </w:p>
        </w:tc>
      </w:tr>
      <w:tr>
        <w:trPr>
          <w:cantSplit/>
          <w:jc w:val="center"/>
          <w:trHeight w:val="76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rPr>
                <w:rFonts w:ascii="宋体" w:cs="Arial"/>
                <w:spacing w:val="-20"/>
                <w:szCs w:val="21"/>
              </w:rPr>
            </w:pPr>
            <w:r>
              <w:rPr>
                <w:rFonts w:ascii="宋体" w:cs="Arial"/>
                <w:spacing w:val="-20"/>
                <w:szCs w:val="21"/>
              </w:rPr>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pacing w:line="360" w:lineRule="auto"/>
              <w:rPr>
                <w:rFonts w:ascii="宋体" w:cs="Arial"/>
                <w:szCs w:val="21"/>
              </w:rPr>
            </w:pPr>
            <w:r>
              <w:rPr>
                <w:rFonts w:ascii="宋体" w:cs="Arial"/>
                <w:szCs w:val="21"/>
              </w:rPr>
            </w:r>
            <w:bookmarkEnd w:id="354"/>
            <w:bookmarkEnd w:id="355"/>
            <w:bookmarkEnd w:id="356"/>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spacing w:line="360" w:lineRule="auto"/>
              <w:rPr>
                <w:rFonts w:ascii="宋体" w:cs="Arial"/>
                <w:szCs w:val="21"/>
              </w:rPr>
            </w:pPr>
            <w:r>
              <w:rPr>
                <w:rFonts w:ascii="宋体" w:cs="Arial"/>
                <w:szCs w:val="21"/>
              </w:rPr>
            </w:r>
            <w:r/>
          </w:p>
        </w:tc>
      </w:tr>
    </w:tbl>
    <w:p>
      <w:pPr>
        <w:jc w:val="left"/>
        <w:spacing w:line="440" w:lineRule="exact"/>
        <w:widowControl/>
        <w:rPr>
          <w:rFonts w:ascii="楷体" w:hAnsi="楷体" w:eastAsia="楷体" w:cs="宋体"/>
          <w:b/>
          <w:sz w:val="32"/>
          <w:szCs w:val="32"/>
        </w:rPr>
      </w:pPr>
      <w:r>
        <w:rPr>
          <w:rFonts w:ascii="楷体" w:hAnsi="楷体" w:eastAsia="楷体" w:cs="宋体"/>
          <w:b/>
          <w:sz w:val="32"/>
          <w:szCs w:val="32"/>
        </w:rPr>
      </w:r>
      <w:r/>
    </w:p>
    <w:p>
      <w:pPr>
        <w:pStyle w:val="720"/>
        <w:ind w:firstLine="643"/>
        <w:rPr>
          <w:rFonts w:ascii="楷体" w:hAnsi="楷体" w:eastAsia="楷体" w:cs="宋体"/>
          <w:b/>
          <w:sz w:val="32"/>
        </w:rPr>
      </w:pPr>
      <w:r>
        <w:rPr>
          <w:rFonts w:ascii="楷体" w:hAnsi="楷体" w:eastAsia="楷体" w:cs="宋体"/>
          <w:b/>
          <w:sz w:val="32"/>
        </w:rPr>
      </w:r>
      <w:r/>
    </w:p>
    <w:p>
      <w:pPr>
        <w:pStyle w:val="695"/>
        <w:rPr>
          <w:rFonts w:ascii="楷体" w:hAnsi="楷体" w:eastAsia="楷体" w:cs="宋体"/>
          <w:b/>
        </w:rPr>
      </w:pPr>
      <w:r>
        <w:rPr>
          <w:rFonts w:ascii="楷体" w:hAnsi="楷体" w:eastAsia="楷体" w:cs="宋体"/>
          <w:b/>
        </w:rPr>
      </w:r>
      <w:r/>
    </w:p>
    <w:p>
      <w:pPr>
        <w:pStyle w:val="705"/>
        <w:rPr>
          <w:rFonts w:ascii="楷体" w:hAnsi="楷体" w:eastAsia="楷体" w:cs="宋体"/>
          <w:b/>
          <w:sz w:val="32"/>
          <w:szCs w:val="32"/>
        </w:rPr>
      </w:pPr>
      <w:r>
        <w:rPr>
          <w:rFonts w:ascii="楷体" w:hAnsi="楷体" w:eastAsia="楷体" w:cs="宋体"/>
          <w:b/>
          <w:sz w:val="32"/>
          <w:szCs w:val="32"/>
        </w:rPr>
      </w:r>
      <w:r/>
    </w:p>
    <w:p>
      <w:pPr>
        <w:pStyle w:val="705"/>
        <w:rPr>
          <w:rFonts w:ascii="楷体" w:hAnsi="楷体" w:eastAsia="楷体" w:cs="宋体"/>
          <w:b/>
          <w:sz w:val="32"/>
          <w:szCs w:val="32"/>
        </w:rPr>
      </w:pPr>
      <w:r>
        <w:rPr>
          <w:rFonts w:ascii="楷体" w:hAnsi="楷体" w:eastAsia="楷体" w:cs="宋体"/>
          <w:b/>
          <w:sz w:val="32"/>
          <w:szCs w:val="32"/>
        </w:rPr>
      </w:r>
      <w:r/>
    </w:p>
    <w:p>
      <w:pPr>
        <w:pStyle w:val="705"/>
        <w:rPr>
          <w:rFonts w:ascii="楷体" w:hAnsi="楷体" w:eastAsia="楷体" w:cs="宋体"/>
          <w:b/>
          <w:sz w:val="32"/>
          <w:szCs w:val="32"/>
        </w:rPr>
      </w:pPr>
      <w:r>
        <w:rPr>
          <w:rFonts w:ascii="楷体" w:hAnsi="楷体" w:eastAsia="楷体" w:cs="宋体"/>
          <w:b/>
          <w:sz w:val="32"/>
          <w:szCs w:val="32"/>
        </w:rPr>
      </w:r>
      <w:r/>
    </w:p>
    <w:p>
      <w:pPr>
        <w:jc w:val="center"/>
        <w:rPr>
          <w:rFonts w:ascii="黑体" w:hAnsi="黑体" w:eastAsia="黑体" w:cs="仿宋"/>
          <w:b/>
          <w:sz w:val="32"/>
          <w:szCs w:val="32"/>
        </w:rPr>
      </w:pPr>
      <w:r>
        <w:rPr>
          <w:rFonts w:hint="eastAsia" w:ascii="黑体" w:hAnsi="黑体" w:eastAsia="黑体" w:cs="仿宋"/>
          <w:b/>
          <w:sz w:val="32"/>
          <w:szCs w:val="32"/>
        </w:rPr>
        <w:t xml:space="preserve">第六章 合同格式</w:t>
      </w:r>
      <w:r/>
    </w:p>
    <w:p>
      <w:pPr>
        <w:pStyle w:val="705"/>
        <w:rPr>
          <w:rFonts w:ascii="楷体" w:hAnsi="楷体" w:eastAsia="楷体" w:cs="宋体"/>
          <w:b/>
          <w:sz w:val="32"/>
          <w:szCs w:val="32"/>
        </w:rPr>
      </w:pPr>
      <w:r>
        <w:rPr>
          <w:rFonts w:ascii="楷体" w:hAnsi="楷体" w:eastAsia="楷体" w:cs="宋体"/>
          <w:b/>
          <w:sz w:val="32"/>
          <w:szCs w:val="32"/>
        </w:rPr>
      </w:r>
      <w:r/>
    </w:p>
    <w:p>
      <w:pPr>
        <w:pStyle w:val="705"/>
        <w:rPr>
          <w:rFonts w:ascii="楷体" w:hAnsi="楷体" w:eastAsia="楷体" w:cs="宋体"/>
          <w:b/>
          <w:sz w:val="32"/>
          <w:szCs w:val="32"/>
        </w:rPr>
      </w:pPr>
      <w:r>
        <w:rPr>
          <w:rFonts w:ascii="楷体" w:hAnsi="楷体" w:eastAsia="楷体" w:cs="宋体"/>
          <w:b/>
          <w:sz w:val="32"/>
          <w:szCs w:val="32"/>
        </w:rPr>
      </w:r>
      <w:r/>
    </w:p>
    <w:p>
      <w:pPr>
        <w:pStyle w:val="705"/>
        <w:rPr>
          <w:rFonts w:ascii="楷体" w:hAnsi="楷体" w:eastAsia="楷体" w:cs="宋体"/>
          <w:b/>
          <w:sz w:val="32"/>
          <w:szCs w:val="32"/>
        </w:rPr>
      </w:pPr>
      <w:r>
        <w:rPr>
          <w:rFonts w:ascii="楷体" w:hAnsi="楷体" w:eastAsia="楷体" w:cs="宋体"/>
          <w:b/>
          <w:sz w:val="32"/>
          <w:szCs w:val="32"/>
        </w:rPr>
      </w:r>
      <w:r/>
    </w:p>
    <w:p>
      <w:pPr>
        <w:rPr>
          <w:rFonts w:ascii="宋体" w:hAnsi="宋体" w:cs="宋体"/>
          <w:b/>
          <w:bCs/>
          <w:sz w:val="44"/>
          <w:szCs w:val="44"/>
        </w:rPr>
      </w:pPr>
      <w:r>
        <w:rPr>
          <w:rFonts w:ascii="宋体" w:hAnsi="宋体" w:cs="宋体"/>
          <w:b/>
          <w:bCs/>
          <w:sz w:val="44"/>
          <w:szCs w:val="44"/>
        </w:rPr>
      </w:r>
      <w:r/>
    </w:p>
    <w:p>
      <w:pPr>
        <w:jc w:val="center"/>
        <w:rPr>
          <w:rFonts w:ascii="宋体" w:hAnsi="宋体" w:cs="宋体"/>
          <w:b/>
          <w:bCs/>
          <w:sz w:val="44"/>
          <w:szCs w:val="44"/>
        </w:rPr>
      </w:pPr>
      <w:r>
        <w:rPr>
          <w:rFonts w:hint="eastAsia" w:ascii="宋体" w:hAnsi="宋体" w:cs="宋体"/>
          <w:b/>
          <w:bCs/>
          <w:sz w:val="44"/>
          <w:szCs w:val="44"/>
        </w:rPr>
        <w:t xml:space="preserve">合 同 协 议 书</w:t>
      </w:r>
      <w:r/>
    </w:p>
    <w:p>
      <w:pPr>
        <w:pStyle w:val="693"/>
        <w:ind w:firstLine="883"/>
        <w:rPr>
          <w:rFonts w:cs="宋体"/>
          <w:b/>
          <w:bCs/>
          <w:sz w:val="44"/>
          <w:szCs w:val="44"/>
        </w:rPr>
      </w:pPr>
      <w:r>
        <w:rPr>
          <w:rFonts w:cs="宋体"/>
          <w:b/>
          <w:bCs/>
          <w:sz w:val="44"/>
          <w:szCs w:val="44"/>
        </w:rPr>
      </w:r>
      <w:r/>
    </w:p>
    <w:p>
      <w:pPr>
        <w:rPr>
          <w:rFonts w:ascii="宋体" w:hAnsi="宋体" w:cs="宋体"/>
          <w:b/>
          <w:bCs/>
          <w:sz w:val="44"/>
          <w:szCs w:val="44"/>
        </w:rPr>
      </w:pPr>
      <w:r>
        <w:rPr>
          <w:rFonts w:ascii="宋体" w:hAnsi="宋体" w:cs="宋体"/>
          <w:b/>
          <w:bCs/>
          <w:sz w:val="44"/>
          <w:szCs w:val="44"/>
        </w:rPr>
      </w:r>
      <w:r/>
    </w:p>
    <w:p>
      <w:pPr>
        <w:pStyle w:val="693"/>
        <w:ind w:firstLine="883"/>
        <w:rPr>
          <w:rFonts w:cs="宋体"/>
          <w:b/>
          <w:bCs/>
          <w:sz w:val="44"/>
          <w:szCs w:val="44"/>
        </w:rPr>
      </w:pPr>
      <w:r>
        <w:rPr>
          <w:rFonts w:cs="宋体"/>
          <w:b/>
          <w:bCs/>
          <w:sz w:val="44"/>
          <w:szCs w:val="44"/>
        </w:rPr>
      </w:r>
      <w:r/>
    </w:p>
    <w:p>
      <w:pPr>
        <w:ind w:firstLine="480"/>
        <w:rPr>
          <w:rFonts w:ascii="宋体" w:hAnsi="宋体" w:cs="宋体"/>
        </w:rPr>
      </w:pPr>
      <w:r>
        <w:rPr>
          <w:rFonts w:ascii="宋体" w:hAnsi="宋体" w:cs="宋体"/>
        </w:rPr>
      </w:r>
      <w:r/>
    </w:p>
    <w:p>
      <w:pPr>
        <w:rPr>
          <w:rFonts w:ascii="宋体" w:hAnsi="宋体" w:cs="宋体"/>
          <w:sz w:val="32"/>
          <w:szCs w:val="32"/>
          <w:u w:val="single"/>
        </w:rPr>
      </w:pPr>
      <w:r>
        <w:rPr>
          <w:rFonts w:hint="eastAsia" w:ascii="宋体" w:hAnsi="宋体" w:cs="宋体"/>
          <w:sz w:val="32"/>
          <w:szCs w:val="32"/>
        </w:rPr>
        <w:t xml:space="preserve">项目名称</w:t>
      </w:r>
      <w:r>
        <w:rPr>
          <w:rFonts w:hint="eastAsia" w:ascii="宋体" w:hAnsi="宋体" w:cs="宋体"/>
          <w:sz w:val="32"/>
          <w:szCs w:val="32"/>
          <w:u w:val="single"/>
        </w:rPr>
        <w:t xml:space="preserve">                                            </w:t>
      </w:r>
      <w:r/>
    </w:p>
    <w:p>
      <w:pPr>
        <w:pStyle w:val="693"/>
        <w:ind w:firstLine="640"/>
        <w:rPr>
          <w:rFonts w:cs="宋体"/>
          <w:sz w:val="32"/>
          <w:szCs w:val="32"/>
          <w:u w:val="single"/>
        </w:rPr>
      </w:pPr>
      <w:r>
        <w:rPr>
          <w:rFonts w:cs="宋体"/>
          <w:sz w:val="32"/>
          <w:szCs w:val="32"/>
          <w:u w:val="single"/>
        </w:rPr>
      </w:r>
      <w:r/>
    </w:p>
    <w:p>
      <w:pPr>
        <w:rPr>
          <w:rFonts w:ascii="宋体" w:hAnsi="宋体" w:cs="宋体"/>
          <w:sz w:val="32"/>
          <w:szCs w:val="32"/>
          <w:u w:val="single"/>
        </w:rPr>
      </w:pPr>
      <w:r>
        <w:rPr>
          <w:rFonts w:hint="eastAsia" w:ascii="宋体" w:hAnsi="宋体" w:cs="宋体"/>
          <w:sz w:val="32"/>
          <w:szCs w:val="32"/>
        </w:rPr>
        <w:t xml:space="preserve">甲    方</w:t>
      </w:r>
      <w:r>
        <w:rPr>
          <w:rFonts w:hint="eastAsia" w:ascii="宋体" w:hAnsi="宋体" w:cs="宋体"/>
          <w:sz w:val="32"/>
          <w:szCs w:val="32"/>
          <w:u w:val="single"/>
        </w:rPr>
        <w:t xml:space="preserve">   </w:t>
      </w:r>
      <w:r>
        <w:rPr>
          <w:rFonts w:ascii="宋体" w:hAnsi="宋体" w:cs="宋体"/>
          <w:sz w:val="32"/>
          <w:szCs w:val="32"/>
          <w:u w:val="single"/>
        </w:rPr>
        <w:t xml:space="preserve">                               </w:t>
      </w:r>
      <w:r>
        <w:rPr>
          <w:rFonts w:hint="eastAsia" w:ascii="宋体" w:hAnsi="宋体" w:cs="宋体"/>
          <w:sz w:val="32"/>
          <w:szCs w:val="32"/>
          <w:u w:val="single"/>
        </w:rPr>
        <w:t xml:space="preserve">     </w:t>
      </w:r>
      <w:r>
        <w:rPr>
          <w:rFonts w:ascii="宋体" w:hAnsi="宋体" w:cs="宋体"/>
          <w:sz w:val="32"/>
          <w:szCs w:val="32"/>
          <w:u w:val="single"/>
        </w:rPr>
        <w:t xml:space="preserve">     </w:t>
      </w:r>
      <w:r/>
    </w:p>
    <w:p>
      <w:pPr>
        <w:pStyle w:val="693"/>
        <w:ind w:firstLine="480"/>
        <w:rPr>
          <w:rFonts w:cs="宋体"/>
        </w:rPr>
      </w:pPr>
      <w:r>
        <w:rPr>
          <w:rFonts w:cs="宋体"/>
        </w:rPr>
      </w:r>
      <w:r/>
    </w:p>
    <w:p>
      <w:pPr>
        <w:rPr>
          <w:rFonts w:ascii="宋体" w:hAnsi="宋体" w:cs="宋体"/>
          <w:sz w:val="32"/>
          <w:szCs w:val="32"/>
        </w:rPr>
      </w:pPr>
      <w:r>
        <w:rPr>
          <w:rFonts w:hint="eastAsia" w:ascii="宋体" w:hAnsi="宋体" w:cs="宋体"/>
          <w:sz w:val="32"/>
          <w:szCs w:val="32"/>
        </w:rPr>
        <w:t xml:space="preserve">乙    方</w:t>
      </w:r>
      <w:r>
        <w:rPr>
          <w:rFonts w:hint="eastAsia" w:ascii="宋体" w:hAnsi="宋体" w:cs="宋体"/>
          <w:sz w:val="32"/>
          <w:szCs w:val="32"/>
          <w:u w:val="single"/>
        </w:rPr>
        <w:t xml:space="preserve">                                            </w:t>
      </w:r>
      <w:r/>
    </w:p>
    <w:p>
      <w:pPr>
        <w:rPr>
          <w:rFonts w:ascii="宋体" w:hAnsi="宋体" w:cs="宋体"/>
          <w:sz w:val="32"/>
          <w:szCs w:val="32"/>
        </w:rPr>
      </w:pPr>
      <w:r>
        <w:rPr>
          <w:rFonts w:ascii="宋体" w:hAnsi="宋体" w:cs="宋体"/>
          <w:sz w:val="32"/>
          <w:szCs w:val="32"/>
        </w:rPr>
      </w:r>
      <w:r/>
    </w:p>
    <w:p>
      <w:pPr>
        <w:rPr>
          <w:rFonts w:ascii="宋体" w:hAnsi="宋体" w:cs="宋体"/>
          <w:sz w:val="32"/>
          <w:szCs w:val="32"/>
        </w:rPr>
      </w:pPr>
      <w:r>
        <w:rPr>
          <w:rFonts w:hint="eastAsia" w:ascii="宋体" w:hAnsi="宋体" w:cs="宋体"/>
          <w:sz w:val="32"/>
          <w:szCs w:val="32"/>
        </w:rPr>
        <w:t xml:space="preserve">丙    方</w:t>
      </w:r>
      <w:r>
        <w:rPr>
          <w:rFonts w:hint="eastAsia" w:ascii="宋体" w:hAnsi="宋体" w:cs="宋体"/>
          <w:sz w:val="32"/>
          <w:szCs w:val="32"/>
          <w:u w:val="single"/>
        </w:rPr>
        <w:t xml:space="preserve">                                            </w:t>
      </w:r>
      <w:r/>
    </w:p>
    <w:p>
      <w:pPr>
        <w:rPr>
          <w:rFonts w:ascii="宋体" w:hAnsi="宋体" w:cs="宋体"/>
          <w:sz w:val="32"/>
          <w:szCs w:val="32"/>
        </w:rPr>
      </w:pPr>
      <w:r>
        <w:rPr>
          <w:rFonts w:ascii="宋体" w:hAnsi="宋体" w:cs="宋体"/>
          <w:sz w:val="32"/>
          <w:szCs w:val="32"/>
        </w:rPr>
      </w:r>
      <w:r/>
    </w:p>
    <w:p>
      <w:pPr>
        <w:rPr>
          <w:rFonts w:ascii="宋体" w:hAnsi="宋体" w:cs="宋体"/>
          <w:sz w:val="32"/>
          <w:szCs w:val="32"/>
        </w:rPr>
      </w:pPr>
      <w:r>
        <w:rPr>
          <w:rFonts w:hint="eastAsia" w:ascii="宋体" w:hAnsi="宋体" w:cs="宋体"/>
          <w:sz w:val="32"/>
          <w:szCs w:val="32"/>
        </w:rPr>
        <w:t xml:space="preserve">签约日期</w:t>
      </w:r>
      <w:r>
        <w:rPr>
          <w:rFonts w:hint="eastAsia" w:ascii="宋体" w:hAnsi="宋体" w:cs="宋体"/>
          <w:sz w:val="32"/>
          <w:szCs w:val="32"/>
          <w:u w:val="single"/>
        </w:rPr>
        <w:t xml:space="preserve">                                            </w:t>
      </w:r>
      <w:r/>
    </w:p>
    <w:p>
      <w:pPr>
        <w:pStyle w:val="693"/>
        <w:ind w:firstLine="480"/>
        <w:rPr>
          <w:rFonts w:cs="宋体"/>
        </w:rPr>
      </w:pPr>
      <w:r>
        <w:rPr>
          <w:rFonts w:cs="宋体"/>
        </w:rPr>
      </w:r>
      <w:r/>
    </w:p>
    <w:p>
      <w:pPr>
        <w:rPr>
          <w:rFonts w:ascii="宋体" w:hAnsi="宋体" w:cs="宋体"/>
          <w:sz w:val="32"/>
          <w:szCs w:val="32"/>
        </w:rPr>
      </w:pPr>
      <w:r>
        <w:rPr>
          <w:rFonts w:hint="eastAsia" w:ascii="宋体" w:hAnsi="宋体" w:cs="宋体"/>
          <w:sz w:val="32"/>
          <w:szCs w:val="32"/>
        </w:rPr>
        <w:t xml:space="preserve">签约地点</w:t>
      </w:r>
      <w:r>
        <w:rPr>
          <w:rFonts w:hint="eastAsia" w:ascii="宋体" w:hAnsi="宋体" w:cs="宋体"/>
          <w:sz w:val="32"/>
          <w:szCs w:val="32"/>
          <w:u w:val="single"/>
        </w:rPr>
        <w:t xml:space="preserve">                                            </w:t>
      </w:r>
      <w:r/>
    </w:p>
    <w:p>
      <w:pPr>
        <w:rPr>
          <w:rFonts w:ascii="宋体" w:hAnsi="宋体" w:cs="宋体"/>
          <w:sz w:val="32"/>
          <w:szCs w:val="32"/>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cs="宋体"/>
          <w:sz w:val="32"/>
          <w:szCs w:val="32"/>
        </w:rPr>
      </w:r>
      <w:r/>
    </w:p>
    <w:p>
      <w:pPr>
        <w:rPr>
          <w:rFonts w:ascii="宋体" w:hAnsi="宋体" w:cs="宋体"/>
        </w:rPr>
      </w:pPr>
      <w:r>
        <w:rPr>
          <w:rFonts w:hint="eastAsia" w:ascii="宋体" w:hAnsi="宋体" w:cs="宋体"/>
        </w:rPr>
        <w:t xml:space="preserve">合同编号：</w:t>
      </w:r>
      <w:r/>
    </w:p>
    <w:p>
      <w:pPr>
        <w:rPr>
          <w:rFonts w:ascii="宋体" w:hAnsi="宋体" w:cs="宋体"/>
        </w:rPr>
      </w:pPr>
      <w:r>
        <w:rPr>
          <w:rFonts w:hint="eastAsia" w:ascii="宋体" w:hAnsi="宋体" w:cs="宋体"/>
        </w:rPr>
        <w:t xml:space="preserve">项目名称：</w:t>
      </w:r>
      <w:r/>
    </w:p>
    <w:p>
      <w:pPr>
        <w:rPr>
          <w:rFonts w:ascii="宋体" w:hAnsi="宋体" w:cs="宋体"/>
          <w:sz w:val="32"/>
          <w:szCs w:val="32"/>
        </w:rPr>
      </w:pPr>
      <w:r>
        <w:rPr>
          <w:rFonts w:hint="eastAsia" w:ascii="宋体" w:hAnsi="宋体" w:cs="宋体"/>
        </w:rPr>
        <w:t xml:space="preserve">委托方(以下简称甲方): </w:t>
      </w:r>
      <w:r/>
    </w:p>
    <w:p>
      <w:pPr>
        <w:rPr>
          <w:rFonts w:ascii="宋体" w:hAnsi="宋体" w:cs="宋体"/>
        </w:rPr>
      </w:pPr>
      <w:r>
        <w:rPr>
          <w:rFonts w:hint="eastAsia" w:ascii="宋体" w:hAnsi="宋体" w:cs="宋体"/>
        </w:rPr>
        <w:t xml:space="preserve">服务方(以下简称乙方): </w:t>
      </w:r>
      <w:r/>
    </w:p>
    <w:p>
      <w:pPr>
        <w:pStyle w:val="693"/>
        <w:rPr>
          <w:rFonts w:cs="宋体"/>
        </w:rPr>
      </w:pPr>
      <w:r>
        <w:rPr>
          <w:rFonts w:hint="eastAsia" w:ascii="宋体" w:hAnsi="宋体" w:cs="宋体"/>
        </w:rPr>
        <w:t xml:space="preserve">集建方(以下简称丙方): </w:t>
      </w:r>
      <w:r/>
    </w:p>
    <w:p>
      <w:pPr>
        <w:pStyle w:val="693"/>
        <w:rPr>
          <w:rFonts w:cs="宋体"/>
        </w:rPr>
      </w:pPr>
      <w:r>
        <w:rPr>
          <w:rFonts w:hint="eastAsia" w:ascii="宋体" w:hAnsi="宋体" w:cs="宋体"/>
        </w:rPr>
        <w:t xml:space="preserve">签订日期： </w:t>
      </w:r>
      <w:r/>
    </w:p>
    <w:p>
      <w:pPr>
        <w:ind w:firstLine="480"/>
        <w:rPr>
          <w:rFonts w:ascii="宋体" w:hAnsi="宋体" w:cs="宋体"/>
        </w:rPr>
      </w:pPr>
      <w:r>
        <w:rPr>
          <w:rFonts w:ascii="宋体" w:hAnsi="宋体" w:cs="宋体"/>
        </w:rPr>
      </w:r>
      <w:r/>
    </w:p>
    <w:tbl>
      <w:tblPr>
        <w:tblStyle w:val="685"/>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rPr>
                <w:rFonts w:ascii="宋体" w:hAnsi="宋体" w:cs="宋体"/>
                <w:lang w:val="zh-CN"/>
              </w:rPr>
            </w:pPr>
            <w:r>
              <w:rPr>
                <w:rFonts w:hint="eastAsia" w:ascii="宋体" w:hAnsi="宋体" w:cs="宋体"/>
              </w:rPr>
              <w:t xml:space="preserve">委托方</w:t>
            </w:r>
            <w:r>
              <w:rPr>
                <w:rFonts w:hint="eastAsia" w:ascii="宋体" w:hAnsi="宋体" w:cs="宋体"/>
                <w:lang w:val="zh-CN"/>
              </w:rPr>
              <w:t xml:space="preserve">（以下称甲方）：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rPr>
                <w:rFonts w:ascii="宋体" w:hAnsi="宋体" w:cs="宋体"/>
                <w:lang w:val="zh-CN"/>
              </w:rPr>
            </w:pPr>
            <w:r>
              <w:rPr>
                <w:rFonts w:hint="eastAsia" w:ascii="宋体" w:hAnsi="宋体" w:cs="宋体"/>
              </w:rPr>
              <w:t xml:space="preserve">服务方</w:t>
            </w:r>
            <w:r>
              <w:rPr>
                <w:rFonts w:hint="eastAsia" w:ascii="宋体" w:hAnsi="宋体" w:cs="宋体"/>
                <w:lang w:val="zh-CN"/>
              </w:rPr>
              <w:t xml:space="preserve">（以下称</w:t>
            </w:r>
            <w:r>
              <w:rPr>
                <w:rFonts w:hint="eastAsia" w:ascii="宋体" w:hAnsi="宋体" w:cs="宋体"/>
              </w:rPr>
              <w:t xml:space="preserve">乙</w:t>
            </w:r>
            <w:r>
              <w:rPr>
                <w:rFonts w:hint="eastAsia" w:ascii="宋体" w:hAnsi="宋体" w:cs="宋体"/>
                <w:lang w:val="zh-CN"/>
              </w:rPr>
              <w:t xml:space="preserve">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rPr>
                <w:rFonts w:ascii="宋体" w:hAnsi="宋体" w:cs="宋体"/>
              </w:rPr>
            </w:pPr>
            <w:r>
              <w:rPr>
                <w:rFonts w:hint="eastAsia" w:ascii="宋体" w:hAnsi="宋体" w:cs="宋体"/>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rPr>
                <w:rFonts w:ascii="宋体" w:hAnsi="宋体" w:cs="宋体"/>
              </w:rPr>
            </w:pPr>
            <w:r>
              <w:rPr>
                <w:rFonts w:hint="eastAsia" w:ascii="宋体" w:hAnsi="宋体" w:cs="宋体"/>
                <w:lang w:val="zh-CN"/>
              </w:rPr>
              <w:t xml:space="preserve">住所地</w:t>
            </w:r>
            <w:r>
              <w:rPr>
                <w:rFonts w:hint="eastAsia" w:ascii="宋体" w:hAnsi="宋体" w:cs="宋体"/>
              </w:rPr>
              <w:t xml:space="preserve">：</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rPr>
                <w:rFonts w:ascii="宋体" w:hAnsi="宋体" w:cs="宋体"/>
                <w:lang w:val="zh-CN"/>
              </w:rPr>
            </w:pPr>
            <w:r>
              <w:rPr>
                <w:rFonts w:hint="eastAsia" w:ascii="宋体" w:hAnsi="宋体" w:cs="宋体"/>
              </w:rPr>
              <w:t xml:space="preserve">集建方</w:t>
            </w:r>
            <w:r>
              <w:rPr>
                <w:rFonts w:hint="eastAsia" w:ascii="宋体" w:hAnsi="宋体" w:cs="宋体"/>
                <w:lang w:val="zh-CN"/>
              </w:rPr>
              <w:t xml:space="preserve">（以下称</w:t>
            </w:r>
            <w:r>
              <w:rPr>
                <w:rFonts w:hint="eastAsia" w:ascii="宋体" w:hAnsi="宋体" w:cs="宋体"/>
              </w:rPr>
              <w:t xml:space="preserve">丙</w:t>
            </w:r>
            <w:r>
              <w:rPr>
                <w:rFonts w:hint="eastAsia" w:ascii="宋体" w:hAnsi="宋体" w:cs="宋体"/>
                <w:lang w:val="zh-CN"/>
              </w:rPr>
              <w:t xml:space="preserve">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rPr>
                <w:rFonts w:ascii="宋体" w:hAnsi="宋体" w:cs="宋体"/>
                <w:lang w:val="zh-CN"/>
              </w:rPr>
            </w:pPr>
            <w:r>
              <w:rPr>
                <w:rFonts w:ascii="宋体" w:hAnsi="宋体" w:cs="宋体"/>
                <w:lang w:val="zh-CN"/>
              </w:rPr>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rPr>
                <w:rFonts w:ascii="宋体" w:hAnsi="宋体" w:cs="宋体"/>
                <w:lang w:val="zh-CN"/>
              </w:rPr>
            </w:pPr>
            <w:r>
              <w:rPr>
                <w:rFonts w:hint="eastAsia" w:ascii="宋体" w:hAnsi="宋体" w:cs="宋体"/>
                <w:lang w:val="zh-CN"/>
              </w:rPr>
              <w:t xml:space="preserve">住所地</w:t>
            </w:r>
            <w:r>
              <w:rPr>
                <w:rFonts w:hint="eastAsia" w:ascii="宋体" w:hAnsi="宋体" w:cs="宋体"/>
              </w:rPr>
              <w:t xml:space="preserve">：</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rPr>
                <w:rFonts w:ascii="宋体" w:hAnsi="宋体" w:cs="宋体"/>
                <w:lang w:val="zh-CN"/>
              </w:rPr>
            </w:pPr>
            <w:r>
              <w:rPr>
                <w:rFonts w:ascii="宋体" w:hAnsi="宋体" w:cs="宋体"/>
                <w:lang w:val="zh-CN"/>
              </w:rPr>
            </w:r>
            <w:r/>
          </w:p>
        </w:tc>
      </w:tr>
    </w:tbl>
    <w:p>
      <w:pPr>
        <w:rPr>
          <w:rFonts w:ascii="宋体" w:hAnsi="宋体" w:cs="宋体"/>
        </w:rPr>
      </w:pPr>
      <w:r>
        <w:rPr>
          <w:rFonts w:ascii="宋体" w:hAnsi="宋体" w:cs="宋体"/>
        </w:rPr>
      </w:r>
      <w:r/>
    </w:p>
    <w:p>
      <w:pPr>
        <w:ind w:firstLine="480"/>
        <w:rPr>
          <w:rFonts w:ascii="宋体" w:hAnsi="宋体" w:cs="宋体"/>
          <w:lang w:val="zh-CN"/>
        </w:rPr>
      </w:pPr>
      <w:r>
        <w:rPr>
          <w:rFonts w:hint="eastAsia" w:ascii="宋体" w:hAnsi="宋体" w:cs="宋体"/>
          <w:lang w:val="zh-CN"/>
        </w:rPr>
        <w:t xml:space="preserve">根据《中华人民共和国政府采购法》、《中华人民共和国</w:t>
      </w:r>
      <w:r>
        <w:rPr>
          <w:rFonts w:hint="eastAsia" w:ascii="宋体" w:hAnsi="宋体" w:cs="宋体"/>
        </w:rPr>
        <w:t xml:space="preserve">民法典</w:t>
      </w:r>
      <w:r>
        <w:rPr>
          <w:rFonts w:hint="eastAsia" w:ascii="宋体" w:hAnsi="宋体" w:cs="宋体"/>
          <w:lang w:val="zh-CN"/>
        </w:rPr>
        <w:t xml:space="preserve">》等法律法规的规定，甲乙</w:t>
      </w:r>
      <w:r>
        <w:rPr>
          <w:rFonts w:hint="eastAsia" w:ascii="宋体" w:hAnsi="宋体" w:cs="宋体"/>
        </w:rPr>
        <w:t xml:space="preserve">丙三</w:t>
      </w:r>
      <w:r>
        <w:rPr>
          <w:rFonts w:hint="eastAsia" w:ascii="宋体" w:hAnsi="宋体" w:cs="宋体"/>
          <w:lang w:val="zh-CN"/>
        </w:rPr>
        <w:t xml:space="preserve">方按照招标文件、投标文件等签订本合同。</w:t>
      </w:r>
      <w:r/>
    </w:p>
    <w:p>
      <w:pPr>
        <w:ind w:firstLine="420"/>
        <w:spacing w:line="360" w:lineRule="exact"/>
        <w:rPr>
          <w:rFonts w:ascii="宋体" w:hAnsi="宋体" w:cs="宋体"/>
          <w:lang w:val="zh-CN"/>
        </w:rPr>
      </w:pPr>
      <w:r>
        <w:rPr>
          <w:rFonts w:hint="eastAsia" w:ascii="宋体" w:hAnsi="宋体" w:cs="宋体"/>
          <w:b/>
          <w:bCs/>
          <w:lang w:val="zh-CN"/>
        </w:rPr>
        <w:t xml:space="preserve">第一条合同标的</w:t>
      </w:r>
      <w:r>
        <w:rPr>
          <w:rFonts w:hint="eastAsia" w:ascii="宋体" w:hAnsi="宋体" w:cs="宋体"/>
          <w:lang w:val="zh-CN"/>
        </w:rPr>
        <w:t xml:space="preserve">乙方根据甲方需求提供下列货物：货物名称、规格、数量及单价等详见合同附件1。</w:t>
      </w:r>
      <w:r/>
    </w:p>
    <w:p>
      <w:pPr>
        <w:ind w:firstLine="420"/>
        <w:spacing w:line="360" w:lineRule="exact"/>
        <w:rPr>
          <w:rFonts w:ascii="宋体" w:hAnsi="宋体" w:cs="宋体"/>
          <w:lang w:val="zh-CN"/>
        </w:rPr>
      </w:pPr>
      <w:r>
        <w:rPr>
          <w:rFonts w:hint="eastAsia" w:ascii="宋体" w:hAnsi="宋体" w:cs="宋体"/>
        </w:rPr>
        <w:t xml:space="preserve">委托方为本项目建设方，负责支付相关费用；集建方为该项目建设管理方，履行项目建设管理权利和义务，全面负责项目建设过程管理直至竣工验收。乙方为该项目供货施工方。</w:t>
      </w:r>
      <w:r/>
    </w:p>
    <w:p>
      <w:pPr>
        <w:ind w:firstLine="420"/>
        <w:spacing w:line="360" w:lineRule="exact"/>
        <w:rPr>
          <w:rFonts w:ascii="宋体" w:hAnsi="宋体" w:cs="宋体"/>
          <w:lang w:val="zh-CN"/>
        </w:rPr>
      </w:pPr>
      <w:r>
        <w:rPr>
          <w:rFonts w:hint="eastAsia" w:ascii="宋体" w:hAnsi="宋体" w:cs="宋体"/>
          <w:b/>
          <w:bCs/>
          <w:lang w:val="zh-CN"/>
        </w:rPr>
        <w:t xml:space="preserve">第二条合同总价款</w:t>
      </w:r>
      <w:r>
        <w:rPr>
          <w:rFonts w:hint="eastAsia" w:ascii="宋体" w:hAnsi="宋体" w:cs="宋体"/>
          <w:lang w:val="zh-CN"/>
        </w:rPr>
        <w:t xml:space="preserve">本合同项下人民币总价款为</w:t>
      </w:r>
      <w:r>
        <w:rPr>
          <w:rFonts w:hint="eastAsia" w:ascii="宋体" w:hAnsi="宋体" w:cs="宋体"/>
          <w:u w:val="single"/>
        </w:rPr>
        <w:t xml:space="preserve">           </w:t>
      </w:r>
      <w:r>
        <w:rPr>
          <w:rFonts w:hint="eastAsia" w:ascii="宋体" w:hAnsi="宋体" w:cs="宋体"/>
          <w:lang w:val="zh-CN"/>
        </w:rPr>
        <w:t xml:space="preserve">（大写）人民币（</w:t>
      </w:r>
      <w:r>
        <w:rPr>
          <w:rFonts w:hint="eastAsia" w:ascii="宋体" w:hAnsi="宋体" w:cs="宋体"/>
          <w:b/>
          <w:bCs/>
          <w:lang w:val="zh-CN"/>
        </w:rPr>
        <w:t xml:space="preserve">泰兴交付价）</w:t>
      </w:r>
      <w:r>
        <w:rPr>
          <w:rFonts w:hint="eastAsia" w:ascii="宋体" w:hAnsi="宋体" w:cs="宋体"/>
          <w:lang w:val="zh-CN"/>
        </w:rPr>
        <w:t xml:space="preserve">，分项价款在“投标报价表”中有明确规定。</w:t>
      </w:r>
      <w:r/>
    </w:p>
    <w:p>
      <w:pPr>
        <w:ind w:firstLine="420"/>
        <w:spacing w:line="360" w:lineRule="exact"/>
        <w:rPr>
          <w:rFonts w:ascii="宋体" w:hAnsi="宋体" w:cs="宋体"/>
          <w:lang w:val="zh-CN"/>
        </w:rPr>
      </w:pPr>
      <w:r>
        <w:rPr>
          <w:rFonts w:hint="eastAsia" w:ascii="宋体" w:hAnsi="宋体" w:cs="宋体"/>
          <w:lang w:val="zh-CN"/>
        </w:rPr>
        <w:t xml:space="preserve">本合同总价款是货物设计、制造、包装、仓储、运输、安装及验收合格之前及保修期内备品备件发生的所有含税费用，以及支付给员工的工资和国家强制缴纳的各种社会保障资金等。</w:t>
      </w:r>
      <w:r/>
    </w:p>
    <w:p>
      <w:pPr>
        <w:ind w:firstLine="420"/>
        <w:spacing w:line="360" w:lineRule="exact"/>
        <w:rPr>
          <w:rFonts w:ascii="宋体" w:hAnsi="宋体" w:cs="宋体"/>
          <w:lang w:val="zh-CN"/>
        </w:rPr>
      </w:pPr>
      <w:r>
        <w:rPr>
          <w:rFonts w:hint="eastAsia" w:ascii="宋体" w:hAnsi="宋体" w:cs="宋体"/>
          <w:lang w:val="zh-CN"/>
        </w:rPr>
        <w:t xml:space="preserve">本合同总价款还包含乙方应当提供的伴随服务/售后服务费用。</w:t>
      </w:r>
      <w:r/>
    </w:p>
    <w:p>
      <w:pPr>
        <w:ind w:firstLine="472"/>
        <w:spacing w:line="360" w:lineRule="exact"/>
        <w:rPr>
          <w:rFonts w:ascii="宋体" w:hAnsi="宋体" w:cs="宋体"/>
          <w:lang w:val="zh-CN"/>
        </w:rPr>
      </w:pPr>
      <w:r>
        <w:rPr>
          <w:rFonts w:hint="eastAsia" w:ascii="宋体" w:hAnsi="宋体" w:cs="宋体"/>
          <w:b/>
          <w:bCs/>
          <w:lang w:val="zh-CN"/>
        </w:rPr>
        <w:t xml:space="preserve">第三条组成本合同的有关文件</w:t>
      </w:r>
      <w:r>
        <w:rPr>
          <w:rFonts w:hint="eastAsia" w:ascii="宋体" w:hAnsi="宋体" w:cs="宋体"/>
          <w:lang w:val="zh-CN"/>
        </w:rPr>
        <w:t xml:space="preserve">下列关于泰兴市政府采购号标的招投标文件或与本次采购活动方式相适应的文件及有关附件是本合同不可分割的组成部分，与本合同具有同等法律效力，这些文件包括但不限于：</w:t>
      </w:r>
      <w:r/>
    </w:p>
    <w:p>
      <w:pPr>
        <w:ind w:firstLine="360"/>
        <w:spacing w:line="360" w:lineRule="exact"/>
        <w:rPr>
          <w:rFonts w:ascii="宋体" w:hAnsi="宋体" w:cs="宋体"/>
          <w:lang w:val="zh-CN"/>
        </w:rPr>
      </w:pPr>
      <w:r>
        <w:rPr>
          <w:rFonts w:hint="eastAsia" w:ascii="宋体" w:hAnsi="宋体" w:cs="宋体"/>
          <w:lang w:val="zh-CN"/>
        </w:rPr>
        <w:t xml:space="preserve">（1）乙方提供的投标文件和投标报价表；</w:t>
      </w:r>
      <w:r/>
    </w:p>
    <w:p>
      <w:pPr>
        <w:ind w:firstLine="360"/>
        <w:spacing w:line="360" w:lineRule="exact"/>
        <w:rPr>
          <w:rFonts w:ascii="宋体" w:hAnsi="宋体" w:cs="宋体"/>
          <w:lang w:val="zh-CN"/>
        </w:rPr>
      </w:pPr>
      <w:r>
        <w:rPr>
          <w:rFonts w:hint="eastAsia" w:ascii="宋体" w:hAnsi="宋体" w:cs="宋体"/>
          <w:lang w:val="zh-CN"/>
        </w:rPr>
        <w:t xml:space="preserve">（2）供货一览表；</w:t>
      </w:r>
      <w:r/>
    </w:p>
    <w:p>
      <w:pPr>
        <w:ind w:firstLine="360"/>
        <w:spacing w:line="360" w:lineRule="exact"/>
        <w:rPr>
          <w:rFonts w:ascii="宋体" w:hAnsi="宋体" w:cs="宋体"/>
          <w:lang w:val="zh-CN"/>
        </w:rPr>
      </w:pPr>
      <w:r>
        <w:rPr>
          <w:rFonts w:hint="eastAsia" w:ascii="宋体" w:hAnsi="宋体" w:cs="宋体"/>
          <w:lang w:val="zh-CN"/>
        </w:rPr>
        <w:t xml:space="preserve">（3）交货一览表；</w:t>
      </w:r>
      <w:r/>
    </w:p>
    <w:p>
      <w:pPr>
        <w:ind w:firstLine="360"/>
        <w:spacing w:line="360" w:lineRule="exact"/>
        <w:rPr>
          <w:rFonts w:ascii="宋体" w:hAnsi="宋体" w:cs="宋体"/>
          <w:lang w:val="zh-CN"/>
        </w:rPr>
      </w:pPr>
      <w:r>
        <w:rPr>
          <w:rFonts w:hint="eastAsia" w:ascii="宋体" w:hAnsi="宋体" w:cs="宋体"/>
          <w:lang w:val="zh-CN"/>
        </w:rPr>
        <w:t xml:space="preserve">（4）技术规格响应表；</w:t>
      </w:r>
      <w:r/>
    </w:p>
    <w:p>
      <w:pPr>
        <w:ind w:firstLine="360"/>
        <w:spacing w:line="360" w:lineRule="exact"/>
        <w:rPr>
          <w:rFonts w:ascii="宋体" w:hAnsi="宋体" w:cs="宋体"/>
          <w:lang w:val="zh-CN"/>
        </w:rPr>
      </w:pPr>
      <w:r>
        <w:rPr>
          <w:rFonts w:hint="eastAsia" w:ascii="宋体" w:hAnsi="宋体" w:cs="宋体"/>
          <w:lang w:val="zh-CN"/>
        </w:rPr>
        <w:t xml:space="preserve">（5）投标承诺；</w:t>
      </w:r>
      <w:r/>
    </w:p>
    <w:p>
      <w:pPr>
        <w:ind w:firstLine="360"/>
        <w:spacing w:line="360" w:lineRule="exact"/>
        <w:rPr>
          <w:rFonts w:ascii="宋体" w:hAnsi="宋体" w:cs="宋体"/>
          <w:lang w:val="zh-CN"/>
        </w:rPr>
      </w:pPr>
      <w:r>
        <w:rPr>
          <w:rFonts w:hint="eastAsia" w:ascii="宋体" w:hAnsi="宋体" w:cs="宋体"/>
          <w:lang w:val="zh-CN"/>
        </w:rPr>
        <w:t xml:space="preserve">（6）服务承诺；</w:t>
      </w:r>
      <w:r/>
    </w:p>
    <w:p>
      <w:pPr>
        <w:ind w:firstLine="360"/>
        <w:spacing w:line="360" w:lineRule="exact"/>
        <w:rPr>
          <w:rFonts w:ascii="宋体" w:hAnsi="宋体" w:cs="宋体"/>
          <w:lang w:val="zh-CN"/>
        </w:rPr>
      </w:pPr>
      <w:r>
        <w:rPr>
          <w:rFonts w:hint="eastAsia" w:ascii="宋体" w:hAnsi="宋体" w:cs="宋体"/>
          <w:lang w:val="zh-CN"/>
        </w:rPr>
        <w:t xml:space="preserve">（7）中标通知书；</w:t>
      </w:r>
      <w:r/>
    </w:p>
    <w:p>
      <w:pPr>
        <w:ind w:firstLine="360"/>
        <w:spacing w:line="360" w:lineRule="exact"/>
        <w:rPr>
          <w:rFonts w:ascii="宋体" w:hAnsi="宋体" w:cs="宋体"/>
          <w:lang w:val="zh-CN"/>
        </w:rPr>
      </w:pPr>
      <w:r>
        <w:rPr>
          <w:rFonts w:hint="eastAsia" w:ascii="宋体" w:hAnsi="宋体" w:cs="宋体"/>
          <w:lang w:val="zh-CN"/>
        </w:rPr>
        <w:t xml:space="preserve">（8）甲乙</w:t>
      </w:r>
      <w:r>
        <w:rPr>
          <w:rFonts w:hint="eastAsia" w:ascii="宋体" w:hAnsi="宋体" w:cs="宋体"/>
        </w:rPr>
        <w:t xml:space="preserve">丙三</w:t>
      </w:r>
      <w:r>
        <w:rPr>
          <w:rFonts w:hint="eastAsia" w:ascii="宋体" w:hAnsi="宋体" w:cs="宋体"/>
          <w:lang w:val="zh-CN"/>
        </w:rPr>
        <w:t xml:space="preserve">方商定的其他文件等。</w:t>
      </w:r>
      <w:r/>
    </w:p>
    <w:p>
      <w:pPr>
        <w:ind w:firstLine="480"/>
        <w:spacing w:line="360" w:lineRule="exact"/>
        <w:rPr>
          <w:rFonts w:ascii="宋体" w:hAnsi="宋体" w:cs="宋体"/>
          <w:lang w:val="zh-CN"/>
        </w:rPr>
      </w:pPr>
      <w:r>
        <w:rPr>
          <w:rFonts w:hint="eastAsia" w:ascii="宋体" w:hAnsi="宋体" w:cs="宋体"/>
        </w:rPr>
        <w:t xml:space="preserve">当招标文件和乙方的投标文件不一致时，应当以招标文件为准，但如果投标文件的承诺高于招标文件时，以投标文件为准。</w:t>
      </w:r>
      <w:r/>
    </w:p>
    <w:p>
      <w:pPr>
        <w:ind w:firstLine="420"/>
        <w:spacing w:line="360" w:lineRule="exact"/>
        <w:rPr>
          <w:rFonts w:ascii="宋体" w:hAnsi="宋体" w:cs="宋体"/>
          <w:b/>
          <w:bCs/>
          <w:lang w:val="zh-CN"/>
        </w:rPr>
      </w:pPr>
      <w:r>
        <w:rPr>
          <w:rFonts w:hint="eastAsia" w:ascii="宋体" w:hAnsi="宋体" w:cs="宋体"/>
          <w:b/>
          <w:bCs/>
          <w:lang w:val="zh-CN"/>
        </w:rPr>
        <w:t xml:space="preserve">第四条权利保证</w:t>
      </w:r>
      <w:r/>
    </w:p>
    <w:p>
      <w:pPr>
        <w:ind w:firstLine="420"/>
        <w:spacing w:line="360" w:lineRule="exact"/>
        <w:rPr>
          <w:rFonts w:ascii="宋体" w:hAnsi="宋体" w:cs="宋体"/>
          <w:lang w:val="zh-CN"/>
        </w:rPr>
      </w:pPr>
      <w:r>
        <w:rPr>
          <w:rFonts w:hint="eastAsia" w:ascii="宋体" w:hAnsi="宋体" w:cs="宋体"/>
          <w:lang w:val="zh-CN"/>
        </w:rPr>
        <w:t xml:space="preserve">乙方应保证甲方在使用该货物或其任何一部分时不受第三方提出侵犯其专利权、版权、商标权或其他权利的起诉。一旦出现侵权，乙方应承担全部责任。乙方应严格按照安全生产的相关规定，规范做好各种施工安全标志，确保施工安全、一旦发生任何安全事故，承包人负责处理并承担一切责任及经济损失。</w:t>
      </w:r>
      <w:r/>
    </w:p>
    <w:p>
      <w:pPr>
        <w:ind w:firstLine="420"/>
        <w:spacing w:line="360" w:lineRule="exact"/>
        <w:rPr>
          <w:rFonts w:ascii="宋体" w:hAnsi="宋体" w:cs="宋体"/>
          <w:b/>
          <w:bCs/>
          <w:lang w:val="zh-CN"/>
        </w:rPr>
      </w:pPr>
      <w:r>
        <w:rPr>
          <w:rFonts w:hint="eastAsia" w:ascii="宋体" w:hAnsi="宋体" w:cs="宋体"/>
          <w:b/>
          <w:bCs/>
          <w:lang w:val="zh-CN"/>
        </w:rPr>
        <w:t xml:space="preserve">第五条质量保证</w:t>
      </w:r>
      <w:r/>
    </w:p>
    <w:p>
      <w:pPr>
        <w:ind w:firstLine="420"/>
        <w:spacing w:line="360" w:lineRule="exact"/>
        <w:rPr>
          <w:rFonts w:ascii="宋体" w:hAnsi="宋体" w:cs="宋体"/>
          <w:lang w:val="zh-CN"/>
        </w:rPr>
      </w:pPr>
      <w:r>
        <w:rPr>
          <w:rFonts w:hint="eastAsia" w:ascii="宋体" w:hAnsi="宋体" w:cs="宋体"/>
          <w:lang w:val="zh-CN"/>
        </w:rPr>
        <w:t xml:space="preserve">1、乙方所提供的货物的技术规格应与招标文件规定的技术规格及所附的“技术规格响应表”相一致；若技术性能无特殊说明，则按国家有关部门最新颁布的标准及规范为准。</w:t>
      </w:r>
      <w:r/>
    </w:p>
    <w:p>
      <w:pPr>
        <w:ind w:firstLine="420"/>
        <w:spacing w:line="360" w:lineRule="exact"/>
        <w:rPr>
          <w:rFonts w:ascii="宋体" w:hAnsi="宋体" w:cs="宋体"/>
          <w:lang w:val="zh-CN"/>
        </w:rPr>
      </w:pPr>
      <w:r>
        <w:rPr>
          <w:rFonts w:hint="eastAsia" w:ascii="宋体" w:hAnsi="宋体" w:cs="宋体"/>
          <w:lang w:val="zh-CN"/>
        </w:rPr>
        <w:t xml:space="preserve">2、乙方应保证货物是全新、未使用过的原装合格正品，并完全符合招标文件及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spacing w:line="360" w:lineRule="exact"/>
        <w:rPr>
          <w:rFonts w:ascii="宋体" w:hAnsi="宋体" w:cs="宋体"/>
          <w:b/>
          <w:bCs/>
          <w:lang w:val="zh-CN"/>
        </w:rPr>
      </w:pPr>
      <w:r>
        <w:rPr>
          <w:rFonts w:hint="eastAsia" w:ascii="宋体" w:hAnsi="宋体" w:cs="宋体"/>
          <w:b/>
          <w:bCs/>
          <w:lang w:val="zh-CN"/>
        </w:rPr>
        <w:t xml:space="preserve">第六条包装要求</w:t>
      </w:r>
      <w:r/>
    </w:p>
    <w:p>
      <w:pPr>
        <w:ind w:firstLine="420"/>
        <w:spacing w:line="360" w:lineRule="exact"/>
        <w:rPr>
          <w:rFonts w:ascii="宋体" w:hAnsi="宋体" w:cs="宋体"/>
          <w:lang w:val="zh-CN"/>
        </w:rPr>
      </w:pPr>
      <w:r>
        <w:rPr>
          <w:rFonts w:hint="eastAsia" w:ascii="宋体" w:hAnsi="宋体" w:cs="宋体"/>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spacing w:line="360" w:lineRule="exact"/>
        <w:rPr>
          <w:rFonts w:ascii="宋体" w:hAnsi="宋体" w:cs="宋体"/>
          <w:lang w:val="zh-CN"/>
        </w:rPr>
      </w:pPr>
      <w:r>
        <w:rPr>
          <w:rFonts w:hint="eastAsia" w:ascii="宋体" w:hAnsi="宋体" w:cs="宋体"/>
          <w:lang w:val="zh-CN"/>
        </w:rPr>
        <w:t xml:space="preserve">2、每一包装单元内应附详细的装箱单和质量合格凭证。</w:t>
      </w:r>
      <w:r/>
    </w:p>
    <w:p>
      <w:pPr>
        <w:ind w:firstLine="420"/>
        <w:spacing w:line="360" w:lineRule="exact"/>
        <w:rPr>
          <w:rFonts w:ascii="宋体" w:hAnsi="宋体" w:cs="宋体"/>
          <w:lang w:val="zh-CN"/>
        </w:rPr>
      </w:pPr>
      <w:r>
        <w:rPr>
          <w:rFonts w:hint="eastAsia" w:ascii="宋体" w:hAnsi="宋体" w:cs="宋体"/>
          <w:lang w:val="zh-CN"/>
        </w:rPr>
        <w:t xml:space="preserve">3、免费质保期三年（工程竣工验收合格后起算）。</w:t>
      </w:r>
      <w:r/>
    </w:p>
    <w:p>
      <w:pPr>
        <w:ind w:firstLine="420"/>
        <w:spacing w:line="360" w:lineRule="exact"/>
        <w:rPr>
          <w:rFonts w:ascii="宋体" w:hAnsi="宋体" w:cs="宋体"/>
          <w:b/>
          <w:bCs/>
          <w:lang w:val="zh-CN"/>
        </w:rPr>
      </w:pPr>
      <w:r>
        <w:rPr>
          <w:rFonts w:hint="eastAsia" w:ascii="宋体" w:hAnsi="宋体" w:cs="宋体"/>
          <w:b/>
          <w:bCs/>
          <w:lang w:val="zh-CN"/>
        </w:rPr>
        <w:t xml:space="preserve">第七条交货和验收</w:t>
      </w:r>
      <w:r/>
    </w:p>
    <w:p>
      <w:pPr>
        <w:ind w:firstLine="420"/>
        <w:spacing w:line="360" w:lineRule="exact"/>
        <w:rPr>
          <w:rFonts w:ascii="宋体" w:hAnsi="宋体" w:cs="宋体"/>
          <w:u w:val="single"/>
          <w:lang w:val="zh-CN"/>
        </w:rPr>
      </w:pPr>
      <w:r>
        <w:rPr>
          <w:rFonts w:hint="eastAsia" w:ascii="宋体" w:hAnsi="宋体" w:cs="宋体"/>
          <w:lang w:val="zh-CN"/>
        </w:rPr>
        <w:t xml:space="preserve">1、乙方应当</w:t>
      </w:r>
      <w:r>
        <w:rPr>
          <w:rFonts w:hint="eastAsia" w:ascii="宋体" w:hAnsi="宋体" w:cs="宋体"/>
        </w:rPr>
        <w:t xml:space="preserve">在合同签订并具备施工条件后</w:t>
      </w:r>
      <w:r>
        <w:rPr>
          <w:rFonts w:ascii="宋体" w:hAnsi="宋体" w:cs="宋体"/>
        </w:rPr>
        <w:t xml:space="preserve">90</w:t>
      </w:r>
      <w:r>
        <w:rPr>
          <w:rFonts w:hint="eastAsia" w:ascii="宋体" w:hAnsi="宋体" w:cs="宋体"/>
        </w:rPr>
        <w:t xml:space="preserve">日历天内完成供货安装及调试，并通过验收</w:t>
      </w:r>
      <w:r>
        <w:rPr>
          <w:rFonts w:hint="eastAsia" w:ascii="宋体" w:hAnsi="宋体" w:cs="宋体"/>
          <w:lang w:val="zh-CN"/>
        </w:rPr>
        <w:t xml:space="preserve">交付甲方正常使用，地点由甲方指定。</w:t>
      </w:r>
      <w:r/>
    </w:p>
    <w:p>
      <w:pPr>
        <w:ind w:firstLine="420"/>
        <w:spacing w:line="360" w:lineRule="exact"/>
        <w:rPr>
          <w:rFonts w:ascii="宋体" w:hAnsi="宋体" w:cs="宋体"/>
          <w:lang w:val="zh-CN"/>
        </w:rPr>
      </w:pPr>
      <w:r>
        <w:rPr>
          <w:rFonts w:hint="eastAsia" w:ascii="宋体" w:hAnsi="宋体" w:cs="宋体"/>
          <w:lang w:val="zh-CN"/>
        </w:rPr>
        <w:t xml:space="preserve">2、乙方交付的货物应当完全符合本合同或者招投标文件所规定的货物、数量和规格要求。乙方提供的货物不符合招投标文件和合同规定的，甲方有权拒收货物，由此引起的风险，由乙方承担。</w:t>
      </w:r>
      <w:r/>
    </w:p>
    <w:p>
      <w:pPr>
        <w:ind w:firstLine="420"/>
        <w:spacing w:line="360" w:lineRule="exact"/>
        <w:rPr>
          <w:rFonts w:ascii="宋体" w:hAnsi="宋体" w:cs="宋体"/>
          <w:lang w:val="zh-CN"/>
        </w:rPr>
      </w:pPr>
      <w:r>
        <w:rPr>
          <w:rFonts w:hint="eastAsia" w:ascii="宋体" w:hAnsi="宋体" w:cs="宋体"/>
          <w:lang w:val="zh-CN"/>
        </w:rPr>
        <w:t xml:space="preserve">3、货物的到货</w:t>
      </w:r>
      <w:r>
        <w:rPr>
          <w:rFonts w:hint="eastAsia" w:ascii="宋体" w:hAnsi="宋体" w:cs="宋体"/>
        </w:rPr>
        <w:t xml:space="preserve">检验</w:t>
      </w:r>
      <w:r>
        <w:rPr>
          <w:rFonts w:hint="eastAsia" w:ascii="宋体" w:hAnsi="宋体" w:cs="宋体"/>
          <w:lang w:val="zh-CN"/>
        </w:rPr>
        <w:t xml:space="preserve">包括：型号、规格、数量、外观质量、及货物包装是否完好。</w:t>
      </w:r>
      <w:r/>
    </w:p>
    <w:p>
      <w:pPr>
        <w:ind w:firstLine="420"/>
        <w:spacing w:line="360" w:lineRule="exact"/>
        <w:rPr>
          <w:rFonts w:ascii="宋体" w:hAnsi="宋体" w:cs="宋体"/>
          <w:lang w:val="zh-CN"/>
        </w:rPr>
      </w:pPr>
      <w:r>
        <w:rPr>
          <w:rFonts w:hint="eastAsia" w:ascii="宋体" w:hAnsi="宋体" w:cs="宋体"/>
          <w:lang w:val="zh-CN"/>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20"/>
        <w:spacing w:line="360" w:lineRule="exact"/>
        <w:rPr>
          <w:rFonts w:ascii="宋体" w:hAnsi="宋体" w:cs="宋体"/>
          <w:lang w:val="zh-CN"/>
        </w:rPr>
      </w:pPr>
      <w:r>
        <w:rPr>
          <w:rFonts w:hint="eastAsia" w:ascii="宋体" w:hAnsi="宋体" w:cs="宋体"/>
        </w:rPr>
        <w:t xml:space="preserve">5、</w:t>
      </w:r>
      <w:r>
        <w:rPr>
          <w:rFonts w:hint="eastAsia" w:ascii="宋体" w:hAnsi="宋体" w:cs="宋体"/>
          <w:lang w:val="zh-CN"/>
        </w:rPr>
        <w:t xml:space="preserve">乙方应严格按照安全生产的相关规定，规范做好各种施工安全标志，确保施工安全、一旦发生任何安全事故，承包人负责处理并承担一切责任及经济损失。</w:t>
      </w:r>
      <w:r/>
    </w:p>
    <w:p>
      <w:pPr>
        <w:ind w:firstLine="420"/>
        <w:spacing w:line="360" w:lineRule="exact"/>
        <w:rPr>
          <w:rFonts w:ascii="宋体" w:hAnsi="宋体" w:cs="宋体"/>
          <w:lang w:val="zh-CN"/>
        </w:rPr>
      </w:pPr>
      <w:r>
        <w:rPr>
          <w:rFonts w:hint="eastAsia" w:ascii="宋体" w:hAnsi="宋体" w:cs="宋体"/>
        </w:rPr>
        <w:t xml:space="preserve">6、</w:t>
      </w:r>
      <w:r>
        <w:rPr>
          <w:rFonts w:hint="eastAsia" w:ascii="宋体" w:hAnsi="宋体" w:cs="宋体"/>
          <w:lang w:val="zh-CN"/>
        </w:rPr>
        <w:t xml:space="preserve">甲方应当在安装调试结束后的7个工作日内对货物进行验收。验收合格的，由甲方签署验收单并加盖单位公章，有问题及时反馈给乙方整改，逾期未验收的，视为验收合格。</w:t>
      </w:r>
      <w:r/>
    </w:p>
    <w:p>
      <w:pPr>
        <w:ind w:firstLine="420"/>
        <w:spacing w:line="360" w:lineRule="exact"/>
        <w:rPr>
          <w:rFonts w:ascii="宋体" w:hAnsi="宋体" w:cs="宋体"/>
          <w:lang w:val="zh-CN"/>
        </w:rPr>
      </w:pPr>
      <w:r>
        <w:rPr>
          <w:rFonts w:hint="eastAsia" w:ascii="宋体" w:hAnsi="宋体" w:cs="宋体"/>
        </w:rPr>
        <w:t xml:space="preserve">7、</w:t>
      </w:r>
      <w:r>
        <w:rPr>
          <w:rFonts w:hint="eastAsia" w:ascii="宋体" w:hAnsi="宋体" w:cs="宋体"/>
          <w:lang w:val="zh-CN"/>
        </w:rPr>
        <w:t xml:space="preserve">货物和系统调试验收的标准：项目招投标文件要求以及合同约定技术标准，无项目要求的则按国家现行相关标准验收。</w:t>
      </w:r>
      <w:r/>
    </w:p>
    <w:p>
      <w:pPr>
        <w:ind w:firstLine="420"/>
        <w:spacing w:line="360" w:lineRule="exact"/>
        <w:rPr>
          <w:rFonts w:ascii="宋体" w:hAnsi="宋体" w:cs="宋体"/>
          <w:b/>
          <w:bCs/>
          <w:lang w:val="zh-CN"/>
        </w:rPr>
      </w:pPr>
      <w:r>
        <w:rPr>
          <w:rFonts w:hint="eastAsia" w:ascii="宋体" w:hAnsi="宋体" w:cs="宋体"/>
          <w:b/>
          <w:bCs/>
          <w:lang w:val="zh-CN"/>
        </w:rPr>
        <w:t xml:space="preserve">第八条伴随服务／售后服务</w:t>
      </w:r>
      <w:r/>
    </w:p>
    <w:p>
      <w:pPr>
        <w:ind w:firstLine="420"/>
        <w:spacing w:line="360" w:lineRule="exact"/>
        <w:tabs>
          <w:tab w:val="left" w:pos="1620" w:leader="none"/>
        </w:tabs>
        <w:rPr>
          <w:rFonts w:ascii="宋体" w:hAnsi="宋体" w:cs="宋体"/>
          <w:lang w:val="zh-CN"/>
        </w:rPr>
      </w:pPr>
      <w:r>
        <w:rPr>
          <w:rFonts w:hint="eastAsia" w:ascii="宋体" w:hAnsi="宋体" w:cs="宋体"/>
          <w:lang w:val="zh-CN"/>
        </w:rPr>
        <w:t xml:space="preserve">1、乙方应按照国家有关法律法规规章和“三包”规定以及合同所附的“服务承诺”提供服务。</w:t>
      </w:r>
      <w:r/>
    </w:p>
    <w:p>
      <w:pPr>
        <w:ind w:firstLine="420"/>
        <w:spacing w:line="360" w:lineRule="exact"/>
        <w:rPr>
          <w:rFonts w:ascii="宋体" w:hAnsi="宋体" w:cs="宋体"/>
          <w:lang w:val="zh-CN"/>
        </w:rPr>
      </w:pPr>
      <w:r>
        <w:rPr>
          <w:rFonts w:hint="eastAsia" w:ascii="宋体" w:hAnsi="宋体" w:cs="宋体"/>
          <w:lang w:val="zh-CN"/>
        </w:rPr>
        <w:t xml:space="preserve">2、除前款规定外，乙方还应提供下列服务：</w:t>
      </w:r>
      <w:r/>
    </w:p>
    <w:p>
      <w:pPr>
        <w:ind w:firstLine="420"/>
        <w:spacing w:line="360" w:lineRule="exact"/>
        <w:rPr>
          <w:rFonts w:ascii="宋体" w:hAnsi="宋体" w:cs="宋体"/>
          <w:lang w:val="zh-CN"/>
        </w:rPr>
      </w:pPr>
      <w:r>
        <w:rPr>
          <w:rFonts w:hint="eastAsia" w:ascii="宋体" w:hAnsi="宋体" w:cs="宋体"/>
          <w:lang w:val="zh-CN"/>
        </w:rPr>
        <w:t xml:space="preserve">（1）货物的现场安装、调试和/或启动监督；</w:t>
      </w:r>
      <w:r/>
    </w:p>
    <w:p>
      <w:pPr>
        <w:ind w:firstLine="420"/>
        <w:spacing w:line="360" w:lineRule="exact"/>
        <w:rPr>
          <w:rFonts w:ascii="宋体" w:hAnsi="宋体" w:cs="宋体"/>
          <w:lang w:val="zh-CN"/>
        </w:rPr>
      </w:pPr>
      <w:r>
        <w:rPr>
          <w:rFonts w:hint="eastAsia" w:ascii="宋体" w:hAnsi="宋体" w:cs="宋体"/>
          <w:lang w:val="zh-CN"/>
        </w:rPr>
        <w:t xml:space="preserve">（2）就货物的安装、启动、运行及维护等对甲方人员进行免费培训。</w:t>
      </w:r>
      <w:r/>
    </w:p>
    <w:p>
      <w:pPr>
        <w:ind w:firstLine="420"/>
        <w:spacing w:line="360" w:lineRule="exact"/>
        <w:rPr>
          <w:rFonts w:ascii="宋体" w:hAnsi="宋体" w:cs="宋体"/>
          <w:lang w:val="zh-CN"/>
        </w:rPr>
      </w:pPr>
      <w:r>
        <w:rPr>
          <w:rFonts w:hint="eastAsia" w:ascii="宋体" w:hAnsi="宋体" w:cs="宋体"/>
          <w:lang w:val="zh-CN"/>
        </w:rPr>
        <w:t xml:space="preserve">3、若招标文件中不包含有关伴随服务或售后服务的承诺，双方作如下约定：</w:t>
      </w:r>
      <w:r/>
    </w:p>
    <w:p>
      <w:pPr>
        <w:ind w:firstLine="420"/>
        <w:spacing w:line="360" w:lineRule="exact"/>
        <w:rPr>
          <w:rFonts w:ascii="宋体" w:hAnsi="宋体" w:cs="宋体"/>
          <w:lang w:val="zh-CN"/>
        </w:rPr>
      </w:pPr>
      <w:r>
        <w:rPr>
          <w:rFonts w:hint="eastAsia" w:ascii="宋体" w:hAnsi="宋体" w:cs="宋体"/>
          <w:lang w:val="zh-CN"/>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20"/>
        <w:spacing w:line="360" w:lineRule="exact"/>
        <w:rPr>
          <w:rFonts w:ascii="宋体" w:hAnsi="宋体" w:cs="宋体"/>
          <w:lang w:val="zh-CN"/>
        </w:rPr>
      </w:pPr>
      <w:r>
        <w:rPr>
          <w:rFonts w:hint="eastAsia" w:ascii="宋体" w:hAnsi="宋体" w:cs="宋体"/>
          <w:lang w:val="zh-CN"/>
        </w:rPr>
        <w:t xml:space="preserve">（2）所购货物按乙方投标承诺提供免费维护和质量保证，保修费用计入总价。</w:t>
      </w:r>
      <w:r/>
    </w:p>
    <w:p>
      <w:pPr>
        <w:ind w:firstLine="420"/>
        <w:spacing w:line="360" w:lineRule="exact"/>
        <w:rPr>
          <w:rFonts w:ascii="宋体" w:hAnsi="宋体" w:cs="宋体"/>
          <w:lang w:val="zh-CN"/>
        </w:rPr>
      </w:pPr>
      <w:r>
        <w:rPr>
          <w:rFonts w:hint="eastAsia" w:ascii="宋体" w:hAnsi="宋体" w:cs="宋体"/>
          <w:lang w:val="zh-CN"/>
        </w:rPr>
        <w:t xml:space="preserve">（3）保修期内，乙方负责对其提供的货物整机进行维修和系统维护，不再收取任何费用，但不可抗力（如火灾、雷击等）造成的故障除外。</w:t>
      </w:r>
      <w:r/>
    </w:p>
    <w:p>
      <w:pPr>
        <w:ind w:firstLine="420"/>
        <w:spacing w:line="360" w:lineRule="exact"/>
        <w:rPr>
          <w:rFonts w:ascii="宋体" w:hAnsi="宋体" w:cs="宋体"/>
          <w:lang w:val="zh-CN"/>
        </w:rPr>
      </w:pPr>
      <w:r>
        <w:rPr>
          <w:rFonts w:hint="eastAsia" w:ascii="宋体" w:hAnsi="宋体" w:cs="宋体"/>
          <w:lang w:val="zh-CN"/>
        </w:rPr>
        <w:t xml:space="preserve">（4）货物故障报修的响应时间按乙方投标承诺执行。</w:t>
      </w:r>
      <w:r/>
    </w:p>
    <w:p>
      <w:pPr>
        <w:ind w:firstLine="420"/>
        <w:spacing w:line="360" w:lineRule="exact"/>
        <w:rPr>
          <w:rFonts w:ascii="宋体" w:hAnsi="宋体" w:cs="宋体"/>
          <w:lang w:val="zh-CN"/>
        </w:rPr>
      </w:pPr>
      <w:r>
        <w:rPr>
          <w:rFonts w:hint="eastAsia" w:ascii="宋体" w:hAnsi="宋体" w:cs="宋体"/>
          <w:lang w:val="zh-CN"/>
        </w:rPr>
        <w:t xml:space="preserve">（5）若货物故障在检修8工作小时后仍无法排除，乙方应在48小时内免费提供不低于故障货物规格型号档次的备用货物供甲方使用，直至故障货物修复。</w:t>
      </w:r>
      <w:r/>
    </w:p>
    <w:p>
      <w:pPr>
        <w:ind w:firstLine="420"/>
        <w:spacing w:line="360" w:lineRule="exact"/>
        <w:rPr>
          <w:rFonts w:ascii="宋体" w:hAnsi="宋体" w:cs="宋体"/>
          <w:lang w:val="zh-CN"/>
        </w:rPr>
      </w:pPr>
      <w:r>
        <w:rPr>
          <w:rFonts w:hint="eastAsia" w:ascii="宋体" w:hAnsi="宋体" w:cs="宋体"/>
          <w:lang w:val="zh-CN"/>
        </w:rPr>
        <w:t xml:space="preserve">（6）所有货物保修服务方式均为乙方上门保修，即由乙方派员到货物使用现场维修，由此产生的一切费用均由乙方承担。</w:t>
      </w:r>
      <w:r/>
    </w:p>
    <w:p>
      <w:pPr>
        <w:ind w:firstLine="420"/>
        <w:spacing w:line="360" w:lineRule="exact"/>
        <w:rPr>
          <w:rFonts w:ascii="宋体" w:hAnsi="宋体" w:cs="宋体"/>
          <w:lang w:val="zh-CN"/>
        </w:rPr>
      </w:pPr>
      <w:r>
        <w:rPr>
          <w:rFonts w:hint="eastAsia" w:ascii="宋体" w:hAnsi="宋体" w:cs="宋体"/>
          <w:lang w:val="zh-CN"/>
        </w:rPr>
        <w:t xml:space="preserve">（7）保修期后的货物维护由双方协商再定。</w:t>
      </w:r>
      <w:r/>
    </w:p>
    <w:p>
      <w:pPr>
        <w:ind w:firstLine="420"/>
        <w:spacing w:line="360" w:lineRule="exact"/>
        <w:rPr>
          <w:rFonts w:ascii="宋体" w:hAnsi="宋体" w:cs="宋体"/>
          <w:b/>
          <w:bCs/>
          <w:lang w:val="zh-CN"/>
        </w:rPr>
      </w:pPr>
      <w:r>
        <w:rPr>
          <w:rFonts w:hint="eastAsia" w:ascii="宋体" w:hAnsi="宋体" w:cs="宋体"/>
          <w:b/>
          <w:bCs/>
          <w:lang w:val="zh-CN"/>
        </w:rPr>
        <w:t xml:space="preserve">第九条履约保证金</w:t>
      </w:r>
      <w:r/>
    </w:p>
    <w:p>
      <w:pPr>
        <w:ind w:firstLine="420"/>
        <w:spacing w:line="360" w:lineRule="exact"/>
        <w:rPr>
          <w:rFonts w:ascii="宋体" w:hAnsi="宋体" w:cs="宋体"/>
          <w:lang w:val="zh-CN"/>
        </w:rPr>
      </w:pPr>
      <w:r>
        <w:rPr>
          <w:rFonts w:hint="eastAsia" w:ascii="宋体" w:hAnsi="宋体" w:cs="宋体"/>
          <w:lang w:val="zh-CN"/>
        </w:rPr>
        <w:t xml:space="preserve">1、乙方在签订本合同前，以支票、汇票、本票、履约担保等法律法规允许的非现金形式，向采购人预交合同价的 10 %履约保证金。</w:t>
      </w:r>
      <w:r/>
    </w:p>
    <w:p>
      <w:pPr>
        <w:ind w:firstLine="420"/>
        <w:spacing w:line="360" w:lineRule="exact"/>
        <w:rPr>
          <w:rFonts w:ascii="宋体" w:hAnsi="宋体" w:cs="宋体"/>
          <w:lang w:val="zh-CN"/>
        </w:rPr>
      </w:pPr>
      <w:r>
        <w:rPr>
          <w:rFonts w:hint="eastAsia" w:ascii="宋体" w:hAnsi="宋体" w:cs="宋体"/>
          <w:lang w:val="zh-CN"/>
        </w:rPr>
        <w:t xml:space="preserve">2、履约保证金的有效期为该项目验收合格时止。</w:t>
      </w:r>
      <w:r/>
    </w:p>
    <w:p>
      <w:pPr>
        <w:ind w:firstLine="420"/>
        <w:spacing w:line="360" w:lineRule="exact"/>
        <w:rPr>
          <w:rFonts w:ascii="宋体" w:hAnsi="宋体" w:cs="宋体"/>
        </w:rPr>
      </w:pPr>
      <w:r>
        <w:rPr>
          <w:rFonts w:hint="eastAsia" w:ascii="宋体" w:hAnsi="宋体" w:cs="宋体"/>
          <w:lang w:val="zh-CN"/>
        </w:rPr>
        <w:t xml:space="preserve">3、</w:t>
      </w:r>
      <w:r>
        <w:rPr>
          <w:rFonts w:hint="eastAsia" w:ascii="宋体" w:hAnsi="宋体" w:cs="宋体"/>
        </w:rPr>
        <w:t xml:space="preserve">履约保证金在验收合格后无息返还。</w:t>
      </w:r>
      <w:r/>
    </w:p>
    <w:p>
      <w:pPr>
        <w:ind w:firstLine="420"/>
        <w:spacing w:line="360" w:lineRule="exact"/>
        <w:rPr>
          <w:rFonts w:ascii="宋体" w:hAnsi="宋体" w:cs="宋体"/>
          <w:b/>
          <w:bCs/>
          <w:iCs/>
          <w:lang w:val="zh-CN"/>
        </w:rPr>
      </w:pPr>
      <w:r>
        <w:rPr>
          <w:rFonts w:hint="eastAsia" w:ascii="宋体" w:hAnsi="宋体" w:cs="宋体"/>
          <w:b/>
          <w:bCs/>
          <w:lang w:val="zh-CN"/>
        </w:rPr>
        <w:t xml:space="preserve">第十条货款支付</w:t>
      </w:r>
      <w:r/>
    </w:p>
    <w:p>
      <w:pPr>
        <w:ind w:firstLine="420"/>
        <w:spacing w:line="360" w:lineRule="exact"/>
        <w:rPr>
          <w:rFonts w:ascii="宋体" w:hAnsi="宋体" w:cs="宋体"/>
          <w:lang w:val="zh-CN"/>
        </w:rPr>
      </w:pPr>
      <w:r>
        <w:rPr>
          <w:rFonts w:hint="eastAsia" w:ascii="宋体" w:hAnsi="宋体" w:cs="宋体"/>
          <w:lang w:val="zh-CN"/>
        </w:rPr>
        <w:t xml:space="preserve">1、本合同项下所有款项均以人民币支付。</w:t>
      </w:r>
      <w:r/>
    </w:p>
    <w:p>
      <w:pPr>
        <w:ind w:firstLine="420"/>
        <w:spacing w:line="360" w:lineRule="exact"/>
        <w:rPr>
          <w:rFonts w:ascii="宋体" w:hAnsi="宋体" w:cs="宋体"/>
          <w:lang w:val="zh-CN"/>
        </w:rPr>
      </w:pPr>
      <w:r>
        <w:rPr>
          <w:rFonts w:hint="eastAsia" w:ascii="宋体" w:hAnsi="宋体" w:cs="宋体"/>
          <w:lang w:val="zh-CN"/>
        </w:rPr>
        <w:t xml:space="preserve">2、本合同项下的采购资金由</w:t>
      </w:r>
      <w:r>
        <w:rPr>
          <w:rFonts w:hint="eastAsia" w:ascii="宋体" w:hAnsi="宋体" w:cs="宋体"/>
        </w:rPr>
        <w:t xml:space="preserve">甲</w:t>
      </w:r>
      <w:r>
        <w:rPr>
          <w:rFonts w:hint="eastAsia" w:ascii="宋体" w:hAnsi="宋体" w:cs="宋体"/>
          <w:lang w:val="zh-CN"/>
        </w:rPr>
        <w:t xml:space="preserve">方支付，</w:t>
      </w:r>
      <w:r>
        <w:rPr>
          <w:rFonts w:hint="eastAsia" w:ascii="宋体" w:hAnsi="宋体" w:cs="宋体"/>
        </w:rPr>
        <w:t xml:space="preserve">乙</w:t>
      </w:r>
      <w:r>
        <w:rPr>
          <w:rFonts w:hint="eastAsia" w:ascii="宋体" w:hAnsi="宋体" w:cs="宋体"/>
          <w:lang w:val="zh-CN"/>
        </w:rPr>
        <w:t xml:space="preserve">方向</w:t>
      </w:r>
      <w:r>
        <w:rPr>
          <w:rFonts w:hint="eastAsia" w:ascii="宋体" w:hAnsi="宋体" w:cs="宋体"/>
        </w:rPr>
        <w:t xml:space="preserve">甲</w:t>
      </w:r>
      <w:r>
        <w:rPr>
          <w:rFonts w:hint="eastAsia" w:ascii="宋体" w:hAnsi="宋体" w:cs="宋体"/>
          <w:lang w:val="zh-CN"/>
        </w:rPr>
        <w:t xml:space="preserve">方开具发票。</w:t>
      </w:r>
      <w:r/>
    </w:p>
    <w:p>
      <w:pPr>
        <w:ind w:firstLine="420"/>
        <w:spacing w:line="360" w:lineRule="exact"/>
        <w:rPr>
          <w:rFonts w:ascii="宋体" w:hAnsi="宋体" w:cs="宋体"/>
          <w:b/>
          <w:bCs/>
        </w:rPr>
      </w:pPr>
      <w:r>
        <w:rPr>
          <w:rFonts w:hint="eastAsia" w:ascii="宋体" w:hAnsi="宋体" w:cs="宋体"/>
          <w:b/>
          <w:bCs/>
          <w:lang w:val="zh-CN"/>
        </w:rPr>
        <w:t xml:space="preserve">3、付款方式：</w:t>
      </w:r>
      <w:r>
        <w:rPr>
          <w:rFonts w:hint="eastAsia" w:ascii="宋体" w:hAnsi="宋体" w:cs="宋体"/>
          <w:b/>
          <w:bCs/>
        </w:rPr>
        <w:t xml:space="preserve">合同签订后主要设备进场后支付至合同金额的30%，项目验收合格后支付至合同金额的75%，结算审计结束后支付至审定金额的95%，余款三年免费质保期结束后一次性付清。（免费质保期从验收合格之日起计算)</w:t>
      </w:r>
      <w:r/>
    </w:p>
    <w:p>
      <w:pPr>
        <w:ind w:firstLine="420"/>
        <w:spacing w:line="360" w:lineRule="exact"/>
        <w:rPr>
          <w:rFonts w:ascii="宋体" w:hAnsi="宋体" w:cs="宋体"/>
          <w:b/>
          <w:bCs/>
          <w:lang w:val="zh-CN"/>
        </w:rPr>
      </w:pPr>
      <w:r>
        <w:rPr>
          <w:rFonts w:hint="eastAsia" w:ascii="宋体" w:hAnsi="宋体" w:cs="宋体"/>
          <w:b/>
          <w:bCs/>
          <w:lang w:val="zh-CN"/>
        </w:rPr>
        <w:t xml:space="preserve">第十一条违约责任</w:t>
      </w:r>
      <w:r>
        <w:rPr>
          <w:rFonts w:hint="eastAsia" w:ascii="宋体" w:hAnsi="宋体" w:cs="宋体"/>
          <w:b/>
          <w:bCs/>
          <w:lang w:val="zh-CN"/>
        </w:rPr>
        <w:tab/>
      </w:r>
      <w:r/>
    </w:p>
    <w:p>
      <w:pPr>
        <w:ind w:firstLine="420"/>
        <w:spacing w:line="360" w:lineRule="exact"/>
        <w:rPr>
          <w:rFonts w:ascii="宋体" w:hAnsi="宋体" w:cs="宋体"/>
          <w:lang w:val="zh-CN"/>
        </w:rPr>
      </w:pPr>
      <w:r>
        <w:rPr>
          <w:rFonts w:hint="eastAsia" w:ascii="宋体" w:hAnsi="宋体" w:cs="宋体"/>
          <w:lang w:val="zh-CN"/>
        </w:rPr>
        <w:t xml:space="preserve">１、甲方无正当理由拒收货物、拒付货物款的，由甲方向乙方偿付合同总价的5%违约金。</w:t>
      </w:r>
      <w:r/>
    </w:p>
    <w:p>
      <w:pPr>
        <w:ind w:firstLine="420"/>
        <w:spacing w:line="360" w:lineRule="exact"/>
        <w:rPr>
          <w:rFonts w:ascii="宋体" w:hAnsi="宋体" w:cs="宋体"/>
          <w:lang w:val="zh-CN"/>
        </w:rPr>
      </w:pPr>
      <w:r>
        <w:rPr>
          <w:rFonts w:hint="eastAsia" w:ascii="宋体" w:hAnsi="宋体" w:cs="宋体"/>
          <w:lang w:val="zh-CN"/>
        </w:rPr>
        <w:t xml:space="preserve">２、甲方未按合同规定的期限向乙方支付货款的，每逾期1天甲方向乙方偿付欠款总额的5‰滞纳金，但累计滞纳金总额不超过欠款总额的5%。</w:t>
      </w:r>
      <w:r/>
    </w:p>
    <w:p>
      <w:pPr>
        <w:ind w:firstLine="420"/>
        <w:spacing w:line="360" w:lineRule="exact"/>
        <w:rPr>
          <w:rFonts w:ascii="宋体" w:hAnsi="宋体" w:cs="宋体"/>
          <w:lang w:val="zh-CN"/>
        </w:rPr>
      </w:pPr>
      <w:r>
        <w:rPr>
          <w:rFonts w:hint="eastAsia" w:ascii="宋体" w:hAnsi="宋体" w:cs="宋体"/>
          <w:lang w:val="zh-CN"/>
        </w:rPr>
        <w:t xml:space="preserve">３、如乙方不能交付货物、完成安装调试的，甲方有权扣留全部履约保证金；同时乙方应向甲方支付合同总价5%的违约金。</w:t>
      </w:r>
      <w:r/>
    </w:p>
    <w:p>
      <w:pPr>
        <w:ind w:firstLine="420"/>
        <w:spacing w:line="360" w:lineRule="exact"/>
        <w:rPr>
          <w:rFonts w:ascii="宋体" w:hAnsi="宋体" w:cs="宋体"/>
          <w:lang w:val="zh-CN"/>
        </w:rPr>
      </w:pPr>
      <w:r>
        <w:rPr>
          <w:rFonts w:hint="eastAsia" w:ascii="宋体" w:hAnsi="宋体" w:cs="宋体"/>
          <w:lang w:val="zh-CN"/>
        </w:rPr>
        <w:t xml:space="preserve">４、乙方逾期交付的，每逾期1天，乙方向甲方偿付合同总额的5‰的滞纳金。如乙方逾期交付达10天，甲方有权解除合同，解除合同的通知自到达乙方时生效。</w:t>
      </w:r>
      <w:r/>
    </w:p>
    <w:p>
      <w:pPr>
        <w:ind w:firstLine="420"/>
        <w:spacing w:line="360" w:lineRule="exact"/>
        <w:rPr>
          <w:rFonts w:ascii="宋体" w:hAnsi="宋体" w:cs="宋体"/>
          <w:highlight w:val="none"/>
          <w:lang w:val="zh-CN"/>
        </w:rPr>
      </w:pPr>
      <w:r>
        <w:rPr>
          <w:rFonts w:hint="eastAsia" w:ascii="宋体" w:hAnsi="宋体" w:cs="宋体"/>
          <w:lang w:val="zh-CN"/>
        </w:rPr>
        <w:t xml:space="preserve">５、乙方所交付的货物品种、型号、规格不符合合同规定的，甲方有权拒收。甲方拒收的，乙方应向甲方支付货款总额5%的违约金</w:t>
      </w:r>
      <w:r>
        <w:rPr>
          <w:rFonts w:hint="eastAsia" w:ascii="宋体" w:hAnsi="宋体" w:cs="宋体"/>
          <w:highlight w:val="none"/>
          <w:lang w:val="zh-CN"/>
        </w:rPr>
        <w:t xml:space="preserve">。甲方未拒收的，责成乙方按照采购结果提供货物和服务，同时视情给予不退还部分或全部履约保证金。</w:t>
      </w:r>
      <w:r/>
    </w:p>
    <w:p>
      <w:pPr>
        <w:ind w:firstLine="420"/>
        <w:spacing w:line="360" w:lineRule="exact"/>
        <w:rPr>
          <w:rFonts w:ascii="宋体" w:hAnsi="宋体" w:cs="宋体"/>
          <w:lang w:val="zh-CN"/>
        </w:rPr>
      </w:pPr>
      <w:r>
        <w:rPr>
          <w:rFonts w:hint="eastAsia" w:ascii="宋体" w:hAnsi="宋体" w:cs="宋体"/>
          <w:highlight w:val="none"/>
          <w:lang w:val="zh-CN"/>
        </w:rPr>
        <w:t xml:space="preserve">６、在乙方承诺的或国家规定的质量保证期内（取两者中最长的期限）</w:t>
      </w:r>
      <w:r>
        <w:rPr>
          <w:rFonts w:hint="eastAsia" w:ascii="宋体" w:hAnsi="宋体" w:cs="宋体"/>
          <w:lang w:val="zh-CN"/>
        </w:rPr>
        <w:t xml:space="preserve">，如经乙方两次维修或更换，货物仍不能达到合同约定的质量标准，甲方有权退货，乙方应退回全部货款，并按第3款处理。</w:t>
      </w:r>
      <w:r/>
    </w:p>
    <w:p>
      <w:pPr>
        <w:ind w:firstLine="420"/>
        <w:spacing w:line="360" w:lineRule="exact"/>
        <w:rPr>
          <w:rFonts w:ascii="宋体" w:hAnsi="宋体" w:cs="宋体"/>
          <w:lang w:val="zh-CN"/>
        </w:rPr>
      </w:pPr>
      <w:r>
        <w:rPr>
          <w:rFonts w:hint="eastAsia" w:ascii="宋体" w:hAnsi="宋体" w:cs="宋体"/>
          <w:lang w:val="zh-CN"/>
        </w:rPr>
        <w:t xml:space="preserve">7、乙方未按本合同第九条的规定向甲方交付履约保证金的，应按应交付履约保证金的100%向甲方支付违约金，该违约金的支付不影响乙方应承担的其他违约责任。</w:t>
      </w:r>
      <w:r/>
    </w:p>
    <w:p>
      <w:pPr>
        <w:ind w:firstLine="420"/>
        <w:spacing w:line="360" w:lineRule="exact"/>
        <w:rPr>
          <w:rFonts w:ascii="宋体" w:hAnsi="宋体" w:cs="宋体"/>
          <w:lang w:val="zh-CN"/>
        </w:rPr>
      </w:pPr>
      <w:r>
        <w:rPr>
          <w:rFonts w:hint="eastAsia" w:ascii="宋体" w:hAnsi="宋体" w:cs="宋体"/>
          <w:lang w:val="zh-CN"/>
        </w:rPr>
        <w:t xml:space="preserve">8、乙方未按本合同的规定和“服务承诺”提供伴随服务/售后服务的，应按合同总价款的5%向甲方承担违约责任。</w:t>
      </w:r>
      <w:r/>
    </w:p>
    <w:p>
      <w:pPr>
        <w:ind w:firstLine="420"/>
        <w:spacing w:line="360" w:lineRule="exact"/>
        <w:rPr>
          <w:rFonts w:ascii="宋体" w:hAnsi="宋体" w:cs="宋体"/>
          <w:lang w:val="zh-CN"/>
        </w:rPr>
      </w:pPr>
      <w:r>
        <w:rPr>
          <w:rFonts w:hint="eastAsia" w:ascii="宋体" w:hAnsi="宋体" w:cs="宋体"/>
          <w:lang w:val="zh-CN"/>
        </w:rPr>
        <w:t xml:space="preserve">9、乙方在承担上述4-7款一项或多项违约责任后，仍应继续履行合同规定的义务（甲方解除合同的除外）。甲方未能及时追究乙方的任何一项违约责任并不表明甲方放弃追究乙方该项或其他违约责任。</w:t>
      </w:r>
      <w:r/>
    </w:p>
    <w:p>
      <w:pPr>
        <w:ind w:firstLine="420"/>
        <w:spacing w:line="360" w:lineRule="exact"/>
        <w:rPr>
          <w:rFonts w:ascii="宋体" w:hAnsi="宋体" w:cs="宋体"/>
          <w:lang w:val="zh-CN"/>
        </w:rPr>
      </w:pPr>
      <w:r>
        <w:rPr>
          <w:rFonts w:hint="eastAsia" w:ascii="宋体" w:hAnsi="宋体" w:cs="宋体"/>
          <w:lang w:val="zh-CN"/>
        </w:rPr>
        <w:t xml:space="preserve">10、乙方投标属虚假承诺，或经权威部门监测提供的货物不能满足招标文件要求，或是由于乙方的过错造成合同无法继续履行的，乙方履约保证金不予退还外，还应向甲方支付不少于合同总价</w:t>
      </w:r>
      <w:r>
        <w:rPr>
          <w:rFonts w:hint="eastAsia" w:ascii="宋体" w:hAnsi="宋体" w:cs="宋体"/>
        </w:rPr>
        <w:t xml:space="preserve">1</w:t>
      </w:r>
      <w:r>
        <w:rPr>
          <w:rFonts w:hint="eastAsia" w:ascii="宋体" w:hAnsi="宋体" w:cs="宋体"/>
          <w:lang w:val="zh-CN"/>
        </w:rPr>
        <w:t xml:space="preserve">0%赔偿金。</w:t>
      </w:r>
      <w:r/>
    </w:p>
    <w:p>
      <w:pPr>
        <w:ind w:firstLine="420"/>
        <w:spacing w:line="360" w:lineRule="exact"/>
        <w:rPr>
          <w:rFonts w:ascii="宋体" w:hAnsi="宋体" w:cs="宋体"/>
          <w:b/>
          <w:bCs/>
          <w:lang w:val="zh-CN"/>
        </w:rPr>
      </w:pPr>
      <w:r>
        <w:rPr>
          <w:rFonts w:hint="eastAsia" w:ascii="宋体" w:hAnsi="宋体" w:cs="宋体"/>
          <w:b/>
          <w:bCs/>
          <w:lang w:val="zh-CN"/>
        </w:rPr>
        <w:t xml:space="preserve">第十二条合同的变更和终止</w:t>
      </w:r>
      <w:r/>
    </w:p>
    <w:p>
      <w:pPr>
        <w:ind w:firstLine="480"/>
        <w:spacing w:line="360" w:lineRule="exact"/>
        <w:rPr>
          <w:rFonts w:ascii="宋体" w:hAnsi="宋体" w:cs="宋体"/>
          <w:lang w:val="zh-CN"/>
        </w:rPr>
      </w:pPr>
      <w:r>
        <w:rPr>
          <w:rFonts w:hint="eastAsia" w:ascii="宋体" w:hAnsi="宋体" w:cs="宋体"/>
          <w:lang w:val="zh-CN"/>
        </w:rPr>
        <w:t xml:space="preserve">1、除《政府采购法》第50条第二款规定的情形外，本合同一经签订，甲乙</w:t>
      </w:r>
      <w:r>
        <w:rPr>
          <w:rFonts w:hint="eastAsia" w:ascii="宋体" w:hAnsi="宋体" w:cs="宋体"/>
        </w:rPr>
        <w:t xml:space="preserve">丙三</w:t>
      </w:r>
      <w:r>
        <w:rPr>
          <w:rFonts w:hint="eastAsia" w:ascii="宋体" w:hAnsi="宋体" w:cs="宋体"/>
          <w:lang w:val="zh-CN"/>
        </w:rPr>
        <w:t xml:space="preserve">方不得擅自变更、中止或终止合同。</w:t>
      </w:r>
      <w:r/>
    </w:p>
    <w:p>
      <w:pPr>
        <w:ind w:firstLine="480"/>
        <w:spacing w:line="360" w:lineRule="exact"/>
        <w:rPr>
          <w:rFonts w:ascii="宋体" w:hAnsi="宋体" w:cs="宋体"/>
          <w:lang w:val="zh-CN"/>
        </w:rPr>
      </w:pPr>
      <w:r>
        <w:rPr>
          <w:rFonts w:hint="eastAsia" w:ascii="宋体" w:hAnsi="宋体" w:cs="宋体"/>
          <w:lang w:val="zh-CN"/>
        </w:rPr>
        <w:t xml:space="preserve">2、</w:t>
      </w:r>
      <w:r>
        <w:rPr>
          <w:rFonts w:hint="eastAsia" w:ascii="宋体" w:hAnsi="宋体" w:cs="宋体"/>
        </w:rPr>
        <w:t xml:space="preserve">除发生法律规定的不能预见、不能避免并不能克服的客观情况外，甲乙丙三方不得放弃或拒绝履行合同。乙方放弃或拒绝履行合同，在三年内不得参加泰兴市公共资源交易中心组织的政府采购活动。</w:t>
      </w:r>
      <w:r/>
    </w:p>
    <w:p>
      <w:pPr>
        <w:ind w:firstLine="420"/>
        <w:spacing w:line="360" w:lineRule="exact"/>
        <w:rPr>
          <w:rFonts w:ascii="宋体" w:hAnsi="宋体" w:cs="宋体"/>
          <w:b/>
          <w:bCs/>
          <w:lang w:val="zh-CN"/>
        </w:rPr>
      </w:pPr>
      <w:r>
        <w:rPr>
          <w:rFonts w:hint="eastAsia" w:ascii="宋体" w:hAnsi="宋体" w:cs="宋体"/>
          <w:b/>
          <w:bCs/>
          <w:lang w:val="zh-CN"/>
        </w:rPr>
        <w:t xml:space="preserve">第十</w:t>
      </w:r>
      <w:r>
        <w:rPr>
          <w:rFonts w:hint="eastAsia" w:ascii="宋体" w:hAnsi="宋体" w:cs="宋体"/>
          <w:b/>
          <w:bCs/>
        </w:rPr>
        <w:t xml:space="preserve">三</w:t>
      </w:r>
      <w:r>
        <w:rPr>
          <w:rFonts w:hint="eastAsia" w:ascii="宋体" w:hAnsi="宋体" w:cs="宋体"/>
          <w:b/>
          <w:bCs/>
          <w:lang w:val="zh-CN"/>
        </w:rPr>
        <w:t xml:space="preserve">条争议的解决</w:t>
      </w:r>
      <w:r/>
    </w:p>
    <w:p>
      <w:pPr>
        <w:ind w:firstLine="420"/>
        <w:spacing w:line="360" w:lineRule="exact"/>
        <w:rPr>
          <w:rFonts w:ascii="宋体" w:hAnsi="宋体" w:cs="宋体"/>
          <w:lang w:val="zh-CN"/>
        </w:rPr>
      </w:pPr>
      <w:r>
        <w:rPr>
          <w:rFonts w:hint="eastAsia" w:ascii="宋体" w:hAnsi="宋体" w:cs="宋体"/>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20"/>
        <w:spacing w:line="360" w:lineRule="exact"/>
        <w:rPr>
          <w:rFonts w:ascii="宋体" w:hAnsi="宋体" w:cs="宋体"/>
          <w:lang w:val="zh-CN"/>
        </w:rPr>
      </w:pPr>
      <w:r>
        <w:rPr>
          <w:rFonts w:hint="eastAsia" w:ascii="宋体" w:hAnsi="宋体" w:cs="宋体"/>
          <w:lang w:val="zh-CN"/>
        </w:rPr>
        <w:t xml:space="preserve">2、因履行本合同引起的或与本合同有关的争议，甲、乙、</w:t>
      </w:r>
      <w:r>
        <w:rPr>
          <w:rFonts w:hint="eastAsia" w:ascii="宋体" w:hAnsi="宋体" w:cs="宋体"/>
        </w:rPr>
        <w:t xml:space="preserve">丙三</w:t>
      </w:r>
      <w:r>
        <w:rPr>
          <w:rFonts w:hint="eastAsia" w:ascii="宋体" w:hAnsi="宋体" w:cs="宋体"/>
          <w:lang w:val="zh-CN"/>
        </w:rPr>
        <w:t xml:space="preserve">方应首先通过友好协商解决，如果协商不能解决争议，则采取以下方式解决争议：</w:t>
      </w:r>
      <w:r/>
    </w:p>
    <w:p>
      <w:pPr>
        <w:ind w:firstLine="560"/>
        <w:spacing w:line="360" w:lineRule="exact"/>
        <w:rPr>
          <w:rFonts w:ascii="宋体" w:hAnsi="宋体" w:cs="宋体"/>
          <w:lang w:val="zh-CN"/>
        </w:rPr>
      </w:pPr>
      <w:r>
        <w:rPr>
          <w:rFonts w:hint="eastAsia" w:ascii="宋体" w:hAnsi="宋体" w:cs="宋体"/>
          <w:lang w:val="zh-CN"/>
        </w:rPr>
        <w:t xml:space="preserve">向向合同签约地(泰兴)的人民法院提请诉讼；</w:t>
      </w:r>
      <w:r/>
    </w:p>
    <w:p>
      <w:pPr>
        <w:ind w:firstLine="420"/>
        <w:spacing w:line="360" w:lineRule="exact"/>
        <w:rPr>
          <w:rFonts w:ascii="宋体" w:hAnsi="宋体" w:cs="宋体"/>
          <w:b/>
          <w:bCs/>
          <w:lang w:val="zh-CN"/>
        </w:rPr>
      </w:pPr>
      <w:r>
        <w:rPr>
          <w:rFonts w:hint="eastAsia" w:ascii="宋体" w:hAnsi="宋体" w:cs="宋体"/>
          <w:b/>
          <w:bCs/>
          <w:lang w:val="zh-CN"/>
        </w:rPr>
        <w:t xml:space="preserve">第十</w:t>
      </w:r>
      <w:r>
        <w:rPr>
          <w:rFonts w:hint="eastAsia" w:ascii="宋体" w:hAnsi="宋体" w:cs="宋体"/>
          <w:b/>
          <w:bCs/>
        </w:rPr>
        <w:t xml:space="preserve">四</w:t>
      </w:r>
      <w:r>
        <w:rPr>
          <w:rFonts w:hint="eastAsia" w:ascii="宋体" w:hAnsi="宋体" w:cs="宋体"/>
          <w:b/>
          <w:bCs/>
          <w:lang w:val="zh-CN"/>
        </w:rPr>
        <w:t xml:space="preserve">条诚实信用</w:t>
      </w:r>
      <w:r/>
    </w:p>
    <w:p>
      <w:pPr>
        <w:ind w:firstLine="420"/>
        <w:spacing w:line="360" w:lineRule="exact"/>
        <w:rPr>
          <w:rFonts w:ascii="宋体" w:hAnsi="宋体" w:cs="宋体"/>
          <w:lang w:val="zh-CN"/>
        </w:rPr>
      </w:pPr>
      <w:r>
        <w:rPr>
          <w:rFonts w:hint="eastAsia" w:ascii="宋体" w:hAnsi="宋体" w:cs="宋体"/>
          <w:lang w:val="zh-CN"/>
        </w:rPr>
        <w:t xml:space="preserve">乙方应诚实信用，严格按照招标文件要求和投标承诺履行合同，不向甲方、</w:t>
      </w:r>
      <w:r>
        <w:rPr>
          <w:rFonts w:hint="eastAsia" w:ascii="宋体" w:hAnsi="宋体" w:cs="宋体"/>
        </w:rPr>
        <w:t xml:space="preserve">丙方</w:t>
      </w:r>
      <w:r>
        <w:rPr>
          <w:rFonts w:hint="eastAsia" w:ascii="宋体" w:hAnsi="宋体" w:cs="宋体"/>
          <w:lang w:val="zh-CN"/>
        </w:rPr>
        <w:t xml:space="preserve">进行商业贿赂或者提供不正当利益。</w:t>
      </w:r>
      <w:r/>
    </w:p>
    <w:p>
      <w:pPr>
        <w:ind w:firstLine="420"/>
        <w:spacing w:line="360" w:lineRule="exact"/>
        <w:rPr>
          <w:rFonts w:ascii="宋体" w:hAnsi="宋体" w:cs="宋体"/>
          <w:b/>
          <w:bCs/>
          <w:lang w:val="zh-CN"/>
        </w:rPr>
      </w:pPr>
      <w:r>
        <w:rPr>
          <w:rFonts w:hint="eastAsia" w:ascii="宋体" w:hAnsi="宋体" w:cs="宋体"/>
          <w:b/>
          <w:bCs/>
          <w:lang w:val="zh-CN"/>
        </w:rPr>
        <w:t xml:space="preserve">第十</w:t>
      </w:r>
      <w:r>
        <w:rPr>
          <w:rFonts w:hint="eastAsia" w:ascii="宋体" w:hAnsi="宋体" w:cs="宋体"/>
          <w:b/>
          <w:bCs/>
        </w:rPr>
        <w:t xml:space="preserve">五</w:t>
      </w:r>
      <w:r>
        <w:rPr>
          <w:rFonts w:hint="eastAsia" w:ascii="宋体" w:hAnsi="宋体" w:cs="宋体"/>
          <w:b/>
          <w:bCs/>
          <w:lang w:val="zh-CN"/>
        </w:rPr>
        <w:t xml:space="preserve">条合同生效及其他</w:t>
      </w:r>
      <w:r/>
    </w:p>
    <w:p>
      <w:pPr>
        <w:ind w:firstLine="420"/>
        <w:spacing w:line="360" w:lineRule="exact"/>
        <w:rPr>
          <w:rFonts w:ascii="宋体" w:hAnsi="宋体" w:cs="宋体"/>
          <w:lang w:val="zh-CN"/>
        </w:rPr>
      </w:pPr>
      <w:r>
        <w:rPr>
          <w:rFonts w:hint="eastAsia" w:ascii="宋体" w:hAnsi="宋体" w:cs="宋体"/>
          <w:lang w:val="zh-CN"/>
        </w:rPr>
        <w:t xml:space="preserve">1、本合同自签订之日起生效。</w:t>
      </w:r>
      <w:r/>
    </w:p>
    <w:p>
      <w:pPr>
        <w:ind w:firstLine="420"/>
        <w:spacing w:line="360" w:lineRule="exact"/>
        <w:rPr>
          <w:rFonts w:ascii="宋体" w:hAnsi="宋体" w:cs="宋体"/>
          <w:lang w:val="zh-CN"/>
        </w:rPr>
      </w:pPr>
      <w:r>
        <w:rPr>
          <w:rFonts w:hint="eastAsia" w:ascii="宋体" w:hAnsi="宋体" w:cs="宋体"/>
          <w:lang w:val="zh-CN"/>
        </w:rPr>
        <w:t xml:space="preserve">2、本合同一式</w:t>
      </w:r>
      <w:r>
        <w:rPr>
          <w:rFonts w:hint="eastAsia" w:ascii="宋体" w:hAnsi="宋体" w:cs="宋体"/>
        </w:rPr>
        <w:t xml:space="preserve">捌</w:t>
      </w:r>
      <w:r>
        <w:rPr>
          <w:rFonts w:hint="eastAsia" w:ascii="宋体" w:hAnsi="宋体" w:cs="宋体"/>
          <w:lang w:val="zh-CN"/>
        </w:rPr>
        <w:t xml:space="preserve">份，甲乙</w:t>
      </w:r>
      <w:r>
        <w:rPr>
          <w:rFonts w:hint="eastAsia" w:ascii="宋体" w:hAnsi="宋体" w:cs="宋体"/>
        </w:rPr>
        <w:t xml:space="preserve">丙三</w:t>
      </w:r>
      <w:r>
        <w:rPr>
          <w:rFonts w:hint="eastAsia" w:ascii="宋体" w:hAnsi="宋体" w:cs="宋体"/>
          <w:lang w:val="zh-CN"/>
        </w:rPr>
        <w:t xml:space="preserve">方各执</w:t>
      </w:r>
      <w:r>
        <w:rPr>
          <w:rFonts w:hint="eastAsia" w:ascii="宋体" w:hAnsi="宋体" w:cs="宋体"/>
        </w:rPr>
        <w:t xml:space="preserve">贰</w:t>
      </w:r>
      <w:r>
        <w:rPr>
          <w:rFonts w:hint="eastAsia" w:ascii="宋体" w:hAnsi="宋体" w:cs="宋体"/>
          <w:lang w:val="zh-CN"/>
        </w:rPr>
        <w:t xml:space="preserve">份，一份交代理公司存档，一份报送政府采购管理办公室备案。</w:t>
      </w:r>
      <w:r/>
    </w:p>
    <w:p>
      <w:pPr>
        <w:ind w:firstLine="420"/>
        <w:spacing w:line="360" w:lineRule="exact"/>
        <w:rPr>
          <w:rFonts w:ascii="宋体" w:hAnsi="宋体" w:cs="宋体"/>
          <w:lang w:val="zh-CN"/>
        </w:rPr>
      </w:pPr>
      <w:r>
        <w:rPr>
          <w:rFonts w:hint="eastAsia" w:ascii="宋体" w:hAnsi="宋体" w:cs="宋体"/>
          <w:lang w:val="zh-CN"/>
        </w:rPr>
        <w:t xml:space="preserve">3、本合同应按照中华人民共和国的现行法律进行解释。</w:t>
      </w:r>
      <w:r/>
    </w:p>
    <w:tbl>
      <w:tblPr>
        <w:tblStyle w:val="685"/>
        <w:tblW w:w="9413" w:type="dxa"/>
        <w:jc w:val="center"/>
        <w:tblLayout w:type="fixed"/>
        <w:tblCellMar>
          <w:left w:w="108" w:type="dxa"/>
          <w:top w:w="0" w:type="dxa"/>
          <w:right w:w="108" w:type="dxa"/>
          <w:bottom w:w="0" w:type="dxa"/>
        </w:tblCellMar>
        <w:tblLook w:val="04A0" w:firstRow="1" w:lastRow="0" w:firstColumn="1" w:lastColumn="0" w:noHBand="0" w:noVBand="1"/>
      </w:tblPr>
      <w:tblGrid>
        <w:gridCol w:w="4881"/>
        <w:gridCol w:w="4532"/>
      </w:tblGrid>
      <w:tr>
        <w:trPr>
          <w:jc w:val="center"/>
        </w:trPr>
        <w:tc>
          <w:tcPr>
            <w:tcBorders>
              <w:top w:val="none" w:color="000000" w:sz="4" w:space="0"/>
              <w:left w:val="none" w:color="000000" w:sz="4" w:space="0"/>
              <w:bottom w:val="none" w:color="000000" w:sz="4" w:space="0"/>
              <w:right w:val="none" w:color="000000" w:sz="4" w:space="0"/>
            </w:tcBorders>
            <w:tcW w:w="4881" w:type="dxa"/>
            <w:textDirection w:val="lrTb"/>
            <w:noWrap w:val="false"/>
          </w:tcPr>
          <w:p>
            <w:pPr>
              <w:spacing w:line="360" w:lineRule="exact"/>
              <w:rPr>
                <w:rFonts w:ascii="宋体" w:hAnsi="宋体" w:cs="宋体"/>
                <w:lang w:val="zh-CN"/>
              </w:rPr>
            </w:pPr>
            <w:r>
              <w:rPr>
                <w:rFonts w:hint="eastAsia" w:ascii="宋体" w:hAnsi="宋体" w:cs="宋体"/>
                <w:lang w:val="zh-CN"/>
              </w:rPr>
              <w:t xml:space="preserve">甲方（</w:t>
            </w:r>
            <w:r>
              <w:rPr>
                <w:rFonts w:hint="eastAsia" w:ascii="宋体" w:hAnsi="宋体" w:cs="宋体"/>
              </w:rPr>
              <w:t xml:space="preserve">委托方</w:t>
            </w:r>
            <w:r>
              <w:rPr>
                <w:rFonts w:hint="eastAsia" w:ascii="宋体" w:hAnsi="宋体" w:cs="宋体"/>
                <w:lang w:val="zh-CN"/>
              </w:rPr>
              <w:t xml:space="preserve">）：（盖章）</w:t>
            </w:r>
            <w:r/>
          </w:p>
        </w:tc>
        <w:tc>
          <w:tcPr>
            <w:tcBorders>
              <w:top w:val="none" w:color="000000" w:sz="4" w:space="0"/>
              <w:left w:val="none" w:color="000000" w:sz="4" w:space="0"/>
              <w:bottom w:val="none" w:color="000000" w:sz="4" w:space="0"/>
              <w:right w:val="none" w:color="000000" w:sz="4" w:space="0"/>
            </w:tcBorders>
            <w:tcW w:w="4532" w:type="dxa"/>
            <w:textDirection w:val="lrTb"/>
            <w:noWrap w:val="false"/>
          </w:tcPr>
          <w:p>
            <w:pPr>
              <w:spacing w:line="360" w:lineRule="exact"/>
              <w:rPr>
                <w:rFonts w:ascii="宋体" w:hAnsi="宋体" w:cs="宋体"/>
                <w:lang w:val="zh-CN"/>
              </w:rPr>
            </w:pPr>
            <w:r>
              <w:rPr>
                <w:rFonts w:hint="eastAsia" w:ascii="宋体" w:hAnsi="宋体" w:cs="宋体"/>
                <w:lang w:val="zh-CN"/>
              </w:rPr>
              <w:t xml:space="preserve">乙方（</w:t>
            </w:r>
            <w:r>
              <w:rPr>
                <w:rFonts w:hint="eastAsia" w:ascii="宋体" w:hAnsi="宋体" w:cs="宋体"/>
              </w:rPr>
              <w:t xml:space="preserve">服务方</w:t>
            </w:r>
            <w:r>
              <w:rPr>
                <w:rFonts w:hint="eastAsia" w:ascii="宋体" w:hAnsi="宋体" w:cs="宋体"/>
                <w:lang w:val="zh-CN"/>
              </w:rPr>
              <w:t xml:space="preserve">）：（盖章）</w:t>
            </w:r>
            <w:r/>
          </w:p>
        </w:tc>
      </w:tr>
      <w:tr>
        <w:trPr>
          <w:jc w:val="center"/>
        </w:trPr>
        <w:tc>
          <w:tcPr>
            <w:tcBorders>
              <w:top w:val="none" w:color="000000" w:sz="4" w:space="0"/>
              <w:left w:val="none" w:color="000000" w:sz="4" w:space="0"/>
              <w:bottom w:val="none" w:color="000000" w:sz="4" w:space="0"/>
              <w:right w:val="none" w:color="000000" w:sz="4" w:space="0"/>
            </w:tcBorders>
            <w:tcW w:w="4881" w:type="dxa"/>
            <w:textDirection w:val="lrTb"/>
            <w:noWrap w:val="false"/>
          </w:tcPr>
          <w:p>
            <w:pPr>
              <w:spacing w:line="360" w:lineRule="exact"/>
              <w:rPr>
                <w:rFonts w:ascii="宋体" w:hAnsi="宋体" w:cs="宋体"/>
              </w:rPr>
            </w:pPr>
            <w:r>
              <w:rPr>
                <w:rFonts w:hint="eastAsia" w:ascii="宋体" w:hAnsi="宋体" w:cs="宋体"/>
                <w:lang w:val="zh-CN"/>
              </w:rPr>
              <w:t xml:space="preserve">代表人：</w:t>
            </w:r>
            <w:r/>
          </w:p>
        </w:tc>
        <w:tc>
          <w:tcPr>
            <w:tcBorders>
              <w:top w:val="none" w:color="000000" w:sz="4" w:space="0"/>
              <w:left w:val="none" w:color="000000" w:sz="4" w:space="0"/>
              <w:bottom w:val="none" w:color="000000" w:sz="4" w:space="0"/>
              <w:right w:val="none" w:color="000000" w:sz="4" w:space="0"/>
            </w:tcBorders>
            <w:tcW w:w="4532" w:type="dxa"/>
            <w:textDirection w:val="lrTb"/>
            <w:noWrap w:val="false"/>
          </w:tcPr>
          <w:p>
            <w:pPr>
              <w:spacing w:line="360" w:lineRule="exact"/>
              <w:rPr>
                <w:rFonts w:ascii="宋体" w:hAnsi="宋体" w:cs="宋体"/>
              </w:rPr>
            </w:pPr>
            <w:r>
              <w:rPr>
                <w:rFonts w:hint="eastAsia" w:ascii="宋体" w:hAnsi="宋体" w:cs="宋体"/>
                <w:lang w:val="zh-CN"/>
              </w:rPr>
              <w:t xml:space="preserve">代表人</w:t>
            </w:r>
            <w:r>
              <w:rPr>
                <w:rFonts w:hint="eastAsia" w:ascii="宋体" w:hAnsi="宋体" w:cs="宋体"/>
              </w:rPr>
              <w:t xml:space="preserve">：</w:t>
            </w:r>
            <w:r/>
          </w:p>
        </w:tc>
      </w:tr>
      <w:tr>
        <w:trPr>
          <w:jc w:val="center"/>
        </w:trPr>
        <w:tc>
          <w:tcPr>
            <w:tcBorders>
              <w:top w:val="none" w:color="000000" w:sz="4" w:space="0"/>
              <w:left w:val="none" w:color="000000" w:sz="4" w:space="0"/>
              <w:bottom w:val="none" w:color="000000" w:sz="4" w:space="0"/>
              <w:right w:val="none" w:color="000000" w:sz="4" w:space="0"/>
            </w:tcBorders>
            <w:tcW w:w="4881" w:type="dxa"/>
            <w:textDirection w:val="lrTb"/>
            <w:noWrap w:val="false"/>
          </w:tcPr>
          <w:p>
            <w:pPr>
              <w:spacing w:line="360" w:lineRule="exact"/>
              <w:rPr>
                <w:rFonts w:ascii="宋体" w:hAnsi="宋体" w:cs="宋体"/>
              </w:rPr>
            </w:pPr>
            <w:r>
              <w:rPr>
                <w:rFonts w:hint="eastAsia" w:ascii="宋体" w:hAnsi="宋体" w:cs="宋体"/>
                <w:lang w:val="zh-CN"/>
              </w:rPr>
              <w:t xml:space="preserve">电话：</w:t>
            </w:r>
            <w:r/>
          </w:p>
        </w:tc>
        <w:tc>
          <w:tcPr>
            <w:tcBorders>
              <w:top w:val="none" w:color="000000" w:sz="4" w:space="0"/>
              <w:left w:val="none" w:color="000000" w:sz="4" w:space="0"/>
              <w:bottom w:val="none" w:color="000000" w:sz="4" w:space="0"/>
              <w:right w:val="none" w:color="000000" w:sz="4" w:space="0"/>
            </w:tcBorders>
            <w:tcW w:w="4532" w:type="dxa"/>
            <w:textDirection w:val="lrTb"/>
            <w:noWrap w:val="false"/>
          </w:tcPr>
          <w:p>
            <w:pPr>
              <w:spacing w:line="360" w:lineRule="exact"/>
              <w:rPr>
                <w:rFonts w:ascii="宋体" w:hAnsi="宋体" w:cs="宋体"/>
              </w:rPr>
            </w:pPr>
            <w:r>
              <w:rPr>
                <w:rFonts w:hint="eastAsia" w:ascii="宋体" w:hAnsi="宋体" w:cs="宋体"/>
                <w:lang w:val="zh-CN"/>
              </w:rPr>
              <w:t xml:space="preserve">电话：</w:t>
            </w:r>
            <w:r/>
          </w:p>
        </w:tc>
      </w:tr>
      <w:tr>
        <w:trPr>
          <w:jc w:val="center"/>
        </w:trPr>
        <w:tc>
          <w:tcPr>
            <w:tcBorders>
              <w:top w:val="none" w:color="000000" w:sz="4" w:space="0"/>
              <w:left w:val="none" w:color="000000" w:sz="4" w:space="0"/>
              <w:bottom w:val="none" w:color="000000" w:sz="4" w:space="0"/>
              <w:right w:val="none" w:color="000000" w:sz="4" w:space="0"/>
            </w:tcBorders>
            <w:tcW w:w="4881" w:type="dxa"/>
            <w:textDirection w:val="lrTb"/>
            <w:noWrap w:val="false"/>
          </w:tcPr>
          <w:p>
            <w:pPr>
              <w:spacing w:line="360" w:lineRule="exact"/>
              <w:rPr>
                <w:rFonts w:ascii="宋体" w:hAnsi="宋体" w:cs="宋体"/>
              </w:rPr>
            </w:pPr>
            <w:r>
              <w:rPr>
                <w:rFonts w:hint="eastAsia" w:ascii="宋体" w:hAnsi="宋体" w:cs="宋体"/>
                <w:lang w:val="zh-CN"/>
              </w:rPr>
              <w:t xml:space="preserve">开户银行：</w:t>
            </w:r>
            <w:r/>
          </w:p>
        </w:tc>
        <w:tc>
          <w:tcPr>
            <w:tcBorders>
              <w:top w:val="none" w:color="000000" w:sz="4" w:space="0"/>
              <w:left w:val="none" w:color="000000" w:sz="4" w:space="0"/>
              <w:bottom w:val="none" w:color="000000" w:sz="4" w:space="0"/>
              <w:right w:val="none" w:color="000000" w:sz="4" w:space="0"/>
            </w:tcBorders>
            <w:tcW w:w="4532" w:type="dxa"/>
            <w:textDirection w:val="lrTb"/>
            <w:noWrap w:val="false"/>
          </w:tcPr>
          <w:p>
            <w:pPr>
              <w:spacing w:line="360" w:lineRule="exact"/>
              <w:rPr>
                <w:rFonts w:ascii="宋体" w:hAnsi="宋体" w:cs="宋体"/>
              </w:rPr>
            </w:pPr>
            <w:r>
              <w:rPr>
                <w:rFonts w:hint="eastAsia" w:ascii="宋体" w:hAnsi="宋体" w:cs="宋体"/>
                <w:lang w:val="zh-CN"/>
              </w:rPr>
              <w:t xml:space="preserve">开户银行：</w:t>
            </w:r>
            <w:r/>
          </w:p>
        </w:tc>
      </w:tr>
      <w:tr>
        <w:trPr>
          <w:jc w:val="center"/>
        </w:trPr>
        <w:tc>
          <w:tcPr>
            <w:tcBorders>
              <w:top w:val="none" w:color="000000" w:sz="4" w:space="0"/>
              <w:left w:val="none" w:color="000000" w:sz="4" w:space="0"/>
              <w:bottom w:val="none" w:color="000000" w:sz="4" w:space="0"/>
              <w:right w:val="none" w:color="000000" w:sz="4" w:space="0"/>
            </w:tcBorders>
            <w:tcW w:w="4881" w:type="dxa"/>
            <w:textDirection w:val="lrTb"/>
            <w:noWrap w:val="false"/>
          </w:tcPr>
          <w:p>
            <w:pPr>
              <w:spacing w:line="360" w:lineRule="exact"/>
              <w:rPr>
                <w:rFonts w:ascii="宋体" w:hAnsi="宋体" w:cs="宋体"/>
              </w:rPr>
            </w:pPr>
            <w:r>
              <w:rPr>
                <w:rFonts w:hint="eastAsia" w:ascii="宋体" w:hAnsi="宋体" w:cs="宋体"/>
                <w:lang w:val="zh-CN"/>
              </w:rPr>
              <w:t xml:space="preserve">帐号：</w:t>
            </w:r>
            <w:r/>
          </w:p>
        </w:tc>
        <w:tc>
          <w:tcPr>
            <w:tcBorders>
              <w:top w:val="none" w:color="000000" w:sz="4" w:space="0"/>
              <w:left w:val="none" w:color="000000" w:sz="4" w:space="0"/>
              <w:bottom w:val="none" w:color="000000" w:sz="4" w:space="0"/>
              <w:right w:val="none" w:color="000000" w:sz="4" w:space="0"/>
            </w:tcBorders>
            <w:tcW w:w="4532" w:type="dxa"/>
            <w:textDirection w:val="lrTb"/>
            <w:noWrap w:val="false"/>
          </w:tcPr>
          <w:p>
            <w:pPr>
              <w:spacing w:line="360" w:lineRule="exact"/>
              <w:rPr>
                <w:rFonts w:ascii="宋体" w:hAnsi="宋体" w:cs="宋体"/>
              </w:rPr>
            </w:pPr>
            <w:r>
              <w:rPr>
                <w:rFonts w:hint="eastAsia" w:ascii="宋体" w:hAnsi="宋体" w:cs="宋体"/>
                <w:lang w:val="zh-CN"/>
              </w:rPr>
              <w:t xml:space="preserve">帐号：</w:t>
            </w:r>
            <w:r/>
          </w:p>
        </w:tc>
      </w:tr>
      <w:tr>
        <w:trPr>
          <w:jc w:val="center"/>
        </w:trPr>
        <w:tc>
          <w:tcPr>
            <w:tcBorders>
              <w:top w:val="none" w:color="000000" w:sz="4" w:space="0"/>
              <w:left w:val="none" w:color="000000" w:sz="4" w:space="0"/>
              <w:bottom w:val="none" w:color="000000" w:sz="4" w:space="0"/>
              <w:right w:val="none" w:color="000000" w:sz="4" w:space="0"/>
            </w:tcBorders>
            <w:tcW w:w="4881" w:type="dxa"/>
            <w:textDirection w:val="lrTb"/>
            <w:noWrap w:val="false"/>
          </w:tcPr>
          <w:p>
            <w:pPr>
              <w:spacing w:line="360" w:lineRule="exact"/>
              <w:rPr>
                <w:rFonts w:ascii="宋体" w:hAnsi="宋体" w:cs="宋体"/>
                <w:lang w:val="zh-CN"/>
              </w:rPr>
            </w:pPr>
            <w:r>
              <w:rPr>
                <w:rFonts w:hint="eastAsia" w:ascii="宋体" w:hAnsi="宋体" w:cs="宋体"/>
                <w:lang w:val="zh-CN"/>
              </w:rPr>
              <w:t xml:space="preserve">日期：</w:t>
            </w:r>
            <w:r>
              <w:rPr>
                <w:rFonts w:hint="eastAsia" w:ascii="宋体" w:hAnsi="宋体" w:cs="宋体"/>
              </w:rPr>
              <w:t xml:space="preserve">  </w:t>
            </w:r>
            <w:r>
              <w:rPr>
                <w:rFonts w:hint="eastAsia" w:ascii="宋体" w:hAnsi="宋体" w:cs="宋体"/>
                <w:lang w:val="zh-CN"/>
              </w:rPr>
              <w:t xml:space="preserve">年</w:t>
            </w:r>
            <w:r>
              <w:rPr>
                <w:rFonts w:hint="eastAsia" w:ascii="宋体" w:hAnsi="宋体" w:cs="宋体"/>
              </w:rPr>
              <w:t xml:space="preserve">  </w:t>
            </w:r>
            <w:r>
              <w:rPr>
                <w:rFonts w:hint="eastAsia" w:ascii="宋体" w:hAnsi="宋体" w:cs="宋体"/>
                <w:lang w:val="zh-CN"/>
              </w:rPr>
              <w:t xml:space="preserve">月</w:t>
            </w:r>
            <w:r>
              <w:rPr>
                <w:rFonts w:hint="eastAsia" w:ascii="宋体" w:hAnsi="宋体" w:cs="宋体"/>
              </w:rPr>
              <w:t xml:space="preserve">  </w:t>
            </w:r>
            <w:r>
              <w:rPr>
                <w:rFonts w:hint="eastAsia" w:ascii="宋体" w:hAnsi="宋体" w:cs="宋体"/>
                <w:lang w:val="zh-CN"/>
              </w:rPr>
              <w:t xml:space="preserve">日</w:t>
            </w:r>
            <w:r/>
          </w:p>
        </w:tc>
        <w:tc>
          <w:tcPr>
            <w:tcBorders>
              <w:top w:val="none" w:color="000000" w:sz="4" w:space="0"/>
              <w:left w:val="none" w:color="000000" w:sz="4" w:space="0"/>
              <w:bottom w:val="none" w:color="000000" w:sz="4" w:space="0"/>
              <w:right w:val="none" w:color="000000" w:sz="4" w:space="0"/>
            </w:tcBorders>
            <w:tcW w:w="4532" w:type="dxa"/>
            <w:textDirection w:val="lrTb"/>
            <w:noWrap w:val="false"/>
          </w:tcPr>
          <w:p>
            <w:pPr>
              <w:spacing w:line="360" w:lineRule="exact"/>
              <w:rPr>
                <w:rFonts w:ascii="宋体" w:hAnsi="宋体" w:cs="宋体"/>
                <w:lang w:val="zh-CN"/>
              </w:rPr>
            </w:pPr>
            <w:r>
              <w:rPr>
                <w:rFonts w:hint="eastAsia" w:ascii="宋体" w:hAnsi="宋体" w:cs="宋体"/>
                <w:lang w:val="zh-CN"/>
              </w:rPr>
              <w:t xml:space="preserve">日期：</w:t>
            </w:r>
            <w:r>
              <w:rPr>
                <w:rFonts w:hint="eastAsia" w:ascii="宋体" w:hAnsi="宋体" w:cs="宋体"/>
              </w:rPr>
              <w:t xml:space="preserve">  </w:t>
            </w:r>
            <w:r>
              <w:rPr>
                <w:rFonts w:hint="eastAsia" w:ascii="宋体" w:hAnsi="宋体" w:cs="宋体"/>
                <w:lang w:val="zh-CN"/>
              </w:rPr>
              <w:t xml:space="preserve">年</w:t>
            </w:r>
            <w:r>
              <w:rPr>
                <w:rFonts w:hint="eastAsia" w:ascii="宋体" w:hAnsi="宋体" w:cs="宋体"/>
              </w:rPr>
              <w:t xml:space="preserve">  </w:t>
            </w:r>
            <w:r>
              <w:rPr>
                <w:rFonts w:hint="eastAsia" w:ascii="宋体" w:hAnsi="宋体" w:cs="宋体"/>
                <w:lang w:val="zh-CN"/>
              </w:rPr>
              <w:t xml:space="preserve">月</w:t>
            </w:r>
            <w:r>
              <w:rPr>
                <w:rFonts w:hint="eastAsia" w:ascii="宋体" w:hAnsi="宋体" w:cs="宋体"/>
              </w:rPr>
              <w:t xml:space="preserve">  </w:t>
            </w:r>
            <w:r>
              <w:rPr>
                <w:rFonts w:hint="eastAsia" w:ascii="宋体" w:hAnsi="宋体" w:cs="宋体"/>
                <w:lang w:val="zh-CN"/>
              </w:rPr>
              <w:t xml:space="preserve">日</w:t>
            </w:r>
            <w:r/>
          </w:p>
        </w:tc>
      </w:tr>
      <w:tr>
        <w:trPr>
          <w:jc w:val="center"/>
        </w:trPr>
        <w:tc>
          <w:tcPr>
            <w:tcBorders>
              <w:top w:val="none" w:color="000000" w:sz="4" w:space="0"/>
              <w:left w:val="none" w:color="000000" w:sz="4" w:space="0"/>
              <w:bottom w:val="none" w:color="000000" w:sz="4" w:space="0"/>
              <w:right w:val="none" w:color="000000" w:sz="4" w:space="0"/>
            </w:tcBorders>
            <w:tcW w:w="4881" w:type="dxa"/>
            <w:textDirection w:val="lrTb"/>
            <w:noWrap w:val="false"/>
          </w:tcPr>
          <w:p>
            <w:pPr>
              <w:spacing w:line="360" w:lineRule="exact"/>
              <w:rPr>
                <w:rFonts w:ascii="宋体" w:hAnsi="宋体" w:cs="宋体"/>
                <w:lang w:val="zh-CN"/>
              </w:rPr>
            </w:pPr>
            <w:r>
              <w:rPr>
                <w:rFonts w:ascii="宋体" w:hAnsi="宋体" w:cs="宋体"/>
                <w:lang w:val="zh-CN"/>
              </w:rPr>
            </w:r>
            <w:r/>
          </w:p>
        </w:tc>
        <w:tc>
          <w:tcPr>
            <w:tcBorders>
              <w:top w:val="none" w:color="000000" w:sz="4" w:space="0"/>
              <w:left w:val="none" w:color="000000" w:sz="4" w:space="0"/>
              <w:bottom w:val="none" w:color="000000" w:sz="4" w:space="0"/>
              <w:right w:val="none" w:color="000000" w:sz="4" w:space="0"/>
            </w:tcBorders>
            <w:tcW w:w="4532" w:type="dxa"/>
            <w:textDirection w:val="lrTb"/>
            <w:noWrap w:val="false"/>
          </w:tcPr>
          <w:p>
            <w:pPr>
              <w:spacing w:line="360" w:lineRule="exact"/>
              <w:rPr>
                <w:rFonts w:ascii="宋体" w:hAnsi="宋体" w:cs="宋体"/>
                <w:lang w:val="zh-CN"/>
              </w:rPr>
            </w:pPr>
            <w:r>
              <w:rPr>
                <w:rFonts w:ascii="宋体" w:hAnsi="宋体" w:cs="宋体"/>
                <w:lang w:val="zh-CN"/>
              </w:rPr>
            </w:r>
            <w:r/>
          </w:p>
        </w:tc>
      </w:tr>
      <w:tr>
        <w:trPr>
          <w:jc w:val="center"/>
        </w:trPr>
        <w:tc>
          <w:tcPr>
            <w:tcBorders>
              <w:top w:val="none" w:color="000000" w:sz="4" w:space="0"/>
              <w:left w:val="none" w:color="000000" w:sz="4" w:space="0"/>
              <w:bottom w:val="none" w:color="000000" w:sz="4" w:space="0"/>
              <w:right w:val="none" w:color="000000" w:sz="4" w:space="0"/>
            </w:tcBorders>
            <w:tcW w:w="4881" w:type="dxa"/>
            <w:textDirection w:val="lrTb"/>
            <w:noWrap w:val="false"/>
          </w:tcPr>
          <w:p>
            <w:pPr>
              <w:spacing w:line="360" w:lineRule="exact"/>
              <w:rPr>
                <w:rFonts w:ascii="宋体" w:hAnsi="宋体" w:cs="宋体"/>
                <w:lang w:val="zh-CN"/>
              </w:rPr>
            </w:pPr>
            <w:r>
              <w:rPr>
                <w:rFonts w:hint="eastAsia" w:ascii="宋体" w:hAnsi="宋体" w:cs="宋体"/>
              </w:rPr>
              <w:t xml:space="preserve">丙</w:t>
            </w:r>
            <w:r>
              <w:rPr>
                <w:rFonts w:hint="eastAsia" w:ascii="宋体" w:hAnsi="宋体" w:cs="宋体"/>
                <w:lang w:val="zh-CN"/>
              </w:rPr>
              <w:t xml:space="preserve">方（</w:t>
            </w:r>
            <w:r>
              <w:rPr>
                <w:rFonts w:hint="eastAsia" w:ascii="宋体" w:hAnsi="宋体" w:cs="宋体"/>
              </w:rPr>
              <w:t xml:space="preserve">集建方</w:t>
            </w:r>
            <w:r>
              <w:rPr>
                <w:rFonts w:hint="eastAsia" w:ascii="宋体" w:hAnsi="宋体" w:cs="宋体"/>
                <w:lang w:val="zh-CN"/>
              </w:rPr>
              <w:t xml:space="preserve">）：（盖章）</w:t>
            </w:r>
            <w:r/>
          </w:p>
        </w:tc>
        <w:tc>
          <w:tcPr>
            <w:tcBorders>
              <w:top w:val="none" w:color="000000" w:sz="4" w:space="0"/>
              <w:left w:val="none" w:color="000000" w:sz="4" w:space="0"/>
              <w:bottom w:val="none" w:color="000000" w:sz="4" w:space="0"/>
              <w:right w:val="none" w:color="000000" w:sz="4" w:space="0"/>
            </w:tcBorders>
            <w:tcW w:w="4532" w:type="dxa"/>
            <w:textDirection w:val="lrTb"/>
            <w:noWrap w:val="false"/>
          </w:tcPr>
          <w:p>
            <w:pPr>
              <w:spacing w:line="360" w:lineRule="exact"/>
              <w:rPr>
                <w:rFonts w:ascii="宋体" w:hAnsi="宋体" w:cs="宋体"/>
                <w:lang w:val="zh-CN"/>
              </w:rPr>
            </w:pPr>
            <w:r>
              <w:rPr>
                <w:rFonts w:ascii="宋体" w:hAnsi="宋体" w:cs="宋体"/>
                <w:lang w:val="zh-CN"/>
              </w:rPr>
            </w:r>
            <w:r/>
          </w:p>
        </w:tc>
      </w:tr>
      <w:tr>
        <w:trPr>
          <w:jc w:val="center"/>
        </w:trPr>
        <w:tc>
          <w:tcPr>
            <w:tcBorders>
              <w:top w:val="none" w:color="000000" w:sz="4" w:space="0"/>
              <w:left w:val="none" w:color="000000" w:sz="4" w:space="0"/>
              <w:bottom w:val="none" w:color="000000" w:sz="4" w:space="0"/>
              <w:right w:val="none" w:color="000000" w:sz="4" w:space="0"/>
            </w:tcBorders>
            <w:tcW w:w="4881" w:type="dxa"/>
            <w:textDirection w:val="lrTb"/>
            <w:noWrap w:val="false"/>
          </w:tcPr>
          <w:p>
            <w:pPr>
              <w:spacing w:line="360" w:lineRule="exact"/>
              <w:rPr>
                <w:rFonts w:ascii="宋体" w:hAnsi="宋体" w:cs="宋体"/>
                <w:lang w:val="zh-CN"/>
              </w:rPr>
            </w:pPr>
            <w:r>
              <w:rPr>
                <w:rFonts w:hint="eastAsia" w:ascii="宋体" w:hAnsi="宋体" w:cs="宋体"/>
                <w:lang w:val="zh-CN"/>
              </w:rPr>
              <w:t xml:space="preserve">代表人：</w:t>
            </w:r>
            <w:r/>
          </w:p>
        </w:tc>
        <w:tc>
          <w:tcPr>
            <w:tcBorders>
              <w:top w:val="none" w:color="000000" w:sz="4" w:space="0"/>
              <w:left w:val="none" w:color="000000" w:sz="4" w:space="0"/>
              <w:bottom w:val="none" w:color="000000" w:sz="4" w:space="0"/>
              <w:right w:val="none" w:color="000000" w:sz="4" w:space="0"/>
            </w:tcBorders>
            <w:tcW w:w="4532" w:type="dxa"/>
            <w:textDirection w:val="lrTb"/>
            <w:noWrap w:val="false"/>
          </w:tcPr>
          <w:p>
            <w:pPr>
              <w:spacing w:line="360" w:lineRule="exact"/>
              <w:rPr>
                <w:rFonts w:ascii="宋体" w:hAnsi="宋体" w:cs="宋体"/>
                <w:lang w:val="zh-CN"/>
              </w:rPr>
            </w:pPr>
            <w:r>
              <w:rPr>
                <w:rFonts w:ascii="宋体" w:hAnsi="宋体" w:cs="宋体"/>
                <w:lang w:val="zh-CN"/>
              </w:rPr>
            </w:r>
            <w:r/>
          </w:p>
        </w:tc>
      </w:tr>
      <w:tr>
        <w:trPr>
          <w:jc w:val="center"/>
        </w:trPr>
        <w:tc>
          <w:tcPr>
            <w:tcBorders>
              <w:top w:val="none" w:color="000000" w:sz="4" w:space="0"/>
              <w:left w:val="none" w:color="000000" w:sz="4" w:space="0"/>
              <w:bottom w:val="none" w:color="000000" w:sz="4" w:space="0"/>
              <w:right w:val="none" w:color="000000" w:sz="4" w:space="0"/>
            </w:tcBorders>
            <w:tcW w:w="4881" w:type="dxa"/>
            <w:textDirection w:val="lrTb"/>
            <w:noWrap w:val="false"/>
          </w:tcPr>
          <w:p>
            <w:pPr>
              <w:spacing w:line="360" w:lineRule="exact"/>
              <w:rPr>
                <w:rFonts w:ascii="宋体" w:hAnsi="宋体" w:cs="宋体"/>
                <w:lang w:val="zh-CN"/>
              </w:rPr>
            </w:pPr>
            <w:r>
              <w:rPr>
                <w:rFonts w:hint="eastAsia" w:ascii="宋体" w:hAnsi="宋体" w:cs="宋体"/>
                <w:lang w:val="zh-CN"/>
              </w:rPr>
              <w:t xml:space="preserve">电话：</w:t>
            </w:r>
            <w:r/>
          </w:p>
        </w:tc>
        <w:tc>
          <w:tcPr>
            <w:tcBorders>
              <w:top w:val="none" w:color="000000" w:sz="4" w:space="0"/>
              <w:left w:val="none" w:color="000000" w:sz="4" w:space="0"/>
              <w:bottom w:val="none" w:color="000000" w:sz="4" w:space="0"/>
              <w:right w:val="none" w:color="000000" w:sz="4" w:space="0"/>
            </w:tcBorders>
            <w:tcW w:w="4532" w:type="dxa"/>
            <w:textDirection w:val="lrTb"/>
            <w:noWrap w:val="false"/>
          </w:tcPr>
          <w:p>
            <w:pPr>
              <w:spacing w:line="360" w:lineRule="exact"/>
              <w:rPr>
                <w:rFonts w:ascii="宋体" w:hAnsi="宋体" w:cs="宋体"/>
                <w:lang w:val="zh-CN"/>
              </w:rPr>
            </w:pPr>
            <w:r>
              <w:rPr>
                <w:rFonts w:ascii="宋体" w:hAnsi="宋体" w:cs="宋体"/>
                <w:lang w:val="zh-CN"/>
              </w:rPr>
            </w:r>
            <w:r/>
          </w:p>
        </w:tc>
      </w:tr>
      <w:tr>
        <w:trPr>
          <w:jc w:val="center"/>
        </w:trPr>
        <w:tc>
          <w:tcPr>
            <w:tcBorders>
              <w:top w:val="none" w:color="000000" w:sz="4" w:space="0"/>
              <w:left w:val="none" w:color="000000" w:sz="4" w:space="0"/>
              <w:bottom w:val="none" w:color="000000" w:sz="4" w:space="0"/>
              <w:right w:val="none" w:color="000000" w:sz="4" w:space="0"/>
            </w:tcBorders>
            <w:tcW w:w="4881" w:type="dxa"/>
            <w:textDirection w:val="lrTb"/>
            <w:noWrap w:val="false"/>
          </w:tcPr>
          <w:p>
            <w:pPr>
              <w:spacing w:line="360" w:lineRule="exact"/>
              <w:rPr>
                <w:rFonts w:ascii="宋体" w:hAnsi="宋体" w:cs="宋体"/>
                <w:lang w:val="zh-CN"/>
              </w:rPr>
            </w:pPr>
            <w:r>
              <w:rPr>
                <w:rFonts w:hint="eastAsia" w:ascii="宋体" w:hAnsi="宋体" w:cs="宋体"/>
                <w:lang w:val="zh-CN"/>
              </w:rPr>
              <w:t xml:space="preserve">开户银行：</w:t>
            </w:r>
            <w:r/>
          </w:p>
        </w:tc>
        <w:tc>
          <w:tcPr>
            <w:tcBorders>
              <w:top w:val="none" w:color="000000" w:sz="4" w:space="0"/>
              <w:left w:val="none" w:color="000000" w:sz="4" w:space="0"/>
              <w:bottom w:val="none" w:color="000000" w:sz="4" w:space="0"/>
              <w:right w:val="none" w:color="000000" w:sz="4" w:space="0"/>
            </w:tcBorders>
            <w:tcW w:w="4532" w:type="dxa"/>
            <w:textDirection w:val="lrTb"/>
            <w:noWrap w:val="false"/>
          </w:tcPr>
          <w:p>
            <w:pPr>
              <w:spacing w:line="360" w:lineRule="exact"/>
              <w:rPr>
                <w:rFonts w:ascii="宋体" w:hAnsi="宋体" w:cs="宋体"/>
                <w:lang w:val="zh-CN"/>
              </w:rPr>
            </w:pPr>
            <w:r>
              <w:rPr>
                <w:rFonts w:ascii="宋体" w:hAnsi="宋体" w:cs="宋体"/>
                <w:lang w:val="zh-CN"/>
              </w:rPr>
            </w:r>
            <w:r/>
          </w:p>
        </w:tc>
      </w:tr>
      <w:tr>
        <w:trPr>
          <w:jc w:val="center"/>
        </w:trPr>
        <w:tc>
          <w:tcPr>
            <w:tcBorders>
              <w:top w:val="none" w:color="000000" w:sz="4" w:space="0"/>
              <w:left w:val="none" w:color="000000" w:sz="4" w:space="0"/>
              <w:bottom w:val="none" w:color="000000" w:sz="4" w:space="0"/>
              <w:right w:val="none" w:color="000000" w:sz="4" w:space="0"/>
            </w:tcBorders>
            <w:tcW w:w="4881" w:type="dxa"/>
            <w:textDirection w:val="lrTb"/>
            <w:noWrap w:val="false"/>
          </w:tcPr>
          <w:p>
            <w:pPr>
              <w:spacing w:line="360" w:lineRule="exact"/>
              <w:rPr>
                <w:rFonts w:ascii="宋体" w:hAnsi="宋体" w:cs="宋体"/>
                <w:lang w:val="zh-CN"/>
              </w:rPr>
            </w:pPr>
            <w:r>
              <w:rPr>
                <w:rFonts w:hint="eastAsia" w:ascii="宋体" w:hAnsi="宋体" w:cs="宋体"/>
                <w:lang w:val="zh-CN"/>
              </w:rPr>
              <w:t xml:space="preserve">帐号：</w:t>
            </w:r>
            <w:r/>
          </w:p>
        </w:tc>
        <w:tc>
          <w:tcPr>
            <w:tcBorders>
              <w:top w:val="none" w:color="000000" w:sz="4" w:space="0"/>
              <w:left w:val="none" w:color="000000" w:sz="4" w:space="0"/>
              <w:bottom w:val="none" w:color="000000" w:sz="4" w:space="0"/>
              <w:right w:val="none" w:color="000000" w:sz="4" w:space="0"/>
            </w:tcBorders>
            <w:tcW w:w="4532" w:type="dxa"/>
            <w:textDirection w:val="lrTb"/>
            <w:noWrap w:val="false"/>
          </w:tcPr>
          <w:p>
            <w:pPr>
              <w:spacing w:line="360" w:lineRule="exact"/>
              <w:rPr>
                <w:rFonts w:ascii="宋体" w:hAnsi="宋体" w:cs="宋体"/>
                <w:lang w:val="zh-CN"/>
              </w:rPr>
            </w:pPr>
            <w:r>
              <w:rPr>
                <w:rFonts w:ascii="宋体" w:hAnsi="宋体" w:cs="宋体"/>
                <w:lang w:val="zh-CN"/>
              </w:rPr>
            </w:r>
            <w:r/>
          </w:p>
        </w:tc>
      </w:tr>
      <w:tr>
        <w:trPr>
          <w:jc w:val="center"/>
        </w:trPr>
        <w:tc>
          <w:tcPr>
            <w:tcW w:w="4881" w:type="dxa"/>
            <w:textDirection w:val="lrTb"/>
            <w:noWrap w:val="false"/>
          </w:tcPr>
          <w:p>
            <w:pPr>
              <w:spacing w:line="360" w:lineRule="exact"/>
              <w:rPr>
                <w:rFonts w:ascii="宋体" w:hAnsi="宋体" w:cs="宋体"/>
                <w:lang w:val="zh-CN"/>
              </w:rPr>
            </w:pPr>
            <w:r>
              <w:rPr>
                <w:rFonts w:hint="eastAsia" w:ascii="宋体" w:hAnsi="宋体" w:cs="宋体"/>
                <w:lang w:val="zh-CN"/>
              </w:rPr>
              <w:t xml:space="preserve">日期：</w:t>
            </w:r>
            <w:r>
              <w:rPr>
                <w:rFonts w:hint="eastAsia" w:ascii="宋体" w:hAnsi="宋体" w:cs="宋体"/>
              </w:rPr>
              <w:t xml:space="preserve">  </w:t>
            </w:r>
            <w:r>
              <w:rPr>
                <w:rFonts w:hint="eastAsia" w:ascii="宋体" w:hAnsi="宋体" w:cs="宋体"/>
                <w:lang w:val="zh-CN"/>
              </w:rPr>
              <w:t xml:space="preserve">年</w:t>
            </w:r>
            <w:r>
              <w:rPr>
                <w:rFonts w:hint="eastAsia" w:ascii="宋体" w:hAnsi="宋体" w:cs="宋体"/>
              </w:rPr>
              <w:t xml:space="preserve">  </w:t>
            </w:r>
            <w:r>
              <w:rPr>
                <w:rFonts w:hint="eastAsia" w:ascii="宋体" w:hAnsi="宋体" w:cs="宋体"/>
                <w:lang w:val="zh-CN"/>
              </w:rPr>
              <w:t xml:space="preserve">月</w:t>
            </w:r>
            <w:r>
              <w:rPr>
                <w:rFonts w:hint="eastAsia" w:ascii="宋体" w:hAnsi="宋体" w:cs="宋体"/>
              </w:rPr>
              <w:t xml:space="preserve">  </w:t>
            </w:r>
            <w:r>
              <w:rPr>
                <w:rFonts w:hint="eastAsia" w:ascii="宋体" w:hAnsi="宋体" w:cs="宋体"/>
                <w:lang w:val="zh-CN"/>
              </w:rPr>
              <w:t xml:space="preserve">日</w:t>
            </w:r>
            <w:r/>
          </w:p>
        </w:tc>
        <w:tc>
          <w:tcPr>
            <w:tcW w:w="4532" w:type="dxa"/>
            <w:textDirection w:val="lrTb"/>
            <w:noWrap w:val="false"/>
          </w:tcPr>
          <w:p>
            <w:pPr>
              <w:spacing w:line="360" w:lineRule="exact"/>
              <w:rPr>
                <w:rFonts w:ascii="宋体" w:hAnsi="宋体" w:cs="宋体"/>
                <w:lang w:val="zh-CN"/>
              </w:rPr>
            </w:pPr>
            <w:r>
              <w:rPr>
                <w:rFonts w:ascii="宋体" w:hAnsi="宋体" w:cs="宋体"/>
                <w:lang w:val="zh-CN"/>
              </w:rPr>
            </w:r>
            <w:r/>
          </w:p>
        </w:tc>
      </w:tr>
    </w:tbl>
    <w:p>
      <w:pPr>
        <w:pStyle w:val="705"/>
        <w:rPr>
          <w:rFonts w:ascii="楷体" w:hAnsi="楷体" w:eastAsia="楷体" w:cs="宋体"/>
          <w:b/>
          <w:sz w:val="32"/>
          <w:szCs w:val="32"/>
        </w:rPr>
      </w:pPr>
      <w:r>
        <w:rPr>
          <w:rFonts w:ascii="楷体" w:hAnsi="楷体" w:eastAsia="楷体" w:cs="宋体"/>
          <w:b/>
          <w:sz w:val="32"/>
          <w:szCs w:val="32"/>
        </w:rPr>
      </w:r>
      <w:r/>
    </w:p>
    <w:p>
      <w:pPr>
        <w:jc w:val="right"/>
      </w:pPr>
      <w:r>
        <w:rPr>
          <w:color w:val="a6a6a6"/>
        </w:rPr>
        <w:t xml:space="preserve">AI生成</w:t>
      </w:r>
      <w:r/>
    </w:p>
    <w:p>
      <w:pPr>
        <w:jc w:val="right"/>
      </w:pPr>
      <w:r>
        <w:rPr>
          <w:vanish/>
          <w:color w:val="bfbfbf"/>
          <w:sz w:val="16"/>
        </w:rPr>
        <w:t xml:space="preserve">AIGC标识: 9a4f55b0-c482-4c76-92c1-fcc8f4f43ef5</w:t>
      </w:r>
      <w:r/>
    </w:p>
    <w:sectPr>
      <w:footerReference w:type="default" r:id="rId10"/>
      <w:footnotePr/>
      <w:endnotePr/>
      <w:type w:val="nextPage"/>
      <w:pgSz w:w="11906" w:h="16838" w:orient="portrait"/>
      <w:pgMar w:top="1440" w:right="1559" w:bottom="1440" w:left="1701"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Tahoma">
    <w:panose1 w:val="020B0604030504040204"/>
  </w:font>
  <w:font w:name="黑体">
    <w:panose1 w:val="02010609060101010101"/>
  </w:font>
  <w:font w:name="仿宋_GB2312">
    <w:panose1 w:val="02010609060101010101"/>
  </w:font>
  <w:font w:name="Courier New">
    <w:panose1 w:val="02070309020205020404"/>
  </w:font>
  <w:font w:name="Calibri">
    <w:panose1 w:val="020F0502020204030204"/>
  </w:font>
  <w:font w:name="楷体_GB2312">
    <w:panose1 w:val="02010609060101010101"/>
  </w:font>
  <w:font w:name="仿宋">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7457749"/>
      <w:rPr/>
    </w:sdtPr>
    <w:sdtContent>
      <w:p>
        <w:pPr>
          <w:pStyle w:val="704"/>
          <w:jc w:val="center"/>
        </w:pPr>
        <w:r>
          <w:fldChar w:fldCharType="begin"/>
        </w:r>
        <w:r>
          <w:instrText xml:space="preserve">PAGE   \* MERGEFORMAT</w:instrText>
        </w:r>
        <w:r>
          <w:fldChar w:fldCharType="separate"/>
        </w:r>
        <w:r>
          <w:rPr>
            <w:lang w:val="zh-CN"/>
          </w:rPr>
          <w:t xml:space="preserve">25</w:t>
        </w:r>
        <w:r>
          <w:rPr>
            <w:lang w:val="zh-CN"/>
          </w:rPr>
          <w:fldChar w:fldCharType="end"/>
        </w:r>
        <w:r/>
      </w:p>
    </w:sdtContent>
  </w:sdt>
  <w:p>
    <w:pPr>
      <w:pStyle w:val="70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04"/>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4"/>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ind w:left="420" w:hanging="420"/>
      </w:pPr>
      <w:rPr>
        <w:rFonts w:hint="eastAsia"/>
      </w:rPr>
    </w:lvl>
    <w:lvl w:ilvl="1">
      <w:start w:val="1"/>
      <w:numFmt w:val="lowerLetter"/>
      <w:pStyle w:val="902"/>
      <w:isLgl w:val="false"/>
      <w:suff w:val="space"/>
      <w:lvlText w:val="%2)"/>
      <w:lvlJc w:val="left"/>
      <w:pPr>
        <w:ind w:left="840" w:hanging="420"/>
      </w:pPr>
    </w:lvl>
    <w:lvl w:ilvl="2">
      <w:start w:val="1"/>
      <w:numFmt w:val="lowerRoman"/>
      <w:isLgl w:val="false"/>
      <w:suff w:val="space"/>
      <w:lvlText w:val="%3."/>
      <w:lvlJc w:val="right"/>
      <w:pPr>
        <w:ind w:left="1260" w:hanging="420"/>
      </w:pPr>
    </w:lvl>
    <w:lvl w:ilvl="3">
      <w:start w:val="1"/>
      <w:numFmt w:val="decimal"/>
      <w:isLgl w:val="false"/>
      <w:suff w:val="space"/>
      <w:lvlText w:val="%4."/>
      <w:lvlJc w:val="left"/>
      <w:pPr>
        <w:ind w:left="1680" w:hanging="420"/>
      </w:pPr>
    </w:lvl>
    <w:lvl w:ilvl="4">
      <w:start w:val="1"/>
      <w:numFmt w:val="lowerLetter"/>
      <w:isLgl w:val="false"/>
      <w:suff w:val="space"/>
      <w:lvlText w:val="%5)"/>
      <w:lvlJc w:val="left"/>
      <w:pPr>
        <w:ind w:left="2100" w:hanging="420"/>
      </w:pPr>
    </w:lvl>
    <w:lvl w:ilvl="5">
      <w:start w:val="1"/>
      <w:numFmt w:val="lowerRoman"/>
      <w:isLgl w:val="false"/>
      <w:suff w:val="space"/>
      <w:lvlText w:val="%6."/>
      <w:lvlJc w:val="right"/>
      <w:pPr>
        <w:ind w:left="2520" w:hanging="420"/>
      </w:pPr>
    </w:lvl>
    <w:lvl w:ilvl="6">
      <w:start w:val="1"/>
      <w:numFmt w:val="decimal"/>
      <w:isLgl w:val="false"/>
      <w:suff w:val="space"/>
      <w:lvlText w:val="%7."/>
      <w:lvlJc w:val="left"/>
      <w:pPr>
        <w:ind w:left="2940" w:hanging="420"/>
      </w:pPr>
    </w:lvl>
    <w:lvl w:ilvl="7">
      <w:start w:val="1"/>
      <w:numFmt w:val="lowerLetter"/>
      <w:isLgl w:val="false"/>
      <w:suff w:val="space"/>
      <w:lvlText w:val="%8)"/>
      <w:lvlJc w:val="left"/>
      <w:pPr>
        <w:ind w:left="3360" w:hanging="420"/>
      </w:pPr>
    </w:lvl>
    <w:lvl w:ilvl="8">
      <w:start w:val="1"/>
      <w:numFmt w:val="lowerRoman"/>
      <w:isLgl w:val="false"/>
      <w:suff w:val="space"/>
      <w:lvlText w:val="%9."/>
      <w:lvlJc w:val="right"/>
      <w:pPr>
        <w:ind w:left="3780" w:hanging="420"/>
      </w:pPr>
    </w:lvl>
  </w:abstractNum>
  <w:abstractNum w:abstractNumId="6">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6"/>
  </w:num>
  <w:num w:numId="3">
    <w:abstractNumId w:val="0"/>
  </w:num>
  <w:num w:numId="4">
    <w:abstractNumId w:val="2"/>
  </w:num>
  <w:num w:numId="5">
    <w:abstractNumId w:val="8"/>
  </w:num>
  <w:num w:numId="6">
    <w:abstractNumId w:val="1"/>
  </w:num>
  <w:num w:numId="7">
    <w:abstractNumId w:val="3"/>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1">
    <w:name w:val="Heading 5 Char"/>
    <w:basedOn w:val="684"/>
    <w:link w:val="679"/>
    <w:uiPriority w:val="9"/>
    <w:rPr>
      <w:rFonts w:ascii="Arial" w:hAnsi="Arial" w:eastAsia="Arial" w:cs="Arial"/>
      <w:b/>
      <w:bCs/>
      <w:sz w:val="24"/>
      <w:szCs w:val="24"/>
    </w:rPr>
  </w:style>
  <w:style w:type="character" w:styleId="23">
    <w:name w:val="Heading 6 Char"/>
    <w:basedOn w:val="684"/>
    <w:link w:val="680"/>
    <w:uiPriority w:val="9"/>
    <w:rPr>
      <w:rFonts w:ascii="Arial" w:hAnsi="Arial" w:eastAsia="Arial" w:cs="Arial"/>
      <w:b/>
      <w:bCs/>
      <w:sz w:val="22"/>
      <w:szCs w:val="22"/>
    </w:rPr>
  </w:style>
  <w:style w:type="character" w:styleId="25">
    <w:name w:val="Heading 7 Char"/>
    <w:basedOn w:val="684"/>
    <w:link w:val="681"/>
    <w:uiPriority w:val="9"/>
    <w:rPr>
      <w:rFonts w:ascii="Arial" w:hAnsi="Arial" w:eastAsia="Arial" w:cs="Arial"/>
      <w:b/>
      <w:bCs/>
      <w:i/>
      <w:iCs/>
      <w:sz w:val="22"/>
      <w:szCs w:val="22"/>
    </w:rPr>
  </w:style>
  <w:style w:type="character" w:styleId="27">
    <w:name w:val="Heading 8 Char"/>
    <w:basedOn w:val="684"/>
    <w:link w:val="682"/>
    <w:uiPriority w:val="9"/>
    <w:rPr>
      <w:rFonts w:ascii="Arial" w:hAnsi="Arial" w:eastAsia="Arial" w:cs="Arial"/>
      <w:i/>
      <w:iCs/>
      <w:sz w:val="22"/>
      <w:szCs w:val="22"/>
    </w:rPr>
  </w:style>
  <w:style w:type="character" w:styleId="29">
    <w:name w:val="Heading 9 Char"/>
    <w:basedOn w:val="684"/>
    <w:link w:val="683"/>
    <w:uiPriority w:val="9"/>
    <w:rPr>
      <w:rFonts w:ascii="Arial" w:hAnsi="Arial" w:eastAsia="Arial" w:cs="Arial"/>
      <w:i/>
      <w:iCs/>
      <w:sz w:val="21"/>
      <w:szCs w:val="21"/>
    </w:rPr>
  </w:style>
  <w:style w:type="character" w:styleId="34">
    <w:name w:val="Title Char"/>
    <w:basedOn w:val="684"/>
    <w:link w:val="718"/>
    <w:uiPriority w:val="10"/>
    <w:rPr>
      <w:sz w:val="48"/>
      <w:szCs w:val="48"/>
    </w:rPr>
  </w:style>
  <w:style w:type="character" w:styleId="36">
    <w:name w:val="Subtitle Char"/>
    <w:basedOn w:val="684"/>
    <w:link w:val="709"/>
    <w:uiPriority w:val="11"/>
    <w:rPr>
      <w:sz w:val="24"/>
      <w:szCs w:val="24"/>
    </w:rPr>
  </w:style>
  <w:style w:type="character" w:styleId="38">
    <w:name w:val="Quote Char"/>
    <w:link w:val="739"/>
    <w:uiPriority w:val="29"/>
    <w:rPr>
      <w:i/>
    </w:rPr>
  </w:style>
  <w:style w:type="character" w:styleId="40">
    <w:name w:val="Intense Quote Char"/>
    <w:link w:val="741"/>
    <w:uiPriority w:val="30"/>
    <w:rPr>
      <w:i/>
    </w:rPr>
  </w:style>
  <w:style w:type="table" w:styleId="49">
    <w:name w:val="Plain Table 1"/>
    <w:basedOn w:val="6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8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8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8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8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8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8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10"/>
    <w:uiPriority w:val="99"/>
    <w:rPr>
      <w:sz w:val="18"/>
    </w:rPr>
  </w:style>
  <w:style w:type="character" w:styleId="178">
    <w:name w:val="Endnote Text Char"/>
    <w:link w:val="702"/>
    <w:uiPriority w:val="99"/>
    <w:rPr>
      <w:sz w:val="20"/>
    </w:rPr>
  </w:style>
  <w:style w:type="paragraph" w:styleId="189">
    <w:name w:val="TOC Heading"/>
    <w:uiPriority w:val="39"/>
    <w:unhideWhenUsed/>
  </w:style>
  <w:style w:type="paragraph" w:styleId="674" w:default="1">
    <w:name w:val="Normal"/>
    <w:next w:val="686"/>
    <w:uiPriority w:val="0"/>
    <w:qFormat/>
    <w:pPr>
      <w:jc w:val="both"/>
      <w:widowControl w:val="off"/>
    </w:pPr>
    <w:rPr>
      <w:rFonts w:ascii="Times New Roman" w:hAnsi="Times New Roman" w:eastAsia="宋体" w:cs="Times New Roman"/>
      <w:sz w:val="24"/>
      <w:szCs w:val="24"/>
      <w:lang w:val="en-US" w:eastAsia="zh-CN" w:bidi="ar-SA"/>
    </w:rPr>
  </w:style>
  <w:style w:type="paragraph" w:styleId="675">
    <w:name w:val="Heading 1"/>
    <w:basedOn w:val="674"/>
    <w:next w:val="674"/>
    <w:uiPriority w:val="0"/>
    <w:qFormat/>
    <w:pPr>
      <w:keepLines/>
      <w:keepNext/>
      <w:spacing w:before="340" w:after="330" w:line="578" w:lineRule="auto"/>
      <w:outlineLvl w:val="0"/>
    </w:pPr>
    <w:rPr>
      <w:b/>
      <w:bCs/>
      <w:sz w:val="44"/>
      <w:szCs w:val="44"/>
    </w:rPr>
  </w:style>
  <w:style w:type="paragraph" w:styleId="676">
    <w:name w:val="Heading 2"/>
    <w:basedOn w:val="687"/>
    <w:next w:val="674"/>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77">
    <w:name w:val="Heading 3"/>
    <w:basedOn w:val="674"/>
    <w:next w:val="674"/>
    <w:uiPriority w:val="0"/>
    <w:qFormat/>
    <w:pPr>
      <w:keepLines/>
      <w:keepNext/>
      <w:spacing w:before="260" w:after="260" w:line="415" w:lineRule="auto"/>
      <w:outlineLvl w:val="2"/>
    </w:pPr>
    <w:rPr>
      <w:sz w:val="32"/>
      <w:szCs w:val="32"/>
    </w:rPr>
  </w:style>
  <w:style w:type="paragraph" w:styleId="678">
    <w:name w:val="Heading 4"/>
    <w:basedOn w:val="674"/>
    <w:next w:val="674"/>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79">
    <w:name w:val="Heading 5"/>
    <w:basedOn w:val="674"/>
    <w:next w:val="674"/>
    <w:link w:val="731"/>
    <w:uiPriority w:val="0"/>
    <w:unhideWhenUsed/>
    <w:qFormat/>
    <w:pPr>
      <w:keepLines/>
      <w:keepNext/>
      <w:spacing w:before="320" w:after="200"/>
      <w:outlineLvl w:val="4"/>
    </w:pPr>
    <w:rPr>
      <w:rFonts w:ascii="Arial" w:hAnsi="Arial" w:eastAsia="Arial" w:cs="Arial"/>
      <w:b/>
      <w:bCs/>
    </w:rPr>
  </w:style>
  <w:style w:type="paragraph" w:styleId="680">
    <w:name w:val="Heading 6"/>
    <w:basedOn w:val="674"/>
    <w:next w:val="674"/>
    <w:link w:val="732"/>
    <w:uiPriority w:val="0"/>
    <w:unhideWhenUsed/>
    <w:qFormat/>
    <w:pPr>
      <w:keepLines/>
      <w:keepNext/>
      <w:spacing w:before="320" w:after="200"/>
      <w:outlineLvl w:val="5"/>
    </w:pPr>
    <w:rPr>
      <w:rFonts w:ascii="Arial" w:hAnsi="Arial" w:eastAsia="Arial" w:cs="Arial"/>
      <w:b/>
      <w:bCs/>
      <w:sz w:val="22"/>
      <w:szCs w:val="22"/>
    </w:rPr>
  </w:style>
  <w:style w:type="paragraph" w:styleId="681">
    <w:name w:val="Heading 7"/>
    <w:basedOn w:val="674"/>
    <w:next w:val="674"/>
    <w:link w:val="733"/>
    <w:uiPriority w:val="0"/>
    <w:unhideWhenUsed/>
    <w:qFormat/>
    <w:pPr>
      <w:keepLines/>
      <w:keepNext/>
      <w:spacing w:before="320" w:after="200"/>
      <w:outlineLvl w:val="6"/>
    </w:pPr>
    <w:rPr>
      <w:rFonts w:ascii="Arial" w:hAnsi="Arial" w:eastAsia="Arial" w:cs="Arial"/>
      <w:b/>
      <w:bCs/>
      <w:i/>
      <w:iCs/>
      <w:sz w:val="22"/>
      <w:szCs w:val="22"/>
    </w:rPr>
  </w:style>
  <w:style w:type="paragraph" w:styleId="682">
    <w:name w:val="Heading 8"/>
    <w:basedOn w:val="674"/>
    <w:next w:val="674"/>
    <w:link w:val="734"/>
    <w:uiPriority w:val="0"/>
    <w:unhideWhenUsed/>
    <w:qFormat/>
    <w:pPr>
      <w:keepLines/>
      <w:keepNext/>
      <w:spacing w:before="320" w:after="200"/>
      <w:outlineLvl w:val="7"/>
    </w:pPr>
    <w:rPr>
      <w:rFonts w:ascii="Arial" w:hAnsi="Arial" w:eastAsia="Arial" w:cs="Arial"/>
      <w:i/>
      <w:iCs/>
      <w:sz w:val="22"/>
      <w:szCs w:val="22"/>
    </w:rPr>
  </w:style>
  <w:style w:type="paragraph" w:styleId="683">
    <w:name w:val="Heading 9"/>
    <w:basedOn w:val="674"/>
    <w:next w:val="674"/>
    <w:link w:val="735"/>
    <w:uiPriority w:val="0"/>
    <w:unhideWhenUsed/>
    <w:qFormat/>
    <w:pPr>
      <w:keepLines/>
      <w:keepNext/>
      <w:spacing w:before="320" w:after="200"/>
      <w:outlineLvl w:val="8"/>
    </w:pPr>
    <w:rPr>
      <w:rFonts w:ascii="Arial" w:hAnsi="Arial" w:eastAsia="Arial" w:cs="Arial"/>
      <w:i/>
      <w:iCs/>
      <w:sz w:val="21"/>
      <w:szCs w:val="21"/>
    </w:rPr>
  </w:style>
  <w:style w:type="character" w:styleId="684" w:default="1">
    <w:name w:val="Default Paragraph Font"/>
    <w:uiPriority w:val="1"/>
    <w:semiHidden/>
    <w:unhideWhenUsed/>
  </w:style>
  <w:style w:type="table" w:styleId="685" w:default="1">
    <w:name w:val="Normal Table"/>
    <w:uiPriority w:val="99"/>
    <w:semiHidden/>
    <w:unhideWhenUsed/>
    <w:qFormat/>
    <w:tblPr>
      <w:tblCellMar>
        <w:left w:w="108" w:type="dxa"/>
        <w:top w:w="0" w:type="dxa"/>
        <w:right w:w="108" w:type="dxa"/>
        <w:bottom w:w="0" w:type="dxa"/>
      </w:tblCellMar>
    </w:tblPr>
  </w:style>
  <w:style w:type="paragraph" w:styleId="686" w:customStyle="1">
    <w:name w:val="Default"/>
    <w:next w:val="674"/>
    <w:uiPriority w:val="99"/>
    <w:qFormat/>
    <w:pPr>
      <w:widowControl w:val="off"/>
    </w:pPr>
    <w:rPr>
      <w:rFonts w:ascii="仿宋" w:hAnsi="Times New Roman" w:eastAsia="仿宋" w:cs="仿宋"/>
      <w:color w:val="000000"/>
      <w:sz w:val="24"/>
      <w:szCs w:val="24"/>
      <w:lang w:val="en-US" w:eastAsia="zh-CN" w:bidi="ar-SA"/>
    </w:rPr>
  </w:style>
  <w:style w:type="paragraph" w:styleId="687">
    <w:name w:val="List Paragraph"/>
    <w:basedOn w:val="674"/>
    <w:uiPriority w:val="34"/>
    <w:qFormat/>
    <w:pPr>
      <w:ind w:firstLine="420"/>
    </w:pPr>
    <w:rPr>
      <w:rFonts w:eastAsia="Times New Roman"/>
    </w:rPr>
  </w:style>
  <w:style w:type="paragraph" w:styleId="688">
    <w:name w:val="toc 7"/>
    <w:basedOn w:val="674"/>
    <w:next w:val="674"/>
    <w:uiPriority w:val="39"/>
    <w:unhideWhenUsed/>
    <w:qFormat/>
    <w:pPr>
      <w:ind w:left="1701"/>
      <w:spacing w:after="57"/>
    </w:pPr>
  </w:style>
  <w:style w:type="paragraph" w:styleId="689">
    <w:name w:val="Normal Indent"/>
    <w:basedOn w:val="674"/>
    <w:next w:val="674"/>
    <w:uiPriority w:val="0"/>
    <w:qFormat/>
    <w:pPr>
      <w:ind w:firstLine="420"/>
    </w:pPr>
    <w:rPr>
      <w:szCs w:val="21"/>
    </w:rPr>
  </w:style>
  <w:style w:type="paragraph" w:styleId="690">
    <w:name w:val="Caption"/>
    <w:basedOn w:val="674"/>
    <w:next w:val="67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1">
    <w:name w:val="Document Map"/>
    <w:basedOn w:val="674"/>
    <w:link w:val="890"/>
    <w:uiPriority w:val="99"/>
    <w:unhideWhenUsed/>
    <w:qFormat/>
    <w:rPr>
      <w:rFonts w:ascii="宋体"/>
      <w:sz w:val="18"/>
      <w:szCs w:val="18"/>
    </w:rPr>
  </w:style>
  <w:style w:type="paragraph" w:styleId="692">
    <w:name w:val="annotation text"/>
    <w:basedOn w:val="674"/>
    <w:link w:val="891"/>
    <w:uiPriority w:val="99"/>
    <w:unhideWhenUsed/>
    <w:qFormat/>
    <w:pPr>
      <w:jc w:val="left"/>
    </w:pPr>
  </w:style>
  <w:style w:type="paragraph" w:styleId="693">
    <w:name w:val="Body Text"/>
    <w:basedOn w:val="674"/>
    <w:next w:val="694"/>
    <w:link w:val="884"/>
    <w:uiPriority w:val="0"/>
    <w:qFormat/>
    <w:pPr>
      <w:spacing w:after="120"/>
    </w:pPr>
  </w:style>
  <w:style w:type="paragraph" w:styleId="694">
    <w:name w:val="Body Text 2"/>
    <w:basedOn w:val="674"/>
    <w:uiPriority w:val="0"/>
    <w:qFormat/>
    <w:pPr>
      <w:jc w:val="center"/>
      <w:widowControl/>
    </w:pPr>
    <w:rPr>
      <w:rFonts w:ascii="楷体_GB2312" w:hAnsi="Calibri" w:eastAsia="楷体_GB2312"/>
      <w:sz w:val="28"/>
      <w:szCs w:val="28"/>
    </w:rPr>
  </w:style>
  <w:style w:type="paragraph" w:styleId="695">
    <w:name w:val="Body Text Indent"/>
    <w:basedOn w:val="674"/>
    <w:uiPriority w:val="0"/>
    <w:qFormat/>
    <w:pPr>
      <w:ind w:firstLine="645"/>
    </w:pPr>
    <w:rPr>
      <w:rFonts w:ascii="楷体_GB2312" w:hAnsi="Calibri" w:eastAsia="楷体_GB2312"/>
      <w:sz w:val="32"/>
      <w:szCs w:val="32"/>
    </w:rPr>
  </w:style>
  <w:style w:type="paragraph" w:styleId="696">
    <w:name w:val="Block Text"/>
    <w:basedOn w:val="674"/>
    <w:uiPriority w:val="0"/>
    <w:qFormat/>
    <w:pPr>
      <w:ind w:left="256" w:right="6" w:firstLine="624"/>
    </w:pPr>
    <w:rPr>
      <w:rFonts w:eastAsia="仿宋"/>
      <w:sz w:val="28"/>
      <w:szCs w:val="20"/>
    </w:rPr>
  </w:style>
  <w:style w:type="paragraph" w:styleId="697">
    <w:name w:val="toc 5"/>
    <w:basedOn w:val="674"/>
    <w:next w:val="674"/>
    <w:uiPriority w:val="39"/>
    <w:unhideWhenUsed/>
    <w:qFormat/>
    <w:pPr>
      <w:ind w:left="1134"/>
      <w:spacing w:after="57"/>
    </w:pPr>
  </w:style>
  <w:style w:type="paragraph" w:styleId="698">
    <w:name w:val="toc 3"/>
    <w:basedOn w:val="674"/>
    <w:next w:val="674"/>
    <w:uiPriority w:val="39"/>
    <w:qFormat/>
    <w:pPr>
      <w:ind w:left="420"/>
      <w:jc w:val="left"/>
    </w:pPr>
    <w:rPr>
      <w:i/>
      <w:iCs/>
      <w:sz w:val="20"/>
      <w:szCs w:val="20"/>
    </w:rPr>
  </w:style>
  <w:style w:type="paragraph" w:styleId="699">
    <w:name w:val="Plain Text"/>
    <w:basedOn w:val="674"/>
    <w:uiPriority w:val="0"/>
    <w:qFormat/>
    <w:rPr>
      <w:rFonts w:ascii="宋体" w:hAnsi="Courier New"/>
      <w:szCs w:val="22"/>
    </w:rPr>
  </w:style>
  <w:style w:type="paragraph" w:styleId="700">
    <w:name w:val="toc 8"/>
    <w:basedOn w:val="674"/>
    <w:next w:val="674"/>
    <w:uiPriority w:val="39"/>
    <w:unhideWhenUsed/>
    <w:qFormat/>
    <w:pPr>
      <w:ind w:left="1984"/>
      <w:spacing w:after="57"/>
    </w:pPr>
  </w:style>
  <w:style w:type="paragraph" w:styleId="701">
    <w:name w:val="Date"/>
    <w:basedOn w:val="674"/>
    <w:next w:val="674"/>
    <w:uiPriority w:val="0"/>
    <w:qFormat/>
    <w:rPr>
      <w:rFonts w:ascii="Calibri" w:hAnsi="Calibri"/>
    </w:rPr>
  </w:style>
  <w:style w:type="paragraph" w:styleId="702">
    <w:name w:val="endnote text"/>
    <w:basedOn w:val="674"/>
    <w:link w:val="872"/>
    <w:uiPriority w:val="99"/>
    <w:semiHidden/>
    <w:unhideWhenUsed/>
    <w:qFormat/>
    <w:rPr>
      <w:sz w:val="20"/>
    </w:rPr>
  </w:style>
  <w:style w:type="paragraph" w:styleId="703">
    <w:name w:val="Balloon Text"/>
    <w:basedOn w:val="674"/>
    <w:link w:val="889"/>
    <w:uiPriority w:val="99"/>
    <w:semiHidden/>
    <w:unhideWhenUsed/>
    <w:qFormat/>
    <w:rPr>
      <w:sz w:val="18"/>
      <w:szCs w:val="18"/>
    </w:rPr>
  </w:style>
  <w:style w:type="paragraph" w:styleId="704">
    <w:name w:val="Footer"/>
    <w:basedOn w:val="674"/>
    <w:link w:val="888"/>
    <w:uiPriority w:val="0"/>
    <w:unhideWhenUsed/>
    <w:qFormat/>
    <w:pPr>
      <w:jc w:val="left"/>
      <w:tabs>
        <w:tab w:val="center" w:pos="4153" w:leader="none"/>
        <w:tab w:val="right" w:pos="8306" w:leader="none"/>
      </w:tabs>
    </w:pPr>
    <w:rPr>
      <w:sz w:val="18"/>
      <w:szCs w:val="18"/>
    </w:rPr>
  </w:style>
  <w:style w:type="paragraph" w:styleId="705">
    <w:name w:val="envelope return"/>
    <w:basedOn w:val="674"/>
    <w:uiPriority w:val="0"/>
    <w:qFormat/>
    <w:rPr>
      <w:rFonts w:ascii="Arial" w:hAnsi="Arial"/>
    </w:rPr>
  </w:style>
  <w:style w:type="paragraph" w:styleId="706">
    <w:name w:val="Header"/>
    <w:basedOn w:val="674"/>
    <w:link w:val="887"/>
    <w:uiPriority w:val="0"/>
    <w:unhideWhenUsed/>
    <w:qFormat/>
    <w:pPr>
      <w:jc w:val="center"/>
      <w:tabs>
        <w:tab w:val="center" w:pos="4153" w:leader="none"/>
        <w:tab w:val="right" w:pos="8306" w:leader="none"/>
      </w:tabs>
      <w:pBdr>
        <w:bottom w:val="single" w:color="000000" w:sz="6" w:space="1"/>
      </w:pBdr>
    </w:pPr>
    <w:rPr>
      <w:sz w:val="18"/>
      <w:szCs w:val="18"/>
    </w:rPr>
  </w:style>
  <w:style w:type="paragraph" w:styleId="707">
    <w:name w:val="toc 1"/>
    <w:basedOn w:val="674"/>
    <w:next w:val="674"/>
    <w:uiPriority w:val="0"/>
    <w:qFormat/>
    <w:rPr>
      <w:rFonts w:ascii="宋体"/>
    </w:rPr>
  </w:style>
  <w:style w:type="paragraph" w:styleId="708">
    <w:name w:val="toc 4"/>
    <w:basedOn w:val="674"/>
    <w:next w:val="674"/>
    <w:uiPriority w:val="39"/>
    <w:unhideWhenUsed/>
    <w:qFormat/>
    <w:pPr>
      <w:ind w:left="850"/>
      <w:spacing w:after="57"/>
    </w:pPr>
  </w:style>
  <w:style w:type="paragraph" w:styleId="709">
    <w:name w:val="Subtitle"/>
    <w:basedOn w:val="674"/>
    <w:next w:val="674"/>
    <w:link w:val="738"/>
    <w:uiPriority w:val="0"/>
    <w:qFormat/>
    <w:pPr>
      <w:spacing w:before="200" w:after="200"/>
    </w:pPr>
  </w:style>
  <w:style w:type="paragraph" w:styleId="710">
    <w:name w:val="footnote text"/>
    <w:basedOn w:val="674"/>
    <w:link w:val="871"/>
    <w:uiPriority w:val="99"/>
    <w:semiHidden/>
    <w:unhideWhenUsed/>
    <w:qFormat/>
    <w:pPr>
      <w:spacing w:after="40"/>
    </w:pPr>
    <w:rPr>
      <w:sz w:val="18"/>
    </w:rPr>
  </w:style>
  <w:style w:type="paragraph" w:styleId="711">
    <w:name w:val="toc 6"/>
    <w:basedOn w:val="674"/>
    <w:next w:val="674"/>
    <w:uiPriority w:val="39"/>
    <w:unhideWhenUsed/>
    <w:qFormat/>
    <w:pPr>
      <w:ind w:left="1417"/>
      <w:spacing w:after="57"/>
    </w:pPr>
  </w:style>
  <w:style w:type="paragraph" w:styleId="712">
    <w:name w:val="Body Text Indent 3"/>
    <w:basedOn w:val="674"/>
    <w:link w:val="885"/>
    <w:uiPriority w:val="99"/>
    <w:qFormat/>
    <w:pPr>
      <w:jc w:val="center"/>
      <w:spacing w:line="500" w:lineRule="exact"/>
      <w:tabs>
        <w:tab w:val="left" w:pos="3240" w:leader="none"/>
      </w:tabs>
      <w:outlineLvl w:val="0"/>
    </w:pPr>
    <w:rPr>
      <w:rFonts w:ascii="Arial" w:hAnsi="Arial" w:eastAsia="仿宋_GB2312"/>
      <w:color w:val="ffff00"/>
      <w:sz w:val="32"/>
      <w:szCs w:val="20"/>
    </w:rPr>
  </w:style>
  <w:style w:type="paragraph" w:styleId="713">
    <w:name w:val="table of figures"/>
    <w:basedOn w:val="674"/>
    <w:next w:val="674"/>
    <w:uiPriority w:val="99"/>
    <w:unhideWhenUsed/>
    <w:qFormat/>
  </w:style>
  <w:style w:type="paragraph" w:styleId="714">
    <w:name w:val="toc 2"/>
    <w:basedOn w:val="674"/>
    <w:next w:val="674"/>
    <w:uiPriority w:val="39"/>
    <w:unhideWhenUsed/>
    <w:qFormat/>
    <w:pPr>
      <w:ind w:left="283"/>
      <w:spacing w:after="57"/>
    </w:pPr>
  </w:style>
  <w:style w:type="paragraph" w:styleId="715">
    <w:name w:val="toc 9"/>
    <w:basedOn w:val="674"/>
    <w:next w:val="674"/>
    <w:uiPriority w:val="39"/>
    <w:unhideWhenUsed/>
    <w:qFormat/>
    <w:pPr>
      <w:ind w:left="2268"/>
      <w:spacing w:after="57"/>
    </w:pPr>
  </w:style>
  <w:style w:type="paragraph" w:styleId="716">
    <w:name w:val="HTML Preformatted"/>
    <w:basedOn w:val="674"/>
    <w:uiPriority w:val="0"/>
    <w:unhideWhenUsed/>
    <w:qFormat/>
    <w:rPr>
      <w:rFonts w:ascii="Courier New" w:hAnsi="Courier New" w:cs="Courier New"/>
      <w:sz w:val="20"/>
    </w:rPr>
  </w:style>
  <w:style w:type="paragraph" w:styleId="717">
    <w:name w:val="Normal (Web)"/>
    <w:basedOn w:val="674"/>
    <w:uiPriority w:val="99"/>
    <w:qFormat/>
    <w:pPr>
      <w:jc w:val="left"/>
      <w:spacing w:before="150" w:after="150" w:line="480" w:lineRule="auto"/>
    </w:pPr>
    <w:rPr>
      <w:rFonts w:hint="eastAsia" w:ascii="宋体" w:hAnsi="宋体"/>
      <w:color w:val="000000"/>
    </w:rPr>
  </w:style>
  <w:style w:type="paragraph" w:styleId="718">
    <w:name w:val="Title"/>
    <w:basedOn w:val="674"/>
    <w:next w:val="674"/>
    <w:link w:val="737"/>
    <w:uiPriority w:val="0"/>
    <w:qFormat/>
    <w:pPr>
      <w:contextualSpacing/>
      <w:spacing w:before="300" w:after="200"/>
    </w:pPr>
    <w:rPr>
      <w:sz w:val="48"/>
      <w:szCs w:val="48"/>
    </w:rPr>
  </w:style>
  <w:style w:type="paragraph" w:styleId="719">
    <w:name w:val="annotation subject"/>
    <w:basedOn w:val="692"/>
    <w:next w:val="692"/>
    <w:link w:val="892"/>
    <w:uiPriority w:val="99"/>
    <w:semiHidden/>
    <w:unhideWhenUsed/>
    <w:qFormat/>
    <w:rPr>
      <w:b/>
      <w:bCs/>
    </w:rPr>
  </w:style>
  <w:style w:type="paragraph" w:styleId="720">
    <w:name w:val="Body Text First Indent 2"/>
    <w:basedOn w:val="695"/>
    <w:uiPriority w:val="0"/>
    <w:qFormat/>
    <w:pPr>
      <w:ind w:firstLine="420"/>
      <w:spacing w:line="360" w:lineRule="auto"/>
    </w:pPr>
    <w:rPr>
      <w:rFonts w:ascii="宋体" w:hAnsi="宋体"/>
      <w:sz w:val="21"/>
    </w:rPr>
  </w:style>
  <w:style w:type="table" w:styleId="721">
    <w:name w:val="Table Grid"/>
    <w:basedOn w:val="68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2">
    <w:name w:val="Strong"/>
    <w:basedOn w:val="684"/>
    <w:uiPriority w:val="22"/>
    <w:qFormat/>
    <w:rPr>
      <w:b/>
    </w:rPr>
  </w:style>
  <w:style w:type="character" w:styleId="723">
    <w:name w:val="endnote reference"/>
    <w:basedOn w:val="684"/>
    <w:uiPriority w:val="99"/>
    <w:semiHidden/>
    <w:unhideWhenUsed/>
    <w:qFormat/>
    <w:rPr>
      <w:vertAlign w:val="superscript"/>
    </w:rPr>
  </w:style>
  <w:style w:type="character" w:styleId="724">
    <w:name w:val="Hyperlink"/>
    <w:uiPriority w:val="99"/>
    <w:qFormat/>
    <w:rPr>
      <w:rFonts w:cs="Times New Roman"/>
      <w:color w:val="336699"/>
      <w:sz w:val="18"/>
      <w:u w:val="none"/>
    </w:rPr>
  </w:style>
  <w:style w:type="character" w:styleId="725">
    <w:name w:val="annotation reference"/>
    <w:basedOn w:val="684"/>
    <w:uiPriority w:val="99"/>
    <w:semiHidden/>
    <w:unhideWhenUsed/>
    <w:qFormat/>
    <w:rPr>
      <w:sz w:val="21"/>
      <w:szCs w:val="21"/>
    </w:rPr>
  </w:style>
  <w:style w:type="character" w:styleId="726">
    <w:name w:val="footnote reference"/>
    <w:basedOn w:val="684"/>
    <w:uiPriority w:val="99"/>
    <w:unhideWhenUsed/>
    <w:qFormat/>
    <w:rPr>
      <w:vertAlign w:val="superscript"/>
    </w:rPr>
  </w:style>
  <w:style w:type="character" w:styleId="727" w:customStyle="1">
    <w:name w:val="Heading 1 Char"/>
    <w:basedOn w:val="684"/>
    <w:uiPriority w:val="9"/>
    <w:qFormat/>
    <w:rPr>
      <w:rFonts w:ascii="Arial" w:hAnsi="Arial" w:eastAsia="Arial" w:cs="Arial"/>
      <w:sz w:val="40"/>
      <w:szCs w:val="40"/>
    </w:rPr>
  </w:style>
  <w:style w:type="character" w:styleId="728" w:customStyle="1">
    <w:name w:val="Heading 2 Char"/>
    <w:basedOn w:val="684"/>
    <w:uiPriority w:val="9"/>
    <w:qFormat/>
    <w:rPr>
      <w:rFonts w:ascii="Arial" w:hAnsi="Arial" w:eastAsia="Arial" w:cs="Arial"/>
      <w:sz w:val="34"/>
    </w:rPr>
  </w:style>
  <w:style w:type="character" w:styleId="729" w:customStyle="1">
    <w:name w:val="Heading 3 Char"/>
    <w:basedOn w:val="684"/>
    <w:uiPriority w:val="9"/>
    <w:qFormat/>
    <w:rPr>
      <w:rFonts w:ascii="Arial" w:hAnsi="Arial" w:eastAsia="Arial" w:cs="Arial"/>
      <w:sz w:val="30"/>
      <w:szCs w:val="30"/>
    </w:rPr>
  </w:style>
  <w:style w:type="character" w:styleId="730" w:customStyle="1">
    <w:name w:val="Heading 4 Char"/>
    <w:basedOn w:val="684"/>
    <w:uiPriority w:val="9"/>
    <w:qFormat/>
    <w:rPr>
      <w:rFonts w:ascii="Arial" w:hAnsi="Arial" w:eastAsia="Arial" w:cs="Arial"/>
      <w:b/>
      <w:bCs/>
      <w:sz w:val="26"/>
      <w:szCs w:val="26"/>
    </w:rPr>
  </w:style>
  <w:style w:type="character" w:styleId="731" w:customStyle="1">
    <w:name w:val="标题 5 字符"/>
    <w:basedOn w:val="684"/>
    <w:link w:val="679"/>
    <w:uiPriority w:val="9"/>
    <w:qFormat/>
    <w:rPr>
      <w:rFonts w:ascii="Arial" w:hAnsi="Arial" w:eastAsia="Arial" w:cs="Arial"/>
      <w:b/>
      <w:bCs/>
      <w:sz w:val="24"/>
      <w:szCs w:val="24"/>
    </w:rPr>
  </w:style>
  <w:style w:type="character" w:styleId="732" w:customStyle="1">
    <w:name w:val="标题 6 字符"/>
    <w:basedOn w:val="684"/>
    <w:link w:val="680"/>
    <w:uiPriority w:val="9"/>
    <w:qFormat/>
    <w:rPr>
      <w:rFonts w:ascii="Arial" w:hAnsi="Arial" w:eastAsia="Arial" w:cs="Arial"/>
      <w:b/>
      <w:bCs/>
      <w:sz w:val="22"/>
      <w:szCs w:val="22"/>
    </w:rPr>
  </w:style>
  <w:style w:type="character" w:styleId="733" w:customStyle="1">
    <w:name w:val="标题 7 字符"/>
    <w:basedOn w:val="684"/>
    <w:link w:val="681"/>
    <w:uiPriority w:val="9"/>
    <w:qFormat/>
    <w:rPr>
      <w:rFonts w:ascii="Arial" w:hAnsi="Arial" w:eastAsia="Arial" w:cs="Arial"/>
      <w:b/>
      <w:bCs/>
      <w:i/>
      <w:iCs/>
      <w:sz w:val="22"/>
      <w:szCs w:val="22"/>
    </w:rPr>
  </w:style>
  <w:style w:type="character" w:styleId="734" w:customStyle="1">
    <w:name w:val="标题 8 字符"/>
    <w:basedOn w:val="684"/>
    <w:link w:val="682"/>
    <w:uiPriority w:val="9"/>
    <w:qFormat/>
    <w:rPr>
      <w:rFonts w:ascii="Arial" w:hAnsi="Arial" w:eastAsia="Arial" w:cs="Arial"/>
      <w:i/>
      <w:iCs/>
      <w:sz w:val="22"/>
      <w:szCs w:val="22"/>
    </w:rPr>
  </w:style>
  <w:style w:type="character" w:styleId="735" w:customStyle="1">
    <w:name w:val="标题 9 字符"/>
    <w:basedOn w:val="684"/>
    <w:link w:val="683"/>
    <w:uiPriority w:val="9"/>
    <w:qFormat/>
    <w:rPr>
      <w:rFonts w:ascii="Arial" w:hAnsi="Arial" w:eastAsia="Arial" w:cs="Arial"/>
      <w:i/>
      <w:iCs/>
      <w:sz w:val="21"/>
      <w:szCs w:val="21"/>
    </w:rPr>
  </w:style>
  <w:style w:type="paragraph" w:styleId="736">
    <w:name w:val="No Spacing"/>
    <w:uiPriority w:val="1"/>
    <w:qFormat/>
    <w:rPr>
      <w:rFonts w:ascii="Times New Roman" w:hAnsi="Times New Roman" w:eastAsia="宋体" w:cs="Times New Roman"/>
      <w:lang w:val="en-US" w:eastAsia="zh-CN" w:bidi="ar-SA"/>
    </w:rPr>
  </w:style>
  <w:style w:type="character" w:styleId="737" w:customStyle="1">
    <w:name w:val="标题 字符"/>
    <w:basedOn w:val="684"/>
    <w:link w:val="718"/>
    <w:uiPriority w:val="10"/>
    <w:qFormat/>
    <w:rPr>
      <w:sz w:val="48"/>
      <w:szCs w:val="48"/>
    </w:rPr>
  </w:style>
  <w:style w:type="character" w:styleId="738" w:customStyle="1">
    <w:name w:val="副标题 字符"/>
    <w:basedOn w:val="684"/>
    <w:link w:val="709"/>
    <w:uiPriority w:val="11"/>
    <w:qFormat/>
    <w:rPr>
      <w:sz w:val="24"/>
      <w:szCs w:val="24"/>
    </w:rPr>
  </w:style>
  <w:style w:type="paragraph" w:styleId="739">
    <w:name w:val="Quote"/>
    <w:basedOn w:val="674"/>
    <w:next w:val="674"/>
    <w:link w:val="740"/>
    <w:uiPriority w:val="29"/>
    <w:qFormat/>
    <w:pPr>
      <w:ind w:left="720" w:right="720"/>
    </w:pPr>
    <w:rPr>
      <w:i/>
    </w:rPr>
  </w:style>
  <w:style w:type="character" w:styleId="740" w:customStyle="1">
    <w:name w:val="引用 字符"/>
    <w:link w:val="739"/>
    <w:uiPriority w:val="29"/>
    <w:qFormat/>
    <w:rPr>
      <w:i/>
    </w:rPr>
  </w:style>
  <w:style w:type="paragraph" w:styleId="741">
    <w:name w:val="Intense Quote"/>
    <w:basedOn w:val="674"/>
    <w:next w:val="674"/>
    <w:link w:val="7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customStyle="1">
    <w:name w:val="明显引用 字符"/>
    <w:link w:val="741"/>
    <w:uiPriority w:val="30"/>
    <w:qFormat/>
    <w:rPr>
      <w:i/>
    </w:rPr>
  </w:style>
  <w:style w:type="character" w:styleId="743" w:customStyle="1">
    <w:name w:val="Header Char"/>
    <w:basedOn w:val="684"/>
    <w:uiPriority w:val="99"/>
    <w:qFormat/>
  </w:style>
  <w:style w:type="character" w:styleId="744" w:customStyle="1">
    <w:name w:val="Footer Char"/>
    <w:basedOn w:val="684"/>
    <w:uiPriority w:val="99"/>
    <w:qFormat/>
  </w:style>
  <w:style w:type="character" w:styleId="745" w:customStyle="1">
    <w:name w:val="Caption Char"/>
    <w:uiPriority w:val="99"/>
    <w:qFormat/>
  </w:style>
  <w:style w:type="table" w:styleId="746" w:customStyle="1">
    <w:name w:val="Table Grid Light"/>
    <w:basedOn w:val="68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47" w:customStyle="1">
    <w:name w:val="无格式表格 11"/>
    <w:basedOn w:val="68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无格式表格 21"/>
    <w:basedOn w:val="68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无格式表格 31"/>
    <w:basedOn w:val="68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customStyle="1">
    <w:name w:val="无格式表格 41"/>
    <w:basedOn w:val="68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customStyle="1">
    <w:name w:val="无格式表格 51"/>
    <w:basedOn w:val="68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2" w:customStyle="1">
    <w:name w:val="网格表 1 浅色1"/>
    <w:basedOn w:val="68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1"/>
    <w:basedOn w:val="68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2"/>
    <w:basedOn w:val="68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3"/>
    <w:basedOn w:val="68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4"/>
    <w:basedOn w:val="68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5"/>
    <w:basedOn w:val="68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6"/>
    <w:basedOn w:val="68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9" w:customStyle="1">
    <w:name w:val="网格表 21"/>
    <w:basedOn w:val="68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0" w:customStyle="1">
    <w:name w:val="Grid Table 2 - Accent 1"/>
    <w:basedOn w:val="68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1" w:customStyle="1">
    <w:name w:val="Grid Table 2 - Accent 2"/>
    <w:basedOn w:val="68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2" w:customStyle="1">
    <w:name w:val="Grid Table 2 - Accent 3"/>
    <w:basedOn w:val="68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3" w:customStyle="1">
    <w:name w:val="Grid Table 2 - Accent 4"/>
    <w:basedOn w:val="68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4" w:customStyle="1">
    <w:name w:val="Grid Table 2 - Accent 5"/>
    <w:basedOn w:val="68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5" w:customStyle="1">
    <w:name w:val="Grid Table 2 - Accent 6"/>
    <w:basedOn w:val="68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6" w:customStyle="1">
    <w:name w:val="网格表 31"/>
    <w:basedOn w:val="68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1"/>
    <w:basedOn w:val="68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2"/>
    <w:basedOn w:val="68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3"/>
    <w:basedOn w:val="68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4"/>
    <w:basedOn w:val="68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5"/>
    <w:basedOn w:val="68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6"/>
    <w:basedOn w:val="68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网格表 41"/>
    <w:basedOn w:val="68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customStyle="1">
    <w:name w:val="Grid Table 4 - Accent 1"/>
    <w:basedOn w:val="68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5" w:customStyle="1">
    <w:name w:val="Grid Table 4 - Accent 2"/>
    <w:basedOn w:val="68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6" w:customStyle="1">
    <w:name w:val="Grid Table 4 - Accent 3"/>
    <w:basedOn w:val="68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7" w:customStyle="1">
    <w:name w:val="Grid Table 4 - Accent 4"/>
    <w:basedOn w:val="68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8" w:customStyle="1">
    <w:name w:val="Grid Table 4 - Accent 5"/>
    <w:basedOn w:val="68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9" w:customStyle="1">
    <w:name w:val="Grid Table 4 - Accent 6"/>
    <w:basedOn w:val="68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0" w:customStyle="1">
    <w:name w:val="网格表 5 深色1"/>
    <w:basedOn w:val="6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1" w:customStyle="1">
    <w:name w:val="Grid Table 5 Dark- Accent 1"/>
    <w:basedOn w:val="6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2" w:customStyle="1">
    <w:name w:val="Grid Table 5 Dark - Accent 2"/>
    <w:basedOn w:val="6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3" w:customStyle="1">
    <w:name w:val="Grid Table 5 Dark - Accent 3"/>
    <w:basedOn w:val="6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4" w:customStyle="1">
    <w:name w:val="Grid Table 5 Dark- Accent 4"/>
    <w:basedOn w:val="6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5" w:customStyle="1">
    <w:name w:val="Grid Table 5 Dark - Accent 5"/>
    <w:basedOn w:val="6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6" w:customStyle="1">
    <w:name w:val="Grid Table 5 Dark - Accent 6"/>
    <w:basedOn w:val="6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7" w:customStyle="1">
    <w:name w:val="网格表 6 彩色1"/>
    <w:basedOn w:val="68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8" w:customStyle="1">
    <w:name w:val="Grid Table 6 Colorful - Accent 1"/>
    <w:basedOn w:val="68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9" w:customStyle="1">
    <w:name w:val="Grid Table 6 Colorful - Accent 2"/>
    <w:basedOn w:val="68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0" w:customStyle="1">
    <w:name w:val="Grid Table 6 Colorful - Accent 3"/>
    <w:basedOn w:val="68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91" w:customStyle="1">
    <w:name w:val="Grid Table 6 Colorful - Accent 4"/>
    <w:basedOn w:val="68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2" w:customStyle="1">
    <w:name w:val="Grid Table 6 Colorful - Accent 5"/>
    <w:basedOn w:val="68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3" w:customStyle="1">
    <w:name w:val="Grid Table 6 Colorful - Accent 6"/>
    <w:basedOn w:val="68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4" w:customStyle="1">
    <w:name w:val="网格表 7 彩色1"/>
    <w:basedOn w:val="68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5" w:customStyle="1">
    <w:name w:val="Grid Table 7 Colorful - Accent 1"/>
    <w:basedOn w:val="68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6" w:customStyle="1">
    <w:name w:val="Grid Table 7 Colorful - Accent 2"/>
    <w:basedOn w:val="68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7" w:customStyle="1">
    <w:name w:val="Grid Table 7 Colorful - Accent 3"/>
    <w:basedOn w:val="68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8" w:customStyle="1">
    <w:name w:val="Grid Table 7 Colorful - Accent 4"/>
    <w:basedOn w:val="68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9" w:customStyle="1">
    <w:name w:val="Grid Table 7 Colorful - Accent 5"/>
    <w:basedOn w:val="68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0" w:customStyle="1">
    <w:name w:val="Grid Table 7 Colorful - Accent 6"/>
    <w:basedOn w:val="68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1" w:customStyle="1">
    <w:name w:val="清单表 1 浅色1"/>
    <w:basedOn w:val="68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customStyle="1">
    <w:name w:val="List Table 1 Light - Accent 1"/>
    <w:basedOn w:val="685"/>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3" w:customStyle="1">
    <w:name w:val="List Table 1 Light - Accent 2"/>
    <w:basedOn w:val="685"/>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4" w:customStyle="1">
    <w:name w:val="List Table 1 Light - Accent 3"/>
    <w:basedOn w:val="685"/>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5" w:customStyle="1">
    <w:name w:val="List Table 1 Light - Accent 4"/>
    <w:basedOn w:val="685"/>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6" w:customStyle="1">
    <w:name w:val="List Table 1 Light - Accent 5"/>
    <w:basedOn w:val="685"/>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7" w:customStyle="1">
    <w:name w:val="List Table 1 Light - Accent 6"/>
    <w:basedOn w:val="685"/>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8" w:customStyle="1">
    <w:name w:val="清单表 21"/>
    <w:basedOn w:val="68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9" w:customStyle="1">
    <w:name w:val="List Table 2 - Accent 1"/>
    <w:basedOn w:val="68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0" w:customStyle="1">
    <w:name w:val="List Table 2 - Accent 2"/>
    <w:basedOn w:val="68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1" w:customStyle="1">
    <w:name w:val="List Table 2 - Accent 3"/>
    <w:basedOn w:val="68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2" w:customStyle="1">
    <w:name w:val="List Table 2 - Accent 4"/>
    <w:basedOn w:val="68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3" w:customStyle="1">
    <w:name w:val="List Table 2 - Accent 5"/>
    <w:basedOn w:val="68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4" w:customStyle="1">
    <w:name w:val="List Table 2 - Accent 6"/>
    <w:basedOn w:val="68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5" w:customStyle="1">
    <w:name w:val="清单表 31"/>
    <w:basedOn w:val="68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3 - Accent 1"/>
    <w:basedOn w:val="68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7" w:customStyle="1">
    <w:name w:val="List Table 3 - Accent 2"/>
    <w:basedOn w:val="68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8" w:customStyle="1">
    <w:name w:val="List Table 3 - Accent 3"/>
    <w:basedOn w:val="68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9" w:customStyle="1">
    <w:name w:val="List Table 3 - Accent 4"/>
    <w:basedOn w:val="68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0" w:customStyle="1">
    <w:name w:val="List Table 3 - Accent 5"/>
    <w:basedOn w:val="68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1" w:customStyle="1">
    <w:name w:val="List Table 3 - Accent 6"/>
    <w:basedOn w:val="68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2" w:customStyle="1">
    <w:name w:val="清单表 41"/>
    <w:basedOn w:val="68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4 - Accent 1"/>
    <w:basedOn w:val="68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4" w:customStyle="1">
    <w:name w:val="List Table 4 - Accent 2"/>
    <w:basedOn w:val="68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5" w:customStyle="1">
    <w:name w:val="List Table 4 - Accent 3"/>
    <w:basedOn w:val="68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6" w:customStyle="1">
    <w:name w:val="List Table 4 - Accent 4"/>
    <w:basedOn w:val="68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7" w:customStyle="1">
    <w:name w:val="List Table 4 - Accent 5"/>
    <w:basedOn w:val="68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8" w:customStyle="1">
    <w:name w:val="List Table 4 - Accent 6"/>
    <w:basedOn w:val="68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9" w:customStyle="1">
    <w:name w:val="清单表 5 深色1"/>
    <w:basedOn w:val="68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1"/>
    <w:basedOn w:val="68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2"/>
    <w:basedOn w:val="68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3"/>
    <w:basedOn w:val="68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4"/>
    <w:basedOn w:val="68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5"/>
    <w:basedOn w:val="68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6"/>
    <w:basedOn w:val="68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清单表 6 彩色1"/>
    <w:basedOn w:val="68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7" w:customStyle="1">
    <w:name w:val="List Table 6 Colorful - Accent 1"/>
    <w:basedOn w:val="685"/>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8" w:customStyle="1">
    <w:name w:val="List Table 6 Colorful - Accent 2"/>
    <w:basedOn w:val="685"/>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9" w:customStyle="1">
    <w:name w:val="List Table 6 Colorful - Accent 3"/>
    <w:basedOn w:val="685"/>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0" w:customStyle="1">
    <w:name w:val="List Table 6 Colorful - Accent 4"/>
    <w:basedOn w:val="685"/>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1" w:customStyle="1">
    <w:name w:val="List Table 6 Colorful - Accent 5"/>
    <w:basedOn w:val="685"/>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2" w:customStyle="1">
    <w:name w:val="List Table 6 Colorful - Accent 6"/>
    <w:basedOn w:val="685"/>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3" w:customStyle="1">
    <w:name w:val="清单表 7 彩色1"/>
    <w:basedOn w:val="68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List Table 7 Colorful - Accent 1"/>
    <w:basedOn w:val="685"/>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5" w:customStyle="1">
    <w:name w:val="List Table 7 Colorful - Accent 2"/>
    <w:basedOn w:val="685"/>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6" w:customStyle="1">
    <w:name w:val="List Table 7 Colorful - Accent 3"/>
    <w:basedOn w:val="685"/>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7" w:customStyle="1">
    <w:name w:val="List Table 7 Colorful - Accent 4"/>
    <w:basedOn w:val="685"/>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List Table 7 Colorful - Accent 5"/>
    <w:basedOn w:val="685"/>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9" w:customStyle="1">
    <w:name w:val="List Table 7 Colorful - Accent 6"/>
    <w:basedOn w:val="685"/>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0" w:customStyle="1">
    <w:name w:val="Lined - Accent"/>
    <w:basedOn w:val="6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1" w:customStyle="1">
    <w:name w:val="Lined - Accent 1"/>
    <w:basedOn w:val="6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2" w:customStyle="1">
    <w:name w:val="Lined - Accent 2"/>
    <w:basedOn w:val="6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3" w:customStyle="1">
    <w:name w:val="Lined - Accent 3"/>
    <w:basedOn w:val="6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4" w:customStyle="1">
    <w:name w:val="Lined - Accent 4"/>
    <w:basedOn w:val="6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5" w:customStyle="1">
    <w:name w:val="Lined - Accent 5"/>
    <w:basedOn w:val="6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6" w:customStyle="1">
    <w:name w:val="Lined - Accent 6"/>
    <w:basedOn w:val="6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7" w:customStyle="1">
    <w:name w:val="Bordered &amp; Lined - Accent"/>
    <w:basedOn w:val="68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8" w:customStyle="1">
    <w:name w:val="Bordered &amp; Lined - Accent 1"/>
    <w:basedOn w:val="68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9" w:customStyle="1">
    <w:name w:val="Bordered &amp; Lined - Accent 2"/>
    <w:basedOn w:val="68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0" w:customStyle="1">
    <w:name w:val="Bordered &amp; Lined - Accent 3"/>
    <w:basedOn w:val="68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1" w:customStyle="1">
    <w:name w:val="Bordered &amp; Lined - Accent 4"/>
    <w:basedOn w:val="68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2" w:customStyle="1">
    <w:name w:val="Bordered &amp; Lined - Accent 5"/>
    <w:basedOn w:val="68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3" w:customStyle="1">
    <w:name w:val="Bordered &amp; Lined - Accent 6"/>
    <w:basedOn w:val="68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4" w:customStyle="1">
    <w:name w:val="Bordered"/>
    <w:basedOn w:val="68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5" w:customStyle="1">
    <w:name w:val="Bordered - Accent 1"/>
    <w:basedOn w:val="68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6" w:customStyle="1">
    <w:name w:val="Bordered - Accent 2"/>
    <w:basedOn w:val="68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7" w:customStyle="1">
    <w:name w:val="Bordered - Accent 3"/>
    <w:basedOn w:val="68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8" w:customStyle="1">
    <w:name w:val="Bordered - Accent 4"/>
    <w:basedOn w:val="68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9" w:customStyle="1">
    <w:name w:val="Bordered - Accent 5"/>
    <w:basedOn w:val="68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0" w:customStyle="1">
    <w:name w:val="Bordered - Accent 6"/>
    <w:basedOn w:val="68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1" w:customStyle="1">
    <w:name w:val="脚注文本 字符"/>
    <w:link w:val="710"/>
    <w:uiPriority w:val="99"/>
    <w:qFormat/>
    <w:rPr>
      <w:sz w:val="18"/>
    </w:rPr>
  </w:style>
  <w:style w:type="character" w:styleId="872" w:customStyle="1">
    <w:name w:val="尾注文本 字符"/>
    <w:link w:val="702"/>
    <w:uiPriority w:val="99"/>
    <w:qFormat/>
    <w:rPr>
      <w:sz w:val="20"/>
    </w:rPr>
  </w:style>
  <w:style w:type="paragraph" w:styleId="873" w:customStyle="1">
    <w:name w:val="TOC 标题1"/>
    <w:uiPriority w:val="39"/>
    <w:unhideWhenUsed/>
    <w:qFormat/>
    <w:rPr>
      <w:rFonts w:ascii="Times New Roman" w:hAnsi="Times New Roman" w:eastAsia="宋体" w:cs="Times New Roman"/>
      <w:lang w:val="en-US" w:eastAsia="zh-CN" w:bidi="ar-SA"/>
    </w:rPr>
  </w:style>
  <w:style w:type="paragraph" w:styleId="874" w:customStyle="1">
    <w:name w:val="正文首行缩进 211"/>
    <w:basedOn w:val="875"/>
    <w:next w:val="877"/>
    <w:uiPriority w:val="0"/>
    <w:qFormat/>
    <w:pPr>
      <w:ind w:left="0" w:firstLine="420"/>
      <w:spacing w:after="0" w:line="360" w:lineRule="auto"/>
    </w:pPr>
    <w:rPr>
      <w:rFonts w:ascii="宋体" w:hAnsi="宋体"/>
      <w:szCs w:val="20"/>
    </w:rPr>
  </w:style>
  <w:style w:type="paragraph" w:styleId="875" w:customStyle="1">
    <w:name w:val="正文文本缩进11"/>
    <w:basedOn w:val="674"/>
    <w:next w:val="876"/>
    <w:uiPriority w:val="0"/>
    <w:unhideWhenUsed/>
    <w:qFormat/>
    <w:pPr>
      <w:ind w:left="420"/>
      <w:spacing w:after="120"/>
    </w:pPr>
  </w:style>
  <w:style w:type="paragraph" w:styleId="876" w:customStyle="1">
    <w:name w:val="寄信人地址11"/>
    <w:basedOn w:val="674"/>
    <w:uiPriority w:val="0"/>
    <w:qFormat/>
    <w:rPr>
      <w:rFonts w:ascii="Arial" w:hAnsi="Arial"/>
    </w:rPr>
  </w:style>
  <w:style w:type="paragraph" w:styleId="877" w:customStyle="1">
    <w:name w:val="样式 标题 3 + (中文) 黑体 小四 非加粗 段前: 7.8 磅 段后: 0 磅 行距: 固定值 20 磅_0"/>
    <w:basedOn w:val="878"/>
    <w:uiPriority w:val="0"/>
    <w:qFormat/>
    <w:pPr>
      <w:spacing w:before="0" w:after="0" w:line="400" w:lineRule="exact"/>
    </w:pPr>
    <w:rPr>
      <w:rFonts w:ascii="Times New Roman" w:hAnsi="Times New Roman" w:eastAsia="黑体" w:cs="宋体"/>
      <w:b w:val="0"/>
      <w:bCs w:val="0"/>
      <w:sz w:val="21"/>
      <w:szCs w:val="20"/>
    </w:rPr>
  </w:style>
  <w:style w:type="paragraph" w:styleId="878" w:customStyle="1">
    <w:name w:val="标题 3_0"/>
    <w:basedOn w:val="879"/>
    <w:next w:val="880"/>
    <w:uiPriority w:val="0"/>
    <w:qFormat/>
    <w:pPr>
      <w:keepLines/>
      <w:keepNext/>
      <w:spacing w:before="260" w:after="260" w:line="416" w:lineRule="auto"/>
      <w:outlineLvl w:val="2"/>
    </w:pPr>
    <w:rPr>
      <w:rFonts w:eastAsia="宋体"/>
      <w:b/>
      <w:bCs/>
      <w:sz w:val="32"/>
      <w:szCs w:val="32"/>
    </w:rPr>
  </w:style>
  <w:style w:type="paragraph" w:styleId="879" w:customStyle="1">
    <w:name w:val="正文_0"/>
    <w:next w:val="874"/>
    <w:uiPriority w:val="0"/>
    <w:qFormat/>
    <w:pPr>
      <w:jc w:val="both"/>
      <w:widowControl w:val="off"/>
    </w:pPr>
    <w:rPr>
      <w:rFonts w:ascii="Calibri" w:hAnsi="Calibri" w:eastAsia="仿宋_GB2312" w:cs="Times New Roman"/>
      <w:sz w:val="21"/>
      <w:szCs w:val="22"/>
      <w:lang w:val="en-US" w:eastAsia="zh-CN" w:bidi="ar-SA"/>
    </w:rPr>
  </w:style>
  <w:style w:type="paragraph" w:styleId="880" w:customStyle="1">
    <w:name w:val="正文_1"/>
    <w:next w:val="874"/>
    <w:uiPriority w:val="0"/>
    <w:qFormat/>
    <w:pPr>
      <w:jc w:val="both"/>
      <w:widowControl w:val="off"/>
    </w:pPr>
    <w:rPr>
      <w:rFonts w:ascii="Calibri" w:hAnsi="Calibri" w:eastAsia="仿宋_GB2312" w:cs="Times New Roman"/>
      <w:sz w:val="21"/>
      <w:szCs w:val="22"/>
      <w:lang w:val="en-US" w:eastAsia="zh-CN" w:bidi="ar-SA"/>
    </w:rPr>
  </w:style>
  <w:style w:type="paragraph" w:styleId="881" w:customStyle="1">
    <w:name w:val="列出段落1"/>
    <w:basedOn w:val="674"/>
    <w:uiPriority w:val="0"/>
    <w:qFormat/>
    <w:pPr>
      <w:ind w:firstLine="420"/>
    </w:pPr>
    <w:rPr>
      <w:szCs w:val="22"/>
    </w:rPr>
  </w:style>
  <w:style w:type="character" w:styleId="882" w:customStyle="1">
    <w:name w:val="正文文本 Char"/>
    <w:basedOn w:val="684"/>
    <w:uiPriority w:val="99"/>
    <w:semiHidden/>
    <w:qFormat/>
    <w:rPr>
      <w:rFonts w:ascii="Times New Roman" w:hAnsi="Times New Roman" w:eastAsia="宋体" w:cs="Times New Roman"/>
      <w:sz w:val="24"/>
      <w:szCs w:val="24"/>
    </w:rPr>
  </w:style>
  <w:style w:type="character" w:styleId="883" w:customStyle="1">
    <w:name w:val="正文文本缩进 3 Char"/>
    <w:basedOn w:val="684"/>
    <w:uiPriority w:val="99"/>
    <w:semiHidden/>
    <w:qFormat/>
    <w:rPr>
      <w:rFonts w:ascii="Times New Roman" w:hAnsi="Times New Roman" w:eastAsia="宋体" w:cs="Times New Roman"/>
      <w:sz w:val="16"/>
      <w:szCs w:val="16"/>
    </w:rPr>
  </w:style>
  <w:style w:type="character" w:styleId="884" w:customStyle="1">
    <w:name w:val="正文文本 字符"/>
    <w:link w:val="693"/>
    <w:uiPriority w:val="99"/>
    <w:qFormat/>
    <w:rPr>
      <w:rFonts w:ascii="Times New Roman" w:hAnsi="Times New Roman" w:eastAsia="宋体" w:cs="Times New Roman"/>
      <w:sz w:val="24"/>
      <w:szCs w:val="24"/>
    </w:rPr>
  </w:style>
  <w:style w:type="character" w:styleId="885" w:customStyle="1">
    <w:name w:val="正文文本缩进 3 字符"/>
    <w:link w:val="712"/>
    <w:uiPriority w:val="99"/>
    <w:qFormat/>
    <w:rPr>
      <w:rFonts w:ascii="Arial" w:hAnsi="Arial" w:eastAsia="仿宋_GB2312"/>
      <w:color w:val="ffff00"/>
      <w:sz w:val="32"/>
    </w:rPr>
  </w:style>
  <w:style w:type="paragraph" w:styleId="886" w:customStyle="1">
    <w:name w:val="WPS Plain"/>
    <w:uiPriority w:val="0"/>
    <w:qFormat/>
    <w:rPr>
      <w:rFonts w:ascii="Times New Roman" w:hAnsi="Times New Roman" w:eastAsia="宋体" w:cs="Times New Roman"/>
      <w:lang w:val="en-US" w:eastAsia="zh-CN" w:bidi="ar-SA"/>
    </w:rPr>
  </w:style>
  <w:style w:type="character" w:styleId="887" w:customStyle="1">
    <w:name w:val="页眉 字符"/>
    <w:basedOn w:val="684"/>
    <w:link w:val="706"/>
    <w:uiPriority w:val="0"/>
    <w:qFormat/>
    <w:rPr>
      <w:rFonts w:ascii="Times New Roman" w:hAnsi="Times New Roman" w:eastAsia="宋体" w:cs="Times New Roman"/>
      <w:sz w:val="18"/>
      <w:szCs w:val="18"/>
    </w:rPr>
  </w:style>
  <w:style w:type="character" w:styleId="888" w:customStyle="1">
    <w:name w:val="页脚 字符"/>
    <w:basedOn w:val="684"/>
    <w:link w:val="704"/>
    <w:uiPriority w:val="0"/>
    <w:qFormat/>
    <w:rPr>
      <w:rFonts w:ascii="Times New Roman" w:hAnsi="Times New Roman" w:eastAsia="宋体" w:cs="Times New Roman"/>
      <w:sz w:val="18"/>
      <w:szCs w:val="18"/>
    </w:rPr>
  </w:style>
  <w:style w:type="character" w:styleId="889" w:customStyle="1">
    <w:name w:val="批注框文本 字符"/>
    <w:basedOn w:val="684"/>
    <w:link w:val="703"/>
    <w:uiPriority w:val="99"/>
    <w:semiHidden/>
    <w:qFormat/>
    <w:rPr>
      <w:rFonts w:ascii="Times New Roman" w:hAnsi="Times New Roman" w:eastAsia="宋体" w:cs="Times New Roman"/>
      <w:sz w:val="18"/>
      <w:szCs w:val="18"/>
    </w:rPr>
  </w:style>
  <w:style w:type="character" w:styleId="890" w:customStyle="1">
    <w:name w:val="文档结构图 字符"/>
    <w:basedOn w:val="684"/>
    <w:link w:val="691"/>
    <w:uiPriority w:val="99"/>
    <w:qFormat/>
    <w:rPr>
      <w:rFonts w:ascii="宋体" w:hAnsi="Times New Roman" w:eastAsia="宋体" w:cs="Times New Roman"/>
      <w:sz w:val="18"/>
      <w:szCs w:val="18"/>
    </w:rPr>
  </w:style>
  <w:style w:type="character" w:styleId="891" w:customStyle="1">
    <w:name w:val="批注文字 字符"/>
    <w:basedOn w:val="684"/>
    <w:link w:val="692"/>
    <w:uiPriority w:val="99"/>
    <w:qFormat/>
    <w:rPr>
      <w:rFonts w:ascii="Times New Roman" w:hAnsi="Times New Roman" w:eastAsia="宋体" w:cs="Times New Roman"/>
      <w:sz w:val="24"/>
      <w:szCs w:val="24"/>
    </w:rPr>
  </w:style>
  <w:style w:type="character" w:styleId="892" w:customStyle="1">
    <w:name w:val="批注主题 字符"/>
    <w:basedOn w:val="891"/>
    <w:link w:val="719"/>
    <w:uiPriority w:val="99"/>
    <w:semiHidden/>
    <w:qFormat/>
    <w:rPr>
      <w:rFonts w:ascii="Times New Roman" w:hAnsi="Times New Roman" w:eastAsia="宋体" w:cs="Times New Roman"/>
      <w:b/>
      <w:bCs/>
      <w:sz w:val="24"/>
      <w:szCs w:val="24"/>
    </w:rPr>
  </w:style>
  <w:style w:type="paragraph" w:styleId="893" w:customStyle="1">
    <w:name w:val="正文首行缩进2字符"/>
    <w:basedOn w:val="674"/>
    <w:uiPriority w:val="0"/>
    <w:qFormat/>
    <w:pPr>
      <w:ind w:firstLine="482"/>
    </w:pPr>
  </w:style>
  <w:style w:type="character" w:styleId="894" w:customStyle="1">
    <w:name w:val="current"/>
    <w:basedOn w:val="684"/>
    <w:uiPriority w:val="0"/>
    <w:qFormat/>
    <w:rPr>
      <w:b/>
      <w:bCs/>
      <w:color w:val="05a7d8"/>
      <w:sz w:val="18"/>
      <w:szCs w:val="18"/>
    </w:rPr>
  </w:style>
  <w:style w:type="character" w:styleId="895" w:customStyle="1">
    <w:name w:val="l-btn-left"/>
    <w:basedOn w:val="684"/>
    <w:uiPriority w:val="0"/>
    <w:qFormat/>
  </w:style>
  <w:style w:type="character" w:styleId="896" w:customStyle="1">
    <w:name w:val="l-btn-text36"/>
    <w:basedOn w:val="684"/>
    <w:uiPriority w:val="0"/>
    <w:qFormat/>
  </w:style>
  <w:style w:type="character" w:styleId="897" w:customStyle="1">
    <w:name w:val="l-btn-text"/>
    <w:basedOn w:val="684"/>
    <w:uiPriority w:val="0"/>
    <w:qFormat/>
  </w:style>
  <w:style w:type="character" w:styleId="898" w:customStyle="1">
    <w:name w:val="grame"/>
    <w:basedOn w:val="684"/>
    <w:uiPriority w:val="0"/>
    <w:qFormat/>
  </w:style>
  <w:style w:type="paragraph" w:styleId="899" w:customStyle="1">
    <w:name w:val="标准文本"/>
    <w:basedOn w:val="674"/>
    <w:uiPriority w:val="0"/>
    <w:qFormat/>
    <w:pPr>
      <w:ind w:firstLine="480"/>
      <w:spacing w:line="360" w:lineRule="auto"/>
    </w:pPr>
    <w:rPr>
      <w:rFonts w:cs="宋体"/>
      <w:szCs w:val="20"/>
    </w:rPr>
  </w:style>
  <w:style w:type="paragraph" w:styleId="900" w:customStyle="1">
    <w:name w:val="_Style 3"/>
    <w:uiPriority w:val="1"/>
    <w:qFormat/>
    <w:pPr>
      <w:jc w:val="both"/>
      <w:widowControl w:val="off"/>
    </w:pPr>
    <w:rPr>
      <w:rFonts w:ascii="Calibri" w:hAnsi="Calibri" w:eastAsia="宋体" w:cs="Times New Roman"/>
      <w:sz w:val="21"/>
      <w:szCs w:val="22"/>
      <w:lang w:val="en-US" w:eastAsia="zh-CN" w:bidi="ar-SA"/>
    </w:rPr>
  </w:style>
  <w:style w:type="paragraph" w:styleId="901" w:customStyle="1">
    <w:name w:val="普通正文"/>
    <w:basedOn w:val="674"/>
    <w:uiPriority w:val="0"/>
    <w:qFormat/>
    <w:pPr>
      <w:ind w:firstLine="480"/>
      <w:jc w:val="left"/>
      <w:spacing w:before="120" w:after="120" w:line="360" w:lineRule="auto"/>
    </w:pPr>
    <w:rPr>
      <w:rFonts w:ascii="Arial" w:hAnsi="Arial"/>
    </w:rPr>
  </w:style>
  <w:style w:type="paragraph" w:styleId="902" w:customStyle="1">
    <w:name w:val="（符号）三标题1.1"/>
    <w:basedOn w:val="674"/>
    <w:uiPriority w:val="0"/>
    <w:qFormat/>
    <w:pPr>
      <w:numPr>
        <w:ilvl w:val="1"/>
        <w:numId w:val="1"/>
      </w:numPr>
      <w:spacing w:line="500" w:lineRule="exact"/>
      <w:tabs>
        <w:tab w:val="left" w:pos="700" w:leader="none"/>
      </w:tabs>
    </w:pPr>
  </w:style>
  <w:style w:type="character" w:styleId="903" w:customStyle="1">
    <w:name w:val="NormalCharacter"/>
    <w:uiPriority w:val="99"/>
    <w:qFormat/>
    <w:rPr>
      <w:sz w:val="21"/>
      <w:szCs w:val="22"/>
      <w:lang w:val="en-US" w:eastAsia="zh-CN" w:bidi="ar-SA"/>
    </w:rPr>
  </w:style>
  <w:style w:type="paragraph" w:styleId="904" w:customStyle="1">
    <w:name w:val="Table Paragraph"/>
    <w:basedOn w:val="674"/>
    <w:uiPriority w:val="1"/>
    <w:qFormat/>
  </w:style>
  <w:style w:type="paragraph" w:styleId="905" w:customStyle="1">
    <w:name w:val="UserStyle_0"/>
    <w:basedOn w:val="674"/>
    <w:uiPriority w:val="0"/>
    <w:qFormat/>
    <w:pPr>
      <w:ind w:firstLine="420"/>
    </w:pPr>
    <w:rPr>
      <w:szCs w:val="21"/>
    </w:rPr>
  </w:style>
  <w:style w:type="paragraph" w:styleId="906" w:customStyle="1">
    <w:name w:val="p0"/>
    <w:basedOn w:val="674"/>
    <w:uiPriority w:val="0"/>
    <w:qFormat/>
    <w:pPr>
      <w:widowControl/>
    </w:pPr>
    <w:rPr>
      <w:szCs w:val="21"/>
    </w:rPr>
  </w:style>
  <w:style w:type="paragraph" w:styleId="907" w:customStyle="1">
    <w:name w:val="p16"/>
    <w:basedOn w:val="674"/>
    <w:uiPriority w:val="0"/>
    <w:qFormat/>
    <w:pPr>
      <w:ind w:firstLine="420"/>
      <w:jc w:val="left"/>
      <w:spacing w:after="200"/>
      <w:widowControl/>
    </w:pPr>
    <w:rPr>
      <w:rFonts w:ascii="Tahoma" w:hAnsi="Tahoma" w:cs="Tahoma"/>
      <w:sz w:val="22"/>
    </w:rPr>
  </w:style>
  <w:style w:type="paragraph" w:styleId="908" w:customStyle="1">
    <w:name w:val="目录 51"/>
    <w:basedOn w:val="674"/>
    <w:next w:val="674"/>
    <w:uiPriority w:val="99"/>
    <w:qFormat/>
    <w:pPr>
      <w:ind w:left="800"/>
    </w:pPr>
    <w:rPr>
      <w:rFonts w:ascii="Calibri" w:hAnsi="Calibri"/>
      <w:szCs w:val="22"/>
    </w:rPr>
  </w:style>
  <w:style w:type="paragraph" w:styleId="909" w:customStyle="1">
    <w:name w:val="Body text|1"/>
    <w:basedOn w:val="674"/>
    <w:uiPriority w:val="0"/>
    <w:qFormat/>
    <w:pPr>
      <w:ind w:firstLine="400"/>
      <w:jc w:val="left"/>
      <w:spacing w:after="200" w:line="410" w:lineRule="auto"/>
      <w:widowControl/>
    </w:pPr>
    <w:rPr>
      <w:rFonts w:ascii="宋体" w:hAnsi="宋体" w:cs="宋体"/>
      <w:sz w:val="22"/>
      <w:szCs w:val="22"/>
      <w:lang w:val="zh-TW" w:eastAsia="zh-TW" w:bidi="zh-TW"/>
    </w:rPr>
  </w:style>
  <w:style w:type="table" w:styleId="910" w:customStyle="1">
    <w:name w:val="Table Normal"/>
    <w:uiPriority w:val="0"/>
    <w:unhideWhenUsed/>
    <w:qFormat/>
    <w:rPr>
      <w:rFonts w:ascii="Calibri" w:hAnsi="Calibri"/>
    </w:rPr>
    <w:tblPr>
      <w:tblCellMar>
        <w:left w:w="0" w:type="dxa"/>
        <w:top w:w="0" w:type="dxa"/>
        <w:right w:w="0" w:type="dxa"/>
        <w:bottom w:w="0" w:type="dxa"/>
      </w:tblCellMar>
    </w:tblPr>
  </w:style>
  <w:style w:type="paragraph" w:styleId="911" w:customStyle="1">
    <w:name w:val="Table Text"/>
    <w:basedOn w:val="674"/>
    <w:uiPriority w:val="0"/>
    <w:semiHidden/>
    <w:qFormat/>
    <w:rPr>
      <w:rFonts w:ascii="宋体" w:hAnsi="宋体" w:cs="宋体"/>
    </w:rPr>
  </w:style>
  <w:style w:type="character" w:styleId="912" w:customStyle="1">
    <w:name w:val="wyg1"/>
    <w:uiPriority w:val="6"/>
    <w:qFormat/>
    <w:rPr>
      <w:rFonts w:ascii="Times New Roman" w:hAnsi="Times New Roman" w:eastAsia="宋体" w:cs="Times New Roman"/>
      <w:lang w:val="en-US" w:eastAsia="zh-CN" w:bidi="ar-SA"/>
    </w:rPr>
  </w:style>
  <w:style w:type="paragraph" w:styleId="913" w:customStyle="1">
    <w:name w:val="正文11"/>
    <w:next w:val="914"/>
    <w:uiPriority w:val="0"/>
    <w:qFormat/>
    <w:pPr>
      <w:jc w:val="both"/>
      <w:widowControl w:val="off"/>
    </w:pPr>
    <w:rPr>
      <w:rFonts w:ascii="Times New Roman" w:hAnsi="Times New Roman" w:eastAsia="宋体" w:cs="Times New Roman"/>
      <w:sz w:val="21"/>
      <w:szCs w:val="24"/>
      <w:lang w:val="en-US" w:eastAsia="zh-CN" w:bidi="ar-SA"/>
    </w:rPr>
  </w:style>
  <w:style w:type="paragraph" w:styleId="914" w:customStyle="1">
    <w:name w:val="目录 11"/>
    <w:basedOn w:val="915"/>
    <w:next w:val="913"/>
    <w:uiPriority w:val="0"/>
    <w:qFormat/>
  </w:style>
  <w:style w:type="paragraph" w:styleId="915" w:customStyle="1">
    <w:name w:val="正文12"/>
    <w:next w:val="916"/>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916" w:customStyle="1">
    <w:name w:val="脚注文本1"/>
    <w:basedOn w:val="917"/>
    <w:next w:val="919"/>
    <w:uiPriority w:val="0"/>
    <w:qFormat/>
    <w:pPr>
      <w:jc w:val="left"/>
    </w:pPr>
    <w:rPr>
      <w:rFonts w:ascii="宋体" w:eastAsia="Times New Roman"/>
      <w:sz w:val="18"/>
      <w:szCs w:val="18"/>
    </w:rPr>
  </w:style>
  <w:style w:type="paragraph" w:styleId="917" w:customStyle="1">
    <w:name w:val="正文1111"/>
    <w:next w:val="918"/>
    <w:uiPriority w:val="0"/>
    <w:qFormat/>
    <w:pPr>
      <w:jc w:val="both"/>
      <w:widowControl w:val="off"/>
    </w:pPr>
    <w:rPr>
      <w:rFonts w:ascii="Times New Roman" w:hAnsi="Times New Roman" w:eastAsia="宋体" w:cs="Times New Roman"/>
      <w:sz w:val="21"/>
      <w:szCs w:val="24"/>
      <w:lang w:val="en-US" w:eastAsia="zh-CN" w:bidi="ar-SA"/>
    </w:rPr>
  </w:style>
  <w:style w:type="paragraph" w:styleId="918" w:customStyle="1">
    <w:name w:val="文本块11"/>
    <w:basedOn w:val="674"/>
    <w:uiPriority w:val="0"/>
    <w:unhideWhenUsed/>
    <w:qFormat/>
    <w:pPr>
      <w:ind w:left="1440" w:right="1440"/>
      <w:spacing w:after="120"/>
    </w:pPr>
  </w:style>
  <w:style w:type="paragraph" w:styleId="919" w:customStyle="1">
    <w:name w:val="索引 51"/>
    <w:basedOn w:val="920"/>
    <w:next w:val="920"/>
    <w:uiPriority w:val="0"/>
    <w:qFormat/>
    <w:pPr>
      <w:ind w:left="798"/>
      <w:jc w:val="left"/>
    </w:pPr>
    <w:rPr>
      <w:rFonts w:ascii="Calibri" w:hAnsi="Calibri"/>
    </w:rPr>
  </w:style>
  <w:style w:type="paragraph" w:styleId="920" w:customStyle="1">
    <w:name w:val="正文1"/>
    <w:basedOn w:val="921"/>
    <w:next w:val="922"/>
    <w:uiPriority w:val="0"/>
    <w:qFormat/>
  </w:style>
  <w:style w:type="paragraph" w:styleId="921" w:customStyle="1">
    <w:name w:val="正文111"/>
    <w:next w:val="922"/>
    <w:uiPriority w:val="0"/>
    <w:qFormat/>
    <w:pPr>
      <w:jc w:val="both"/>
      <w:widowControl w:val="off"/>
    </w:pPr>
    <w:rPr>
      <w:rFonts w:ascii="Times New Roman" w:hAnsi="Times New Roman" w:eastAsia="宋体" w:cs="Times New Roman"/>
      <w:sz w:val="21"/>
      <w:szCs w:val="24"/>
      <w:lang w:val="en-US" w:eastAsia="zh-CN" w:bidi="ar-SA"/>
    </w:rPr>
  </w:style>
  <w:style w:type="paragraph" w:styleId="922" w:customStyle="1">
    <w:name w:val="正文文本1"/>
    <w:basedOn w:val="913"/>
    <w:next w:val="920"/>
    <w:uiPriority w:val="0"/>
    <w:qFormat/>
    <w:pPr>
      <w:spacing w:after="120"/>
    </w:pPr>
    <w:rPr>
      <w:rFonts w:ascii="Calibri" w:hAnsi="Calibri"/>
    </w:rPr>
  </w:style>
  <w:style w:type="paragraph" w:styleId="923" w:customStyle="1">
    <w:name w:val="普通(网站)1"/>
    <w:basedOn w:val="674"/>
    <w:uiPriority w:val="0"/>
    <w:qFormat/>
    <w:pPr>
      <w:jc w:val="left"/>
      <w:spacing w:before="100" w:beforeAutospacing="1" w:after="100" w:afterAutospacing="1"/>
      <w:widowControl/>
    </w:pPr>
    <w:rPr>
      <w:rFonts w:ascii="宋体" w:hAnsi="宋体" w:cs="宋体"/>
    </w:rPr>
  </w:style>
  <w:style w:type="character" w:styleId="924" w:customStyle="1">
    <w:name w:val="font21"/>
    <w:basedOn w:val="684"/>
    <w:uiPriority w:val="0"/>
    <w:qFormat/>
    <w:rPr>
      <w:rFonts w:hint="eastAsia" w:ascii="宋体" w:hAnsi="宋体" w:eastAsia="宋体" w:cs="宋体"/>
      <w:b/>
      <w:bCs/>
      <w:color w:val="000000"/>
      <w:sz w:val="28"/>
      <w:szCs w:val="28"/>
      <w:u w:val="none"/>
    </w:rPr>
  </w:style>
  <w:style w:type="character" w:styleId="925" w:customStyle="1">
    <w:name w:val="font81"/>
    <w:basedOn w:val="684"/>
    <w:uiPriority w:val="0"/>
    <w:qFormat/>
    <w:rPr>
      <w:rFonts w:hint="eastAsia" w:ascii="宋体" w:hAnsi="宋体" w:eastAsia="宋体" w:cs="宋体"/>
      <w:color w:val="000000"/>
      <w:sz w:val="28"/>
      <w:szCs w:val="28"/>
      <w:u w:val="none"/>
    </w:rPr>
  </w:style>
  <w:style w:type="character" w:styleId="926" w:customStyle="1">
    <w:name w:val="font41"/>
    <w:basedOn w:val="684"/>
    <w:uiPriority w:val="0"/>
    <w:qFormat/>
    <w:rPr>
      <w:rFonts w:hint="eastAsia" w:ascii="宋体" w:hAnsi="宋体" w:eastAsia="宋体" w:cs="宋体"/>
      <w:color w:val="000000"/>
      <w:sz w:val="20"/>
      <w:szCs w:val="20"/>
      <w:u w:val="none"/>
    </w:rPr>
  </w:style>
  <w:style w:type="character" w:styleId="927" w:customStyle="1">
    <w:name w:val="font71"/>
    <w:basedOn w:val="684"/>
    <w:uiPriority w:val="0"/>
    <w:qFormat/>
    <w:rPr>
      <w:rFonts w:hint="eastAsia" w:ascii="宋体" w:hAnsi="宋体" w:eastAsia="宋体" w:cs="宋体"/>
      <w:color w:val="ff0000"/>
      <w:sz w:val="20"/>
      <w:szCs w:val="20"/>
      <w:u w:val="none"/>
    </w:rPr>
  </w:style>
  <w:style w:type="numbering" w:styleId="168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等线"/>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阙美霞</dc:creator>
  <cp:lastModifiedBy>吴素琴</cp:lastModifiedBy>
  <cp:revision>8</cp:revision>
  <dcterms:created xsi:type="dcterms:W3CDTF">2026-08-27T09:12:00Z</dcterms:created>
  <dcterms:modified xsi:type="dcterms:W3CDTF">2026-08-28T08:58:08Z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7320D164748E4F2EA53B3684640F3168_13</vt:lpwstr>
  </property>
  <property fmtid="{D5CDD505-2E9C-101B-9397-08002B2CF9AE}" pid="4" name="KSOTemplateDocerSaveRecord">
    <vt:lpwstr>eyJoZGlkIjoiYTI3ODlhZDJhYjkxYzVlMDhjZmY2NTgxYmIyMDQyMmQiLCJ1c2VySWQiOiI0OTUyMTE2MDIifQ==</vt:lpwstr>
  </property>
  <property fmtid="{D5CDD505-2E9C-101B-9397-08002B2CF9AE}" pid="5" name="AIGC">
    <vt:lpwstr>{"Label":"1","ContentProducer":"001191110102MAD55U9H0F10002","ProduceID":"9a4f55b0-c482-4c76-92c1-fcc8f4f43ef5","ReservedCode1":"2a1ad6b4-7dec-475a-8393-86ca8915f32e","ContentPropagator":"001191110102MAD55U9H0F10002","PropagateID":"9a4f55b0-c482-4c76-92c1</vt:lpwstr>
  </property>
</Properties>
</file>