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color w:val="auto"/>
          <w:sz w:val="84"/>
          <w:szCs w:val="24"/>
          <w:highlight w:val="none"/>
        </w:rPr>
      </w:pPr>
      <w:r>
        <w:rPr>
          <w:rFonts w:hint="eastAsia" w:ascii="宋体" w:hAnsi="宋体"/>
          <w:b/>
          <w:bCs/>
          <w:color w:val="auto"/>
          <w:sz w:val="84"/>
          <w:szCs w:val="24"/>
          <w:highlight w:val="none"/>
        </w:rPr>
      </w:r>
      <w:r/>
    </w:p>
    <w:p>
      <w:pPr>
        <w:jc w:val="center"/>
        <w:spacing w:before="120" w:after="120" w:line="360" w:lineRule="auto"/>
        <w:rPr>
          <w:rFonts w:hint="eastAsia" w:ascii="宋体" w:hAnsi="宋体"/>
          <w:b/>
          <w:bCs/>
          <w:color w:val="auto"/>
          <w:sz w:val="84"/>
          <w:szCs w:val="24"/>
          <w:highlight w:val="none"/>
        </w:rPr>
      </w:pPr>
      <w:r>
        <w:rPr>
          <w:rFonts w:hint="eastAsia" w:ascii="宋体" w:hAnsi="宋体"/>
          <w:b/>
          <w:bCs/>
          <w:color w:val="auto"/>
          <w:sz w:val="84"/>
          <w:szCs w:val="24"/>
          <w:highlight w:val="none"/>
        </w:rPr>
        <w:t xml:space="preserve">竞争性磋商文件</w:t>
      </w:r>
      <w:r/>
    </w:p>
    <w:p>
      <w:pPr>
        <w:jc w:val="both"/>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both"/>
        <w:spacing w:before="120" w:after="120" w:line="360" w:lineRule="auto"/>
        <w:rPr>
          <w:rFonts w:hint="eastAsia" w:ascii="宋体" w:hAnsi="宋体"/>
          <w:b/>
          <w:bCs/>
          <w:color w:val="auto"/>
          <w:sz w:val="36"/>
          <w:szCs w:val="28"/>
          <w:highlight w:val="none"/>
          <w:lang w:val="en-US" w:eastAsia="zh-CN"/>
        </w:rPr>
      </w:pPr>
      <w:r>
        <w:rPr>
          <w:rFonts w:hint="eastAsia" w:ascii="宋体" w:hAnsi="宋体"/>
          <w:b/>
          <w:bCs/>
          <w:color w:val="auto"/>
          <w:sz w:val="36"/>
          <w:szCs w:val="28"/>
          <w:highlight w:val="none"/>
        </w:rPr>
        <w:t xml:space="preserve">项目名称：</w:t>
      </w:r>
      <w:r>
        <w:rPr>
          <w:rFonts w:hint="eastAsia" w:ascii="宋体" w:hAnsi="宋体"/>
          <w:b/>
          <w:bCs/>
          <w:color w:val="auto"/>
          <w:sz w:val="36"/>
          <w:szCs w:val="28"/>
          <w:highlight w:val="none"/>
          <w:lang w:eastAsia="zh-CN"/>
        </w:rPr>
        <w:t xml:space="preserve">海安市教育体育局2026年全民健身场地设施采购项目</w:t>
      </w:r>
      <w:r/>
    </w:p>
    <w:p>
      <w:pPr>
        <w:jc w:val="both"/>
        <w:spacing w:before="120" w:after="120" w:line="360" w:lineRule="auto"/>
        <w:rPr>
          <w:rFonts w:ascii="宋体" w:hAnsi="宋体"/>
          <w:b/>
          <w:bCs/>
          <w:color w:val="auto"/>
          <w:sz w:val="32"/>
          <w:szCs w:val="24"/>
          <w:highlight w:val="none"/>
        </w:rPr>
      </w:pPr>
      <w:r>
        <w:rPr>
          <w:rFonts w:hint="eastAsia" w:ascii="宋体" w:hAnsi="宋体"/>
          <w:b/>
          <w:bCs/>
          <w:color w:val="auto"/>
          <w:sz w:val="36"/>
          <w:szCs w:val="28"/>
          <w:highlight w:val="none"/>
        </w:rPr>
        <w:t xml:space="preserve">项目编号：JSZC-320685-JSHS-C2026-0032</w:t>
      </w:r>
      <w:r>
        <w:rPr>
          <w:rFonts w:ascii="宋体" w:hAnsi="宋体"/>
          <w:b/>
          <w:bCs/>
          <w:color w:val="auto"/>
          <w:sz w:val="32"/>
          <w:szCs w:val="24"/>
          <w:highlight w:val="none"/>
        </w:rPr>
        <w:t xml:space="preserve">        </w:t>
      </w:r>
      <w:r/>
    </w:p>
    <w:p>
      <w:pPr>
        <w:ind w:firstLine="1470"/>
        <w:jc w:val="left"/>
        <w:spacing w:before="120" w:after="120" w:line="360" w:lineRule="auto"/>
        <w:rPr>
          <w:rFonts w:hint="eastAsia" w:ascii="宋体" w:hAnsi="宋体"/>
          <w:b/>
          <w:color w:val="auto"/>
          <w:sz w:val="30"/>
          <w:szCs w:val="30"/>
          <w:highlight w:val="none"/>
        </w:rPr>
      </w:pPr>
      <w:r>
        <w:rPr>
          <w:rFonts w:hint="eastAsia" w:ascii="宋体" w:hAnsi="宋体"/>
          <w:color w:val="auto"/>
          <w:szCs w:val="21"/>
          <w:highlight w:val="none"/>
        </w:rPr>
        <w:t xml:space="preserve">        </w:t>
      </w:r>
      <w:r>
        <w:rPr>
          <w:rFonts w:hint="eastAsia" w:ascii="宋体" w:hAnsi="宋体"/>
          <w:b/>
          <w:color w:val="auto"/>
          <w:sz w:val="30"/>
          <w:szCs w:val="30"/>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eastAsia="宋体"/>
          <w:b/>
          <w:bCs/>
          <w:color w:val="auto"/>
          <w:sz w:val="32"/>
          <w:szCs w:val="24"/>
          <w:highlight w:val="none"/>
          <w:lang w:eastAsia="zh-CN"/>
        </w:rPr>
      </w:pPr>
      <w:r>
        <w:rPr>
          <w:rFonts w:hint="eastAsia" w:ascii="宋体" w:hAnsi="宋体"/>
          <w:b/>
          <w:bCs/>
          <w:color w:val="auto"/>
          <w:sz w:val="32"/>
          <w:szCs w:val="24"/>
          <w:highlight w:val="none"/>
        </w:rPr>
        <w:t xml:space="preserve">采购人：</w:t>
      </w:r>
      <w:r>
        <w:rPr>
          <w:rFonts w:hint="eastAsia" w:ascii="宋体" w:hAnsi="宋体"/>
          <w:b/>
          <w:bCs/>
          <w:color w:val="auto"/>
          <w:sz w:val="32"/>
          <w:szCs w:val="24"/>
          <w:highlight w:val="none"/>
          <w:lang w:eastAsia="zh-CN"/>
        </w:rPr>
        <w:t xml:space="preserve">海安市教育体育局</w:t>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t xml:space="preserve"> 2026年</w:t>
      </w:r>
      <w:r>
        <w:rPr>
          <w:rFonts w:hint="eastAsia" w:ascii="宋体" w:hAnsi="宋体"/>
          <w:b/>
          <w:bCs/>
          <w:color w:val="auto"/>
          <w:sz w:val="32"/>
          <w:szCs w:val="24"/>
          <w:highlight w:val="none"/>
          <w:lang w:val="en-US" w:eastAsia="zh-CN"/>
        </w:rPr>
        <w:t xml:space="preserve">8</w:t>
      </w:r>
      <w:r>
        <w:rPr>
          <w:rFonts w:hint="eastAsia" w:ascii="宋体" w:hAnsi="宋体"/>
          <w:b/>
          <w:bCs/>
          <w:color w:val="auto"/>
          <w:sz w:val="32"/>
          <w:szCs w:val="24"/>
          <w:highlight w:val="none"/>
        </w:rPr>
        <w:t xml:space="preserve">月</w:t>
      </w:r>
      <w:r/>
    </w:p>
    <w:p>
      <w:pPr>
        <w:jc w:val="left"/>
        <w:spacing w:before="120" w:after="120"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jc w:val="center"/>
        <w:spacing w:line="480" w:lineRule="auto"/>
        <w:rPr>
          <w:rFonts w:ascii="宋体" w:hAnsi="宋体"/>
          <w:color w:val="auto"/>
          <w:szCs w:val="21"/>
          <w:highlight w:val="none"/>
        </w:rPr>
        <w:outlineLvl w:val="0"/>
      </w:pPr>
      <w:r>
        <w:rPr>
          <w:rFonts w:ascii="宋体" w:hAnsi="宋体"/>
          <w:color w:val="auto"/>
          <w:szCs w:val="21"/>
          <w:highlight w:val="none"/>
        </w:rPr>
        <w:br w:type="page" w:clear="all"/>
      </w:r>
      <w:bookmarkStart w:id="0" w:name="_Toc120614210"/>
      <w:r/>
      <w:bookmarkStart w:id="1" w:name="_Toc20823272"/>
      <w:r/>
      <w:bookmarkStart w:id="2" w:name="_Toc16938516"/>
      <w:r/>
      <w:bookmarkStart w:id="3" w:name="_Toc513029200"/>
      <w:r/>
      <w:bookmarkStart w:id="4" w:name="_Toc479757206"/>
      <w:r/>
      <w:bookmarkStart w:id="5" w:name="_Toc523127445"/>
      <w:r/>
      <w:r/>
    </w:p>
    <w:p>
      <w:pPr>
        <w:jc w:val="center"/>
        <w:spacing w:line="480" w:lineRule="auto"/>
        <w:rPr>
          <w:rFonts w:ascii="宋体" w:hAnsi="宋体"/>
          <w:color w:val="auto"/>
          <w:szCs w:val="21"/>
          <w:highlight w:val="none"/>
        </w:rPr>
        <w:outlineLvl w:val="0"/>
      </w:pPr>
      <w:r>
        <w:rPr>
          <w:rFonts w:hint="eastAsia" w:ascii="宋体" w:hAnsi="宋体"/>
          <w:b/>
          <w:color w:val="auto"/>
          <w:sz w:val="44"/>
          <w:szCs w:val="21"/>
          <w:highlight w:val="none"/>
        </w:rPr>
        <w:t xml:space="preserve">总  目  录</w:t>
      </w:r>
      <w:r/>
    </w:p>
    <w:p>
      <w:pPr>
        <w:spacing w:line="480" w:lineRule="auto"/>
        <w:rPr>
          <w:rFonts w:hint="eastAsia" w:ascii="宋体" w:hAnsi="宋体"/>
          <w:b/>
          <w:color w:val="auto"/>
          <w:sz w:val="28"/>
          <w:szCs w:val="21"/>
          <w:highlight w:val="none"/>
        </w:rPr>
      </w:pPr>
      <w:r>
        <w:rPr>
          <w:rFonts w:hint="eastAsia" w:ascii="宋体" w:hAnsi="宋体"/>
          <w:b/>
          <w:color w:val="auto"/>
          <w:sz w:val="28"/>
          <w:szCs w:val="21"/>
          <w:highlight w:val="none"/>
        </w:rPr>
      </w:r>
      <w:r/>
    </w:p>
    <w:p>
      <w:pPr>
        <w:numPr>
          <w:ilvl w:val="0"/>
          <w:numId w:val="1"/>
        </w:numPr>
        <w:spacing w:line="480" w:lineRule="auto"/>
        <w:rPr>
          <w:rFonts w:hint="eastAsia" w:ascii="宋体" w:hAnsi="宋体"/>
          <w:color w:val="auto"/>
          <w:sz w:val="32"/>
          <w:szCs w:val="21"/>
          <w:highlight w:val="none"/>
        </w:rPr>
        <w:outlineLvl w:val="0"/>
      </w:pPr>
      <w:r>
        <w:rPr>
          <w:rFonts w:hint="eastAsia" w:ascii="宋体" w:hAnsi="宋体"/>
          <w:color w:val="auto"/>
          <w:sz w:val="36"/>
          <w:szCs w:val="21"/>
          <w:highlight w:val="none"/>
        </w:rPr>
        <w:t xml:space="preserve">磋商邀请</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bCs/>
          <w:color w:val="auto"/>
          <w:sz w:val="36"/>
          <w:szCs w:val="36"/>
          <w:highlight w:val="none"/>
        </w:rPr>
        <w:t xml:space="preserve">供应商须知</w:t>
      </w:r>
      <w:r>
        <w:rPr>
          <w:rFonts w:hint="eastAsia" w:ascii="宋体" w:hAnsi="宋体"/>
          <w:color w:val="auto"/>
          <w:sz w:val="36"/>
          <w:szCs w:val="21"/>
          <w:highlight w:val="none"/>
        </w:rPr>
        <w:t xml:space="preserve"> </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color w:val="auto"/>
          <w:sz w:val="36"/>
          <w:szCs w:val="21"/>
          <w:highlight w:val="none"/>
        </w:rPr>
        <w:t xml:space="preserve">采购需求</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bCs/>
          <w:color w:val="auto"/>
          <w:sz w:val="36"/>
          <w:szCs w:val="36"/>
          <w:highlight w:val="none"/>
        </w:rPr>
        <w:t xml:space="preserve">评审方法与评审标准</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color w:val="auto"/>
          <w:sz w:val="36"/>
          <w:szCs w:val="21"/>
          <w:highlight w:val="none"/>
        </w:rPr>
        <w:t xml:space="preserve">响应文件格式</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bookmarkEnd w:id="0"/>
      <w:r/>
      <w:r/>
    </w:p>
    <w:p>
      <w:pPr>
        <w:jc w:val="both"/>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jc w:val="both"/>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t xml:space="preserve">第一章  磋商邀请</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海安市教育体育局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江苏海审工程咨询有限公司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海安市教育体育局2026年全民健身场地设施采购项目</w:t>
      </w:r>
      <w:r>
        <w:rPr>
          <w:rFonts w:hint="eastAsia" w:ascii="宋体" w:hAnsi="宋体"/>
          <w:color w:val="auto"/>
          <w:sz w:val="24"/>
          <w:szCs w:val="24"/>
          <w:highlight w:val="none"/>
        </w:rPr>
        <w:t xml:space="preserve">(项目编号：JSZC-320685-JSHS-C2026-0032)项目进行竞争性磋商采购，欢迎符合条件的供应商参加磋商。</w:t>
      </w:r>
      <w:r/>
    </w:p>
    <w:p>
      <w:pPr>
        <w:ind w:firstLine="480"/>
        <w:spacing w:line="5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海安市教育体育局2026年全民健身场地设施采购项目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7</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u w:val="none"/>
        </w:rPr>
        <w:t xml:space="preserve">（</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line="560" w:lineRule="exact"/>
        <w:rPr>
          <w:rFonts w:ascii="宋体" w:hAnsi="宋体"/>
          <w:b/>
          <w:bCs/>
          <w:color w:val="auto"/>
          <w:sz w:val="32"/>
          <w:szCs w:val="32"/>
          <w:highlight w:val="none"/>
        </w:rPr>
        <w:outlineLvl w:val="2"/>
      </w:pPr>
      <w:r/>
      <w:bookmarkStart w:id="6" w:name="_Hlk24379207"/>
      <w:r/>
      <w:bookmarkStart w:id="7" w:name="_Toc35393790"/>
      <w:r/>
      <w:bookmarkStart w:id="8" w:name="_Toc28359002"/>
      <w:r/>
      <w:bookmarkStart w:id="9" w:name="_Toc35393621"/>
      <w:r/>
      <w:bookmarkStart w:id="10" w:name="_Toc28359079"/>
      <w:r/>
      <w:bookmarkStart w:id="11" w:name="_Toc38985263"/>
      <w:r>
        <w:rPr>
          <w:rFonts w:hint="eastAsia" w:ascii="宋体" w:hAnsi="宋体"/>
          <w:b/>
          <w:bCs/>
          <w:color w:val="auto"/>
          <w:sz w:val="32"/>
          <w:szCs w:val="32"/>
          <w:highlight w:val="none"/>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1.项目编号：JSZC-320685-JSHS-C2026-0032</w:t>
      </w:r>
      <w:r/>
    </w:p>
    <w:p>
      <w:pPr>
        <w:ind w:firstLine="48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海安市教育体育局2026年全民健身场地设施采购项目</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3.项目类型：货物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4.项目行业：工业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5.预算金额：</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万元。</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6.最高限价：</w:t>
      </w:r>
      <w:r>
        <w:rPr>
          <w:rFonts w:hint="eastAsia" w:ascii="宋体" w:hAnsi="宋体"/>
          <w:color w:val="auto"/>
          <w:sz w:val="24"/>
          <w:szCs w:val="24"/>
          <w:highlight w:val="none"/>
          <w:lang w:val="en-US" w:eastAsia="zh-CN"/>
        </w:rPr>
        <w:t xml:space="preserve">包一为一代健身路径采购，</w:t>
      </w:r>
      <w:r>
        <w:rPr>
          <w:rFonts w:hint="eastAsia" w:ascii="宋体" w:hAnsi="宋体"/>
          <w:color w:val="auto"/>
          <w:sz w:val="24"/>
          <w:szCs w:val="24"/>
          <w:highlight w:val="none"/>
        </w:rPr>
        <w:t xml:space="preserve">最高限价为63万元，</w:t>
      </w:r>
      <w:r>
        <w:rPr>
          <w:rFonts w:hint="eastAsia" w:ascii="宋体" w:hAnsi="宋体"/>
          <w:color w:val="auto"/>
          <w:sz w:val="24"/>
          <w:szCs w:val="24"/>
          <w:highlight w:val="none"/>
          <w:lang w:val="en-US" w:eastAsia="zh-CN"/>
        </w:rPr>
        <w:t xml:space="preserve">包</w:t>
      </w:r>
      <w:r>
        <w:rPr>
          <w:rFonts w:hint="eastAsia" w:ascii="宋体" w:hAnsi="宋体"/>
          <w:color w:val="auto"/>
          <w:sz w:val="24"/>
          <w:szCs w:val="24"/>
          <w:highlight w:val="none"/>
        </w:rPr>
        <w:t xml:space="preserve">二</w:t>
      </w:r>
      <w:r>
        <w:rPr>
          <w:rFonts w:hint="eastAsia" w:ascii="宋体" w:hAnsi="宋体"/>
          <w:color w:val="auto"/>
          <w:sz w:val="24"/>
          <w:szCs w:val="24"/>
          <w:highlight w:val="none"/>
          <w:lang w:val="en-US" w:eastAsia="zh-CN"/>
        </w:rPr>
        <w:t xml:space="preserve">为笼式篮球场采购，</w:t>
      </w:r>
      <w:r>
        <w:rPr>
          <w:rFonts w:hint="eastAsia" w:ascii="宋体" w:hAnsi="宋体"/>
          <w:color w:val="auto"/>
          <w:sz w:val="24"/>
          <w:szCs w:val="24"/>
          <w:highlight w:val="none"/>
        </w:rPr>
        <w:t xml:space="preserve">最高限价为</w:t>
      </w:r>
      <w:r>
        <w:rPr>
          <w:rFonts w:hint="eastAsia" w:ascii="宋体" w:hAnsi="宋体"/>
          <w:color w:val="auto"/>
          <w:sz w:val="24"/>
          <w:szCs w:val="24"/>
          <w:highlight w:val="none"/>
          <w:lang w:val="en-US" w:eastAsia="zh-CN"/>
        </w:rPr>
        <w:t xml:space="preserve">128</w:t>
      </w:r>
      <w:r>
        <w:rPr>
          <w:rFonts w:hint="eastAsia" w:ascii="宋体" w:hAnsi="宋体"/>
          <w:color w:val="auto"/>
          <w:sz w:val="24"/>
          <w:szCs w:val="24"/>
          <w:highlight w:val="none"/>
        </w:rPr>
        <w:t xml:space="preserve">万元，报价超过最高限价的将作为无效响应处理。</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7.采购需求：</w:t>
      </w:r>
      <w:r>
        <w:rPr>
          <w:rFonts w:hint="eastAsia" w:ascii="宋体" w:hAnsi="宋体" w:cs="宋体"/>
          <w:color w:val="auto"/>
          <w:sz w:val="24"/>
          <w:szCs w:val="24"/>
          <w:highlight w:val="none"/>
        </w:rPr>
        <w:t xml:space="preserve">详细内容见本采购文件第三章，</w:t>
      </w:r>
      <w:r>
        <w:rPr>
          <w:rFonts w:ascii="宋体" w:hAnsi="宋体" w:cs="宋体"/>
          <w:color w:val="auto"/>
          <w:sz w:val="24"/>
          <w:szCs w:val="24"/>
          <w:highlight w:val="none"/>
        </w:rPr>
        <w:t xml:space="preserve">请仔细研究。</w:t>
      </w:r>
      <w:r/>
    </w:p>
    <w:p>
      <w:pPr>
        <w:ind w:firstLine="480"/>
        <w:spacing w:line="56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8.合同履行期限：详见磋商文件</w:t>
      </w:r>
      <w:r/>
    </w:p>
    <w:p>
      <w:pPr>
        <w:ind w:firstLine="498"/>
        <w:keepLines/>
        <w:keepNext/>
        <w:spacing w:line="560" w:lineRule="exact"/>
        <w:rPr>
          <w:rFonts w:ascii="宋体" w:hAnsi="宋体"/>
          <w:b/>
          <w:bCs/>
          <w:color w:val="auto"/>
          <w:sz w:val="32"/>
          <w:szCs w:val="32"/>
          <w:highlight w:val="none"/>
        </w:rPr>
        <w:outlineLvl w:val="2"/>
      </w:pPr>
      <w:r/>
      <w:bookmarkStart w:id="12" w:name="_Toc35393791"/>
      <w:r/>
      <w:bookmarkStart w:id="13" w:name="_Toc35393622"/>
      <w:r/>
      <w:bookmarkStart w:id="14" w:name="_Toc28359080"/>
      <w:r/>
      <w:bookmarkStart w:id="15" w:name="_Toc38985264"/>
      <w:r/>
      <w:bookmarkStart w:id="16" w:name="_Toc28359003"/>
      <w:r>
        <w:rPr>
          <w:rFonts w:hint="eastAsia" w:ascii="宋体" w:hAnsi="宋体"/>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color w:val="auto"/>
          <w:sz w:val="24"/>
          <w:szCs w:val="24"/>
          <w:highlight w:val="none"/>
        </w:rPr>
      </w:pPr>
      <w:r/>
      <w:bookmarkStart w:id="17" w:name="_Toc35393623"/>
      <w:r/>
      <w:bookmarkStart w:id="18" w:name="_Toc28359004"/>
      <w:r/>
      <w:bookmarkStart w:id="19" w:name="_Toc35393792"/>
      <w:r/>
      <w:bookmarkStart w:id="20" w:name="_Toc38985265"/>
      <w:r/>
      <w:bookmarkStart w:id="21"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满足《中华人民共和国政府采购法》第二十二条规定，并提供相关材料：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(2)上一年度的财务状况报告（提供参加本次开标前的会计报表，必须含资产负债表、利润表等证明材料，成立不满一年不需提供）；</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(4)具备履行合同所必需的设备和专业技术能力的证明材料（提供承诺书）；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(5)参加政府采购活动前3年内在经营活动中没有重大违法记录的书面声明（提供书面声明）；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2.落实政府采购政策需满足的资格要求：本项目专门面向中小企业采购（须按照财库〔2020〕46 号文要求提供中小企业声明函。）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bookmarkStart w:id="22" w:name="OLE_LINK82"/>
      <w:r/>
      <w:bookmarkStart w:id="23" w:name="OLE_LINK81"/>
      <w:r>
        <w:rPr>
          <w:rFonts w:hint="eastAsia" w:ascii="宋体" w:hAnsi="宋体"/>
          <w:color w:val="auto"/>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2"/>
      <w:r/>
      <w:bookmarkEnd w:id="23"/>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（提供承诺函，格式详见附件）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5.本项目不接受进口产品投标。</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6.本项目不接受分包。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三、获取</w:t>
      </w:r>
      <w:bookmarkEnd w:id="17"/>
      <w:r/>
      <w:bookmarkEnd w:id="18"/>
      <w:r/>
      <w:bookmarkEnd w:id="19"/>
      <w:r/>
      <w:bookmarkEnd w:id="20"/>
      <w:r/>
      <w:bookmarkEnd w:id="21"/>
      <w:r>
        <w:rPr>
          <w:rFonts w:hint="eastAsia" w:ascii="宋体" w:hAnsi="宋体"/>
          <w:b/>
          <w:bCs/>
          <w:color w:val="auto"/>
          <w:sz w:val="32"/>
          <w:szCs w:val="32"/>
          <w:highlight w:val="none"/>
        </w:rPr>
        <w:t xml:space="preserve">磋商文件</w:t>
      </w:r>
      <w:r/>
    </w:p>
    <w:p>
      <w:pPr>
        <w:ind w:firstLine="540"/>
        <w:spacing w:line="560" w:lineRule="exact"/>
        <w:rPr>
          <w:rFonts w:ascii="宋体" w:hAnsi="宋体" w:cs="宋体"/>
          <w:b/>
          <w:color w:val="auto"/>
          <w:sz w:val="24"/>
          <w:szCs w:val="24"/>
          <w:highlight w:val="none"/>
        </w:rPr>
      </w:pPr>
      <w:r/>
      <w:bookmarkStart w:id="24" w:name="_Toc28359082"/>
      <w:r/>
      <w:bookmarkStart w:id="25" w:name="_Toc28359005"/>
      <w:r/>
      <w:bookmarkStart w:id="26" w:name="_Toc35393624"/>
      <w:r/>
      <w:bookmarkStart w:id="27" w:name="_Toc35393793"/>
      <w:r/>
      <w:bookmarkStart w:id="28" w:name="_Toc38985266"/>
      <w:r>
        <w:rPr>
          <w:rFonts w:hint="eastAsia" w:ascii="宋体" w:hAnsi="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月28</w:t>
      </w:r>
      <w:r>
        <w:rPr>
          <w:rFonts w:hint="eastAsia" w:ascii="宋体" w:hAnsi="宋体" w:cs="宋体"/>
          <w:color w:val="auto"/>
          <w:sz w:val="24"/>
          <w:szCs w:val="24"/>
          <w:highlight w:val="none"/>
        </w:rPr>
        <w:t xml:space="preserve">日至2026年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日（提供期限自本公告发布之日起不得少于5个工作日）。</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2.方式：在“江苏政府采购网”自行免费下载磋商文件。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3.1潜在供应商访问电子招标响应交易平台的网络地址和方法：</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3.2潜在供应商访问“苏采云”系统的网络地址和方法：“苏采云”系统的网址：http://jszfcg.jsczt.cn/。</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3.3“CA数字证书”的获取：</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四、提交</w:t>
      </w:r>
      <w:bookmarkEnd w:id="24"/>
      <w:r/>
      <w:bookmarkEnd w:id="25"/>
      <w:r>
        <w:rPr>
          <w:rFonts w:hint="eastAsia" w:ascii="宋体" w:hAnsi="宋体"/>
          <w:b/>
          <w:bCs/>
          <w:color w:val="auto"/>
          <w:sz w:val="32"/>
          <w:szCs w:val="32"/>
          <w:highlight w:val="none"/>
        </w:rPr>
        <w:t xml:space="preserve">响应文件截止时间</w:t>
      </w:r>
      <w:bookmarkEnd w:id="26"/>
      <w:r/>
      <w:bookmarkEnd w:id="27"/>
      <w:r/>
      <w:bookmarkEnd w:id="28"/>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2026年</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7</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rPr>
        <w:t xml:space="preserve">（北京时间）。</w:t>
      </w:r>
      <w:r>
        <w:rPr>
          <w:rFonts w:hint="eastAsia" w:ascii="宋体" w:hAnsi="宋体" w:cs="宋体"/>
          <w:color w:val="auto"/>
          <w:sz w:val="24"/>
          <w:szCs w:val="24"/>
          <w:highlight w:val="none"/>
        </w:rPr>
        <w:t xml:space="preserve">（自磋商文件开始发出之日起至供应商提交响应文件截止之日止，不得少于10日。）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2"/>
        <w:spacing w:line="560" w:lineRule="exact"/>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注：各供应商请关注开标大厅交流区，在开标结束后，请勿离开开标大厅，待资格审查完毕，磋商小组发出报价指令后须在1</w:t>
      </w:r>
      <w:r>
        <w:rPr>
          <w:rFonts w:hint="eastAsia" w:ascii="宋体" w:hAnsi="宋体" w:cs="宋体"/>
          <w:b/>
          <w:color w:val="auto"/>
          <w:sz w:val="24"/>
          <w:szCs w:val="21"/>
          <w:highlight w:val="none"/>
          <w:lang w:val="en-US" w:eastAsia="zh-CN"/>
        </w:rPr>
        <w:t xml:space="preserve">0</w:t>
      </w:r>
      <w:r>
        <w:rPr>
          <w:rFonts w:hint="eastAsia" w:ascii="宋体" w:hAnsi="宋体" w:cs="宋体"/>
          <w:b/>
          <w:color w:val="auto"/>
          <w:sz w:val="24"/>
          <w:szCs w:val="21"/>
          <w:highlight w:val="none"/>
        </w:rPr>
        <w:t xml:space="preserve">分钟内完成系统报价。</w:t>
      </w:r>
      <w:r>
        <w:rPr>
          <w:rFonts w:hint="eastAsia" w:ascii="宋体" w:hAnsi="宋体"/>
          <w:color w:val="auto"/>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color w:val="auto"/>
          <w:sz w:val="24"/>
          <w:szCs w:val="24"/>
          <w:highlight w:val="none"/>
          <w:u w:val="single"/>
        </w:rPr>
      </w:pPr>
      <w:r>
        <w:rPr>
          <w:rFonts w:hint="eastAsia" w:ascii="宋体" w:hAnsi="宋体" w:cs="宋体"/>
          <w:color w:val="auto"/>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auto"/>
          <w:sz w:val="24"/>
          <w:szCs w:val="21"/>
          <w:highlight w:val="none"/>
        </w:rPr>
        <w:t xml:space="preserve">供应商解密限定在开标后30分钟之内完成</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auto"/>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宋体" w:hAnsi="宋体"/>
          <w:b/>
          <w:bCs/>
          <w:color w:val="auto"/>
          <w:sz w:val="32"/>
          <w:szCs w:val="32"/>
          <w:highlight w:val="none"/>
        </w:rPr>
        <w:outlineLvl w:val="2"/>
      </w:pPr>
      <w:r/>
      <w:bookmarkStart w:id="29" w:name="_Toc38985267"/>
      <w:r/>
      <w:bookmarkStart w:id="30" w:name="_Toc28359084"/>
      <w:r/>
      <w:bookmarkStart w:id="31" w:name="_Toc28359007"/>
      <w:r/>
      <w:bookmarkStart w:id="32" w:name="_Toc35393625"/>
      <w:r/>
      <w:bookmarkStart w:id="33" w:name="_Toc35393794"/>
      <w:r>
        <w:rPr>
          <w:rFonts w:hint="eastAsia" w:ascii="宋体" w:hAnsi="宋体"/>
          <w:b/>
          <w:bCs/>
          <w:color w:val="auto"/>
          <w:sz w:val="32"/>
          <w:szCs w:val="32"/>
          <w:highlight w:val="none"/>
        </w:rPr>
        <w:t xml:space="preserve">五、公告期限</w:t>
      </w:r>
      <w:bookmarkEnd w:id="29"/>
      <w:r/>
      <w:bookmarkEnd w:id="30"/>
      <w:r/>
      <w:bookmarkEnd w:id="31"/>
      <w:r/>
      <w:bookmarkEnd w:id="32"/>
      <w:r/>
      <w:bookmarkEnd w:id="33"/>
      <w:r/>
      <w:r/>
    </w:p>
    <w:p>
      <w:pPr>
        <w:ind w:firstLine="480"/>
        <w:spacing w:line="560" w:lineRule="exact"/>
        <w:rPr>
          <w:rFonts w:ascii="宋体" w:hAnsi="宋体" w:cs="宋体"/>
          <w:color w:val="auto"/>
          <w:sz w:val="24"/>
          <w:szCs w:val="24"/>
          <w:highlight w:val="none"/>
        </w:rPr>
      </w:pPr>
      <w:r/>
      <w:bookmarkStart w:id="34" w:name="_Toc38985268"/>
      <w:r/>
      <w:bookmarkStart w:id="35" w:name="_Toc35393626"/>
      <w:r/>
      <w:bookmarkStart w:id="36" w:name="_Toc35393795"/>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六、其他补充事宜</w:t>
      </w:r>
      <w:bookmarkEnd w:id="34"/>
      <w:r/>
      <w:bookmarkEnd w:id="35"/>
      <w:r/>
      <w:bookmarkEnd w:id="3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3.项目演示、样品、答辩等（如有请描述）：详见项目需求</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6.有关本次磋商的事项若存在变动或修改，敬请及时关注采购人在“江苏政府采购网”发布的更正公告。</w:t>
      </w:r>
      <w:r/>
    </w:p>
    <w:p>
      <w:pPr>
        <w:ind w:firstLine="498"/>
        <w:keepLines/>
        <w:keepNext/>
        <w:spacing w:line="560" w:lineRule="exact"/>
        <w:rPr>
          <w:rFonts w:ascii="宋体" w:hAnsi="宋体"/>
          <w:b/>
          <w:bCs/>
          <w:color w:val="auto"/>
          <w:sz w:val="32"/>
          <w:szCs w:val="32"/>
          <w:highlight w:val="none"/>
        </w:rPr>
        <w:outlineLvl w:val="2"/>
      </w:pPr>
      <w:r/>
      <w:bookmarkStart w:id="37" w:name="_Toc35393796"/>
      <w:r/>
      <w:bookmarkStart w:id="38" w:name="_Toc28359085"/>
      <w:r/>
      <w:bookmarkStart w:id="39" w:name="_Toc28359008"/>
      <w:r/>
      <w:bookmarkStart w:id="40" w:name="_Toc38985269"/>
      <w:r/>
      <w:bookmarkStart w:id="41" w:name="_Toc35393627"/>
      <w:r>
        <w:rPr>
          <w:rFonts w:hint="eastAsia" w:ascii="宋体" w:hAnsi="宋体"/>
          <w:b/>
          <w:bCs/>
          <w:color w:val="auto"/>
          <w:sz w:val="32"/>
          <w:szCs w:val="32"/>
          <w:highlight w:val="none"/>
        </w:rPr>
        <w:t xml:space="preserve">七、本次磋商联系方式</w:t>
      </w:r>
      <w:bookmarkEnd w:id="37"/>
      <w:r/>
      <w:bookmarkEnd w:id="38"/>
      <w:r/>
      <w:bookmarkEnd w:id="39"/>
      <w:r/>
      <w:bookmarkEnd w:id="40"/>
      <w:r/>
      <w:bookmarkEnd w:id="41"/>
      <w:r/>
      <w:r/>
    </w:p>
    <w:p>
      <w:pPr>
        <w:jc w:val="left"/>
        <w:spacing w:line="560" w:lineRule="exact"/>
        <w:widowControl/>
        <w:rPr>
          <w:rFonts w:ascii="宋体" w:hAnsi="宋体"/>
          <w:color w:val="auto"/>
          <w:sz w:val="24"/>
          <w:szCs w:val="24"/>
          <w:highlight w:val="none"/>
        </w:rPr>
      </w:pPr>
      <w:r>
        <w:rPr>
          <w:rFonts w:hint="eastAsia" w:ascii="宋体" w:hAnsi="宋体"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left="1079" w:hanging="300"/>
        <w:jc w:val="left"/>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海安市教育体育局</w:t>
      </w:r>
      <w:r/>
    </w:p>
    <w:p>
      <w:pPr>
        <w:ind w:left="1079" w:hanging="30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地 址：海安市黄海大道西3号</w:t>
      </w:r>
      <w:r>
        <w:rPr>
          <w:rFonts w:ascii="宋体" w:hAnsi="宋体" w:cs="宋体"/>
          <w:color w:val="auto"/>
          <w:sz w:val="24"/>
          <w:highlight w:val="none"/>
        </w:rPr>
        <w:t xml:space="preserve"> </w:t>
      </w:r>
      <w:r/>
    </w:p>
    <w:p>
      <w:pPr>
        <w:ind w:left="1079" w:hanging="300"/>
        <w:jc w:val="left"/>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联系人：张睿涵</w:t>
      </w:r>
      <w:r/>
    </w:p>
    <w:p>
      <w:pPr>
        <w:ind w:left="1079" w:hanging="300"/>
        <w:jc w:val="left"/>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联系方式：0513-88919916</w:t>
      </w:r>
      <w:r/>
    </w:p>
    <w:p>
      <w:pPr>
        <w:ind w:left="1079" w:hanging="300"/>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名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称：</w:t>
      </w:r>
      <w:r>
        <w:rPr>
          <w:rFonts w:hint="eastAsia" w:ascii="宋体" w:hAnsi="宋体"/>
          <w:color w:val="auto"/>
          <w:sz w:val="24"/>
          <w:szCs w:val="24"/>
          <w:highlight w:val="none"/>
          <w:lang w:eastAsia="zh-CN"/>
        </w:rPr>
        <w:t xml:space="preserve">江苏海审工程咨询有限公司</w:t>
      </w:r>
      <w:r>
        <w:rPr>
          <w:rFonts w:hint="eastAsia" w:ascii="宋体" w:hAnsi="宋体"/>
          <w:color w:val="auto"/>
          <w:sz w:val="24"/>
          <w:szCs w:val="24"/>
          <w:highlight w:val="none"/>
        </w:rPr>
        <w:t xml:space="preserve"> </w:t>
      </w:r>
      <w:r/>
    </w:p>
    <w:p>
      <w:pPr>
        <w:ind w:firstLine="720"/>
        <w:spacing w:line="560" w:lineRule="exact"/>
        <w:rPr>
          <w:rFonts w:ascii="宋体" w:hAnsi="宋体" w:eastAsia="宋体"/>
          <w:color w:val="auto"/>
          <w:highlight w:val="none"/>
          <w:lang w:val="en-US" w:eastAsia="zh-CN"/>
        </w:rPr>
      </w:pPr>
      <w:r>
        <w:rPr>
          <w:rFonts w:hint="eastAsia" w:ascii="宋体" w:hAnsi="宋体"/>
          <w:color w:val="auto"/>
          <w:sz w:val="24"/>
          <w:szCs w:val="24"/>
          <w:highlight w:val="none"/>
        </w:rPr>
        <w:t xml:space="preserve">地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址：海安市</w:t>
      </w:r>
      <w:r>
        <w:rPr>
          <w:rFonts w:hint="eastAsia" w:ascii="宋体" w:hAnsi="宋体"/>
          <w:color w:val="auto"/>
          <w:sz w:val="24"/>
          <w:szCs w:val="24"/>
          <w:highlight w:val="none"/>
          <w:lang w:val="en-US" w:eastAsia="zh-CN"/>
        </w:rPr>
        <w:t xml:space="preserve">长江中路122号</w:t>
      </w:r>
      <w:r/>
    </w:p>
    <w:p>
      <w:pPr>
        <w:ind w:firstLine="72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val="en-US" w:eastAsia="zh-CN"/>
        </w:rPr>
        <w:t xml:space="preserve">徐迪徇</w:t>
      </w:r>
      <w:r/>
    </w:p>
    <w:p>
      <w:pPr>
        <w:ind w:firstLine="720"/>
        <w:spacing w:line="560" w:lineRule="exact"/>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18012251715</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spacing w:line="560" w:lineRule="exact"/>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磋商文件制作人: </w:t>
      </w:r>
      <w:r>
        <w:rPr>
          <w:rFonts w:hint="eastAsia" w:ascii="宋体" w:hAnsi="宋体"/>
          <w:color w:val="auto"/>
          <w:sz w:val="24"/>
          <w:szCs w:val="24"/>
          <w:highlight w:val="none"/>
          <w:lang w:val="en-US" w:eastAsia="zh-CN"/>
        </w:rPr>
        <w:t xml:space="preserve">18012251715</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项目磋商经办人：0513-88919916</w:t>
      </w:r>
      <w:r/>
    </w:p>
    <w:p>
      <w:pPr>
        <w:ind w:firstLine="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交易系统软件维护人员：那工  </w:t>
      </w:r>
      <w:r>
        <w:rPr>
          <w:rFonts w:ascii="宋体" w:hAnsi="宋体"/>
          <w:color w:val="auto"/>
          <w:sz w:val="24"/>
          <w:szCs w:val="24"/>
          <w:highlight w:val="none"/>
        </w:rPr>
        <w:t xml:space="preserve">0519-86722801、0519-8672280</w:t>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line="520" w:lineRule="exact"/>
        <w:rPr>
          <w:rFonts w:hint="eastAsia" w:ascii="宋体" w:hAnsi="宋体" w:cs="Arial"/>
          <w:color w:val="auto"/>
          <w:sz w:val="44"/>
          <w:szCs w:val="44"/>
          <w:highlight w:val="none"/>
        </w:rPr>
        <w:outlineLvl w:val="1"/>
      </w:pPr>
      <w:r/>
      <w:bookmarkStart w:id="42" w:name="_Toc120614211"/>
      <w:r>
        <w:rPr>
          <w:rFonts w:hint="eastAsia" w:ascii="宋体" w:hAnsi="宋体" w:cs="Arial"/>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Arial"/>
          <w:b/>
          <w:bCs/>
          <w:color w:val="auto"/>
          <w:sz w:val="44"/>
          <w:szCs w:val="44"/>
          <w:highlight w:val="none"/>
        </w:rPr>
        <w:t xml:space="preserve">供应商须知</w:t>
      </w:r>
      <w:r/>
    </w:p>
    <w:p>
      <w:pPr>
        <w:keepLines/>
        <w:keepNext/>
        <w:spacing w:line="520" w:lineRule="exact"/>
        <w:rPr>
          <w:rFonts w:hint="eastAsia" w:ascii="宋体" w:hAnsi="宋体"/>
          <w:b/>
          <w:bCs/>
          <w:color w:val="auto"/>
          <w:sz w:val="32"/>
          <w:szCs w:val="32"/>
          <w:highlight w:val="none"/>
        </w:rPr>
        <w:outlineLvl w:val="2"/>
      </w:pPr>
      <w:r/>
      <w:bookmarkStart w:id="43" w:name="_Toc120614214"/>
      <w:r/>
      <w:bookmarkStart w:id="44" w:name="_Toc513029203"/>
      <w:r/>
      <w:bookmarkStart w:id="45" w:name="_Toc20823275"/>
      <w:r/>
      <w:bookmarkStart w:id="46" w:name="_Toc16938519"/>
      <w:r>
        <w:rPr>
          <w:rFonts w:hint="eastAsia" w:ascii="宋体" w:hAnsi="宋体"/>
          <w:b/>
          <w:bCs/>
          <w:color w:val="auto"/>
          <w:sz w:val="32"/>
          <w:szCs w:val="32"/>
          <w:highlight w:val="none"/>
        </w:rPr>
        <w:t xml:space="preserve">一、总则</w:t>
      </w:r>
      <w:bookmarkEnd w:id="43"/>
      <w:r/>
      <w:bookmarkEnd w:id="44"/>
      <w:r/>
      <w:bookmarkEnd w:id="45"/>
      <w:r/>
      <w:bookmarkEnd w:id="46"/>
      <w:r/>
      <w:r/>
    </w:p>
    <w:p>
      <w:pPr>
        <w:ind w:firstLine="420"/>
        <w:keepLines/>
        <w:keepNext/>
        <w:spacing w:line="520" w:lineRule="exact"/>
        <w:rPr>
          <w:rFonts w:hint="eastAsia" w:ascii="宋体" w:hAnsi="宋体" w:cs="Arial"/>
          <w:color w:val="auto"/>
          <w:sz w:val="28"/>
          <w:szCs w:val="28"/>
          <w:highlight w:val="none"/>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宋体" w:hAnsi="宋体" w:cs="Arial"/>
          <w:color w:val="auto"/>
          <w:sz w:val="28"/>
          <w:szCs w:val="28"/>
          <w:highlight w:val="none"/>
        </w:rPr>
        <w:t xml:space="preserve">1</w:t>
      </w:r>
      <w:bookmarkEnd w:id="48"/>
      <w:r>
        <w:rPr>
          <w:rFonts w:hint="eastAsia" w:ascii="宋体" w:hAnsi="宋体" w:cs="Arial"/>
          <w:color w:val="auto"/>
          <w:sz w:val="28"/>
          <w:szCs w:val="28"/>
          <w:highlight w:val="none"/>
        </w:rPr>
        <w:t xml:space="preserve">.采购方式</w:t>
      </w:r>
      <w:bookmarkEnd w:id="49"/>
      <w:r/>
      <w:bookmarkEnd w:id="50"/>
      <w:r/>
      <w:bookmarkEnd w:id="51"/>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hint="eastAsia" w:ascii="宋体" w:hAnsi="宋体" w:cs="Arial"/>
          <w:color w:val="auto"/>
          <w:sz w:val="28"/>
          <w:szCs w:val="28"/>
          <w:highlight w:val="none"/>
        </w:rPr>
        <w:outlineLvl w:val="3"/>
      </w:pPr>
      <w:r/>
      <w:bookmarkStart w:id="52" w:name="_Toc20823277"/>
      <w:r/>
      <w:bookmarkStart w:id="53" w:name="_Toc16938521"/>
      <w:r/>
      <w:bookmarkStart w:id="54" w:name="_Toc513029205"/>
      <w:r>
        <w:rPr>
          <w:rFonts w:hint="eastAsia" w:ascii="宋体" w:hAnsi="宋体" w:cs="Arial"/>
          <w:color w:val="auto"/>
          <w:sz w:val="28"/>
          <w:szCs w:val="28"/>
          <w:highlight w:val="none"/>
        </w:rPr>
        <w:t xml:space="preserve">2.合格的</w:t>
      </w:r>
      <w:bookmarkEnd w:id="52"/>
      <w:r/>
      <w:bookmarkEnd w:id="53"/>
      <w:r/>
      <w:bookmarkEnd w:id="54"/>
      <w:r>
        <w:rPr>
          <w:rFonts w:hint="eastAsia" w:ascii="宋体" w:hAnsi="宋体" w:cs="Arial"/>
          <w:color w:val="auto"/>
          <w:sz w:val="28"/>
          <w:szCs w:val="28"/>
          <w:highlight w:val="none"/>
        </w:rPr>
        <w:t xml:space="preserve">供应商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520" w:lineRule="exact"/>
        <w:rPr>
          <w:rFonts w:hint="eastAsia" w:ascii="宋体" w:hAnsi="宋体" w:cs="Arial"/>
          <w:color w:val="auto"/>
          <w:sz w:val="28"/>
          <w:szCs w:val="28"/>
          <w:highlight w:val="none"/>
        </w:rPr>
        <w:outlineLvl w:val="3"/>
      </w:pPr>
      <w:r/>
      <w:bookmarkStart w:id="55" w:name="_Toc513029206"/>
      <w:r/>
      <w:bookmarkStart w:id="56" w:name="_Toc20823278"/>
      <w:r/>
      <w:bookmarkStart w:id="57" w:name="_Toc16938522"/>
      <w:r>
        <w:rPr>
          <w:rFonts w:hint="eastAsia" w:ascii="宋体" w:hAnsi="宋体" w:cs="Arial"/>
          <w:color w:val="auto"/>
          <w:sz w:val="28"/>
          <w:szCs w:val="28"/>
          <w:highlight w:val="none"/>
        </w:rPr>
        <w:t xml:space="preserve">3.适用法律</w:t>
      </w:r>
      <w:bookmarkEnd w:id="55"/>
      <w:r/>
      <w:bookmarkEnd w:id="56"/>
      <w:r/>
      <w:bookmarkEnd w:id="57"/>
      <w:r/>
      <w:r/>
    </w:p>
    <w:p>
      <w:pPr>
        <w:ind w:firstLine="42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20" w:lineRule="exact"/>
        <w:rPr>
          <w:rFonts w:hint="eastAsia" w:ascii="宋体" w:hAnsi="宋体" w:cs="Arial"/>
          <w:color w:val="auto"/>
          <w:sz w:val="28"/>
          <w:szCs w:val="28"/>
          <w:highlight w:val="none"/>
        </w:rPr>
        <w:outlineLvl w:val="3"/>
      </w:pPr>
      <w:r/>
      <w:bookmarkStart w:id="58" w:name="_Toc462564067"/>
      <w:r/>
      <w:bookmarkStart w:id="59" w:name="_Toc16938523"/>
      <w:r/>
      <w:bookmarkStart w:id="60" w:name="_Toc513029207"/>
      <w:r/>
      <w:bookmarkStart w:id="61" w:name="_Toc20823279"/>
      <w:r>
        <w:rPr>
          <w:rFonts w:hint="eastAsia" w:ascii="宋体" w:hAnsi="宋体" w:cs="Arial"/>
          <w:color w:val="auto"/>
          <w:sz w:val="28"/>
          <w:szCs w:val="28"/>
          <w:highlight w:val="none"/>
        </w:rPr>
        <w:t xml:space="preserve">4.磋商费用</w:t>
      </w:r>
      <w:bookmarkEnd w:id="58"/>
      <w:r/>
      <w:bookmarkEnd w:id="59"/>
      <w:r/>
      <w:bookmarkEnd w:id="60"/>
      <w:r/>
      <w:bookmarkEnd w:id="61"/>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4.2本次磋商不收取标书工本费。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4.3本项目招标代理服务费按照《江苏省招标代理服务收费的指导意见》（苏招协〔2022〕2号）收费标准的</w:t>
      </w:r>
      <w:r>
        <w:rPr>
          <w:rFonts w:hint="eastAsia" w:ascii="宋体" w:hAnsi="宋体"/>
          <w:color w:val="auto"/>
          <w:sz w:val="24"/>
          <w:szCs w:val="21"/>
          <w:highlight w:val="none"/>
          <w:lang w:val="en-US" w:eastAsia="zh-CN"/>
        </w:rPr>
        <w:t xml:space="preserve">60</w:t>
      </w:r>
      <w:r>
        <w:rPr>
          <w:rFonts w:hint="eastAsia" w:ascii="宋体" w:hAnsi="宋体"/>
          <w:color w:val="auto"/>
          <w:sz w:val="24"/>
          <w:szCs w:val="21"/>
          <w:highlight w:val="none"/>
        </w:rPr>
        <w:t xml:space="preserve">%收取，按差额定率分档累进法计算，以中标价为计算基数，此费用由供应商综合考虑在投标报价中，由成交供应商在签订合同前支付。</w:t>
      </w:r>
      <w:r/>
    </w:p>
    <w:p>
      <w:pPr>
        <w:ind w:firstLine="301"/>
        <w:keepLines/>
        <w:keepNext/>
        <w:spacing w:line="520" w:lineRule="exact"/>
        <w:rPr>
          <w:rFonts w:hint="eastAsia" w:ascii="宋体" w:hAnsi="宋体" w:cs="Arial"/>
          <w:color w:val="auto"/>
          <w:sz w:val="28"/>
          <w:szCs w:val="28"/>
          <w:highlight w:val="none"/>
        </w:rPr>
        <w:outlineLvl w:val="3"/>
      </w:pPr>
      <w:r>
        <w:rPr>
          <w:rFonts w:hint="eastAsia" w:ascii="宋体" w:hAnsi="宋体" w:cs="Arial"/>
          <w:b/>
          <w:bCs/>
          <w:color w:val="auto"/>
          <w:sz w:val="30"/>
          <w:szCs w:val="28"/>
          <w:highlight w:val="none"/>
        </w:rPr>
        <w:t xml:space="preserve">5.</w:t>
      </w:r>
      <w:r>
        <w:rPr>
          <w:rFonts w:hint="eastAsia" w:ascii="宋体" w:hAnsi="宋体" w:cs="Arial"/>
          <w:color w:val="auto"/>
          <w:sz w:val="28"/>
          <w:szCs w:val="28"/>
          <w:highlight w:val="none"/>
        </w:rPr>
        <w:t xml:space="preserve">磋商文件的约束力</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keepLines/>
        <w:keepNext/>
        <w:spacing w:line="520" w:lineRule="exact"/>
        <w:rPr>
          <w:rFonts w:hint="eastAsia" w:ascii="宋体" w:hAnsi="宋体"/>
          <w:b/>
          <w:bCs/>
          <w:color w:val="auto"/>
          <w:sz w:val="32"/>
          <w:szCs w:val="32"/>
          <w:highlight w:val="none"/>
        </w:rPr>
        <w:outlineLvl w:val="2"/>
      </w:pPr>
      <w:r/>
      <w:bookmarkStart w:id="62" w:name="_Toc20823281"/>
      <w:r/>
      <w:bookmarkStart w:id="63" w:name="_Toc16938525"/>
      <w:r/>
      <w:bookmarkStart w:id="64" w:name="_Toc513029209"/>
      <w:r/>
      <w:bookmarkStart w:id="65" w:name="_Toc120614215"/>
      <w:r>
        <w:rPr>
          <w:rFonts w:hint="eastAsia" w:ascii="宋体" w:hAnsi="宋体"/>
          <w:b/>
          <w:bCs/>
          <w:color w:val="auto"/>
          <w:sz w:val="32"/>
          <w:szCs w:val="32"/>
          <w:highlight w:val="none"/>
        </w:rPr>
        <w:t xml:space="preserve">二、</w:t>
      </w:r>
      <w:bookmarkEnd w:id="62"/>
      <w:r/>
      <w:bookmarkEnd w:id="63"/>
      <w:r/>
      <w:bookmarkEnd w:id="64"/>
      <w:r/>
      <w:bookmarkEnd w:id="65"/>
      <w:r>
        <w:rPr>
          <w:rFonts w:hint="eastAsia" w:ascii="宋体" w:hAnsi="宋体"/>
          <w:b/>
          <w:bCs/>
          <w:color w:val="auto"/>
          <w:sz w:val="32"/>
          <w:szCs w:val="32"/>
          <w:highlight w:val="none"/>
        </w:rPr>
        <w:t xml:space="preserve">磋商文件</w:t>
      </w:r>
      <w:r/>
    </w:p>
    <w:p>
      <w:pPr>
        <w:ind w:firstLine="420"/>
        <w:keepLines/>
        <w:keepNext/>
        <w:spacing w:line="520" w:lineRule="exact"/>
        <w:rPr>
          <w:rFonts w:hint="eastAsia" w:ascii="宋体" w:hAnsi="宋体" w:cs="Arial"/>
          <w:color w:val="auto"/>
          <w:sz w:val="28"/>
          <w:szCs w:val="28"/>
          <w:highlight w:val="none"/>
        </w:rPr>
        <w:outlineLvl w:val="3"/>
      </w:pPr>
      <w:r/>
      <w:bookmarkStart w:id="66" w:name="_Toc513029210"/>
      <w:r/>
      <w:bookmarkStart w:id="67" w:name="_Toc16938526"/>
      <w:r/>
      <w:bookmarkStart w:id="68" w:name="_Toc20823282"/>
      <w:r>
        <w:rPr>
          <w:rFonts w:hint="eastAsia" w:ascii="宋体" w:hAnsi="宋体" w:cs="Arial"/>
          <w:color w:val="auto"/>
          <w:sz w:val="28"/>
          <w:szCs w:val="28"/>
          <w:highlight w:val="none"/>
        </w:rPr>
        <w:t xml:space="preserve">6.磋商文件构成</w:t>
      </w:r>
      <w:bookmarkEnd w:id="66"/>
      <w:r/>
      <w:bookmarkEnd w:id="67"/>
      <w:r/>
      <w:bookmarkEnd w:id="68"/>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（4）评审方法与评审标准</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（5）响应文件格式</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请仔细检查磋商文件是否齐全，如有缺漏请立即与采购人或采购代理机构联系解决。</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宋体" w:hAnsi="宋体" w:cs="Arial"/>
          <w:color w:val="auto"/>
          <w:sz w:val="28"/>
          <w:szCs w:val="28"/>
          <w:highlight w:val="none"/>
        </w:rPr>
        <w:outlineLvl w:val="3"/>
      </w:pPr>
      <w:r/>
      <w:bookmarkStart w:id="69" w:name="_Toc462564070"/>
      <w:r/>
      <w:bookmarkStart w:id="70" w:name="_Toc16938527"/>
      <w:r/>
      <w:bookmarkStart w:id="71" w:name="_Toc513029211"/>
      <w:r/>
      <w:bookmarkStart w:id="72" w:name="_Toc20823283"/>
      <w:r>
        <w:rPr>
          <w:rFonts w:hint="eastAsia" w:ascii="宋体" w:hAnsi="宋体" w:cs="Arial"/>
          <w:color w:val="auto"/>
          <w:sz w:val="28"/>
          <w:szCs w:val="28"/>
          <w:highlight w:val="none"/>
        </w:rPr>
        <w:t xml:space="preserve">7.磋商文件的澄清</w:t>
      </w:r>
      <w:bookmarkEnd w:id="69"/>
      <w:r/>
      <w:bookmarkEnd w:id="70"/>
      <w:r/>
      <w:bookmarkEnd w:id="71"/>
      <w:r/>
      <w:bookmarkEnd w:id="72"/>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任何要求对磋商文件进行澄清的供应商，应在磋商截止期5日</w:t>
      </w:r>
      <w:r>
        <w:rPr>
          <w:rFonts w:hint="eastAsia" w:ascii="宋体" w:hAnsi="宋体"/>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按磋商公告中的通讯地址，以书面形式通知采购人或采购代理机构。</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7.2采购人视情组织答疑会。</w:t>
      </w:r>
      <w:r/>
    </w:p>
    <w:p>
      <w:pPr>
        <w:ind w:firstLine="560"/>
        <w:keepLines/>
        <w:keepNext/>
        <w:spacing w:line="520" w:lineRule="exact"/>
        <w:rPr>
          <w:rFonts w:hint="eastAsia" w:ascii="宋体" w:hAnsi="宋体" w:cs="Arial"/>
          <w:color w:val="auto"/>
          <w:sz w:val="28"/>
          <w:szCs w:val="28"/>
          <w:highlight w:val="none"/>
        </w:rPr>
        <w:outlineLvl w:val="3"/>
      </w:pPr>
      <w:r/>
      <w:bookmarkStart w:id="73" w:name="_Toc20823284"/>
      <w:r/>
      <w:bookmarkStart w:id="74" w:name="_Toc513029212"/>
      <w:r/>
      <w:bookmarkStart w:id="75" w:name="_Toc462564071"/>
      <w:r/>
      <w:bookmarkStart w:id="76" w:name="_Toc16938528"/>
      <w:r>
        <w:rPr>
          <w:rFonts w:hint="eastAsia" w:ascii="宋体" w:hAnsi="宋体" w:cs="Arial"/>
          <w:color w:val="auto"/>
          <w:sz w:val="28"/>
          <w:szCs w:val="28"/>
          <w:highlight w:val="none"/>
        </w:rPr>
        <w:t xml:space="preserve">8.磋商文件的澄清和修改</w:t>
      </w:r>
      <w:bookmarkEnd w:id="73"/>
      <w:r/>
      <w:bookmarkEnd w:id="74"/>
      <w:r/>
      <w:bookmarkEnd w:id="75"/>
      <w:r/>
      <w:bookmarkEnd w:id="76"/>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在响应文件提交截止时间前，采购人或采购代理机构可以对磋商文件进行澄清和修改,</w:t>
      </w:r>
      <w:r>
        <w:rPr>
          <w:rFonts w:hint="eastAsia" w:ascii="宋体" w:hAnsi="宋体"/>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更正公告内容将作为磋商文件的组成部分，并对供应商具有约束力。不足5日的，采购人将顺延提交首次响应文件截止时间。</w:t>
      </w:r>
      <w:r/>
    </w:p>
    <w:p>
      <w:pPr>
        <w:keepLines/>
        <w:keepNext/>
        <w:spacing w:line="520" w:lineRule="exact"/>
        <w:rPr>
          <w:rFonts w:hint="eastAsia" w:ascii="宋体" w:hAnsi="宋体"/>
          <w:b/>
          <w:bCs/>
          <w:color w:val="auto"/>
          <w:sz w:val="32"/>
          <w:szCs w:val="32"/>
          <w:highlight w:val="none"/>
        </w:rPr>
        <w:outlineLvl w:val="2"/>
      </w:pPr>
      <w:r/>
      <w:bookmarkStart w:id="77" w:name="_Toc462564072"/>
      <w:r/>
      <w:bookmarkStart w:id="78" w:name="_Toc20823285"/>
      <w:r/>
      <w:bookmarkStart w:id="79" w:name="_Toc16938529"/>
      <w:r/>
      <w:bookmarkStart w:id="80" w:name="_Toc120614216"/>
      <w:r/>
      <w:bookmarkStart w:id="81" w:name="_Toc513029213"/>
      <w:r>
        <w:rPr>
          <w:rFonts w:hint="eastAsia" w:ascii="宋体" w:hAnsi="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spacing w:line="520" w:lineRule="exact"/>
        <w:rPr>
          <w:rFonts w:hint="eastAsia" w:ascii="宋体" w:hAnsi="宋体" w:cs="Arial"/>
          <w:b/>
          <w:color w:val="auto"/>
          <w:sz w:val="28"/>
          <w:szCs w:val="28"/>
          <w:highlight w:val="none"/>
        </w:rPr>
        <w:outlineLvl w:val="3"/>
      </w:pPr>
      <w:r/>
      <w:bookmarkStart w:id="82" w:name="_Toc16938530"/>
      <w:r/>
      <w:bookmarkStart w:id="83" w:name="_Toc462564073"/>
      <w:r/>
      <w:bookmarkStart w:id="84" w:name="_Toc20823286"/>
      <w:r/>
      <w:bookmarkStart w:id="85" w:name="_Toc513029214"/>
      <w:r>
        <w:rPr>
          <w:rFonts w:hint="eastAsia" w:ascii="宋体" w:hAnsi="宋体" w:cs="Arial"/>
          <w:color w:val="auto"/>
          <w:sz w:val="28"/>
          <w:szCs w:val="28"/>
          <w:highlight w:val="none"/>
        </w:rPr>
        <w:t xml:space="preserve">9.响应文件的语言及度量衡单位</w:t>
      </w:r>
      <w:bookmarkEnd w:id="82"/>
      <w:r/>
      <w:bookmarkEnd w:id="83"/>
      <w:r/>
      <w:bookmarkEnd w:id="84"/>
      <w:r/>
      <w:bookmarkEnd w:id="85"/>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hint="eastAsia" w:ascii="宋体" w:hAnsi="宋体" w:cs="Arial"/>
          <w:color w:val="auto"/>
          <w:sz w:val="28"/>
          <w:szCs w:val="28"/>
          <w:highlight w:val="none"/>
        </w:rPr>
        <w:outlineLvl w:val="3"/>
      </w:pPr>
      <w:r/>
      <w:bookmarkStart w:id="86" w:name="_Toc16938531"/>
      <w:r/>
      <w:bookmarkStart w:id="87" w:name="_Toc462564074"/>
      <w:r/>
      <w:bookmarkStart w:id="88" w:name="_Toc513029215"/>
      <w:r/>
      <w:bookmarkStart w:id="89" w:name="_Toc20823287"/>
      <w:r>
        <w:rPr>
          <w:rFonts w:hint="eastAsia" w:ascii="宋体" w:hAnsi="宋体" w:cs="Arial"/>
          <w:color w:val="auto"/>
          <w:sz w:val="28"/>
          <w:szCs w:val="28"/>
          <w:highlight w:val="none"/>
        </w:rPr>
        <w:t xml:space="preserve">10.响应文件构成</w:t>
      </w:r>
      <w:bookmarkEnd w:id="86"/>
      <w:r/>
      <w:bookmarkEnd w:id="87"/>
      <w:r/>
      <w:bookmarkEnd w:id="88"/>
      <w:r/>
      <w:bookmarkEnd w:id="89"/>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宋体" w:hAnsi="宋体" w:cs="Arial"/>
          <w:color w:val="auto"/>
          <w:sz w:val="28"/>
          <w:szCs w:val="28"/>
          <w:highlight w:val="none"/>
        </w:rPr>
        <w:outlineLvl w:val="3"/>
      </w:pPr>
      <w:r/>
      <w:bookmarkStart w:id="90" w:name="_Hlt26954838"/>
      <w:r/>
      <w:bookmarkEnd w:id="90"/>
      <w:r/>
      <w:bookmarkStart w:id="91" w:name="_Hlt26670360"/>
      <w:r/>
      <w:bookmarkEnd w:id="91"/>
      <w:r/>
      <w:bookmarkStart w:id="92" w:name="_Hlt26668975"/>
      <w:r/>
      <w:bookmarkEnd w:id="92"/>
      <w:r/>
      <w:bookmarkStart w:id="93" w:name="_Toc513029219"/>
      <w:r/>
      <w:bookmarkStart w:id="94" w:name="_Toc14577357"/>
      <w:r/>
      <w:bookmarkStart w:id="95" w:name="_Toc49090509"/>
      <w:r/>
      <w:bookmarkStart w:id="96" w:name="_Toc513029216"/>
      <w:r/>
      <w:bookmarkStart w:id="97" w:name="_Toc49090507"/>
      <w:r/>
      <w:bookmarkStart w:id="98" w:name="_Toc14577354"/>
      <w:r/>
      <w:bookmarkStart w:id="99" w:name="_Toc14577355"/>
      <w:r/>
      <w:bookmarkStart w:id="100" w:name="_Toc49090508"/>
      <w:r>
        <w:rPr>
          <w:rFonts w:hint="eastAsia" w:ascii="宋体" w:hAnsi="宋体" w:cs="Arial"/>
          <w:color w:val="auto"/>
          <w:sz w:val="28"/>
          <w:szCs w:val="28"/>
          <w:highlight w:val="none"/>
        </w:rPr>
        <w:t xml:space="preserve">11.证明磋商响应标的符合磋商文件规定的文件</w:t>
      </w:r>
      <w:bookmarkEnd w:id="93"/>
      <w:r/>
      <w:bookmarkEnd w:id="94"/>
      <w:r/>
      <w:bookmarkEnd w:id="95"/>
      <w:r/>
      <w:bookmarkEnd w:id="96"/>
      <w:r/>
      <w:bookmarkEnd w:id="97"/>
      <w:r/>
      <w:bookmarkEnd w:id="98"/>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99"/>
      <w:r/>
      <w:bookmarkEnd w:id="100"/>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12.分项报价表</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520" w:lineRule="exact"/>
        <w:rPr>
          <w:rFonts w:hint="eastAsia" w:ascii="宋体" w:hAnsi="宋体" w:cs="Arial"/>
          <w:color w:val="auto"/>
          <w:sz w:val="28"/>
          <w:szCs w:val="28"/>
          <w:highlight w:val="none"/>
        </w:rPr>
        <w:outlineLvl w:val="3"/>
      </w:pPr>
      <w:r/>
      <w:bookmarkStart w:id="101" w:name="_Hlt26954846"/>
      <w:r/>
      <w:bookmarkEnd w:id="101"/>
      <w:r/>
      <w:bookmarkStart w:id="102" w:name="_Hlt26954848"/>
      <w:r/>
      <w:bookmarkEnd w:id="102"/>
      <w:r/>
      <w:bookmarkStart w:id="103" w:name="_Hlt26954731"/>
      <w:r/>
      <w:bookmarkEnd w:id="103"/>
      <w:r/>
      <w:bookmarkStart w:id="104" w:name="_Hlt26670482"/>
      <w:r/>
      <w:bookmarkEnd w:id="104"/>
      <w:r/>
      <w:bookmarkStart w:id="105" w:name="_Hlt26670486"/>
      <w:r/>
      <w:bookmarkEnd w:id="105"/>
      <w:r>
        <w:rPr>
          <w:rFonts w:hint="eastAsia" w:ascii="宋体" w:hAnsi="宋体" w:cs="Arial"/>
          <w:color w:val="auto"/>
          <w:sz w:val="28"/>
          <w:szCs w:val="28"/>
          <w:highlight w:val="none"/>
        </w:rPr>
        <w:t xml:space="preserve">13.技术要求响应及偏离表、商务要求响应及偏离表</w:t>
      </w:r>
      <w:r/>
    </w:p>
    <w:p>
      <w:pPr>
        <w:ind w:firstLine="480"/>
        <w:spacing w:line="520" w:lineRule="exact"/>
        <w:rPr>
          <w:rFonts w:hint="eastAsia" w:ascii="宋体" w:hAnsi="宋体" w:cs="宋体"/>
          <w:color w:val="auto"/>
          <w:sz w:val="24"/>
          <w:szCs w:val="21"/>
          <w:highlight w:val="none"/>
          <w:lang w:val="zh-CN"/>
        </w:rPr>
      </w:pPr>
      <w:r>
        <w:rPr>
          <w:rFonts w:ascii="宋体" w:hAnsi="宋体" w:cs="宋体"/>
          <w:bCs/>
          <w:color w:val="auto"/>
          <w:sz w:val="24"/>
          <w:szCs w:val="21"/>
          <w:highlight w:val="none"/>
          <w:lang w:val="zh-CN"/>
        </w:rPr>
        <w:t xml:space="preserve">1</w:t>
      </w:r>
      <w:r>
        <w:rPr>
          <w:rFonts w:hint="eastAsia" w:ascii="宋体" w:hAnsi="宋体" w:cs="宋体"/>
          <w:bCs/>
          <w:color w:val="auto"/>
          <w:sz w:val="24"/>
          <w:szCs w:val="21"/>
          <w:highlight w:val="none"/>
          <w:lang w:val="zh-CN"/>
        </w:rPr>
        <w:t xml:space="preserve">3</w:t>
      </w:r>
      <w:r>
        <w:rPr>
          <w:rFonts w:ascii="宋体" w:hAnsi="宋体" w:cs="宋体"/>
          <w:bCs/>
          <w:color w:val="auto"/>
          <w:sz w:val="24"/>
          <w:szCs w:val="21"/>
          <w:highlight w:val="none"/>
          <w:lang w:val="zh-CN"/>
        </w:rPr>
        <w:t xml:space="preserve">.1</w:t>
      </w:r>
      <w:r>
        <w:rPr>
          <w:rFonts w:hint="eastAsia" w:ascii="宋体" w:hAnsi="宋体" w:cs="宋体"/>
          <w:color w:val="auto"/>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14.服务承诺、培训计划、人员安排及其他</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宋体" w:cs="宋体"/>
          <w:color w:val="auto"/>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宋体" w:hAnsi="宋体" w:cs="Arial"/>
          <w:color w:val="auto"/>
          <w:sz w:val="28"/>
          <w:szCs w:val="28"/>
          <w:highlight w:val="none"/>
        </w:rPr>
        <w:outlineLvl w:val="3"/>
      </w:pPr>
      <w:r/>
      <w:bookmarkStart w:id="106" w:name="_Toc49090510"/>
      <w:r/>
      <w:bookmarkStart w:id="107" w:name="_Toc14577359"/>
      <w:r>
        <w:rPr>
          <w:rFonts w:hint="eastAsia" w:ascii="宋体" w:hAnsi="宋体" w:cs="Arial"/>
          <w:color w:val="auto"/>
          <w:sz w:val="28"/>
          <w:szCs w:val="28"/>
          <w:highlight w:val="none"/>
        </w:rPr>
        <w:t xml:space="preserve">15.磋商响应函</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06"/>
      <w:r/>
      <w:bookmarkEnd w:id="107"/>
      <w:r/>
      <w:r/>
    </w:p>
    <w:p>
      <w:pPr>
        <w:ind w:firstLine="420"/>
        <w:keepLines/>
        <w:keepNext/>
        <w:spacing w:line="520" w:lineRule="exact"/>
        <w:rPr>
          <w:rFonts w:hint="eastAsia" w:ascii="宋体" w:hAnsi="宋体" w:cs="Arial"/>
          <w:color w:val="auto"/>
          <w:sz w:val="28"/>
          <w:szCs w:val="28"/>
          <w:highlight w:val="none"/>
        </w:rPr>
        <w:outlineLvl w:val="3"/>
      </w:pPr>
      <w:r/>
      <w:bookmarkStart w:id="108" w:name="_Toc14577360"/>
      <w:r/>
      <w:bookmarkStart w:id="109" w:name="_Toc49090511"/>
      <w:r>
        <w:rPr>
          <w:rFonts w:hint="eastAsia" w:ascii="宋体" w:hAnsi="宋体" w:cs="Arial"/>
          <w:color w:val="auto"/>
          <w:sz w:val="28"/>
          <w:szCs w:val="28"/>
          <w:highlight w:val="none"/>
        </w:rPr>
        <w:t xml:space="preserve">16.磋商有效期</w:t>
      </w:r>
      <w:bookmarkEnd w:id="108"/>
      <w:r/>
      <w:bookmarkEnd w:id="109"/>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宋体" w:hAnsi="宋体"/>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w:t>
      </w:r>
      <w:r>
        <w:rPr>
          <w:rFonts w:ascii="宋体" w:hAnsi="宋体" w:cs="Arial"/>
          <w:color w:val="auto"/>
          <w:sz w:val="28"/>
          <w:szCs w:val="28"/>
          <w:highlight w:val="none"/>
        </w:rPr>
        <w:t xml:space="preserve">7</w:t>
      </w:r>
      <w:r>
        <w:rPr>
          <w:rFonts w:hint="eastAsia" w:ascii="宋体" w:hAnsi="宋体" w:cs="Arial"/>
          <w:color w:val="auto"/>
          <w:sz w:val="28"/>
          <w:szCs w:val="28"/>
          <w:highlight w:val="none"/>
        </w:rPr>
        <w:t xml:space="preserve">.磋商有效期的延长</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keepLines/>
        <w:keepNext/>
        <w:spacing w:line="520" w:lineRule="exact"/>
        <w:rPr>
          <w:rFonts w:hint="eastAsia" w:ascii="宋体" w:hAnsi="宋体"/>
          <w:b/>
          <w:bCs/>
          <w:color w:val="auto"/>
          <w:sz w:val="32"/>
          <w:szCs w:val="32"/>
          <w:highlight w:val="none"/>
        </w:rPr>
        <w:outlineLvl w:val="2"/>
      </w:pPr>
      <w:r/>
      <w:bookmarkStart w:id="110" w:name="_Hlt26954739"/>
      <w:r/>
      <w:bookmarkEnd w:id="110"/>
      <w:r/>
      <w:bookmarkStart w:id="111" w:name="_Hlt26954852"/>
      <w:r/>
      <w:bookmarkEnd w:id="111"/>
      <w:r/>
      <w:bookmarkStart w:id="112" w:name="_Toc20823296"/>
      <w:r/>
      <w:bookmarkStart w:id="113" w:name="_Toc513029224"/>
      <w:r/>
      <w:bookmarkStart w:id="114" w:name="_Toc120614217"/>
      <w:r/>
      <w:bookmarkStart w:id="115" w:name="_Toc16938540"/>
      <w:r>
        <w:rPr>
          <w:rFonts w:hint="eastAsia" w:ascii="宋体" w:hAnsi="宋体"/>
          <w:b/>
          <w:bCs/>
          <w:color w:val="auto"/>
          <w:sz w:val="32"/>
          <w:szCs w:val="32"/>
          <w:highlight w:val="none"/>
        </w:rPr>
        <w:t xml:space="preserve">四、响应文件的递交</w:t>
      </w:r>
      <w:bookmarkEnd w:id="112"/>
      <w:r/>
      <w:bookmarkEnd w:id="113"/>
      <w:r/>
      <w:bookmarkEnd w:id="114"/>
      <w:r/>
      <w:bookmarkEnd w:id="115"/>
      <w:r/>
      <w:r/>
    </w:p>
    <w:p>
      <w:pPr>
        <w:ind w:firstLine="560"/>
        <w:keepLines/>
        <w:keepNext/>
        <w:spacing w:line="520" w:lineRule="exact"/>
        <w:rPr>
          <w:rFonts w:hint="eastAsia" w:ascii="宋体" w:hAnsi="宋体" w:cs="Arial"/>
          <w:color w:val="auto"/>
          <w:sz w:val="28"/>
          <w:szCs w:val="28"/>
          <w:highlight w:val="none"/>
        </w:rPr>
        <w:outlineLvl w:val="3"/>
      </w:pPr>
      <w:r/>
      <w:bookmarkStart w:id="116" w:name="_Toc20823297"/>
      <w:r/>
      <w:bookmarkStart w:id="117" w:name="_Toc462564084"/>
      <w:r/>
      <w:bookmarkStart w:id="118" w:name="_Toc513029225"/>
      <w:r/>
      <w:bookmarkStart w:id="119" w:name="_Toc16938541"/>
      <w:r>
        <w:rPr>
          <w:rFonts w:hint="eastAsia" w:ascii="宋体" w:hAnsi="宋体" w:cs="Arial"/>
          <w:color w:val="auto"/>
          <w:sz w:val="28"/>
          <w:szCs w:val="28"/>
          <w:highlight w:val="none"/>
        </w:rPr>
        <w:t xml:space="preserve">1</w:t>
      </w:r>
      <w:r>
        <w:rPr>
          <w:rFonts w:ascii="宋体" w:hAnsi="宋体" w:cs="Arial"/>
          <w:color w:val="auto"/>
          <w:sz w:val="28"/>
          <w:szCs w:val="28"/>
          <w:highlight w:val="none"/>
        </w:rPr>
        <w:t xml:space="preserve">8</w:t>
      </w:r>
      <w:r>
        <w:rPr>
          <w:rFonts w:hint="eastAsia" w:ascii="宋体" w:hAnsi="宋体" w:cs="Arial"/>
          <w:color w:val="auto"/>
          <w:sz w:val="28"/>
          <w:szCs w:val="28"/>
          <w:highlight w:val="none"/>
        </w:rPr>
        <w:t xml:space="preserve">.电子磋商</w:t>
      </w:r>
      <w:bookmarkEnd w:id="116"/>
      <w:r/>
      <w:bookmarkEnd w:id="117"/>
      <w:r/>
      <w:bookmarkEnd w:id="118"/>
      <w:r/>
      <w:bookmarkEnd w:id="119"/>
      <w:r>
        <w:rPr>
          <w:rFonts w:hint="eastAsia" w:ascii="宋体" w:hAnsi="宋体" w:cs="Arial"/>
          <w:color w:val="auto"/>
          <w:sz w:val="28"/>
          <w:szCs w:val="28"/>
          <w:highlight w:val="none"/>
        </w:rPr>
        <w:t xml:space="preserve">响应文件的递交</w:t>
      </w:r>
      <w:r/>
    </w:p>
    <w:p>
      <w:pPr>
        <w:ind w:firstLine="60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20" w:name="_Toc20823298"/>
      <w:r/>
      <w:bookmarkStart w:id="121" w:name="_Toc16938542"/>
      <w:r/>
      <w:bookmarkStart w:id="122" w:name="_Toc513029226"/>
      <w:r/>
      <w:r/>
    </w:p>
    <w:p>
      <w:pPr>
        <w:ind w:firstLine="560"/>
        <w:keepLines/>
        <w:keepNext/>
        <w:spacing w:line="520" w:lineRule="exact"/>
        <w:rPr>
          <w:rFonts w:hint="eastAsia" w:ascii="宋体" w:hAnsi="宋体" w:cs="Arial"/>
          <w:bCs/>
          <w:color w:val="auto"/>
          <w:sz w:val="24"/>
          <w:szCs w:val="28"/>
          <w:highlight w:val="none"/>
        </w:rPr>
        <w:outlineLvl w:val="3"/>
      </w:pPr>
      <w:r>
        <w:rPr>
          <w:rFonts w:ascii="宋体" w:hAnsi="宋体" w:cs="Arial"/>
          <w:bCs/>
          <w:color w:val="auto"/>
          <w:sz w:val="28"/>
          <w:szCs w:val="28"/>
          <w:highlight w:val="none"/>
        </w:rPr>
        <w:t xml:space="preserve">19</w:t>
      </w:r>
      <w:r>
        <w:rPr>
          <w:rFonts w:hint="eastAsia" w:ascii="宋体" w:hAnsi="宋体" w:cs="Arial"/>
          <w:bCs/>
          <w:color w:val="auto"/>
          <w:sz w:val="28"/>
          <w:szCs w:val="28"/>
          <w:highlight w:val="none"/>
        </w:rPr>
        <w:t xml:space="preserve">.提交响应文件截止时间</w:t>
      </w:r>
      <w:bookmarkEnd w:id="120"/>
      <w:r/>
      <w:bookmarkEnd w:id="121"/>
      <w:r/>
      <w:bookmarkEnd w:id="122"/>
      <w:r/>
      <w:r/>
    </w:p>
    <w:p>
      <w:pPr>
        <w:ind w:firstLine="480"/>
        <w:spacing w:line="520" w:lineRule="exact"/>
        <w:rPr>
          <w:rFonts w:hint="eastAsia" w:ascii="宋体" w:hAnsi="宋体"/>
          <w:b/>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cs="Arial"/>
          <w:color w:val="auto"/>
          <w:sz w:val="28"/>
          <w:szCs w:val="28"/>
          <w:highlight w:val="none"/>
        </w:rPr>
        <w:outlineLvl w:val="3"/>
      </w:pPr>
      <w:r/>
      <w:bookmarkStart w:id="123" w:name="_Toc20823299"/>
      <w:r/>
      <w:bookmarkStart w:id="124" w:name="_Toc16938543"/>
      <w:r/>
      <w:bookmarkStart w:id="125" w:name="_Toc513029227"/>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0</w:t>
      </w:r>
      <w:r>
        <w:rPr>
          <w:rFonts w:hint="eastAsia" w:ascii="宋体" w:hAnsi="宋体" w:cs="Arial"/>
          <w:color w:val="auto"/>
          <w:sz w:val="28"/>
          <w:szCs w:val="28"/>
          <w:highlight w:val="none"/>
        </w:rPr>
        <w:t xml:space="preserve">.响应文件</w:t>
      </w:r>
      <w:bookmarkEnd w:id="123"/>
      <w:r/>
      <w:bookmarkEnd w:id="124"/>
      <w:r/>
      <w:bookmarkEnd w:id="125"/>
      <w:r>
        <w:rPr>
          <w:rFonts w:hint="eastAsia" w:ascii="宋体" w:hAnsi="宋体" w:cs="Arial"/>
          <w:color w:val="auto"/>
          <w:sz w:val="28"/>
          <w:szCs w:val="28"/>
          <w:highlight w:val="none"/>
        </w:rPr>
        <w:t xml:space="preserve">的拒收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采购人拒绝接收在其规定的提交响应文件截止时间后上传的任何电子响应文件。</w:t>
      </w:r>
      <w:r/>
    </w:p>
    <w:p>
      <w:pPr>
        <w:ind w:firstLine="420"/>
        <w:keepLines/>
        <w:keepNext/>
        <w:spacing w:line="520" w:lineRule="exact"/>
        <w:rPr>
          <w:rFonts w:hint="eastAsia" w:ascii="宋体" w:hAnsi="宋体" w:cs="Arial"/>
          <w:color w:val="auto"/>
          <w:sz w:val="28"/>
          <w:szCs w:val="28"/>
          <w:highlight w:val="none"/>
        </w:rPr>
        <w:outlineLvl w:val="3"/>
      </w:pPr>
      <w:r/>
      <w:bookmarkStart w:id="126" w:name="_Toc513029228"/>
      <w:r/>
      <w:bookmarkStart w:id="127" w:name="_Toc20823300"/>
      <w:r/>
      <w:bookmarkStart w:id="128" w:name="_Toc16938544"/>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1</w:t>
      </w:r>
      <w:r>
        <w:rPr>
          <w:rFonts w:hint="eastAsia" w:ascii="宋体" w:hAnsi="宋体" w:cs="Arial"/>
          <w:color w:val="auto"/>
          <w:sz w:val="28"/>
          <w:szCs w:val="28"/>
          <w:highlight w:val="none"/>
        </w:rPr>
        <w:t xml:space="preserve">.响应文件的撤回和修改</w:t>
      </w:r>
      <w:bookmarkEnd w:id="126"/>
      <w:r/>
      <w:bookmarkEnd w:id="127"/>
      <w:r/>
      <w:bookmarkEnd w:id="128"/>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keepLines/>
        <w:keepNext/>
        <w:spacing w:line="520" w:lineRule="exact"/>
        <w:rPr>
          <w:rFonts w:hint="eastAsia" w:ascii="宋体" w:hAnsi="宋体"/>
          <w:b/>
          <w:bCs/>
          <w:color w:val="auto"/>
          <w:sz w:val="32"/>
          <w:szCs w:val="32"/>
          <w:highlight w:val="none"/>
        </w:rPr>
        <w:outlineLvl w:val="2"/>
      </w:pPr>
      <w:r/>
      <w:bookmarkStart w:id="129" w:name="_Toc20823301"/>
      <w:r/>
      <w:bookmarkStart w:id="130" w:name="_Toc120614218"/>
      <w:r/>
      <w:bookmarkStart w:id="131" w:name="_Toc16938545"/>
      <w:r/>
      <w:bookmarkStart w:id="132" w:name="_Toc513029229"/>
      <w:r>
        <w:rPr>
          <w:rFonts w:hint="eastAsia" w:ascii="宋体" w:hAnsi="宋体"/>
          <w:b/>
          <w:bCs/>
          <w:color w:val="auto"/>
          <w:sz w:val="32"/>
          <w:szCs w:val="32"/>
          <w:highlight w:val="none"/>
        </w:rPr>
        <w:t xml:space="preserve">五、响应文件的解密与评审</w:t>
      </w:r>
      <w:bookmarkEnd w:id="129"/>
      <w:r/>
      <w:bookmarkEnd w:id="130"/>
      <w:r/>
      <w:bookmarkEnd w:id="131"/>
      <w:r/>
      <w:bookmarkEnd w:id="132"/>
      <w:r/>
      <w:r/>
    </w:p>
    <w:p>
      <w:pPr>
        <w:ind w:firstLine="420"/>
        <w:keepLines/>
        <w:keepNext/>
        <w:spacing w:line="520" w:lineRule="exact"/>
        <w:rPr>
          <w:rFonts w:hint="eastAsia" w:ascii="宋体" w:hAnsi="宋体" w:cs="Arial"/>
          <w:color w:val="auto"/>
          <w:sz w:val="28"/>
          <w:szCs w:val="28"/>
          <w:highlight w:val="none"/>
        </w:rPr>
        <w:outlineLvl w:val="3"/>
      </w:pPr>
      <w:r/>
      <w:bookmarkStart w:id="133" w:name="_Toc20823302"/>
      <w:r/>
      <w:bookmarkStart w:id="134" w:name="_Toc16938546"/>
      <w:r/>
      <w:bookmarkStart w:id="135" w:name="_Toc513029230"/>
      <w:r>
        <w:rPr>
          <w:rFonts w:hint="eastAsia" w:ascii="宋体" w:hAnsi="宋体" w:cs="Arial"/>
          <w:color w:val="auto"/>
          <w:sz w:val="28"/>
          <w:szCs w:val="28"/>
          <w:highlight w:val="none"/>
        </w:rPr>
        <w:t xml:space="preserve">22</w:t>
      </w:r>
      <w:bookmarkEnd w:id="133"/>
      <w:r/>
      <w:bookmarkEnd w:id="134"/>
      <w:r/>
      <w:bookmarkEnd w:id="135"/>
      <w:r>
        <w:rPr>
          <w:rFonts w:hint="eastAsia" w:ascii="宋体" w:hAnsi="宋体" w:cs="Arial"/>
          <w:color w:val="auto"/>
          <w:sz w:val="28"/>
          <w:szCs w:val="28"/>
          <w:highlight w:val="none"/>
        </w:rPr>
        <w:t xml:space="preserve">.响应文件解密</w:t>
      </w:r>
      <w:r/>
    </w:p>
    <w:p>
      <w:pPr>
        <w:ind w:firstLine="360"/>
        <w:spacing w:line="520" w:lineRule="exact"/>
        <w:rPr>
          <w:rFonts w:hint="eastAsia" w:ascii="宋体" w:hAnsi="宋体"/>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cs="Arial"/>
          <w:color w:val="auto"/>
          <w:sz w:val="28"/>
          <w:szCs w:val="28"/>
          <w:highlight w:val="none"/>
        </w:rPr>
        <w:outlineLvl w:val="3"/>
      </w:pPr>
      <w:r/>
      <w:bookmarkStart w:id="136" w:name="_Toc513029231"/>
      <w:r/>
      <w:bookmarkStart w:id="137" w:name="_Toc20823303"/>
      <w:r/>
      <w:bookmarkStart w:id="138" w:name="_Toc16938547"/>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.磋商小组</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.2磋商小组独立工作，负责评审所有响应文件并确定成交侯选人。</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.评审过程的保密与公正</w:t>
      </w:r>
      <w:bookmarkEnd w:id="136"/>
      <w:r/>
      <w:bookmarkEnd w:id="137"/>
      <w:r/>
      <w:bookmarkEnd w:id="138"/>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 采购人和磋商小组不向未成交的供应商解释未成交原因，也不公布评审过程中的相关细节。</w:t>
      </w:r>
      <w:r/>
    </w:p>
    <w:p>
      <w:pPr>
        <w:ind w:firstLine="420"/>
        <w:keepLines/>
        <w:keepNext/>
        <w:spacing w:line="520" w:lineRule="exact"/>
        <w:rPr>
          <w:rFonts w:hint="eastAsia" w:ascii="宋体" w:hAnsi="宋体" w:cs="Arial"/>
          <w:color w:val="auto"/>
          <w:sz w:val="28"/>
          <w:szCs w:val="28"/>
          <w:highlight w:val="none"/>
        </w:rPr>
        <w:outlineLvl w:val="3"/>
      </w:pPr>
      <w:r/>
      <w:bookmarkStart w:id="139" w:name="_Toc20823304"/>
      <w:r/>
      <w:bookmarkStart w:id="140" w:name="_Toc16938548"/>
      <w:r/>
      <w:bookmarkStart w:id="141" w:name="_Toc513029232"/>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.评审过程中的的澄清</w:t>
      </w:r>
      <w:bookmarkEnd w:id="139"/>
      <w:r/>
      <w:bookmarkEnd w:id="140"/>
      <w:r/>
      <w:bookmarkEnd w:id="14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宋体" w:hAnsi="宋体" w:cs="Arial"/>
          <w:color w:val="auto"/>
          <w:sz w:val="28"/>
          <w:szCs w:val="28"/>
          <w:highlight w:val="none"/>
        </w:rPr>
        <w:outlineLvl w:val="3"/>
      </w:pPr>
      <w:r/>
      <w:bookmarkStart w:id="142" w:name="_Toc513029233"/>
      <w:r/>
      <w:bookmarkStart w:id="143" w:name="_Toc20823305"/>
      <w:r/>
      <w:bookmarkStart w:id="144" w:name="_Toc16938549"/>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.对响应文件的审</w:t>
      </w:r>
      <w:bookmarkEnd w:id="142"/>
      <w:r/>
      <w:bookmarkEnd w:id="143"/>
      <w:r/>
      <w:bookmarkEnd w:id="144"/>
      <w:r>
        <w:rPr>
          <w:rFonts w:hint="eastAsia" w:ascii="宋体" w:hAnsi="宋体" w:cs="Arial"/>
          <w:color w:val="auto"/>
          <w:sz w:val="28"/>
          <w:szCs w:val="28"/>
          <w:highlight w:val="none"/>
        </w:rPr>
        <w:t xml:space="preserve">查</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20" w:lineRule="exact"/>
        <w:rPr>
          <w:rFonts w:hint="eastAsia" w:ascii="宋体" w:hAnsi="宋体"/>
          <w:color w:val="auto"/>
          <w:sz w:val="24"/>
          <w:szCs w:val="21"/>
          <w:highlight w:val="none"/>
        </w:rPr>
      </w:pPr>
      <w:r/>
      <w:bookmarkStart w:id="145" w:name="_Toc513029234"/>
      <w:r/>
      <w:bookmarkStart w:id="146" w:name="_Toc16938550"/>
      <w:r/>
      <w:bookmarkStart w:id="147"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.7供应商在项目评审全过程中应保持通讯畅通，并安排专人与采购人或采购代理机构及磋商小组联系。</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7</w:t>
      </w:r>
      <w:bookmarkEnd w:id="145"/>
      <w:r/>
      <w:bookmarkEnd w:id="146"/>
      <w:r/>
      <w:bookmarkEnd w:id="147"/>
      <w:r>
        <w:rPr>
          <w:rFonts w:hint="eastAsia" w:ascii="宋体" w:hAnsi="宋体" w:cs="Arial"/>
          <w:color w:val="auto"/>
          <w:sz w:val="28"/>
          <w:szCs w:val="28"/>
          <w:highlight w:val="none"/>
        </w:rPr>
        <w:t xml:space="preserve">.磋商程序及评审方法和评审标准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见本磋商文件第四章规定。</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keepLines/>
        <w:keepNext/>
        <w:spacing w:line="520" w:lineRule="exact"/>
        <w:rPr>
          <w:rFonts w:hint="eastAsia" w:ascii="宋体" w:hAnsi="宋体"/>
          <w:b/>
          <w:bCs/>
          <w:color w:val="auto"/>
          <w:sz w:val="32"/>
          <w:szCs w:val="32"/>
          <w:highlight w:val="none"/>
        </w:rPr>
        <w:outlineLvl w:val="2"/>
      </w:pPr>
      <w:r/>
      <w:bookmarkStart w:id="148" w:name="_Toc513029235"/>
      <w:r/>
      <w:bookmarkStart w:id="149" w:name="_Toc16938551"/>
      <w:r/>
      <w:bookmarkStart w:id="150" w:name="_Toc120614219"/>
      <w:r/>
      <w:bookmarkStart w:id="151" w:name="_Toc20823307"/>
      <w:r>
        <w:rPr>
          <w:rFonts w:hint="eastAsia" w:ascii="宋体" w:hAnsi="宋体"/>
          <w:b/>
          <w:bCs/>
          <w:color w:val="auto"/>
          <w:sz w:val="32"/>
          <w:szCs w:val="32"/>
          <w:highlight w:val="none"/>
        </w:rPr>
        <w:t xml:space="preserve">六、</w:t>
      </w:r>
      <w:bookmarkEnd w:id="148"/>
      <w:r/>
      <w:bookmarkEnd w:id="149"/>
      <w:r/>
      <w:bookmarkEnd w:id="150"/>
      <w:r/>
      <w:bookmarkEnd w:id="151"/>
      <w:r>
        <w:rPr>
          <w:rFonts w:hint="eastAsia" w:ascii="宋体" w:hAnsi="宋体"/>
          <w:b/>
          <w:bCs/>
          <w:color w:val="auto"/>
          <w:sz w:val="32"/>
          <w:szCs w:val="32"/>
          <w:highlight w:val="none"/>
        </w:rPr>
        <w:t xml:space="preserve">成交</w:t>
      </w:r>
      <w:r/>
    </w:p>
    <w:p>
      <w:pPr>
        <w:ind w:firstLine="600"/>
        <w:keepLines/>
        <w:keepNext/>
        <w:spacing w:line="520" w:lineRule="exact"/>
        <w:rPr>
          <w:rFonts w:hint="eastAsia" w:ascii="宋体" w:hAnsi="宋体"/>
          <w:bCs/>
          <w:color w:val="auto"/>
          <w:sz w:val="30"/>
          <w:szCs w:val="30"/>
          <w:highlight w:val="none"/>
        </w:rPr>
        <w:outlineLvl w:val="3"/>
      </w:pPr>
      <w:r/>
      <w:bookmarkStart w:id="152" w:name="_Toc513029238"/>
      <w:r/>
      <w:bookmarkStart w:id="153" w:name="_Toc20823310"/>
      <w:r/>
      <w:bookmarkStart w:id="154" w:name="_Toc16938554"/>
      <w:r>
        <w:rPr>
          <w:rFonts w:hint="eastAsia" w:ascii="宋体" w:hAnsi="宋体"/>
          <w:bCs/>
          <w:color w:val="auto"/>
          <w:sz w:val="30"/>
          <w:szCs w:val="30"/>
          <w:highlight w:val="none"/>
        </w:rPr>
        <w:t xml:space="preserve">2</w:t>
      </w:r>
      <w:r>
        <w:rPr>
          <w:rFonts w:ascii="宋体" w:hAnsi="宋体"/>
          <w:bCs/>
          <w:color w:val="auto"/>
          <w:sz w:val="30"/>
          <w:szCs w:val="30"/>
          <w:highlight w:val="none"/>
        </w:rPr>
        <w:t xml:space="preserve">8</w:t>
      </w:r>
      <w:bookmarkEnd w:id="152"/>
      <w:r>
        <w:rPr>
          <w:rFonts w:hint="eastAsia" w:ascii="宋体" w:hAnsi="宋体"/>
          <w:bCs/>
          <w:color w:val="auto"/>
          <w:sz w:val="30"/>
          <w:szCs w:val="30"/>
          <w:highlight w:val="none"/>
        </w:rPr>
        <w:t xml:space="preserve">.确定</w:t>
      </w:r>
      <w:bookmarkEnd w:id="153"/>
      <w:r/>
      <w:bookmarkEnd w:id="154"/>
      <w:r>
        <w:rPr>
          <w:rFonts w:hint="eastAsia" w:ascii="宋体" w:hAnsi="宋体"/>
          <w:bCs/>
          <w:color w:val="auto"/>
          <w:sz w:val="30"/>
          <w:szCs w:val="30"/>
          <w:highlight w:val="none"/>
        </w:rPr>
        <w:t xml:space="preserve">成交单位</w:t>
      </w:r>
      <w:r/>
    </w:p>
    <w:p>
      <w:pPr>
        <w:ind w:firstLine="478"/>
        <w:spacing w:line="520" w:lineRule="exact"/>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28.3.7将政府采购合同转包的。</w:t>
      </w:r>
      <w:r/>
    </w:p>
    <w:p>
      <w:pPr>
        <w:ind w:firstLine="600"/>
        <w:keepLines/>
        <w:keepNext/>
        <w:spacing w:line="520" w:lineRule="exact"/>
        <w:rPr>
          <w:rFonts w:hint="eastAsia" w:ascii="宋体" w:hAnsi="宋体"/>
          <w:bCs/>
          <w:color w:val="auto"/>
          <w:sz w:val="30"/>
          <w:szCs w:val="30"/>
          <w:highlight w:val="none"/>
        </w:rPr>
        <w:outlineLvl w:val="3"/>
      </w:pPr>
      <w:r/>
      <w:bookmarkStart w:id="155" w:name="_Toc200451960"/>
      <w:r>
        <w:rPr>
          <w:rFonts w:ascii="宋体" w:hAnsi="宋体"/>
          <w:bCs/>
          <w:color w:val="auto"/>
          <w:sz w:val="30"/>
          <w:szCs w:val="30"/>
          <w:highlight w:val="none"/>
        </w:rPr>
        <w:t xml:space="preserve">29</w:t>
      </w:r>
      <w:r>
        <w:rPr>
          <w:rFonts w:hint="eastAsia" w:ascii="宋体" w:hAnsi="宋体"/>
          <w:bCs/>
          <w:color w:val="auto"/>
          <w:sz w:val="30"/>
          <w:szCs w:val="30"/>
          <w:highlight w:val="none"/>
        </w:rPr>
        <w:t xml:space="preserve">.质疑处理</w:t>
      </w:r>
      <w:bookmarkEnd w:id="155"/>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 xml:space="preserve">采购人或采购代理机构</w:t>
      </w:r>
      <w:r>
        <w:rPr>
          <w:rFonts w:hint="eastAsia" w:ascii="宋体" w:hAnsi="宋体"/>
          <w:color w:val="auto"/>
          <w:sz w:val="24"/>
          <w:szCs w:val="24"/>
          <w:highlight w:val="none"/>
        </w:rPr>
        <w:t xml:space="preserve">提出质疑。上述应知其权益受到损害之日，是指：</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宋体" w:hAnsi="宋体" w:cs="宋体"/>
          <w:color w:val="auto"/>
          <w:sz w:val="24"/>
          <w:szCs w:val="24"/>
          <w:highlight w:val="none"/>
        </w:rPr>
        <w:t xml:space="preserve">对可以质疑的采购文件提出质疑的，为收到采购文件之日或者采购文件公告期限届满之日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宋体" w:hAnsi="宋体" w:cs="宋体"/>
          <w:color w:val="auto"/>
          <w:sz w:val="24"/>
          <w:szCs w:val="24"/>
          <w:highlight w:val="none"/>
        </w:rPr>
        <w:t xml:space="preserve">对采购过程提出质疑的，为各采购程序环节结束之日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宋体" w:hAnsi="宋体" w:cs="宋体"/>
          <w:color w:val="auto"/>
          <w:sz w:val="24"/>
          <w:szCs w:val="24"/>
          <w:highlight w:val="none"/>
        </w:rPr>
        <w:t xml:space="preserve">对成交结果提出质疑的，为成交结果公告期限届满之日。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评审方法</w:t>
      </w:r>
      <w:r>
        <w:rPr>
          <w:rFonts w:ascii="宋体" w:hAnsi="宋体"/>
          <w:color w:val="auto"/>
          <w:sz w:val="24"/>
          <w:szCs w:val="24"/>
          <w:highlight w:val="none"/>
        </w:rPr>
        <w:t xml:space="preserve">和评</w:t>
      </w:r>
      <w:r>
        <w:rPr>
          <w:rFonts w:hint="eastAsia" w:ascii="宋体" w:hAnsi="宋体"/>
          <w:color w:val="auto"/>
          <w:sz w:val="24"/>
          <w:szCs w:val="24"/>
          <w:highlight w:val="none"/>
        </w:rPr>
        <w:t xml:space="preserve">审</w:t>
      </w:r>
      <w:r>
        <w:rPr>
          <w:rFonts w:ascii="宋体" w:hAnsi="宋体"/>
          <w:color w:val="auto"/>
          <w:sz w:val="24"/>
          <w:szCs w:val="24"/>
          <w:highlight w:val="none"/>
        </w:rPr>
        <w:t xml:space="preserve">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关于评审方面的质疑，采购人可以组织原评审委员会协助答复质疑。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采购人及采购代理机构质疑接收人及联系方式见本采购文件第一章。</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.5.1内容不符合《政府采购质疑和投诉办法》第十二条规定的质疑。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.5.2超出政府采购法定期限的质疑。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.5.3以传真、电子邮件等方式递交的非原件形式的质疑。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.5.4未参加磋商活动的供应商或在磋商活动中自身权益未受到损害的供应商所提出的质疑。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宋体" w:hAnsi="宋体"/>
          <w:bCs/>
          <w:color w:val="auto"/>
          <w:sz w:val="30"/>
          <w:szCs w:val="30"/>
          <w:highlight w:val="none"/>
        </w:rPr>
        <w:outlineLvl w:val="3"/>
      </w:pPr>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0</w:t>
      </w:r>
      <w:r>
        <w:rPr>
          <w:rFonts w:hint="eastAsia" w:ascii="宋体" w:hAnsi="宋体"/>
          <w:bCs/>
          <w:color w:val="auto"/>
          <w:sz w:val="30"/>
          <w:szCs w:val="30"/>
          <w:highlight w:val="none"/>
        </w:rPr>
        <w:t xml:space="preserve">.成交通知书</w:t>
      </w:r>
      <w:r/>
    </w:p>
    <w:p>
      <w:pPr>
        <w:ind w:firstLine="60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w:t>
      </w:r>
      <w:r>
        <w:rPr>
          <w:rFonts w:hint="eastAsia" w:ascii="宋体" w:hAnsi="宋体" w:cs="宋体"/>
          <w:color w:val="auto"/>
          <w:sz w:val="24"/>
          <w:szCs w:val="24"/>
          <w:highlight w:val="none"/>
        </w:rPr>
        <w:t xml:space="preserve">请成交供应商在成交结果公告届满之日起30日内,使用CA数字证书登录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宋体" w:hAnsi="宋体"/>
          <w:b/>
          <w:bCs/>
          <w:color w:val="auto"/>
          <w:sz w:val="32"/>
          <w:szCs w:val="32"/>
          <w:highlight w:val="none"/>
        </w:rPr>
        <w:outlineLvl w:val="2"/>
      </w:pPr>
      <w:r/>
      <w:bookmarkStart w:id="156" w:name="_Toc20823308"/>
      <w:r/>
      <w:bookmarkStart w:id="157" w:name="_Toc16938552"/>
      <w:r/>
      <w:bookmarkStart w:id="158" w:name="_Toc120614220"/>
      <w:r/>
      <w:bookmarkStart w:id="159" w:name="_Toc513029236"/>
      <w:r>
        <w:rPr>
          <w:rFonts w:hint="eastAsia" w:ascii="宋体" w:hAnsi="宋体"/>
          <w:b/>
          <w:bCs/>
          <w:color w:val="auto"/>
          <w:sz w:val="32"/>
          <w:szCs w:val="32"/>
          <w:highlight w:val="none"/>
        </w:rPr>
        <w:t xml:space="preserve">七、授予合同</w:t>
      </w:r>
      <w:bookmarkEnd w:id="156"/>
      <w:r/>
      <w:bookmarkEnd w:id="157"/>
      <w:r/>
      <w:bookmarkEnd w:id="158"/>
      <w:r/>
      <w:bookmarkEnd w:id="159"/>
      <w:r/>
      <w:r/>
    </w:p>
    <w:p>
      <w:pPr>
        <w:ind w:firstLine="600"/>
        <w:keepLines/>
        <w:keepNext/>
        <w:spacing w:line="520" w:lineRule="exact"/>
        <w:rPr>
          <w:rFonts w:hint="eastAsia" w:ascii="宋体" w:hAnsi="宋体"/>
          <w:bCs/>
          <w:color w:val="auto"/>
          <w:sz w:val="30"/>
          <w:szCs w:val="30"/>
          <w:highlight w:val="none"/>
        </w:rPr>
        <w:outlineLvl w:val="3"/>
      </w:pPr>
      <w:r/>
      <w:bookmarkStart w:id="160" w:name="_Toc513029237"/>
      <w:r/>
      <w:bookmarkStart w:id="161" w:name="_Toc20823309"/>
      <w:r/>
      <w:bookmarkStart w:id="162" w:name="_Toc16938553"/>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1</w:t>
      </w:r>
      <w:r>
        <w:rPr>
          <w:rFonts w:hint="eastAsia" w:ascii="宋体" w:hAnsi="宋体"/>
          <w:bCs/>
          <w:color w:val="auto"/>
          <w:sz w:val="30"/>
          <w:szCs w:val="30"/>
          <w:highlight w:val="none"/>
        </w:rPr>
        <w:t xml:space="preserve">.签订合同</w:t>
      </w:r>
      <w:r/>
    </w:p>
    <w:p>
      <w:pPr>
        <w:ind w:firstLine="60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宋体" w:hAnsi="宋体"/>
          <w:bCs/>
          <w:color w:val="auto"/>
          <w:sz w:val="30"/>
          <w:szCs w:val="30"/>
          <w:highlight w:val="none"/>
        </w:rPr>
        <w:outlineLvl w:val="3"/>
      </w:pPr>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2</w:t>
      </w:r>
      <w:r>
        <w:rPr>
          <w:rFonts w:hint="eastAsia" w:ascii="宋体" w:hAnsi="宋体"/>
          <w:bCs/>
          <w:color w:val="auto"/>
          <w:sz w:val="30"/>
          <w:szCs w:val="30"/>
          <w:highlight w:val="none"/>
        </w:rPr>
        <w:t xml:space="preserve">.标的物的追加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600"/>
        <w:keepLines/>
        <w:keepNext/>
        <w:spacing w:line="520" w:lineRule="exact"/>
        <w:rPr>
          <w:rFonts w:ascii="宋体" w:hAnsi="宋体"/>
          <w:bCs/>
          <w:color w:val="auto"/>
          <w:sz w:val="30"/>
          <w:szCs w:val="30"/>
          <w:highlight w:val="none"/>
        </w:rPr>
        <w:outlineLvl w:val="3"/>
      </w:pPr>
      <w:r/>
      <w:bookmarkStart w:id="163" w:name="_Toc479757207"/>
      <w:r/>
      <w:bookmarkStart w:id="164" w:name="_Toc16938558"/>
      <w:r/>
      <w:bookmarkStart w:id="165" w:name="_Toc20823314"/>
      <w:r/>
      <w:bookmarkStart w:id="166" w:name="_Toc120614221"/>
      <w:r/>
      <w:bookmarkStart w:id="167" w:name="_Toc513029242"/>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3</w:t>
      </w:r>
      <w:r>
        <w:rPr>
          <w:rFonts w:hint="eastAsia" w:ascii="宋体" w:hAnsi="宋体"/>
          <w:bCs/>
          <w:color w:val="auto"/>
          <w:sz w:val="30"/>
          <w:szCs w:val="30"/>
          <w:highlight w:val="none"/>
        </w:rPr>
        <w:t xml:space="preserve">.政府采购履约资金扶持政策</w:t>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bookmarkEnd w:id="163"/>
      <w:r/>
      <w:bookmarkEnd w:id="164"/>
      <w:r/>
      <w:bookmarkEnd w:id="165"/>
      <w:r/>
      <w:bookmarkEnd w:id="166"/>
      <w:r/>
      <w:bookmarkEnd w:id="167"/>
      <w:r/>
      <w:bookmarkStart w:id="168" w:name="_Hlt16619350"/>
      <w:r/>
      <w:bookmarkStart w:id="169" w:name="_Toc120614244"/>
      <w:r/>
      <w:bookmarkStart w:id="170" w:name="_Toc16938590"/>
      <w:r/>
      <w:bookmarkStart w:id="171" w:name="_Toc20823346"/>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560" w:lineRule="exact"/>
        <w:rPr>
          <w:rFonts w:hint="eastAsia" w:ascii="宋体" w:hAnsi="宋体" w:cs="Courier New"/>
          <w:bCs/>
          <w:color w:val="auto"/>
          <w:sz w:val="44"/>
          <w:szCs w:val="21"/>
          <w:highlight w:val="none"/>
        </w:rPr>
      </w:pPr>
      <w:r>
        <w:rPr>
          <w:rFonts w:hint="eastAsia" w:ascii="宋体" w:hAnsi="宋体" w:cs="Courier New"/>
          <w:bCs/>
          <w:color w:val="auto"/>
          <w:sz w:val="44"/>
          <w:szCs w:val="21"/>
          <w:highlight w:val="none"/>
        </w:rPr>
        <w:br w:type="page" w:clear="all"/>
      </w:r>
      <w:r>
        <w:rPr>
          <w:rFonts w:hint="eastAsia" w:ascii="宋体" w:hAnsi="宋体" w:cs="Courier New"/>
          <w:bCs/>
          <w:color w:val="auto"/>
          <w:sz w:val="44"/>
          <w:szCs w:val="21"/>
          <w:highlight w:val="none"/>
        </w:rPr>
        <w:t xml:space="preserve">第</w:t>
      </w:r>
      <w:bookmarkEnd w:id="168"/>
      <w:r>
        <w:rPr>
          <w:rFonts w:hint="eastAsia" w:ascii="宋体" w:hAnsi="宋体" w:cs="Courier New"/>
          <w:bCs/>
          <w:color w:val="auto"/>
          <w:sz w:val="44"/>
          <w:szCs w:val="21"/>
          <w:highlight w:val="none"/>
        </w:rPr>
        <w:t xml:space="preserve">三章 采购需求</w:t>
      </w:r>
      <w:bookmarkEnd w:id="169"/>
      <w:r/>
      <w:bookmarkEnd w:id="170"/>
      <w:r/>
      <w:bookmarkEnd w:id="171"/>
      <w:r/>
      <w:r/>
    </w:p>
    <w:p>
      <w:pPr>
        <w:ind w:firstLine="480"/>
        <w:spacing w:line="560" w:lineRule="exact"/>
        <w:rPr>
          <w:rFonts w:ascii="宋体" w:hAnsi="Courier New" w:cs="Courier New"/>
          <w:color w:val="auto"/>
          <w:sz w:val="24"/>
          <w:szCs w:val="24"/>
          <w:highlight w:val="none"/>
        </w:rPr>
      </w:pPr>
      <w:r>
        <w:rPr>
          <w:rFonts w:hint="eastAsia" w:ascii="宋体" w:hAnsi="Courier New" w:cs="Courier New"/>
          <w:color w:val="auto"/>
          <w:sz w:val="24"/>
          <w:szCs w:val="24"/>
          <w:highlight w:val="none"/>
        </w:rPr>
        <w:t xml:space="preserve">项目属性：货物类项目</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采购需求包括拟采购的标的及其需要满足的技术、商务要求。</w:t>
      </w:r>
      <w:r/>
    </w:p>
    <w:p>
      <w:pPr>
        <w:ind w:firstLine="480"/>
        <w:spacing w:line="560" w:lineRule="exact"/>
        <w:rPr>
          <w:rFonts w:hint="eastAsia" w:ascii="仿宋" w:hAnsi="仿宋" w:eastAsia="仿宋" w:cs="仿宋_GB2312"/>
          <w:b/>
          <w:color w:val="auto"/>
          <w:sz w:val="28"/>
          <w:szCs w:val="28"/>
          <w:highlight w:val="none"/>
          <w:lang w:val="en-US" w:eastAsia="zh-CN"/>
        </w:rPr>
      </w:pPr>
      <w:r>
        <w:rPr>
          <w:rFonts w:hint="eastAsia" w:ascii="宋体" w:hAnsi="宋体"/>
          <w:bCs/>
          <w:color w:val="auto"/>
          <w:sz w:val="24"/>
          <w:szCs w:val="24"/>
          <w:highlight w:val="none"/>
        </w:rPr>
        <w:t xml:space="preserve">（一）技术要求是指对采购标的功能和质量要求，包括性能、材料、结构、外观、安全，或者服务内容和标准等。</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其内容包含</w:t>
      </w:r>
      <w:r>
        <w:rPr>
          <w:rFonts w:ascii="宋体" w:hAnsi="宋体"/>
          <w:bCs/>
          <w:color w:val="auto"/>
          <w:sz w:val="24"/>
          <w:szCs w:val="24"/>
          <w:highlight w:val="none"/>
        </w:rPr>
        <w:t xml:space="preserve">但不限于</w:t>
      </w:r>
      <w:r>
        <w:rPr>
          <w:rFonts w:hint="eastAsia" w:ascii="宋体" w:hAnsi="宋体"/>
          <w:bCs/>
          <w:color w:val="auto"/>
          <w:sz w:val="24"/>
          <w:szCs w:val="24"/>
          <w:highlight w:val="none"/>
        </w:rPr>
        <w:t xml:space="preserve">以下</w:t>
      </w:r>
      <w:r>
        <w:rPr>
          <w:rFonts w:ascii="宋体" w:hAnsi="宋体"/>
          <w:bCs/>
          <w:color w:val="auto"/>
          <w:sz w:val="24"/>
          <w:szCs w:val="24"/>
          <w:highlight w:val="none"/>
        </w:rPr>
        <w:t xml:space="preserve">内容：</w:t>
      </w:r>
      <w:r/>
    </w:p>
    <w:p>
      <w:pPr>
        <w:numPr>
          <w:ilvl w:val="0"/>
          <w:numId w:val="2"/>
        </w:numPr>
        <w:ind w:firstLine="480"/>
        <w:spacing w:line="560" w:lineRule="exact"/>
        <w:rPr>
          <w:rFonts w:hint="eastAsia"/>
          <w:color w:val="auto"/>
          <w:highlight w:val="none"/>
        </w:rPr>
      </w:pPr>
      <w:r>
        <w:rPr>
          <w:rFonts w:hint="eastAsia" w:ascii="Times New Roman" w:hAnsi="Times New Roman"/>
          <w:color w:val="auto"/>
          <w:sz w:val="24"/>
          <w:szCs w:val="24"/>
          <w:highlight w:val="none"/>
        </w:rPr>
        <w:t xml:space="preserve">采购标的需实现的功能或者目标，以及为落实政府采购政策需满足的要求：</w:t>
      </w:r>
      <w:r/>
    </w:p>
    <w:p>
      <w:pPr>
        <w:numPr>
          <w:ilvl w:val="0"/>
          <w:numId w:val="0"/>
        </w:numPr>
        <w:ind w:firstLine="480"/>
        <w:spacing w:line="560" w:lineRule="exact"/>
        <w:rPr>
          <w:rFonts w:hint="eastAsia"/>
          <w:color w:val="auto"/>
          <w:highlight w:val="none"/>
        </w:rPr>
      </w:pPr>
      <w:r>
        <w:rPr>
          <w:rFonts w:hint="eastAsia"/>
          <w:color w:val="auto"/>
          <w:sz w:val="24"/>
          <w:szCs w:val="24"/>
          <w:highlight w:val="none"/>
          <w:lang w:val="en-US" w:eastAsia="zh-CN"/>
        </w:rPr>
        <w:t xml:space="preserve">为进一步健全我市全民健身公共服务体系，补齐城乡基层健身设施短板，满足群众日常健身需求，提升市民身体健康水平，需采购全民健身场地设施。</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二、采购标的需执行的国家相关标准、行业标准、地方标准或者其他标准、规范：</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参考国家标准、行业标准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环保标准</w:t>
      </w:r>
      <w:r>
        <w:rPr>
          <w:rFonts w:hint="eastAsia" w:ascii="宋体" w:hAnsi="宋体" w:eastAsia="宋体" w:cs="宋体"/>
          <w:color w:val="auto"/>
          <w:sz w:val="24"/>
          <w:szCs w:val="24"/>
          <w:highlight w:val="none"/>
        </w:rPr>
        <w:t xml:space="preserve">，随着标准的修订，根据修订后的最新标准作为依据。除上述规范标准以外，还须遵循国家、行业及地方现行的相关规范和标准要求。</w:t>
      </w:r>
      <w:r/>
    </w:p>
    <w:p>
      <w:pPr>
        <w:numPr>
          <w:ilvl w:val="0"/>
          <w:numId w:val="3"/>
        </w:num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采购标的需满足的质量、安全、技术规格、物理特性等要求：</w:t>
      </w:r>
      <w:r/>
    </w:p>
    <w:p>
      <w:pPr>
        <w:numPr>
          <w:ilvl w:val="0"/>
          <w:numId w:val="0"/>
        </w:numPr>
        <w:ind w:firstLine="48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1.采购标的清单</w:t>
      </w:r>
      <w:r>
        <w:rPr>
          <w:rFonts w:hint="eastAsia" w:ascii="宋体" w:hAnsi="宋体" w:cs="宋体"/>
          <w:b w:val="0"/>
          <w:bCs w:val="0"/>
          <w:color w:val="auto"/>
          <w:sz w:val="24"/>
          <w:szCs w:val="24"/>
          <w:highlight w:val="none"/>
          <w:lang w:val="en-US" w:eastAsia="zh-CN"/>
        </w:rPr>
        <w:t xml:space="preserve">（包一）</w:t>
      </w:r>
      <w:r/>
    </w:p>
    <w:tbl>
      <w:tblPr>
        <w:tblStyle w:val="689"/>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3608"/>
        <w:gridCol w:w="2373"/>
        <w:gridCol w:w="1019"/>
        <w:gridCol w:w="768"/>
      </w:tblGrid>
      <w:tr>
        <w:trPr>
          <w:jc w:val="center"/>
          <w:trHeight w:val="702" w:hRule="exact"/>
        </w:trPr>
        <w:tc>
          <w:tcPr>
            <w:tcW w:w="578"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053"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设备名称</w:t>
            </w:r>
            <w:r/>
          </w:p>
        </w:tc>
        <w:tc>
          <w:tcPr>
            <w:tcW w:w="1350"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color w:val="auto"/>
                <w:sz w:val="24"/>
                <w:szCs w:val="24"/>
                <w:highlight w:val="none"/>
              </w:rPr>
              <w:t xml:space="preserve">设备规格要求</w:t>
            </w:r>
            <w:r/>
          </w:p>
        </w:tc>
        <w:tc>
          <w:tcPr>
            <w:tcW w:w="580"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437"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r>
      <w:tr>
        <w:trPr>
          <w:jc w:val="center"/>
          <w:trHeight w:val="510"/>
        </w:trPr>
        <w:tc>
          <w:tcPr>
            <w:shd w:val="clear" w:color="auto" w:fill="auto"/>
            <w:tcW w:w="578" w:type="pct"/>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双人漫步机</w:t>
            </w:r>
            <w:r/>
          </w:p>
        </w:tc>
        <w:tc>
          <w:tcPr>
            <w:tcW w:w="1350" w:type="pct"/>
            <w:vAlign w:val="center"/>
            <w:textDirection w:val="lrTb"/>
            <w:noWrap w:val="false"/>
          </w:tcPr>
          <w:p>
            <w:pPr>
              <w:jc w:val="center"/>
              <w:spacing w:line="240" w:lineRule="atLeast"/>
              <w:rPr>
                <w:rFonts w:hint="eastAsia" w:ascii="宋体" w:hAnsi="宋体" w:eastAsia="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580" w:type="pct"/>
            <w:vAlign w:val="center"/>
            <w:textDirection w:val="lrTb"/>
            <w:noWrap w:val="false"/>
          </w:tcPr>
          <w:p>
            <w:pPr>
              <w:jc w:val="center"/>
              <w:keepLines w:val="0"/>
              <w:keepNext w:val="0"/>
              <w:pageBreakBefore w:val="0"/>
              <w:spacing w:line="240" w:lineRule="exact"/>
              <w:widowControl/>
              <w:rPr>
                <w:rFonts w:hint="eastAsia"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437" w:type="pct"/>
            <w:vAlign w:val="center"/>
            <w:textDirection w:val="lrTb"/>
            <w:noWrap w:val="false"/>
          </w:tcPr>
          <w:p>
            <w:pPr>
              <w:jc w:val="center"/>
              <w:keepLines w:val="0"/>
              <w:keepNext w:val="0"/>
              <w:pageBreakBefore w:val="0"/>
              <w:spacing w:line="240" w:lineRule="exact"/>
              <w:widowControl/>
              <w:rPr>
                <w:rFonts w:hint="default"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三人扭腰器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云梯</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腰背按摩器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双人蹬力器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6</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肋木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7</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告示牌</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8</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上肢牵引器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9</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腿部按摩器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10</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太极揉推器</w:t>
            </w:r>
            <w:r/>
          </w:p>
        </w:tc>
        <w:tc>
          <w:tcPr>
            <w:tcW w:w="2373" w:type="dxa"/>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bl>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auto"/>
          <w:sz w:val="24"/>
          <w:szCs w:val="24"/>
          <w:highlight w:val="none"/>
          <w:lang w:val="en-US" w:eastAsia="zh-CN"/>
        </w:rPr>
      </w:r>
      <w:r/>
    </w:p>
    <w:p>
      <w:pPr>
        <w:numPr>
          <w:ilvl w:val="0"/>
          <w:numId w:val="0"/>
        </w:numPr>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bl>
      <w:tblPr>
        <w:tblStyle w:val="712"/>
        <w:tblW w:w="15383" w:type="dxa"/>
        <w:tblInd w:w="-7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833"/>
        <w:gridCol w:w="12277"/>
        <w:gridCol w:w="750"/>
        <w:gridCol w:w="773"/>
      </w:tblGrid>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序号</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名称</w:t>
            </w:r>
            <w:r/>
          </w:p>
        </w:tc>
        <w:tc>
          <w:tcPr>
            <w:tcW w:w="12277"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技术参数</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单位</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数量</w:t>
            </w:r>
            <w:r/>
          </w:p>
        </w:tc>
      </w:tr>
      <w:tr>
        <w:trPr>
          <w:trHeight w:val="3848"/>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rPr>
              <w:t xml:space="preserve">双人漫步机</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核心产品</w:t>
            </w:r>
            <w:r>
              <w:rPr>
                <w:rFonts w:hint="eastAsia" w:ascii="宋体" w:hAnsi="宋体" w:cs="宋体"/>
                <w:b w:val="0"/>
                <w:bCs w:val="0"/>
                <w:color w:val="auto"/>
                <w:sz w:val="24"/>
                <w:szCs w:val="24"/>
                <w:highlight w:val="none"/>
                <w:lang w:eastAsia="zh-CN"/>
              </w:rPr>
              <w:t xml:space="preserve">）</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主要承载立柱采用≥Φ114mm×3.0mm标准管材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满足GB19272—2024标准中相关静载荷、稳定性要求；转动部位采用国家标准轴承，并采用有效的防水、防尘措施；</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主要承载横梁尺寸：≥80mm×40mm×3mm；</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器材部件间不存在刚性碰撞；踏板的主运动方向和易滑脱方向防滑脱的凸台的高度为30mm，长度大于踏板周长的2/3，摆动幅度有加以约束，且单侧摆动幅度不大于70º；</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主要功能：增强下肢的活动能力，提高身体协调性；</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▲符合GB19272-2024《室外健身器材的安全通用要求》，并提供有效期内带有CMA或CNAS标识的检测报告（检测内容需涵盖上述第1、2项技术参数）并加盖投标人公章。</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▲通过经国家认监委批准的体育器材质量认证机构的产品质量认证，提供有效期内的认证证书及确认函并加盖投标人公章。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2</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三人扭腰器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主要材料：钢管主要承载立柱尺寸：</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114mm×3.0mm；主要承载横梁尺寸：</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32mm×3.0mm；扭腰盘采用钢板冲压成型，符合人体运动学规律；转动部位采用国家标准轴承；脚踏部位采用防滑结构设计，摩擦系数大于0.5；</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转动部件内设限位装置，防止转动角度过大对使用者或第三者造成伤害，使用6205深沟球轴承，设置防水结构</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主要功能：主要锻炼腰、髋部、增强腰部的灵活性和柔韧性。</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3</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云梯</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主要承载立柱采用≥Φ114mm×3.0mm；；横梁采用≥Φ32mm×3.0mm的标准管材，满足GB19272—2024标准中相关静载荷、稳定性要求；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立柱上部无钩挂结构；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w:t>
            </w:r>
            <w:r>
              <w:rPr>
                <w:rFonts w:hint="eastAsia" w:ascii="宋体" w:hAnsi="宋体" w:eastAsia="宋体" w:cs="宋体"/>
                <w:color w:val="auto"/>
                <w:sz w:val="24"/>
                <w:szCs w:val="24"/>
                <w:highlight w:val="none"/>
                <w:lang w:eastAsia="zh-CN"/>
              </w:rPr>
              <w:t xml:space="preserve">锻炼</w:t>
            </w:r>
            <w:r>
              <w:rPr>
                <w:rFonts w:hint="eastAsia" w:ascii="宋体" w:hAnsi="宋体" w:eastAsia="宋体" w:cs="宋体"/>
                <w:color w:val="auto"/>
                <w:sz w:val="24"/>
                <w:szCs w:val="24"/>
                <w:highlight w:val="none"/>
              </w:rPr>
              <w:t xml:space="preserve">上肢及胸部的力量，提高肩部和后背的灵活性；</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4</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腰背按摩器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1.主要承载立柱采用≥Φ114mm×3.0mm；横梁采用≥Φ114mm×3.0mm60mm×40mm×3.0mm的标准管材，满足GB19272—2024标准中相关静载荷、稳定性要求；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主要功能：两人可同时使用，主要锻炼腰、背部肌肉，缓解腰、背部疲劳；</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5</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双人蹬力器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≥Φ114mm×3.0mm</w:t>
            </w:r>
            <w:r>
              <w:rPr>
                <w:rFonts w:hint="eastAsia" w:ascii="宋体" w:hAnsi="宋体" w:eastAsia="宋体" w:cs="宋体"/>
                <w:color w:val="auto"/>
                <w:sz w:val="24"/>
                <w:szCs w:val="24"/>
                <w:highlight w:val="none"/>
              </w:rPr>
              <w:t xml:space="preserve">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采用内限位结构。脚踏部位有防滑措施；摩擦系数应不小于0.5；不允许存在剪切点、挤压点、引入点，不允许存在刚性碰撞；</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易接触的其他零部件的棱边予以圆弧过渡；</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主要功能：增强下肢及腰部肌肉力量,强化腿、腰部肌肉；</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6</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肋木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主立柱采用</w:t>
            </w:r>
            <w:r>
              <w:rPr>
                <w:rFonts w:hint="eastAsia" w:ascii="宋体" w:hAnsi="宋体" w:eastAsia="宋体" w:cs="宋体"/>
                <w:color w:val="auto"/>
                <w:sz w:val="24"/>
                <w:szCs w:val="24"/>
                <w:highlight w:val="none"/>
                <w:lang w:val="en-US" w:eastAsia="zh-CN"/>
              </w:rPr>
              <w:t xml:space="preserve">≥Φ114mm×3.0mm</w:t>
            </w:r>
            <w:r>
              <w:rPr>
                <w:rFonts w:hint="eastAsia" w:ascii="宋体" w:hAnsi="宋体" w:eastAsia="宋体" w:cs="宋体"/>
                <w:color w:val="auto"/>
                <w:sz w:val="24"/>
                <w:szCs w:val="24"/>
                <w:highlight w:val="none"/>
              </w:rPr>
              <w:t xml:space="preserve">；横梁采用</w:t>
            </w:r>
            <w:r>
              <w:rPr>
                <w:rFonts w:hint="eastAsia" w:ascii="宋体" w:hAnsi="宋体" w:eastAsia="宋体" w:cs="宋体"/>
                <w:color w:val="auto"/>
                <w:sz w:val="24"/>
                <w:szCs w:val="24"/>
                <w:highlight w:val="none"/>
                <w:lang w:val="en-US" w:eastAsia="zh-CN"/>
              </w:rPr>
              <w:t xml:space="preserve">≥Φ32mm×3.0mm</w:t>
            </w:r>
            <w:r>
              <w:rPr>
                <w:rFonts w:hint="eastAsia" w:ascii="宋体" w:hAnsi="宋体" w:eastAsia="宋体" w:cs="宋体"/>
                <w:color w:val="auto"/>
                <w:sz w:val="24"/>
                <w:szCs w:val="24"/>
                <w:highlight w:val="none"/>
              </w:rPr>
              <w:t xml:space="preserve">标准管材，立柱上部无钩挂结构； 无头部卡夹危险；满足GB19272-2024标准中相关静载荷、稳定性要求。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最低横杆下缘距地面</w:t>
            </w:r>
            <w:r>
              <w:rPr>
                <w:rFonts w:hint="default" w:ascii="宋体" w:hAnsi="宋体" w:eastAsia="宋体" w:cs="宋体"/>
                <w:color w:val="auto"/>
                <w:sz w:val="24"/>
                <w:szCs w:val="24"/>
                <w:highlight w:val="none"/>
                <w:lang w:val="en-US" w:eastAsia="zh-CN"/>
              </w:rPr>
              <w:t xml:space="preserve">≥420mm</w:t>
            </w:r>
            <w:r>
              <w:rPr>
                <w:rFonts w:hint="eastAsia" w:ascii="宋体" w:hAnsi="宋体" w:eastAsia="宋体" w:cs="宋体"/>
                <w:color w:val="auto"/>
                <w:sz w:val="24"/>
                <w:szCs w:val="24"/>
                <w:highlight w:val="none"/>
              </w:rPr>
              <w:t xml:space="preserve">，无身体卡夹危险；</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器材安全警示采用图示方式提示使用者可能存在风险；</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7</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告示牌</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≥Φ114mm×3.0mm</w:t>
            </w:r>
            <w:r>
              <w:rPr>
                <w:rFonts w:hint="eastAsia" w:ascii="宋体" w:hAnsi="宋体" w:eastAsia="宋体" w:cs="宋体"/>
                <w:color w:val="auto"/>
                <w:sz w:val="24"/>
                <w:szCs w:val="24"/>
                <w:highlight w:val="none"/>
              </w:rPr>
              <w:t xml:space="preserve">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采用横式不锈钢牌面，</w:t>
            </w:r>
            <w:r>
              <w:rPr>
                <w:rFonts w:hint="eastAsia" w:ascii="宋体" w:hAnsi="宋体" w:cs="宋体"/>
                <w:color w:val="auto"/>
                <w:sz w:val="24"/>
                <w:szCs w:val="24"/>
                <w:highlight w:val="none"/>
                <w:lang w:val="zh-CN" w:eastAsia="zh-CN"/>
              </w:rPr>
              <w:t xml:space="preserve">牌面尺寸(800～900)×(500～600)mm，板材厚度≥1mm</w:t>
            </w:r>
            <w:r>
              <w:rPr>
                <w:rFonts w:hint="eastAsia" w:ascii="宋体" w:hAnsi="宋体" w:cs="宋体"/>
                <w:color w:val="auto"/>
                <w:sz w:val="24"/>
                <w:szCs w:val="24"/>
                <w:highlight w:val="none"/>
                <w:lang w:val="en-US" w:eastAsia="zh-CN"/>
              </w:rPr>
              <w:t xml:space="preserve">；牌面内容采用双面蚀字工艺制作；牌面采用内嵌式安装，利用防盗螺丝+防盗帽盖固定，美观又防盗；牌面框三面满缝焊接，美观又防雨水；人体易接触区域没有钩挂、缠绕结构；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w:t>
            </w:r>
            <w:r>
              <w:rPr>
                <w:rFonts w:hint="eastAsia" w:ascii="宋体" w:hAnsi="宋体" w:eastAsia="宋体" w:cs="宋体"/>
                <w:color w:val="auto"/>
                <w:sz w:val="24"/>
                <w:szCs w:val="24"/>
                <w:highlight w:val="none"/>
                <w:lang w:val="en-US" w:eastAsia="zh-CN"/>
              </w:rPr>
              <w:t xml:space="preserve">的不锈钢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标识的检测报告（检测内容需涵盖上述第1、2项技术参数）并加盖投标人公章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8</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上肢牵引器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≥Φ114mm×3mm</w:t>
            </w:r>
            <w:r>
              <w:rPr>
                <w:rFonts w:hint="eastAsia" w:ascii="宋体" w:hAnsi="宋体" w:eastAsia="宋体" w:cs="宋体"/>
                <w:color w:val="auto"/>
                <w:sz w:val="24"/>
                <w:szCs w:val="24"/>
                <w:highlight w:val="none"/>
              </w:rPr>
              <w:t xml:space="preserve">；横梁采用</w:t>
            </w:r>
            <w:r>
              <w:rPr>
                <w:rFonts w:hint="eastAsia" w:ascii="宋体" w:hAnsi="宋体" w:eastAsia="宋体" w:cs="宋体"/>
                <w:color w:val="auto"/>
                <w:sz w:val="24"/>
                <w:szCs w:val="24"/>
                <w:highlight w:val="none"/>
                <w:lang w:val="en-US" w:eastAsia="zh-CN"/>
              </w:rPr>
              <w:t xml:space="preserve">≥Φ89mm×3mm</w:t>
            </w:r>
            <w:r>
              <w:rPr>
                <w:rFonts w:hint="eastAsia" w:ascii="宋体" w:hAnsi="宋体" w:eastAsia="宋体" w:cs="宋体"/>
                <w:color w:val="auto"/>
                <w:sz w:val="24"/>
                <w:szCs w:val="24"/>
                <w:highlight w:val="none"/>
              </w:rPr>
              <w:t xml:space="preserve">标准管材，并与其他管材同时满足GB19272—2024标准中相关静载荷、稳定性要求；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把手端部直径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mm，无穿刺危险；轴承座设有限位装置且无刚性碰撞；立柱采用钢制封头，可防止雨水流入；</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主要功能：增强肩关节柔韧力量；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9</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腿部按摩器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3.0mm；横梁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60mm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安装采用直埋方式。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转动部位采用国家标准轴承，并采用有效的防水、防尘措施；</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主要功能：锻炼腿部肌肉群，消除下肢肌肉疲劳，促进血液循环，缓解肌肉酸胀。</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10</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太极揉推器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主要承载主立柱采用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3.0mm；横梁采用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48mm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3.0mm标准管材，并与其他管材同时满足GB19272—2024标准中相关静载荷、稳定性要求；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主要功能：增强肩肘髋膝等部位的活动能力，适于老年人；</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产品具有可识别的不锈钢《江苏体育全民健身设施管理平台》二维码及小程序码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rHeight w:val="7091"/>
        </w:trPr>
        <w:tc>
          <w:tcPr>
            <w:gridSpan w:val="5"/>
            <w:tcW w:w="15383"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通用要求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表面易接触材料有害物质限量应符合GB19272-20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器材各部位螺钉、螺母等紧固件应紧固可靠且防锈、防松和防盗；螺纹突出部分不应超过其螺距3倍的长度; 易接触区域的螺栓、螺钉应永久的覆盖住突出的螺栓螺纹或采用覆盖件在其安装面以上直角部分的高度不应超过3mm或采用突出部分外角应不小于105°或不应有易钩挂形状。</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器材各支撑人体的表面所有棱边和尖角，应使其半径不小于3.0mm；使用者或第三者易接触的零部件的其他所有棱边应予以圆滑过渡或加以防护。</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易接触的管材末端应采用零部件或管塞封住，且把手端部直径应不小于50mm，除使用工具外，应不可拆卸。</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结构应防止有对人体头部、颈部、躯干、手、手指、脚部的挤压、剪切、卡夹伤害的可能；应防止有对衣物、头发产生钩挂、缠绕伤害的可能；在使用者头部或视线高度范围外，不应有不可预知的障碍物和突起物，防止产生碰撞伤害的可能。扶手直径应不小于16mm且不大于45mm</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器材机械部分的安全使用寿命及疲劳性能应符合GB19272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的规定。带有轴承的器材，轴承应采取防水、防尘措施</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器材机械部分的稳定应符合GB19272-20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器材安全使用寿命不低于8年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可尝试攀爬、踩踏高度大于600mm时，碰撞区域应安装有着陆缓冲层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器材应配有完整的说明书，应包含三图（安装示意图、安装跌落空间图、碰撞区域图）、三表（器材安装检查表、器材定期检查表、易损件明细表）、器材安全使用寿命、器材维护保养注意事项</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及寿命周期内对易损件及时更换的承诺等内容</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器材安全警示应采用图示方式提示使用者可能存在风险</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器材应有专用二维码标识，用于提报安装信息。</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标供应商禁止对本项目进行分包、转包。</w:t>
            </w:r>
            <w:r/>
          </w:p>
          <w:p>
            <w:pPr>
              <w:numPr>
                <w:ilvl w:val="0"/>
                <w:numId w:val="0"/>
              </w:numPr>
              <w:ind w:left="20" w:hanging="20"/>
              <w:jc w:val="left"/>
              <w:keepLines w:val="0"/>
              <w:keepNext w:val="0"/>
              <w:pageBreakBefore w:val="0"/>
              <w:spacing w:after="0" w:line="3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器材安装应符合</w:t>
            </w:r>
            <w:r>
              <w:rPr>
                <w:rFonts w:hint="eastAsia" w:ascii="宋体" w:hAnsi="宋体" w:eastAsia="宋体" w:cs="宋体"/>
                <w:color w:val="auto"/>
                <w:sz w:val="24"/>
                <w:szCs w:val="24"/>
                <w:highlight w:val="none"/>
              </w:rPr>
              <w:t xml:space="preserve">GB19272-2</w:t>
            </w:r>
            <w:r>
              <w:rPr>
                <w:rFonts w:hint="eastAsia" w:ascii="宋体" w:hAnsi="宋体" w:eastAsia="宋体" w:cs="宋体"/>
                <w:color w:val="auto"/>
                <w:sz w:val="24"/>
                <w:szCs w:val="24"/>
                <w:highlight w:val="none"/>
                <w:lang w:val="en-US" w:eastAsia="zh-CN"/>
              </w:rPr>
              <w:t xml:space="preserve">024</w:t>
            </w:r>
            <w:r>
              <w:rPr>
                <w:rFonts w:hint="eastAsia" w:ascii="宋体" w:hAnsi="宋体" w:eastAsia="宋体" w:cs="宋体"/>
                <w:color w:val="auto"/>
                <w:sz w:val="24"/>
                <w:szCs w:val="24"/>
                <w:highlight w:val="none"/>
              </w:rPr>
              <w:t xml:space="preserve">的要求</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其它应符合GB19272-2</w:t>
            </w:r>
            <w:r>
              <w:rPr>
                <w:rFonts w:hint="eastAsia" w:ascii="宋体" w:hAnsi="宋体" w:eastAsia="宋体" w:cs="宋体"/>
                <w:color w:val="auto"/>
                <w:sz w:val="24"/>
                <w:szCs w:val="24"/>
                <w:highlight w:val="none"/>
                <w:lang w:val="en-US" w:eastAsia="zh-CN"/>
              </w:rPr>
              <w:t xml:space="preserve">024</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产品</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具有可识别的《江苏体育全民健身设施管理平台》</w:t>
            </w:r>
            <w:r>
              <w:rPr>
                <w:rFonts w:hint="eastAsia" w:ascii="宋体" w:hAnsi="宋体" w:eastAsia="宋体" w:cs="宋体"/>
                <w:color w:val="auto"/>
                <w:sz w:val="24"/>
                <w:szCs w:val="24"/>
                <w:highlight w:val="none"/>
                <w:lang w:val="en-US" w:eastAsia="zh-CN"/>
              </w:rPr>
              <w:t xml:space="preserve">不锈钢材质</w:t>
            </w:r>
            <w:r>
              <w:rPr>
                <w:rFonts w:hint="eastAsia" w:ascii="宋体" w:hAnsi="宋体" w:eastAsia="宋体" w:cs="宋体"/>
                <w:color w:val="auto"/>
                <w:sz w:val="24"/>
                <w:szCs w:val="24"/>
                <w:highlight w:val="none"/>
              </w:rPr>
              <w:t xml:space="preserve">二维码及小程序码</w:t>
            </w:r>
            <w:r>
              <w:rPr>
                <w:rFonts w:hint="eastAsia" w:ascii="宋体" w:hAnsi="宋体" w:eastAsia="宋体" w:cs="宋体"/>
                <w:color w:val="auto"/>
                <w:sz w:val="24"/>
                <w:szCs w:val="24"/>
                <w:highlight w:val="none"/>
                <w:lang w:eastAsia="zh-CN"/>
              </w:rPr>
              <w:t xml:space="preserve">。</w:t>
            </w:r>
            <w:r/>
          </w:p>
        </w:tc>
      </w:tr>
    </w:tbl>
    <w:p>
      <w:pPr>
        <w:spacing w:line="560" w:lineRule="exact"/>
        <w:rPr>
          <w:rFonts w:hint="eastAsia" w:ascii="Times New Roman" w:hAnsi="Times New Roman"/>
          <w:color w:val="auto"/>
          <w:sz w:val="24"/>
          <w:szCs w:val="24"/>
          <w:highlight w:val="none"/>
        </w:rPr>
        <w:sectPr>
          <w:footnotePr/>
          <w:endnotePr/>
          <w:type w:val="nextPage"/>
          <w:pgSz w:w="16838" w:h="11906" w:orient="landscape"/>
          <w:pgMar w:top="1365" w:right="1418" w:bottom="1588" w:left="1418" w:header="851" w:footer="907" w:gutter="0"/>
          <w:pgNumType w:start="0"/>
          <w:cols w:num="1" w:sep="0" w:space="1701" w:equalWidth="1"/>
          <w:docGrid w:linePitch="360"/>
          <w:titlePg/>
        </w:sectPr>
      </w:pPr>
      <w:r>
        <w:rPr>
          <w:rFonts w:hint="eastAsia" w:ascii="Times New Roman" w:hAnsi="Times New Roman"/>
          <w:color w:val="auto"/>
          <w:sz w:val="24"/>
          <w:szCs w:val="24"/>
          <w:highlight w:val="none"/>
        </w:rPr>
      </w:r>
      <w:r/>
    </w:p>
    <w:p>
      <w:pPr>
        <w:numPr>
          <w:ilvl w:val="0"/>
          <w:numId w:val="0"/>
        </w:numPr>
        <w:ind w:firstLine="48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2.采购标的清单</w:t>
      </w:r>
      <w:r>
        <w:rPr>
          <w:rFonts w:hint="eastAsia" w:ascii="宋体" w:hAnsi="宋体" w:cs="宋体"/>
          <w:b w:val="0"/>
          <w:bCs w:val="0"/>
          <w:color w:val="auto"/>
          <w:sz w:val="24"/>
          <w:szCs w:val="24"/>
          <w:highlight w:val="none"/>
          <w:lang w:val="en-US" w:eastAsia="zh-CN"/>
        </w:rPr>
        <w:t xml:space="preserve">（包二）</w:t>
      </w:r>
      <w:r/>
    </w:p>
    <w:tbl>
      <w:tblPr>
        <w:tblStyle w:val="689"/>
        <w:tblW w:w="5426" w:type="pct"/>
        <w:tblInd w:w="-4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4757"/>
        <w:gridCol w:w="2620"/>
        <w:gridCol w:w="818"/>
        <w:gridCol w:w="736"/>
      </w:tblGrid>
      <w:tr>
        <w:trPr>
          <w:trHeight w:val="702" w:hRule="exact"/>
        </w:trPr>
        <w:tc>
          <w:tcPr>
            <w:tcW w:w="512"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389"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设备名称</w:t>
            </w:r>
            <w:r/>
          </w:p>
        </w:tc>
        <w:tc>
          <w:tcPr>
            <w:tcW w:w="1316"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color w:val="auto"/>
                <w:sz w:val="24"/>
                <w:szCs w:val="24"/>
                <w:highlight w:val="none"/>
              </w:rPr>
              <w:t xml:space="preserve">设备规格要求</w:t>
            </w:r>
            <w:r/>
          </w:p>
        </w:tc>
        <w:tc>
          <w:tcPr>
            <w:tcW w:w="411"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369"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r>
      <w:tr>
        <w:trPr>
          <w:trHeight w:val="510"/>
        </w:trPr>
        <w:tc>
          <w:tcPr>
            <w:shd w:val="clear" w:color="auto" w:fill="auto"/>
            <w:tcW w:w="512" w:type="pct"/>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p>
        </w:tc>
        <w:tc>
          <w:tcPr>
            <w:tcW w:w="2389" w:type="pct"/>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笼式篮球场</w:t>
            </w:r>
            <w:r/>
          </w:p>
        </w:tc>
        <w:tc>
          <w:tcPr>
            <w:tcW w:w="1316" w:type="pct"/>
            <w:vAlign w:val="center"/>
            <w:textDirection w:val="lrTb"/>
            <w:noWrap w:val="false"/>
          </w:tcPr>
          <w:p>
            <w:pPr>
              <w:jc w:val="center"/>
              <w:spacing w:line="240" w:lineRule="atLeast"/>
              <w:rPr>
                <w:rFonts w:hint="eastAsia" w:ascii="宋体" w:hAnsi="宋体" w:eastAsia="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包二参数要求</w:t>
            </w:r>
            <w:r/>
          </w:p>
        </w:tc>
        <w:tc>
          <w:tcPr>
            <w:tcW w:w="411" w:type="pct"/>
            <w:vAlign w:val="center"/>
            <w:textDirection w:val="lrTb"/>
            <w:noWrap w:val="false"/>
          </w:tcPr>
          <w:p>
            <w:pPr>
              <w:jc w:val="center"/>
              <w:keepLines w:val="0"/>
              <w:keepNext w:val="0"/>
              <w:pageBreakBefore w:val="0"/>
              <w:spacing w:line="240" w:lineRule="exact"/>
              <w:widowControl/>
              <w:rPr>
                <w:rFonts w:hint="eastAsia"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片</w:t>
            </w:r>
            <w:r/>
          </w:p>
        </w:tc>
        <w:tc>
          <w:tcPr>
            <w:tcW w:w="369" w:type="pct"/>
            <w:vAlign w:val="center"/>
            <w:textDirection w:val="lrTb"/>
            <w:noWrap w:val="false"/>
          </w:tcPr>
          <w:p>
            <w:pPr>
              <w:jc w:val="center"/>
              <w:keepLines w:val="0"/>
              <w:keepNext w:val="0"/>
              <w:pageBreakBefore w:val="0"/>
              <w:spacing w:line="240" w:lineRule="exact"/>
              <w:widowControl/>
              <w:rPr>
                <w:rFonts w:hint="default"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bl>
    <w:p>
      <w:pPr>
        <w:numPr>
          <w:ilvl w:val="0"/>
          <w:numId w:val="0"/>
        </w:numPr>
        <w:ind w:firstLine="480"/>
        <w:keepLines w:val="0"/>
        <w:keepNext w:val="0"/>
        <w:pageBreakBefore w:val="0"/>
        <w:spacing w:line="560" w:lineRule="exact"/>
        <w:widowControl w:val="off"/>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2.1包二参数要求：</w:t>
      </w:r>
      <w:r/>
    </w:p>
    <w:tbl>
      <w:tblPr>
        <w:tblStyle w:val="689"/>
        <w:tblW w:w="9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967"/>
        <w:gridCol w:w="1468"/>
        <w:gridCol w:w="721"/>
        <w:gridCol w:w="1703"/>
        <w:gridCol w:w="505"/>
        <w:gridCol w:w="696"/>
        <w:gridCol w:w="3216"/>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地点</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场地及尺寸</w:t>
            </w:r>
            <w:r/>
          </w:p>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（m）</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3216" w:type="dxa"/>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特征描述</w:t>
            </w:r>
            <w:r/>
          </w:p>
        </w:tc>
      </w:tr>
      <w:tr>
        <w:trPr>
          <w:jc w:val="center"/>
          <w:trHeight w:val="361"/>
        </w:trPr>
        <w:tc>
          <w:tcPr>
            <w:tcW w:w="0" w:type="auto"/>
            <w:vAlign w:val="center"/>
            <w:vMerge w:val="restart"/>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星海</w:t>
            </w:r>
            <w:r/>
          </w:p>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花苑</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篮球场</w:t>
            </w:r>
            <w:r/>
          </w:p>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（32*35）</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2片</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硅PU面层</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1120</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8mm厚</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硅PU彩绘定制工艺</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1120</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根据提供的方案进行彩绘定制</w:t>
            </w:r>
            <w:r/>
          </w:p>
        </w:tc>
      </w:tr>
      <w:tr>
        <w:trPr>
          <w:jc w:val="center"/>
          <w:trHeight w:val="405"/>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地埋式篮球架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拼装式4米高围网</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696" w:type="dxa"/>
            <w:vAlign w:val="center"/>
            <w:textDirection w:val="lrTb"/>
            <w:noWrap w:val="false"/>
          </w:tcPr>
          <w:p>
            <w:pPr>
              <w:ind w:left="0" w:right="0" w:firstLine="0"/>
              <w:jc w:val="lef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425"/>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100cm×80cm×1mm</w:t>
            </w:r>
            <w:r/>
          </w:p>
        </w:tc>
      </w:tr>
      <w:tr>
        <w:trPr>
          <w:jc w:val="center"/>
          <w:trHeight w:val="479"/>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块</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警示牌510×200×2mm</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 xml:space="preserve">旧场地产铲除与恢复</w:t>
            </w:r>
            <w:r/>
          </w:p>
        </w:tc>
        <w:tc>
          <w:tcPr>
            <w:tcW w:w="0" w:type="auto"/>
            <w:vAlign w:val="center"/>
            <w:textDirection w:val="lrTb"/>
            <w:noWrap w:val="false"/>
          </w:tcPr>
          <w:p>
            <w:pPr>
              <w:ind w:left="0" w:right="0" w:firstLine="0"/>
              <w:jc w:val="center"/>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原有</w:t>
            </w:r>
            <w:r>
              <w:rPr>
                <w:rFonts w:hint="eastAsia" w:ascii="宋体" w:hAnsi="宋体" w:cs="宋体"/>
                <w:color w:val="auto"/>
                <w:sz w:val="24"/>
                <w:szCs w:val="24"/>
                <w:highlight w:val="none"/>
                <w:lang w:val="en-US" w:eastAsia="zh-CN"/>
              </w:rPr>
              <w:t xml:space="preserve">地面</w:t>
            </w:r>
            <w:r>
              <w:rPr>
                <w:rFonts w:hint="eastAsia" w:ascii="宋体" w:hAnsi="宋体" w:eastAsia="宋体" w:cs="宋体"/>
                <w:color w:val="auto"/>
                <w:sz w:val="24"/>
                <w:szCs w:val="24"/>
                <w:highlight w:val="none"/>
                <w:lang w:val="en-US" w:eastAsia="zh-CN"/>
              </w:rPr>
              <w:t xml:space="preserve">铲除垃圾清运，经过无害化处理；场地填补、打磨、找补平整；对现有管网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基础设施</w:t>
            </w:r>
            <w:r>
              <w:rPr>
                <w:rFonts w:hint="eastAsia" w:ascii="宋体" w:hAnsi="宋体" w:cs="宋体"/>
                <w:color w:val="auto"/>
                <w:sz w:val="24"/>
                <w:szCs w:val="24"/>
                <w:highlight w:val="none"/>
                <w:lang w:val="en-US" w:eastAsia="zh-CN"/>
              </w:rPr>
              <w:t xml:space="preserve">及绿化</w:t>
            </w:r>
            <w:r>
              <w:rPr>
                <w:rFonts w:hint="eastAsia" w:ascii="宋体" w:hAnsi="宋体" w:eastAsia="宋体" w:cs="宋体"/>
                <w:color w:val="auto"/>
                <w:sz w:val="24"/>
                <w:szCs w:val="24"/>
                <w:highlight w:val="none"/>
                <w:lang w:val="en-US" w:eastAsia="zh-CN"/>
              </w:rPr>
              <w:t xml:space="preserve">等的保护与恢复</w:t>
            </w:r>
            <w:r/>
          </w:p>
        </w:tc>
      </w:tr>
      <w:tr>
        <w:trPr>
          <w:jc w:val="center"/>
          <w:trHeight w:val="360"/>
        </w:trPr>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南莫镇</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篮球场</w:t>
            </w:r>
            <w:r/>
          </w:p>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1片</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硅PU面层</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rPr>
              <w:t xml:space="preserve">8mm厚</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硅PU彩绘定制工艺</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根据提供的方案进行彩绘定制</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拼装式4米高围网</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含2个1.4×2m双开式门</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地埋式篮球架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100cm×80cm×1mm</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块</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警示牌，安全处出、入口标识牌等。510×200×2mm</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 xml:space="preserve">旧场地产铲除与恢复</w:t>
            </w:r>
            <w:r/>
          </w:p>
        </w:tc>
        <w:tc>
          <w:tcPr>
            <w:tcW w:w="0" w:type="auto"/>
            <w:vAlign w:val="center"/>
            <w:textDirection w:val="lrTb"/>
            <w:noWrap w:val="false"/>
          </w:tcPr>
          <w:p>
            <w:pPr>
              <w:ind w:left="0" w:right="0" w:firstLine="0"/>
              <w:jc w:val="center"/>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原有</w:t>
            </w:r>
            <w:r>
              <w:rPr>
                <w:rFonts w:hint="eastAsia" w:ascii="宋体" w:hAnsi="宋体" w:cs="宋体"/>
                <w:color w:val="auto"/>
                <w:sz w:val="24"/>
                <w:szCs w:val="24"/>
                <w:highlight w:val="none"/>
                <w:lang w:val="en-US" w:eastAsia="zh-CN"/>
              </w:rPr>
              <w:t xml:space="preserve">地面</w:t>
            </w:r>
            <w:r>
              <w:rPr>
                <w:rFonts w:hint="eastAsia" w:ascii="宋体" w:hAnsi="宋体" w:eastAsia="宋体" w:cs="宋体"/>
                <w:color w:val="auto"/>
                <w:sz w:val="24"/>
                <w:szCs w:val="24"/>
                <w:highlight w:val="none"/>
                <w:lang w:val="en-US" w:eastAsia="zh-CN"/>
              </w:rPr>
              <w:t xml:space="preserve">铲除垃圾清运，经过无害化处理；场地填补、打磨、找补平整；对现有管网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基础设施</w:t>
            </w:r>
            <w:r>
              <w:rPr>
                <w:rFonts w:hint="eastAsia" w:ascii="宋体" w:hAnsi="宋体" w:cs="宋体"/>
                <w:color w:val="auto"/>
                <w:sz w:val="24"/>
                <w:szCs w:val="24"/>
                <w:highlight w:val="none"/>
                <w:lang w:val="en-US" w:eastAsia="zh-CN"/>
              </w:rPr>
              <w:t xml:space="preserve">及绿化</w:t>
            </w:r>
            <w:r>
              <w:rPr>
                <w:rFonts w:hint="eastAsia" w:ascii="宋体" w:hAnsi="宋体" w:eastAsia="宋体" w:cs="宋体"/>
                <w:color w:val="auto"/>
                <w:sz w:val="24"/>
                <w:szCs w:val="24"/>
                <w:highlight w:val="none"/>
                <w:lang w:val="en-US" w:eastAsia="zh-CN"/>
              </w:rPr>
              <w:t xml:space="preserve">等的保护与恢复</w:t>
            </w:r>
            <w:r/>
          </w:p>
        </w:tc>
      </w:tr>
      <w:tr>
        <w:trPr>
          <w:jc w:val="center"/>
          <w:trHeight w:val="0"/>
        </w:trPr>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白甸镇</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篮球场</w:t>
            </w:r>
            <w:r/>
          </w:p>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1片</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硅PU面层</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8mm厚</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硅PU彩绘定制工艺</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根据提供的方案进行彩绘定制</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拼装式4米高围网</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含2个1.4×2m双开式门</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高杆照明灯</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6米高度，球场专用灯具</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地埋式篮球架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100cm×80cm×1mm</w:t>
            </w:r>
            <w:r/>
          </w:p>
        </w:tc>
      </w:tr>
      <w:tr>
        <w:trPr>
          <w:jc w:val="center"/>
          <w:trHeight w:val="0"/>
        </w:trPr>
        <w:tc>
          <w:tcPr>
            <w:tcW w:w="721" w:type="dxa"/>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7" w:type="dxa"/>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8"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1" w:type="dxa"/>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3"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标识牌</w:t>
            </w:r>
            <w:r/>
          </w:p>
        </w:tc>
        <w:tc>
          <w:tcPr>
            <w:tcW w:w="505"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块</w:t>
            </w:r>
            <w:r/>
          </w:p>
        </w:tc>
        <w:tc>
          <w:tcPr>
            <w:tcW w:w="69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警示牌，安全处出、入口标识牌等。510×200×2mm</w:t>
            </w:r>
            <w:r/>
          </w:p>
        </w:tc>
      </w:tr>
    </w:tbl>
    <w:p>
      <w:pPr>
        <w:ind w:firstLine="482"/>
        <w:spacing w:line="56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注：如所投产品</w:t>
      </w: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lang w:val="en-US" w:eastAsia="zh-CN"/>
        </w:rPr>
        <w:t xml:space="preserve">包一、包二</w:t>
      </w: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rPr>
        <w:t xml:space="preserve">技术参数条件与采购清单中参数条款不符，须在《技术条款响应正负偏离表》中注明，并给予解释。</w:t>
      </w:r>
      <w:r/>
    </w:p>
    <w:p>
      <w:pPr>
        <w:contextualSpacing/>
        <w:ind w:firstLine="480"/>
        <w:keepLines w:val="0"/>
        <w:keepNext w:val="0"/>
        <w:pageBreakBefore w:val="0"/>
        <w:spacing w:line="560" w:lineRule="exact"/>
        <w:tabs>
          <w:tab w:val="left" w:pos="5325"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2.2.包二技术参数</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1</w:t>
      </w:r>
      <w:r>
        <w:rPr>
          <w:rFonts w:ascii="宋体" w:hAnsi="宋体" w:eastAsia="宋体" w:cs="宋体"/>
          <w:color w:val="auto"/>
          <w:sz w:val="21"/>
          <w:highlight w:val="none"/>
        </w:rPr>
        <w:t xml:space="preserve">▲</w:t>
      </w:r>
      <w:r>
        <w:rPr>
          <w:rFonts w:hint="eastAsia" w:ascii="宋体" w:hAnsi="宋体" w:eastAsia="宋体" w:cs="宋体"/>
          <w:bCs/>
          <w:color w:val="auto"/>
          <w:sz w:val="24"/>
          <w:szCs w:val="24"/>
          <w:highlight w:val="none"/>
        </w:rPr>
        <w:t xml:space="preserve">硅PU面层：硅pu必须符合GB36246-2018相关规定</w:t>
      </w:r>
      <w:r>
        <w:rPr>
          <w:rFonts w:hint="eastAsia" w:ascii="宋体" w:hAnsi="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提供相关证明加盖公章</w:t>
      </w:r>
      <w:r>
        <w:rPr>
          <w:rFonts w:hint="eastAsia" w:ascii="宋体" w:hAnsi="宋体" w:eastAsia="宋体" w:cs="宋体"/>
          <w:bCs/>
          <w:color w:val="auto"/>
          <w:sz w:val="24"/>
          <w:szCs w:val="24"/>
          <w:highlight w:val="none"/>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1.1技术要求：单组份硅PU材料，厚度为8mm，主场颜色为墨绿色或定制颜色。</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1.2</w:t>
      </w:r>
      <w:r>
        <w:rPr>
          <w:rFonts w:hint="eastAsia" w:ascii="宋体" w:hAnsi="宋体" w:eastAsia="宋体" w:cs="宋体"/>
          <w:bCs/>
          <w:color w:val="auto"/>
          <w:sz w:val="24"/>
          <w:szCs w:val="24"/>
          <w:highlight w:val="none"/>
          <w:lang w:val="en-US" w:eastAsia="zh-CN"/>
        </w:rPr>
        <w:t xml:space="preserve">根据场地实际情况划线，尽量</w:t>
      </w:r>
      <w:r>
        <w:rPr>
          <w:rFonts w:hint="eastAsia" w:ascii="宋体" w:hAnsi="宋体" w:eastAsia="宋体" w:cs="宋体"/>
          <w:bCs/>
          <w:color w:val="auto"/>
          <w:sz w:val="24"/>
          <w:szCs w:val="24"/>
          <w:highlight w:val="none"/>
        </w:rPr>
        <w:t xml:space="preserve">按标准尺寸量度定位，标出界线位置，用美纹纸沿界线两边贴在球场上，用专用划线漆涂刷于美纹纸间，待表干后撕掉美纹纸。专用划线漆为双组份材料，必须按规定比例充分混合均匀，分一道涂刷。若球场表面为粗糙面，第一道可加适量的球场专用砂涂刷，以防渗边。</w:t>
      </w:r>
      <w:r/>
    </w:p>
    <w:p>
      <w:pPr>
        <w:contextualSpacing/>
        <w:ind w:firstLine="482"/>
        <w:keepLines w:val="0"/>
        <w:keepNext w:val="0"/>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框架式场地围网系统：</w:t>
      </w:r>
      <w:r/>
    </w:p>
    <w:p>
      <w:pPr>
        <w:contextualSpacing/>
        <w:ind w:firstLine="480"/>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2.2.1</w:t>
      </w:r>
      <w:r>
        <w:rPr>
          <w:rFonts w:ascii="宋体" w:hAnsi="宋体" w:eastAsia="宋体" w:cs="宋体"/>
          <w:color w:val="auto"/>
          <w:sz w:val="21"/>
          <w:highlight w:val="none"/>
        </w:rPr>
        <w:t xml:space="preserve">▲</w:t>
      </w:r>
      <w:r>
        <w:rPr>
          <w:rFonts w:hint="eastAsia" w:ascii="宋体" w:hAnsi="宋体" w:eastAsia="宋体" w:cs="宋体"/>
          <w:bCs/>
          <w:color w:val="auto"/>
          <w:sz w:val="24"/>
          <w:szCs w:val="24"/>
          <w:highlight w:val="none"/>
        </w:rPr>
        <w:t xml:space="preserve">笼式设施：须符合GB/T34279-2017《笼式足球场围网设施安全通用要求》的有关要求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提供相关证明加盖公章</w:t>
      </w:r>
      <w:r>
        <w:rPr>
          <w:rFonts w:hint="eastAsia" w:ascii="宋体" w:hAnsi="宋体" w:eastAsia="宋体" w:cs="宋体"/>
          <w:b/>
          <w:bCs/>
          <w:color w:val="auto"/>
          <w:sz w:val="24"/>
          <w:szCs w:val="24"/>
          <w:highlight w:val="none"/>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2.2.2</w:t>
      </w:r>
      <w:r>
        <w:rPr>
          <w:rFonts w:hint="eastAsia" w:ascii="宋体" w:hAnsi="宋体" w:eastAsia="宋体" w:cs="宋体"/>
          <w:bCs/>
          <w:color w:val="auto"/>
          <w:sz w:val="24"/>
          <w:szCs w:val="24"/>
          <w:highlight w:val="none"/>
        </w:rPr>
        <w:t xml:space="preserve">框架：围网立柱采用（Q235B材质）Ф76mm，管壁厚度为3mm的优质钢管，围网采用模块拼接式，围网总高度4000mm。现场立柱预埋后安装网片，立柱选用独立地埋固定方式，围网框架采用（Q235B材质）Ф60mm，管壁厚度3.0mm的优质钢管或者60×40×3mm的优质U形方管，立柱间隔≤3m，所有管材表面须经过静电粉末喷塑处理，颜色为墨绿色或根据提供方案定制颜色，立柱埋入地下深度400mm，地基尺寸490mm×400mm。</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2.2.3</w:t>
      </w:r>
      <w:r>
        <w:rPr>
          <w:rFonts w:hint="eastAsia" w:ascii="宋体" w:hAnsi="宋体" w:eastAsia="宋体" w:cs="宋体"/>
          <w:bCs/>
          <w:color w:val="auto"/>
          <w:sz w:val="24"/>
          <w:szCs w:val="24"/>
          <w:highlight w:val="none"/>
        </w:rPr>
        <w:t xml:space="preserve">围网带有一个1.4m宽、2m高的双开式框架进出口，采用50×50×t 2.5mm的方管。围网网片使用压框覆盖包塑网，防止刮伤。围网全部采用防盗不锈钢螺栓，并采用防松螺母防松方式，保证连接长期可靠。立柱与连接横管采用固态粉静电喷涂工艺，颜色为墨绿色或或根据提供方案定制颜色，色泽保持八年不变，围网风载荷标准值0.35Kn/m2。</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2.2.4</w:t>
      </w:r>
      <w:r>
        <w:rPr>
          <w:rFonts w:hint="eastAsia" w:ascii="宋体" w:hAnsi="宋体" w:eastAsia="宋体" w:cs="宋体"/>
          <w:bCs/>
          <w:color w:val="auto"/>
          <w:sz w:val="24"/>
          <w:szCs w:val="24"/>
          <w:highlight w:val="none"/>
        </w:rPr>
        <w:t xml:space="preserve">网丝：包塑网片丝浸塑处理后网片径Ф4.0mm, 采用优质低碳镀锌钢丝，处理前丝径≥Ф3 mm，网孔50 mm，勾花网或链式网，受到撞击后可迅速恢复原形，并有效保护使用者在撞击围网时不受伤害；颜色为墨绿色或根据提供方案定制颜色，表面光滑细腻，吸水率为0%。围网孔径与运动功能相适应，具有防止球脱出的功能。</w:t>
      </w:r>
      <w:r/>
    </w:p>
    <w:p>
      <w:pPr>
        <w:contextualSpacing/>
        <w:ind w:firstLine="482"/>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2.3地埋式篮球架：</w:t>
      </w:r>
      <w:r/>
    </w:p>
    <w:p>
      <w:pPr>
        <w:contextualSpacing/>
        <w:ind w:firstLine="480"/>
        <w:jc w:val="both"/>
        <w:keepLines w:val="0"/>
        <w:keepNext w:val="0"/>
        <w:pageBreakBefore w:val="0"/>
        <w:spacing w:line="560" w:lineRule="exact"/>
        <w:tabs>
          <w:tab w:val="left" w:pos="5325" w:leader="none"/>
        </w:tabs>
        <w:rPr>
          <w:rFonts w:hint="eastAsia" w:ascii="宋体" w:hAnsi="宋体" w:eastAsia="宋体" w:cs="宋体"/>
          <w:b/>
          <w:bCs w:val="0"/>
          <w:color w:val="auto"/>
          <w:sz w:val="24"/>
          <w:szCs w:val="24"/>
          <w:highlight w:val="none"/>
          <w:lang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w:t>
      </w:r>
      <w:r>
        <w:rPr>
          <w:rFonts w:ascii="宋体" w:hAnsi="宋体" w:eastAsia="宋体" w:cs="宋体"/>
          <w:color w:val="auto"/>
          <w:sz w:val="21"/>
          <w:highlight w:val="none"/>
        </w:rPr>
        <w:t xml:space="preserve">▲</w:t>
      </w:r>
      <w:r>
        <w:rPr>
          <w:rFonts w:hint="eastAsia" w:ascii="宋体" w:hAnsi="宋体" w:eastAsia="宋体" w:cs="宋体"/>
          <w:b/>
          <w:bCs w:val="0"/>
          <w:color w:val="auto"/>
          <w:sz w:val="24"/>
          <w:szCs w:val="24"/>
          <w:highlight w:val="none"/>
        </w:rPr>
        <w:t xml:space="preserve">地埋式篮球架须符合“室外健身室器材的安全通用要求（GB19272-20</w:t>
      </w:r>
      <w:r>
        <w:rPr>
          <w:rFonts w:hint="eastAsia" w:ascii="宋体" w:hAnsi="宋体" w:eastAsia="宋体" w:cs="宋体"/>
          <w:b/>
          <w:bCs w:val="0"/>
          <w:color w:val="auto"/>
          <w:sz w:val="24"/>
          <w:szCs w:val="24"/>
          <w:highlight w:val="none"/>
          <w:lang w:val="en-US" w:eastAsia="zh-CN"/>
        </w:rPr>
        <w:t xml:space="preserve">24</w:t>
      </w:r>
      <w:r>
        <w:rPr>
          <w:rFonts w:hint="eastAsia" w:ascii="宋体" w:hAnsi="宋体" w:eastAsia="宋体" w:cs="宋体"/>
          <w:b/>
          <w:bCs w:val="0"/>
          <w:color w:val="auto"/>
          <w:sz w:val="24"/>
          <w:szCs w:val="24"/>
          <w:highlight w:val="none"/>
        </w:rPr>
        <w:t xml:space="preserve">）”有关要求</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提供有效期内带有CMA或CNAS的</w:t>
      </w:r>
      <w:r>
        <w:rPr>
          <w:rFonts w:hint="eastAsia" w:ascii="宋体" w:hAnsi="宋体" w:cs="宋体"/>
          <w:b/>
          <w:bCs w:val="0"/>
          <w:color w:val="auto"/>
          <w:sz w:val="24"/>
          <w:szCs w:val="24"/>
          <w:highlight w:val="none"/>
          <w:lang w:eastAsia="zh-CN"/>
        </w:rPr>
        <w:t xml:space="preserve">检测报告或者产品认证证书。</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2.产品规格</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ascii="宋体" w:hAnsi="宋体" w:eastAsia="宋体" w:cs="宋体"/>
          <w:color w:val="auto"/>
          <w:sz w:val="24"/>
          <w:szCs w:val="24"/>
          <w:highlight w:val="none"/>
        </w:rPr>
        <w:t xml:space="preserve">篮球架外廓长宽高尺寸满足使用需求，底座横向长度</w:t>
      </w:r>
      <w:r>
        <w:rPr>
          <w:rFonts w:hint="default" w:ascii="Arial" w:hAnsi="Arial" w:eastAsia="宋体" w:cs="Arial"/>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2580</w:t>
      </w:r>
      <w:r>
        <w:rPr>
          <w:rFonts w:ascii="宋体" w:hAnsi="宋体" w:eastAsia="宋体" w:cs="宋体"/>
          <w:b w:val="0"/>
          <w:bCs/>
          <w:color w:val="auto"/>
          <w:sz w:val="24"/>
          <w:szCs w:val="24"/>
          <w:highlight w:val="none"/>
        </w:rPr>
        <w:t xml:space="preserve">mm、</w:t>
      </w:r>
      <w:r>
        <w:rPr>
          <w:rFonts w:ascii="宋体" w:hAnsi="宋体" w:eastAsia="宋体" w:cs="宋体"/>
          <w:color w:val="auto"/>
          <w:sz w:val="24"/>
          <w:szCs w:val="24"/>
          <w:highlight w:val="none"/>
        </w:rPr>
        <w:t xml:space="preserve">底座宽度</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1800mm、整机总高度</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3900mm，满足场地安装及安全配重要求</w:t>
      </w:r>
      <w:r>
        <w:rPr>
          <w:rFonts w:hint="eastAsia" w:ascii="宋体" w:hAnsi="宋体" w:eastAsia="宋体" w:cs="宋体"/>
          <w:bCs/>
          <w:color w:val="auto"/>
          <w:sz w:val="24"/>
          <w:szCs w:val="24"/>
          <w:highlight w:val="none"/>
        </w:rPr>
        <w:t xml:space="preserve">。篮球架立柱采用外径</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rPr>
        <w:t xml:space="preserve">219mm，壁厚</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rPr>
        <w:t xml:space="preserve">4mm优质圆钢管，立柱边角圆弧过渡，圆弧半径不小于R40mm；；篮架伸臂采用</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rPr>
        <w:t xml:space="preserve">3优质铁板一次冲压成型，造型美观大方，性能安全可靠。</w:t>
      </w:r>
      <w:r>
        <w:rPr>
          <w:rFonts w:ascii="宋体" w:hAnsi="宋体" w:eastAsia="宋体" w:cs="宋体"/>
          <w:color w:val="auto"/>
          <w:sz w:val="24"/>
          <w:szCs w:val="24"/>
          <w:highlight w:val="none"/>
        </w:rPr>
        <w:t xml:space="preserve">拉杆圆管外径</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48mm、壁厚</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3mm一体折弯成型；</w:t>
      </w:r>
      <w:r>
        <w:rPr>
          <w:rFonts w:hint="eastAsia" w:ascii="宋体" w:hAnsi="宋体" w:eastAsia="宋体" w:cs="宋体"/>
          <w:bCs/>
          <w:color w:val="auto"/>
          <w:sz w:val="24"/>
          <w:szCs w:val="24"/>
          <w:highlight w:val="none"/>
        </w:rPr>
        <w:t xml:space="preserve">篮球架通过调节拉杆可调节篮板的平面度和垂直度，通</w:t>
      </w:r>
      <w:r>
        <w:rPr>
          <w:rFonts w:hint="eastAsia" w:ascii="宋体" w:hAnsi="宋体" w:cs="宋体"/>
          <w:bCs/>
          <w:color w:val="auto"/>
          <w:sz w:val="24"/>
          <w:szCs w:val="24"/>
          <w:highlight w:val="none"/>
          <w:lang w:val="en-US" w:eastAsia="zh-CN"/>
        </w:rPr>
        <w:t xml:space="preserve">过</w:t>
      </w:r>
      <w:r>
        <w:rPr>
          <w:rFonts w:hint="eastAsia" w:ascii="宋体" w:hAnsi="宋体" w:eastAsia="宋体" w:cs="宋体"/>
          <w:bCs/>
          <w:color w:val="auto"/>
          <w:sz w:val="24"/>
          <w:szCs w:val="24"/>
          <w:highlight w:val="none"/>
        </w:rPr>
        <w:t xml:space="preserve">调节下拉杆，可调节篮圈与地面的平行度。</w:t>
      </w:r>
      <w:r>
        <w:rPr>
          <w:rFonts w:hint="eastAsia" w:ascii="宋体" w:hAnsi="宋体" w:eastAsia="宋体" w:cs="宋体"/>
          <w:bCs/>
          <w:color w:val="auto"/>
          <w:sz w:val="24"/>
          <w:szCs w:val="24"/>
          <w:highlight w:val="none"/>
          <w:lang w:val="en-US" w:eastAsia="zh-CN"/>
        </w:rPr>
        <w:t xml:space="preserve">篮架采用专用铁制预埋件。地基预埋尺寸</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800mm×800mm×1000mm</w:t>
      </w:r>
      <w:r>
        <w:rPr>
          <w:rFonts w:hint="eastAsia" w:ascii="宋体" w:hAnsi="宋体" w:cs="宋体"/>
          <w:bCs/>
          <w:color w:val="auto"/>
          <w:sz w:val="24"/>
          <w:szCs w:val="24"/>
          <w:highlight w:val="none"/>
          <w:lang w:val="en-US" w:eastAsia="zh-CN"/>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ascii="宋体" w:hAnsi="宋体" w:eastAsia="宋体" w:cs="宋体"/>
          <w:color w:val="auto"/>
          <w:sz w:val="24"/>
          <w:szCs w:val="24"/>
          <w:highlight w:val="none"/>
        </w:rPr>
        <w:t xml:space="preserve">篮圈实心圆钢直径</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17mm，配套固定板厚度</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6mm，材质Q235B</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篮圈下沿预留篮网悬挂结构，采用直径不小于4mm 圆钢制成悬挂环，悬挂点位不少于12处，均匀分布，适配不锈钢篮网。</w:t>
      </w:r>
      <w:r>
        <w:rPr>
          <w:rFonts w:hint="eastAsia" w:ascii="宋体" w:hAnsi="宋体" w:eastAsia="宋体" w:cs="宋体"/>
          <w:bCs/>
          <w:color w:val="auto"/>
          <w:sz w:val="24"/>
          <w:szCs w:val="24"/>
          <w:highlight w:val="none"/>
        </w:rPr>
        <w:t xml:space="preserve">篮圈抗弯性能好，水平固定在篮板上，与篮架连接的钢板和篮圈盖板均采用优质钢板一次冲压成型。</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篮架所有紧固件均采用热镀锌处理，能保证长年不生锈。</w:t>
      </w:r>
      <w:r/>
    </w:p>
    <w:p>
      <w:pPr>
        <w:contextualSpacing/>
        <w:ind w:firstLine="482"/>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SA"/>
        </w:rPr>
        <w:t xml:space="preserve">2.</w:t>
      </w:r>
      <w:r>
        <w:rPr>
          <w:rFonts w:hint="eastAsia" w:ascii="宋体" w:hAnsi="宋体" w:eastAsia="宋体" w:cs="宋体"/>
          <w:b/>
          <w:bCs/>
          <w:i w:val="0"/>
          <w:iCs w:val="0"/>
          <w:color w:val="auto"/>
          <w:sz w:val="24"/>
          <w:szCs w:val="24"/>
          <w:highlight w:val="none"/>
          <w:u w:val="none"/>
          <w:lang w:val="en-US" w:eastAsia="zh-CN" w:bidi="ar-SA"/>
        </w:rPr>
        <w:t xml:space="preserve">2.5高杆照明灯：</w:t>
      </w:r>
      <w:r/>
    </w:p>
    <w:p>
      <w:pPr>
        <w:contextualSpacing/>
        <w:ind w:firstLine="480"/>
        <w:keepLines w:val="0"/>
        <w:keepNext w:val="0"/>
        <w:pageBreakBefore w:val="0"/>
        <w:spacing w:line="560" w:lineRule="exact"/>
        <w:tabs>
          <w:tab w:val="left" w:pos="532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灯柱为围网的一部分，在整场围网中亦为围网的主立柱，增强围网的稳定性。灯光系统：灯柱采用直径Ф114×3.0mm的钢管，6米高低杆照明灯柱</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根，采用</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套200WLED投光照明灯。配电柜及线路：电线（场内RVV4平方线配备100米，灯柱内RVV2.5平方线），</w:t>
      </w:r>
      <w:r>
        <w:rPr>
          <w:rFonts w:hint="eastAsia" w:ascii="宋体" w:hAnsi="宋体" w:eastAsia="宋体" w:cs="宋体"/>
          <w:color w:val="auto"/>
          <w:sz w:val="24"/>
          <w:szCs w:val="24"/>
          <w:highlight w:val="none"/>
          <w:lang w:eastAsia="zh-CN"/>
        </w:rPr>
        <w:t xml:space="preserve">配备</w:t>
      </w:r>
      <w:r>
        <w:rPr>
          <w:rFonts w:hint="eastAsia" w:ascii="宋体" w:hAnsi="宋体" w:eastAsia="宋体" w:cs="宋体"/>
          <w:color w:val="auto"/>
          <w:sz w:val="24"/>
          <w:szCs w:val="24"/>
          <w:highlight w:val="none"/>
        </w:rPr>
        <w:t xml:space="preserve">三相100A漏电开关及双极15A空气开关，分组控制，分两个回路，使用一半灯照明时，相隔灯亮。带漏电保护（采用配电箱，开关、电线与电负荷相匹配）。所有电线均需用PVC管穿套后地埋，地埋深度不低于10cm，通过灯柱内与顶端的灯具连接，PVC管的连接处必须密封，严禁PVC套管及电线裸露在外。灯柱采用预埋或直埋方式，预埋深度600mm，地基尺寸600×600mm。</w:t>
      </w:r>
      <w:r>
        <w:rPr>
          <w:rFonts w:hint="eastAsia" w:ascii="宋体" w:hAnsi="宋体" w:eastAsia="宋体" w:cs="宋体"/>
          <w:color w:val="auto"/>
          <w:sz w:val="24"/>
          <w:szCs w:val="24"/>
          <w:highlight w:val="none"/>
          <w:lang w:val="en-US" w:eastAsia="zh-CN"/>
        </w:rPr>
        <w:t xml:space="preserve">灯光产品须为体育场地照明专业LED灯具，灯具额定功率200W，输入电压AC 100V-240V，频率50/60Hz；采用一体化散热结构设计，且散热翅片需与灯具散热器为铸造一体成型。为控制眩光和外溢光，灯具采用隐藏式偏光设计，反光罩采用纳米级光学处理；有效控制眩光及外溢光，防范光污染。灯具安装支架选用轻型高压铸铝材质，机械强度好，耐蚀性能强，支架采用齿轮啮合结构，每齿旋转≤10°，齿轮上带刻度值，方便出厂设置好投射角度。</w:t>
      </w:r>
      <w:r/>
    </w:p>
    <w:p>
      <w:pPr>
        <w:contextualSpacing/>
        <w:ind w:firstLine="480"/>
        <w:keepLines w:val="0"/>
        <w:keepNext w:val="0"/>
        <w:pageBreakBefore w:val="0"/>
        <w:spacing w:line="560" w:lineRule="exact"/>
        <w:tabs>
          <w:tab w:val="left" w:pos="5325" w:leader="none"/>
        </w:tabs>
        <w:rPr>
          <w:rFonts w:hint="eastAsia" w:ascii="宋体" w:hAnsi="宋体" w:eastAsia="宋体" w:cs="宋体"/>
          <w:color w:val="auto"/>
          <w:sz w:val="24"/>
          <w:szCs w:val="24"/>
          <w:highlight w:val="none"/>
          <w:lang w:val="en-US" w:eastAsia="zh-CN"/>
        </w:rPr>
      </w:pPr>
      <w:r>
        <w:rPr>
          <w:rFonts w:ascii="宋体" w:hAnsi="宋体" w:eastAsia="宋体" w:cs="宋体"/>
          <w:color w:val="000000"/>
          <w:sz w:val="21"/>
          <w:highlight w:val="none"/>
        </w:rPr>
        <w:t xml:space="preserve">▲</w:t>
      </w:r>
      <w:r>
        <w:rPr>
          <w:rFonts w:ascii="宋体" w:hAnsi="宋体" w:eastAsia="宋体" w:cs="宋体"/>
          <w:color w:val="000000"/>
          <w:sz w:val="24"/>
          <w:highlight w:val="none"/>
        </w:rPr>
        <w:t xml:space="preserve">灯具符合 GB/T 7000.205-2023《灯具 第 2-5 部分：特殊要求 投光灯具》要</w:t>
      </w:r>
      <w:r>
        <w:rPr>
          <w:rFonts w:ascii="宋体" w:hAnsi="宋体" w:eastAsia="宋体" w:cs="宋体"/>
          <w:color w:val="000000"/>
          <w:sz w:val="24"/>
          <w:highlight w:val="none"/>
        </w:rPr>
        <w:t xml:space="preserve">求的振动试验</w:t>
      </w:r>
      <w:r>
        <w:rPr>
          <w:rFonts w:hint="eastAsia" w:ascii="宋体" w:hAnsi="宋体" w:eastAsia="宋体" w:cs="宋体"/>
          <w:color w:val="auto"/>
          <w:sz w:val="24"/>
          <w:szCs w:val="24"/>
          <w:highlight w:val="none"/>
          <w:lang w:val="en-US" w:eastAsia="zh-CN"/>
        </w:rPr>
        <w:t xml:space="preserve">。灯具一般显色指数≥80，色温≥5,000K。</w:t>
      </w:r>
      <w:r>
        <w:rPr>
          <w:rFonts w:hint="eastAsia" w:ascii="宋体" w:hAnsi="宋体" w:eastAsia="宋体" w:cs="宋体"/>
          <w:color w:val="auto"/>
          <w:sz w:val="24"/>
          <w:szCs w:val="24"/>
          <w:highlight w:val="none"/>
          <w:lang w:val="zh-CN" w:eastAsia="zh-CN"/>
        </w:rPr>
        <w:t xml:space="preserve">整灯防护等级≥IP66，且为Ⅰ类防触电保护类型</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灯具实测功率200W±1％，整灯效能≥130lm/W，光通量≥26000lm，功率因数≥0.98</w:t>
      </w:r>
      <w:r>
        <w:rPr>
          <w:rFonts w:hint="eastAsia" w:ascii="宋体" w:hAnsi="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提供国家级检测中心检测报告，或有效期内带CMA或CNAS标识的产品检测报告</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r>
      <w:r/>
    </w:p>
    <w:p>
      <w:pPr>
        <w:contextualSpacing/>
        <w:ind w:firstLine="420"/>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rPr>
      </w:pPr>
      <w:r>
        <w:rPr>
          <w:rFonts w:ascii="宋体" w:hAnsi="宋体" w:eastAsia="宋体" w:cs="宋体"/>
          <w:color w:val="auto"/>
          <w:sz w:val="21"/>
          <w:highlight w:val="none"/>
        </w:rPr>
        <w:t xml:space="preserve">▲</w:t>
      </w:r>
      <w:r>
        <w:rPr>
          <w:rFonts w:hint="eastAsia" w:ascii="宋体" w:hAnsi="宋体" w:eastAsia="宋体" w:cs="宋体"/>
          <w:color w:val="auto"/>
          <w:sz w:val="24"/>
          <w:szCs w:val="24"/>
          <w:highlight w:val="none"/>
        </w:rPr>
        <w:t xml:space="preserve">光源及灯具质保6年</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投标供应商</w:t>
      </w:r>
      <w:r>
        <w:rPr>
          <w:rFonts w:hint="eastAsia" w:ascii="宋体" w:hAnsi="宋体" w:eastAsia="宋体" w:cs="宋体"/>
          <w:b/>
          <w:bCs/>
          <w:color w:val="auto"/>
          <w:sz w:val="24"/>
          <w:szCs w:val="24"/>
          <w:highlight w:val="none"/>
        </w:rPr>
        <w:t xml:space="preserve">售后服务承诺书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禁止使用假冒伪劣产品，必须是原厂灯具，验收交付所使用的灯具必须与投标灯具一致，否则</w:t>
      </w:r>
      <w:r>
        <w:rPr>
          <w:rFonts w:hint="eastAsia" w:ascii="宋体" w:hAnsi="宋体" w:cs="宋体"/>
          <w:color w:val="auto"/>
          <w:sz w:val="24"/>
          <w:szCs w:val="24"/>
          <w:highlight w:val="none"/>
          <w:lang w:val="en-US" w:eastAsia="zh-CN"/>
        </w:rPr>
        <w:t xml:space="preserve">取消其中标资格并追究责任</w:t>
      </w:r>
      <w:r>
        <w:rPr>
          <w:rFonts w:hint="eastAsia" w:ascii="宋体" w:hAnsi="宋体" w:eastAsia="宋体" w:cs="宋体"/>
          <w:color w:val="auto"/>
          <w:sz w:val="24"/>
          <w:szCs w:val="24"/>
          <w:highlight w:val="none"/>
        </w:rPr>
        <w:t xml:space="preserve">。</w:t>
      </w:r>
      <w:r/>
    </w:p>
    <w:p>
      <w:pPr>
        <w:contextualSpacing/>
        <w:ind w:firstLine="640"/>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rPr>
        <w:t xml:space="preserve">宣传标示牌：</w:t>
      </w:r>
      <w:r/>
    </w:p>
    <w:p>
      <w:pPr>
        <w:contextualSpacing/>
        <w:ind w:firstLine="64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应牢固固定于进出口区域，面板采用不锈钢材质，耐蚀性能相当于0Cr18Ni9（SUS304），厚度1mm，面板边缘及尖角不得翘起，图样及字样蚀刻处理；</w:t>
      </w:r>
      <w:r/>
    </w:p>
    <w:p>
      <w:pPr>
        <w:contextualSpacing/>
        <w:ind w:firstLine="64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包含：中国体育彩票公益金资助标识；产品名称、型号；简明的科学健身提示，功能介绍、使用方法，产品使用安全注意事项、必要的警示标志；产品供应商的全称、生产地址、安装日期、安全使用年限、执行标准，售后服务电话及督查电话，产品认证标志；管理维护单位及联系电话等。</w:t>
      </w:r>
      <w:r/>
    </w:p>
    <w:p>
      <w:pPr>
        <w:contextualSpacing/>
        <w:ind w:firstLine="64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安全警示，应有禁止攀爬的警示语，安全出/入口的</w:t>
      </w:r>
      <w:r>
        <w:rPr>
          <w:rFonts w:hint="eastAsia" w:ascii="宋体" w:hAnsi="宋体" w:cs="宋体"/>
          <w:color w:val="auto"/>
          <w:sz w:val="24"/>
          <w:szCs w:val="24"/>
          <w:highlight w:val="none"/>
          <w:lang w:eastAsia="zh-CN"/>
        </w:rPr>
        <w:t xml:space="preserve">标</w:t>
      </w:r>
      <w:r>
        <w:rPr>
          <w:rFonts w:hint="eastAsia" w:ascii="宋体" w:hAnsi="宋体" w:cs="宋体"/>
          <w:color w:val="auto"/>
          <w:sz w:val="24"/>
          <w:szCs w:val="24"/>
          <w:highlight w:val="none"/>
          <w:lang w:val="en-US" w:eastAsia="zh-CN"/>
        </w:rPr>
        <w:t xml:space="preserve">示</w:t>
      </w:r>
      <w:r>
        <w:rPr>
          <w:rFonts w:hint="eastAsia" w:ascii="宋体" w:hAnsi="宋体" w:eastAsia="宋体" w:cs="宋体"/>
          <w:color w:val="auto"/>
          <w:sz w:val="24"/>
          <w:szCs w:val="24"/>
          <w:highlight w:val="none"/>
        </w:rPr>
        <w:t xml:space="preserve">。</w:t>
      </w:r>
      <w:r/>
    </w:p>
    <w:p>
      <w:pPr>
        <w:pStyle w:val="692"/>
        <w:ind w:firstLine="482"/>
        <w:keepLines w:val="0"/>
        <w:keepNext w:val="0"/>
        <w:pageBreakBefore w:val="0"/>
        <w:spacing w:line="560" w:lineRule="exact"/>
        <w:rPr>
          <w:rFonts w:hint="eastAsia" w:ascii="宋体" w:hAnsi="宋体" w:eastAsia="宋体" w:cs="宋体"/>
          <w:b/>
          <w:bCs w:val="0"/>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2.7</w:t>
      </w:r>
      <w:r>
        <w:rPr>
          <w:rFonts w:hint="eastAsia" w:ascii="宋体" w:hAnsi="宋体" w:eastAsia="宋体" w:cs="宋体"/>
          <w:b/>
          <w:bCs w:val="0"/>
          <w:color w:val="auto"/>
          <w:sz w:val="24"/>
          <w:szCs w:val="24"/>
          <w:highlight w:val="none"/>
        </w:rPr>
        <w:t xml:space="preserve">踏勘现场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.7.1</w:t>
      </w:r>
      <w:r>
        <w:rPr>
          <w:rFonts w:hint="eastAsia" w:ascii="宋体" w:hAnsi="宋体" w:eastAsia="宋体" w:cs="宋体"/>
          <w:bCs/>
          <w:color w:val="auto"/>
          <w:sz w:val="24"/>
          <w:szCs w:val="24"/>
          <w:highlight w:val="none"/>
        </w:rPr>
        <w:t xml:space="preserve">采购人不组织供应商踏勘现场，供应商可自行对施工现场和周围环境进行勘察，以获取编制响应文件和签署合同所需的所有资料。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.7.2</w:t>
      </w:r>
      <w:r>
        <w:rPr>
          <w:rFonts w:hint="eastAsia" w:ascii="宋体" w:hAnsi="宋体" w:eastAsia="宋体" w:cs="宋体"/>
          <w:bCs/>
          <w:color w:val="auto"/>
          <w:sz w:val="24"/>
          <w:szCs w:val="24"/>
          <w:highlight w:val="none"/>
        </w:rPr>
        <w:t xml:space="preserve">供应商踏勘现场发生的费用自理。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.7.3</w:t>
      </w:r>
      <w:r>
        <w:rPr>
          <w:rFonts w:hint="eastAsia" w:ascii="宋体" w:hAnsi="宋体" w:eastAsia="宋体" w:cs="宋体"/>
          <w:bCs/>
          <w:color w:val="auto"/>
          <w:sz w:val="24"/>
          <w:szCs w:val="24"/>
          <w:highlight w:val="none"/>
        </w:rPr>
        <w:t xml:space="preserve">供应商自行负责在踏勘现场中所发生的人员伤亡和财产损失。 </w:t>
      </w:r>
      <w:r/>
    </w:p>
    <w:p>
      <w:pPr>
        <w:ind w:firstLine="480"/>
        <w:keepLines w:val="0"/>
        <w:keepNext w:val="0"/>
        <w:pageBreakBefore w:val="0"/>
        <w:spacing w:line="560" w:lineRule="exact"/>
        <w:rPr>
          <w:rFonts w:hint="default"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2.7.4勘探现场联系</w:t>
      </w:r>
      <w:r>
        <w:rPr>
          <w:rFonts w:hint="eastAsia" w:ascii="宋体" w:hAnsi="宋体" w:cs="宋体"/>
          <w:bCs/>
          <w:color w:val="auto"/>
          <w:sz w:val="24"/>
          <w:szCs w:val="24"/>
          <w:highlight w:val="none"/>
          <w:lang w:val="en-US" w:eastAsia="zh-CN"/>
        </w:rPr>
        <w:t xml:space="preserve">电话：0513-88919916</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四、采购标的的数量、采购项目交付或者实施的时间和地点： </w:t>
      </w:r>
      <w:r/>
    </w:p>
    <w:p>
      <w:pPr>
        <w:ind w:firstLine="480"/>
        <w:spacing w:line="560" w:lineRule="exact"/>
        <w:rPr>
          <w:rFonts w:hint="eastAsia" w:ascii="宋体" w:hAnsi="宋体"/>
          <w:color w:val="auto"/>
          <w:sz w:val="24"/>
          <w:szCs w:val="24"/>
          <w:highlight w:val="none"/>
          <w:lang w:val="en-US" w:eastAsia="zh-CN"/>
        </w:rPr>
      </w:pPr>
      <w:r>
        <w:rPr>
          <w:rFonts w:hint="eastAsia" w:ascii="Times New Roman" w:hAnsi="Times New Roman"/>
          <w:color w:val="auto"/>
          <w:sz w:val="24"/>
          <w:szCs w:val="24"/>
          <w:highlight w:val="none"/>
        </w:rPr>
        <w:t xml:space="preserve">项目交付或者实施的时间：</w:t>
      </w:r>
      <w:r>
        <w:rPr>
          <w:rFonts w:hint="eastAsia" w:ascii="宋体" w:hAnsi="宋体"/>
          <w:color w:val="auto"/>
          <w:sz w:val="24"/>
          <w:szCs w:val="24"/>
          <w:highlight w:val="none"/>
          <w:lang w:val="en-US" w:eastAsia="zh-CN"/>
        </w:rPr>
        <w:t xml:space="preserve">包一</w:t>
      </w:r>
      <w:r>
        <w:rPr>
          <w:rFonts w:hint="eastAsia" w:ascii="宋体" w:hAnsi="宋体"/>
          <w:color w:val="auto"/>
          <w:sz w:val="24"/>
          <w:szCs w:val="24"/>
          <w:highlight w:val="none"/>
        </w:rPr>
        <w:t xml:space="preserve">自合同签定之日起</w:t>
      </w: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rPr>
        <w:t xml:space="preserve">天内完成供货安装，</w:t>
      </w:r>
      <w:r>
        <w:rPr>
          <w:rFonts w:hint="eastAsia" w:ascii="宋体" w:hAnsi="宋体"/>
          <w:color w:val="auto"/>
          <w:sz w:val="24"/>
          <w:szCs w:val="24"/>
          <w:highlight w:val="none"/>
          <w:lang w:val="en-US" w:eastAsia="zh-CN"/>
        </w:rPr>
        <w:t xml:space="preserve">包二</w:t>
      </w:r>
      <w:r>
        <w:rPr>
          <w:rFonts w:hint="eastAsia" w:ascii="宋体" w:hAnsi="宋体"/>
          <w:color w:val="auto"/>
          <w:sz w:val="24"/>
          <w:szCs w:val="24"/>
          <w:highlight w:val="none"/>
        </w:rPr>
        <w:t xml:space="preserve">自合同签定之日起</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天内完成供货安装</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因天气情况或不可抗拒等因素，可适当延长安装期间</w:t>
      </w:r>
      <w:r>
        <w:rPr>
          <w:rFonts w:hint="eastAsia" w:ascii="宋体" w:hAnsi="宋体"/>
          <w:color w:val="auto"/>
          <w:sz w:val="24"/>
          <w:szCs w:val="24"/>
          <w:highlight w:val="none"/>
          <w:lang w:eastAsia="zh-CN"/>
        </w:rPr>
        <w:t xml:space="preserve">。（供应商逾期交付货物的，应按逾期交货总额每日0.1%向采购人支付违约金，由采购人从待付货款中扣除。逾期超过约定日期</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个工作日不能交货的，采购人可解除本合同。供应商因逾期交货或因其他违约行为导致甲方解除合同的，供应商应向采购人支付合同总值5%的违约金，如造成采购人损失超过违约金的，超出部分由供应商继续承担赔偿责任。供应商所提交的货物品种、型号、规格、技术参数、质量不符合国家标准及采购文件规定标准的，采购人有权拒收该货物，供应商愿意更换货物但逾期交货的，按供应商逾期交货处理。供应商拒绝更换货物的，采购人可单方面解除合同。）</w:t>
      </w:r>
      <w:r>
        <w:rPr>
          <w:rFonts w:hint="eastAsia" w:ascii="宋体" w:hAnsi="宋体"/>
          <w:color w:val="auto"/>
          <w:sz w:val="24"/>
          <w:szCs w:val="24"/>
          <w:highlight w:val="none"/>
          <w:lang w:val="en-US" w:eastAsia="zh-CN"/>
        </w:rPr>
        <w:t xml:space="preserve">            </w:t>
      </w:r>
      <w:r/>
    </w:p>
    <w:p>
      <w:pPr>
        <w:ind w:firstLine="48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项目交付地点：采购人指定地点，并负责安装、调试。货物装卸、运输涉及的保险，其费用包含在合同总价中。合同项目</w:t>
      </w:r>
      <w:r>
        <w:rPr>
          <w:rFonts w:hint="eastAsia"/>
          <w:color w:val="auto"/>
          <w:sz w:val="24"/>
          <w:szCs w:val="24"/>
          <w:highlight w:val="none"/>
          <w:lang w:eastAsia="zh-CN"/>
        </w:rPr>
        <w:t xml:space="preserve">涉及</w:t>
      </w:r>
      <w:r>
        <w:rPr>
          <w:rFonts w:hint="eastAsia" w:ascii="Times New Roman" w:hAnsi="Times New Roman"/>
          <w:color w:val="auto"/>
          <w:sz w:val="24"/>
          <w:szCs w:val="24"/>
          <w:highlight w:val="none"/>
        </w:rPr>
        <w:t xml:space="preserve">的需求产品交货时，外包装应完整无破损。</w:t>
      </w:r>
      <w:r>
        <w:rPr>
          <w:rFonts w:hint="eastAsia"/>
          <w:color w:val="auto"/>
          <w:sz w:val="24"/>
          <w:szCs w:val="24"/>
          <w:highlight w:val="none"/>
          <w:lang w:val="en-US" w:eastAsia="zh-CN"/>
        </w:rPr>
        <w:t xml:space="preserve">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五、采购标的需满足的服务标准、期限、效率等要求：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质保</w:t>
      </w:r>
      <w:r>
        <w:rPr>
          <w:rFonts w:hint="eastAsia" w:ascii="Times New Roman" w:hAnsi="Times New Roman"/>
          <w:color w:val="auto"/>
          <w:sz w:val="24"/>
          <w:szCs w:val="24"/>
          <w:highlight w:val="none"/>
        </w:rPr>
        <w:t xml:space="preserve">期限：本次采购项目建设整体和涉及的所有产品设备，其质保期限均至少为8年。免费质保期为8年，</w:t>
      </w:r>
      <w:r>
        <w:rPr>
          <w:rFonts w:hint="eastAsia"/>
          <w:color w:val="auto"/>
          <w:sz w:val="24"/>
          <w:szCs w:val="24"/>
          <w:highlight w:val="none"/>
          <w:lang w:val="en-US" w:eastAsia="zh-CN"/>
        </w:rPr>
        <w:t xml:space="preserve">其中</w:t>
      </w:r>
      <w:r>
        <w:rPr>
          <w:rFonts w:hint="eastAsia" w:ascii="Times New Roman" w:hAnsi="Times New Roman"/>
          <w:color w:val="auto"/>
          <w:sz w:val="24"/>
          <w:szCs w:val="24"/>
          <w:highlight w:val="none"/>
        </w:rPr>
        <w:t xml:space="preserve">光源</w:t>
      </w:r>
      <w:r>
        <w:rPr>
          <w:rFonts w:hint="eastAsia"/>
          <w:color w:val="auto"/>
          <w:sz w:val="24"/>
          <w:szCs w:val="24"/>
          <w:highlight w:val="none"/>
          <w:lang w:val="en-US" w:eastAsia="zh-CN"/>
        </w:rPr>
        <w:t xml:space="preserve">及灯具</w:t>
      </w:r>
      <w:r>
        <w:rPr>
          <w:rFonts w:hint="eastAsia" w:ascii="Times New Roman" w:hAnsi="Times New Roman"/>
          <w:color w:val="auto"/>
          <w:sz w:val="24"/>
          <w:szCs w:val="24"/>
          <w:highlight w:val="none"/>
        </w:rPr>
        <w:t xml:space="preserve">免费质保6年</w:t>
      </w:r>
      <w:r>
        <w:rPr>
          <w:rFonts w:hint="eastAsia" w:ascii="Times New Roman" w:hAnsi="Times New Roman"/>
          <w:color w:val="auto"/>
          <w:sz w:val="24"/>
          <w:szCs w:val="24"/>
          <w:highlight w:val="none"/>
          <w:lang w:eastAsia="zh-CN"/>
        </w:rPr>
        <w:t xml:space="preserve">，自项目整体验收合格之日起算。质保期内，因设备质量、施工工艺缺陷等非人为因素导致的问题，成交供应商须提供免费维修、更换服务，维修及更换所需的配件、人工、上门服务等全部费用均由成交供应商承担。</w:t>
      </w:r>
      <w:r/>
    </w:p>
    <w:p>
      <w:pPr>
        <w:ind w:firstLine="480"/>
        <w:spacing w:line="560" w:lineRule="exact"/>
        <w:rPr>
          <w:rFonts w:hint="eastAsia"/>
          <w:color w:val="auto"/>
          <w:sz w:val="24"/>
          <w:szCs w:val="24"/>
          <w:highlight w:val="none"/>
          <w:lang w:val="en-US" w:eastAsia="zh-CN"/>
        </w:rPr>
      </w:pPr>
      <w:r>
        <w:rPr>
          <w:rFonts w:hint="eastAsia" w:ascii="Times New Roman" w:hAnsi="Times New Roman"/>
          <w:color w:val="auto"/>
          <w:sz w:val="24"/>
          <w:szCs w:val="24"/>
          <w:highlight w:val="none"/>
        </w:rPr>
        <w:t xml:space="preserve">质量要求：</w:t>
      </w:r>
      <w:r>
        <w:rPr>
          <w:rFonts w:hint="eastAsia"/>
          <w:color w:val="auto"/>
          <w:sz w:val="24"/>
          <w:szCs w:val="24"/>
          <w:highlight w:val="none"/>
          <w:lang w:val="en-US" w:eastAsia="zh-CN"/>
        </w:rPr>
        <w:t xml:space="preserve">符合相关标准。在质保期内，成交人所供产品出现质量问题时，在接到采购人通知后须及时响应，免费修复或更换；如成交人在接到通知后24小时内没有答复或处理问题，则视为成交人承认质量问题并承担由此而发生的一切费用。因质保期间的一切质量问题，造成的货物更换或退货相关费用及产品本身质量原因造成的直接经济损失应全部由成交人负责；</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在质保期满后，产品出现问题时，成交人仍需做好售后服务，并在采购单位要求的时限内赶到现场，及时处理解决；</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合同履行期间涉及安全由成交供应商全部负责，涉及安全所产生的相关费用一律由成交供应商承担；</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响应供应商需提前自行踏勘现场，充分考虑场地及场地周边情况，施工时涉及到的部分绿化移栽，成交供应商需提前与采购方确认。施工过程中须做好成品保护和安全防护，如有破坏按原样修复到位，相关费用供应商在投标标价中综合考虑，结算时不调整。</w:t>
      </w:r>
      <w:r/>
    </w:p>
    <w:p>
      <w:pPr>
        <w:contextualSpacing/>
        <w:ind w:firstLine="482"/>
        <w:keepLines w:val="0"/>
        <w:keepNext w:val="0"/>
        <w:pageBreakBefore w:val="0"/>
        <w:spacing w:line="560" w:lineRule="exact"/>
        <w:tabs>
          <w:tab w:val="left" w:pos="532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现场条件</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施工现场拆迁及平整情况：以施工场地的现状为准。采购人提供的现状场地，成交供应商必须无条件接受。各供应商根据踏勘现场的情况自行制定相应措施，施工期间不得损坏周边绿化及现有相关设施。若有损坏，成交人必须无条件恢复原样，所发生的费用由各供应商自行考虑，并列入投标报价，项目结算时不作调整。若成交人拒绝恢复，采购人有权找相应施工单位恢复，产生的费用由采购人直接从合同价款中扣除。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施工用水、电：施工现场临时用水、用电，由成交供应商自行解决，相关费用列入报价，结算时不予调整。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场内外道路：以施工场地的现状为准。施工便道由供应商自行考虑，并列入投标报价，工程结算时不作调整。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其他：供应商应认真对现场环境进行踏勘，对施工现场情况和影响施工的因素以及困难条件进行周密的勘察和研究，</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自己的判断结论和估价。成交后和签订合同时及施工过程中，供应商均不得以不了解现场情况为由，提出任何形式增加</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造价的要求，施工时因场地问题（包括施工场地及临时施工场地）引起的成本费用增加，均由供应商自行承担，结算时不予调整。成交供应商应独立、有效的做好该工程周边的有关群众工作，并充分考虑工程实施范围内外的施工单位、个人和其他可能出现阻挠施工等不可预料突发的情况，若因此发生的机械台班停置费、二次机械进退场费、人员窝工、处理周边群众纠纷等费用和损失等，由供应商自行考虑，并列入投标报价，工程结算时不</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调整，并无条件接受建设单位、监理单位的协调、管理，做好与其他专业分包单位的配套、成品保护、防盗等工作。</w:t>
      </w:r>
      <w:r/>
    </w:p>
    <w:p>
      <w:pPr>
        <w:ind w:firstLine="480"/>
        <w:keepLines w:val="0"/>
        <w:keepNext w:val="0"/>
        <w:pageBreakBefore w:val="0"/>
        <w:spacing w:line="560" w:lineRule="exact"/>
        <w:rPr>
          <w:rFonts w:hint="eastAsia" w:ascii="宋体" w:hAnsi="宋体" w:eastAsia="宋体" w:cs="宋体"/>
          <w:color w:val="auto"/>
          <w:spacing w:val="-2"/>
          <w:sz w:val="24"/>
          <w:szCs w:val="24"/>
          <w:highlight w:val="none"/>
          <w:lang w:eastAsia="zh-CN"/>
        </w:rPr>
      </w:pPr>
      <w:r>
        <w:rPr>
          <w:rFonts w:hint="eastAsia" w:ascii="宋体" w:hAnsi="宋体" w:eastAsia="宋体" w:cs="宋体"/>
          <w:b w:val="0"/>
          <w:bCs/>
          <w:color w:val="auto"/>
          <w:sz w:val="24"/>
          <w:szCs w:val="24"/>
          <w:highlight w:val="none"/>
        </w:rPr>
        <w:t xml:space="preserve">供应商须对</w:t>
      </w:r>
      <w:r>
        <w:rPr>
          <w:rFonts w:hint="eastAsia" w:ascii="宋体" w:hAnsi="宋体" w:eastAsia="宋体" w:cs="宋体"/>
          <w:b w:val="0"/>
          <w:bCs/>
          <w:color w:val="auto"/>
          <w:sz w:val="24"/>
          <w:szCs w:val="24"/>
          <w:highlight w:val="none"/>
          <w:lang w:val="en-US" w:eastAsia="zh-CN"/>
        </w:rPr>
        <w:t xml:space="preserve">所有器材</w:t>
      </w:r>
      <w:r>
        <w:rPr>
          <w:rFonts w:hint="eastAsia" w:ascii="宋体" w:hAnsi="宋体" w:eastAsia="宋体" w:cs="宋体"/>
          <w:b w:val="0"/>
          <w:bCs/>
          <w:color w:val="auto"/>
          <w:sz w:val="24"/>
          <w:szCs w:val="24"/>
          <w:highlight w:val="none"/>
        </w:rPr>
        <w:t xml:space="preserve">进行编码，统一</w:t>
      </w:r>
      <w:r>
        <w:rPr>
          <w:rFonts w:hint="eastAsia" w:ascii="宋体" w:hAnsi="宋体" w:eastAsia="宋体" w:cs="宋体"/>
          <w:b w:val="0"/>
          <w:bCs/>
          <w:color w:val="auto"/>
          <w:sz w:val="24"/>
          <w:szCs w:val="24"/>
          <w:highlight w:val="none"/>
          <w:lang w:val="en-US" w:eastAsia="zh-CN"/>
        </w:rPr>
        <w:t xml:space="preserve">在器材上印制不锈钢铭牌标识</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auto"/>
          <w:sz w:val="24"/>
          <w:szCs w:val="24"/>
          <w:highlight w:val="none"/>
        </w:rPr>
        <w:t xml:space="preserve">将站点和器材详细信息按要求</w:t>
      </w:r>
      <w:r>
        <w:rPr>
          <w:rFonts w:hint="eastAsia" w:ascii="宋体" w:hAnsi="宋体" w:eastAsia="宋体" w:cs="宋体"/>
          <w:color w:val="auto"/>
          <w:spacing w:val="-2"/>
          <w:sz w:val="24"/>
          <w:szCs w:val="24"/>
          <w:highlight w:val="none"/>
        </w:rPr>
        <w:t xml:space="preserve">录入</w:t>
      </w:r>
      <w:r>
        <w:rPr>
          <w:rFonts w:hint="eastAsia" w:ascii="宋体" w:hAnsi="宋体" w:cs="宋体"/>
          <w:color w:val="auto"/>
          <w:spacing w:val="-2"/>
          <w:sz w:val="24"/>
          <w:szCs w:val="24"/>
          <w:highlight w:val="none"/>
          <w:lang w:val="en-US" w:eastAsia="zh-CN"/>
        </w:rPr>
        <w:t xml:space="preserve">江苏</w:t>
      </w:r>
      <w:r>
        <w:rPr>
          <w:rFonts w:hint="eastAsia" w:ascii="宋体" w:hAnsi="宋体" w:eastAsia="宋体" w:cs="宋体"/>
          <w:color w:val="auto"/>
          <w:spacing w:val="-2"/>
          <w:sz w:val="24"/>
          <w:szCs w:val="24"/>
          <w:highlight w:val="none"/>
        </w:rPr>
        <w:t xml:space="preserve">省全民健身设施管理维护信息平台，并激活编码。</w:t>
      </w:r>
      <w:r>
        <w:rPr>
          <w:rFonts w:hint="eastAsia" w:ascii="宋体" w:hAnsi="宋体" w:cs="宋体"/>
          <w:color w:val="auto"/>
          <w:spacing w:val="-2"/>
          <w:sz w:val="24"/>
          <w:szCs w:val="24"/>
          <w:highlight w:val="none"/>
          <w:lang w:val="en-US" w:eastAsia="zh-CN"/>
        </w:rPr>
        <w:t xml:space="preserve">所有器材显著位置需</w:t>
      </w:r>
      <w:r>
        <w:rPr>
          <w:rFonts w:hint="eastAsia" w:ascii="宋体" w:hAnsi="宋体" w:eastAsia="宋体" w:cs="宋体"/>
          <w:color w:val="auto"/>
          <w:spacing w:val="-2"/>
          <w:sz w:val="24"/>
          <w:szCs w:val="24"/>
          <w:highlight w:val="none"/>
        </w:rPr>
        <w:t xml:space="preserve">标明“中国体育彩票”标志</w:t>
      </w:r>
      <w:r>
        <w:rPr>
          <w:rFonts w:hint="eastAsia" w:ascii="宋体" w:hAnsi="宋体" w:cs="宋体"/>
          <w:color w:val="auto"/>
          <w:spacing w:val="-2"/>
          <w:sz w:val="24"/>
          <w:szCs w:val="24"/>
          <w:highlight w:val="none"/>
          <w:lang w:val="en-US" w:eastAsia="zh-CN"/>
        </w:rPr>
        <w:t xml:space="preserve">标志，安装要求须符合《江苏省体育彩票公益金资助项目宣传管理办法》</w:t>
      </w:r>
      <w:r>
        <w:rPr>
          <w:rFonts w:hint="eastAsia" w:ascii="宋体" w:hAnsi="宋体" w:cs="宋体"/>
          <w:color w:val="auto"/>
          <w:spacing w:val="-2"/>
          <w:sz w:val="24"/>
          <w:szCs w:val="24"/>
          <w:highlight w:val="none"/>
          <w:lang w:eastAsia="zh-CN"/>
        </w:rPr>
        <w:t xml:space="preserve">。</w:t>
      </w:r>
      <w:r/>
    </w:p>
    <w:p>
      <w:pPr>
        <w:ind w:firstLine="472"/>
        <w:keepLines w:val="0"/>
        <w:keepNext w:val="0"/>
        <w:pageBreakBefore w:val="0"/>
        <w:spacing w:line="560" w:lineRule="exact"/>
        <w:rPr>
          <w:rFonts w:hint="default"/>
          <w:color w:val="auto"/>
          <w:highlight w:val="none"/>
          <w:lang w:val="en-US" w:eastAsia="zh-CN"/>
        </w:rPr>
      </w:pPr>
      <w:r>
        <w:rPr>
          <w:rFonts w:hint="eastAsia" w:ascii="宋体" w:hAnsi="宋体" w:eastAsia="宋体" w:cs="宋体"/>
          <w:color w:val="auto"/>
          <w:spacing w:val="-2"/>
          <w:sz w:val="24"/>
          <w:szCs w:val="24"/>
          <w:highlight w:val="none"/>
        </w:rPr>
        <w:t xml:space="preserve">3.在设施或场地现场为体育彩票机构提</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六、采购标的的验收标准：</w:t>
      </w:r>
      <w:r/>
    </w:p>
    <w:p>
      <w:pPr>
        <w:ind w:firstLine="56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560"/>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560"/>
        <w:spacing w:line="500" w:lineRule="exact"/>
        <w:rPr>
          <w:rFonts w:hint="eastAsia"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采购</w:t>
      </w:r>
      <w:r>
        <w:rPr>
          <w:rFonts w:hint="eastAsia" w:ascii="Times New Roman" w:hAnsi="Times New Roman" w:eastAsia="宋体" w:cs="Times New Roman"/>
          <w:color w:val="auto"/>
          <w:sz w:val="24"/>
          <w:szCs w:val="24"/>
          <w:highlight w:val="none"/>
        </w:rPr>
        <w:t xml:space="preserve">人应就项目的整体标准，提供明确的验收方案，该方案须符合国家相关行业标准和验收标准。</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采购</w:t>
      </w:r>
      <w:r>
        <w:rPr>
          <w:rFonts w:hint="eastAsia" w:ascii="Times New Roman" w:hAnsi="Times New Roman" w:eastAsia="宋体" w:cs="Times New Roman"/>
          <w:color w:val="auto"/>
          <w:sz w:val="24"/>
          <w:szCs w:val="24"/>
          <w:highlight w:val="none"/>
          <w:lang w:val="en-US" w:eastAsia="zh-CN"/>
        </w:rPr>
        <w:t xml:space="preserve">人在接到中标人以书面形式提出验收申请后，在7个工作日内及时组织相关专业技术人员，必要时邀请质检等部门共同参与验收，并出具验收报告，作为支付货款的依据。如验收不合格，采购人有权终止合同，验收期间发生的一切费用由中标供应商承担。</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项目建设整体在通过专项验收时，供应商应对其中的产品设备由于设计、工艺或材料的缺陷而发生的任何不足或故障负责，并承担由此引起的一切后果。</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对于涉及因检测不合格的产品设备（批次），无条件退场，且采购人有权据此认定为是供应商自身的原因而导致该种结果，采购人有权单方面解除本项目的采购合同。</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采购人有权拒收未通过验收而涉及到的产品设备。</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项</w:t>
      </w:r>
      <w:r>
        <w:rPr>
          <w:rFonts w:hint="eastAsia" w:ascii="Times New Roman" w:hAnsi="Times New Roman" w:eastAsia="宋体" w:cs="Times New Roman"/>
          <w:color w:val="auto"/>
          <w:sz w:val="24"/>
          <w:szCs w:val="24"/>
          <w:highlight w:val="none"/>
          <w:lang w:val="en-US" w:eastAsia="zh-CN"/>
        </w:rPr>
        <w:t xml:space="preserve">目建设整体验收合格的同时，供应商需提供项目内涉及的产品设备的质保书、保修证明等书面资料给采购人。</w:t>
      </w:r>
      <w:r/>
    </w:p>
    <w:p>
      <w:pPr>
        <w:ind w:firstLine="482"/>
        <w:spacing w:line="360" w:lineRule="auto"/>
        <w:rPr>
          <w:rFonts w:hint="eastAsia"/>
          <w:color w:val="auto"/>
          <w:highlight w:val="none"/>
        </w:rPr>
        <w:outlineLvl w:val="1"/>
      </w:pPr>
      <w:r>
        <w:rPr>
          <w:rFonts w:hint="eastAsia" w:eastAsia="宋体" w:cs="宋体"/>
          <w:b w:val="0"/>
          <w:bCs/>
          <w:color w:val="auto"/>
          <w:sz w:val="24"/>
          <w:szCs w:val="24"/>
          <w:highlight w:val="none"/>
          <w:lang w:val="en-US" w:eastAsia="zh-CN" w:bidi="ar-SA"/>
        </w:rPr>
        <w:t xml:space="preserve">本项目结算数量以现场实际验收合格的货物数量为准。中标人供货数量超出采购需求的部分，不予计量、不予增加合同价款，产生的所有费用由中标人自行承担；若实际供货合格数量少于采购数量，按中标综合单价据实扣减合同价款。</w:t>
      </w:r>
      <w:r/>
    </w:p>
    <w:p>
      <w:pPr>
        <w:ind w:firstLine="560"/>
        <w:spacing w:line="500" w:lineRule="exact"/>
        <w:rPr>
          <w:rFonts w:hint="eastAsia"/>
          <w:color w:val="auto"/>
          <w:highlight w:val="none"/>
        </w:rPr>
      </w:pPr>
      <w:r>
        <w:rPr>
          <w:rFonts w:hint="eastAsia" w:ascii="Times New Roman" w:hAnsi="Times New Roman" w:eastAsia="宋体" w:cs="Times New Roman"/>
          <w:color w:val="auto"/>
          <w:sz w:val="24"/>
          <w:szCs w:val="24"/>
          <w:highlight w:val="none"/>
        </w:rPr>
        <w:t xml:space="preserve">满足验收标准及采购人要求；由采购方组织验收，必要时邀请第三方检验检测认证机构专业技术力量参与，验收合格后方可投入使用，相关费用由采购方负责。如验收不合格，采购方有权中止合同，所产生的一切费用由成交供应商承担。</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七、采购标的的其他技术、服务等要求：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7.1保密要求和安全协议。响应供应商应对项目中接触的点位、设备等信息资料保密；成交人应保证其公司人员对项目期间所接触的采购方各类文件、数据、资料、操作流程及要求等，严格保密，不得向第三方透露；严格遵守公安信息网络和图像专网的各项安全规定及要求，落实涉密责任。对投、成交方人员发生的泄密引起后果，采购方将严格追究相关单位和责任人责任，直至追究法律责任。签订合同后进行保密协议和相关安全协议的签订。</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7.2包装要求：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（7）木质商品包装的原料应来源于可持续性森林。</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7.2.2快递包装环保要求：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（1）快递包装中重金属（铅、汞、镉、六价铬）总量应不大于 100mg/kg；</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（3）快递包装中使用纸基材的包装材料，纸基材中的有机氯的含量应不大于 150 mg/kg；</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（9）快递包装中不得使用溶剂型胶粘剂；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（11）快递应使用电子面单；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（13）快递包装产品质量和封装方式应符合相关国家或行业标准技术指标要求。</w:t>
      </w:r>
      <w:r/>
    </w:p>
    <w:p>
      <w:pPr>
        <w:ind w:firstLine="480"/>
        <w:spacing w:line="560" w:lineRule="exact"/>
        <w:rPr>
          <w:rFonts w:hint="eastAsia" w:ascii="Times New Roman" w:hAnsi="Times New Roman" w:eastAsia="宋体"/>
          <w:strike/>
          <w:color w:val="auto"/>
          <w:sz w:val="24"/>
          <w:szCs w:val="24"/>
          <w:highlight w:val="none"/>
          <w:lang w:eastAsia="zh-CN"/>
        </w:rPr>
      </w:pPr>
      <w:r>
        <w:rPr>
          <w:rFonts w:hint="eastAsia" w:ascii="Times New Roman" w:hAnsi="Times New Roman"/>
          <w:color w:val="auto"/>
          <w:sz w:val="24"/>
          <w:szCs w:val="24"/>
          <w:highlight w:val="none"/>
        </w:rPr>
        <w:t xml:space="preserve">7.3绿色数据中心</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7.6绿色低碳管理目标和服务要求：在物业、合同能源管理等服务类采购项目需求中，要强化绿色低碳管理目标和服务要求，促进绿色产品和服务推广应用。</w:t>
      </w:r>
      <w:r/>
    </w:p>
    <w:p>
      <w:pPr>
        <w:numPr>
          <w:ilvl w:val="0"/>
          <w:numId w:val="4"/>
        </w:num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（1）非单一产品采购项目，采购标的中的核心产品：双人漫步机</w:t>
      </w:r>
      <w:r>
        <w:rPr>
          <w:rFonts w:hint="eastAsia"/>
          <w:color w:val="auto"/>
          <w:sz w:val="24"/>
          <w:szCs w:val="24"/>
          <w:highlight w:val="none"/>
          <w:lang w:eastAsia="zh-CN"/>
        </w:rPr>
        <w:t xml:space="preserve">、笼式篮球场</w:t>
      </w:r>
      <w:r/>
    </w:p>
    <w:p>
      <w:pPr>
        <w:numPr>
          <w:ilvl w:val="0"/>
          <w:numId w:val="0"/>
        </w:numPr>
        <w:ind w:firstLine="96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（2）本项目的主要标的：双人漫步机、笼式篮球场</w:t>
      </w:r>
      <w:r/>
    </w:p>
    <w:p>
      <w:pPr>
        <w:ind w:firstLine="480"/>
        <w:spacing w:line="560" w:lineRule="exact"/>
        <w:rPr>
          <w:rFonts w:hint="eastAsia"/>
          <w:color w:val="auto"/>
          <w:sz w:val="24"/>
          <w:szCs w:val="24"/>
          <w:highlight w:val="none"/>
          <w:lang w:val="en-US" w:eastAsia="zh-CN"/>
        </w:rPr>
      </w:pPr>
      <w:r>
        <w:rPr>
          <w:rFonts w:hint="eastAsia" w:ascii="Times New Roman" w:hAnsi="Times New Roman"/>
          <w:color w:val="auto"/>
          <w:sz w:val="24"/>
          <w:szCs w:val="24"/>
          <w:highlight w:val="none"/>
        </w:rPr>
        <w:t xml:space="preserve">九、</w:t>
      </w:r>
      <w:r>
        <w:rPr>
          <w:rFonts w:hint="eastAsia"/>
          <w:color w:val="auto"/>
          <w:sz w:val="24"/>
          <w:szCs w:val="24"/>
          <w:highlight w:val="none"/>
          <w:lang w:val="en-US" w:eastAsia="zh-CN"/>
        </w:rPr>
        <w:t xml:space="preserve">采购需求中必须满足的实质性需求</w:t>
      </w:r>
      <w:r/>
    </w:p>
    <w:p>
      <w:pPr>
        <w:ind w:firstLine="482"/>
        <w:spacing w:line="560" w:lineRule="exact"/>
        <w:rPr>
          <w:rFonts w:hint="default"/>
          <w:color w:val="auto"/>
          <w:highlight w:val="none"/>
          <w:lang w:val="en-US" w:eastAsia="zh-CN"/>
        </w:rPr>
      </w:pPr>
      <w:r>
        <w:rPr>
          <w:rFonts w:ascii="宋体" w:hAnsi="宋体" w:eastAsia="宋体" w:cs="宋体"/>
          <w:b/>
          <w:color w:val="000000"/>
          <w:sz w:val="24"/>
          <w:highlight w:val="none"/>
        </w:rPr>
        <w:t xml:space="preserve">项目需求内标注▲条目均属于实质性要求，未按要求响应或存在负偏离的，为无效响应文件。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十、</w:t>
      </w:r>
      <w:r>
        <w:rPr>
          <w:rFonts w:hint="eastAsia" w:ascii="宋体" w:hAnsi="宋体"/>
          <w:color w:val="auto"/>
          <w:sz w:val="24"/>
          <w:szCs w:val="24"/>
          <w:highlight w:val="none"/>
        </w:rPr>
        <w:t xml:space="preserve">付款方式</w:t>
      </w:r>
      <w:r/>
    </w:p>
    <w:p>
      <w:pPr>
        <w:ind w:firstLine="480"/>
        <w:spacing w:line="56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合同签订生效后，采购人自收到发票后的</w:t>
      </w:r>
      <w:r>
        <w:rPr>
          <w:rFonts w:hint="eastAsia" w:ascii="宋体" w:hAnsi="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日个工作日内支付合同总价款的40%作为项目建设实施的预付款；所有产品送达指定地点、安装完毕并通过验收后付至合同价款的100%。</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、履约保证金：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.1本项目成交后的履约保证金为项目成交价的</w:t>
      </w:r>
      <w:r>
        <w:rPr>
          <w:rFonts w:hint="eastAsia" w:ascii="宋体" w:hAnsi="宋体"/>
          <w:color w:val="auto"/>
          <w:sz w:val="24"/>
          <w:szCs w:val="24"/>
          <w:highlight w:val="none"/>
          <w:u w:val="single"/>
        </w:rPr>
        <w:t xml:space="preserve"> 5</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.3发生以下情况的，履约保证金不予退还或部分退还：</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、合同条款（详见附件）</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十三、其他</w:t>
      </w:r>
      <w:r/>
    </w:p>
    <w:p>
      <w:pPr>
        <w:ind w:firstLine="480"/>
        <w:spacing w:line="5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13.1</w:t>
      </w:r>
      <w:r>
        <w:rPr>
          <w:rFonts w:hint="eastAsia" w:ascii="宋体" w:hAnsi="宋体"/>
          <w:color w:val="auto"/>
          <w:sz w:val="24"/>
          <w:szCs w:val="24"/>
          <w:highlight w:val="none"/>
        </w:rPr>
        <w:t xml:space="preserve">产品</w:t>
      </w:r>
      <w:r>
        <w:rPr>
          <w:rFonts w:hint="eastAsia" w:ascii="宋体" w:hAnsi="宋体"/>
          <w:color w:val="auto"/>
          <w:sz w:val="24"/>
          <w:szCs w:val="24"/>
          <w:highlight w:val="none"/>
          <w:lang w:val="en-US" w:eastAsia="zh-CN"/>
        </w:rPr>
        <w:t xml:space="preserve">质量要求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a.</w:t>
      </w:r>
      <w:r>
        <w:rPr>
          <w:rFonts w:hint="eastAsia" w:ascii="宋体" w:hAnsi="宋体"/>
          <w:color w:val="auto"/>
          <w:sz w:val="24"/>
          <w:szCs w:val="24"/>
          <w:highlight w:val="none"/>
        </w:rPr>
        <w:t xml:space="preserve">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b.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480"/>
        <w:spacing w:line="56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c</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产品的包装，国家或行业主管部门有规定的，按规定执行。</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d</w:t>
      </w:r>
      <w:r>
        <w:rPr>
          <w:rFonts w:hint="eastAsia" w:ascii="宋体" w:hAnsi="宋体"/>
          <w:color w:val="auto"/>
          <w:sz w:val="24"/>
          <w:szCs w:val="24"/>
          <w:highlight w:val="none"/>
        </w:rPr>
        <w:t xml:space="preserve">.投标人应保证提供的产品不得侵犯第三方专利权、商标权和设计权、版权等。否则，投标人应负全部责任，并承担由此引起的一切后果。</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e</w:t>
      </w:r>
      <w:r>
        <w:rPr>
          <w:rFonts w:hint="eastAsia" w:ascii="宋体" w:hAnsi="宋体"/>
          <w:color w:val="auto"/>
          <w:sz w:val="24"/>
          <w:szCs w:val="24"/>
          <w:highlight w:val="none"/>
        </w:rPr>
        <w:t xml:space="preserve">.投标人应保证其货物在正确安装、正常使用下，在其使用寿命期内应具有满意的性能。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f</w:t>
      </w:r>
      <w:r>
        <w:rPr>
          <w:rFonts w:hint="eastAsia" w:ascii="宋体" w:hAnsi="宋体"/>
          <w:color w:val="auto"/>
          <w:sz w:val="24"/>
          <w:szCs w:val="24"/>
          <w:highlight w:val="none"/>
        </w:rPr>
        <w:t xml:space="preserve">.投标人应采取必要的安全措施保证货物的运输及安装的安全，并承担货物的运输及安装过程中产生的风险。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g</w:t>
      </w:r>
      <w:r>
        <w:rPr>
          <w:rFonts w:hint="eastAsia" w:ascii="宋体" w:hAnsi="宋体"/>
          <w:color w:val="auto"/>
          <w:sz w:val="24"/>
          <w:szCs w:val="24"/>
          <w:highlight w:val="none"/>
        </w:rPr>
        <w:t xml:space="preserve">.投标人必须保证所提供的产品符合国家相应质量要求。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h</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除特别约定外，合同条款内项目（标的物）的质保期均自项目（标的物）通过最终验收之日起计算，质保期按投标承诺。</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13.2项目建设实施步骤</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a.项目建设产品设备到货及报验</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项目建设需求的产品设备到达采购人指定现场前，应提前3天电</w:t>
      </w:r>
      <w:r>
        <w:rPr>
          <w:rFonts w:hint="eastAsia" w:ascii="宋体" w:hAnsi="宋体"/>
          <w:color w:val="auto"/>
          <w:sz w:val="24"/>
          <w:szCs w:val="24"/>
          <w:highlight w:val="none"/>
          <w:lang w:val="en-US" w:eastAsia="zh-CN"/>
        </w:rPr>
        <w:t xml:space="preserve">话</w:t>
      </w:r>
      <w:r>
        <w:rPr>
          <w:rFonts w:hint="eastAsia" w:ascii="宋体" w:hAnsi="宋体"/>
          <w:color w:val="auto"/>
          <w:sz w:val="24"/>
          <w:szCs w:val="24"/>
          <w:highlight w:val="none"/>
        </w:rPr>
        <w:t xml:space="preserve">通知采购人做好准备，由采购人会同有关单位和人员根据供应商提供的项目产品设备清单，现场对项目需求产品进行点验收货。</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b.提供项目产品设备的安装、调试</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供应商应根据采购单位的要求，在指定地点，根据项目建设要求进行产品设备的安装和调试。为此，</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供应商须提供详细明确的安装标准，包含供货承诺、供货时间及具体安排，并根据用户需求提供详细明确的安装计划，其中含安装人员安排等。</w:t>
      </w:r>
      <w:r>
        <w:rPr>
          <w:rFonts w:hint="eastAsia" w:ascii="宋体" w:hAnsi="宋体"/>
          <w:color w:val="auto"/>
          <w:sz w:val="24"/>
          <w:szCs w:val="24"/>
          <w:highlight w:val="none"/>
          <w:lang w:val="en-US" w:eastAsia="zh-CN"/>
        </w:rPr>
        <w:t xml:space="preserve">   </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13.3售后服务要求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a.</w:t>
      </w:r>
      <w:r>
        <w:rPr>
          <w:rFonts w:hint="eastAsia" w:ascii="宋体" w:hAnsi="宋体"/>
          <w:color w:val="auto"/>
          <w:sz w:val="24"/>
          <w:szCs w:val="24"/>
          <w:highlight w:val="none"/>
        </w:rPr>
        <w:t xml:space="preserve">供应商应就本项目提供详细的售后服务方案。</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b.</w:t>
      </w:r>
      <w:r>
        <w:rPr>
          <w:rFonts w:hint="eastAsia" w:ascii="宋体" w:hAnsi="宋体"/>
          <w:color w:val="auto"/>
          <w:sz w:val="24"/>
          <w:szCs w:val="24"/>
          <w:highlight w:val="none"/>
        </w:rPr>
        <w:t xml:space="preserve">中标人应为招标人提供免费培训服务，并指派专人负责与招标人联系售后服务事宜。主要培训内容为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c.</w:t>
      </w:r>
      <w:r>
        <w:rPr>
          <w:rFonts w:hint="eastAsia" w:ascii="宋体" w:hAnsi="宋体"/>
          <w:color w:val="auto"/>
          <w:sz w:val="24"/>
          <w:szCs w:val="24"/>
          <w:highlight w:val="none"/>
        </w:rPr>
        <w:t xml:space="preserve">保修期内，中标人负责对其提供的货物整机进行维修和系统维护，不再收取任何费用，但不可抗力（如火灾、雷击等）造成的故障除外。</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d.</w:t>
      </w:r>
      <w:r>
        <w:rPr>
          <w:rFonts w:hint="eastAsia" w:ascii="宋体" w:hAnsi="宋体"/>
          <w:color w:val="auto"/>
          <w:sz w:val="24"/>
          <w:szCs w:val="24"/>
          <w:highlight w:val="none"/>
        </w:rPr>
        <w:t xml:space="preserve">若货物故障在检修24工作小时后仍无法排除，中标人应免费提供不低于故障货物规格型号档次的备用货物供招标人使用，直至故障货物修复，如因此给招标人造成损失，中标人应负责赔偿。</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中标人在接到招标人提出的技术服务要求或维修通知后4小时内没有响应、拒绝或24小时没有派员到达现场提供技术服务、修理或退换货物，招标人有权委托第三人对合同货物进行维修或提供技术服务，由此产生的一切费用由中标人承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因中标人提供的货物硬件或软件有缺陷，或中标人提供的技术资料有错误，或中标人在现场的技术人员指导有错误而使合同货物不能达到合同规定的指标和技术性能，中标人应负责修理或更换有缺陷和损坏的货物硬件或软件，使合同货物运行指标和技术性能达到合同规定，由此引起的全部费用由中标人承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在合同货物保修期内，如果由于中标人更换、修理和续补货物，而造成本合同货物不得不停止运行，货物保修期应依照停止运行的实际时间加以延长，如因此给招标人造成损失，中标人应负责赔偿。</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所有货物保修服务方式均为中标人上门保修，即由中标人派员到货物使用现场维修，由此产生的一切费用均由中标人承担。如中标人在接到招标人通知后不到场，则招标人有权聘请其他技术人员到场进行技术支持，相关费用由中标人承担，招标人有权在尾款中直接扣除相关费用。</w:t>
      </w:r>
      <w:r/>
    </w:p>
    <w:p>
      <w:pPr>
        <w:ind w:firstLine="480"/>
        <w:spacing w:line="560" w:lineRule="exact"/>
        <w:rPr>
          <w:rFonts w:hint="default"/>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合同货物保修期届满后，中标人保证继续为招标人提供货物的维修服务，招标人应按卖方提供的优惠价格向中标人支付相关费用，中标人保证在合同货物使用期内以不高于本合同货物和相关配件的价格向招标人提供备品备件。</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十四</w:t>
      </w:r>
      <w:r>
        <w:rPr>
          <w:rFonts w:hint="eastAsia" w:ascii="宋体" w:hAnsi="宋体"/>
          <w:b/>
          <w:color w:val="auto"/>
          <w:sz w:val="24"/>
          <w:szCs w:val="24"/>
          <w:highlight w:val="none"/>
        </w:rPr>
        <w:t xml:space="preserve">、政府采购中实施本国产品标准及相关政策</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采购本国产品的支持政策</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0"/>
        <w:jc w:val="left"/>
        <w:spacing w:line="560" w:lineRule="exact"/>
        <w:shd w:val="clear" w:color="auto" w:fill="ffffff"/>
        <w:widowControl/>
        <w:rPr>
          <w:rFonts w:hint="eastAsia" w:ascii="宋体" w:hAnsi="宋体" w:cs="宋体"/>
          <w:b/>
          <w:color w:val="auto"/>
          <w:sz w:val="24"/>
          <w:szCs w:val="24"/>
          <w:highlight w:val="none"/>
        </w:rPr>
      </w:pPr>
      <w:r>
        <w:rPr>
          <w:rFonts w:hint="eastAsia" w:ascii="宋体" w:hAnsi="宋体" w:cs="宋体"/>
          <w:b/>
          <w:color w:val="auto"/>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jc w:val="left"/>
        <w:spacing w:line="560" w:lineRule="exact"/>
        <w:shd w:val="clear" w:color="auto" w:fill="ffffff"/>
        <w:widowControl/>
        <w:rPr>
          <w:rFonts w:hint="eastAsia"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5.对于仅有本国产品参与竞争的政府采购项目，本国产品不享受价格扣除评审优惠。</w:t>
      </w:r>
      <w:r/>
    </w:p>
    <w:p>
      <w:pPr>
        <w:pStyle w:val="690"/>
        <w:rPr>
          <w:rFonts w:hint="default"/>
          <w:color w:val="auto"/>
          <w:sz w:val="24"/>
          <w:szCs w:val="24"/>
          <w:highlight w:val="none"/>
          <w:lang w:val="en-US" w:eastAsia="zh-CN"/>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default"/>
          <w:color w:val="auto"/>
          <w:sz w:val="24"/>
          <w:szCs w:val="24"/>
          <w:highlight w:val="none"/>
          <w:lang w:val="en-US" w:eastAsia="zh-CN"/>
        </w:rPr>
      </w:r>
      <w:r/>
    </w:p>
    <w:p>
      <w:pPr>
        <w:jc w:val="center"/>
        <w:keepNext/>
        <w:spacing w:line="560" w:lineRule="exact"/>
        <w:rPr>
          <w:rFonts w:hint="eastAsia" w:ascii="宋体" w:hAnsi="宋体"/>
          <w:b/>
          <w:bCs/>
          <w:color w:val="auto"/>
          <w:sz w:val="44"/>
          <w:szCs w:val="28"/>
          <w:highlight w:val="none"/>
        </w:rPr>
        <w:outlineLvl w:val="0"/>
      </w:pPr>
      <w:r/>
      <w:bookmarkStart w:id="172" w:name="_Toc120614281"/>
      <w:r>
        <w:rPr>
          <w:rFonts w:hint="eastAsia" w:ascii="宋体" w:hAnsi="宋体"/>
          <w:bCs/>
          <w:color w:val="auto"/>
          <w:sz w:val="44"/>
          <w:szCs w:val="28"/>
          <w:highlight w:val="none"/>
        </w:rPr>
        <w:t xml:space="preserve">第四章  </w:t>
      </w:r>
      <w:r>
        <w:rPr>
          <w:rFonts w:hint="eastAsia" w:ascii="宋体" w:hAnsi="宋体"/>
          <w:b/>
          <w:bCs/>
          <w:color w:val="auto"/>
          <w:sz w:val="44"/>
          <w:szCs w:val="28"/>
          <w:highlight w:val="none"/>
        </w:rPr>
        <w:t xml:space="preserve">评审方法与评审标准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（一）采购人（代表）对供应商资格进行审查。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供应商资格不合格的，其响应文件判定为无效响应文件。</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（二）磋商小组对符合资格供应商的响应文件进行符合性审查。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未通过符合性审查的响应文件，将被判为不满足磋商文件实质性要求。 </w:t>
      </w:r>
      <w:r/>
    </w:p>
    <w:p>
      <w:pPr>
        <w:ind w:firstLine="482"/>
        <w:jc w:val="left"/>
        <w:spacing w:line="500" w:lineRule="exac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lang w:val="zh-CN"/>
        </w:rPr>
        <w:t xml:space="preserve">商务技术分</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70</w:t>
      </w:r>
      <w:r>
        <w:rPr>
          <w:rFonts w:hint="eastAsia" w:ascii="宋体" w:hAnsi="宋体" w:cs="宋体"/>
          <w:color w:val="auto"/>
          <w:sz w:val="24"/>
          <w:szCs w:val="24"/>
          <w:highlight w:val="none"/>
          <w:lang w:val="zh-CN"/>
        </w:rPr>
        <w:t xml:space="preserve">分</w:t>
      </w:r>
      <w:r/>
    </w:p>
    <w:p>
      <w:pPr>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各供应商得分为磋商小组成员评分的算术平均分，分值保留小数点后两位。</w:t>
      </w:r>
      <w:r/>
    </w:p>
    <w:p>
      <w:pPr>
        <w:pStyle w:val="690"/>
        <w:ind w:firstLine="480"/>
        <w:rPr>
          <w:rFonts w:hint="default" w:eastAsia="宋体"/>
          <w:b/>
          <w:bCs/>
          <w:color w:val="auto"/>
          <w:highlight w:val="none"/>
          <w:lang w:val="en-US" w:eastAsia="zh-CN"/>
        </w:rPr>
      </w:pPr>
      <w:r>
        <w:rPr>
          <w:rFonts w:hint="eastAsia" w:ascii="宋体" w:hAnsi="宋体"/>
          <w:color w:val="auto"/>
          <w:sz w:val="24"/>
          <w:szCs w:val="24"/>
          <w:highlight w:val="none"/>
          <w:lang w:val="en-US" w:eastAsia="zh-CN"/>
        </w:rPr>
        <w:t xml:space="preserve">包一评分标准：</w:t>
      </w:r>
      <w:r/>
    </w:p>
    <w:tbl>
      <w:tblPr>
        <w:tblStyle w:val="689"/>
        <w:tblW w:w="9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473"/>
        <w:gridCol w:w="728"/>
        <w:gridCol w:w="6680"/>
      </w:tblGrid>
      <w:tr>
        <w:trPr>
          <w:jc w:val="center"/>
          <w:trHeight w:val="8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类似项目业绩</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自2023年</w:t>
            </w:r>
            <w:r>
              <w:rPr>
                <w:rFonts w:hint="eastAsia" w:ascii="宋体" w:hAnsi="宋体" w:cs="宋体"/>
                <w:i w:val="0"/>
                <w:iCs w:val="0"/>
                <w:color w:val="auto"/>
                <w:sz w:val="24"/>
                <w:szCs w:val="24"/>
                <w:highlight w:val="none"/>
                <w:u w:val="none"/>
                <w:lang w:val="en-US" w:eastAsia="zh-CN" w:bidi="ar"/>
              </w:rPr>
              <w:t xml:space="preserve">以来</w:t>
            </w:r>
            <w:r>
              <w:rPr>
                <w:rFonts w:hint="eastAsia" w:ascii="宋体" w:hAnsi="宋体" w:eastAsia="宋体" w:cs="宋体"/>
                <w:i w:val="0"/>
                <w:iCs w:val="0"/>
                <w:color w:val="auto"/>
                <w:sz w:val="24"/>
                <w:szCs w:val="24"/>
                <w:highlight w:val="none"/>
                <w:u w:val="none"/>
                <w:lang w:val="en-US" w:eastAsia="zh-CN" w:bidi="ar"/>
              </w:rPr>
              <w:t xml:space="preserve">，供应商承担过类似健身器材销售业绩的每个得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分，不重复计分。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注：业绩证明材料至少包括完整的合同文本、对应项目验收报告，业绩时间以合同订立时间为准。未提供或提供不全不得分。</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认证体系及核心产品保障</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供应商或产品制造商具备有效的质量管理体系认证证书ISO9001、环境管理体系认证ISO14001，有一个得2分，最高得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分，不提供不得分。提供有效的证书复印件加盖公章</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投标供应商具备核心产品的有效产品责任险、产品质量险、公众责任险，有一个得2分，最高得6分，不提供不得分。提供有效期内的保单证书复印件加盖公章。</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val="en-US" w:eastAsia="zh-CN"/>
              </w:rPr>
              <w:t xml:space="preserve">供应商</w:t>
            </w:r>
            <w:r>
              <w:rPr>
                <w:rFonts w:ascii="宋体" w:hAnsi="宋体" w:eastAsia="宋体" w:cs="宋体"/>
                <w:color w:val="auto"/>
                <w:sz w:val="24"/>
                <w:szCs w:val="24"/>
                <w:highlight w:val="none"/>
              </w:rPr>
              <w:t xml:space="preserve">提供</w:t>
            </w:r>
            <w:r>
              <w:rPr>
                <w:rStyle w:val="713"/>
                <w:rFonts w:ascii="宋体" w:hAnsi="宋体" w:eastAsia="宋体" w:cs="宋体"/>
                <w:b w:val="0"/>
                <w:bCs/>
                <w:color w:val="auto"/>
                <w:sz w:val="24"/>
                <w:szCs w:val="24"/>
                <w:highlight w:val="none"/>
              </w:rPr>
              <w:t xml:space="preserve">具备CMA/CNAS资质第三方机构</w:t>
            </w:r>
            <w:r>
              <w:rPr>
                <w:rFonts w:ascii="宋体" w:hAnsi="宋体" w:eastAsia="宋体" w:cs="宋体"/>
                <w:color w:val="auto"/>
                <w:sz w:val="24"/>
                <w:szCs w:val="24"/>
                <w:highlight w:val="none"/>
              </w:rPr>
              <w:t xml:space="preserve">出具的本型号产品专项检测报告，盐雾测试时长</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500</w:t>
            </w:r>
            <w:r>
              <w:rPr>
                <w:rFonts w:ascii="宋体" w:hAnsi="宋体" w:eastAsia="宋体" w:cs="宋体"/>
                <w:color w:val="auto"/>
                <w:sz w:val="24"/>
                <w:szCs w:val="24"/>
                <w:highlight w:val="none"/>
              </w:rPr>
              <w:t xml:space="preserve">h</w:t>
            </w:r>
            <w:r>
              <w:rPr>
                <w:rFonts w:ascii="宋体" w:hAnsi="宋体" w:eastAsia="宋体" w:cs="宋体"/>
                <w:color w:val="auto"/>
                <w:sz w:val="24"/>
                <w:szCs w:val="24"/>
                <w:highlight w:val="none"/>
              </w:rPr>
              <w:t xml:space="preserve">；腐蚀评级GB/T 6461-2002达到10级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；涂层外观老化评级GB/T 1766-2008达到 0 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达到 </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 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得1分</w:t>
            </w:r>
            <w:r>
              <w:rPr>
                <w:rFonts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提供有效的检测报告加盖公章</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4.供应商</w:t>
            </w:r>
            <w:r>
              <w:rPr>
                <w:rFonts w:ascii="宋体" w:hAnsi="宋体" w:eastAsia="宋体" w:cs="宋体"/>
                <w:color w:val="auto"/>
                <w:sz w:val="24"/>
                <w:szCs w:val="24"/>
                <w:highlight w:val="none"/>
              </w:rPr>
              <w:t xml:space="preserve">提供具备 CMA/CNAS 资质第三方磁粉无损检测报告，钢管磁粉检测按GB/T 42673-2023达到M1级、表面无缺陷</w:t>
            </w:r>
            <w:r>
              <w:rPr>
                <w:rFonts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达到M</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级</w:t>
            </w:r>
            <w:r>
              <w:rPr>
                <w:rFonts w:hint="eastAsia" w:ascii="宋体" w:hAnsi="宋体" w:cs="宋体"/>
                <w:color w:val="auto"/>
                <w:sz w:val="24"/>
                <w:szCs w:val="24"/>
                <w:highlight w:val="none"/>
                <w:lang w:val="en-US" w:eastAsia="zh-CN"/>
              </w:rPr>
              <w:t xml:space="preserve">得1分</w:t>
            </w:r>
            <w:r>
              <w:rPr>
                <w:rFonts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提供有效的检测报告加盖公章</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供货安装方案</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w:t>
            </w:r>
            <w:r>
              <w:rPr>
                <w:rFonts w:hint="eastAsia" w:ascii="宋体" w:hAnsi="宋体" w:cs="宋体"/>
                <w:i w:val="0"/>
                <w:iCs w:val="0"/>
                <w:color w:val="auto"/>
                <w:sz w:val="24"/>
                <w:szCs w:val="24"/>
                <w:highlight w:val="none"/>
                <w:u w:val="none"/>
                <w:lang w:val="en-US" w:eastAsia="zh-CN" w:bidi="ar"/>
              </w:rPr>
              <w:t xml:space="preserve">提供</w:t>
            </w:r>
            <w:r>
              <w:rPr>
                <w:rFonts w:hint="eastAsia" w:ascii="宋体" w:hAnsi="宋体" w:eastAsia="宋体" w:cs="宋体"/>
                <w:i w:val="0"/>
                <w:iCs w:val="0"/>
                <w:color w:val="auto"/>
                <w:sz w:val="24"/>
                <w:szCs w:val="24"/>
                <w:highlight w:val="none"/>
                <w:u w:val="none"/>
                <w:lang w:val="en-US" w:eastAsia="zh-CN" w:bidi="ar"/>
              </w:rPr>
              <w:t xml:space="preserve">的供货方案，包含但不限于以下内容：①供货渠道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②货物检验检测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③货物包装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④运输方案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⑤质量保证</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⑥安装调试方案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⑦团队人员配备分工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⑧培训方案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⑨验收方案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⑩应急处理预案。</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分，每有一项内容不完整或有缺陷的扣1分，扣完为止，未提供不得分。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w:t>
            </w:r>
            <w:r>
              <w:rPr>
                <w:rFonts w:hint="eastAsia" w:ascii="宋体" w:hAnsi="宋体" w:cs="宋体"/>
                <w:i w:val="0"/>
                <w:iCs w:val="0"/>
                <w:color w:val="auto"/>
                <w:sz w:val="24"/>
                <w:szCs w:val="24"/>
                <w:highlight w:val="none"/>
                <w:u w:val="none"/>
                <w:lang w:val="en-US" w:eastAsia="zh-CN" w:bidi="ar"/>
              </w:rPr>
              <w:t xml:space="preserve">提供</w:t>
            </w:r>
            <w:r>
              <w:rPr>
                <w:rFonts w:hint="eastAsia" w:ascii="宋体" w:hAnsi="宋体" w:eastAsia="宋体" w:cs="宋体"/>
                <w:i w:val="0"/>
                <w:iCs w:val="0"/>
                <w:color w:val="auto"/>
                <w:sz w:val="24"/>
                <w:szCs w:val="24"/>
                <w:highlight w:val="none"/>
                <w:u w:val="none"/>
                <w:lang w:val="en-US" w:eastAsia="zh-CN" w:bidi="ar"/>
              </w:rPr>
              <w:t xml:space="preserve">的售后服务方案，方案包含但不限于以下内容：①售后服务响应时效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②售后服务体系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③售后团队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④定期服务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⑤备件供应</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⑥软件升级</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⑦突发故障应急能力</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⑧故障解决方案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⑨售后巡检服务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⑩售后培训体系及培训方案。</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分，扣完为止，未提供不得分。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29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pStyle w:val="690"/>
              <w:rPr>
                <w:rFonts w:hint="default" w:ascii="宋体" w:hAnsi="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承诺拟投入不少4人的售后服务团队的基础上，承诺每增加一人得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分，提供承诺函，承诺函须包括人员配置详细清单（包括姓名、手机号码、岗位职责等，以上人员需提供近半年内任意</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个月的社保缴纳证明材料），缺一不得分。</w:t>
            </w:r>
            <w:r/>
          </w:p>
        </w:tc>
      </w:tr>
      <w:tr>
        <w:trPr>
          <w:jc w:val="center"/>
          <w:trHeight w:val="49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节能环保</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spacing w:line="360" w:lineRule="auto"/>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分。如投标产品均属于政府强制采购节能产品品目清单范围内，本项不得分。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p>
            <w:pPr>
              <w:jc w:val="left"/>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分（投标时须提供相应使用低VOCs 含量的有效证明材料，否则不得分）。</w:t>
            </w:r>
            <w:r/>
          </w:p>
        </w:tc>
      </w:tr>
    </w:tbl>
    <w:p>
      <w:p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包二评分标准：</w:t>
      </w:r>
      <w:r/>
    </w:p>
    <w:tbl>
      <w:tblPr>
        <w:tblStyle w:val="689"/>
        <w:tblW w:w="95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2"/>
        <w:gridCol w:w="1447"/>
        <w:gridCol w:w="735"/>
        <w:gridCol w:w="6559"/>
      </w:tblGrid>
      <w:tr>
        <w:trPr>
          <w:jc w:val="center"/>
          <w:trHeight w:val="8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0"/>
              <w:jc w:val="center"/>
              <w:rPr>
                <w:rFonts w:hint="default" w:ascii="宋体" w:hAnsi="宋体" w:eastAsia="宋体" w:cs="宋体"/>
                <w:i w:val="0"/>
                <w:iCs w:val="0"/>
                <w:color w:val="auto"/>
                <w:sz w:val="24"/>
                <w:szCs w:val="24"/>
                <w:highlight w:val="none"/>
                <w:u w:val="none"/>
                <w:lang w:val="en-US"/>
              </w:rPr>
            </w:pPr>
            <w:r>
              <w:rPr>
                <w:rFonts w:hint="eastAsia" w:ascii="宋体" w:hAnsi="宋体" w:cs="宋体"/>
                <w:color w:val="auto"/>
                <w:sz w:val="24"/>
                <w:szCs w:val="24"/>
                <w:highlight w:val="none"/>
                <w:lang w:val="en-US" w:eastAsia="zh-CN"/>
              </w:rPr>
              <w:t xml:space="preserve">16</w:t>
            </w:r>
            <w:bookmarkStart w:id="184" w:name="_GoBack"/>
            <w:r/>
            <w:bookmarkEnd w:id="184"/>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numPr>
                <w:ilvl w:val="0"/>
                <w:numId w:val="0"/>
              </w:numPr>
              <w:jc w:val="left"/>
              <w:spacing w:line="240" w:lineRule="auto"/>
              <w:widowControl/>
              <w:rPr>
                <w:rFonts w:hint="eastAsia"/>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1.球场面层依据GB/T 43353-2023检测气味浓度OC及气味强度OI，要求OI≤2.5级且OC≤250ou/m3（</w:t>
            </w:r>
            <w:r>
              <w:rPr>
                <w:rFonts w:ascii="宋体" w:hAnsi="宋体" w:eastAsia="宋体" w:cs="宋体"/>
                <w:color w:val="auto"/>
                <w:sz w:val="24"/>
                <w:szCs w:val="24"/>
                <w:highlight w:val="none"/>
              </w:rPr>
              <w:t xml:space="preserve">A 类释放等级</w:t>
            </w:r>
            <w:r>
              <w:rPr>
                <w:rFonts w:hint="eastAsia" w:ascii="宋体" w:hAnsi="宋体" w:cs="宋体"/>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全部达标得</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分；无检测报告</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bidi="ar-SA"/>
              </w:rPr>
              <w:t xml:space="preserve">提供加盖公章的履约承诺函得1分。无检测报告、无承诺函不得分。</w:t>
            </w:r>
            <w:r/>
          </w:p>
          <w:p>
            <w:pPr>
              <w:numPr>
                <w:ilvl w:val="0"/>
                <w:numId w:val="0"/>
              </w:numPr>
              <w:jc w:val="left"/>
              <w:spacing w:line="240" w:lineRule="auto"/>
              <w:widowControl/>
              <w:rPr>
                <w:rFonts w:hint="eastAsia"/>
                <w:color w:val="auto"/>
                <w:sz w:val="24"/>
                <w:szCs w:val="24"/>
                <w:highlight w:val="none"/>
                <w:lang w:val="en-US" w:eastAsia="zh-CN"/>
              </w:rPr>
            </w:pPr>
            <w:r>
              <w:rPr>
                <w:rFonts w:hint="eastAsia" w:ascii="宋体" w:hAnsi="宋体" w:cs="宋体"/>
                <w:strike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球场面漆层材料耐人工气候老化500h后，要求变色色差值≤3，</w:t>
            </w:r>
            <w:r>
              <w:rPr>
                <w:rFonts w:hint="eastAsia" w:ascii="宋体" w:hAnsi="宋体" w:eastAsia="宋体" w:cs="宋体"/>
                <w:sz w:val="24"/>
                <w:szCs w:val="24"/>
                <w:highlight w:val="none"/>
                <w:lang w:val="en-US" w:eastAsia="zh-CN" w:bidi="ar-SA"/>
              </w:rPr>
              <w:t xml:space="preserve">色牢度符合GB/T 43565-2023干、湿状态下均无脱色</w:t>
            </w:r>
            <w:r>
              <w:rPr>
                <w:rFonts w:hint="eastAsia" w:ascii="宋体" w:hAnsi="宋体" w:cs="宋体"/>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全部达标得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ascii="宋体" w:hAnsi="宋体" w:eastAsia="宋体" w:cs="宋体"/>
                <w:color w:val="auto"/>
                <w:sz w:val="24"/>
                <w:szCs w:val="24"/>
                <w:highlight w:val="none"/>
              </w:rPr>
              <w:t xml:space="preserve">无检测报告</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bidi="ar-SA"/>
              </w:rPr>
              <w:t xml:space="preserve">提供加盖公章的承诺函得1分。无检测报告、无承诺不得分。</w:t>
            </w:r>
            <w:r/>
          </w:p>
          <w:p>
            <w:pPr>
              <w:numPr>
                <w:ilvl w:val="0"/>
                <w:numId w:val="0"/>
              </w:numPr>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3.围网满足依据GB/T 2423.2-2008进行70°C高温测试48h，表面无起泡，无变形，全部达标得4分；无检测报告，提供加盖</w:t>
            </w:r>
            <w:r>
              <w:rPr>
                <w:rFonts w:hint="eastAsia" w:ascii="宋体" w:hAnsi="宋体" w:eastAsia="宋体" w:cs="宋体"/>
                <w:color w:val="auto"/>
                <w:sz w:val="24"/>
                <w:szCs w:val="24"/>
                <w:highlight w:val="none"/>
                <w:lang w:val="en-US" w:eastAsia="zh-CN" w:bidi="ar-SA"/>
              </w:rPr>
              <w:t xml:space="preserve">公章的承诺函得1分。无检测报告、无承诺不得分。</w:t>
            </w:r>
            <w:r/>
          </w:p>
          <w:p>
            <w:pPr>
              <w:numPr>
                <w:ilvl w:val="0"/>
                <w:numId w:val="0"/>
              </w:numPr>
              <w:jc w:val="left"/>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4.提供地埋式篮球架GB/T 23176</w:t>
            </w:r>
            <w:r>
              <w:rPr>
                <w:rFonts w:hint="eastAsia" w:ascii="宋体" w:hAnsi="宋体" w:eastAsia="宋体" w:cs="宋体"/>
                <w:color w:val="auto"/>
                <w:sz w:val="24"/>
                <w:szCs w:val="24"/>
                <w:highlight w:val="none"/>
                <w:lang w:val="en-US" w:eastAsia="zh-CN" w:bidi="ar-SA"/>
              </w:rPr>
              <w:noBreakHyphen/>
            </w:r>
            <w:r>
              <w:rPr>
                <w:rFonts w:hint="eastAsia" w:ascii="宋体" w:hAnsi="宋体" w:eastAsia="宋体" w:cs="宋体"/>
                <w:color w:val="auto"/>
                <w:sz w:val="24"/>
                <w:szCs w:val="24"/>
                <w:highlight w:val="none"/>
                <w:lang w:val="en-US" w:eastAsia="zh-CN" w:bidi="ar-SA"/>
              </w:rPr>
              <w:t xml:space="preserve">2008 结构尺寸、篮板性能、篮圈、架体整机性能、外观涂层等整体检测报告得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无检测报告，提供加盖公章的承诺函得1分。无检测报告、无承诺不得分。</w:t>
            </w:r>
            <w:r/>
          </w:p>
          <w:p>
            <w:pP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注：以上所有检测报告须由通过CMA或CNAS认证的检测机构出具</w:t>
            </w:r>
            <w:r>
              <w:rPr>
                <w:rFonts w:hint="eastAsia" w:ascii="宋体" w:hAnsi="宋体" w:eastAsia="宋体" w:cs="宋体"/>
                <w:color w:val="auto"/>
                <w:sz w:val="24"/>
                <w:szCs w:val="24"/>
                <w:highlight w:val="none"/>
                <w:lang w:val="en-US" w:eastAsia="zh-CN"/>
              </w:rPr>
              <w:t xml:space="preserve">。履约承诺函格式自拟，承</w:t>
            </w:r>
            <w:r>
              <w:rPr>
                <w:rFonts w:hint="eastAsia" w:ascii="宋体" w:hAnsi="宋体" w:cs="宋体"/>
                <w:color w:val="auto"/>
                <w:sz w:val="24"/>
                <w:szCs w:val="24"/>
                <w:highlight w:val="none"/>
                <w:lang w:val="en-US" w:eastAsia="zh-CN" w:bidi="ar-SA"/>
              </w:rPr>
              <w:t xml:space="preserve">诺所投产品满足上述全部指标，中标后供货前7日内提交检测报告核验，不达标视为违约。</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Cs/>
                <w:color w:val="auto"/>
                <w:sz w:val="24"/>
                <w:szCs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76" w:lineRule="auto"/>
              <w:rPr>
                <w:rFonts w:hint="eastAsia" w:ascii="宋体" w:hAnsi="宋体" w:eastAsia="宋体" w:cs="宋体"/>
                <w:i w:val="0"/>
                <w:iCs w:val="0"/>
                <w:color w:val="auto"/>
                <w:sz w:val="24"/>
                <w:szCs w:val="24"/>
                <w:highlight w:val="none"/>
                <w:u w:val="none"/>
              </w:rPr>
            </w:pPr>
            <w:r>
              <w:rPr>
                <w:rFonts w:hint="eastAsia" w:ascii="宋体" w:hAnsi="宋体" w:cs="宋体"/>
                <w:bCs/>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自2023年（以竣工验收证明时间为准）以来，承担过类似项目业绩每有一个得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i w:val="0"/>
                <w:iCs w:val="0"/>
                <w:color w:val="auto"/>
                <w:sz w:val="24"/>
                <w:szCs w:val="24"/>
                <w:highlight w:val="none"/>
                <w:u w:val="none"/>
                <w:lang w:val="en-US" w:eastAsia="zh-CN" w:bidi="ar"/>
              </w:rPr>
              <w:t xml:space="preserve">业绩证明材料至少包括完整的合同文本、对应项目验收报告，业绩时间以合同订立时间为准。未提供或提供不全不得分。</w:t>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Cs/>
                <w:color w:val="auto"/>
                <w:sz w:val="24"/>
                <w:szCs w:val="24"/>
                <w:highlight w:val="none"/>
                <w:lang w:val="en-US" w:eastAsia="zh-CN"/>
              </w:rPr>
              <w:t xml:space="preserve">认证体系</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shd w:val="clear" w:color="auto" w:fill="auto"/>
              </w:rPr>
              <w:t xml:space="preserve">供应商具备有效期内的质量管理体系认证证书，环境管理体系认证证书，</w:t>
            </w:r>
            <w:r>
              <w:rPr>
                <w:rFonts w:hint="eastAsia" w:ascii="宋体" w:hAnsi="宋体" w:eastAsia="宋体" w:cs="宋体"/>
                <w:i w:val="0"/>
                <w:iCs w:val="0"/>
                <w:color w:val="auto"/>
                <w:sz w:val="24"/>
                <w:szCs w:val="24"/>
                <w:highlight w:val="none"/>
                <w:u w:val="none"/>
                <w:lang w:val="en-US" w:eastAsia="zh-CN" w:bidi="ar"/>
              </w:rPr>
              <w:t xml:space="preserve">有一个得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分，最高得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不提供不得分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提供有效的证书复印件加盖公章</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579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设计方案</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供应商提供的</w:t>
            </w:r>
            <w:r>
              <w:rPr>
                <w:rFonts w:hint="eastAsia" w:ascii="宋体" w:hAnsi="宋体" w:eastAsia="宋体" w:cs="宋体"/>
                <w:color w:val="auto"/>
                <w:sz w:val="24"/>
                <w:szCs w:val="24"/>
                <w:highlight w:val="none"/>
              </w:rPr>
              <w:t xml:space="preserve">设计方案</w:t>
            </w:r>
            <w:r>
              <w:rPr>
                <w:rFonts w:hint="eastAsia" w:ascii="宋体" w:hAnsi="宋体" w:eastAsia="宋体" w:cs="宋体"/>
                <w:i w:val="0"/>
                <w:iCs w:val="0"/>
                <w:color w:val="auto"/>
                <w:sz w:val="24"/>
                <w:szCs w:val="24"/>
                <w:highlight w:val="none"/>
                <w:u w:val="none"/>
                <w:lang w:val="en-US" w:eastAsia="zh-CN"/>
              </w:rPr>
              <w:t xml:space="preserve">，内容包括但不限于：①</w:t>
            </w:r>
            <w:r>
              <w:rPr>
                <w:rFonts w:hint="eastAsia" w:ascii="宋体" w:hAnsi="宋体" w:eastAsia="宋体" w:cs="宋体"/>
                <w:color w:val="auto"/>
                <w:sz w:val="24"/>
                <w:szCs w:val="24"/>
                <w:highlight w:val="none"/>
                <w:lang w:val="en-US" w:eastAsia="zh-CN"/>
              </w:rPr>
              <w:t xml:space="preserve">至少三个适用于</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的笼式篮球场</w:t>
            </w:r>
            <w:r>
              <w:rPr>
                <w:rFonts w:hint="eastAsia" w:ascii="宋体" w:hAnsi="宋体" w:eastAsia="宋体" w:cs="宋体"/>
                <w:color w:val="auto"/>
                <w:sz w:val="24"/>
                <w:szCs w:val="24"/>
                <w:highlight w:val="none"/>
              </w:rPr>
              <w:t xml:space="preserve">设计</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w:t>
            </w:r>
            <w:r>
              <w:rPr>
                <w:rFonts w:hint="eastAsia" w:ascii="宋体" w:hAnsi="宋体" w:eastAsia="宋体" w:cs="宋体"/>
                <w:color w:val="auto"/>
                <w:sz w:val="24"/>
                <w:szCs w:val="24"/>
                <w:highlight w:val="none"/>
                <w:lang w:val="en-US" w:eastAsia="zh-CN"/>
              </w:rPr>
              <w:t xml:space="preserve">至少三个</w:t>
            </w:r>
            <w:r>
              <w:rPr>
                <w:rFonts w:hint="eastAsia" w:ascii="宋体" w:hAnsi="宋体" w:eastAsia="宋体" w:cs="宋体"/>
                <w:color w:val="auto"/>
                <w:sz w:val="24"/>
                <w:szCs w:val="24"/>
                <w:highlight w:val="none"/>
              </w:rPr>
              <w:t xml:space="preserve">整体设计新颖，合理规划空间，与周边环境相融合，综合考虑空中俯瞰效果，合理运用色彩搭配、线条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图案营造愉悦运动氛围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凸显</w:t>
            </w:r>
            <w:r>
              <w:rPr>
                <w:rFonts w:hint="eastAsia" w:ascii="宋体" w:hAnsi="宋体" w:eastAsia="宋体" w:cs="宋体"/>
                <w:color w:val="auto"/>
                <w:sz w:val="24"/>
                <w:szCs w:val="24"/>
                <w:highlight w:val="none"/>
              </w:rPr>
              <w:t xml:space="preserve">独特</w:t>
            </w:r>
            <w:r>
              <w:rPr>
                <w:rFonts w:hint="eastAsia" w:ascii="宋体" w:hAnsi="宋体" w:eastAsia="宋体" w:cs="宋体"/>
                <w:color w:val="auto"/>
                <w:sz w:val="24"/>
                <w:szCs w:val="24"/>
                <w:highlight w:val="none"/>
                <w:lang w:val="en-US" w:eastAsia="zh-CN"/>
              </w:rPr>
              <w:t xml:space="preserve">的篮球时尚</w:t>
            </w:r>
            <w:r>
              <w:rPr>
                <w:rFonts w:hint="eastAsia" w:ascii="宋体" w:hAnsi="宋体" w:eastAsia="宋体" w:cs="宋体"/>
                <w:color w:val="auto"/>
                <w:sz w:val="24"/>
                <w:szCs w:val="24"/>
                <w:highlight w:val="none"/>
              </w:rPr>
              <w:t xml:space="preserve">风格</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设计图</w:t>
            </w:r>
            <w:r>
              <w:rPr>
                <w:rFonts w:hint="eastAsia" w:ascii="宋体" w:hAnsi="宋体" w:cs="宋体"/>
                <w:color w:val="auto"/>
                <w:sz w:val="24"/>
                <w:szCs w:val="24"/>
                <w:highlight w:val="none"/>
                <w:lang w:val="en-US" w:eastAsia="zh-CN"/>
              </w:rPr>
              <w:t xml:space="preserve">，设计图纸需兼顾场地后期维修，场地翻新等需求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设计</w:t>
            </w:r>
            <w:r>
              <w:rPr>
                <w:rFonts w:hint="eastAsia" w:ascii="宋体" w:hAnsi="宋体" w:eastAsia="宋体" w:cs="宋体"/>
                <w:color w:val="auto"/>
                <w:sz w:val="24"/>
                <w:szCs w:val="24"/>
                <w:highlight w:val="none"/>
                <w:lang w:val="en-US" w:eastAsia="zh-CN"/>
              </w:rPr>
              <w:t xml:space="preserve">效果</w:t>
            </w:r>
            <w:r>
              <w:rPr>
                <w:rFonts w:hint="eastAsia" w:ascii="宋体" w:hAnsi="宋体" w:eastAsia="宋体" w:cs="宋体"/>
                <w:color w:val="auto"/>
                <w:sz w:val="24"/>
                <w:szCs w:val="24"/>
                <w:highlight w:val="none"/>
              </w:rPr>
              <w:t xml:space="preserve">图经采购方确认后方可实施</w:t>
            </w:r>
            <w:r>
              <w:rPr>
                <w:rFonts w:hint="eastAsia" w:ascii="宋体" w:hAnsi="宋体" w:cs="宋体"/>
                <w:color w:val="auto"/>
                <w:sz w:val="24"/>
                <w:szCs w:val="24"/>
                <w:highlight w:val="none"/>
                <w:lang w:eastAsia="zh-CN"/>
              </w:rPr>
              <w:t xml:space="preserve">）；③</w:t>
            </w:r>
            <w:r>
              <w:rPr>
                <w:rFonts w:hint="eastAsia" w:ascii="宋体" w:hAnsi="宋体" w:cs="宋体"/>
                <w:color w:val="auto"/>
                <w:sz w:val="24"/>
                <w:szCs w:val="24"/>
                <w:highlight w:val="none"/>
                <w:lang w:val="en-US" w:eastAsia="zh-CN"/>
              </w:rPr>
              <w:t xml:space="preserve">施工落地配套方案，提供现场实地勘测交底，明确施工场地尺寸等，</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分，扣完为止，未提供不得分。</w:t>
            </w:r>
            <w:r/>
          </w:p>
          <w:p>
            <w:pPr>
              <w:spacing w:line="276" w:lineRule="auto"/>
              <w:rPr>
                <w:rFonts w:hint="default"/>
                <w:color w:val="auto"/>
                <w:highlight w:val="none"/>
                <w:lang w:val="en-US"/>
              </w:rPr>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29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项目实施方案</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rPr>
            </w:pPr>
            <w:r>
              <w:rPr>
                <w:rFonts w:hint="eastAsia" w:ascii="宋体" w:hAnsi="宋体" w:cs="宋体"/>
                <w:bCs/>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供应商提供的项目实施方案，内容包括但不限于：①</w:t>
            </w:r>
            <w:r>
              <w:rPr>
                <w:rFonts w:hint="eastAsia" w:ascii="宋体" w:hAnsi="宋体" w:eastAsia="宋体" w:cs="宋体"/>
                <w:color w:val="auto"/>
                <w:sz w:val="24"/>
                <w:szCs w:val="24"/>
                <w:highlight w:val="none"/>
                <w:lang w:val="en-US" w:eastAsia="zh-CN"/>
              </w:rPr>
              <w:t xml:space="preserve">施工组织设计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w:t>
            </w:r>
            <w:r>
              <w:rPr>
                <w:rFonts w:hint="eastAsia" w:ascii="宋体" w:hAnsi="宋体" w:eastAsia="宋体" w:cs="宋体"/>
                <w:color w:val="auto"/>
                <w:sz w:val="24"/>
                <w:szCs w:val="24"/>
                <w:highlight w:val="none"/>
                <w:lang w:val="en-US" w:eastAsia="zh-CN"/>
              </w:rPr>
              <w:t xml:space="preserve">施工技术和工艺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w:t>
            </w:r>
            <w:r>
              <w:rPr>
                <w:rFonts w:hint="eastAsia" w:ascii="宋体" w:hAnsi="宋体" w:eastAsia="宋体" w:cs="宋体"/>
                <w:color w:val="auto"/>
                <w:sz w:val="24"/>
                <w:szCs w:val="24"/>
                <w:highlight w:val="none"/>
                <w:lang w:val="en-US" w:eastAsia="zh-CN"/>
              </w:rPr>
              <w:t xml:space="preserve">施工进度计划和各阶段进度的保证措施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w:t>
            </w:r>
            <w:r>
              <w:rPr>
                <w:rFonts w:hint="eastAsia" w:ascii="宋体" w:hAnsi="宋体" w:eastAsia="宋体" w:cs="宋体"/>
                <w:color w:val="auto"/>
                <w:sz w:val="24"/>
                <w:szCs w:val="24"/>
                <w:highlight w:val="none"/>
                <w:lang w:val="en-US" w:eastAsia="zh-CN"/>
              </w:rPr>
              <w:t xml:space="preserve">安全文明施工及环境保护</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w:t>
            </w:r>
            <w:r>
              <w:rPr>
                <w:rFonts w:hint="eastAsia" w:ascii="宋体" w:hAnsi="宋体" w:eastAsia="宋体" w:cs="宋体"/>
                <w:color w:val="auto"/>
                <w:sz w:val="24"/>
                <w:szCs w:val="24"/>
                <w:highlight w:val="none"/>
                <w:lang w:val="en-US" w:eastAsia="zh-CN"/>
              </w:rPr>
              <w:t xml:space="preserve">针对本项目关键施工技术</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⑥质量保证体系与验收标准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分，扣完为止，未提供不得分。</w:t>
            </w:r>
            <w:r/>
          </w:p>
          <w:p>
            <w:pPr>
              <w:numPr>
                <w:ilvl w:val="0"/>
                <w:numId w:val="0"/>
              </w:numPr>
              <w:ind w:left="0" w:firstLine="0"/>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w:t>
            </w:r>
            <w:r>
              <w:rPr>
                <w:rFonts w:hint="eastAsia" w:ascii="宋体" w:hAnsi="宋体" w:eastAsia="宋体" w:cs="宋体"/>
                <w:color w:val="auto"/>
                <w:sz w:val="24"/>
                <w:szCs w:val="24"/>
                <w:highlight w:val="none"/>
              </w:rPr>
              <w:t xml:space="preserve">响应供应商承诺终身维修并提供维修方案</w:t>
            </w:r>
            <w:r>
              <w:rPr>
                <w:rFonts w:hint="eastAsia" w:ascii="宋体" w:hAnsi="宋体" w:eastAsia="宋体" w:cs="宋体"/>
                <w:i w:val="0"/>
                <w:iCs w:val="0"/>
                <w:color w:val="auto"/>
                <w:sz w:val="24"/>
                <w:szCs w:val="24"/>
                <w:highlight w:val="none"/>
                <w:u w:val="none"/>
                <w:lang w:val="en-US" w:eastAsia="zh-CN"/>
              </w:rPr>
              <w:t xml:space="preserve">有纲要且未展开阐述、内容前后矛盾、涉及的规范及标准错误等任意一种情形。</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售后服务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rPr>
            </w:pPr>
            <w:r>
              <w:rPr>
                <w:rFonts w:hint="eastAsia" w:ascii="宋体" w:hAnsi="宋体" w:cs="宋体"/>
                <w:bCs/>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jc w:val="left"/>
              <w:keepLines w:val="0"/>
              <w:keepNext w:val="0"/>
              <w:widowControl/>
              <w:rPr>
                <w:rFonts w:hint="eastAsia"/>
                <w:color w:val="auto"/>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供应商提供的项目售后服务方案，内容包括但不限于：①</w:t>
            </w:r>
            <w:r>
              <w:rPr>
                <w:rFonts w:hint="eastAsia" w:ascii="宋体" w:hAnsi="宋体" w:cs="宋体"/>
                <w:i w:val="0"/>
                <w:iCs w:val="0"/>
                <w:color w:val="auto"/>
                <w:sz w:val="24"/>
                <w:szCs w:val="24"/>
                <w:highlight w:val="none"/>
                <w:u w:val="none"/>
                <w:lang w:val="en-US" w:eastAsia="zh-CN"/>
              </w:rPr>
              <w:t xml:space="preserve">满足需求的</w:t>
            </w:r>
            <w:r>
              <w:rPr>
                <w:rFonts w:hint="eastAsia" w:ascii="宋体" w:hAnsi="宋体" w:eastAsia="宋体" w:cs="宋体"/>
                <w:i w:val="0"/>
                <w:iCs w:val="0"/>
                <w:color w:val="auto"/>
                <w:sz w:val="24"/>
                <w:szCs w:val="24"/>
                <w:highlight w:val="none"/>
                <w:u w:val="none"/>
                <w:lang w:val="en-US" w:eastAsia="zh-CN"/>
              </w:rPr>
              <w:t xml:space="preserve">售后服务及质保内容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②售后服务响应时间及方式（响应≤24小时、到场≤48小时）</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③响应供应商承诺终身维修并提供维修方案</w:t>
            </w:r>
            <w:r>
              <w:rPr>
                <w:rFonts w:hint="eastAsia" w:ascii="宋体" w:hAnsi="宋体" w:cs="宋体"/>
                <w:i w:val="0"/>
                <w:iCs w:val="0"/>
                <w:color w:val="auto"/>
                <w:sz w:val="24"/>
                <w:szCs w:val="24"/>
                <w:highlight w:val="none"/>
                <w:u w:val="none"/>
                <w:lang w:val="en-US" w:eastAsia="zh-CN" w:bidi="ar"/>
              </w:rPr>
              <w:t xml:space="preserve">；④售后服务体系；⑤售后团队；⑥定期服务；⑦备件供应（48小时内维修配件需到位）；⑧突发故障应急能力；⑨故障解决方案；⑩售后巡检服务</w:t>
            </w:r>
            <w:r>
              <w:rPr>
                <w:rFonts w:hint="eastAsia" w:ascii="宋体" w:hAnsi="宋体" w:cs="宋体"/>
                <w:color w:val="auto"/>
                <w:sz w:val="24"/>
                <w:szCs w:val="24"/>
                <w:highlight w:val="none"/>
                <w:lang w:val="en-US" w:eastAsia="zh-CN"/>
              </w:rPr>
              <w:t xml:space="preserve">等。</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分，扣完为止，未提供不得分。注：内容不完整或有缺陷是指：非专门针对本项目或内容不全面与</w:t>
            </w:r>
            <w:r>
              <w:rPr>
                <w:rFonts w:hint="eastAsia" w:ascii="宋体" w:hAnsi="宋体" w:eastAsia="宋体" w:cs="宋体"/>
                <w:color w:val="auto"/>
                <w:sz w:val="24"/>
                <w:szCs w:val="24"/>
                <w:highlight w:val="none"/>
              </w:rPr>
              <w:t xml:space="preserve">响应供应商承诺终身维修并提供维修方案</w:t>
            </w:r>
            <w:r>
              <w:rPr>
                <w:rFonts w:hint="eastAsia" w:ascii="宋体" w:hAnsi="宋体" w:eastAsia="宋体" w:cs="宋体"/>
                <w:i w:val="0"/>
                <w:iCs w:val="0"/>
                <w:color w:val="auto"/>
                <w:sz w:val="24"/>
                <w:szCs w:val="24"/>
                <w:highlight w:val="none"/>
                <w:u w:val="none"/>
                <w:lang w:val="en-US" w:eastAsia="zh-CN"/>
              </w:rPr>
              <w:t xml:space="preserve">有纲要且未展开阐述、内容前后矛盾、涉及的规范及标准错误等任意一种情形。</w:t>
            </w:r>
            <w:r/>
          </w:p>
        </w:tc>
      </w:tr>
      <w:tr>
        <w:trPr>
          <w:jc w:val="center"/>
          <w:trHeight w:val="129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节能环保</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分。如投标产品均属于政府强制采购节能产品品目清单范围内，本项不得分。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p>
            <w:pPr>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分（投标时须提供相应使用低VOCs 含量的有效证明材料，否则不得分）。</w:t>
            </w:r>
            <w:r/>
          </w:p>
        </w:tc>
      </w:tr>
    </w:tbl>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注：①如磋商文件内容顺序混乱，导致评委无法查看，后果自负。 </w:t>
      </w:r>
      <w:r/>
    </w:p>
    <w:p>
      <w:pPr>
        <w:ind w:firstLine="48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②请供应商制作磋商文件的时保证图片、文字材料的完整、清晰可辨，任何原因导致评委看不清楚或无法查看，后果由供应商自负。</w:t>
      </w:r>
      <w:r/>
    </w:p>
    <w:p>
      <w:pPr>
        <w:ind w:firstLine="48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(四）价格分：30分</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价格分统一采用低价优先法计算，即满足磋商文件要求且最后报价最低的供应商的价格为磋商基准价，其价格分为满分。其他供应商的价格分统一按照下列公式计算：</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磋商报价得分=（磋商基准价/最后磋商报价）×价格权值×100。</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出现下列情形之一的，磋商小组应当启动异常低价响应审查程序：</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3.投标（响应）报价低于采购项目最高限价45%的，即投标（响应）报价&lt;采购项目最高限价×45%；</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4.评审委员会基于专业判断，认为供应商报价过低，有可能影响产品质量或者不能诚信履约的其他情形。</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响应供应商不提供书面说明、证明材料，或者提供的书面说明、证明材料不能证明其报价合理性的，磋商小组应当将其作为无效响应处理。审查相关情况应当在评审报告中进行记录。</w:t>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（五）政府采购政策功能落实</w:t>
      </w:r>
      <w:r/>
    </w:p>
    <w:p>
      <w:pPr>
        <w:ind w:firstLine="480"/>
        <w:spacing w:line="560" w:lineRule="exact"/>
        <w:rPr>
          <w:rFonts w:hint="eastAsia" w:ascii="宋体" w:hAnsi="宋体"/>
          <w:color w:val="auto"/>
          <w:sz w:val="24"/>
          <w:szCs w:val="24"/>
          <w:highlight w:val="none"/>
        </w:rPr>
      </w:pPr>
      <w:r/>
      <w:bookmarkStart w:id="173" w:name="_Hlk221545426"/>
      <w:r>
        <w:rPr>
          <w:rFonts w:hint="eastAsia" w:ascii="宋体" w:hAnsi="宋体"/>
          <w:color w:val="auto"/>
          <w:sz w:val="24"/>
          <w:szCs w:val="24"/>
          <w:highlight w:val="none"/>
        </w:rPr>
        <w:t xml:space="preserve">1、小微型企业价格扣除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（1）本项目对小型和微型企业产品给予20%的扣除价格，用扣除后的价格参与评审。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（2）供应商需按照《政府采购促进中小企业发展管理办法》（财库﹝2020﹞46 号）的规定提供相应的《中小企业声明函》。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（4）专门面向中小微企业采购的项目或者采购包，不再执行价格评审优惠的扶持政策。</w:t>
      </w:r>
      <w:r/>
    </w:p>
    <w:p>
      <w:pPr>
        <w:ind w:firstLine="480"/>
        <w:spacing w:line="560" w:lineRule="exact"/>
        <w:rPr>
          <w:rFonts w:hint="eastAsia" w:ascii="宋体" w:hAnsi="宋体"/>
          <w:color w:val="auto"/>
          <w:sz w:val="24"/>
          <w:szCs w:val="24"/>
          <w:highlight w:val="none"/>
        </w:rPr>
      </w:pPr>
      <w:r/>
      <w:bookmarkStart w:id="174" w:name="OLE_LINK68"/>
      <w:r/>
      <w:bookmarkStart w:id="175" w:name="OLE_LINK69"/>
      <w:r>
        <w:rPr>
          <w:rFonts w:hint="eastAsia" w:ascii="宋体" w:hAnsi="宋体"/>
          <w:color w:val="auto"/>
          <w:sz w:val="24"/>
          <w:szCs w:val="24"/>
          <w:highlight w:val="none"/>
        </w:rPr>
        <w:t xml:space="preserve">2、残疾人福利单位价格扣除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（1）本项目对残疾人福利性单位，给予20%的价格扣除，用扣除后的价格参与评审。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（1）本项目对监狱和戒毒企业（简称监狱企业）给予20%的价格扣除，用扣除后的价格参与评审。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（3）监狱企业标准请参照《关于政府采购支持监狱企业发展有关问题的通知》（财库[2014]68号）。</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6、联合体各方均为小型、微型企业（残疾人福利单位、监狱企业）的，联合体享受上述同类价格扣除，用扣除后的价格参与评审。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（六）成交供应商的确定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磋商小组汇总各评委评分后，按照得分从高到低的顺序推荐三名成交候选人，并编写评审报告。</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采购人授权磋商小组在成交候选供应商中直接确定成交供应商。</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（七）采购人代表宣布评审结果。</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（八）公告成交结果</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自确定成交供应商之日起2个工作日内，在江苏政府采购网公告成交结果，公告期限为1个工作日。</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（九）发放成交通知书</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公告成交结果的同时，采购人或采购代理机构向成交供应商发放成交通知书。</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成交通知书发出后，采购人不得违法改变成交结果，成交供应商无正当理由不得</w:t>
      </w:r>
      <w:r>
        <w:rPr>
          <w:rFonts w:hint="eastAsia" w:ascii="宋体" w:hAnsi="宋体" w:cs="宋体"/>
          <w:color w:val="auto"/>
          <w:sz w:val="24"/>
          <w:szCs w:val="24"/>
          <w:highlight w:val="none"/>
        </w:rPr>
        <w:t xml:space="preserve">放弃成交。</w:t>
      </w:r>
      <w:bookmarkEnd w:id="173"/>
      <w:r/>
      <w:bookmarkEnd w:id="174"/>
      <w:r/>
      <w:bookmarkEnd w:id="175"/>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pStyle w:val="69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9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br w:type="page" w:clear="all"/>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t xml:space="preserve">第五章  </w:t>
      </w:r>
      <w:bookmarkEnd w:id="172"/>
      <w:r>
        <w:rPr>
          <w:rFonts w:hint="eastAsia" w:ascii="宋体" w:hAnsi="宋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176" w:name="_Hlt26955039"/>
      <w:r/>
      <w:bookmarkEnd w:id="176"/>
      <w:r/>
      <w:bookmarkStart w:id="177" w:name="_Hlt26671244"/>
      <w:r/>
      <w:bookmarkEnd w:id="177"/>
      <w:r/>
      <w:bookmarkStart w:id="178" w:name="_Toc120614282"/>
      <w:r/>
      <w:bookmarkStart w:id="179" w:name="_Toc49090576"/>
      <w:r/>
      <w:bookmarkStart w:id="180"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690"/>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690"/>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ascii="宋体" w:hAnsi="宋体"/>
          <w:b/>
          <w:bCs/>
          <w:color w:val="auto"/>
          <w:sz w:val="32"/>
          <w:szCs w:val="32"/>
          <w:highlight w:val="none"/>
        </w:rPr>
      </w:pPr>
      <w:r>
        <w:rPr>
          <w:rFonts w:ascii="宋体" w:hAnsi="宋体"/>
          <w:b/>
          <w:bCs/>
          <w:color w:val="auto"/>
          <w:sz w:val="32"/>
          <w:szCs w:val="32"/>
          <w:highlight w:val="none"/>
        </w:rPr>
      </w:r>
      <w:r/>
    </w:p>
    <w:p>
      <w:pPr>
        <w:pStyle w:val="679"/>
        <w:rPr>
          <w:color w:val="auto"/>
          <w:highlight w:val="none"/>
        </w:rPr>
      </w:pPr>
      <w:r>
        <w:rPr>
          <w:color w:val="auto"/>
          <w:highlight w:val="none"/>
        </w:rPr>
      </w:r>
      <w:r/>
    </w:p>
    <w:p>
      <w:pPr>
        <w:jc w:val="center"/>
        <w:spacing w:line="5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响应文件目录</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一、资格审查证明材料</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二、商务、技术标</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三、价格标</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四、其他资料（如有）</w:t>
      </w:r>
      <w:r/>
    </w:p>
    <w:p>
      <w:pPr>
        <w:ind w:firstLine="480"/>
        <w:spacing w:line="440" w:lineRule="exact"/>
        <w:rPr>
          <w:rFonts w:ascii="宋体" w:hAnsi="宋体"/>
          <w:i/>
          <w:color w:val="auto"/>
          <w:sz w:val="24"/>
          <w:szCs w:val="21"/>
          <w:highlight w:val="none"/>
          <w:u w:val="single"/>
        </w:rPr>
      </w:pPr>
      <w:r>
        <w:rPr>
          <w:rFonts w:ascii="宋体" w:hAnsi="宋体"/>
          <w:i/>
          <w:color w:val="auto"/>
          <w:sz w:val="24"/>
          <w:szCs w:val="21"/>
          <w:highlight w:val="none"/>
          <w:u w:val="singl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869"/>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pStyle w:val="869"/>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pStyle w:val="869"/>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一、资格审查证明材料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2.上一年度的财务状况报告（成立不满一年不需提供）；（提供参加本次开标前的会计报表，必须含资产负债表、利润表等证明材料）；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3.依法缴纳税收和社会保障资金的相关材料；（提供参加本次开标前的会计报表，必须含资产负债表、利润表等证明材料）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6.法定代表人身份证明书（格式见附件）；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7.法人授权书（格式见附件）；</w:t>
      </w:r>
      <w:r/>
    </w:p>
    <w:p>
      <w:pPr>
        <w:ind w:firstLine="480"/>
        <w:spacing w:line="560" w:lineRule="exact"/>
        <w:rPr>
          <w:rFonts w:hint="eastAsia" w:ascii="宋体" w:hAnsi="宋体"/>
          <w:color w:val="auto"/>
          <w:sz w:val="24"/>
          <w:szCs w:val="24"/>
          <w:highlight w:val="none"/>
        </w:rPr>
      </w:pPr>
      <w:r>
        <w:rPr>
          <w:rFonts w:hint="eastAsia" w:ascii="宋体" w:hAnsi="宋体" w:cs="宋体"/>
          <w:color w:val="auto"/>
          <w:sz w:val="24"/>
          <w:highlight w:val="none"/>
        </w:rPr>
        <w:t xml:space="preserve">8.承诺函（格式见附件）；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9.磋商响应函（格式见附件）；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10.采购公告中“二、申请人的资格要求（二）”提供相应的佐证材料；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11.其它需要提交的资格审查证明材料。</w:t>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二、商务、技术标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3.响应方案、货物（服务）清单。具有项目、数量、品牌、型号、配置性能等；</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5.供应商认为需要提交的其他商务、技术材料。</w:t>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三、价格标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highlight w:val="none"/>
        </w:rPr>
        <w:t xml:space="preserve"> </w:t>
      </w:r>
      <w:r>
        <w:rPr>
          <w:rFonts w:hint="eastAsia" w:ascii="宋体" w:hAnsi="宋体"/>
          <w:color w:val="auto"/>
          <w:sz w:val="24"/>
          <w:szCs w:val="24"/>
          <w:highlight w:val="none"/>
        </w:rPr>
        <w:t xml:space="preserve">报价总表（格式见附件）；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2.分项报价明细表（格式见附件）；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 中小企业声明函（格式见附件）；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4.残疾人福利性单位声明函（如有）（格式见附件）；</w:t>
      </w:r>
      <w:r/>
    </w:p>
    <w:p>
      <w:pPr>
        <w:ind w:firstLine="480"/>
        <w:spacing w:line="560" w:lineRule="exact"/>
        <w:rPr>
          <w:rFonts w:hint="eastAsia" w:ascii="宋体" w:hAnsi="宋体"/>
          <w:color w:val="auto"/>
          <w:sz w:val="32"/>
          <w:szCs w:val="32"/>
          <w:highlight w:val="none"/>
          <w:u w:val="single"/>
        </w:rPr>
      </w:pPr>
      <w:r>
        <w:rPr>
          <w:rFonts w:hint="eastAsia" w:ascii="宋体" w:hAnsi="宋体"/>
          <w:color w:val="auto"/>
          <w:sz w:val="24"/>
          <w:szCs w:val="24"/>
          <w:highlight w:val="none"/>
        </w:rPr>
        <w:t xml:space="preserve">5.监狱和戒毒企业证明材料（如有）（格式见附件）</w:t>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br w:type="page" w:clear="all"/>
      </w:r>
      <w:r>
        <w:rPr>
          <w:rFonts w:hint="eastAsia" w:ascii="宋体" w:hAnsi="宋体"/>
          <w:color w:val="auto"/>
          <w:sz w:val="32"/>
          <w:szCs w:val="32"/>
          <w:highlight w:val="none"/>
          <w:lang w:val="zh-CN"/>
        </w:rPr>
        <w:t xml:space="preserve">附件1</w:t>
      </w:r>
      <w:r/>
    </w:p>
    <w:p>
      <w:pPr>
        <w:jc w:val="center"/>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具备履行合同所必需的设备和专业技术能力的证明材料</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bCs/>
          <w:color w:val="auto"/>
          <w:sz w:val="24"/>
          <w:szCs w:val="24"/>
          <w:highlight w:val="none"/>
          <w:u w:val="single"/>
          <w:lang w:val="zh-CN"/>
        </w:rPr>
      </w:pP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lang w:val="zh-CN"/>
        </w:rPr>
        <w:t xml:space="preserve">：</w:t>
      </w:r>
      <w:r/>
    </w:p>
    <w:p>
      <w:pPr>
        <w:ind w:firstLine="46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我方参加你方的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（项目名称）的投标，现我方向你方慎重承诺：</w:t>
      </w:r>
      <w:r/>
    </w:p>
    <w:p>
      <w:pPr>
        <w:ind w:left="44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不具备）履行合同所必需的设备和专业技术能力。</w:t>
      </w:r>
      <w:r/>
    </w:p>
    <w:p>
      <w:pPr>
        <w:ind w:right="-512" w:firstLine="31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512"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供应商（盖章）：</w:t>
      </w:r>
      <w:r/>
    </w:p>
    <w:p>
      <w:pPr>
        <w:ind w:right="-512" w:firstLine="3120"/>
        <w:spacing w:line="360" w:lineRule="auto"/>
        <w:tabs>
          <w:tab w:val="left" w:pos="4320" w:leader="none"/>
        </w:tabs>
        <w:rPr>
          <w:rFonts w:ascii="宋体" w:hAnsi="宋体" w:cs="宋体"/>
          <w:color w:val="auto"/>
          <w:sz w:val="24"/>
          <w:szCs w:val="24"/>
          <w:highlight w:val="none"/>
        </w:rPr>
      </w:pPr>
      <w:r>
        <w:rPr>
          <w:rFonts w:hint="eastAsia" w:ascii="宋体" w:hAnsi="宋体"/>
          <w:color w:val="auto"/>
          <w:sz w:val="24"/>
          <w:szCs w:val="24"/>
          <w:highlight w:val="none"/>
        </w:rPr>
        <w:t xml:space="preserve">法定代表人或其授权委托人</w:t>
      </w:r>
      <w:r>
        <w:rPr>
          <w:rFonts w:hint="eastAsia" w:ascii="宋体" w:hAnsi="宋体" w:cs="宋体"/>
          <w:color w:val="auto"/>
          <w:sz w:val="24"/>
          <w:szCs w:val="24"/>
          <w:highlight w:val="none"/>
        </w:rPr>
        <w:t xml:space="preserve">（签字或盖章）：</w:t>
      </w:r>
      <w:r/>
    </w:p>
    <w:p>
      <w:pPr>
        <w:jc w:val="right"/>
        <w:spacing w:line="360" w:lineRule="auto"/>
        <w:rPr>
          <w:rFonts w:ascii="宋体" w:hAnsi="宋体" w:cs="宋体"/>
          <w:color w:val="auto"/>
          <w:sz w:val="24"/>
          <w:szCs w:val="24"/>
          <w:highlight w:val="none"/>
        </w:rPr>
      </w:pP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年</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月</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日</w:t>
      </w:r>
      <w:r/>
    </w:p>
    <w:p>
      <w:pPr>
        <w:contextualSpacing/>
        <w:spacing w:line="400" w:lineRule="exact"/>
        <w:rPr>
          <w:rFonts w:ascii="宋体" w:hAnsi="宋体"/>
          <w:color w:val="auto"/>
          <w:sz w:val="32"/>
          <w:szCs w:val="32"/>
          <w:highlight w:val="none"/>
          <w:lang w:val="zh-CN"/>
        </w:rPr>
      </w:pPr>
      <w:r>
        <w:rPr>
          <w:rFonts w:ascii="宋体" w:hAnsi="宋体" w:cs="宋体"/>
          <w:color w:val="auto"/>
          <w:sz w:val="24"/>
          <w:szCs w:val="24"/>
          <w:highlight w:val="none"/>
        </w:rPr>
        <w:br w:type="page" w:clear="all"/>
      </w:r>
      <w:r>
        <w:rPr>
          <w:rFonts w:hint="eastAsia" w:ascii="宋体" w:hAnsi="宋体"/>
          <w:color w:val="auto"/>
          <w:sz w:val="32"/>
          <w:szCs w:val="32"/>
          <w:highlight w:val="none"/>
          <w:lang w:val="zh-CN"/>
        </w:rPr>
        <w:t xml:space="preserve">附件2</w:t>
      </w:r>
      <w:r/>
    </w:p>
    <w:p>
      <w:pPr>
        <w:ind w:firstLine="643"/>
        <w:jc w:val="center"/>
        <w:rPr>
          <w:rFonts w:ascii="宋体" w:hAnsi="宋体"/>
          <w:b/>
          <w:color w:val="auto"/>
          <w:sz w:val="32"/>
          <w:szCs w:val="32"/>
          <w:highlight w:val="none"/>
        </w:rPr>
      </w:pPr>
      <w:r>
        <w:rPr>
          <w:rFonts w:ascii="宋体" w:hAnsi="宋体"/>
          <w:b/>
          <w:color w:val="auto"/>
          <w:sz w:val="32"/>
          <w:szCs w:val="32"/>
          <w:highlight w:val="none"/>
        </w:rPr>
      </w:r>
      <w:r/>
    </w:p>
    <w:p>
      <w:pPr>
        <w:ind w:firstLine="643"/>
        <w:jc w:val="center"/>
        <w:rPr>
          <w:rFonts w:ascii="宋体" w:hAnsi="宋体"/>
          <w:b/>
          <w:color w:val="auto"/>
          <w:sz w:val="32"/>
          <w:szCs w:val="32"/>
          <w:highlight w:val="none"/>
        </w:rPr>
      </w:pPr>
      <w:r>
        <w:rPr>
          <w:rFonts w:hint="eastAsia" w:ascii="宋体" w:hAnsi="宋体"/>
          <w:b/>
          <w:color w:val="auto"/>
          <w:sz w:val="32"/>
          <w:szCs w:val="32"/>
          <w:highlight w:val="none"/>
        </w:rPr>
        <w:t xml:space="preserve">参加政府采购活动前</w:t>
      </w:r>
      <w:r>
        <w:rPr>
          <w:rFonts w:ascii="宋体" w:hAnsi="宋体"/>
          <w:b/>
          <w:color w:val="auto"/>
          <w:sz w:val="32"/>
          <w:szCs w:val="32"/>
          <w:highlight w:val="none"/>
        </w:rPr>
        <w:t xml:space="preserve"> 3 </w:t>
      </w:r>
      <w:r>
        <w:rPr>
          <w:rFonts w:hint="eastAsia" w:ascii="宋体" w:hAnsi="宋体"/>
          <w:b/>
          <w:color w:val="auto"/>
          <w:sz w:val="32"/>
          <w:szCs w:val="32"/>
          <w:highlight w:val="none"/>
        </w:rPr>
        <w:t xml:space="preserve">年内在经营活动中没有重大违法记</w:t>
      </w:r>
      <w:r>
        <w:rPr>
          <w:rFonts w:hint="eastAsia" w:ascii="宋体" w:hAnsi="宋体"/>
          <w:b/>
          <w:bCs/>
          <w:color w:val="auto"/>
          <w:sz w:val="32"/>
          <w:szCs w:val="32"/>
          <w:highlight w:val="none"/>
        </w:rPr>
        <w:t xml:space="preserve">录的书面声明</w:t>
      </w:r>
      <w:r/>
    </w:p>
    <w:p>
      <w:pP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881"/>
        <w:jc w:val="cente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482"/>
        <w:spacing w:line="500" w:lineRule="exact"/>
        <w:rPr>
          <w:rFonts w:ascii="宋体" w:hAnsi="宋体"/>
          <w:bCs/>
          <w:color w:val="auto"/>
          <w:szCs w:val="21"/>
          <w:highlight w:val="none"/>
        </w:rPr>
      </w:pPr>
      <w:r>
        <w:rPr>
          <w:rFonts w:hint="eastAsia" w:ascii="宋体" w:hAnsi="宋体"/>
          <w:bCs/>
          <w:color w:val="auto"/>
          <w:szCs w:val="21"/>
          <w:highlight w:val="none"/>
        </w:rPr>
        <w:t xml:space="preserve">我公司（本人）郑重声明：参加本次政府采购活动前</w:t>
      </w:r>
      <w:r>
        <w:rPr>
          <w:rFonts w:ascii="宋体" w:hAnsi="宋体"/>
          <w:bCs/>
          <w:color w:val="auto"/>
          <w:szCs w:val="21"/>
          <w:highlight w:val="none"/>
        </w:rPr>
        <w:t xml:space="preserve"> 3 </w:t>
      </w:r>
      <w:r>
        <w:rPr>
          <w:rFonts w:hint="eastAsia" w:ascii="宋体" w:hAnsi="宋体"/>
          <w:bCs/>
          <w:color w:val="auto"/>
          <w:szCs w:val="21"/>
          <w:highlight w:val="non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供应商名称（公章）：</w:t>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授权代表签字：</w:t>
      </w:r>
      <w:r>
        <w:rPr>
          <w:rFonts w:ascii="宋体" w:hAnsi="宋体"/>
          <w:bCs/>
          <w:color w:val="auto"/>
          <w:szCs w:val="21"/>
          <w:highlight w:val="none"/>
          <w:u w:val="single"/>
        </w:rPr>
        <w:t xml:space="preserve">_______________________</w:t>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日期：</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年</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月</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日</w:t>
      </w:r>
      <w:r/>
    </w:p>
    <w:p>
      <w:pPr>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400" w:lineRule="exact"/>
        <w:rPr>
          <w:rFonts w:ascii="宋体" w:hAnsi="宋体"/>
          <w:color w:val="auto"/>
          <w:sz w:val="32"/>
          <w:szCs w:val="32"/>
          <w:highlight w:val="none"/>
          <w:lang w:val="zh-CN"/>
        </w:rPr>
      </w:pPr>
      <w:r>
        <w:rPr>
          <w:rFonts w:ascii="宋体" w:hAnsi="宋体"/>
          <w:color w:val="auto"/>
          <w:sz w:val="24"/>
          <w:szCs w:val="21"/>
          <w:highlight w:val="none"/>
        </w:rPr>
        <w:br w:type="page" w:clear="all"/>
      </w:r>
      <w:r>
        <w:rPr>
          <w:rFonts w:hint="eastAsia" w:ascii="宋体" w:hAnsi="宋体"/>
          <w:color w:val="auto"/>
          <w:sz w:val="32"/>
          <w:szCs w:val="32"/>
          <w:highlight w:val="none"/>
          <w:lang w:val="zh-CN"/>
        </w:rPr>
        <w:t xml:space="preserve">附件3</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先生/女士：</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职务，为法定代表人，特此证明。</w:t>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身份证号码：</w:t>
      </w:r>
      <w:r>
        <w:rPr>
          <w:rFonts w:ascii="宋体" w:hAnsi="宋体"/>
          <w:color w:val="auto"/>
          <w:sz w:val="24"/>
          <w:szCs w:val="24"/>
          <w:highlight w:val="none"/>
          <w:u w:val="single"/>
        </w:rPr>
        <w:t xml:space="preserve">                                               </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600" w:lineRule="exact"/>
        <w:rPr>
          <w:rFonts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bookmarkEnd w:id="178"/>
      <w:r/>
      <w:bookmarkEnd w:id="179"/>
      <w:r/>
      <w:bookmarkEnd w:id="180"/>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spacing w:line="460" w:lineRule="exact"/>
        <w:rPr>
          <w:rFonts w:ascii="宋体" w:hAnsi="宋体"/>
          <w:bCs/>
          <w:color w:val="auto"/>
          <w:sz w:val="24"/>
          <w:szCs w:val="21"/>
          <w:highlight w:val="none"/>
        </w:rPr>
      </w:pPr>
      <w:r/>
      <w:bookmarkStart w:id="181" w:name="_Toc120614284"/>
      <w:r/>
      <w:r/>
    </w:p>
    <w:p>
      <w:pPr>
        <w:contextualSpacing/>
        <w:spacing w:line="400" w:lineRule="exact"/>
        <w:rPr>
          <w:rFonts w:ascii="宋体" w:hAnsi="宋体"/>
          <w:color w:val="auto"/>
          <w:sz w:val="32"/>
          <w:szCs w:val="32"/>
          <w:highlight w:val="none"/>
          <w:lang w:val="zh-CN"/>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附件4</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法人授权书</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被授权人身份证号码：</w:t>
      </w:r>
      <w:r>
        <w:rPr>
          <w:rFonts w:hint="eastAsia" w:ascii="宋体" w:hAnsi="宋体"/>
          <w:color w:val="auto"/>
          <w:sz w:val="24"/>
          <w:szCs w:val="24"/>
          <w:highlight w:val="none"/>
          <w:u w:val="single"/>
        </w:rPr>
        <w:t xml:space="preserve">                              </w:t>
      </w:r>
      <w:r/>
    </w:p>
    <w:p>
      <w:pPr>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被授权人联系电话：（手机）</w:t>
      </w:r>
      <w:r>
        <w:rPr>
          <w:rFonts w:hint="eastAsia" w:ascii="宋体" w:hAnsi="宋体"/>
          <w:color w:val="auto"/>
          <w:sz w:val="24"/>
          <w:szCs w:val="24"/>
          <w:highlight w:val="none"/>
          <w:u w:val="single"/>
        </w:rPr>
        <w:t xml:space="preserve">                          </w:t>
      </w:r>
      <w:r/>
    </w:p>
    <w:p>
      <w:pPr>
        <w:ind w:firstLine="120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w:t>
      </w:r>
      <w:r>
        <w:rPr>
          <w:rFonts w:hint="eastAsia" w:ascii="宋体" w:hAnsi="宋体"/>
          <w:color w:val="auto"/>
          <w:sz w:val="24"/>
          <w:szCs w:val="24"/>
          <w:highlight w:val="none"/>
          <w:u w:val="single"/>
        </w:rPr>
        <w:t xml:space="preserve">（加盖CA电子公章）</w:t>
      </w:r>
      <w:r/>
    </w:p>
    <w:p>
      <w:pPr>
        <w:ind w:firstLine="480"/>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单位地址：</w:t>
      </w:r>
      <w:r>
        <w:rPr>
          <w:rFonts w:hint="eastAsia" w:ascii="宋体" w:hAnsi="宋体"/>
          <w:color w:val="auto"/>
          <w:sz w:val="24"/>
          <w:szCs w:val="24"/>
          <w:highlight w:val="none"/>
          <w:u w:val="single"/>
        </w:rPr>
        <w:t xml:space="preserve">                                         </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日期：</w:t>
      </w:r>
      <w:r>
        <w:rPr>
          <w:rFonts w:hint="eastAsia" w:ascii="宋体" w:hAnsi="宋体"/>
          <w:color w:val="auto"/>
          <w:sz w:val="24"/>
          <w:szCs w:val="24"/>
          <w:highlight w:val="none"/>
          <w:u w:val="single"/>
        </w:rPr>
        <w:t xml:space="preserve">                                         </w:t>
      </w:r>
      <w:r/>
    </w:p>
    <w:p>
      <w:pPr>
        <w:ind w:firstLine="420"/>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rPr>
          <w:rFonts w:hint="eastAsia" w:ascii="宋体" w:hAnsi="宋体"/>
          <w:color w:val="auto"/>
          <w:szCs w:val="21"/>
          <w:highlight w:val="none"/>
        </w:rPr>
      </w:pPr>
      <w:r>
        <w:rPr>
          <w:rFonts w:hint="eastAsia" w:ascii="宋体" w:hAnsi="宋体"/>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00" w:lineRule="exact"/>
        <w:rPr>
          <w:rFonts w:ascii="宋体" w:hAnsi="宋体"/>
          <w:color w:val="auto"/>
          <w:sz w:val="32"/>
          <w:highlight w:val="none"/>
        </w:rPr>
      </w:pPr>
      <w:r>
        <w:rPr>
          <w:rFonts w:ascii="宋体" w:hAnsi="宋体"/>
          <w:bCs/>
          <w:color w:val="auto"/>
          <w:sz w:val="24"/>
          <w:szCs w:val="21"/>
          <w:highlight w:val="none"/>
        </w:rPr>
        <w:br w:type="page" w:clear="all"/>
      </w:r>
      <w:r>
        <w:rPr>
          <w:rFonts w:hint="eastAsia" w:ascii="宋体" w:hAnsi="宋体"/>
          <w:color w:val="auto"/>
          <w:sz w:val="32"/>
          <w:highlight w:val="none"/>
        </w:rPr>
        <w:t xml:space="preserve">附件5</w:t>
      </w:r>
      <w:r/>
    </w:p>
    <w:p>
      <w:pPr>
        <w:jc w:val="center"/>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承诺函</w:t>
      </w:r>
      <w:r/>
    </w:p>
    <w:p>
      <w:pPr>
        <w:ind w:firstLine="480"/>
        <w:spacing w:line="30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我单位承诺响应竞争性磋商文件二、申请人的资格要求：‘</w:t>
      </w:r>
      <w:r>
        <w:rPr>
          <w:rFonts w:hint="eastAsia" w:ascii="宋体" w:hAnsi="宋体"/>
          <w:color w:val="auto"/>
          <w:sz w:val="24"/>
          <w:szCs w:val="24"/>
          <w:highlight w:val="none"/>
        </w:rPr>
        <w:t xml:space="preserve">3.</w:t>
      </w:r>
      <w:r>
        <w:rPr>
          <w:rFonts w:hint="eastAsia" w:ascii="宋体" w:hAnsi="宋体"/>
          <w:color w:val="auto"/>
          <w:highlight w:val="none"/>
        </w:rPr>
        <w:t xml:space="preserve"> </w:t>
      </w:r>
      <w:r>
        <w:rPr>
          <w:rFonts w:hint="eastAsia"/>
          <w:color w:val="auto"/>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color w:val="auto"/>
          <w:sz w:val="24"/>
          <w:szCs w:val="24"/>
          <w:highlight w:val="none"/>
        </w:rPr>
        <w:t xml:space="preserve">响应供应商全称(盖公章)：</w:t>
      </w:r>
      <w:r/>
    </w:p>
    <w:p>
      <w:pPr>
        <w:spacing w:line="360" w:lineRule="auto"/>
        <w:rPr>
          <w:color w:val="auto"/>
          <w:sz w:val="24"/>
          <w:szCs w:val="24"/>
          <w:highlight w:val="none"/>
        </w:rPr>
      </w:pPr>
      <w:r>
        <w:rPr>
          <w:rFonts w:hint="eastAsia"/>
          <w:color w:val="auto"/>
          <w:sz w:val="24"/>
          <w:szCs w:val="24"/>
          <w:highlight w:val="none"/>
        </w:rPr>
        <w:t xml:space="preserve">法人代表或授权委托人（签字或盖章）：</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                                                 </w:t>
      </w:r>
      <w:r/>
    </w:p>
    <w:p>
      <w:pPr>
        <w:rPr>
          <w:color w:val="auto"/>
          <w:sz w:val="24"/>
          <w:szCs w:val="24"/>
          <w:highlight w:val="none"/>
        </w:rPr>
      </w:pPr>
      <w:r>
        <w:rPr>
          <w:color w:val="auto"/>
          <w:sz w:val="24"/>
          <w:szCs w:val="24"/>
          <w:highlight w:val="none"/>
        </w:rPr>
      </w:r>
      <w:r/>
    </w:p>
    <w:p>
      <w:pPr>
        <w:jc w:val="right"/>
        <w:rPr>
          <w:rFonts w:ascii="宋体" w:hAnsi="宋体"/>
          <w:b/>
          <w:bCs/>
          <w:color w:val="auto"/>
          <w:sz w:val="24"/>
          <w:szCs w:val="24"/>
          <w:highlight w:val="none"/>
        </w:rPr>
      </w:pPr>
      <w:r>
        <w:rPr>
          <w:rFonts w:hint="eastAsia"/>
          <w:color w:val="auto"/>
          <w:sz w:val="24"/>
          <w:szCs w:val="24"/>
          <w:highlight w:val="none"/>
        </w:rPr>
        <w:t xml:space="preserve">2026年  月   日</w:t>
      </w:r>
      <w:r/>
    </w:p>
    <w:p>
      <w:pPr>
        <w:contextualSpacing/>
        <w:spacing w:line="400" w:lineRule="exact"/>
        <w:rPr>
          <w:rFonts w:ascii="宋体" w:hAnsi="宋体"/>
          <w:color w:val="auto"/>
          <w:sz w:val="32"/>
          <w:szCs w:val="32"/>
          <w:highlight w:val="none"/>
        </w:rPr>
      </w:pPr>
      <w:r>
        <w:rPr>
          <w:rFonts w:ascii="宋体" w:hAnsi="宋体"/>
          <w:color w:val="auto"/>
          <w:sz w:val="32"/>
          <w:szCs w:val="32"/>
          <w:highlight w:val="none"/>
          <w:lang w:val="zh-CN"/>
        </w:rPr>
        <w:br w:type="page" w:clear="all"/>
      </w:r>
      <w:r>
        <w:rPr>
          <w:rFonts w:hint="eastAsia" w:ascii="宋体" w:hAnsi="宋体"/>
          <w:color w:val="auto"/>
          <w:sz w:val="32"/>
          <w:szCs w:val="32"/>
          <w:highlight w:val="none"/>
          <w:lang w:val="zh-CN"/>
        </w:rPr>
        <w:t xml:space="preserve">附件6</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磋商响应函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致：采购人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根据贵方的项目编号：</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ind w:left="420" w:firstLine="48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响应供应商全称(盖公章)：</w:t>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附件7</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689"/>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301"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2009"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磋商文件要求的商务条款</w:t>
            </w:r>
            <w:r/>
          </w:p>
        </w:tc>
        <w:tc>
          <w:tcPr>
            <w:tcW w:w="2593"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W w:w="1427" w:type="dxa"/>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548"/>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00"/>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19"/>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40"/>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附件8</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689"/>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301"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2009"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磋商文件要求的技术要求</w:t>
            </w:r>
            <w:r/>
          </w:p>
        </w:tc>
        <w:tc>
          <w:tcPr>
            <w:tcW w:w="2593"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W w:w="1427" w:type="dxa"/>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548"/>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00"/>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19"/>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附件9</w:t>
      </w:r>
      <w:r/>
    </w:p>
    <w:p>
      <w:pPr>
        <w:jc w:val="center"/>
        <w:spacing w:before="100" w:beforeAutospacing="1" w:after="100" w:afterAutospacing="1" w:line="500" w:lineRule="atLeast"/>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报价总表</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供应商全称（加盖公章）：</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6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宋体" w:hAnsi="宋体"/>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货物、服务名称</w:t>
            </w:r>
            <w:r/>
          </w:p>
        </w:tc>
        <w:tc>
          <w:tcPr>
            <w:tcW w:w="4607" w:type="dxa"/>
            <w:vAlign w:val="top"/>
            <w:textDirection w:val="lrTb"/>
            <w:noWrap w:val="false"/>
          </w:tcPr>
          <w:p>
            <w:pPr>
              <w:jc w:val="center"/>
              <w:spacing w:line="560" w:lineRule="exact"/>
              <w:rPr>
                <w:rFonts w:ascii="宋体" w:hAnsi="宋体"/>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报价</w:t>
            </w:r>
            <w:r/>
          </w:p>
        </w:tc>
      </w:tr>
      <w:tr>
        <w:trPr>
          <w:trHeight w:val="1091"/>
        </w:trPr>
        <w:tc>
          <w:tcPr>
            <w:tcW w:w="4148"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c>
          <w:tcPr>
            <w:tcW w:w="4607" w:type="dxa"/>
            <w:vAlign w:val="top"/>
            <w:textDirection w:val="lrTb"/>
            <w:noWrap w:val="false"/>
          </w:tcPr>
          <w:p>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大写：</w:t>
            </w:r>
            <w:r/>
          </w:p>
          <w:p>
            <w:pPr>
              <w:spacing w:line="560" w:lineRule="exact"/>
              <w:rPr>
                <w:rFonts w:ascii="宋体" w:hAnsi="宋体"/>
                <w:color w:val="auto"/>
                <w:highlight w:val="none"/>
                <w:u w:val="single"/>
              </w:rPr>
            </w:pPr>
            <w:r>
              <w:rPr>
                <w:rFonts w:ascii="宋体" w:hAnsi="宋体" w:cs="宋体"/>
                <w:color w:val="auto"/>
                <w:sz w:val="28"/>
                <w:szCs w:val="28"/>
                <w:highlight w:val="none"/>
              </w:rPr>
              <w:t xml:space="preserve">小写：元（人民币）</w:t>
            </w:r>
            <w:r/>
          </w:p>
        </w:tc>
      </w:tr>
      <w:tr>
        <w:trPr/>
        <w:tc>
          <w:tcPr>
            <w:tcW w:w="4148" w:type="dxa"/>
            <w:vAlign w:val="top"/>
            <w:textDirection w:val="lrTb"/>
            <w:noWrap w:val="false"/>
          </w:tcPr>
          <w:p>
            <w:pPr>
              <w:spacing w:line="560" w:lineRule="exact"/>
              <w:rPr>
                <w:rFonts w:ascii="宋体" w:hAnsi="宋体"/>
                <w:color w:val="auto"/>
                <w:highlight w:val="none"/>
              </w:rPr>
            </w:pPr>
            <w:r>
              <w:rPr>
                <w:rFonts w:ascii="宋体" w:hAnsi="宋体" w:cs="宋体"/>
                <w:color w:val="auto"/>
                <w:sz w:val="28"/>
                <w:szCs w:val="28"/>
                <w:highlight w:val="none"/>
              </w:rPr>
              <w:t xml:space="preserve">主要货物、服务制造商及产地</w:t>
            </w:r>
            <w:r/>
          </w:p>
        </w:tc>
        <w:tc>
          <w:tcPr>
            <w:tcW w:w="4607"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r>
      <w:tr>
        <w:trPr>
          <w:trHeight w:val="481"/>
        </w:trPr>
        <w:tc>
          <w:tcPr>
            <w:tcW w:w="4148" w:type="dxa"/>
            <w:vAlign w:val="top"/>
            <w:textDirection w:val="lrTb"/>
            <w:noWrap w:val="false"/>
          </w:tcPr>
          <w:p>
            <w:pPr>
              <w:spacing w:line="560" w:lineRule="exact"/>
              <w:rPr>
                <w:rFonts w:ascii="宋体" w:hAnsi="宋体"/>
                <w:color w:val="auto"/>
                <w:highlight w:val="none"/>
              </w:rPr>
            </w:pPr>
            <w:r>
              <w:rPr>
                <w:rFonts w:hint="eastAsia" w:ascii="宋体" w:hAnsi="宋体" w:cs="宋体"/>
                <w:color w:val="auto"/>
                <w:sz w:val="28"/>
                <w:szCs w:val="28"/>
                <w:highlight w:val="none"/>
              </w:rPr>
              <w:t xml:space="preserve">核心产品品牌（如有）</w:t>
            </w:r>
            <w:r/>
          </w:p>
        </w:tc>
        <w:tc>
          <w:tcPr>
            <w:tcW w:w="4607"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r>
    </w:tbl>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必须加盖</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公章（复印件无效）。</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、如有分包，</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投任何一个包的标的，都需单独填写</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w:t>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lang w:val="zh-CN"/>
        </w:rPr>
        <w:t xml:space="preserve">附件10</w:t>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ascii="宋体" w:hAnsi="宋体"/>
          <w:color w:val="auto"/>
          <w:sz w:val="32"/>
          <w:szCs w:val="32"/>
          <w:highlight w:val="none"/>
        </w:rPr>
      </w:pPr>
      <w:r>
        <w:rPr>
          <w:rFonts w:hint="eastAsia" w:ascii="宋体" w:hAnsi="宋体"/>
          <w:b/>
          <w:bCs/>
          <w:color w:val="auto"/>
          <w:sz w:val="32"/>
          <w:szCs w:val="32"/>
          <w:highlight w:val="none"/>
        </w:rPr>
        <w:t xml:space="preserve">分项报价明细表（货物类）</w:t>
      </w: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供应商（盖章）：</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品牌</w:t>
            </w:r>
            <w:r/>
          </w:p>
        </w:tc>
        <w:tc>
          <w:tcPr>
            <w:tcW w:w="992"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单位</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数量</w:t>
            </w:r>
            <w:r/>
          </w:p>
        </w:tc>
        <w:tc>
          <w:tcPr>
            <w:tcW w:w="85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单价</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金额</w:t>
            </w:r>
            <w:r/>
          </w:p>
        </w:tc>
        <w:tc>
          <w:tcPr>
            <w:tcW w:w="1490"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02"/>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1"/>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合计</w:t>
            </w:r>
            <w:r/>
          </w:p>
        </w:tc>
        <w:tc>
          <w:tcPr>
            <w:gridSpan w:val="8"/>
            <w:tcW w:w="886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2.</w:t>
      </w:r>
      <w:r>
        <w:rPr>
          <w:rFonts w:hint="eastAsia" w:ascii="宋体" w:hAnsi="宋体" w:cs="宋体"/>
          <w:b/>
          <w:color w:val="auto"/>
          <w:sz w:val="28"/>
          <w:szCs w:val="28"/>
          <w:highlight w:val="none"/>
        </w:rPr>
        <w:t xml:space="preserve"> 供应商须详细备注主要标的信息，并</w:t>
      </w:r>
      <w:r>
        <w:rPr>
          <w:rFonts w:hint="eastAsia" w:ascii="宋体" w:hAnsi="宋体" w:cs="宋体"/>
          <w:b/>
          <w:color w:val="auto"/>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auto"/>
          <w:sz w:val="28"/>
          <w:szCs w:val="28"/>
          <w:highlight w:val="none"/>
        </w:rPr>
        <w:t xml:space="preserve">国政府采购法》等国家有关规定追究相应责</w:t>
      </w:r>
      <w:r>
        <w:rPr>
          <w:rFonts w:hint="eastAsia" w:ascii="宋体" w:hAnsi="宋体" w:cs="宋体"/>
          <w:b/>
          <w:color w:val="auto"/>
          <w:sz w:val="28"/>
          <w:szCs w:val="28"/>
          <w:highlight w:val="none"/>
          <w:lang w:val="zh-CN"/>
        </w:rPr>
        <w:t xml:space="preserve">任。</w:t>
      </w:r>
      <w:r/>
    </w:p>
    <w:p>
      <w:pPr>
        <w:jc w:val="both"/>
        <w:spacing w:line="300" w:lineRule="auto"/>
        <w:rPr>
          <w:rFonts w:ascii="宋体" w:hAnsi="宋体"/>
          <w:color w:val="auto"/>
          <w:sz w:val="32"/>
          <w:szCs w:val="32"/>
          <w:highlight w:val="none"/>
        </w:rPr>
        <w:outlineLvl w:val="0"/>
      </w:pPr>
      <w:r>
        <w:rPr>
          <w:rFonts w:ascii="宋体" w:hAnsi="宋体" w:cs="Arial"/>
          <w:b/>
          <w:color w:val="auto"/>
          <w:sz w:val="24"/>
          <w:szCs w:val="44"/>
          <w:highlight w:val="none"/>
        </w:rPr>
        <w:br w:type="page" w:clear="all"/>
      </w:r>
      <w:r>
        <w:rPr>
          <w:rFonts w:hint="eastAsia" w:ascii="宋体" w:hAnsi="宋体"/>
          <w:color w:val="auto"/>
          <w:sz w:val="32"/>
          <w:szCs w:val="32"/>
          <w:highlight w:val="none"/>
          <w:lang w:val="zh-CN"/>
        </w:rPr>
        <w:t xml:space="preserve">附件11</w:t>
      </w:r>
      <w:r>
        <w:rPr>
          <w:rFonts w:hint="eastAsia" w:ascii="宋体" w:hAnsi="宋体"/>
          <w:color w:val="auto"/>
          <w:sz w:val="32"/>
          <w:szCs w:val="32"/>
          <w:highlight w:val="none"/>
          <w:lang w:val="en-US" w:eastAsia="zh-CN"/>
        </w:rPr>
        <w:t xml:space="preserve">            </w:t>
      </w:r>
      <w:r>
        <w:rPr>
          <w:rFonts w:ascii="宋体" w:hAnsi="宋体"/>
          <w:b/>
          <w:bCs/>
          <w:color w:val="auto"/>
          <w:sz w:val="28"/>
          <w:szCs w:val="28"/>
          <w:highlight w:val="none"/>
          <w:lang w:bidi="zh-CN"/>
        </w:rPr>
        <w:t xml:space="preserve">中小企业声明函（货物）</w:t>
      </w:r>
      <w:r/>
    </w:p>
    <w:p>
      <w:pPr>
        <w:ind w:firstLine="48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lang w:bidi="zh-CN"/>
        </w:rPr>
        <w:t xml:space="preserve">（单位名称）</w:t>
      </w:r>
      <w:r>
        <w:rPr>
          <w:rFonts w:hint="eastAsia" w:ascii="宋体" w:hAnsi="宋体" w:cs="宋体"/>
          <w:color w:val="auto"/>
          <w:sz w:val="24"/>
          <w:szCs w:val="24"/>
          <w:highlight w:val="none"/>
          <w:lang w:bidi="zh-CN"/>
        </w:rPr>
        <w:t xml:space="preserve">的</w:t>
      </w:r>
      <w:r>
        <w:rPr>
          <w:rFonts w:hint="eastAsia" w:ascii="宋体" w:hAnsi="宋体" w:cs="宋体"/>
          <w:color w:val="auto"/>
          <w:sz w:val="24"/>
          <w:szCs w:val="24"/>
          <w:highlight w:val="none"/>
          <w:u w:val="single"/>
          <w:lang w:bidi="zh-CN"/>
        </w:rPr>
        <w:t xml:space="preserve">（项目名称）</w:t>
      </w:r>
      <w:r>
        <w:rPr>
          <w:rFonts w:hint="eastAsia" w:ascii="宋体" w:hAnsi="宋体" w:cs="宋体"/>
          <w:color w:val="auto"/>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1.</w:t>
      </w:r>
      <w:r>
        <w:rPr>
          <w:rFonts w:hint="eastAsia" w:ascii="宋体" w:hAnsi="宋体" w:cs="宋体"/>
          <w:color w:val="auto"/>
          <w:sz w:val="24"/>
          <w:szCs w:val="24"/>
          <w:highlight w:val="none"/>
          <w:u w:val="single"/>
          <w:lang w:bidi="zh-CN"/>
        </w:rPr>
        <w:t xml:space="preserve"> （标的名称）</w:t>
      </w:r>
      <w:r>
        <w:rPr>
          <w:rFonts w:hint="eastAsia" w:ascii="宋体" w:hAnsi="宋体" w:cs="宋体"/>
          <w:color w:val="auto"/>
          <w:sz w:val="24"/>
          <w:szCs w:val="24"/>
          <w:highlight w:val="none"/>
          <w:lang w:bidi="zh-CN"/>
        </w:rPr>
        <w:t xml:space="preserve"> ，属于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行业；制造商为</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bookmarkStart w:id="182" w:name="OLE_LINK76"/>
      <w:r/>
      <w:bookmarkStart w:id="183" w:name="OLE_LINK77"/>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bookmarkEnd w:id="182"/>
      <w:r/>
      <w:bookmarkEnd w:id="183"/>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（中型企业、小型企业、微型企业）</w:t>
      </w:r>
      <w:r>
        <w:rPr>
          <w:rFonts w:hint="eastAsia" w:ascii="宋体" w:hAnsi="宋体" w:cs="宋体"/>
          <w:color w:val="auto"/>
          <w:sz w:val="24"/>
          <w:szCs w:val="24"/>
          <w:highlight w:val="none"/>
          <w:lang w:bidi="zh-CN"/>
        </w:rPr>
        <w:t xml:space="preserve">；</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2.</w:t>
      </w:r>
      <w:r>
        <w:rPr>
          <w:rFonts w:hint="eastAsia" w:ascii="宋体" w:hAnsi="宋体" w:cs="宋体"/>
          <w:i/>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 xml:space="preserve">（标的名称） </w:t>
      </w:r>
      <w:r>
        <w:rPr>
          <w:rFonts w:hint="eastAsia" w:ascii="宋体" w:hAnsi="宋体" w:cs="宋体"/>
          <w:color w:val="auto"/>
          <w:sz w:val="24"/>
          <w:szCs w:val="24"/>
          <w:highlight w:val="none"/>
          <w:lang w:bidi="zh-CN"/>
        </w:rPr>
        <w:t xml:space="preserve">，属于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行业；制造商为</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（中型企业、小型企业、微型企业）</w:t>
      </w:r>
      <w:r>
        <w:rPr>
          <w:rFonts w:hint="eastAsia" w:ascii="宋体" w:hAnsi="宋体" w:cs="宋体"/>
          <w:color w:val="auto"/>
          <w:sz w:val="24"/>
          <w:szCs w:val="24"/>
          <w:highlight w:val="none"/>
          <w:lang w:bidi="zh-CN"/>
        </w:rPr>
        <w:t xml:space="preserve">；</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w:t>
      </w:r>
      <w:r/>
    </w:p>
    <w:p>
      <w:pPr>
        <w:ind w:firstLine="48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8"/>
          <w:szCs w:val="28"/>
          <w:highlight w:val="none"/>
          <w:lang w:bidi="zh-CN"/>
        </w:rPr>
        <w:outlineLvl w:val="0"/>
      </w:pPr>
      <w:r>
        <w:rPr>
          <w:rFonts w:hint="eastAsia" w:ascii="宋体" w:hAnsi="宋体" w:cs="宋体"/>
          <w:color w:val="auto"/>
          <w:sz w:val="24"/>
          <w:szCs w:val="24"/>
          <w:highlight w:val="none"/>
          <w:lang w:bidi="zh-CN"/>
        </w:rPr>
        <w:t xml:space="preserve">本企业对上述声明内容的真实性负责。如有虚假，将依法承担相应责任。</w:t>
      </w:r>
      <w:r/>
    </w:p>
    <w:p>
      <w:pPr>
        <w:ind w:firstLine="4200"/>
        <w:spacing w:line="300" w:lineRule="auto"/>
        <w:rPr>
          <w:rFonts w:hint="eastAsia" w:ascii="宋体" w:hAnsi="宋体"/>
          <w:color w:val="auto"/>
          <w:sz w:val="24"/>
          <w:szCs w:val="24"/>
          <w:highlight w:val="none"/>
          <w:lang w:bidi="zh-CN"/>
        </w:rPr>
        <w:outlineLvl w:val="0"/>
      </w:pPr>
      <w:r>
        <w:rPr>
          <w:rFonts w:ascii="宋体" w:hAnsi="宋体"/>
          <w:color w:val="auto"/>
          <w:sz w:val="24"/>
          <w:szCs w:val="24"/>
          <w:highlight w:val="none"/>
          <w:lang w:bidi="zh-CN"/>
        </w:rPr>
        <w:t xml:space="preserve">企业名称（盖章）：</w:t>
      </w:r>
      <w:r/>
    </w:p>
    <w:p>
      <w:pPr>
        <w:ind w:firstLine="4200"/>
        <w:spacing w:line="300" w:lineRule="auto"/>
        <w:rPr>
          <w:rFonts w:ascii="宋体" w:hAnsi="宋体"/>
          <w:color w:val="auto"/>
          <w:sz w:val="28"/>
          <w:szCs w:val="28"/>
          <w:highlight w:val="none"/>
          <w:lang w:bidi="zh-CN"/>
        </w:rPr>
        <w:outlineLvl w:val="0"/>
      </w:pPr>
      <w:r>
        <w:rPr>
          <w:rFonts w:ascii="宋体" w:hAnsi="宋体"/>
          <w:color w:val="auto"/>
          <w:sz w:val="24"/>
          <w:szCs w:val="24"/>
          <w:highlight w:val="none"/>
          <w:lang w:bidi="zh-CN"/>
        </w:rPr>
        <w:t xml:space="preserve">日期：</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注：1.如项目属性为“货物”，请按本表填写。</w:t>
      </w:r>
      <w:r/>
    </w:p>
    <w:p>
      <w:pPr>
        <w:ind w:firstLine="42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color w:val="auto"/>
          <w:sz w:val="28"/>
          <w:szCs w:val="28"/>
          <w:highlight w:val="none"/>
          <w:lang w:bidi="zh-CN"/>
        </w:rPr>
        <w:outlineLvl w:val="0"/>
      </w:pPr>
      <w:r>
        <w:rPr>
          <w:rFonts w:hint="eastAsia" w:ascii="宋体" w:hAnsi="宋体" w:cs="宋体"/>
          <w:color w:val="auto"/>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color w:val="auto"/>
          <w:szCs w:val="21"/>
          <w:highlight w:val="none"/>
        </w:rPr>
      </w:pPr>
      <w:r>
        <w:rPr>
          <w:rFonts w:hint="eastAsia" w:ascii="宋体" w:hAnsi="宋体" w:cs="宋体"/>
          <w:color w:val="auto"/>
          <w:szCs w:val="21"/>
          <w:highlight w:val="none"/>
        </w:rPr>
        <w:t xml:space="preserve">《中小企业划型标准规定》（工信部联企业〔2011〕300号）</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7"/>
        <w:gridCol w:w="1544"/>
        <w:gridCol w:w="750"/>
        <w:gridCol w:w="2038"/>
        <w:gridCol w:w="1771"/>
        <w:gridCol w:w="1154"/>
      </w:tblGrid>
      <w:tr>
        <w:trPr>
          <w:cantSplit/>
          <w:jc w:val="center"/>
          <w:tblHeader/>
        </w:trPr>
        <w:tc>
          <w:tcPr>
            <w:tcW w:w="191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行业名称</w:t>
            </w:r>
            <w:r/>
          </w:p>
        </w:tc>
        <w:tc>
          <w:tcPr>
            <w:tcW w:w="154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指标名称</w:t>
            </w:r>
            <w:r/>
          </w:p>
        </w:tc>
        <w:tc>
          <w:tcPr>
            <w:tcW w:w="75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计量</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单位</w:t>
            </w:r>
            <w:r/>
          </w:p>
        </w:tc>
        <w:tc>
          <w:tcPr>
            <w:tcW w:w="203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中型</w:t>
            </w:r>
            <w:r/>
          </w:p>
        </w:tc>
        <w:tc>
          <w:tcPr>
            <w:tcW w:w="177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小型</w:t>
            </w:r>
            <w:r/>
          </w:p>
        </w:tc>
        <w:tc>
          <w:tcPr>
            <w:tcW w:w="115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154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从业人员（X）</w:t>
            </w:r>
            <w:r/>
          </w:p>
        </w:tc>
        <w:tc>
          <w:tcPr>
            <w:tcW w:w="75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人</w:t>
            </w:r>
            <w:r/>
          </w:p>
        </w:tc>
        <w:tc>
          <w:tcPr>
            <w:tcW w:w="20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300≤X&lt;1000</w:t>
            </w:r>
            <w:r/>
          </w:p>
        </w:tc>
        <w:tc>
          <w:tcPr>
            <w:tcW w:w="177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20≤X&lt;300</w:t>
            </w:r>
            <w:r/>
          </w:p>
        </w:tc>
        <w:tc>
          <w:tcPr>
            <w:tcW w:w="115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X&lt;20</w:t>
            </w:r>
            <w:r/>
          </w:p>
        </w:tc>
      </w:tr>
      <w:tr>
        <w:trPr>
          <w:cantSplit/>
          <w:jc w:val="center"/>
        </w:trPr>
        <w:tc>
          <w:tcPr>
            <w:tcW w:w="191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4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营业收入（Y）</w:t>
            </w:r>
            <w:r/>
          </w:p>
        </w:tc>
        <w:tc>
          <w:tcPr>
            <w:tcW w:w="75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万元</w:t>
            </w:r>
            <w:r/>
          </w:p>
        </w:tc>
        <w:tc>
          <w:tcPr>
            <w:tcW w:w="20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2000≤Y&lt;40000</w:t>
            </w:r>
            <w:r/>
          </w:p>
        </w:tc>
        <w:tc>
          <w:tcPr>
            <w:tcW w:w="177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300≤Y&lt;2000</w:t>
            </w:r>
            <w:r/>
          </w:p>
        </w:tc>
        <w:tc>
          <w:tcPr>
            <w:tcW w:w="115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Y&lt;300</w:t>
            </w:r>
            <w:r/>
          </w:p>
        </w:tc>
      </w:tr>
    </w:tbl>
    <w:p>
      <w:pPr>
        <w:spacing w:line="460" w:lineRule="exact"/>
        <w:rPr>
          <w:rFonts w:hint="eastAsia" w:ascii="宋体" w:hAnsi="宋体"/>
          <w:color w:val="auto"/>
          <w:sz w:val="24"/>
          <w:szCs w:val="21"/>
          <w:highlight w:val="none"/>
        </w:rPr>
      </w:pPr>
      <w:r>
        <w:rPr>
          <w:rFonts w:hint="eastAsia" w:ascii="宋体" w:hAnsi="宋体" w:cs="宋体"/>
          <w:color w:val="auto"/>
          <w:szCs w:val="21"/>
          <w:highlight w:val="none"/>
        </w:rPr>
        <w:t xml:space="preserve">说明：大型、中型和小型企业须同时满足所列指标的下限，否则下划一档；微型企业只须满足所列指标中的一项即可。</w:t>
      </w:r>
      <w:r/>
    </w:p>
    <w:p>
      <w:pPr>
        <w:spacing w:line="300" w:lineRule="auto"/>
        <w:rPr>
          <w:rFonts w:ascii="宋体" w:hAnsi="宋体"/>
          <w:color w:val="auto"/>
          <w:sz w:val="32"/>
          <w:szCs w:val="32"/>
          <w:highlight w:val="none"/>
        </w:rPr>
        <w:outlineLvl w:val="0"/>
      </w:pPr>
      <w:r>
        <w:rPr>
          <w:rFonts w:ascii="宋体" w:hAnsi="宋体"/>
          <w:color w:val="auto"/>
          <w:sz w:val="32"/>
          <w:szCs w:val="32"/>
          <w:highlight w:val="none"/>
        </w:rPr>
        <w:br w:type="page" w:clear="all"/>
      </w:r>
      <w:r>
        <w:rPr>
          <w:rFonts w:hint="eastAsia" w:ascii="宋体" w:hAnsi="宋体"/>
          <w:color w:val="auto"/>
          <w:sz w:val="32"/>
          <w:szCs w:val="32"/>
          <w:highlight w:val="none"/>
          <w:lang w:val="zh-CN"/>
        </w:rPr>
        <w:t xml:space="preserve">附件12</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hint="eastAsia" w:ascii="宋体" w:hAnsi="宋体"/>
          <w:color w:val="auto"/>
          <w:spacing w:val="6"/>
          <w:sz w:val="28"/>
          <w:szCs w:val="28"/>
          <w:highlight w:val="none"/>
        </w:rPr>
      </w:pPr>
      <w:r>
        <w:rPr>
          <w:rFonts w:hint="eastAsia" w:ascii="宋体" w:hAnsi="宋体" w:cs="宋体"/>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jc w:val="both"/>
        <w:spacing w:line="560" w:lineRule="exact"/>
        <w:rPr>
          <w:rFonts w:ascii="宋体" w:hAnsi="宋体"/>
          <w:bCs/>
          <w:color w:val="auto"/>
          <w:sz w:val="24"/>
          <w:szCs w:val="21"/>
          <w:highlight w:val="none"/>
        </w:rPr>
      </w:pPr>
      <w:r>
        <w:rPr>
          <w:rFonts w:ascii="宋体" w:hAnsi="宋体"/>
          <w:bCs/>
          <w:color w:val="auto"/>
          <w:sz w:val="24"/>
          <w:szCs w:val="21"/>
          <w:highlight w:val="none"/>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ascii="宋体" w:hAnsi="宋体"/>
          <w:color w:val="auto"/>
          <w:sz w:val="32"/>
          <w:szCs w:val="32"/>
          <w:highlight w:val="none"/>
        </w:rPr>
        <w:outlineLvl w:val="0"/>
      </w:pPr>
      <w:r>
        <w:rPr>
          <w:rFonts w:hint="eastAsia" w:ascii="宋体" w:hAnsi="宋体"/>
          <w:color w:val="auto"/>
          <w:sz w:val="32"/>
          <w:szCs w:val="32"/>
          <w:highlight w:val="none"/>
          <w:lang w:val="zh-CN"/>
        </w:rPr>
        <w:t xml:space="preserve">附件13</w:t>
      </w:r>
      <w:r/>
    </w:p>
    <w:p>
      <w:pPr>
        <w:jc w:val="center"/>
        <w:spacing w:line="420" w:lineRule="exact"/>
        <w:rPr>
          <w:rFonts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6"/>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6"/>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1"/>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注：1、供应商如不提供此声明函，价格将不做相应扣除。</w:t>
      </w:r>
      <w:r/>
    </w:p>
    <w:p>
      <w:pPr>
        <w:ind w:firstLine="560"/>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2、成交供应商为监狱企业的，此声明函将随成交结果同时公告，</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接受社会监督。供应商按照本办法规定提供声明函内容不实的，属于</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提供虚假材料谋取中标、成交，依照《中华人民共和国政府采购法》</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等国家有关规定追究相应责任。</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ind w:firstLine="360"/>
        <w:spacing w:line="560" w:lineRule="exact"/>
        <w:rPr>
          <w:rFonts w:hint="eastAsia" w:ascii="宋体" w:hAnsi="宋体"/>
          <w:color w:val="auto"/>
          <w:sz w:val="36"/>
          <w:szCs w:val="36"/>
          <w:highlight w:val="none"/>
        </w:rPr>
      </w:pPr>
      <w:r>
        <w:rPr>
          <w:rFonts w:hint="eastAsia" w:ascii="宋体" w:hAnsi="宋体"/>
          <w:color w:val="auto"/>
          <w:sz w:val="36"/>
          <w:szCs w:val="36"/>
          <w:highlight w:val="none"/>
        </w:rPr>
      </w:r>
      <w:r/>
    </w:p>
    <w:p>
      <w:pPr>
        <w:spacing w:line="300" w:lineRule="auto"/>
        <w:rPr>
          <w:rFonts w:hint="eastAsia" w:ascii="宋体" w:hAnsi="宋体"/>
          <w:color w:val="auto"/>
          <w:sz w:val="32"/>
          <w:szCs w:val="32"/>
          <w:highlight w:val="none"/>
        </w:rPr>
        <w:outlineLvl w:val="0"/>
      </w:pPr>
      <w:r>
        <w:rPr>
          <w:rFonts w:ascii="宋体" w:hAnsi="宋体"/>
          <w:b/>
          <w:color w:val="auto"/>
          <w:sz w:val="32"/>
          <w:szCs w:val="32"/>
          <w:highlight w:val="none"/>
        </w:rPr>
        <w:br w:type="page" w:clear="all"/>
      </w:r>
      <w:r>
        <w:rPr>
          <w:rFonts w:hint="eastAsia" w:ascii="宋体" w:hAnsi="宋体"/>
          <w:color w:val="auto"/>
          <w:sz w:val="32"/>
          <w:szCs w:val="32"/>
          <w:highlight w:val="none"/>
          <w:lang w:val="zh-CN"/>
        </w:rPr>
        <w:t xml:space="preserve">附件14</w:t>
      </w:r>
      <w:r/>
    </w:p>
    <w:p>
      <w:pPr>
        <w:jc w:val="center"/>
        <w:spacing w:line="52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181"/>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hint="eastAsia" w:ascii="宋体" w:hAnsi="宋体"/>
          <w:b/>
          <w:color w:val="auto"/>
          <w:sz w:val="32"/>
          <w:szCs w:val="32"/>
          <w:highlight w:val="none"/>
        </w:rPr>
        <w:outlineLvl w:val="0"/>
      </w:pPr>
      <w:r>
        <w:rPr>
          <w:rFonts w:hint="eastAsia" w:ascii="宋体" w:hAnsi="宋体"/>
          <w:color w:val="auto"/>
          <w:sz w:val="32"/>
          <w:szCs w:val="32"/>
          <w:highlight w:val="none"/>
          <w:lang w:val="zh-CN"/>
        </w:rPr>
        <w:t xml:space="preserve">附件15</w:t>
      </w:r>
      <w:r/>
    </w:p>
    <w:p>
      <w:pPr>
        <w:jc w:val="center"/>
        <w:spacing w:line="580" w:lineRule="exact"/>
        <w:rPr>
          <w:rFonts w:ascii="宋体" w:hAnsi="宋体"/>
          <w:color w:val="auto"/>
          <w:sz w:val="44"/>
          <w:highlight w:val="none"/>
        </w:rPr>
      </w:pPr>
      <w:r>
        <w:rPr>
          <w:rFonts w:hint="eastAsia" w:ascii="宋体" w:hAnsi="宋体"/>
          <w:bCs/>
          <w:color w:val="auto"/>
          <w:sz w:val="44"/>
          <w:szCs w:val="44"/>
          <w:highlight w:val="none"/>
        </w:rPr>
        <w:t xml:space="preserve">办理政采贷和</w:t>
      </w:r>
      <w:r>
        <w:rPr>
          <w:rFonts w:ascii="宋体" w:hAnsi="宋体"/>
          <w:bCs/>
          <w:color w:val="auto"/>
          <w:sz w:val="44"/>
          <w:szCs w:val="44"/>
          <w:highlight w:val="none"/>
        </w:rPr>
        <w:t xml:space="preserve">履</w:t>
      </w:r>
      <w:r>
        <w:rPr>
          <w:rFonts w:hint="eastAsia" w:ascii="宋体" w:hAnsi="宋体"/>
          <w:bCs/>
          <w:color w:val="auto"/>
          <w:sz w:val="44"/>
          <w:szCs w:val="44"/>
          <w:highlight w:val="none"/>
        </w:rPr>
        <w:t xml:space="preserve">约保函（</w:t>
      </w:r>
      <w:r>
        <w:rPr>
          <w:rFonts w:ascii="宋体" w:hAnsi="宋体"/>
          <w:bCs/>
          <w:color w:val="auto"/>
          <w:sz w:val="44"/>
          <w:szCs w:val="44"/>
          <w:highlight w:val="none"/>
        </w:rPr>
        <w:t xml:space="preserve">保险</w:t>
      </w:r>
      <w:r>
        <w:rPr>
          <w:rFonts w:hint="eastAsia" w:ascii="宋体" w:hAnsi="宋体"/>
          <w:bCs/>
          <w:color w:val="auto"/>
          <w:sz w:val="44"/>
          <w:szCs w:val="44"/>
          <w:highlight w:val="none"/>
        </w:rPr>
        <w:t xml:space="preserve">）告知函</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hint="eastAsia" w:ascii="宋体" w:hAnsi="宋体"/>
          <w:color w:val="auto"/>
          <w:sz w:val="32"/>
          <w:highlight w:val="none"/>
        </w:rPr>
        <w:t xml:space="preserve">各政府采购供应商：</w:t>
      </w:r>
      <w:r/>
    </w:p>
    <w:p>
      <w:pPr>
        <w:ind w:firstLine="640"/>
        <w:rPr>
          <w:rFonts w:ascii="宋体" w:hAnsi="宋体"/>
          <w:color w:val="auto"/>
          <w:sz w:val="32"/>
          <w:highlight w:val="none"/>
        </w:rPr>
      </w:pPr>
      <w:r>
        <w:rPr>
          <w:rFonts w:hint="eastAsia" w:ascii="宋体" w:hAnsi="宋体"/>
          <w:color w:val="auto"/>
          <w:sz w:val="32"/>
          <w:highlight w:val="none"/>
        </w:rPr>
        <w:t xml:space="preserve">欢迎贵公司参与南通市政府采购活动！</w:t>
      </w:r>
      <w:r/>
    </w:p>
    <w:p>
      <w:pPr>
        <w:ind w:firstLine="640"/>
        <w:rPr>
          <w:rFonts w:ascii="宋体" w:hAnsi="宋体"/>
          <w:color w:val="auto"/>
          <w:sz w:val="32"/>
          <w:highlight w:val="none"/>
        </w:rPr>
      </w:pPr>
      <w:r>
        <w:rPr>
          <w:rFonts w:hint="eastAsia" w:ascii="宋体" w:hAnsi="宋体"/>
          <w:color w:val="auto"/>
          <w:sz w:val="32"/>
          <w:highlight w:val="none"/>
        </w:rPr>
        <w:t xml:space="preserve">政府采购线上合同信用融资和</w:t>
      </w:r>
      <w:r>
        <w:rPr>
          <w:rFonts w:ascii="宋体" w:hAnsi="宋体"/>
          <w:color w:val="auto"/>
          <w:sz w:val="32"/>
          <w:highlight w:val="none"/>
        </w:rPr>
        <w:t xml:space="preserve">履</w:t>
      </w:r>
      <w:r>
        <w:rPr>
          <w:rFonts w:hint="eastAsia" w:ascii="宋体" w:hAnsi="宋体"/>
          <w:color w:val="auto"/>
          <w:sz w:val="32"/>
          <w:highlight w:val="none"/>
        </w:rPr>
        <w:t xml:space="preserve">约保函（</w:t>
      </w:r>
      <w:r>
        <w:rPr>
          <w:rFonts w:ascii="宋体" w:hAnsi="宋体"/>
          <w:color w:val="auto"/>
          <w:sz w:val="32"/>
          <w:highlight w:val="none"/>
        </w:rPr>
        <w:t xml:space="preserve">保险</w:t>
      </w:r>
      <w:r>
        <w:rPr>
          <w:rFonts w:hint="eastAsia" w:ascii="宋体" w:hAnsi="宋体"/>
          <w:color w:val="auto"/>
          <w:sz w:val="32"/>
          <w:highlight w:val="none"/>
        </w:rPr>
        <w:t xml:space="preserve">）是支持企业发展，针对参与政府采购活动的企业融资难、现金流不足等问题推出的一项服务举措。</w:t>
      </w:r>
      <w:r/>
    </w:p>
    <w:p>
      <w:pPr>
        <w:ind w:firstLine="640"/>
        <w:spacing w:line="580" w:lineRule="exact"/>
        <w:rPr>
          <w:rFonts w:hint="eastAsia"/>
          <w:color w:val="auto"/>
          <w:highlight w:val="none"/>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ascii="宋体" w:hAnsi="宋体"/>
          <w:color w:val="auto"/>
          <w:sz w:val="32"/>
          <w:highlight w:val="none"/>
        </w:rPr>
        <w:t xml:space="preserve">贵公司若成为本次政府采购项目的中标（成交）供应商，</w:t>
      </w:r>
      <w:r>
        <w:rPr>
          <w:rFonts w:hint="eastAsia" w:ascii="宋体" w:hAnsi="宋体"/>
          <w:color w:val="auto"/>
          <w:sz w:val="32"/>
          <w:szCs w:val="32"/>
          <w:highlight w:val="none"/>
        </w:rPr>
        <w:t xml:space="preserve">可自愿选择</w:t>
      </w:r>
      <w:r>
        <w:rPr>
          <w:rFonts w:ascii="宋体" w:hAnsi="宋体"/>
          <w:color w:val="auto"/>
          <w:sz w:val="32"/>
          <w:highlight w:val="none"/>
        </w:rPr>
        <w:t xml:space="preserve">履</w:t>
      </w:r>
      <w:r>
        <w:rPr>
          <w:rFonts w:hint="eastAsia" w:ascii="宋体" w:hAnsi="宋体"/>
          <w:color w:val="auto"/>
          <w:sz w:val="32"/>
          <w:highlight w:val="none"/>
        </w:rPr>
        <w:t xml:space="preserve">约保函（</w:t>
      </w:r>
      <w:r>
        <w:rPr>
          <w:rFonts w:ascii="宋体" w:hAnsi="宋体"/>
          <w:color w:val="auto"/>
          <w:sz w:val="32"/>
          <w:highlight w:val="none"/>
        </w:rPr>
        <w:t xml:space="preserve">保险</w:t>
      </w:r>
      <w:r>
        <w:rPr>
          <w:rFonts w:hint="eastAsia" w:ascii="宋体" w:hAnsi="宋体"/>
          <w:color w:val="auto"/>
          <w:sz w:val="32"/>
          <w:highlight w:val="none"/>
        </w:rPr>
        <w:t xml:space="preserve">）</w:t>
      </w:r>
      <w:r>
        <w:rPr>
          <w:rFonts w:hint="eastAsia" w:ascii="宋体" w:hAnsi="宋体"/>
          <w:color w:val="auto"/>
          <w:sz w:val="32"/>
          <w:szCs w:val="32"/>
          <w:highlight w:val="none"/>
        </w:rPr>
        <w:t xml:space="preserve">形式替代履约保证金，也</w:t>
      </w:r>
      <w:r>
        <w:rPr>
          <w:rFonts w:hint="eastAsia" w:ascii="宋体" w:hAnsi="宋体"/>
          <w:color w:val="auto"/>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金山简黑体">
    <w:panose1 w:val="020B0503020202020204"/>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Saturday Sans Regular">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
  </w:p>
  <w:p>
    <w:pPr>
      <w:pStyle w:val="700"/>
    </w:pPr>
    <w:r/>
    <w:r/>
  </w:p>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
  </w:p>
  <w:p>
    <w:pPr>
      <w:pStyle w:val="702"/>
    </w:pPr>
    <w:r/>
    <w:r/>
  </w:p>
  <w:p>
    <w:pPr>
      <w:pStyle w:val="7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9">
    <w:name w:val="Heading 1"/>
    <w:basedOn w:val="678"/>
    <w:next w:val="678"/>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9"/>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20"/>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1"/>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2"/>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4"/>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5"/>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0"/>
    <w:semiHidden/>
    <w:qFormat/>
  </w:style>
  <w:style w:type="table" w:styleId="689" w:default="1">
    <w:name w:val="Normal Table"/>
    <w:uiPriority w:val="0"/>
    <w:semiHidden/>
    <w:qFormat/>
    <w:tblPr>
      <w:tblCellMar>
        <w:left w:w="108" w:type="dxa"/>
        <w:top w:w="0" w:type="dxa"/>
        <w:right w:w="108" w:type="dxa"/>
        <w:bottom w:w="0" w:type="dxa"/>
      </w:tblCellMar>
    </w:tblPr>
  </w:style>
  <w:style w:type="paragraph" w:styleId="690">
    <w:name w:val="Body Text"/>
    <w:basedOn w:val="678"/>
    <w:uiPriority w:val="99"/>
    <w:unhideWhenUsed/>
    <w:qFormat/>
    <w:pPr>
      <w:spacing w:after="120" w:afterAutospacing="0"/>
    </w:pPr>
  </w:style>
  <w:style w:type="paragraph" w:styleId="691">
    <w:name w:val="toc 7"/>
    <w:basedOn w:val="678"/>
    <w:next w:val="678"/>
    <w:uiPriority w:val="39"/>
    <w:unhideWhenUsed/>
    <w:qFormat/>
    <w:pPr>
      <w:ind w:left="1701" w:right="0" w:firstLine="0"/>
      <w:spacing w:after="57"/>
    </w:pPr>
  </w:style>
  <w:style w:type="paragraph" w:styleId="692">
    <w:name w:val="Normal Indent"/>
    <w:basedOn w:val="678"/>
    <w:next w:val="678"/>
    <w:uiPriority w:val="0"/>
    <w:qFormat/>
    <w:pPr>
      <w:ind w:firstLine="420"/>
    </w:pPr>
  </w:style>
  <w:style w:type="paragraph" w:styleId="693">
    <w:name w:val="Caption"/>
    <w:basedOn w:val="678"/>
    <w:next w:val="6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4">
    <w:name w:val="Body Text Indent"/>
    <w:basedOn w:val="678"/>
    <w:next w:val="695"/>
    <w:uiPriority w:val="99"/>
    <w:unhideWhenUsed/>
    <w:qFormat/>
    <w:pPr>
      <w:jc w:val="left"/>
      <w:spacing w:before="100" w:beforeAutospacing="1" w:after="100" w:afterAutospacing="1"/>
      <w:shd w:val="clear" w:color="auto" w:fill="ffffff"/>
      <w:widowControl/>
    </w:pPr>
    <w:rPr>
      <w:rFonts w:ascii="Times New Roman" w:hAnsi="Times New Roman" w:cs="宋体"/>
      <w:sz w:val="18"/>
      <w:szCs w:val="18"/>
    </w:rPr>
  </w:style>
  <w:style w:type="paragraph" w:styleId="695">
    <w:name w:val="Body Text First Indent 2"/>
    <w:basedOn w:val="694"/>
    <w:uiPriority w:val="99"/>
    <w:qFormat/>
    <w:pPr>
      <w:ind w:left="0" w:firstLine="420"/>
      <w:spacing w:after="0" w:line="360" w:lineRule="auto"/>
    </w:pPr>
    <w:rPr>
      <w:rFonts w:ascii="宋体" w:hAnsi="宋体"/>
    </w:rPr>
  </w:style>
  <w:style w:type="paragraph" w:styleId="696">
    <w:name w:val="toc 5"/>
    <w:basedOn w:val="678"/>
    <w:next w:val="678"/>
    <w:uiPriority w:val="39"/>
    <w:unhideWhenUsed/>
    <w:qFormat/>
    <w:pPr>
      <w:ind w:left="1134" w:right="0" w:firstLine="0"/>
      <w:spacing w:after="57"/>
    </w:pPr>
  </w:style>
  <w:style w:type="paragraph" w:styleId="697">
    <w:name w:val="toc 3"/>
    <w:basedOn w:val="678"/>
    <w:next w:val="678"/>
    <w:uiPriority w:val="39"/>
    <w:unhideWhenUsed/>
    <w:qFormat/>
    <w:pPr>
      <w:ind w:left="567" w:right="0" w:firstLine="0"/>
      <w:spacing w:after="57"/>
    </w:pPr>
  </w:style>
  <w:style w:type="paragraph" w:styleId="698">
    <w:name w:val="toc 8"/>
    <w:basedOn w:val="678"/>
    <w:next w:val="678"/>
    <w:uiPriority w:val="39"/>
    <w:unhideWhenUsed/>
    <w:qFormat/>
    <w:pPr>
      <w:ind w:left="1984" w:right="0" w:firstLine="0"/>
      <w:spacing w:after="57"/>
    </w:pPr>
  </w:style>
  <w:style w:type="paragraph" w:styleId="699">
    <w:name w:val="endnote text"/>
    <w:basedOn w:val="678"/>
    <w:link w:val="863"/>
    <w:uiPriority w:val="99"/>
    <w:semiHidden/>
    <w:unhideWhenUsed/>
    <w:qFormat/>
    <w:pPr>
      <w:spacing w:after="0" w:line="240" w:lineRule="auto"/>
    </w:pPr>
    <w:rPr>
      <w:sz w:val="20"/>
    </w:rPr>
  </w:style>
  <w:style w:type="paragraph" w:styleId="700">
    <w:name w:val="Footer"/>
    <w:basedOn w:val="678"/>
    <w:uiPriority w:val="0"/>
    <w:qFormat/>
    <w:pPr>
      <w:jc w:val="left"/>
      <w:tabs>
        <w:tab w:val="center" w:pos="4153" w:leader="none"/>
        <w:tab w:val="right" w:pos="8306" w:leader="none"/>
      </w:tabs>
    </w:pPr>
    <w:rPr>
      <w:sz w:val="18"/>
    </w:rPr>
  </w:style>
  <w:style w:type="paragraph" w:styleId="701">
    <w:name w:val="envelope return"/>
    <w:basedOn w:val="678"/>
    <w:uiPriority w:val="99"/>
    <w:unhideWhenUsed/>
    <w:qFormat/>
    <w:rPr>
      <w:rFonts w:ascii="Arial" w:hAnsi="Arial"/>
    </w:rPr>
  </w:style>
  <w:style w:type="paragraph" w:styleId="702">
    <w:name w:val="Header"/>
    <w:basedOn w:val="67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03">
    <w:name w:val="toc 1"/>
    <w:basedOn w:val="678"/>
    <w:next w:val="678"/>
    <w:uiPriority w:val="39"/>
    <w:unhideWhenUsed/>
    <w:qFormat/>
    <w:pPr>
      <w:ind w:left="0" w:right="0" w:firstLine="0"/>
      <w:spacing w:after="57"/>
    </w:pPr>
  </w:style>
  <w:style w:type="paragraph" w:styleId="704">
    <w:name w:val="toc 4"/>
    <w:basedOn w:val="678"/>
    <w:next w:val="678"/>
    <w:uiPriority w:val="39"/>
    <w:unhideWhenUsed/>
    <w:qFormat/>
    <w:pPr>
      <w:ind w:left="850" w:right="0" w:firstLine="0"/>
      <w:spacing w:after="57"/>
    </w:pPr>
  </w:style>
  <w:style w:type="paragraph" w:styleId="705">
    <w:name w:val="Subtitle"/>
    <w:basedOn w:val="678"/>
    <w:next w:val="678"/>
    <w:link w:val="729"/>
    <w:uiPriority w:val="11"/>
    <w:qFormat/>
    <w:pPr>
      <w:spacing w:before="200" w:after="200"/>
    </w:pPr>
    <w:rPr>
      <w:sz w:val="24"/>
      <w:szCs w:val="24"/>
    </w:rPr>
  </w:style>
  <w:style w:type="paragraph" w:styleId="706">
    <w:name w:val="footnote text"/>
    <w:basedOn w:val="678"/>
    <w:link w:val="862"/>
    <w:uiPriority w:val="99"/>
    <w:semiHidden/>
    <w:unhideWhenUsed/>
    <w:qFormat/>
    <w:pPr>
      <w:spacing w:after="40" w:line="240" w:lineRule="auto"/>
    </w:pPr>
    <w:rPr>
      <w:sz w:val="18"/>
    </w:rPr>
  </w:style>
  <w:style w:type="paragraph" w:styleId="707">
    <w:name w:val="toc 6"/>
    <w:basedOn w:val="678"/>
    <w:next w:val="678"/>
    <w:uiPriority w:val="39"/>
    <w:unhideWhenUsed/>
    <w:qFormat/>
    <w:pPr>
      <w:ind w:left="1417" w:right="0" w:firstLine="0"/>
      <w:spacing w:after="57"/>
    </w:pPr>
  </w:style>
  <w:style w:type="paragraph" w:styleId="708">
    <w:name w:val="table of figures"/>
    <w:basedOn w:val="678"/>
    <w:next w:val="678"/>
    <w:uiPriority w:val="99"/>
    <w:unhideWhenUsed/>
    <w:qFormat/>
    <w:pPr>
      <w:spacing w:after="0" w:afterAutospacing="0"/>
    </w:pPr>
  </w:style>
  <w:style w:type="paragraph" w:styleId="709">
    <w:name w:val="toc 2"/>
    <w:basedOn w:val="678"/>
    <w:next w:val="678"/>
    <w:uiPriority w:val="39"/>
    <w:unhideWhenUsed/>
    <w:qFormat/>
    <w:pPr>
      <w:ind w:left="283" w:right="0" w:firstLine="0"/>
      <w:spacing w:after="57"/>
    </w:pPr>
  </w:style>
  <w:style w:type="paragraph" w:styleId="710">
    <w:name w:val="toc 9"/>
    <w:basedOn w:val="678"/>
    <w:next w:val="678"/>
    <w:uiPriority w:val="39"/>
    <w:unhideWhenUsed/>
    <w:qFormat/>
    <w:pPr>
      <w:ind w:left="2268" w:right="0" w:firstLine="0"/>
      <w:spacing w:after="57"/>
    </w:pPr>
  </w:style>
  <w:style w:type="paragraph" w:styleId="711">
    <w:name w:val="Title"/>
    <w:basedOn w:val="678"/>
    <w:next w:val="678"/>
    <w:link w:val="728"/>
    <w:uiPriority w:val="10"/>
    <w:qFormat/>
    <w:pPr>
      <w:contextualSpacing/>
      <w:spacing w:before="300" w:after="200"/>
    </w:pPr>
    <w:rPr>
      <w:sz w:val="48"/>
      <w:szCs w:val="48"/>
    </w:rPr>
  </w:style>
  <w:style w:type="table" w:styleId="712">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3">
    <w:name w:val="Strong"/>
    <w:basedOn w:val="688"/>
    <w:uiPriority w:val="0"/>
    <w:qFormat/>
    <w:rPr>
      <w:b/>
    </w:rPr>
  </w:style>
  <w:style w:type="character" w:styleId="714">
    <w:name w:val="endnote reference"/>
    <w:basedOn w:val="688"/>
    <w:uiPriority w:val="99"/>
    <w:semiHidden/>
    <w:unhideWhenUsed/>
    <w:qFormat/>
    <w:rPr>
      <w:vertAlign w:val="superscript"/>
    </w:rPr>
  </w:style>
  <w:style w:type="character" w:styleId="715">
    <w:name w:val="Hyperlink"/>
    <w:uiPriority w:val="99"/>
    <w:unhideWhenUsed/>
    <w:qFormat/>
    <w:rPr>
      <w:color w:val="0026e5" w:themeColor="hyperlink"/>
      <w:u w:val="single"/>
      <w14:textFill>
        <w14:solidFill>
          <w14:schemeClr w14:val="hlink"/>
        </w14:solidFill>
      </w14:textFill>
    </w:rPr>
  </w:style>
  <w:style w:type="character" w:styleId="716">
    <w:name w:val="footnote reference"/>
    <w:basedOn w:val="688"/>
    <w:uiPriority w:val="99"/>
    <w:unhideWhenUsed/>
    <w:qFormat/>
    <w:rPr>
      <w:vertAlign w:val="superscript"/>
    </w:rPr>
  </w:style>
  <w:style w:type="character" w:styleId="717" w:customStyle="1">
    <w:name w:val="Heading 1 Char"/>
    <w:basedOn w:val="688"/>
    <w:uiPriority w:val="9"/>
    <w:qFormat/>
    <w:rPr>
      <w:rFonts w:ascii="Arial" w:hAnsi="Arial" w:eastAsia="Arial" w:cs="Arial"/>
      <w:sz w:val="40"/>
      <w:szCs w:val="40"/>
    </w:rPr>
  </w:style>
  <w:style w:type="character" w:styleId="718" w:customStyle="1">
    <w:name w:val="Heading 2 Char"/>
    <w:basedOn w:val="688"/>
    <w:link w:val="680"/>
    <w:uiPriority w:val="9"/>
    <w:qFormat/>
    <w:rPr>
      <w:rFonts w:ascii="Arial" w:hAnsi="Arial" w:eastAsia="Arial" w:cs="Arial"/>
      <w:sz w:val="34"/>
    </w:rPr>
  </w:style>
  <w:style w:type="character" w:styleId="719" w:customStyle="1">
    <w:name w:val="Heading 3 Char"/>
    <w:basedOn w:val="688"/>
    <w:link w:val="681"/>
    <w:uiPriority w:val="9"/>
    <w:qFormat/>
    <w:rPr>
      <w:rFonts w:ascii="Arial" w:hAnsi="Arial" w:eastAsia="Arial" w:cs="Arial"/>
      <w:sz w:val="30"/>
      <w:szCs w:val="30"/>
    </w:rPr>
  </w:style>
  <w:style w:type="character" w:styleId="720" w:customStyle="1">
    <w:name w:val="Heading 4 Char"/>
    <w:basedOn w:val="688"/>
    <w:link w:val="682"/>
    <w:uiPriority w:val="9"/>
    <w:qFormat/>
    <w:rPr>
      <w:rFonts w:ascii="Arial" w:hAnsi="Arial" w:eastAsia="Arial" w:cs="Arial"/>
      <w:b/>
      <w:bCs/>
      <w:sz w:val="26"/>
      <w:szCs w:val="26"/>
    </w:rPr>
  </w:style>
  <w:style w:type="character" w:styleId="721" w:customStyle="1">
    <w:name w:val="Heading 5 Char"/>
    <w:basedOn w:val="688"/>
    <w:link w:val="683"/>
    <w:uiPriority w:val="9"/>
    <w:qFormat/>
    <w:rPr>
      <w:rFonts w:ascii="Arial" w:hAnsi="Arial" w:eastAsia="Arial" w:cs="Arial"/>
      <w:b/>
      <w:bCs/>
      <w:sz w:val="24"/>
      <w:szCs w:val="24"/>
    </w:rPr>
  </w:style>
  <w:style w:type="character" w:styleId="722" w:customStyle="1">
    <w:name w:val="Heading 6 Char"/>
    <w:basedOn w:val="688"/>
    <w:link w:val="684"/>
    <w:uiPriority w:val="9"/>
    <w:qFormat/>
    <w:rPr>
      <w:rFonts w:ascii="Arial" w:hAnsi="Arial" w:eastAsia="Arial" w:cs="Arial"/>
      <w:b/>
      <w:bCs/>
      <w:sz w:val="22"/>
      <w:szCs w:val="22"/>
    </w:rPr>
  </w:style>
  <w:style w:type="character" w:styleId="723" w:customStyle="1">
    <w:name w:val="Heading 7 Char"/>
    <w:basedOn w:val="688"/>
    <w:link w:val="685"/>
    <w:uiPriority w:val="9"/>
    <w:qFormat/>
    <w:rPr>
      <w:rFonts w:ascii="Arial" w:hAnsi="Arial" w:eastAsia="Arial" w:cs="Arial"/>
      <w:b/>
      <w:bCs/>
      <w:i/>
      <w:iCs/>
      <w:sz w:val="22"/>
      <w:szCs w:val="22"/>
    </w:rPr>
  </w:style>
  <w:style w:type="character" w:styleId="724" w:customStyle="1">
    <w:name w:val="Heading 8 Char"/>
    <w:basedOn w:val="688"/>
    <w:link w:val="686"/>
    <w:uiPriority w:val="9"/>
    <w:qFormat/>
    <w:rPr>
      <w:rFonts w:ascii="Arial" w:hAnsi="Arial" w:eastAsia="Arial" w:cs="Arial"/>
      <w:i/>
      <w:iCs/>
      <w:sz w:val="22"/>
      <w:szCs w:val="22"/>
    </w:rPr>
  </w:style>
  <w:style w:type="character" w:styleId="725" w:customStyle="1">
    <w:name w:val="Heading 9 Char"/>
    <w:basedOn w:val="688"/>
    <w:link w:val="687"/>
    <w:uiPriority w:val="9"/>
    <w:qFormat/>
    <w:rPr>
      <w:rFonts w:ascii="Arial" w:hAnsi="Arial" w:eastAsia="Arial" w:cs="Arial"/>
      <w:i/>
      <w:iCs/>
      <w:sz w:val="21"/>
      <w:szCs w:val="21"/>
    </w:rPr>
  </w:style>
  <w:style w:type="paragraph" w:styleId="726">
    <w:name w:val="List Paragraph"/>
    <w:basedOn w:val="678"/>
    <w:uiPriority w:val="34"/>
    <w:qFormat/>
    <w:pPr>
      <w:contextualSpacing/>
      <w:ind w:left="720"/>
    </w:p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basedOn w:val="688"/>
    <w:link w:val="711"/>
    <w:uiPriority w:val="10"/>
    <w:qFormat/>
    <w:rPr>
      <w:sz w:val="48"/>
      <w:szCs w:val="48"/>
    </w:rPr>
  </w:style>
  <w:style w:type="character" w:styleId="729" w:customStyle="1">
    <w:name w:val="Subtitle Char"/>
    <w:basedOn w:val="688"/>
    <w:link w:val="705"/>
    <w:uiPriority w:val="11"/>
    <w:qFormat/>
    <w:rPr>
      <w:sz w:val="24"/>
      <w:szCs w:val="24"/>
    </w:rPr>
  </w:style>
  <w:style w:type="paragraph" w:styleId="730">
    <w:name w:val="Quote"/>
    <w:basedOn w:val="678"/>
    <w:next w:val="678"/>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8"/>
    <w:next w:val="678"/>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basedOn w:val="688"/>
    <w:uiPriority w:val="99"/>
    <w:qFormat/>
  </w:style>
  <w:style w:type="character" w:styleId="735" w:customStyle="1">
    <w:name w:val="Footer Char"/>
    <w:basedOn w:val="688"/>
    <w:uiPriority w:val="99"/>
    <w:qFormat/>
  </w:style>
  <w:style w:type="character" w:styleId="736" w:customStyle="1">
    <w:name w:val="Caption Char"/>
    <w:uiPriority w:val="99"/>
    <w:qFormat/>
  </w:style>
  <w:style w:type="table" w:styleId="737" w:customStyle="1">
    <w:name w:val="Table Grid Light"/>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7"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6" w:customStyle="1">
    <w:name w:val="Grid Table 4 - Accent 2"/>
    <w:basedOn w:val="6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7" w:customStyle="1">
    <w:name w:val="Grid Table 4 - Accent 3"/>
    <w:basedOn w:val="6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8" w:customStyle="1">
    <w:name w:val="Grid Table 4 - Accent 4"/>
    <w:basedOn w:val="6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9" w:customStyle="1">
    <w:name w:val="Grid Table 4 - Accent 5"/>
    <w:basedOn w:val="6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0" w:customStyle="1">
    <w:name w:val="Grid Table 4 - Accent 6"/>
    <w:basedOn w:val="6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1" w:customStyle="1">
    <w:name w:val="Grid Table 5 Dark"/>
    <w:basedOn w:val="68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AEACE" w:themeColor="light1" w:sz="4" w:space="0"/>
        </w:tcBorders>
      </w:tcPr>
    </w:tblStylePr>
  </w:style>
  <w:style w:type="table" w:styleId="772" w:customStyle="1">
    <w:name w:val="Grid Table 5 Dark- Accent 1"/>
    <w:basedOn w:val="68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CAEACE" w:themeColor="light1" w:sz="4" w:space="0"/>
        </w:tcBorders>
      </w:tcPr>
    </w:tblStylePr>
  </w:style>
  <w:style w:type="table" w:styleId="773" w:customStyle="1">
    <w:name w:val="Grid Table 5 Dark - Accent 2"/>
    <w:basedOn w:val="68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CAEACE" w:themeColor="light1" w:sz="4" w:space="0"/>
        </w:tcBorders>
      </w:tcPr>
    </w:tblStylePr>
  </w:style>
  <w:style w:type="table" w:styleId="774" w:customStyle="1">
    <w:name w:val="Grid Table 5 Dark - Accent 3"/>
    <w:basedOn w:val="68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CAEACE" w:themeColor="light1" w:sz="4" w:space="0"/>
        </w:tcBorders>
      </w:tcPr>
    </w:tblStylePr>
  </w:style>
  <w:style w:type="table" w:styleId="775" w:customStyle="1">
    <w:name w:val="Grid Table 5 Dark- Accent 4"/>
    <w:basedOn w:val="68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CAEACE" w:themeColor="light1" w:sz="4" w:space="0"/>
        </w:tcBorders>
      </w:tcPr>
    </w:tblStylePr>
  </w:style>
  <w:style w:type="table" w:styleId="776" w:customStyle="1">
    <w:name w:val="Grid Table 5 Dark - Accent 5"/>
    <w:basedOn w:val="68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CAEACE" w:themeColor="light1" w:sz="4" w:space="0"/>
        </w:tcBorders>
      </w:tcPr>
    </w:tblStylePr>
  </w:style>
  <w:style w:type="table" w:styleId="777" w:customStyle="1">
    <w:name w:val="Grid Table 5 Dark - Accent 6"/>
    <w:basedOn w:val="68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CAEACE" w:themeColor="light1" w:sz="4" w:space="0"/>
        </w:tcBorders>
      </w:tcPr>
    </w:tblStylePr>
  </w:style>
  <w:style w:type="table" w:styleId="778"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2" w:customStyle="1">
    <w:name w:val="Grid Table 6 Colorful - Accent 4"/>
    <w:basedOn w:val="6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4" w:customStyle="1">
    <w:name w:val="Grid Table 6 Colorful - Accent 6"/>
    <w:basedOn w:val="6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5"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caeace" w:themeColor="light1" w:fill="caeace"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caeace" w:themeColor="light1" w:fill="caeace"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caeace" w:themeColor="light1" w:fill="caeace"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caeace" w:themeColor="light1" w:fill="caeace"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caeace" w:themeColor="light1" w:fill="caeace"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caeace" w:themeColor="light1" w:fill="caeace"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caeace" w:themeColor="light1" w:fill="caeace"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9"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1" w:customStyle="1">
    <w:name w:val="List Table 2 - Accent 2"/>
    <w:basedOn w:val="6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2" w:customStyle="1">
    <w:name w:val="List Table 2 - Accent 3"/>
    <w:basedOn w:val="6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3" w:customStyle="1">
    <w:name w:val="List Table 2 - Accent 4"/>
    <w:basedOn w:val="6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4" w:customStyle="1">
    <w:name w:val="List Table 2 - Accent 5"/>
    <w:basedOn w:val="6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5" w:customStyle="1">
    <w:name w:val="List Table 2 - Accent 6"/>
    <w:basedOn w:val="6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6"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8" w:customStyle="1">
    <w:name w:val="List Table 3 - Accent 2"/>
    <w:basedOn w:val="6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3"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5" w:customStyle="1">
    <w:name w:val="List Table 4 - Accent 2"/>
    <w:basedOn w:val="6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6" w:customStyle="1">
    <w:name w:val="List Table 4 - Accent 3"/>
    <w:basedOn w:val="6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7" w:customStyle="1">
    <w:name w:val="List Table 4 - Accent 4"/>
    <w:basedOn w:val="6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8" w:customStyle="1">
    <w:name w:val="List Table 4 - Accent 5"/>
    <w:basedOn w:val="6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9" w:customStyle="1">
    <w:name w:val="List Table 4 - Accent 6"/>
    <w:basedOn w:val="6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0"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AEACE" w:themeColor="light1" w:sz="4" w:space="0"/>
          <w:bottom w:val="single" w:color="CAEACE" w:themeColor="light1" w:sz="4" w:space="0"/>
        </w:tcBorders>
      </w:tcPr>
    </w:tblStylePr>
    <w:tblStylePr w:type="band1Vert">
      <w:tcPr>
        <w:shd w:val="clear" w:color="7e7e7e" w:themeColor="text1" w:themeTint="80" w:fill="7e7e7e" w:themeFill="text1" w:themeFillTint="80"/>
        <w:tcBorders>
          <w:left w:val="single" w:color="CAEACE" w:themeColor="light1" w:sz="4" w:space="0"/>
          <w:right w:val="single" w:color="CAEACE" w:themeColor="light1" w:sz="4" w:space="0"/>
        </w:tcBorders>
      </w:tcPr>
    </w:tblStylePr>
    <w:tblStylePr w:type="band2Horz">
      <w:tcPr>
        <w:shd w:val="clear" w:color="7e7e7e" w:themeColor="text1" w:themeTint="80" w:fill="7e7e7e" w:themeFill="text1" w:themeFillTint="80"/>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7E7E7E" w:themeColor="text1" w:themeTint="80"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AEACE" w:themeColor="light1" w:sz="12" w:space="0"/>
        </w:tcBorders>
      </w:tcPr>
    </w:tblStylePr>
    <w:tblStylePr w:type="lastCol">
      <w:tcPr>
        <w:tcBorders>
          <w:left w:val="single" w:color="CAEACE" w:themeColor="light1" w:sz="4" w:space="0"/>
          <w:right w:val="single" w:color="7E7E7E" w:themeColor="text1" w:themeTint="80"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21" w:customStyle="1">
    <w:name w:val="List Table 5 Dark - Accent 1"/>
    <w:basedOn w:val="6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CAEACE" w:themeColor="light1" w:sz="4" w:space="0"/>
          <w:bottom w:val="single" w:color="CAEACE" w:themeColor="light1" w:sz="4" w:space="0"/>
        </w:tcBorders>
      </w:tcPr>
    </w:tblStylePr>
    <w:tblStylePr w:type="band1Vert">
      <w:tcPr>
        <w:shd w:val="clear" w:color="4874cb" w:themeColor="accent1" w:fill="4874cb" w:themeFill="accent1"/>
        <w:tcBorders>
          <w:left w:val="single" w:color="CAEACE" w:themeColor="light1" w:sz="4" w:space="0"/>
          <w:right w:val="single" w:color="CAEACE" w:themeColor="light1" w:sz="4" w:space="0"/>
        </w:tcBorders>
      </w:tcPr>
    </w:tblStylePr>
    <w:tblStylePr w:type="band2Horz">
      <w:tcPr>
        <w:shd w:val="clear" w:color="4874cb" w:themeColor="accent1" w:fill="4874cb" w:themeFill="accent1"/>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4874CB" w:themeColor="accent1"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CAEACE" w:themeColor="light1" w:sz="12" w:space="0"/>
        </w:tcBorders>
      </w:tcPr>
    </w:tblStylePr>
    <w:tblStylePr w:type="lastCol">
      <w:tcPr>
        <w:tcBorders>
          <w:left w:val="single" w:color="CAEACE" w:themeColor="light1" w:sz="4" w:space="0"/>
          <w:right w:val="single" w:color="4874CB" w:themeColor="accent1"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22" w:customStyle="1">
    <w:name w:val="List Table 5 Dark - Accent 2"/>
    <w:basedOn w:val="6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CAEACE" w:themeColor="light1" w:sz="4" w:space="0"/>
          <w:bottom w:val="single" w:color="CAEACE" w:themeColor="light1" w:sz="4" w:space="0"/>
        </w:tcBorders>
      </w:tcPr>
    </w:tblStylePr>
    <w:tblStylePr w:type="band1Vert">
      <w:tcPr>
        <w:shd w:val="clear" w:color="f4b483" w:themeColor="accent2" w:themeTint="97" w:fill="f4b483" w:themeFill="accent2" w:themeFillTint="97"/>
        <w:tcBorders>
          <w:left w:val="single" w:color="CAEACE" w:themeColor="light1" w:sz="4" w:space="0"/>
          <w:right w:val="single" w:color="CAEACE" w:themeColor="light1" w:sz="4" w:space="0"/>
        </w:tcBorders>
      </w:tcPr>
    </w:tblStylePr>
    <w:tblStylePr w:type="band2Horz">
      <w:tcPr>
        <w:shd w:val="clear" w:color="f4b483" w:themeColor="accent2" w:themeTint="97" w:fill="f4b483" w:themeFill="accent2" w:themeFillTint="97"/>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F4B483" w:themeColor="accent2" w:themeTint="97"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CAEACE" w:themeColor="light1" w:sz="12" w:space="0"/>
        </w:tcBorders>
      </w:tcPr>
    </w:tblStylePr>
    <w:tblStylePr w:type="lastCol">
      <w:tcPr>
        <w:tcBorders>
          <w:left w:val="single" w:color="CAEACE" w:themeColor="light1" w:sz="4" w:space="0"/>
          <w:right w:val="single" w:color="F4B483" w:themeColor="accent2" w:themeTint="97"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23" w:customStyle="1">
    <w:name w:val="List Table 5 Dark - Accent 3"/>
    <w:basedOn w:val="6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CAEACE" w:themeColor="light1" w:sz="4" w:space="0"/>
          <w:bottom w:val="single" w:color="CAEACE" w:themeColor="light1" w:sz="4" w:space="0"/>
        </w:tcBorders>
      </w:tcPr>
    </w:tblStylePr>
    <w:tblStylePr w:type="band1Vert">
      <w:tcPr>
        <w:shd w:val="clear" w:color="fdd961" w:themeColor="accent3" w:themeTint="98" w:fill="fdd961" w:themeFill="accent3" w:themeFillTint="98"/>
        <w:tcBorders>
          <w:left w:val="single" w:color="CAEACE" w:themeColor="light1" w:sz="4" w:space="0"/>
          <w:right w:val="single" w:color="CAEACE" w:themeColor="light1" w:sz="4" w:space="0"/>
        </w:tcBorders>
      </w:tcPr>
    </w:tblStylePr>
    <w:tblStylePr w:type="band2Horz">
      <w:tcPr>
        <w:shd w:val="clear" w:color="fdd961" w:themeColor="accent3" w:themeTint="98" w:fill="fdd961" w:themeFill="accent3" w:themeFillTint="98"/>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FDD961" w:themeColor="accent3" w:themeTint="98"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CAEACE" w:themeColor="light1" w:sz="12" w:space="0"/>
        </w:tcBorders>
      </w:tcPr>
    </w:tblStylePr>
    <w:tblStylePr w:type="lastCol">
      <w:tcPr>
        <w:tcBorders>
          <w:left w:val="single" w:color="CAEACE" w:themeColor="light1" w:sz="4" w:space="0"/>
          <w:right w:val="single" w:color="FDD961" w:themeColor="accent3" w:themeTint="98"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24" w:customStyle="1">
    <w:name w:val="List Table 5 Dark - Accent 4"/>
    <w:basedOn w:val="6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CAEACE" w:themeColor="light1" w:sz="4" w:space="0"/>
          <w:bottom w:val="single" w:color="CAEACE" w:themeColor="light1" w:sz="4" w:space="0"/>
        </w:tcBorders>
      </w:tcPr>
    </w:tblStylePr>
    <w:tblStylePr w:type="band1Vert">
      <w:tcPr>
        <w:shd w:val="clear" w:color="abd78c" w:themeColor="accent4" w:themeTint="9A" w:fill="abd78c" w:themeFill="accent4" w:themeFillTint="9A"/>
        <w:tcBorders>
          <w:left w:val="single" w:color="CAEACE" w:themeColor="light1" w:sz="4" w:space="0"/>
          <w:right w:val="single" w:color="CAEACE" w:themeColor="light1" w:sz="4" w:space="0"/>
        </w:tcBorders>
      </w:tcPr>
    </w:tblStylePr>
    <w:tblStylePr w:type="band2Horz">
      <w:tcPr>
        <w:shd w:val="clear" w:color="abd78c" w:themeColor="accent4" w:themeTint="9A" w:fill="abd78c" w:themeFill="accent4" w:themeFillTint="9A"/>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ABD78C" w:themeColor="accent4" w:themeTint="9A"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CAEACE" w:themeColor="light1" w:sz="12" w:space="0"/>
        </w:tcBorders>
      </w:tcPr>
    </w:tblStylePr>
    <w:tblStylePr w:type="lastCol">
      <w:tcPr>
        <w:tcBorders>
          <w:left w:val="single" w:color="CAEACE" w:themeColor="light1" w:sz="4" w:space="0"/>
          <w:right w:val="single" w:color="ABD78C" w:themeColor="accent4" w:themeTint="9A"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25" w:customStyle="1">
    <w:name w:val="List Table 5 Dark - Accent 5"/>
    <w:basedOn w:val="6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CAEACE" w:themeColor="light1" w:sz="4" w:space="0"/>
          <w:bottom w:val="single" w:color="CAEACE" w:themeColor="light1" w:sz="4" w:space="0"/>
        </w:tcBorders>
      </w:tcPr>
    </w:tblStylePr>
    <w:tblStylePr w:type="band1Vert">
      <w:tcPr>
        <w:shd w:val="clear" w:color="7cded6" w:themeColor="accent5" w:themeTint="9A" w:fill="7cded6" w:themeFill="accent5" w:themeFillTint="9A"/>
        <w:tcBorders>
          <w:left w:val="single" w:color="CAEACE" w:themeColor="light1" w:sz="4" w:space="0"/>
          <w:right w:val="single" w:color="CAEACE" w:themeColor="light1" w:sz="4" w:space="0"/>
        </w:tcBorders>
      </w:tcPr>
    </w:tblStylePr>
    <w:tblStylePr w:type="band2Horz">
      <w:tcPr>
        <w:shd w:val="clear" w:color="7cded6" w:themeColor="accent5" w:themeTint="9A" w:fill="7cded6" w:themeFill="accent5" w:themeFillTint="9A"/>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7CDED6" w:themeColor="accent5" w:themeTint="9A"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CAEACE" w:themeColor="light1" w:sz="12" w:space="0"/>
        </w:tcBorders>
      </w:tcPr>
    </w:tblStylePr>
    <w:tblStylePr w:type="lastCol">
      <w:tcPr>
        <w:tcBorders>
          <w:left w:val="single" w:color="CAEACE" w:themeColor="light1" w:sz="4" w:space="0"/>
          <w:right w:val="single" w:color="7CDED6" w:themeColor="accent5" w:themeTint="9A"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26" w:customStyle="1">
    <w:name w:val="List Table 5 Dark - Accent 6"/>
    <w:basedOn w:val="6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CAEACE" w:themeColor="light1" w:sz="4" w:space="0"/>
          <w:bottom w:val="single" w:color="CAEACE" w:themeColor="light1" w:sz="4" w:space="0"/>
        </w:tcBorders>
      </w:tcPr>
    </w:tblStylePr>
    <w:tblStylePr w:type="band1Vert">
      <w:tcPr>
        <w:shd w:val="clear" w:color="ef949f" w:themeColor="accent6" w:themeTint="98" w:fill="ef949f" w:themeFill="accent6" w:themeFillTint="98"/>
        <w:tcBorders>
          <w:left w:val="single" w:color="CAEACE" w:themeColor="light1" w:sz="4" w:space="0"/>
          <w:right w:val="single" w:color="CAEACE" w:themeColor="light1" w:sz="4" w:space="0"/>
        </w:tcBorders>
      </w:tcPr>
    </w:tblStylePr>
    <w:tblStylePr w:type="band2Horz">
      <w:tcPr>
        <w:shd w:val="clear" w:color="ef949f" w:themeColor="accent6" w:themeTint="98" w:fill="ef949f" w:themeFill="accent6" w:themeFillTint="98"/>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EF949F" w:themeColor="accent6" w:themeTint="98"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CAEACE" w:themeColor="light1" w:sz="12" w:space="0"/>
        </w:tcBorders>
      </w:tcPr>
    </w:tblStylePr>
    <w:tblStylePr w:type="lastCol">
      <w:tcPr>
        <w:tcBorders>
          <w:left w:val="single" w:color="CAEACE" w:themeColor="light1" w:sz="4" w:space="0"/>
          <w:right w:val="single" w:color="EF949F" w:themeColor="accent6" w:themeTint="98"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27"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9" w:customStyle="1">
    <w:name w:val="List Table 6 Colorful - Accent 2"/>
    <w:basedOn w:val="6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0" w:customStyle="1">
    <w:name w:val="List Table 6 Colorful - Accent 3"/>
    <w:basedOn w:val="6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1" w:customStyle="1">
    <w:name w:val="List Table 6 Colorful - Accent 4"/>
    <w:basedOn w:val="6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2" w:customStyle="1">
    <w:name w:val="List Table 6 Colorful - Accent 5"/>
    <w:basedOn w:val="6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3" w:customStyle="1">
    <w:name w:val="List Table 6 Colorful - Accent 6"/>
    <w:basedOn w:val="6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4"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caeace" w:themeColor="light1" w:fill="caeace"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caeace" w:themeColor="light1" w:fill="caeace"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caeace" w:themeColor="light1" w:fill="caeace"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caeace" w:themeColor="light1" w:fill="caeace"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caeace" w:themeColor="light1" w:fill="caeace"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3" w:customStyle="1">
    <w:name w:val="Lined - Accent 2"/>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4" w:customStyle="1">
    <w:name w:val="Lined - Accent 3"/>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5" w:customStyle="1">
    <w:name w:val="Lined - Accent 4"/>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6" w:customStyle="1">
    <w:name w:val="Lined - Accent 5"/>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7" w:customStyle="1">
    <w:name w:val="Lined - Accent 6"/>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8" w:customStyle="1">
    <w:name w:val="Bordered &amp; Lined - Accent"/>
    <w:basedOn w:val="6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0" w:customStyle="1">
    <w:name w:val="Bordered &amp; Lined - Accent 2"/>
    <w:basedOn w:val="6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1" w:customStyle="1">
    <w:name w:val="Bordered &amp; Lined - Accent 3"/>
    <w:basedOn w:val="6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2" w:customStyle="1">
    <w:name w:val="Bordered &amp; Lined - Accent 4"/>
    <w:basedOn w:val="6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3" w:customStyle="1">
    <w:name w:val="Bordered &amp; Lined - Accent 5"/>
    <w:basedOn w:val="6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4" w:customStyle="1">
    <w:name w:val="Bordered &amp; Lined - Accent 6"/>
    <w:basedOn w:val="6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5" w:customStyle="1">
    <w:name w:val="Bordered"/>
    <w:basedOn w:val="6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7" w:customStyle="1">
    <w:name w:val="Bordered - Accent 2"/>
    <w:basedOn w:val="6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8" w:customStyle="1">
    <w:name w:val="Bordered - Accent 3"/>
    <w:basedOn w:val="6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9" w:customStyle="1">
    <w:name w:val="Bordered - Accent 4"/>
    <w:basedOn w:val="6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0" w:customStyle="1">
    <w:name w:val="Bordered - Accent 5"/>
    <w:basedOn w:val="6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1" w:customStyle="1">
    <w:name w:val="Bordered - Accent 6"/>
    <w:basedOn w:val="6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2" w:customStyle="1">
    <w:name w:val="Footnote Text Char"/>
    <w:link w:val="706"/>
    <w:uiPriority w:val="99"/>
    <w:qFormat/>
    <w:rPr>
      <w:sz w:val="18"/>
    </w:rPr>
  </w:style>
  <w:style w:type="character" w:styleId="863" w:customStyle="1">
    <w:name w:val="Endnote Text Char"/>
    <w:link w:val="699"/>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reader-word-layer"/>
    <w:basedOn w:val="678"/>
    <w:uiPriority w:val="0"/>
    <w:qFormat/>
    <w:pPr>
      <w:jc w:val="left"/>
      <w:spacing w:before="100" w:beforeAutospacing="1" w:after="100" w:afterAutospacing="1"/>
      <w:widowControl/>
    </w:pPr>
    <w:rPr>
      <w:rFonts w:ascii="宋体" w:hAnsi="宋体" w:cs="宋体"/>
      <w:sz w:val="24"/>
      <w:szCs w:val="24"/>
    </w:rPr>
  </w:style>
  <w:style w:type="paragraph" w:styleId="866" w:customStyle="1">
    <w:name w:val="正文文本缩进 21"/>
    <w:basedOn w:val="678"/>
    <w:uiPriority w:val="0"/>
    <w:qFormat/>
    <w:pPr>
      <w:ind w:left="630" w:firstLine="645"/>
    </w:pPr>
    <w:rPr>
      <w:rFonts w:ascii="Arial" w:hAnsi="Arial" w:eastAsia="仿宋_GB2312"/>
      <w:sz w:val="32"/>
      <w:szCs w:val="32"/>
    </w:rPr>
  </w:style>
  <w:style w:type="paragraph" w:styleId="867" w:customStyle="1">
    <w:name w:val="BodyText1I21"/>
    <w:basedOn w:val="868"/>
    <w:uiPriority w:val="0"/>
    <w:qFormat/>
    <w:pPr>
      <w:ind w:firstLine="200"/>
    </w:pPr>
  </w:style>
  <w:style w:type="paragraph" w:styleId="868" w:customStyle="1">
    <w:name w:val="BodyTextIndent1"/>
    <w:basedOn w:val="678"/>
    <w:uiPriority w:val="0"/>
    <w:qFormat/>
    <w:pPr>
      <w:ind w:left="420"/>
      <w:spacing w:after="120"/>
    </w:pPr>
  </w:style>
  <w:style w:type="paragraph" w:styleId="869" w:customStyle="1">
    <w:name w:val="正文首行缩进 21"/>
    <w:basedOn w:val="870"/>
    <w:uiPriority w:val="99"/>
    <w:unhideWhenUsed/>
    <w:qFormat/>
    <w:pPr>
      <w:ind w:firstLine="200"/>
    </w:pPr>
  </w:style>
  <w:style w:type="paragraph" w:styleId="870" w:customStyle="1">
    <w:name w:val="正文文本缩进1"/>
    <w:basedOn w:val="678"/>
    <w:next w:val="871"/>
    <w:uiPriority w:val="0"/>
    <w:unhideWhenUsed/>
    <w:qFormat/>
    <w:pPr>
      <w:ind w:left="420"/>
      <w:spacing w:after="120"/>
    </w:pPr>
  </w:style>
  <w:style w:type="paragraph" w:styleId="871" w:customStyle="1">
    <w:name w:val="寄信人地址1"/>
    <w:basedOn w:val="678"/>
    <w:uiPriority w:val="0"/>
    <w:unhideWhenUsed/>
    <w:qFormat/>
    <w:rPr>
      <w:rFonts w:ascii="Arial" w:hAnsi="Arial"/>
    </w:rPr>
  </w:style>
  <w:style w:type="paragraph" w:styleId="872" w:customStyle="1">
    <w:name w:val="BodyText"/>
    <w:uiPriority w:val="0"/>
    <w:qFormat/>
    <w:pPr>
      <w:spacing w:after="120"/>
      <w:widowControl w:val="off"/>
    </w:pPr>
    <w:rPr>
      <w:rFonts w:hint="default" w:ascii="Calibri" w:hAnsi="宋体" w:eastAsia="宋体" w:cs="宋体"/>
      <w:szCs w:val="22"/>
      <w:lang w:val="en-US" w:eastAsia="zh-CN" w:bidi="ar-SA"/>
    </w:rPr>
  </w:style>
  <w:style w:type="character" w:styleId="873" w:customStyle="1">
    <w:name w:val="font41"/>
    <w:basedOn w:val="688"/>
    <w:uiPriority w:val="0"/>
    <w:qFormat/>
    <w:rPr>
      <w:rFonts w:hint="default" w:ascii="Saturday Sans Regular" w:hAnsi="Saturday Sans Regular" w:eastAsia="Saturday Sans Regular" w:cs="Saturday Sans Regular"/>
      <w:color w:val="000000"/>
      <w:sz w:val="18"/>
      <w:szCs w:val="18"/>
      <w:u w:val="none"/>
    </w:rPr>
  </w:style>
  <w:style w:type="character" w:styleId="874" w:customStyle="1">
    <w:name w:val="font31"/>
    <w:basedOn w:val="688"/>
    <w:uiPriority w:val="0"/>
    <w:qFormat/>
    <w:rPr>
      <w:rFonts w:hint="default" w:ascii="Cambria" w:hAnsi="Cambria" w:eastAsia="Cambria" w:cs="Cambria"/>
      <w:color w:val="000000"/>
      <w:sz w:val="18"/>
      <w:szCs w:val="18"/>
      <w:u w:val="none"/>
    </w:rPr>
  </w:style>
  <w:style w:type="character" w:styleId="875" w:customStyle="1">
    <w:name w:val="font21"/>
    <w:basedOn w:val="688"/>
    <w:uiPriority w:val="0"/>
    <w:qFormat/>
    <w:rPr>
      <w:rFonts w:hint="default" w:ascii="Cambria" w:hAnsi="Cambria" w:eastAsia="Cambria" w:cs="Cambria"/>
      <w:b/>
      <w:bCs/>
      <w:color w:val="000000"/>
      <w:sz w:val="20"/>
      <w:szCs w:val="20"/>
      <w:u w:val="none"/>
    </w:rPr>
  </w:style>
  <w:style w:type="character" w:styleId="876" w:customStyle="1">
    <w:name w:val="font51"/>
    <w:basedOn w:val="688"/>
    <w:uiPriority w:val="0"/>
    <w:qFormat/>
    <w:rPr>
      <w:rFonts w:hint="default" w:ascii="Saturday Sans Regular" w:hAnsi="Saturday Sans Regular" w:eastAsia="Saturday Sans Regular" w:cs="Saturday Sans Regular"/>
      <w:color w:val="000000"/>
      <w:sz w:val="18"/>
      <w:szCs w:val="18"/>
      <w:u w:val="none"/>
    </w:rPr>
  </w:style>
  <w:style w:type="character" w:styleId="877" w:customStyle="1">
    <w:name w:val="font01"/>
    <w:basedOn w:val="878"/>
    <w:uiPriority w:val="0"/>
    <w:qFormat/>
    <w:rPr>
      <w:sz w:val="21"/>
      <w:szCs w:val="24"/>
      <w:lang w:val="en-US" w:eastAsia="zh-CN" w:bidi="ar-SA"/>
    </w:rPr>
  </w:style>
  <w:style w:type="character" w:styleId="878" w:customStyle="1">
    <w:name w:val="默认段落字体1"/>
    <w:uiPriority w:val="1"/>
    <w:unhideWhenUsed/>
    <w:qFormat/>
  </w:style>
  <w:style w:type="paragraph" w:styleId="879" w:customStyle="1">
    <w:name w:val="2"/>
    <w:next w:val="678"/>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880" w:customStyle="1">
    <w:name w:val="Table Normal"/>
    <w:uiPriority w:val="0"/>
    <w:semiHidden/>
    <w:unhideWhenUsed/>
    <w:qFormat/>
    <w:tblPr>
      <w:tblCellMar>
        <w:left w:w="0" w:type="dxa"/>
        <w:top w:w="0" w:type="dxa"/>
        <w:right w:w="0" w:type="dxa"/>
        <w:bottom w:w="0" w:type="dxa"/>
      </w:tblCellMar>
    </w:tblPr>
  </w:style>
  <w:style w:type="paragraph" w:styleId="881" w:customStyle="1">
    <w:name w:val="正文文本1"/>
    <w:basedOn w:val="678"/>
    <w:next w:val="678"/>
    <w:uiPriority w:val="0"/>
    <w:qFormat/>
    <w:rPr>
      <w:rFonts w:ascii="金山简黑体" w:hAnsi="Courier New" w:eastAsia="金山简黑体"/>
      <w:b/>
      <w:spacing w:val="-8"/>
      <w:sz w:val="44"/>
      <w:szCs w:val="20"/>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风之声1391741147</dc:creator>
  <cp:lastModifiedBy>万丽丽</cp:lastModifiedBy>
  <cp:revision>7</cp:revision>
  <dcterms:created xsi:type="dcterms:W3CDTF">2026-05-19T06:46:00Z</dcterms:created>
  <dcterms:modified xsi:type="dcterms:W3CDTF">2026-09-04T01:49:35Z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8744E3D68FC1415F9204AFE53A129DE6_13</vt:lpwstr>
  </property>
  <property fmtid="{D5CDD505-2E9C-101B-9397-08002B2CF9AE}" pid="4" name="KSOTemplateDocerSaveRecord">
    <vt:lpwstr>eyJoZGlkIjoiOTk4ZDg2NmU3YTRhODY5ZGMxNjM2NTkzYjIwZTkyZWUiLCJ1c2VySWQiOiI1NzU0MTI5ODYifQ==</vt:lpwstr>
  </property>
</Properties>
</file>