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1"/>
        <w:rPr>
          <w:rFonts w:hint="eastAsia"/>
          <w:color w:val="000000"/>
          <w:highlight w:val="none"/>
        </w:rPr>
      </w:pPr>
      <w:r>
        <w:rPr>
          <w:rFonts w:hint="eastAsia"/>
          <w:color w:val="000000"/>
          <w:highlight w:val="none"/>
        </w:rPr>
      </w:r>
      <w:r/>
    </w:p>
    <w:p>
      <w:pPr>
        <w:pStyle w:val="964"/>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69"/>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南京鼓楼医院医疗人工智能推理服务器</w:t>
      </w:r>
      <w:r>
        <w:rPr>
          <w:rFonts w:eastAsia="宋体" w:cs="Times New Roman"/>
          <w:b/>
          <w:color w:val="000000"/>
          <w:sz w:val="30"/>
          <w:szCs w:val="30"/>
          <w:highlight w:val="none"/>
          <w:u w:val="single"/>
          <w:lang w:val="en-US" w:eastAsia="zh-CN"/>
        </w:rPr>
      </w:r>
      <w:r/>
    </w:p>
    <w:p>
      <w:pPr>
        <w:pStyle w:val="869"/>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JSZC-320100-JZCG-G2026-0281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69"/>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4"/>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9"/>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2</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19</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22</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25</w:t>
      </w:r>
      <w:r/>
    </w:p>
    <w:p>
      <w:pPr>
        <w:pStyle w:val="869"/>
        <w:jc w:val="center"/>
        <w:spacing w:line="480" w:lineRule="auto"/>
        <w:rPr>
          <w:rFonts w:hint="eastAsia" w:ascii="黑体" w:hAnsi="Arial" w:eastAsia="黑体"/>
          <w:b/>
          <w:color w:val="000000"/>
          <w:sz w:val="44"/>
          <w:szCs w:val="21"/>
          <w:highlight w:val="none"/>
        </w:rPr>
        <w:outlineLvl w:val="9"/>
      </w:pPr>
      <w:r>
        <w:rPr>
          <w:rFonts w:hint="eastAsia" w:ascii="黑体" w:hAnsi="Arial" w:eastAsia="黑体"/>
          <w:b/>
          <w:color w:val="000000"/>
          <w:sz w:val="44"/>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bookmarkEnd w:id="0"/>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olor w:val="000000"/>
          <w:sz w:val="24"/>
          <w:szCs w:val="24"/>
          <w:highlight w:val="none"/>
        </w:rPr>
      </w:pPr>
      <w:r/>
      <w:bookmarkEnd w:id="11"/>
      <w:r/>
      <w:bookmarkStart w:id="12" w:name="_Toc35393622"/>
      <w:r/>
      <w:bookmarkStart w:id="13" w:name="_Toc28359003"/>
      <w:r/>
      <w:bookmarkStart w:id="14" w:name="_Toc35393791"/>
      <w:r/>
      <w:bookmarkStart w:id="15" w:name="_Toc38985264"/>
      <w:r/>
      <w:bookmarkStart w:id="16" w:name="_Toc28359080"/>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val="en-US" w:eastAsia="zh-CN"/>
        </w:rPr>
        <w:t xml:space="preserve">JSZC-320100-JZCG-G2026-0281</w:t>
      </w:r>
      <w:r>
        <w:rPr>
          <w:rFonts w:ascii="宋体" w:hAnsi="宋体"/>
          <w:color w:val="000000"/>
          <w:sz w:val="24"/>
          <w:szCs w:val="24"/>
          <w:highlight w:val="none"/>
        </w:rPr>
      </w:r>
      <w:r/>
    </w:p>
    <w:p>
      <w:pPr>
        <w:pStyle w:val="869"/>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rPr>
        <w:t xml:space="preserve">南京鼓楼医院医疗人工智能推理服务器</w:t>
      </w:r>
      <w:r>
        <w:rPr>
          <w:rFonts w:hint="eastAsia" w:ascii="宋体" w:hAnsi="宋体" w:eastAsia="宋体"/>
          <w:color w:val="000000"/>
          <w:sz w:val="24"/>
          <w:szCs w:val="24"/>
          <w:highlight w:val="none"/>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rPr>
        <w:t xml:space="preserve">49.8万元</w:t>
      </w:r>
      <w:r>
        <w:rPr>
          <w:rFonts w:hint="eastAsia" w:ascii="宋体" w:hAnsi="宋体" w:eastAsia="宋体" w:cs="Times New Roman"/>
          <w:color w:val="000000"/>
          <w:sz w:val="24"/>
          <w:szCs w:val="24"/>
          <w:highlight w:val="none"/>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rPr>
        <w:t xml:space="preserve">49万元</w:t>
      </w:r>
      <w:r>
        <w:rPr>
          <w:rFonts w:hint="eastAsia" w:ascii="宋体" w:hAnsi="宋体" w:eastAsia="宋体" w:cs="Times New Roman"/>
          <w:color w:val="000000"/>
          <w:sz w:val="24"/>
          <w:szCs w:val="24"/>
          <w:highlight w:val="none"/>
          <w:lang w:eastAsia="zh-CN"/>
        </w:rPr>
      </w:r>
      <w:r/>
    </w:p>
    <w:p>
      <w:pPr>
        <w:pStyle w:val="869"/>
        <w:ind w:firstLine="480"/>
        <w:pageBreakBefore w:val="0"/>
        <w:spacing w:line="264" w:lineRule="auto"/>
        <w:widowControl w:val="off"/>
        <w:rPr>
          <w:rFonts w:ascii="宋体" w:hAnsi="宋体"/>
          <w:color w:val="000000"/>
          <w:sz w:val="24"/>
          <w:szCs w:val="24"/>
          <w:highlight w:val="none"/>
          <w:u w:val="single"/>
        </w:rPr>
      </w:pPr>
      <w:r>
        <w:rPr>
          <w:rFonts w:hint="eastAsia" w:ascii="宋体" w:hAnsi="宋体" w:eastAsia="宋体" w:cs="Times New Roman"/>
          <w:color w:val="000000"/>
          <w:sz w:val="24"/>
          <w:szCs w:val="24"/>
          <w:highlight w:val="none"/>
        </w:rPr>
        <w:t xml:space="preserve">5.采购需求（简介）：为贯彻国家“人工智能 + 医疗健康”战略部署，提升医疗大模型算力支撑能力，保障门诊、影像科医疗AI系统稳定运行，需采购高性能GPU服务器，搭建智慧医疗算力底座，设备需满足指定算力、硬件配置及质保相关要求。（详细内容见本招标文件第四章）</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69"/>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30天</w:t>
      </w:r>
      <w:r>
        <w:rPr>
          <w:rFonts w:hint="eastAsia" w:ascii="宋体" w:hAnsi="宋体"/>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35393792"/>
      <w:r/>
      <w:bookmarkStart w:id="19" w:name="_Toc38985265"/>
      <w:r/>
      <w:bookmarkStart w:id="20" w:name="_Toc28359004"/>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2"/>
        <w:ind w:firstLine="465"/>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69"/>
        <w:ind w:firstLine="480"/>
        <w:pageBreakBefore w:val="0"/>
        <w:spacing w:line="264"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bCs/>
          <w:color w:val="000000"/>
          <w:sz w:val="24"/>
          <w:szCs w:val="24"/>
          <w:highlight w:val="none"/>
          <w:u w:val="single"/>
          <w:lang w:val="en-US" w:eastAsia="zh-CN"/>
        </w:rPr>
      </w:pPr>
      <w:r/>
      <w:bookmarkStart w:id="27" w:name="_Toc35393625"/>
      <w:r/>
      <w:bookmarkStart w:id="28" w:name="_Toc28359084"/>
      <w:r/>
      <w:bookmarkStart w:id="29" w:name="_Toc38985267"/>
      <w:r/>
      <w:bookmarkStart w:id="30" w:name="_Toc35393794"/>
      <w:r/>
      <w:bookmarkStart w:id="31" w:name="_Toc2835900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9</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22</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时00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69"/>
        <w:ind w:firstLine="480"/>
        <w:pageBreakBefore w:val="0"/>
        <w:spacing w:line="264"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08"/>
      <w:r/>
      <w:bookmarkStart w:id="36" w:name="_Toc35393796"/>
      <w:r/>
      <w:bookmarkStart w:id="37" w:name="_Toc38985269"/>
      <w:r/>
      <w:bookmarkStart w:id="38" w:name="_Toc35393627"/>
      <w:r/>
      <w:bookmarkStart w:id="39" w:name="_Toc28359085"/>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69"/>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69"/>
        <w:ind w:firstLine="482"/>
        <w:spacing w:line="240" w:lineRule="auto"/>
        <w:tabs>
          <w:tab w:val="left" w:pos="900" w:leader="none"/>
        </w:tabs>
        <w:rPr>
          <w:rFonts w:hint="eastAsia" w:ascii="宋体" w:hAnsi="宋体" w:eastAsia="宋体" w:cs="Times New Roman"/>
          <w:b/>
          <w:bCs/>
          <w:color w:val="000000"/>
          <w:sz w:val="24"/>
          <w:highlight w:val="none"/>
          <w:lang w:val="en-US"/>
        </w:rPr>
      </w:pPr>
      <w:r>
        <w:rPr>
          <w:rFonts w:hint="eastAsia" w:ascii="宋体" w:hAnsi="宋体" w:eastAsia="宋体" w:cs="Times New Roman"/>
          <w:b/>
          <w:bCs/>
          <w:color w:val="000000"/>
          <w:sz w:val="24"/>
          <w:highlight w:val="none"/>
          <w:lang w:val="en-US"/>
        </w:rPr>
        <w:t xml:space="preserve">采购人《质疑函》收件人：张老师，收件地址：</w:t>
      </w:r>
      <w:r>
        <w:rPr>
          <w:rFonts w:hint="eastAsia" w:ascii="宋体" w:hAnsi="宋体" w:eastAsia="宋体" w:cs="Times New Roman"/>
          <w:b/>
          <w:bCs/>
          <w:color w:val="000000"/>
          <w:sz w:val="24"/>
          <w:highlight w:val="none"/>
          <w:lang w:val="zh-CN"/>
        </w:rPr>
        <w:t xml:space="preserve">南京市玄武区双龙巷5号4楼410（南京鼓楼医院医用物资采购中心）</w:t>
      </w:r>
      <w:r>
        <w:rPr>
          <w:rFonts w:hint="eastAsia" w:ascii="宋体" w:hAnsi="宋体" w:eastAsia="宋体" w:cs="Times New Roman"/>
          <w:b/>
          <w:bCs/>
          <w:color w:val="000000"/>
          <w:sz w:val="24"/>
          <w:highlight w:val="none"/>
          <w:lang w:val="en-US"/>
        </w:rPr>
        <w:t xml:space="preserve">，联系电话：</w:t>
      </w:r>
      <w:r>
        <w:rPr>
          <w:rFonts w:hint="eastAsia" w:ascii="宋体" w:hAnsi="宋体" w:eastAsia="宋体" w:cs="Times New Roman"/>
          <w:b/>
          <w:bCs/>
          <w:color w:val="000000"/>
          <w:sz w:val="24"/>
          <w:highlight w:val="none"/>
          <w:lang w:val="zh-CN"/>
        </w:rPr>
        <w:t xml:space="preserve">025-83105006</w:t>
      </w:r>
      <w:r>
        <w:rPr>
          <w:rFonts w:hint="eastAsia" w:ascii="宋体" w:hAnsi="宋体" w:eastAsia="宋体" w:cs="Times New Roman"/>
          <w:b/>
          <w:bCs/>
          <w:color w:val="000000"/>
          <w:sz w:val="24"/>
          <w:highlight w:val="none"/>
          <w:lang w:val="en-US"/>
        </w:rPr>
        <w:t xml:space="preserve">。</w:t>
      </w:r>
      <w:r>
        <w:rPr>
          <w:rFonts w:hint="eastAsia" w:ascii="宋体" w:hAnsi="宋体" w:eastAsia="宋体" w:cs="Times New Roman"/>
          <w:b/>
          <w:bCs/>
          <w:color w:val="000000"/>
          <w:sz w:val="24"/>
          <w:highlight w:val="none"/>
          <w:lang w:val="en-US"/>
        </w:rPr>
      </w:r>
      <w:r/>
    </w:p>
    <w:p>
      <w:pPr>
        <w:pStyle w:val="869"/>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1.采购人</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名  称：南京鼓楼医院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址：南京市鼓楼区中山路321号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联系人：张老师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联系电话：025-83105006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联系人：段女士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025-68505085</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69"/>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14:ligatures w14:val="none"/>
        </w:rPr>
      </w:pPr>
      <w:r>
        <w:rPr>
          <w:rFonts w:hint="eastAsia" w:ascii="方正楷体_GBK" w:hAnsi="方正楷体_GBK" w:eastAsia="方正楷体_GBK" w:cs="方正楷体_GBK"/>
          <w:b/>
          <w:bCs/>
          <w:color w:val="000000"/>
          <w:highlight w:val="none"/>
          <w:lang w:val="zh-CN" w:eastAsia="zh-CN"/>
        </w:rPr>
        <w:t xml:space="preserve">18.</w:t>
      </w:r>
      <w:r>
        <w:rPr>
          <w:rFonts w:hint="eastAsia" w:ascii="方正楷体_GBK" w:hAnsi="方正楷体_GBK" w:eastAsia="方正楷体_GBK" w:cs="方正楷体_GBK"/>
          <w:b/>
          <w:bCs/>
          <w:color w:val="000000"/>
          <w:highlight w:val="none"/>
          <w:lang w:val="zh-CN"/>
        </w:rPr>
        <w:t xml:space="preserve">评标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69"/>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69"/>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73"/>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69"/>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69"/>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69"/>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20614221"/>
      <w:r/>
      <w:bookmarkStart w:id="44" w:name="_Toc479757207"/>
      <w:r/>
      <w:bookmarkStart w:id="45" w:name="_Toc16938558"/>
      <w:r/>
      <w:bookmarkStart w:id="46" w:name="_Toc513029242"/>
      <w:r/>
      <w:bookmarkStart w:id="47" w:name="_Toc20823314"/>
      <w:r>
        <w:rPr>
          <w:rFonts w:hint="eastAsia" w:ascii="宋体" w:hAnsi="宋体" w:eastAsia="宋体" w:cs="Times New Roman"/>
          <w:color w:val="000000"/>
          <w:sz w:val="24"/>
          <w:highlight w:val="none"/>
          <w:lang w:val="zh-CN" w:eastAsia="zh-CN"/>
        </w:rPr>
      </w:r>
      <w:r/>
    </w:p>
    <w:p>
      <w:pPr>
        <w:pStyle w:val="95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1"/>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69"/>
        <w:ind w:firstLine="480"/>
        <w:keepLines w:val="0"/>
        <w:keepNext w:val="0"/>
        <w:pageBreakBefore w:val="0"/>
        <w:spacing w:line="264" w:lineRule="auto"/>
        <w:widowControl w:val="off"/>
        <w:rPr>
          <w:rFonts w:hint="eastAsia" w:ascii="宋体" w:hAnsi="宋体"/>
          <w:bCs/>
          <w:color w:val="000000"/>
          <w:sz w:val="24"/>
          <w:szCs w:val="21"/>
          <w:highlight w:val="none"/>
        </w:rPr>
        <w:outlineLvl w:val="9"/>
      </w:pPr>
      <w:r/>
      <w:bookmarkStart w:id="48" w:name="_Toc20823315"/>
      <w:r/>
      <w:bookmarkStart w:id="49" w:name="_Toc513029243"/>
      <w:r/>
      <w:bookmarkStart w:id="50" w:name="_Toc16938559"/>
      <w:r/>
      <w:bookmarkStart w:id="51" w:name="_Hlt16619350"/>
      <w:r/>
      <w:bookmarkStart w:id="52" w:name="_Toc16938590"/>
      <w:r/>
      <w:bookmarkStart w:id="53" w:name="_Toc120614244"/>
      <w:r/>
      <w:bookmarkStart w:id="54" w:name="_Toc20823346"/>
      <w:r/>
      <w:bookmarkStart w:id="55" w:name="_Toc479757211"/>
      <w:r/>
      <w:bookmarkStart w:id="56"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eastAsia="宋体" w:cs="Courier New"/>
          <w:color w:val="000000"/>
          <w:sz w:val="24"/>
          <w:szCs w:val="24"/>
          <w:highlight w:val="none"/>
          <w:lang w:val="en-US"/>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keepLines w:val="0"/>
        <w:keepNext w:val="0"/>
        <w:pageBreakBefore w:val="0"/>
        <w:spacing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w:t>
      </w:r>
      <w:r>
        <w:rPr>
          <w:rFonts w:hint="eastAsia" w:ascii="宋体" w:hAnsi="宋体" w:eastAsia="宋体" w:cs="Courier New"/>
          <w:b w:val="0"/>
          <w:bCs w:val="0"/>
          <w:color w:val="000000"/>
          <w:sz w:val="24"/>
          <w:szCs w:val="24"/>
          <w:highlight w:val="none"/>
          <w:u w:val="single"/>
          <w:lang w:val="en-US" w:eastAsia="zh-CN"/>
        </w:rPr>
        <w:t xml:space="preserve">0</w:t>
      </w:r>
      <w:r>
        <w:rPr>
          <w:rFonts w:hint="eastAsia" w:ascii="宋体" w:hAnsi="宋体" w:eastAsia="宋体" w:cs="Courier New"/>
          <w:b w:val="0"/>
          <w:bCs w:val="0"/>
          <w:color w:val="000000"/>
          <w:sz w:val="24"/>
          <w:szCs w:val="24"/>
          <w:highlight w:val="none"/>
          <w:u w:val="singl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w:t>
      </w:r>
      <w:r>
        <w:rPr>
          <w:rFonts w:hint="eastAsia" w:ascii="宋体" w:hAnsi="宋体" w:eastAsia="宋体" w:cs="Courier New"/>
          <w:b w:val="0"/>
          <w:bCs w:val="0"/>
          <w:color w:val="000000"/>
          <w:sz w:val="24"/>
          <w:szCs w:val="24"/>
          <w:highlight w:val="none"/>
          <w:lang w:val="en-US" w:eastAsia="zh-CN"/>
        </w:rPr>
        <w:t xml:space="preserve">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w:t>
      </w:r>
      <w:r>
        <w:rPr>
          <w:rFonts w:hint="eastAsia" w:ascii="宋体" w:hAnsi="宋体" w:eastAsia="宋体" w:cs="Courier New"/>
          <w:b w:val="0"/>
          <w:bCs w:val="0"/>
          <w:color w:val="000000"/>
          <w:sz w:val="24"/>
          <w:szCs w:val="24"/>
          <w:highlight w:val="none"/>
          <w:lang w:val="en-US" w:eastAsia="zh-CN"/>
        </w:rPr>
        <w:t xml:space="preserve">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w:t>
      </w:r>
      <w:r>
        <w:rPr>
          <w:rFonts w:hint="eastAsia" w:ascii="宋体" w:hAnsi="宋体" w:eastAsia="宋体" w:cs="Courier New"/>
          <w:b w:val="0"/>
          <w:bCs w:val="0"/>
          <w:color w:val="000000"/>
          <w:sz w:val="24"/>
          <w:szCs w:val="24"/>
          <w:highlight w:val="none"/>
          <w:lang w:val="en-US" w:eastAsia="zh-CN"/>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七、合同转包或</w:t>
      </w:r>
      <w:r>
        <w:rPr>
          <w:rFonts w:hint="eastAsia" w:ascii="方正黑体_GBK" w:hAnsi="方正黑体_GBK" w:eastAsia="方正黑体_GBK" w:cs="方正黑体_GBK"/>
          <w:b w:val="0"/>
          <w:bCs/>
          <w:color w:val="000000"/>
          <w:sz w:val="24"/>
          <w:szCs w:val="24"/>
          <w:highlight w:val="none"/>
          <w:lang w:val="en-US" w:eastAsia="zh-CN"/>
        </w:rPr>
        <w:t xml:space="preserve">分</w:t>
      </w:r>
      <w:r>
        <w:rPr>
          <w:rFonts w:hint="eastAsia" w:ascii="方正黑体_GBK" w:hAnsi="方正黑体_GBK" w:eastAsia="方正黑体_GBK" w:cs="方正黑体_GBK"/>
          <w:b w:val="0"/>
          <w:bCs/>
          <w:color w:val="000000"/>
          <w:sz w:val="24"/>
          <w:szCs w:val="24"/>
          <w:highlight w:val="none"/>
          <w:lang w:eastAsia="zh-CN"/>
        </w:rPr>
        <w:t xml:space="preserve">包</w:t>
      </w:r>
      <w:r>
        <w:rPr>
          <w:rFonts w:hint="eastAsia" w:ascii="方正黑体_GBK" w:hAnsi="方正黑体_GBK" w:eastAsia="方正黑体_GBK" w:cs="方正黑体_GBK"/>
          <w:b w:val="0"/>
          <w:bCs/>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ascii="宋体" w:hAnsi="宋体" w:eastAsia="宋体" w:cs="Courier New"/>
          <w:color w:val="000000"/>
          <w:sz w:val="24"/>
          <w:szCs w:val="24"/>
          <w:highlight w:val="none"/>
          <w:lang w:val="en-US" w:eastAsia="zh-CN"/>
        </w:rPr>
        <w:t xml:space="preserve">供货结束并验收合格后</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甲方支付合同总价款的70%。</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当采购数量与实际使用数量不一致时，乙方应根据实际使用量供货，合同的最终结算金额按实际使用量乘以成交单价进行计算。</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质保期内，乙方应对货物出现的质量及安全问题负责处理解决并承担一切费用。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甲方在组织履约验收前，将根据项目特点制定验收方案，明确验收的时间、方式、程序等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乙方在货物发运手续办理完毕后24小时内或货到甲方48小时前通知甲方，以准备接货。</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 1</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乙方逾期交付货物的，应按逾期交货总额每日</w:t>
      </w:r>
      <w:r>
        <w:rPr>
          <w:rFonts w:hint="eastAsia" w:ascii="宋体" w:hAnsi="宋体" w:eastAsia="宋体" w:cs="Courier New"/>
          <w:color w:val="000000"/>
          <w:sz w:val="24"/>
          <w:szCs w:val="24"/>
          <w:highlight w:val="none"/>
          <w:u w:val="single"/>
          <w:lang w:val="en-US" w:eastAsia="zh-CN"/>
        </w:rPr>
        <w:t xml:space="preserve"> </w:t>
      </w:r>
      <w:r>
        <w:rPr>
          <w:rFonts w:ascii="宋体" w:hAnsi="宋体" w:cs="Courier New"/>
          <w:color w:val="000000"/>
          <w:sz w:val="24"/>
          <w:szCs w:val="24"/>
          <w:highlight w:val="none"/>
          <w:u w:val="single"/>
        </w:rPr>
        <w:t xml:space="preserve">0.1</w:t>
      </w:r>
      <w:r>
        <w:rPr>
          <w:rFonts w:hint="eastAsia" w:ascii="宋体" w:hAnsi="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向甲方支付违约金，由甲方从待付货款中扣除。超过约定日期10个工作日不能交货的，甲方可解除本合同。乙方因逾期交货或因其他违约行为导致甲方解除合同的，应向甲方支付合同总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本合同正本一式两份，具有同等法律效力，甲方、乙方各执一份。</w:t>
      </w:r>
      <w:r>
        <w:rPr>
          <w:rFonts w:hint="eastAsia" w:ascii="宋体"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End w:id="48"/>
      <w:r/>
      <w:bookmarkEnd w:id="49"/>
      <w:r/>
      <w:bookmarkEnd w:id="50"/>
      <w:r/>
      <w:bookmarkStart w:id="57" w:name="_Hlt16619369"/>
      <w:r/>
      <w:bookmarkEnd w:id="57"/>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0"/>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49090575"/>
      <w:r/>
      <w:bookmarkStart w:id="59"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为落实国家“人工智能+医疗健康”战略部署，进一步提升南京鼓楼医院在人工智能与大模型领域的算力支撑能力，保障各类医疗AI应用稳定、高效运行，夯实智慧医疗建设的算力底座，现需采购高性能GPU服务器（医疗人工智能推理服务器）。</w:t>
      </w:r>
      <w:r>
        <w:rPr>
          <w:rFonts w:hint="eastAsia" w:ascii="宋体" w:hAnsi="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遵循国家、行业及地方现行的规范和标准。</w:t>
      </w:r>
      <w:r>
        <w:rPr>
          <w:rFonts w:hint="eastAsia" w:ascii="宋体" w:hAnsi="宋体" w:eastAsia="宋体" w:cs="Times New Roman"/>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tbl>
      <w:tblPr>
        <w:tblW w:w="4995"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35"/>
        <w:gridCol w:w="2250"/>
        <w:gridCol w:w="516"/>
        <w:gridCol w:w="641"/>
        <w:gridCol w:w="1368"/>
        <w:gridCol w:w="1187"/>
        <w:gridCol w:w="1023"/>
        <w:gridCol w:w="989"/>
        <w:gridCol w:w="1143"/>
      </w:tblGrid>
      <w:tr>
        <w:trPr>
          <w:trHeight w:val="470"/>
        </w:trPr>
        <w:tc>
          <w:tcPr>
            <w:tcW w:w="33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序号</w:t>
            </w:r>
            <w:r>
              <w:rPr>
                <w:rFonts w:hint="eastAsia" w:ascii="宋体" w:hAnsi="宋体" w:eastAsia="宋体" w:cs="宋体"/>
                <w:bCs/>
                <w:color w:val="000000"/>
                <w:sz w:val="24"/>
                <w:szCs w:val="24"/>
                <w:highlight w:val="none"/>
                <w:lang w:val="en-US" w:eastAsia="zh-CN"/>
              </w:rPr>
            </w:r>
            <w:r/>
          </w:p>
        </w:tc>
        <w:tc>
          <w:tcPr>
            <w:tcW w:w="119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分项名称</w:t>
            </w:r>
            <w:r>
              <w:rPr>
                <w:rFonts w:hint="eastAsia" w:ascii="宋体" w:hAnsi="宋体" w:eastAsia="宋体" w:cs="宋体"/>
                <w:bCs/>
                <w:color w:val="000000"/>
                <w:sz w:val="24"/>
                <w:szCs w:val="24"/>
                <w:highlight w:val="none"/>
                <w:lang w:val="en-US" w:eastAsia="zh-CN"/>
              </w:rPr>
            </w:r>
            <w:r/>
          </w:p>
        </w:tc>
        <w:tc>
          <w:tcPr>
            <w:tcW w:w="27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数量</w:t>
            </w:r>
            <w:r>
              <w:rPr>
                <w:rFonts w:hint="eastAsia" w:ascii="宋体" w:hAnsi="宋体" w:eastAsia="宋体" w:cs="宋体"/>
                <w:bCs/>
                <w:color w:val="000000"/>
                <w:sz w:val="24"/>
                <w:szCs w:val="24"/>
                <w:highlight w:val="none"/>
                <w:lang w:val="en-US" w:eastAsia="zh-CN"/>
              </w:rPr>
            </w:r>
            <w:r/>
          </w:p>
        </w:tc>
        <w:tc>
          <w:tcPr>
            <w:tcW w:w="3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单位</w:t>
            </w:r>
            <w:r>
              <w:rPr>
                <w:rFonts w:hint="eastAsia" w:ascii="宋体" w:hAnsi="宋体" w:eastAsia="宋体" w:cs="宋体"/>
                <w:bCs/>
                <w:color w:val="000000"/>
                <w:sz w:val="24"/>
                <w:szCs w:val="24"/>
                <w:highlight w:val="none"/>
                <w:lang w:val="en-US" w:eastAsia="zh-CN"/>
              </w:rPr>
            </w:r>
            <w:r/>
          </w:p>
        </w:tc>
        <w:tc>
          <w:tcPr>
            <w:tcW w:w="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单价上限</w:t>
            </w:r>
            <w:r>
              <w:rPr>
                <w:rFonts w:hint="eastAsia" w:ascii="宋体" w:hAnsi="宋体" w:eastAsia="宋体" w:cs="宋体"/>
                <w:bCs/>
                <w:color w:val="000000"/>
                <w:sz w:val="24"/>
                <w:szCs w:val="24"/>
                <w:highlight w:val="none"/>
                <w:lang w:val="en-US" w:eastAsia="zh-CN"/>
              </w:rPr>
            </w:r>
            <w:r/>
          </w:p>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val="en-US" w:eastAsia="zh-CN"/>
              </w:rPr>
            </w:r>
            <w:r/>
          </w:p>
        </w:tc>
        <w:tc>
          <w:tcPr>
            <w:tcW w:w="6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产品类型</w:t>
            </w:r>
            <w:r>
              <w:rPr>
                <w:rFonts w:hint="eastAsia" w:ascii="宋体" w:hAnsi="宋体" w:eastAsia="宋体" w:cs="宋体"/>
                <w:bCs/>
                <w:color w:val="000000"/>
                <w:sz w:val="24"/>
                <w:szCs w:val="24"/>
                <w:highlight w:val="none"/>
                <w:lang w:val="en-US" w:eastAsia="zh-CN"/>
              </w:rPr>
            </w:r>
            <w:r/>
          </w:p>
        </w:tc>
        <w:tc>
          <w:tcPr>
            <w:tcW w:w="5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中小企业划分标准所属行业</w:t>
            </w:r>
            <w:r>
              <w:rPr>
                <w:rFonts w:hint="eastAsia" w:ascii="宋体" w:hAnsi="宋体" w:eastAsia="宋体" w:cs="宋体"/>
                <w:bCs/>
                <w:color w:val="000000"/>
                <w:sz w:val="24"/>
                <w:szCs w:val="24"/>
                <w:highlight w:val="none"/>
                <w:lang w:val="en-US" w:eastAsia="zh-CN"/>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宋体"/>
                <w:bCs/>
                <w:color w:val="000000"/>
                <w:sz w:val="24"/>
                <w:szCs w:val="24"/>
                <w:highlight w:val="none"/>
                <w:lang w:val="en-US" w:eastAsia="zh-CN"/>
              </w:rPr>
            </w:r>
            <w:r/>
          </w:p>
        </w:tc>
        <w:tc>
          <w:tcPr>
            <w:tcW w:w="60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政府强制采购节能产品</w:t>
            </w:r>
            <w:r>
              <w:rPr>
                <w:rFonts w:hint="eastAsia" w:ascii="宋体" w:hAnsi="宋体" w:eastAsia="宋体" w:cs="宋体"/>
                <w:bCs/>
                <w:color w:val="000000"/>
                <w:sz w:val="24"/>
                <w:szCs w:val="24"/>
                <w:highlight w:val="none"/>
                <w:lang w:val="en-US" w:eastAsia="zh-CN"/>
              </w:rPr>
            </w:r>
            <w:r/>
          </w:p>
        </w:tc>
      </w:tr>
      <w:tr>
        <w:trPr>
          <w:trHeight w:val="414"/>
        </w:trPr>
        <w:tc>
          <w:tcPr>
            <w:tcW w:w="337"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1194"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服务器</w:t>
            </w:r>
            <w:r>
              <w:rPr>
                <w:rFonts w:ascii="宋体" w:hAnsi="宋体" w:cs="宋体"/>
                <w:bCs/>
                <w:color w:val="000000"/>
                <w:sz w:val="24"/>
                <w:szCs w:val="24"/>
                <w:highlight w:val="none"/>
              </w:rPr>
            </w:r>
            <w:r/>
          </w:p>
        </w:tc>
        <w:tc>
          <w:tcPr>
            <w:tcW w:w="274"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340"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台</w:t>
            </w:r>
            <w:r>
              <w:rPr>
                <w:rFonts w:ascii="宋体" w:hAnsi="宋体" w:cs="宋体"/>
                <w:bCs/>
                <w:color w:val="000000"/>
                <w:sz w:val="24"/>
                <w:szCs w:val="24"/>
                <w:highlight w:val="none"/>
              </w:rPr>
            </w:r>
            <w:r/>
          </w:p>
        </w:tc>
        <w:tc>
          <w:tcPr>
            <w:tcW w:w="547"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490000</w:t>
            </w:r>
            <w:r>
              <w:rPr>
                <w:rFonts w:ascii="宋体" w:hAnsi="宋体" w:cs="宋体"/>
                <w:bCs/>
                <w:color w:val="000000"/>
                <w:sz w:val="24"/>
                <w:szCs w:val="24"/>
                <w:highlight w:val="none"/>
              </w:rPr>
            </w:r>
            <w:r/>
          </w:p>
        </w:tc>
        <w:tc>
          <w:tcPr>
            <w:tcW w:w="630"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核心产品</w:t>
            </w:r>
            <w:r>
              <w:rPr>
                <w:rFonts w:ascii="宋体" w:hAnsi="宋体" w:cs="宋体"/>
                <w:bCs/>
                <w:color w:val="000000"/>
                <w:sz w:val="24"/>
                <w:szCs w:val="24"/>
                <w:highlight w:val="none"/>
              </w:rPr>
            </w:r>
            <w:r/>
          </w:p>
        </w:tc>
        <w:tc>
          <w:tcPr>
            <w:tcW w:w="543"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工业</w:t>
            </w:r>
            <w:r>
              <w:rPr>
                <w:rFonts w:ascii="宋体" w:hAnsi="宋体" w:cs="宋体"/>
                <w:bCs/>
                <w:color w:val="000000"/>
                <w:sz w:val="24"/>
                <w:szCs w:val="24"/>
                <w:highlight w:val="none"/>
              </w:rPr>
            </w:r>
            <w:r/>
          </w:p>
        </w:tc>
        <w:tc>
          <w:tcPr>
            <w:tcW w:w="525"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货物</w:t>
            </w:r>
            <w:r>
              <w:rPr>
                <w:rFonts w:ascii="宋体" w:hAnsi="宋体" w:cs="宋体"/>
                <w:bCs/>
                <w:color w:val="000000"/>
                <w:sz w:val="24"/>
                <w:szCs w:val="24"/>
                <w:highlight w:val="none"/>
              </w:rPr>
            </w:r>
            <w:r/>
          </w:p>
        </w:tc>
        <w:tc>
          <w:tcPr>
            <w:tcW w:w="606"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Style w:val="1001"/>
                <w:rFonts w:hint="eastAsia"/>
                <w:color w:val="000000"/>
                <w:highlight w:val="none"/>
              </w:rPr>
              <w:t xml:space="preserve">否</w:t>
            </w:r>
            <w:r>
              <w:rPr>
                <w:rFonts w:ascii="宋体" w:hAnsi="宋体" w:cs="宋体"/>
                <w:bCs/>
                <w:color w:val="000000"/>
                <w:sz w:val="24"/>
                <w:szCs w:val="24"/>
                <w:highlight w:val="none"/>
              </w:rPr>
            </w:r>
            <w:r/>
          </w:p>
        </w:tc>
      </w:tr>
    </w:tbl>
    <w:p>
      <w:pPr>
        <w:pStyle w:val="869"/>
        <w:rPr>
          <w:rFonts w:hint="eastAsia"/>
          <w:color w:val="000000"/>
          <w:highlight w:val="none"/>
          <w:lang w:eastAsia="zh-CN"/>
        </w:rPr>
      </w:pPr>
      <w:r>
        <w:rPr>
          <w:rFonts w:hint="eastAsia"/>
          <w:color w:val="000000"/>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ascii="宋体" w:hAnsi="宋体" w:eastAsia="宋体" w:cs="宋体"/>
          <w:bCs/>
          <w:color w:val="000000"/>
          <w:sz w:val="24"/>
          <w:szCs w:val="24"/>
          <w:highlight w:val="none"/>
          <w:lang w:val="en-US" w:eastAsia="zh-CN"/>
        </w:rPr>
      </w:r>
      <w:r/>
    </w:p>
    <w:tbl>
      <w:tblPr>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177"/>
        <w:gridCol w:w="7967"/>
      </w:tblGrid>
      <w:tr>
        <w:trPr/>
        <w:tc>
          <w:tcPr>
            <w:tcW w:w="660" w:type="dxa"/>
            <w:vAlign w:val="center"/>
            <w:textDirection w:val="lrTb"/>
            <w:noWrap w:val="false"/>
          </w:tcPr>
          <w:p>
            <w:pPr>
              <w:pStyle w:val="869"/>
              <w:jc w:val="center"/>
              <w:spacing w:line="264"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ascii="宋体" w:hAnsi="宋体" w:cs="宋体"/>
                <w:b/>
                <w:color w:val="000000"/>
                <w:sz w:val="24"/>
                <w:szCs w:val="24"/>
                <w:highlight w:val="none"/>
              </w:rPr>
            </w:r>
            <w:r/>
          </w:p>
        </w:tc>
        <w:tc>
          <w:tcPr>
            <w:tcW w:w="1177" w:type="dxa"/>
            <w:vAlign w:val="center"/>
            <w:textDirection w:val="lrTb"/>
            <w:noWrap w:val="false"/>
          </w:tcPr>
          <w:p>
            <w:pPr>
              <w:pStyle w:val="869"/>
              <w:jc w:val="center"/>
              <w:spacing w:line="264"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产品名称</w:t>
            </w:r>
            <w:r>
              <w:rPr>
                <w:rFonts w:ascii="宋体" w:hAnsi="宋体" w:cs="宋体"/>
                <w:b/>
                <w:color w:val="000000"/>
                <w:sz w:val="24"/>
                <w:szCs w:val="24"/>
                <w:highlight w:val="none"/>
              </w:rPr>
            </w:r>
            <w:r/>
          </w:p>
        </w:tc>
        <w:tc>
          <w:tcPr>
            <w:tcW w:w="7967" w:type="dxa"/>
            <w:vAlign w:val="center"/>
            <w:textDirection w:val="lrTb"/>
            <w:noWrap w:val="false"/>
          </w:tcPr>
          <w:p>
            <w:pPr>
              <w:pStyle w:val="869"/>
              <w:jc w:val="center"/>
              <w:spacing w:line="264"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功能、性能、配置要求不低于以下要求</w:t>
            </w:r>
            <w:r>
              <w:rPr>
                <w:rFonts w:ascii="宋体" w:hAnsi="宋体" w:cs="宋体"/>
                <w:b/>
                <w:color w:val="000000"/>
                <w:sz w:val="24"/>
                <w:szCs w:val="24"/>
                <w:highlight w:val="none"/>
              </w:rPr>
            </w:r>
            <w:r/>
          </w:p>
        </w:tc>
      </w:tr>
      <w:tr>
        <w:trPr>
          <w:trHeight w:val="349"/>
        </w:trPr>
        <w:tc>
          <w:tcPr>
            <w:tcW w:w="660" w:type="dxa"/>
            <w:vAlign w:val="center"/>
            <w:textDirection w:val="lrTb"/>
            <w:noWrap w:val="false"/>
          </w:tcPr>
          <w:p>
            <w:pPr>
              <w:pStyle w:val="869"/>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1177" w:type="dxa"/>
            <w:vAlign w:val="center"/>
            <w:textDirection w:val="lrTb"/>
            <w:noWrap w:val="false"/>
          </w:tcPr>
          <w:p>
            <w:pPr>
              <w:pStyle w:val="869"/>
              <w:jc w:val="left"/>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服务器</w:t>
            </w:r>
            <w:r>
              <w:rPr>
                <w:rFonts w:ascii="宋体" w:hAnsi="宋体" w:cs="宋体"/>
                <w:bCs/>
                <w:color w:val="000000"/>
                <w:sz w:val="24"/>
                <w:szCs w:val="24"/>
                <w:highlight w:val="none"/>
              </w:rPr>
            </w:r>
            <w:r/>
          </w:p>
        </w:tc>
        <w:tc>
          <w:tcPr>
            <w:tcW w:w="7967" w:type="dxa"/>
            <w:vAlign w:val="center"/>
            <w:textDirection w:val="lrTb"/>
            <w:noWrap w:val="false"/>
          </w:tcPr>
          <w:p>
            <w:pPr>
              <w:pStyle w:val="869"/>
              <w:rPr>
                <w:rFonts w:hint="eastAsia" w:eastAsia="宋体"/>
                <w:color w:val="000000"/>
                <w:highlight w:val="none"/>
                <w:lang w:val="en-US" w:eastAsia="zh-CN"/>
              </w:rPr>
            </w:pPr>
            <w:r>
              <w:rPr>
                <w:rFonts w:hint="eastAsia"/>
                <w:color w:val="000000"/>
                <w:highlight w:val="none"/>
              </w:rPr>
              <w:t xml:space="preserve">★1</w:t>
            </w:r>
            <w:r>
              <w:rPr>
                <w:rFonts w:hint="eastAsia"/>
                <w:color w:val="000000"/>
                <w:highlight w:val="none"/>
                <w:lang w:eastAsia="zh-CN"/>
              </w:rPr>
              <w:t xml:space="preserve">.</w:t>
            </w:r>
            <w:r>
              <w:rPr>
                <w:rFonts w:hint="eastAsia"/>
                <w:color w:val="000000"/>
                <w:highlight w:val="none"/>
              </w:rPr>
              <w:t xml:space="preserve">服务器高度：≤4U</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eastAsia="宋体"/>
                <w:color w:val="000000"/>
                <w:highlight w:val="none"/>
                <w:lang w:val="en-US" w:eastAsia="zh-CN"/>
              </w:rPr>
            </w:r>
            <w:r/>
          </w:p>
          <w:p>
            <w:pPr>
              <w:pStyle w:val="869"/>
              <w:rPr>
                <w:color w:val="000000"/>
                <w:highlight w:val="none"/>
              </w:rPr>
            </w:pPr>
            <w:r>
              <w:rPr>
                <w:rFonts w:hint="eastAsia"/>
                <w:color w:val="000000"/>
                <w:highlight w:val="none"/>
              </w:rPr>
              <w:t xml:space="preserve">★2</w:t>
            </w:r>
            <w:r>
              <w:rPr>
                <w:rFonts w:hint="eastAsia"/>
                <w:color w:val="000000"/>
                <w:highlight w:val="none"/>
                <w:lang w:eastAsia="zh-CN"/>
              </w:rPr>
              <w:t xml:space="preserve">.</w:t>
            </w:r>
            <w:r>
              <w:rPr>
                <w:rFonts w:hint="eastAsia"/>
                <w:color w:val="000000"/>
                <w:highlight w:val="none"/>
              </w:rPr>
              <w:t xml:space="preserve">CPU：配置≥2 颗处理器，单颗处理器核心≥32 核，主频≥2.1GHz</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color w:val="000000"/>
                <w:highlight w:val="none"/>
              </w:rPr>
            </w:r>
            <w:r/>
          </w:p>
          <w:p>
            <w:pPr>
              <w:pStyle w:val="869"/>
              <w:rPr>
                <w:rFonts w:hint="eastAsia" w:eastAsia="宋体"/>
                <w:color w:val="000000"/>
                <w:highlight w:val="none"/>
                <w:lang w:eastAsia="zh-CN"/>
              </w:rPr>
            </w:pPr>
            <w:r>
              <w:rPr>
                <w:rFonts w:hint="eastAsia"/>
                <w:color w:val="000000"/>
                <w:highlight w:val="none"/>
              </w:rPr>
              <w:t xml:space="preserve">★3</w:t>
            </w:r>
            <w:r>
              <w:rPr>
                <w:rFonts w:hint="eastAsia"/>
                <w:color w:val="000000"/>
                <w:highlight w:val="none"/>
                <w:lang w:eastAsia="zh-CN"/>
              </w:rPr>
              <w:t xml:space="preserve">.</w:t>
            </w:r>
            <w:r>
              <w:rPr>
                <w:rFonts w:hint="eastAsia"/>
                <w:color w:val="000000"/>
                <w:highlight w:val="none"/>
              </w:rPr>
              <w:t xml:space="preserve">GPU：配置总显存≥384GB，总浮点处理能力≥450TFLOPS，符合门诊、影像科医疗AI智能服务相关系统的应用</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eastAsia="宋体"/>
                <w:color w:val="000000"/>
                <w:highlight w:val="none"/>
                <w:lang w:eastAsia="zh-CN"/>
              </w:rPr>
            </w:r>
            <w:r/>
          </w:p>
          <w:p>
            <w:pPr>
              <w:pStyle w:val="869"/>
              <w:rPr>
                <w:rFonts w:hint="eastAsia" w:eastAsia="宋体"/>
                <w:color w:val="000000"/>
                <w:highlight w:val="none"/>
                <w:lang w:eastAsia="zh-CN"/>
              </w:rPr>
            </w:pPr>
            <w:r>
              <w:rPr>
                <w:rFonts w:hint="eastAsia"/>
                <w:color w:val="000000"/>
                <w:highlight w:val="none"/>
              </w:rPr>
              <w:t xml:space="preserve">★4</w:t>
            </w:r>
            <w:r>
              <w:rPr>
                <w:rFonts w:hint="eastAsia"/>
                <w:color w:val="000000"/>
                <w:highlight w:val="none"/>
                <w:lang w:eastAsia="zh-CN"/>
              </w:rPr>
              <w:t xml:space="preserve">.</w:t>
            </w:r>
            <w:r>
              <w:rPr>
                <w:rFonts w:hint="eastAsia"/>
                <w:color w:val="000000"/>
                <w:highlight w:val="none"/>
              </w:rPr>
              <w:t xml:space="preserve">内存：支持DDR5内存插槽，内存槽位≥8个，本次内存实配≥8*64GB</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eastAsia="宋体"/>
                <w:color w:val="000000"/>
                <w:highlight w:val="none"/>
                <w:lang w:eastAsia="zh-CN"/>
              </w:rPr>
            </w:r>
            <w:r/>
          </w:p>
          <w:p>
            <w:pPr>
              <w:pStyle w:val="869"/>
              <w:rPr>
                <w:rFonts w:hint="eastAsia"/>
                <w:color w:val="000000"/>
                <w:highlight w:val="none"/>
                <w:lang w:eastAsia="zh-CN"/>
              </w:rPr>
            </w:pPr>
            <w:r>
              <w:rPr>
                <w:rFonts w:hint="eastAsia"/>
                <w:color w:val="000000"/>
                <w:highlight w:val="none"/>
              </w:rPr>
              <w:t xml:space="preserve">★5</w:t>
            </w:r>
            <w:r>
              <w:rPr>
                <w:rFonts w:hint="eastAsia"/>
                <w:color w:val="000000"/>
                <w:highlight w:val="none"/>
                <w:lang w:eastAsia="zh-CN"/>
              </w:rPr>
              <w:t xml:space="preserve">.</w:t>
            </w:r>
            <w:r>
              <w:rPr>
                <w:rFonts w:hint="eastAsia"/>
                <w:color w:val="000000"/>
                <w:highlight w:val="none"/>
              </w:rPr>
              <w:t xml:space="preserve">硬盘：支持2.5英寸SATA/NVMe</w:t>
            </w:r>
            <w:bookmarkStart w:id="60" w:name="OLE_LINK3"/>
            <w:r>
              <w:rPr>
                <w:rFonts w:hint="eastAsia"/>
                <w:color w:val="000000"/>
                <w:highlight w:val="none"/>
              </w:rPr>
              <w:t xml:space="preserve">，</w:t>
            </w:r>
            <w:bookmarkEnd w:id="60"/>
            <w:r>
              <w:rPr>
                <w:rFonts w:hint="eastAsia"/>
                <w:color w:val="000000"/>
                <w:highlight w:val="none"/>
              </w:rPr>
              <w:t xml:space="preserve">本次需实配≥2*960G SSD盘</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color w:val="000000"/>
                <w:highlight w:val="none"/>
                <w:lang w:eastAsia="zh-CN"/>
              </w:rPr>
            </w:r>
            <w:r/>
          </w:p>
          <w:p>
            <w:pPr>
              <w:pStyle w:val="869"/>
              <w:rPr>
                <w:rFonts w:hint="eastAsia"/>
                <w:color w:val="000000"/>
                <w:highlight w:val="none"/>
                <w:lang w:eastAsia="zh-CN"/>
              </w:rPr>
            </w:pPr>
            <w:r>
              <w:rPr>
                <w:rFonts w:hint="eastAsia"/>
                <w:color w:val="000000"/>
                <w:highlight w:val="none"/>
              </w:rPr>
              <w:t xml:space="preserve">★6</w:t>
            </w:r>
            <w:r>
              <w:rPr>
                <w:rFonts w:hint="eastAsia"/>
                <w:color w:val="000000"/>
                <w:highlight w:val="none"/>
                <w:lang w:eastAsia="zh-CN"/>
              </w:rPr>
              <w:t xml:space="preserve">.</w:t>
            </w:r>
            <w:r>
              <w:rPr>
                <w:rFonts w:hint="eastAsia"/>
                <w:color w:val="000000"/>
                <w:highlight w:val="none"/>
              </w:rPr>
              <w:t xml:space="preserve">RAID卡：配置独立硬件RAID卡，支持RAID 0/1/10/5/50/6/60</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color w:val="000000"/>
                <w:highlight w:val="none"/>
                <w:lang w:eastAsia="zh-CN"/>
              </w:rPr>
            </w:r>
            <w:r/>
          </w:p>
          <w:p>
            <w:pPr>
              <w:pStyle w:val="869"/>
              <w:rPr>
                <w:rFonts w:hint="eastAsia"/>
                <w:color w:val="000000"/>
                <w:highlight w:val="none"/>
                <w:lang w:eastAsia="zh-CN"/>
              </w:rPr>
            </w:pPr>
            <w:r>
              <w:rPr>
                <w:rFonts w:hint="eastAsia"/>
                <w:color w:val="000000"/>
                <w:highlight w:val="none"/>
              </w:rPr>
              <w:t xml:space="preserve">★7</w:t>
            </w:r>
            <w:r>
              <w:rPr>
                <w:rFonts w:hint="eastAsia"/>
                <w:color w:val="000000"/>
                <w:highlight w:val="none"/>
                <w:lang w:eastAsia="zh-CN"/>
              </w:rPr>
              <w:t xml:space="preserve">.</w:t>
            </w:r>
            <w:r>
              <w:rPr>
                <w:rFonts w:hint="eastAsia"/>
                <w:color w:val="000000"/>
                <w:highlight w:val="none"/>
              </w:rPr>
              <w:t xml:space="preserve">网卡：配置≥1块双口10/25Gb光口网卡（含光模块）</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color w:val="000000"/>
                <w:highlight w:val="none"/>
                <w:lang w:eastAsia="zh-CN"/>
              </w:rPr>
            </w:r>
            <w:r/>
          </w:p>
          <w:p>
            <w:pPr>
              <w:pStyle w:val="869"/>
              <w:rPr>
                <w:rFonts w:hint="eastAsia"/>
                <w:color w:val="000000"/>
                <w:highlight w:val="none"/>
                <w:lang w:eastAsia="zh-CN"/>
              </w:rPr>
            </w:pPr>
            <w:r>
              <w:rPr>
                <w:rFonts w:hint="eastAsia"/>
                <w:color w:val="000000"/>
                <w:highlight w:val="none"/>
              </w:rPr>
              <w:t xml:space="preserve">★8</w:t>
            </w:r>
            <w:r>
              <w:rPr>
                <w:rFonts w:hint="eastAsia"/>
                <w:color w:val="000000"/>
                <w:highlight w:val="none"/>
                <w:lang w:eastAsia="zh-CN"/>
              </w:rPr>
              <w:t xml:space="preserve">.</w:t>
            </w:r>
            <w:r>
              <w:rPr>
                <w:rFonts w:hint="eastAsia"/>
                <w:color w:val="000000"/>
                <w:highlight w:val="none"/>
              </w:rPr>
              <w:t xml:space="preserve">电源：配置≥4块2700W冗余电源</w:t>
            </w:r>
            <w:r>
              <w:rPr>
                <w:rFonts w:hint="eastAsia"/>
                <w:color w:val="000000"/>
                <w:highlight w:val="none"/>
                <w:lang w:eastAsia="zh-CN"/>
              </w:rPr>
              <w:t xml:space="preserve">；（</w:t>
            </w:r>
            <w:r>
              <w:rPr>
                <w:rFonts w:hint="eastAsia"/>
                <w:color w:val="000000"/>
                <w:highlight w:val="none"/>
              </w:rPr>
              <w:t xml:space="preserve">签订合同时提供白皮书或加盖</w:t>
            </w:r>
            <w:r>
              <w:rPr>
                <w:rFonts w:hint="eastAsia"/>
                <w:color w:val="000000"/>
                <w:highlight w:val="none"/>
                <w:lang w:eastAsia="zh-CN"/>
              </w:rPr>
              <w:t xml:space="preserve">供应商</w:t>
            </w:r>
            <w:r>
              <w:rPr>
                <w:rFonts w:hint="eastAsia"/>
                <w:color w:val="000000"/>
                <w:highlight w:val="none"/>
              </w:rPr>
              <w:t xml:space="preserve">公章的其他证明材料</w:t>
            </w:r>
            <w:r>
              <w:rPr>
                <w:rFonts w:hint="eastAsia"/>
                <w:color w:val="000000"/>
                <w:highlight w:val="none"/>
                <w:lang w:eastAsia="zh-CN"/>
              </w:rPr>
              <w:t xml:space="preserve">）</w:t>
            </w:r>
            <w:r>
              <w:rPr>
                <w:rFonts w:hint="eastAsia"/>
                <w:color w:val="000000"/>
                <w:highlight w:val="none"/>
                <w:lang w:eastAsia="zh-CN"/>
              </w:rPr>
            </w:r>
            <w:r/>
          </w:p>
          <w:p>
            <w:pPr>
              <w:pStyle w:val="869"/>
              <w:rPr>
                <w:rFonts w:hint="eastAsia" w:eastAsia="宋体"/>
                <w:color w:val="000000"/>
                <w:highlight w:val="none"/>
                <w:lang w:eastAsia="zh-CN"/>
              </w:rPr>
            </w:pPr>
            <w:r>
              <w:rPr>
                <w:rFonts w:hint="eastAsia"/>
                <w:color w:val="000000"/>
                <w:highlight w:val="none"/>
              </w:rPr>
              <w:t xml:space="preserve">▲</w:t>
            </w:r>
            <w:r>
              <w:rPr>
                <w:color w:val="000000"/>
                <w:highlight w:val="none"/>
              </w:rPr>
              <w:t xml:space="preserve">9</w:t>
            </w:r>
            <w:r>
              <w:rPr>
                <w:rFonts w:hint="eastAsia"/>
                <w:color w:val="000000"/>
                <w:highlight w:val="none"/>
                <w:lang w:eastAsia="zh-CN"/>
              </w:rPr>
              <w:t xml:space="preserve">.</w:t>
            </w:r>
            <w:r>
              <w:rPr>
                <w:rFonts w:hint="eastAsia"/>
                <w:color w:val="000000"/>
                <w:highlight w:val="none"/>
              </w:rPr>
              <w:t xml:space="preserve">带外管理：配置独立的远程管理控制端口，支持远程监控图形界面，可实现与操作系统无关的远程对服务器的完全控制，包括远程的开机、关机、重启、虚拟软驱、虚拟光驱等操作</w:t>
            </w:r>
            <w:r>
              <w:rPr>
                <w:rFonts w:hint="eastAsia"/>
                <w:color w:val="000000"/>
                <w:highlight w:val="none"/>
                <w:lang w:eastAsia="zh-CN"/>
              </w:rPr>
              <w:t xml:space="preserve">；</w:t>
            </w:r>
            <w:r>
              <w:rPr>
                <w:rFonts w:hint="eastAsia" w:eastAsia="宋体"/>
                <w:color w:val="000000"/>
                <w:highlight w:val="none"/>
                <w:lang w:eastAsia="zh-CN"/>
              </w:rPr>
            </w:r>
            <w:r/>
          </w:p>
          <w:p>
            <w:pPr>
              <w:pStyle w:val="869"/>
              <w:rPr>
                <w:color w:val="000000"/>
                <w:highlight w:val="none"/>
              </w:rPr>
            </w:pPr>
            <w:r>
              <w:rPr>
                <w:rFonts w:hint="eastAsia"/>
                <w:color w:val="000000"/>
                <w:highlight w:val="none"/>
              </w:rPr>
              <w:t xml:space="preserve">▲1</w:t>
            </w:r>
            <w:r>
              <w:rPr>
                <w:color w:val="000000"/>
                <w:highlight w:val="none"/>
              </w:rPr>
              <w:t xml:space="preserve">0</w:t>
            </w:r>
            <w:r>
              <w:rPr>
                <w:rFonts w:hint="eastAsia"/>
                <w:color w:val="000000"/>
                <w:highlight w:val="none"/>
                <w:lang w:eastAsia="zh-CN"/>
              </w:rPr>
              <w:t xml:space="preserve">.</w:t>
            </w:r>
            <w:r>
              <w:rPr>
                <w:rFonts w:hint="eastAsia"/>
                <w:color w:val="000000"/>
                <w:highlight w:val="none"/>
              </w:rPr>
              <w:t xml:space="preserve">数据恢复：提供数据恢复服务</w:t>
            </w:r>
            <w:r>
              <w:rPr>
                <w:rFonts w:hint="eastAsia"/>
                <w:color w:val="000000"/>
                <w:highlight w:val="none"/>
                <w:lang w:eastAsia="zh-CN"/>
              </w:rPr>
              <w:t xml:space="preserve">；</w:t>
            </w:r>
            <w:r>
              <w:rPr>
                <w:rFonts w:hint="eastAsia"/>
                <w:color w:val="000000"/>
                <w:highlight w:val="none"/>
              </w:rPr>
              <w:t xml:space="preserve">（签订合同时提供售后服务承诺函）</w:t>
            </w:r>
            <w:r>
              <w:rPr>
                <w:color w:val="000000"/>
                <w:highlight w:val="none"/>
              </w:rPr>
            </w:r>
            <w:r/>
          </w:p>
          <w:p>
            <w:pPr>
              <w:pStyle w:val="869"/>
              <w:rPr>
                <w:color w:val="000000"/>
                <w:highlight w:val="none"/>
                <w:lang w:val="en-US" w:eastAsia="zh-CN"/>
              </w:rPr>
            </w:pPr>
            <w:r>
              <w:rPr>
                <w:rFonts w:hint="eastAsia"/>
                <w:color w:val="000000"/>
                <w:highlight w:val="none"/>
              </w:rPr>
              <w:t xml:space="preserve">▲11</w:t>
            </w:r>
            <w:r>
              <w:rPr>
                <w:rFonts w:hint="eastAsia"/>
                <w:color w:val="000000"/>
                <w:highlight w:val="none"/>
                <w:lang w:eastAsia="zh-CN"/>
              </w:rPr>
              <w:t xml:space="preserve">.</w:t>
            </w:r>
            <w:r>
              <w:rPr>
                <w:rFonts w:hint="eastAsia"/>
                <w:color w:val="000000"/>
                <w:highlight w:val="none"/>
              </w:rPr>
              <w:t xml:space="preserve">对接服务：提供与医院现有影像系统、病历质控等系统的快速对接服务，对接服务包括但不限于应用接口开发与调试等</w:t>
            </w:r>
            <w:r>
              <w:rPr>
                <w:rFonts w:hint="eastAsia"/>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rPr>
              <w:t xml:space="preserve">对接</w:t>
            </w:r>
            <w:r>
              <w:rPr>
                <w:rFonts w:hint="eastAsia" w:ascii="Times New Roman" w:hAnsi="Times New Roman" w:eastAsia="宋体" w:cs="Times New Roman"/>
                <w:color w:val="000000"/>
                <w:highlight w:val="none"/>
                <w:lang w:val="en-US" w:eastAsia="zh-CN"/>
              </w:rPr>
              <w:t xml:space="preserve">联系</w:t>
            </w:r>
            <w:r>
              <w:rPr>
                <w:rFonts w:hint="eastAsia" w:ascii="Times New Roman" w:hAnsi="Times New Roman" w:eastAsia="宋体" w:cs="Times New Roman"/>
                <w:color w:val="000000"/>
                <w:highlight w:val="none"/>
              </w:rPr>
              <w:t xml:space="preserve">人：钱工</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联系电话：025-83106666转60620</w:t>
            </w:r>
            <w:r>
              <w:rPr>
                <w:rFonts w:hint="eastAsia" w:ascii="Times New Roman" w:hAnsi="Times New Roman" w:eastAsia="宋体" w:cs="Times New Roman"/>
                <w:color w:val="000000"/>
                <w:highlight w:val="none"/>
                <w:lang w:val="en-US" w:eastAsia="zh-CN"/>
              </w:rPr>
              <w:t xml:space="preserve">）</w:t>
            </w:r>
            <w:r>
              <w:rPr>
                <w:color w:val="000000"/>
                <w:highlight w:val="none"/>
                <w:lang w:val="en-US" w:eastAsia="zh-CN"/>
              </w:rPr>
            </w:r>
            <w:r/>
          </w:p>
          <w:p>
            <w:pPr>
              <w:pStyle w:val="869"/>
              <w:rPr>
                <w:color w:val="000000"/>
                <w:highlight w:val="none"/>
              </w:rPr>
            </w:pPr>
            <w:r>
              <w:rPr>
                <w:rFonts w:hint="eastAsia"/>
                <w:color w:val="000000"/>
                <w:highlight w:val="none"/>
              </w:rPr>
              <w:t xml:space="preserve">12</w:t>
            </w:r>
            <w:r>
              <w:rPr>
                <w:rFonts w:hint="eastAsia"/>
                <w:color w:val="000000"/>
                <w:highlight w:val="none"/>
                <w:lang w:eastAsia="zh-CN"/>
              </w:rPr>
              <w:t xml:space="preserve">.</w:t>
            </w:r>
            <w:r>
              <w:rPr>
                <w:rFonts w:hint="eastAsia"/>
                <w:color w:val="000000"/>
                <w:highlight w:val="none"/>
              </w:rPr>
              <w:t xml:space="preserve">系统集成：</w:t>
            </w:r>
            <w:r>
              <w:rPr>
                <w:color w:val="000000"/>
                <w:highlight w:val="none"/>
              </w:rPr>
            </w:r>
            <w:r/>
          </w:p>
          <w:p>
            <w:pPr>
              <w:pStyle w:val="869"/>
              <w:rPr>
                <w:rFonts w:hint="eastAsia" w:eastAsia="宋体"/>
                <w:color w:val="000000"/>
                <w:highlight w:val="none"/>
                <w:lang w:eastAsia="zh-CN"/>
              </w:rPr>
            </w:pPr>
            <w:r>
              <w:rPr>
                <w:rFonts w:hint="eastAsia"/>
                <w:color w:val="000000"/>
                <w:highlight w:val="none"/>
              </w:rPr>
              <w:t xml:space="preserve">（1）提供设备上架、网络配置、系统安装调试</w:t>
            </w:r>
            <w:r>
              <w:rPr>
                <w:rFonts w:hint="eastAsia"/>
                <w:color w:val="000000"/>
                <w:highlight w:val="none"/>
                <w:lang w:eastAsia="zh-CN"/>
              </w:rPr>
              <w:t xml:space="preserve">；</w:t>
            </w:r>
            <w:r>
              <w:rPr>
                <w:rFonts w:hint="eastAsia" w:eastAsia="宋体"/>
                <w:color w:val="000000"/>
                <w:highlight w:val="none"/>
                <w:lang w:eastAsia="zh-CN"/>
              </w:rPr>
            </w:r>
            <w:r/>
          </w:p>
          <w:p>
            <w:pPr>
              <w:pStyle w:val="869"/>
              <w:rPr>
                <w:rFonts w:hint="eastAsia" w:eastAsia="宋体"/>
                <w:color w:val="000000"/>
                <w:highlight w:val="none"/>
                <w:lang w:eastAsia="zh-CN"/>
              </w:rPr>
            </w:pPr>
            <w:r>
              <w:rPr>
                <w:rFonts w:hint="eastAsia"/>
                <w:color w:val="000000"/>
                <w:highlight w:val="none"/>
              </w:rPr>
              <w:t xml:space="preserve">（2）根据业务需求部署模型框架、大模型等</w:t>
            </w:r>
            <w:r>
              <w:rPr>
                <w:rFonts w:hint="eastAsia"/>
                <w:color w:val="000000"/>
                <w:highlight w:val="none"/>
                <w:lang w:eastAsia="zh-CN"/>
              </w:rPr>
              <w:t xml:space="preserve">；</w:t>
            </w:r>
            <w:r>
              <w:rPr>
                <w:rFonts w:hint="eastAsia" w:eastAsia="宋体"/>
                <w:color w:val="000000"/>
                <w:highlight w:val="none"/>
                <w:lang w:eastAsia="zh-CN"/>
              </w:rPr>
            </w:r>
            <w:r/>
          </w:p>
          <w:p>
            <w:pPr>
              <w:pStyle w:val="869"/>
              <w:rPr>
                <w:rFonts w:hint="eastAsia" w:eastAsia="宋体"/>
                <w:color w:val="000000"/>
                <w:highlight w:val="none"/>
                <w:lang w:eastAsia="zh-CN"/>
              </w:rPr>
            </w:pPr>
            <w:r>
              <w:rPr>
                <w:rFonts w:hint="eastAsia"/>
                <w:color w:val="000000"/>
                <w:highlight w:val="none"/>
              </w:rPr>
              <w:t xml:space="preserve">（3）提供模型框架、大模型的升级服务</w:t>
            </w:r>
            <w:r>
              <w:rPr>
                <w:rFonts w:hint="eastAsia"/>
                <w:color w:val="000000"/>
                <w:highlight w:val="none"/>
                <w:lang w:eastAsia="zh-CN"/>
              </w:rPr>
              <w:t xml:space="preserve">；</w:t>
            </w:r>
            <w:r>
              <w:rPr>
                <w:rFonts w:hint="eastAsia" w:eastAsia="宋体"/>
                <w:color w:val="000000"/>
                <w:highlight w:val="none"/>
                <w:lang w:eastAsia="zh-CN"/>
              </w:rPr>
            </w:r>
            <w:r/>
          </w:p>
          <w:p>
            <w:pPr>
              <w:pStyle w:val="869"/>
              <w:rPr>
                <w:rFonts w:hint="eastAsia" w:eastAsia="宋体"/>
                <w:color w:val="000000"/>
                <w:highlight w:val="none"/>
                <w:lang w:val="en-US" w:eastAsia="zh-CN"/>
              </w:rPr>
            </w:pPr>
            <w:r>
              <w:rPr>
                <w:rFonts w:hint="eastAsia"/>
                <w:color w:val="000000"/>
                <w:highlight w:val="none"/>
              </w:rPr>
              <w:t xml:space="preserve">（4）本次集成内容包含所有辅材、配件，包括但不限于光模块、网线、光纤线、轧带等</w:t>
            </w:r>
            <w:r>
              <w:rPr>
                <w:rFonts w:hint="eastAsia" w:eastAsia="宋体"/>
                <w:color w:val="000000"/>
                <w:highlight w:val="none"/>
                <w:lang w:val="en-US" w:eastAsia="zh-CN"/>
              </w:rPr>
              <w:t xml:space="preserve">。</w:t>
            </w:r>
            <w:r>
              <w:rPr>
                <w:rFonts w:hint="eastAsia" w:eastAsia="宋体"/>
                <w:color w:val="000000"/>
                <w:highlight w:val="none"/>
                <w:lang w:val="en-US" w:eastAsia="zh-CN"/>
              </w:rPr>
            </w:r>
            <w:r/>
          </w:p>
        </w:tc>
      </w:tr>
    </w:tbl>
    <w:p>
      <w:pPr>
        <w:pStyle w:val="869"/>
        <w:rPr>
          <w:rFonts w:hint="eastAsia"/>
          <w:color w:val="000000"/>
          <w:highlight w:val="none"/>
          <w:lang w:val="en-US" w:eastAsia="zh-CN"/>
        </w:rPr>
      </w:pPr>
      <w:r>
        <w:rPr>
          <w:rFonts w:hint="eastAsia"/>
          <w:color w:val="000000"/>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（1）安装调试要求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供应商必须提供本次采购的设备的安装调试与设备的集成服务，负责完成本次采购的设备与采购人现有网络、计算环境的对接集成工作，实施过程中不影响采购人现有的业务正常运行，在过程中需确保业务不中断。</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②提供上线期间现场保障服务，安排至少1名工程师保障，负责上线过程中的问题处理、故障排查与应急处置，并制定详细的上线保障方案及应急预案。</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（2）质量要求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①供应商负责对此次采购的所有软硬件设备的集成，负责从无到有的设计、安装、实施、优化和部署以及后续的运维技术支持。</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②供应商需按照项目建设进度进行项目实施，负责完成算力平台软、硬件的配置搭建工作。</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实施完成后，将项目软件安装调试完毕、系统集成完毕后交付使用，并对采购人进行全面培训后方可申请验收。供应商应按采购人项目验收管理要求提供系统的相关验收文档，包括但不限于用户使用手册、安装文档等相关资料。验收合格后,采购人在验收单上签字，并加盖双方单位公章。</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（4）质保（维保）及售后要求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质保期/维保期：提供3年原厂上门质保服务及硬盘不返回服务（费用包含在投标总价中）。</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质保期/维保期内，本合同项目所有技术和服务发生任何非人为故障，由供应商负责系统恢复。故障报修的响应时间为即时，到达现场的时间为2小时内，小型故障恢复时间为4个小时内，严重故障恢复时间为24小时内，并及时提供有效的解决方案。</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②质保期/维保期内，对采购人提出的合理服务要求，必须即时进行电话、邮件及远程网络支持，并在2小时内到场服务。如不到场，采购人有权自行处理，相关费用由供应商负责。</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3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供应商需提供定期回访服务，对采购人提出的合理优化建议应提供升级服务（费用包含在投标总价中）。</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④质保期/维保期满后，每年的维保费用不超过合同总金额的5%。</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⑤质保期/维保期内供应商提供系统软件升级，保证采购人使用最新版本软件。质保期/维保期满后软件版本内终身升级(费用包含在投标总价中)。</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（5）人员要求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本项目实施期间至验收合格之日止要求技术人数不低于2人（人员须为供应商或设备原厂商正式员工）。</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供应商需在系统部署工作开始之日起，指派专业的项目负责人负责现场工作的组织、协调和实施工作。</w:t>
      </w:r>
      <w:r>
        <w:rPr>
          <w:rFonts w:hint="eastAsia" w:ascii="宋体" w:hAnsi="宋体" w:eastAsia="宋体" w:cs="宋体"/>
          <w:color w:val="000000"/>
          <w:sz w:val="24"/>
          <w:szCs w:val="24"/>
          <w:highlight w:val="none"/>
          <w:lang w:val="en-US" w:eastAsia="zh-CN"/>
        </w:rPr>
      </w:r>
      <w:r/>
    </w:p>
    <w:p>
      <w:pPr>
        <w:pStyle w:val="869"/>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（6）培训要求</w:t>
      </w:r>
      <w:r>
        <w:rPr>
          <w:rFonts w:ascii="宋体" w:hAnsi="宋体" w:cs="宋体"/>
          <w:color w:val="000000"/>
          <w:sz w:val="24"/>
          <w:szCs w:val="24"/>
          <w:highlight w:val="none"/>
        </w:rPr>
      </w:r>
      <w:r/>
    </w:p>
    <w:p>
      <w:pPr>
        <w:pStyle w:val="869"/>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负责对采购人相关人员（包括但不限于信息科室、项目主管科室等至少5人）进行全面培训，使受训者能够独立、熟练地完成操作。培训应达到以下目标：操作人员能熟练使用各项功能，完成日常工作；能全面了解运行模式，熟知业务流程，能判断一般故障；全面掌握设置和使用。</w:t>
      </w:r>
      <w:r>
        <w:rPr>
          <w:rFonts w:ascii="宋体" w:hAnsi="宋体" w:cs="宋体"/>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eastAsia="宋体" w:cs="宋体"/>
          <w:color w:val="000000"/>
          <w:sz w:val="24"/>
          <w:szCs w:val="24"/>
          <w:highlight w:val="none"/>
        </w:rPr>
        <w:t xml:space="preserve">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color w:val="000000"/>
          <w:highlight w:val="none"/>
          <w:lang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61" w:name="OLE_LINK1"/>
      <w:r/>
      <w:bookmarkStart w:id="62" w:name="_Toc12061428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End w:id="61"/>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69"/>
        <w:jc w:val="center"/>
        <w:keepLines w:val="0"/>
        <w:keepNext w:val="0"/>
        <w:pageBreakBefore w:val="0"/>
        <w:spacing w:line="240" w:lineRule="auto"/>
        <w:widowControl w:val="off"/>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69"/>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69"/>
        <w:ind w:firstLine="420"/>
        <w:rPr>
          <w:color w:val="000000"/>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color w:val="000000"/>
          <w:highlight w:val="none"/>
        </w:rPr>
      </w:r>
      <w:r/>
    </w:p>
    <w:p>
      <w:pPr>
        <w:ind w:firstLine="420"/>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lang w:val="en-US" w:eastAsia="zh-CN"/>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lang w:val="en-US" w:eastAsia="zh-CN"/>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color w:val="000000"/>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highlight w:val="none"/>
          <w:lang w:eastAsia="zh-CN"/>
        </w:rPr>
      </w:r>
      <w:r/>
    </w:p>
    <w:tbl>
      <w:tblPr>
        <w:tblStyle w:val="990"/>
        <w:tblW w:w="957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4"/>
        <w:gridCol w:w="647"/>
        <w:gridCol w:w="900"/>
      </w:tblGrid>
      <w:tr>
        <w:trPr>
          <w:trHeight w:val="483"/>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序号</w:t>
            </w:r>
            <w:r>
              <w:rPr>
                <w:rFonts w:hint="eastAsia" w:ascii="宋体" w:hAnsi="宋体" w:eastAsia="宋体" w:cs="宋体"/>
                <w:b/>
                <w:bCs/>
                <w:color w:val="000000"/>
                <w:spacing w:val="-3"/>
                <w:sz w:val="21"/>
                <w:szCs w:val="21"/>
                <w:highlight w:val="none"/>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评审因素</w:t>
            </w:r>
            <w:r>
              <w:rPr>
                <w:rFonts w:hint="eastAsia" w:ascii="宋体" w:hAnsi="宋体" w:eastAsia="宋体" w:cs="宋体"/>
                <w:b/>
                <w:bCs/>
                <w:color w:val="000000"/>
                <w:spacing w:val="-3"/>
                <w:sz w:val="21"/>
                <w:szCs w:val="21"/>
                <w:highlight w:val="none"/>
              </w:rPr>
            </w:r>
            <w:r/>
          </w:p>
        </w:tc>
        <w:tc>
          <w:tcPr>
            <w:tcW w:w="6334"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评审细则</w:t>
            </w:r>
            <w:r>
              <w:rPr>
                <w:rFonts w:hint="eastAsia" w:ascii="宋体" w:hAnsi="宋体" w:eastAsia="宋体" w:cs="宋体"/>
                <w:b/>
                <w:bCs/>
                <w:color w:val="000000"/>
                <w:spacing w:val="-3"/>
                <w:sz w:val="21"/>
                <w:szCs w:val="21"/>
                <w:highlight w:val="none"/>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分值</w:t>
            </w:r>
            <w:r>
              <w:rPr>
                <w:rFonts w:hint="eastAsia" w:ascii="宋体" w:hAnsi="宋体" w:eastAsia="宋体" w:cs="宋体"/>
                <w:b/>
                <w:bCs/>
                <w:color w:val="000000"/>
                <w:spacing w:val="-3"/>
                <w:sz w:val="21"/>
                <w:szCs w:val="21"/>
                <w:highlight w:val="none"/>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类型</w:t>
            </w:r>
            <w:r>
              <w:rPr>
                <w:rFonts w:hint="eastAsia" w:ascii="宋体" w:hAnsi="宋体" w:eastAsia="宋体" w:cs="宋体"/>
                <w:b/>
                <w:bCs/>
                <w:color w:val="000000"/>
                <w:spacing w:val="-3"/>
                <w:sz w:val="21"/>
                <w:szCs w:val="21"/>
                <w:highlight w:val="none"/>
              </w:rPr>
            </w:r>
            <w:r/>
          </w:p>
        </w:tc>
      </w:tr>
      <w:tr>
        <w:trPr>
          <w:trHeight w:val="468"/>
        </w:trPr>
        <w:tc>
          <w:tcPr>
            <w:gridSpan w:val="5"/>
            <w:tcW w:w="9579"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hint="eastAsia" w:ascii="宋体" w:hAnsi="宋体" w:eastAsia="宋体" w:cs="宋体"/>
                <w:b/>
                <w:bCs/>
                <w:color w:val="000000"/>
                <w:spacing w:val="-3"/>
                <w:sz w:val="21"/>
                <w:szCs w:val="21"/>
                <w:highlight w:val="none"/>
              </w:rPr>
              <w:t xml:space="preserve">价</w:t>
            </w:r>
            <w:r>
              <w:rPr>
                <w:rFonts w:hint="eastAsia" w:ascii="宋体" w:hAnsi="宋体" w:eastAsia="宋体" w:cs="宋体"/>
                <w:b/>
                <w:bCs/>
                <w:color w:val="000000"/>
                <w:spacing w:val="-2"/>
                <w:sz w:val="21"/>
                <w:szCs w:val="21"/>
                <w:highlight w:val="none"/>
              </w:rPr>
              <w:t xml:space="preserve">格</w:t>
            </w:r>
            <w:r>
              <w:rPr>
                <w:rFonts w:hint="eastAsia" w:ascii="宋体" w:hAnsi="宋体" w:eastAsia="宋体" w:cs="宋体"/>
                <w:color w:val="000000"/>
                <w:sz w:val="21"/>
                <w:szCs w:val="21"/>
                <w:highlight w:val="none"/>
              </w:rPr>
            </w:r>
            <w:r/>
          </w:p>
        </w:tc>
      </w:tr>
      <w:tr>
        <w:trPr>
          <w:trHeight w:val="56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价格分</w:t>
            </w:r>
            <w:r>
              <w:rPr>
                <w:rFonts w:hint="eastAsia" w:ascii="宋体" w:hAnsi="宋体" w:eastAsia="宋体" w:cs="宋体"/>
                <w:color w:val="000000"/>
                <w:sz w:val="21"/>
                <w:szCs w:val="21"/>
                <w:highlight w:val="none"/>
              </w:rPr>
            </w:r>
            <w:r/>
          </w:p>
        </w:tc>
        <w:tc>
          <w:tcPr>
            <w:tcW w:w="633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8"/>
        </w:trPr>
        <w:tc>
          <w:tcPr>
            <w:gridSpan w:val="5"/>
            <w:tcW w:w="9579"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hint="eastAsia" w:ascii="宋体" w:hAnsi="宋体" w:eastAsia="宋体" w:cs="宋体"/>
                <w:color w:val="000000"/>
                <w:sz w:val="21"/>
                <w:szCs w:val="21"/>
                <w:highlight w:val="none"/>
              </w:rPr>
            </w:r>
            <w:r/>
          </w:p>
        </w:tc>
      </w:tr>
      <w:tr>
        <w:trPr>
          <w:trHeight w:val="904"/>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4"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产品技术参数全部满足招标文件技术要求的得满分，打★指标为必须满足项，如有负偏离将作为无效投标，打▲指标为重要指标，有1项负偏离扣7分，其余指标有1项负偏离扣1.5分。</w:t>
            </w:r>
            <w:r>
              <w:rPr>
                <w:rFonts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67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2.2</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rPr>
            </w:r>
            <w:r/>
          </w:p>
        </w:tc>
        <w:tc>
          <w:tcPr>
            <w:tcW w:w="6334"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lang w:val="en-US" w:bidi="ar-SA"/>
              </w:rPr>
              <w:t xml:space="preserve">根据本项目采购需求编制方案，内容包含：</w:t>
            </w:r>
            <w:r>
              <w:rPr>
                <w:rFonts w:hint="eastAsia" w:ascii="宋体" w:hAnsi="宋体" w:cs="宋体"/>
                <w:color w:val="000000"/>
                <w:highlight w:val="none"/>
              </w:rPr>
              <w:t xml:space="preserve">1.合理化建议及实施进度安排；2.协调配合措施；3.应急措施。</w:t>
            </w:r>
            <w:r>
              <w:rPr>
                <w:rFonts w:hint="eastAsia" w:ascii="宋体" w:hAnsi="宋体" w:cs="宋体"/>
                <w:color w:val="000000"/>
                <w:highlight w:val="none"/>
                <w:lang w:val="en-US" w:bidi="ar-SA"/>
              </w:rPr>
              <w:t xml:space="preserve">以上每项内容逐项评分：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lang w:val="en-US"/>
              </w:rPr>
              <w:t xml:space="preserve">方案内容</w:t>
            </w:r>
            <w:r>
              <w:rPr>
                <w:rFonts w:hint="eastAsia" w:ascii="宋体" w:hAnsi="宋体" w:cs="宋体"/>
                <w:color w:val="000000"/>
                <w:highlight w:val="none"/>
              </w:rPr>
              <w:t xml:space="preserve">完整深刻、可行性强</w:t>
            </w:r>
            <w:r>
              <w:rPr>
                <w:rFonts w:hint="eastAsia" w:ascii="宋体" w:hAnsi="宋体" w:cs="宋体"/>
                <w:color w:val="000000"/>
                <w:highlight w:val="none"/>
                <w:lang w:val="en-US" w:bidi="ar-SA"/>
              </w:rPr>
              <w:t xml:space="preserve">，且</w:t>
            </w:r>
            <w:r>
              <w:rPr>
                <w:rFonts w:hint="eastAsia" w:ascii="宋体" w:hAnsi="宋体" w:cs="宋体"/>
                <w:color w:val="000000"/>
                <w:highlight w:val="none"/>
                <w:lang w:val="en-US"/>
              </w:rPr>
              <w:t xml:space="preserve">专门针对本项目，</w:t>
            </w:r>
            <w:r>
              <w:rPr>
                <w:rFonts w:hint="eastAsia" w:ascii="宋体" w:hAnsi="宋体" w:cs="宋体"/>
                <w:color w:val="000000"/>
                <w:highlight w:val="none"/>
                <w:lang w:val="en-US" w:eastAsia="zh-CN"/>
              </w:rPr>
              <w:t xml:space="preserve">契合</w:t>
            </w:r>
            <w:r>
              <w:rPr>
                <w:rFonts w:hint="eastAsia" w:ascii="宋体" w:hAnsi="宋体" w:cs="宋体"/>
                <w:color w:val="000000"/>
                <w:highlight w:val="none"/>
                <w:lang w:val="en-US"/>
              </w:rPr>
              <w:t xml:space="preserve">采购需求视为符合；方案内容属于通用类，非专门针对本项目，部分</w:t>
            </w:r>
            <w:r>
              <w:rPr>
                <w:rFonts w:hint="eastAsia" w:ascii="宋体" w:hAnsi="宋体" w:cs="宋体"/>
                <w:color w:val="000000"/>
                <w:highlight w:val="none"/>
                <w:lang w:val="en-US" w:eastAsia="zh-CN"/>
              </w:rPr>
              <w:t xml:space="preserve">契合采购需求</w:t>
            </w:r>
            <w:r>
              <w:rPr>
                <w:rFonts w:hint="eastAsia" w:ascii="宋体" w:hAnsi="宋体" w:cs="宋体"/>
                <w:color w:val="000000"/>
                <w:highlight w:val="none"/>
                <w:lang w:val="en-US"/>
              </w:rPr>
              <w:t xml:space="preserve">视为部分符合；方案内容非专门针对本项目</w:t>
            </w:r>
            <w:r>
              <w:rPr>
                <w:rFonts w:hint="eastAsia" w:ascii="宋体" w:hAnsi="宋体" w:cs="宋体"/>
                <w:color w:val="000000"/>
                <w:highlight w:val="none"/>
                <w:lang w:val="en-US" w:eastAsia="zh-CN"/>
              </w:rPr>
              <w:t xml:space="preserve">，脱离</w:t>
            </w:r>
            <w:r>
              <w:rPr>
                <w:rFonts w:hint="eastAsia" w:ascii="宋体" w:hAnsi="宋体" w:cs="宋体"/>
                <w:color w:val="000000"/>
                <w:highlight w:val="none"/>
                <w:lang w:val="en-US"/>
              </w:rPr>
              <w:t xml:space="preserve">采购需求视为不符合。</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lang w:val="en-US"/>
              </w:rPr>
              <w:t xml:space="preserve">上述每项内容</w:t>
            </w:r>
            <w:r>
              <w:rPr>
                <w:rFonts w:hint="eastAsia" w:ascii="宋体" w:hAnsi="宋体" w:cs="宋体"/>
                <w:color w:val="000000"/>
                <w:highlight w:val="none"/>
                <w:lang w:val="en-US"/>
              </w:rPr>
              <w:t xml:space="preserve">符合得</w:t>
            </w: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rPr>
              <w:t xml:space="preserve">分；部分符合得2</w:t>
            </w:r>
            <w:r>
              <w:rPr>
                <w:rFonts w:hint="eastAsia" w:ascii="宋体" w:hAnsi="宋体" w:cs="宋体"/>
                <w:color w:val="000000"/>
                <w:highlight w:val="none"/>
                <w:lang w:val="en-US"/>
              </w:rPr>
              <w:t xml:space="preserve">分；不符合或不提供不得分。</w:t>
            </w:r>
            <w:r>
              <w:rPr>
                <w:rFonts w:hint="eastAsia" w:ascii="宋体" w:hAnsi="宋体" w:cs="宋体"/>
                <w:color w:val="000000"/>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671"/>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left"/>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设备安装调试方案</w:t>
            </w:r>
            <w:r>
              <w:rPr>
                <w:rFonts w:hint="eastAsia" w:ascii="宋体" w:hAnsi="宋体" w:cs="宋体"/>
                <w:color w:val="000000"/>
                <w:sz w:val="21"/>
                <w:szCs w:val="21"/>
                <w:highlight w:val="none"/>
                <w:lang w:val="en-US" w:eastAsia="zh-CN" w:bidi="ar-SA"/>
              </w:rPr>
            </w:r>
            <w:r/>
          </w:p>
        </w:tc>
        <w:tc>
          <w:tcPr>
            <w:tcW w:w="6334"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rPr>
              <w:t xml:space="preserve">根据本项目采购需求编制方案，内容包含：1.安装部署；2.联调联试；3.质量保证措施。以上每项内容逐条阐述。</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（1）安装部署（3分）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安装部署方案考虑周到、详细，步骤清晰、流程规范，有很强可操作性，能高效完成安装任务，得3分；安装部署方案考虑较周到、较详细，具有一定的可操</w:t>
            </w:r>
            <w:bookmarkStart w:id="63" w:name="OLE_LINK2"/>
            <w:r>
              <w:rPr>
                <w:rFonts w:hint="eastAsia" w:ascii="宋体" w:hAnsi="宋体" w:cs="宋体"/>
                <w:color w:val="000000"/>
                <w:highlight w:val="none"/>
              </w:rPr>
              <w:t xml:space="preserve">作性</w:t>
            </w:r>
            <w:bookmarkEnd w:id="63"/>
            <w:r>
              <w:rPr>
                <w:rFonts w:hint="eastAsia" w:ascii="宋体" w:hAnsi="宋体" w:cs="宋体"/>
                <w:color w:val="000000"/>
                <w:highlight w:val="none"/>
              </w:rPr>
              <w:t xml:space="preserve">，基本能完成安装任务，得1分；未提供安装部署方案或方案考虑不全面、不详细、不严谨，无可操作性，无法完成安装任务，不得分。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（2）联调联试（</w:t>
            </w:r>
            <w:r>
              <w:rPr>
                <w:rFonts w:hint="eastAsia" w:ascii="宋体" w:hAnsi="宋体" w:cs="宋体"/>
                <w:color w:val="000000"/>
                <w:highlight w:val="none"/>
              </w:rPr>
              <w:t xml:space="preserve">3</w:t>
            </w:r>
            <w:r>
              <w:rPr>
                <w:rFonts w:hint="eastAsia" w:ascii="宋体" w:hAnsi="宋体" w:cs="宋体"/>
                <w:color w:val="000000"/>
                <w:highlight w:val="none"/>
              </w:rPr>
              <w:t xml:space="preserve">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联调联试方案考虑周到、详细，流程合理、标准明确，有很强可操作性，能确保系统正常联动，得3分；联调联试方案考虑较周到、较详细，具有一定的可操作性，能基本完成联调联试任务，得1分；未提供联调联试方案或方案考虑不全面、不详细、不严谨，无可操</w:t>
            </w:r>
            <w:r>
              <w:rPr>
                <w:rFonts w:hint="eastAsia" w:ascii="宋体" w:hAnsi="宋体" w:cs="宋体"/>
                <w:color w:val="000000"/>
                <w:highlight w:val="none"/>
                <w:lang w:val="en-US" w:eastAsia="zh-CN"/>
              </w:rPr>
              <w:t xml:space="preserve">性</w:t>
            </w:r>
            <w:r>
              <w:rPr>
                <w:rFonts w:hint="eastAsia" w:ascii="宋体" w:hAnsi="宋体" w:cs="宋体"/>
                <w:color w:val="000000"/>
                <w:highlight w:val="none"/>
              </w:rPr>
              <w:t xml:space="preserve">，无法完成联调联试任务，不得分。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（3）质量保证措施（</w:t>
            </w:r>
            <w:r>
              <w:rPr>
                <w:rFonts w:hint="eastAsia" w:ascii="宋体" w:hAnsi="宋体" w:cs="宋体"/>
                <w:color w:val="000000"/>
                <w:highlight w:val="none"/>
              </w:rPr>
              <w:t xml:space="preserve">3</w:t>
            </w:r>
            <w:r>
              <w:rPr>
                <w:rFonts w:hint="eastAsia" w:ascii="宋体" w:hAnsi="宋体" w:cs="宋体"/>
                <w:color w:val="000000"/>
                <w:highlight w:val="none"/>
              </w:rPr>
              <w:t xml:space="preserve">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质量保证措施考虑周到、详细，措施具体、责任明确，有很强可操作性，能有效保障安装质量，得</w:t>
            </w:r>
            <w:r>
              <w:rPr>
                <w:rFonts w:hint="eastAsia" w:ascii="宋体" w:hAnsi="宋体" w:cs="宋体"/>
                <w:color w:val="000000"/>
                <w:highlight w:val="none"/>
              </w:rPr>
              <w:t xml:space="preserve">3</w:t>
            </w:r>
            <w:r>
              <w:rPr>
                <w:rFonts w:hint="eastAsia" w:ascii="宋体" w:hAnsi="宋体" w:cs="宋体"/>
                <w:color w:val="000000"/>
                <w:highlight w:val="none"/>
              </w:rPr>
              <w:t xml:space="preserve">分；质量保证措施考虑较周到、较详细，具有一定的可操作性，能基本保障安装质量，得1分；未提供质量保证措施或考虑不全面、不详细、不严谨，无可操</w:t>
            </w:r>
            <w:r>
              <w:rPr>
                <w:rFonts w:hint="eastAsia" w:ascii="宋体" w:hAnsi="宋体" w:cs="宋体"/>
                <w:color w:val="000000"/>
                <w:highlight w:val="none"/>
                <w:lang w:val="en-US" w:eastAsia="zh-CN"/>
              </w:rPr>
              <w:t xml:space="preserve">性</w:t>
            </w:r>
            <w:r>
              <w:rPr>
                <w:rFonts w:hint="eastAsia" w:ascii="宋体" w:hAnsi="宋体" w:cs="宋体"/>
                <w:color w:val="000000"/>
                <w:highlight w:val="none"/>
              </w:rPr>
              <w:t xml:space="preserve">，无法保障安装质量，不得分。</w:t>
            </w:r>
            <w:r>
              <w:rPr>
                <w:rFonts w:hint="eastAsia" w:ascii="宋体" w:hAnsi="宋体" w:cs="宋体"/>
                <w:color w:val="000000"/>
                <w:highlight w:val="none"/>
              </w:rPr>
            </w:r>
            <w:r/>
          </w:p>
        </w:tc>
        <w:tc>
          <w:tcPr>
            <w:tcW w:w="647" w:type="dxa"/>
            <w:vAlign w:val="center"/>
            <w:textDirection w:val="lrTb"/>
            <w:noWrap w:val="false"/>
          </w:tcPr>
          <w:p>
            <w:pPr>
              <w:pStyle w:val="869"/>
              <w:jc w:val="center"/>
              <w:spacing w:before="68" w:line="264" w:lineRule="auto"/>
              <w:rPr>
                <w:rFonts w:hint="eastAsia" w:ascii="宋体" w:hAnsi="宋体" w:cs="宋体"/>
                <w:color w:val="000000"/>
                <w:sz w:val="21"/>
                <w:szCs w:val="21"/>
                <w:highlight w:val="none"/>
                <w:lang w:val="en-US" w:eastAsia="zh-CN" w:bidi="ar-SA"/>
              </w:rPr>
            </w:pPr>
            <w:r>
              <w:rPr>
                <w:rFonts w:ascii="宋体" w:hAnsi="宋体" w:cs="宋体"/>
                <w:color w:val="000000"/>
                <w:szCs w:val="21"/>
                <w:highlight w:val="none"/>
              </w:rPr>
              <w:t xml:space="preserve">9</w:t>
            </w:r>
            <w:r>
              <w:rPr>
                <w:rFonts w:hint="eastAsia" w:ascii="宋体" w:hAnsi="宋体" w:cs="宋体"/>
                <w:color w:val="000000"/>
                <w:sz w:val="21"/>
                <w:szCs w:val="21"/>
                <w:highlight w:val="none"/>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spacing w:val="-6"/>
                <w:szCs w:val="21"/>
                <w:highlight w:val="none"/>
              </w:rPr>
              <w:t xml:space="preserve">主</w:t>
            </w:r>
            <w:r>
              <w:rPr>
                <w:rFonts w:hint="eastAsia" w:ascii="宋体" w:hAnsi="宋体" w:cs="宋体"/>
                <w:color w:val="000000"/>
                <w:spacing w:val="-4"/>
                <w:szCs w:val="21"/>
                <w:highlight w:val="none"/>
              </w:rPr>
              <w:t xml:space="preserve">观分</w:t>
            </w:r>
            <w:r>
              <w:rPr>
                <w:rFonts w:hint="eastAsia" w:ascii="宋体" w:hAnsi="宋体" w:cs="宋体"/>
                <w:color w:val="000000"/>
                <w:sz w:val="21"/>
                <w:szCs w:val="21"/>
                <w:highlight w:val="none"/>
                <w:lang w:val="en-US" w:eastAsia="zh-CN" w:bidi="ar-SA"/>
              </w:rPr>
            </w:r>
            <w:r/>
          </w:p>
        </w:tc>
      </w:tr>
      <w:tr>
        <w:trPr>
          <w:trHeight w:val="480"/>
        </w:trPr>
        <w:tc>
          <w:tcPr>
            <w:gridSpan w:val="5"/>
            <w:tcW w:w="9579"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675"/>
        </w:trPr>
        <w:tc>
          <w:tcPr>
            <w:tcW w:w="519" w:type="dxa"/>
            <w:vAlign w:val="center"/>
            <w:textDirection w:val="lrTb"/>
            <w:noWrap w:val="false"/>
          </w:tcPr>
          <w:p>
            <w:pPr>
              <w:pStyle w:val="869"/>
              <w:jc w:val="center"/>
              <w:spacing w:before="68" w:line="264" w:lineRule="auto"/>
              <w:rPr>
                <w:rFonts w:hint="eastAsia" w:ascii="宋体" w:hAnsi="宋体" w:eastAsia="宋体" w:cs="宋体"/>
                <w:color w:val="000000"/>
                <w:spacing w:val="-2"/>
                <w:sz w:val="21"/>
                <w:szCs w:val="21"/>
                <w:highlight w:val="none"/>
                <w:lang w:val="en-US" w:eastAsia="zh-CN"/>
              </w:rPr>
            </w:pPr>
            <w:r>
              <w:rPr>
                <w:rFonts w:hint="eastAsia" w:ascii="宋体" w:hAnsi="宋体" w:cs="宋体"/>
                <w:color w:val="000000"/>
                <w:spacing w:val="-2"/>
                <w:szCs w:val="21"/>
                <w:highlight w:val="none"/>
              </w:rPr>
              <w:t xml:space="preserve">3.1</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left"/>
              <w:spacing w:before="68" w:line="264" w:lineRule="auto"/>
              <w:rPr>
                <w:rFonts w:hint="eastAsia" w:ascii="宋体" w:hAnsi="宋体" w:eastAsia="宋体" w:cs="宋体"/>
                <w:color w:val="000000"/>
                <w:spacing w:val="0"/>
                <w:sz w:val="21"/>
                <w:szCs w:val="21"/>
                <w:highlight w:val="none"/>
                <w:lang w:val="en-US" w:eastAsia="zh-CN"/>
              </w:rPr>
            </w:pPr>
            <w:r>
              <w:rPr>
                <w:rFonts w:hint="eastAsia" w:ascii="宋体" w:hAnsi="宋体" w:cs="宋体"/>
                <w:color w:val="000000"/>
                <w:szCs w:val="21"/>
                <w:highlight w:val="none"/>
              </w:rPr>
              <w:t xml:space="preserve">售后服务方案</w:t>
            </w:r>
            <w:r>
              <w:rPr>
                <w:rFonts w:hint="eastAsia" w:ascii="宋体" w:hAnsi="宋体" w:eastAsia="宋体" w:cs="宋体"/>
                <w:color w:val="000000"/>
                <w:spacing w:val="0"/>
                <w:sz w:val="21"/>
                <w:szCs w:val="21"/>
                <w:highlight w:val="none"/>
                <w:lang w:val="en-US" w:eastAsia="zh-CN"/>
              </w:rPr>
            </w:r>
            <w:r/>
          </w:p>
        </w:tc>
        <w:tc>
          <w:tcPr>
            <w:tcW w:w="6334" w:type="dxa"/>
            <w:vAlign w:val="center"/>
            <w:textDirection w:val="lrTb"/>
            <w:noWrap w:val="false"/>
          </w:tcPr>
          <w:p>
            <w:pPr>
              <w:pStyle w:val="994"/>
              <w:spacing w:line="264" w:lineRule="auto"/>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根据本项目采购需求编制方案，内容包含：1.售后服务内容；2.故障解决方案；3.售后服务体系。以上每项内容逐条阐述。</w:t>
            </w:r>
            <w:r>
              <w:rPr>
                <w:color w:val="000000"/>
                <w:sz w:val="21"/>
                <w:szCs w:val="21"/>
                <w:highlight w:val="none"/>
                <w:lang w:val="en-US" w:bidi="ar-SA"/>
              </w:rPr>
            </w:r>
            <w:r/>
          </w:p>
          <w:p>
            <w:pPr>
              <w:pStyle w:val="994"/>
              <w:spacing w:line="264" w:lineRule="auto"/>
              <w:rPr>
                <w:color w:val="000000"/>
                <w:sz w:val="21"/>
                <w:szCs w:val="21"/>
                <w:highlight w:val="none"/>
              </w:rPr>
            </w:pPr>
            <w:r>
              <w:rPr>
                <w:rFonts w:hint="eastAsia"/>
                <w:color w:val="000000"/>
                <w:sz w:val="21"/>
                <w:szCs w:val="21"/>
                <w:highlight w:val="none"/>
              </w:rPr>
              <w:t xml:space="preserve">（1）售后服务内容（3分）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售后服务内容全面，涵盖技术维护、质量保证等相关内容，贴合项目需求且具体可落地，得3分；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售后服务内容较为全面，基本涵盖技术维护、质量保证等相关内容，贴合项目需求，得2分；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售后服务内容不全面，技术维护、质量保证相关内容不合理，与项目需求贴合度低，得1分；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未提供售后服务内容或内容与项目严重不符，不得分。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（2）故障解决方案（3分）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故障解决方案完善，应急预案合理，响应及时、处置流程清晰，能高效解决各类故障，得3分；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故障解决方案较为完善，应急预案较为合理，响应及时，能基本解决常见故障，得2分；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故障解决方案不全面，应急预案不合理，难以有效处置故障，得1分；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未提供故障解决方案或方案与项目严重不符，不得分。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（3）售后服务体系（</w:t>
            </w:r>
            <w:r>
              <w:rPr>
                <w:color w:val="000000"/>
                <w:sz w:val="21"/>
                <w:szCs w:val="21"/>
                <w:highlight w:val="none"/>
              </w:rPr>
              <w:t xml:space="preserve">3</w:t>
            </w:r>
            <w:r>
              <w:rPr>
                <w:rFonts w:hint="eastAsia"/>
                <w:color w:val="000000"/>
                <w:sz w:val="21"/>
                <w:szCs w:val="21"/>
                <w:highlight w:val="none"/>
              </w:rPr>
              <w:t xml:space="preserve">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售后服务体系健全，组织架构、人员配置、服务流程、考核机制等完善合理，得</w:t>
            </w:r>
            <w:r>
              <w:rPr>
                <w:rFonts w:hint="eastAsia"/>
                <w:color w:val="000000"/>
                <w:sz w:val="21"/>
                <w:szCs w:val="21"/>
                <w:highlight w:val="none"/>
                <w:lang w:val="en-US" w:eastAsia="zh-CN"/>
              </w:rPr>
              <w:t xml:space="preserve">3</w:t>
            </w:r>
            <w:r>
              <w:rPr>
                <w:rFonts w:hint="eastAsia"/>
                <w:color w:val="000000"/>
                <w:sz w:val="21"/>
                <w:szCs w:val="21"/>
                <w:highlight w:val="none"/>
              </w:rPr>
              <w:t xml:space="preserve">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售后服务体系较为健全，组织架构、人员配置、服务流程等基本合理，得</w:t>
            </w:r>
            <w:r>
              <w:rPr>
                <w:rFonts w:hint="eastAsia"/>
                <w:color w:val="000000"/>
                <w:sz w:val="21"/>
                <w:szCs w:val="21"/>
                <w:highlight w:val="none"/>
                <w:lang w:val="en-US" w:eastAsia="zh-CN"/>
              </w:rPr>
              <w:t xml:space="preserve">2</w:t>
            </w:r>
            <w:r>
              <w:rPr>
                <w:rFonts w:hint="eastAsia"/>
                <w:color w:val="000000"/>
                <w:sz w:val="21"/>
                <w:szCs w:val="21"/>
                <w:highlight w:val="none"/>
              </w:rPr>
              <w:t xml:space="preserve">分；</w:t>
            </w:r>
            <w:r>
              <w:rPr>
                <w:color w:val="000000"/>
                <w:sz w:val="21"/>
                <w:szCs w:val="21"/>
                <w:highlight w:val="none"/>
              </w:rPr>
            </w:r>
            <w:r/>
          </w:p>
          <w:p>
            <w:pPr>
              <w:pStyle w:val="994"/>
              <w:spacing w:line="264" w:lineRule="auto"/>
              <w:rPr>
                <w:color w:val="000000"/>
                <w:sz w:val="21"/>
                <w:szCs w:val="21"/>
                <w:highlight w:val="none"/>
              </w:rPr>
            </w:pPr>
            <w:r>
              <w:rPr>
                <w:rFonts w:hint="eastAsia"/>
                <w:color w:val="000000"/>
                <w:sz w:val="21"/>
                <w:szCs w:val="21"/>
                <w:highlight w:val="none"/>
              </w:rPr>
              <w:t xml:space="preserve">售后服务体系不健全，组织架构、人员配置等不合理，得</w:t>
            </w:r>
            <w:r>
              <w:rPr>
                <w:rFonts w:hint="eastAsia"/>
                <w:color w:val="000000"/>
                <w:sz w:val="21"/>
                <w:szCs w:val="21"/>
                <w:highlight w:val="none"/>
                <w:lang w:val="en-US" w:eastAsia="zh-CN"/>
              </w:rPr>
              <w:t xml:space="preserve">1</w:t>
            </w:r>
            <w:r>
              <w:rPr>
                <w:rFonts w:hint="eastAsia"/>
                <w:color w:val="000000"/>
                <w:sz w:val="21"/>
                <w:szCs w:val="21"/>
                <w:highlight w:val="none"/>
              </w:rPr>
              <w:t xml:space="preserve">分；</w:t>
            </w:r>
            <w:r>
              <w:rPr>
                <w:color w:val="000000"/>
                <w:sz w:val="21"/>
                <w:szCs w:val="21"/>
                <w:highlight w:val="none"/>
              </w:rPr>
            </w:r>
            <w:r/>
          </w:p>
          <w:p>
            <w:pPr>
              <w:pStyle w:val="994"/>
              <w:spacing w:line="264" w:lineRule="auto"/>
              <w:rPr>
                <w:rFonts w:hint="eastAsia" w:ascii="宋体" w:hAnsi="宋体" w:eastAsia="宋体" w:cs="宋体"/>
                <w:color w:val="000000"/>
                <w:sz w:val="21"/>
                <w:szCs w:val="21"/>
                <w:highlight w:val="none"/>
                <w:lang w:val="en-US" w:eastAsia="zh-CN"/>
              </w:rPr>
            </w:pPr>
            <w:r>
              <w:rPr>
                <w:rFonts w:hint="eastAsia"/>
                <w:color w:val="000000"/>
                <w:sz w:val="21"/>
                <w:szCs w:val="21"/>
                <w:highlight w:val="none"/>
              </w:rPr>
              <w:t xml:space="preserve">未提供售后服务体系或体系与项目严重不符，不得分。</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highlight w:val="none"/>
                <w:lang w:val="en-US" w:eastAsia="zh-CN"/>
              </w:rPr>
            </w:pPr>
            <w:r>
              <w:rPr>
                <w:rFonts w:ascii="宋体" w:hAnsi="宋体" w:cs="宋体"/>
                <w:color w:val="000000"/>
                <w:szCs w:val="21"/>
                <w:highlight w:val="none"/>
              </w:rPr>
              <w:t xml:space="preserve">9</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rPr>
              <w:t xml:space="preserve">主观分</w:t>
            </w:r>
            <w:r>
              <w:rPr>
                <w:rFonts w:hint="eastAsia" w:ascii="宋体" w:hAnsi="宋体" w:eastAsia="宋体" w:cs="宋体"/>
                <w:color w:val="000000"/>
                <w:sz w:val="21"/>
                <w:szCs w:val="21"/>
                <w:highlight w:val="none"/>
                <w:lang w:val="en-US" w:eastAsia="zh-CN"/>
              </w:rPr>
            </w:r>
            <w:r/>
          </w:p>
        </w:tc>
      </w:tr>
      <w:tr>
        <w:trPr>
          <w:trHeight w:val="463"/>
        </w:trPr>
        <w:tc>
          <w:tcPr>
            <w:gridSpan w:val="5"/>
            <w:tcW w:w="9579"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hint="eastAsia" w:ascii="宋体" w:hAnsi="宋体" w:eastAsia="宋体" w:cs="宋体"/>
                <w:color w:val="000000"/>
                <w:sz w:val="21"/>
                <w:szCs w:val="21"/>
                <w:highlight w:val="none"/>
              </w:rPr>
            </w:r>
            <w:r/>
          </w:p>
        </w:tc>
      </w:tr>
      <w:tr>
        <w:trPr>
          <w:trHeight w:val="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rPr>
              <w:t xml:space="preserve">.1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69"/>
              <w:spacing w:before="69"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1"/>
                <w:highlight w:val="none"/>
                <w:lang w:eastAsia="zh-CN"/>
              </w:rPr>
              <w:t xml:space="preserve">投标人</w:t>
            </w:r>
            <w:r>
              <w:rPr>
                <w:rFonts w:hint="eastAsia" w:ascii="宋体" w:hAnsi="宋体" w:eastAsia="宋体" w:cs="宋体"/>
                <w:color w:val="000000"/>
                <w:spacing w:val="-1"/>
                <w:highlight w:val="none"/>
              </w:rPr>
              <w:t xml:space="preserve">业绩</w:t>
            </w:r>
            <w:r>
              <w:rPr>
                <w:rFonts w:hint="eastAsia" w:ascii="宋体" w:hAnsi="宋体" w:eastAsia="宋体" w:cs="宋体"/>
                <w:color w:val="000000"/>
                <w:spacing w:val="-2"/>
                <w:sz w:val="21"/>
                <w:szCs w:val="21"/>
                <w:highlight w:val="none"/>
              </w:rPr>
            </w:r>
            <w:r/>
          </w:p>
        </w:tc>
        <w:tc>
          <w:tcPr>
            <w:tcW w:w="6334" w:type="dxa"/>
            <w:vAlign w:val="center"/>
            <w:textDirection w:val="lrTb"/>
            <w:noWrap w:val="false"/>
          </w:tcPr>
          <w:p>
            <w:pPr>
              <w:pStyle w:val="869"/>
              <w:jc w:val="both"/>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lang w:val="en-US" w:eastAsia="zh-CN"/>
              </w:rPr>
              <w:t xml:space="preserve">投标人提供</w:t>
            </w:r>
            <w:r>
              <w:rPr>
                <w:rFonts w:hint="eastAsia" w:ascii="宋体" w:hAnsi="宋体" w:eastAsia="宋体" w:cs="宋体"/>
                <w:color w:val="000000"/>
                <w:highlight w:val="none"/>
              </w:rPr>
              <w:t xml:space="preserve">2023年1月1日</w:t>
            </w:r>
            <w:r>
              <w:rPr>
                <w:rFonts w:hint="eastAsia" w:ascii="宋体" w:hAnsi="宋体" w:eastAsia="宋体" w:cs="宋体"/>
                <w:color w:val="000000"/>
                <w:highlight w:val="none"/>
                <w:lang w:val="en-US" w:eastAsia="zh-CN"/>
              </w:rPr>
              <w:t xml:space="preserve">（含）以来类似项目业绩</w:t>
            </w:r>
            <w:r>
              <w:rPr>
                <w:rFonts w:hint="eastAsia" w:ascii="宋体" w:hAnsi="宋体" w:eastAsia="宋体" w:cs="宋体"/>
                <w:color w:val="000000"/>
                <w:highlight w:val="none"/>
              </w:rPr>
              <w:t xml:space="preserve">（至少包含“GPU”或“服务器”）</w:t>
            </w:r>
            <w:r>
              <w:rPr>
                <w:rFonts w:hint="eastAsia" w:ascii="宋体" w:hAnsi="宋体" w:eastAsia="宋体" w:cs="宋体"/>
                <w:color w:val="000000"/>
                <w:highlight w:val="none"/>
                <w:lang w:val="en-US" w:eastAsia="zh-CN"/>
              </w:rPr>
              <w:t xml:space="preserve">，每提供1个得3分，最多得9分。（时间以合同签订时间为准，提供有效合同，合同页须清晰可见相应内容）</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430"/>
        </w:trPr>
        <w:tc>
          <w:tcPr>
            <w:gridSpan w:val="5"/>
            <w:tcW w:w="9579"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hint="eastAsia" w:ascii="宋体" w:hAnsi="宋体" w:eastAsia="宋体" w:cs="宋体"/>
                <w:color w:val="000000"/>
                <w:sz w:val="21"/>
                <w:szCs w:val="21"/>
                <w:highlight w:val="none"/>
              </w:rPr>
            </w:r>
            <w:r/>
          </w:p>
        </w:tc>
      </w:tr>
      <w:tr>
        <w:trPr>
          <w:trHeight w:val="378"/>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hint="eastAsia" w:ascii="宋体" w:hAnsi="宋体" w:eastAsia="宋体" w:cs="宋体"/>
                <w:color w:val="000000"/>
                <w:spacing w:val="-2"/>
                <w:sz w:val="21"/>
                <w:szCs w:val="21"/>
                <w:highlight w:val="none"/>
              </w:rPr>
              <w:t xml:space="preserve">.1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履约能力</w:t>
            </w:r>
            <w:r>
              <w:rPr>
                <w:rFonts w:hint="eastAsia" w:ascii="宋体" w:hAnsi="宋体" w:eastAsia="宋体" w:cs="宋体"/>
                <w:color w:val="000000"/>
                <w:spacing w:val="-1"/>
                <w:sz w:val="21"/>
                <w:szCs w:val="21"/>
                <w:highlight w:val="none"/>
                <w:lang w:val="en-US" w:eastAsia="zh-CN"/>
              </w:rPr>
            </w:r>
            <w:r/>
          </w:p>
        </w:tc>
        <w:tc>
          <w:tcPr>
            <w:tcW w:w="6334" w:type="dxa"/>
            <w:vAlign w:val="center"/>
            <w:textDirection w:val="lrTb"/>
            <w:noWrap w:val="false"/>
          </w:tcPr>
          <w:p>
            <w:pPr>
              <w:pStyle w:val="869"/>
              <w:spacing w:line="62"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投标人安排参与本项目的技术人员具有所投设备原厂商认证的技术工程师认证证书，每提供1人得3分，最高得6分。</w:t>
            </w:r>
            <w:r>
              <w:rPr>
                <w:color w:val="000000"/>
                <w:highlight w:val="none"/>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cs="宋体"/>
                <w:color w:val="000000"/>
                <w:highlight w:val="none"/>
              </w:rPr>
              <w:t xml:space="preserve">（需提供</w:t>
            </w:r>
            <w:r>
              <w:rPr>
                <w:rFonts w:ascii="宋体" w:hAnsi="宋体" w:eastAsia="宋体" w:cs="宋体"/>
                <w:color w:val="000000"/>
                <w:sz w:val="21"/>
                <w:szCs w:val="22"/>
                <w:highlight w:val="none"/>
                <w:lang w:val="en-US" w:eastAsia="zh-CN"/>
              </w:rPr>
              <w:t xml:space="preserve">项目实施团队人员</w:t>
            </w:r>
            <w:r>
              <w:rPr>
                <w:rFonts w:hint="eastAsia" w:ascii="宋体" w:hAnsi="宋体" w:eastAsia="宋体" w:cs="宋体"/>
                <w:color w:val="000000"/>
                <w:sz w:val="21"/>
                <w:szCs w:val="22"/>
                <w:highlight w:val="none"/>
                <w:lang w:val="en-US" w:eastAsia="zh-CN"/>
              </w:rPr>
              <w:t xml:space="preserve">清单、</w:t>
            </w:r>
            <w:r>
              <w:rPr>
                <w:rFonts w:ascii="宋体" w:hAnsi="宋体" w:cs="宋体"/>
                <w:color w:val="000000"/>
                <w:highlight w:val="none"/>
              </w:rPr>
              <w:t xml:space="preserve">人员证书及</w:t>
            </w:r>
            <w:r>
              <w:rPr>
                <w:rFonts w:hint="eastAsia" w:ascii="宋体" w:hAnsi="宋体" w:cs="宋体"/>
                <w:color w:val="000000"/>
                <w:highlight w:val="none"/>
              </w:rPr>
              <w:t xml:space="preserve">投标人</w:t>
            </w:r>
            <w:r>
              <w:rPr>
                <w:rFonts w:ascii="宋体" w:hAnsi="宋体" w:cs="宋体"/>
                <w:color w:val="000000"/>
                <w:highlight w:val="none"/>
              </w:rPr>
              <w:t xml:space="preserve">或设备原厂商为其缴纳的2026年1月以来任意一个月社保证明材料，缺一不可。）</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rPr>
            </w:r>
            <w:r/>
          </w:p>
        </w:tc>
      </w:tr>
      <w:tr>
        <w:trPr>
          <w:trHeight w:val="439"/>
        </w:trPr>
        <w:tc>
          <w:tcPr>
            <w:gridSpan w:val="5"/>
            <w:tcW w:w="9579"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b/>
                <w:bCs/>
                <w:color w:val="000000"/>
                <w:spacing w:val="-3"/>
                <w:sz w:val="21"/>
                <w:szCs w:val="21"/>
                <w:highlight w:val="none"/>
                <w:lang w:val="en-US" w:eastAsia="zh-CN"/>
              </w:rPr>
              <w:t xml:space="preserve">6.绿色采购</w:t>
            </w:r>
            <w:r>
              <w:rPr>
                <w:rFonts w:hint="eastAsia" w:ascii="宋体" w:hAnsi="宋体" w:eastAsia="宋体" w:cs="宋体"/>
                <w:color w:val="000000"/>
                <w:spacing w:val="-6"/>
                <w:sz w:val="21"/>
                <w:szCs w:val="21"/>
                <w:highlight w:val="none"/>
              </w:rPr>
            </w:r>
            <w:r/>
          </w:p>
        </w:tc>
      </w:tr>
      <w:tr>
        <w:trPr>
          <w:trHeight w:val="76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6.1</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环境标志产品</w:t>
            </w:r>
            <w:r>
              <w:rPr>
                <w:rFonts w:hint="eastAsia" w:ascii="宋体" w:hAnsi="宋体" w:eastAsia="宋体" w:cs="宋体"/>
                <w:color w:val="000000"/>
                <w:spacing w:val="-1"/>
                <w:sz w:val="21"/>
                <w:szCs w:val="21"/>
                <w:highlight w:val="none"/>
                <w:lang w:val="en-US" w:eastAsia="zh-CN" w:bidi="ar-SA"/>
              </w:rPr>
            </w:r>
            <w:r/>
          </w:p>
        </w:tc>
        <w:tc>
          <w:tcPr>
            <w:tcW w:w="633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投标产品属于财政部、生态环境部公布的《环境标志产品品目清单》</w:t>
            </w:r>
            <w:r>
              <w:rPr>
                <w:rFonts w:hint="eastAsia" w:ascii="宋体" w:hAnsi="宋体" w:eastAsia="宋体" w:cs="宋体"/>
                <w:color w:val="000000"/>
                <w:szCs w:val="21"/>
                <w:highlight w:val="none"/>
              </w:rPr>
              <w:t xml:space="preserve">（财库〔2019〕1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号）</w:t>
            </w:r>
            <w:r>
              <w:rPr>
                <w:rFonts w:hint="eastAsia" w:ascii="宋体" w:hAnsi="宋体" w:eastAsia="宋体" w:cs="宋体"/>
                <w:color w:val="000000"/>
                <w:szCs w:val="21"/>
                <w:highlight w:val="none"/>
                <w:lang w:val="en-US" w:eastAsia="zh-CN"/>
              </w:rPr>
              <w:t xml:space="preserve">范围内的，投标人提供国家确定的认证机构出具的、处于有效期内的该环境标志产品认证证书的，</w:t>
            </w:r>
            <w:r>
              <w:rPr>
                <w:rFonts w:hint="eastAsia" w:ascii="宋体" w:hAnsi="宋体" w:eastAsia="宋体" w:cs="宋体"/>
                <w:color w:val="000000"/>
                <w:sz w:val="21"/>
                <w:szCs w:val="21"/>
                <w:highlight w:val="none"/>
                <w:lang w:val="en-US" w:eastAsia="zh-CN"/>
              </w:rPr>
              <w:t xml:space="preserve">有1个得1分，最多得1分。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82"/>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合</w:t>
            </w:r>
            <w:r>
              <w:rPr>
                <w:rFonts w:hint="eastAsia" w:ascii="宋体" w:hAnsi="宋体" w:eastAsia="宋体" w:cs="宋体"/>
                <w:color w:val="000000"/>
                <w:spacing w:val="-2"/>
                <w:sz w:val="21"/>
                <w:szCs w:val="21"/>
                <w:highlight w:val="none"/>
              </w:rPr>
              <w:t xml:space="preserve">计</w:t>
            </w:r>
            <w:r>
              <w:rPr>
                <w:rFonts w:hint="eastAsia" w:ascii="宋体" w:hAnsi="宋体" w:eastAsia="宋体" w:cs="宋体"/>
                <w:color w:val="000000"/>
                <w:sz w:val="21"/>
                <w:szCs w:val="21"/>
                <w:highlight w:val="none"/>
              </w:rPr>
            </w:r>
            <w:r/>
          </w:p>
        </w:tc>
        <w:tc>
          <w:tcPr>
            <w:gridSpan w:val="2"/>
            <w:tcW w:w="7513"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100分</w:t>
            </w:r>
            <w:r>
              <w:rPr>
                <w:rFonts w:hint="eastAsia" w:ascii="宋体" w:hAnsi="宋体" w:eastAsia="宋体" w:cs="宋体"/>
                <w:color w:val="000000"/>
                <w:sz w:val="21"/>
                <w:szCs w:val="21"/>
                <w:highlight w:val="none"/>
              </w:rPr>
            </w:r>
            <w:r/>
          </w:p>
        </w:tc>
      </w:tr>
    </w:tbl>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2"/>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69"/>
        <w:jc w:val="center"/>
        <w:rPr>
          <w:rFonts w:hint="eastAsia" w:ascii="宋体" w:hAnsi="宋体"/>
          <w:b/>
          <w:color w:val="000000"/>
          <w:sz w:val="72"/>
          <w:szCs w:val="21"/>
          <w:highlight w:val="none"/>
        </w:rPr>
      </w:pPr>
      <w:r/>
      <w:bookmarkStart w:id="64" w:name="_Hlt26671244"/>
      <w:r/>
      <w:bookmarkEnd w:id="64"/>
      <w:r/>
      <w:bookmarkStart w:id="65" w:name="_Hlt26955039"/>
      <w:r/>
      <w:bookmarkEnd w:id="65"/>
      <w:r/>
      <w:bookmarkStart w:id="66" w:name="_Toc26554094"/>
      <w:r/>
      <w:bookmarkStart w:id="67" w:name="_Toc120614282"/>
      <w:r/>
      <w:bookmarkStart w:id="68" w:name="_Toc49090576"/>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69"/>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szCs w:val="21"/>
          <w:highlight w:val="none"/>
        </w:rPr>
      </w:pPr>
      <w:r>
        <w:rPr>
          <w:rFonts w:ascii="宋体" w:hAnsi="宋体"/>
          <w:color w:val="000000"/>
          <w:szCs w:val="21"/>
          <w:highlight w:val="none"/>
        </w:rPr>
      </w:r>
      <w:r/>
    </w:p>
    <w:p>
      <w:pPr>
        <w:pStyle w:val="869"/>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6"/>
      <w:r/>
      <w:bookmarkEnd w:id="67"/>
      <w:r/>
      <w:bookmarkEnd w:id="68"/>
      <w:r>
        <w:rPr>
          <w:rFonts w:hint="eastAsia" w:ascii="方正黑体_GBK" w:hAnsi="方正黑体_GBK" w:eastAsia="方正黑体_GBK" w:cs="方正黑体_GBK"/>
          <w:b w:val="0"/>
          <w:bCs w:val="0"/>
          <w:color w:val="000000"/>
          <w:sz w:val="32"/>
          <w:szCs w:val="32"/>
          <w:highlight w:val="none"/>
        </w:rPr>
      </w:r>
      <w:r/>
    </w:p>
    <w:p>
      <w:pPr>
        <w:pStyle w:val="869"/>
        <w:ind w:firstLine="560"/>
        <w:spacing w:line="600" w:lineRule="exact"/>
        <w:rPr>
          <w:rFonts w:hint="eastAsia" w:ascii="宋体" w:hAnsi="宋体" w:cs="宋体"/>
          <w:color w:val="000000"/>
          <w:sz w:val="28"/>
          <w:szCs w:val="28"/>
          <w:highlight w:val="none"/>
        </w:rPr>
      </w:pPr>
      <w:r/>
      <w:bookmarkStart w:id="69" w:name="_Toc120614284"/>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核心产品品牌一览表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w:t>
      </w:r>
      <w:r>
        <w:rPr>
          <w:rFonts w:hint="eastAsia" w:ascii="宋体" w:hAnsi="宋体" w:eastAsia="宋体" w:cs="宋体"/>
          <w:b w:val="0"/>
          <w:bCs w:val="0"/>
          <w:i w:val="0"/>
          <w:color w:val="000000"/>
          <w:sz w:val="28"/>
          <w:szCs w:val="28"/>
          <w:highlight w:val="none"/>
          <w:u w:val="none"/>
          <w:lang w:val="en-US" w:eastAsia="zh-CN"/>
        </w:rPr>
        <w:t xml:space="preserve">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w:t>
      </w:r>
      <w:r>
        <w:rPr>
          <w:rFonts w:hint="eastAsia" w:ascii="宋体" w:hAnsi="宋体" w:eastAsia="宋体" w:cs="宋体"/>
          <w:b w:val="0"/>
          <w:bCs w:val="0"/>
          <w:i w:val="0"/>
          <w:color w:val="000000"/>
          <w:sz w:val="28"/>
          <w:szCs w:val="28"/>
          <w:highlight w:val="none"/>
          <w:u w:val="none"/>
          <w:lang w:val="en-US" w:eastAsia="zh-CN"/>
        </w:rPr>
        <w:t xml:space="preserve">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w:t>
      </w:r>
      <w:r>
        <w:rPr>
          <w:rFonts w:hint="eastAsia" w:ascii="宋体" w:hAnsi="宋体" w:eastAsia="宋体" w:cs="宋体"/>
          <w:b w:val="0"/>
          <w:bCs w:val="0"/>
          <w:i w:val="0"/>
          <w:color w:val="000000"/>
          <w:sz w:val="28"/>
          <w:szCs w:val="28"/>
          <w:highlight w:val="none"/>
          <w:u w:val="none"/>
          <w:lang w:val="en-US" w:eastAsia="zh-CN"/>
        </w:rPr>
        <w:t xml:space="preserve">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w:t>
      </w:r>
      <w:r>
        <w:rPr>
          <w:rFonts w:hint="eastAsia" w:ascii="宋体" w:hAnsi="宋体" w:eastAsia="宋体" w:cs="宋体"/>
          <w:b w:val="0"/>
          <w:bCs w:val="0"/>
          <w:i w:val="0"/>
          <w:color w:val="000000"/>
          <w:sz w:val="28"/>
          <w:szCs w:val="28"/>
          <w:highlight w:val="none"/>
          <w:u w:val="none"/>
          <w:lang w:val="en-US" w:eastAsia="zh-CN"/>
        </w:rPr>
        <w:t xml:space="preserve">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lang w:val="en-US" w:eastAsia="zh-CN"/>
        </w:rPr>
        <w:t xml:space="preserve">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w:t>
      </w:r>
      <w:r>
        <w:rPr>
          <w:rFonts w:hint="eastAsia" w:ascii="宋体" w:hAnsi="宋体" w:eastAsia="宋体" w:cs="宋体"/>
          <w:b w:val="0"/>
          <w:bCs w:val="0"/>
          <w:i w:val="0"/>
          <w:color w:val="000000"/>
          <w:sz w:val="28"/>
          <w:szCs w:val="28"/>
          <w:highlight w:val="none"/>
          <w:u w:val="none"/>
          <w:lang w:val="en-US" w:eastAsia="zh-CN"/>
        </w:rPr>
        <w:t xml:space="preserve">关于符合本国产品标准的声明函（如有）</w:t>
      </w:r>
      <w:r>
        <w:rPr>
          <w:rFonts w:hint="eastAsia" w:ascii="宋体" w:hAnsi="宋体" w:eastAsia="宋体" w:cs="宋体"/>
          <w:b w:val="0"/>
          <w:bCs w:val="0"/>
          <w:i w:val="0"/>
          <w:color w:val="000000"/>
          <w:sz w:val="28"/>
          <w:szCs w:val="28"/>
          <w:highlight w:val="none"/>
          <w:u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宋体" w:hAnsi="宋体" w:eastAsia="宋体" w:cs="宋体"/>
          <w:color w:val="000000"/>
          <w:sz w:val="28"/>
          <w:szCs w:val="28"/>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92"/>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2"/>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62"/>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88"/>
        <w:ind w:firstLine="0"/>
        <w:rPr>
          <w:rFonts w:hint="eastAsia"/>
          <w:color w:val="000000"/>
          <w:highlight w:val="none"/>
        </w:rPr>
      </w:pPr>
      <w:r>
        <w:rPr>
          <w:rFonts w:hint="eastAsia"/>
          <w:color w:val="000000"/>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6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4"/>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964"/>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869"/>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881"/>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4"/>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4"/>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4"/>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4"/>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4"/>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4"/>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6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4"/>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69"/>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9"/>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64"/>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9"/>
        <w:rPr>
          <w:rFonts w:ascii="宋体" w:hAnsi="宋体"/>
          <w:color w:val="000000"/>
          <w:sz w:val="24"/>
          <w:szCs w:val="24"/>
          <w:highlight w:val="none"/>
        </w:rPr>
      </w:pPr>
      <w:r>
        <w:rPr>
          <w:rFonts w:ascii="宋体" w:hAnsi="宋体"/>
          <w:color w:val="000000"/>
          <w:sz w:val="24"/>
          <w:szCs w:val="24"/>
          <w:highlight w:val="none"/>
        </w:rPr>
      </w:r>
      <w:r/>
    </w:p>
    <w:p>
      <w:pPr>
        <w:pStyle w:val="869"/>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69"/>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51"/>
        <w:rPr>
          <w:rFonts w:hint="eastAsia"/>
          <w:color w:val="000000"/>
          <w:highlight w:val="none"/>
        </w:rPr>
      </w:pPr>
      <w:r>
        <w:rPr>
          <w:rFonts w:hint="eastAsia"/>
          <w:color w:val="000000"/>
          <w:highlight w:val="none"/>
        </w:rPr>
      </w:r>
      <w:r/>
    </w:p>
    <w:p>
      <w:pPr>
        <w:pStyle w:val="951"/>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9"/>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8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1"/>
        <w:rPr>
          <w:rFonts w:hint="eastAsia"/>
          <w:color w:val="000000"/>
          <w:highlight w:val="none"/>
          <w:lang w:val="en-US" w:eastAsia="zh-CN"/>
        </w:rPr>
      </w:pPr>
      <w:r>
        <w:rPr>
          <w:rFonts w:hint="eastAsia"/>
          <w:color w:val="000000"/>
          <w:highlight w:val="none"/>
          <w:lang w:val="en-US" w:eastAsia="zh-CN"/>
        </w:rPr>
      </w:r>
      <w:r/>
    </w:p>
    <w:p>
      <w:pPr>
        <w:pStyle w:val="869"/>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五、核心产品品牌一览表</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spacing w:line="360" w:lineRule="auto"/>
        <w:rPr>
          <w:rFonts w:hint="eastAsia"/>
          <w:color w:val="000000"/>
          <w:highlight w:val="none"/>
          <w:lang w:val="en-US"/>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6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序号</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6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名称</w:t>
            </w:r>
            <w:r>
              <w:rPr>
                <w:rFonts w:hint="eastAsia" w:ascii="宋体" w:hAnsi="宋体" w:eastAsia="宋体" w:cs="Times New Roman"/>
                <w:color w:val="000000"/>
                <w:sz w:val="24"/>
                <w:szCs w:val="24"/>
                <w:highlight w:val="none"/>
                <w:lang w:val="zh-CN" w:eastAsia="zh-CN"/>
              </w:rPr>
            </w:r>
            <w:r/>
          </w:p>
        </w:tc>
        <w:tc>
          <w:tcPr>
            <w:tcW w:w="2158" w:type="dxa"/>
            <w:vAlign w:val="center"/>
            <w:textDirection w:val="lrTb"/>
            <w:noWrap w:val="false"/>
          </w:tcPr>
          <w:p>
            <w:pPr>
              <w:pStyle w:val="86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品牌</w:t>
            </w:r>
            <w:r>
              <w:rPr>
                <w:rFonts w:hint="eastAsia" w:ascii="宋体" w:hAnsi="宋体" w:eastAsia="宋体" w:cs="Times New Roman"/>
                <w:color w:val="000000"/>
                <w:sz w:val="24"/>
                <w:szCs w:val="24"/>
                <w:highlight w:val="none"/>
                <w:lang w:val="zh-CN" w:eastAsia="zh-CN"/>
              </w:rPr>
            </w:r>
            <w:r/>
          </w:p>
        </w:tc>
        <w:tc>
          <w:tcPr>
            <w:tcW w:w="2391" w:type="dxa"/>
            <w:vAlign w:val="center"/>
            <w:textDirection w:val="lrTb"/>
            <w:noWrap w:val="false"/>
          </w:tcPr>
          <w:p>
            <w:pPr>
              <w:pStyle w:val="86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规格或型号</w:t>
            </w:r>
            <w:r>
              <w:rPr>
                <w:rFonts w:hint="eastAsia" w:ascii="宋体" w:hAnsi="宋体" w:eastAsia="宋体" w:cs="Times New Roman"/>
                <w:color w:val="000000"/>
                <w:sz w:val="24"/>
                <w:szCs w:val="24"/>
                <w:highlight w:val="none"/>
                <w:lang w:val="zh-CN" w:eastAsia="zh-CN"/>
              </w:rPr>
            </w:r>
            <w:r/>
          </w:p>
        </w:tc>
      </w:tr>
      <w:tr>
        <w:trPr>
          <w:trHeight w:val="963"/>
        </w:trPr>
        <w:tc>
          <w:tcPr>
            <w:tcW w:w="1044" w:type="dxa"/>
            <w:vAlign w:val="center"/>
            <w:textDirection w:val="lrTb"/>
            <w:noWrap w:val="false"/>
          </w:tcPr>
          <w:p>
            <w:pPr>
              <w:pStyle w:val="86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1</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391" w:type="dxa"/>
            <w:vAlign w:val="top"/>
            <w:textDirection w:val="lrTb"/>
            <w:noWrap w:val="false"/>
          </w:tcPr>
          <w:p>
            <w:pPr>
              <w:pStyle w:val="86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r>
    </w:tbl>
    <w:p>
      <w:pPr>
        <w:pStyle w:val="869"/>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69"/>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rPr>
          <w:rFonts w:hint="eastAsia" w:ascii="宋体" w:hAnsi="宋体" w:eastAsia="宋体" w:cs="Times New Roman"/>
          <w:b/>
          <w:bCs/>
          <w:color w:val="000000"/>
          <w:sz w:val="24"/>
          <w:szCs w:val="24"/>
          <w:highlight w:val="none"/>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hint="eastAsia" w:ascii="宋体" w:hAnsi="宋体" w:eastAsia="宋体" w:cs="Times New Roman"/>
          <w:color w:val="000000"/>
          <w:sz w:val="24"/>
          <w:szCs w:val="24"/>
          <w:highlight w:val="none"/>
          <w:lang w:val="en-US" w:eastAsia="zh-CN"/>
        </w:rPr>
      </w:r>
      <w:r/>
    </w:p>
    <w:p>
      <w:pPr>
        <w:pStyle w:val="869"/>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ascii="宋体" w:hAnsi="宋体" w:eastAsia="宋体" w:cs="Times New Roman"/>
          <w:color w:val="000000"/>
          <w:sz w:val="24"/>
          <w:szCs w:val="24"/>
          <w:highlight w:val="none"/>
          <w:lang w:val="en-US" w:eastAsia="zh-CN"/>
        </w:rPr>
      </w:r>
      <w:r/>
    </w:p>
    <w:p>
      <w:pPr>
        <w:pStyle w:val="947"/>
        <w:rPr>
          <w:color w:val="000000"/>
          <w:highlight w:val="none"/>
          <w:lang w:val="en-US" w:eastAsia="zh-CN"/>
        </w:rPr>
      </w:pPr>
      <w:r>
        <w:rPr>
          <w:color w:val="000000"/>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项</w:t>
            </w: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69"/>
              <w:ind w:right="180"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69"/>
              <w:ind w:right="180" w:firstLine="480"/>
              <w:jc w:val="center"/>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69"/>
              <w:ind w:right="180" w:firstLine="480"/>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69"/>
              <w:ind w:right="180" w:firstLine="480"/>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69"/>
              <w:ind w:right="180" w:firstLine="480"/>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69"/>
              <w:ind w:right="180"/>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69"/>
              <w:ind w:right="180"/>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69"/>
              <w:ind w:right="180" w:firstLine="480"/>
              <w:jc w:val="both"/>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69"/>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jc w:val="left"/>
        <w:spacing w:line="360" w:lineRule="auto"/>
        <w:rPr>
          <w:rFonts w:hint="eastAsia"/>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color w:val="000000"/>
                <w:highlight w:val="none"/>
              </w:rPr>
            </w:pPr>
            <w:r>
              <w:rPr>
                <w:color w:val="000000"/>
                <w:highlight w:val="none"/>
              </w:rPr>
            </w:r>
            <w:r/>
          </w:p>
          <w:p>
            <w:pPr>
              <w:pStyle w:val="88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34"/>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4"/>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34"/>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八、商务要求响应及偏离表</w:t>
      </w:r>
      <w:r>
        <w:rPr>
          <w:rFonts w:hint="eastAsia" w:ascii="黑体" w:hAnsi="黑体" w:eastAsia="黑体" w:cs="Times New Roman"/>
          <w:i w:val="0"/>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color w:val="000000"/>
                <w:highlight w:val="none"/>
              </w:rPr>
            </w:pPr>
            <w:r>
              <w:rPr>
                <w:color w:val="000000"/>
                <w:highlight w:val="none"/>
              </w:rPr>
            </w:r>
            <w:r/>
          </w:p>
          <w:p>
            <w:pPr>
              <w:pStyle w:val="88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69"/>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九、中小企业声明函</w:t>
      </w:r>
      <w:r>
        <w:rPr>
          <w:rFonts w:hint="eastAsia" w:ascii="黑体" w:hAnsi="黑体" w:eastAsia="黑体" w:cs="Times New Roman"/>
          <w:i w:val="0"/>
          <w:iCs w:val="0"/>
          <w:color w:val="000000"/>
          <w:sz w:val="32"/>
          <w:szCs w:val="32"/>
          <w:highlight w:val="none"/>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rPr>
          <w:rFonts w:hint="eastAsia" w:ascii="宋体" w:hAnsi="宋体"/>
          <w:color w:val="000000"/>
          <w:sz w:val="24"/>
          <w:szCs w:val="24"/>
          <w:highlight w:val="none"/>
        </w:rPr>
      </w:r>
      <w:r/>
    </w:p>
    <w:p>
      <w:pPr>
        <w:pStyle w:val="869"/>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69"/>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69"/>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1"/>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0"/>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69"/>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rPr>
          <w:rFonts w:hint="eastAsia" w:ascii="黑体" w:hAnsi="黑体" w:eastAsia="黑体"/>
          <w:b w:val="0"/>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51"/>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69"/>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869"/>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黑体" w:hAnsi="黑体" w:eastAsia="黑体"/>
          <w:b/>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w:t>
      </w:r>
      <w:bookmarkEnd w:id="69"/>
      <w:r>
        <w:rPr>
          <w:rFonts w:hint="eastAsia" w:ascii="黑体" w:hAnsi="黑体" w:eastAsia="黑体" w:cs="Times New Roman"/>
          <w:i w:val="0"/>
          <w:iCs w:val="0"/>
          <w:color w:val="000000"/>
          <w:sz w:val="32"/>
          <w:szCs w:val="32"/>
          <w:highlight w:val="none"/>
          <w:u w:val="none"/>
          <w:lang w:val="en-US" w:eastAsia="zh-CN"/>
        </w:rPr>
        <w:t xml:space="preserve">关于符合本国产品标准的声明函</w:t>
      </w:r>
      <w:r>
        <w:rPr>
          <w:rFonts w:hint="eastAsia" w:ascii="宋体" w:hAnsi="宋体" w:eastAsia="宋体" w:cs="Times New Roman"/>
          <w:color w:val="000000"/>
          <w:sz w:val="24"/>
          <w:highlight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44"/>
          <w:rFonts w:hint="eastAsia"/>
          <w:i w:val="0"/>
          <w:color w:val="000000"/>
          <w:highlight w:val="none"/>
          <w:u w:val="single"/>
          <w:shd w:val="clear" w:color="auto" w:fill="ffffff"/>
        </w:rPr>
        <w:t xml:space="preserve">（产品名称1）</w:t>
      </w:r>
      <w:r>
        <w:rPr>
          <w:rStyle w:val="944"/>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44"/>
          <w:rFonts w:hint="eastAsia"/>
          <w:i w:val="0"/>
          <w:color w:val="000000"/>
          <w:highlight w:val="none"/>
          <w:u w:val="single"/>
          <w:shd w:val="clear" w:color="auto" w:fill="ffffff"/>
        </w:rPr>
        <w:t xml:space="preserve">（厂名）</w:t>
      </w:r>
      <w:r>
        <w:rPr>
          <w:rStyle w:val="944"/>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44"/>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4"/>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44"/>
          <w:rFonts w:hint="eastAsia"/>
          <w:i/>
          <w:strike w:val="0"/>
          <w:color w:val="000000"/>
          <w:highlight w:val="none"/>
          <w:u w:val="single"/>
          <w:shd w:val="clear" w:color="auto" w:fill="ffffff"/>
        </w:rPr>
        <w:t xml:space="preserve">（规定比例）</w:t>
      </w:r>
      <w:r>
        <w:rPr>
          <w:rStyle w:val="944"/>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44"/>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4"/>
          <w:rFonts w:hint="eastAsia"/>
          <w:i/>
          <w:strike w:val="0"/>
          <w:color w:val="000000"/>
          <w:highlight w:val="none"/>
          <w:u w:val="single"/>
          <w:shd w:val="clear" w:color="auto" w:fill="ffffff"/>
        </w:rPr>
        <w:t xml:space="preserve">（关键组件）</w:t>
      </w:r>
      <w:r>
        <w:rPr>
          <w:rStyle w:val="944"/>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44"/>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4"/>
          <w:rFonts w:hint="eastAsia"/>
          <w:i/>
          <w:strike w:val="0"/>
          <w:color w:val="000000"/>
          <w:highlight w:val="none"/>
          <w:u w:val="single"/>
          <w:shd w:val="clear" w:color="auto" w:fill="ffffff"/>
        </w:rPr>
        <w:t xml:space="preserve">（关键工序）</w:t>
      </w:r>
      <w:r>
        <w:rPr>
          <w:rStyle w:val="944"/>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34"/>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44"/>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44"/>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44"/>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4"/>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44"/>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44"/>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4"/>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44"/>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4"/>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34"/>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34"/>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34"/>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34"/>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3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3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34"/>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34"/>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34"/>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highlight w:val="none"/>
          <w:shd w:val="clear" w:color="auto" w:fill="ffffff"/>
        </w:rPr>
        <w:t xml:space="preserve">5.该产品的关键工序要求实施前，“关键工序”栏可不填。</w:t>
      </w:r>
      <w:bookmarkStart w:id="70" w:name="OLE_LINK8"/>
      <w:r>
        <w:rPr>
          <w:rFonts w:hint="eastAsia"/>
          <w:b w:val="0"/>
          <w:bCs w:val="0"/>
          <w:color w:val="000000"/>
          <w:sz w:val="21"/>
          <w:szCs w:val="21"/>
          <w:highlight w:val="none"/>
          <w:shd w:val="clear" w:color="auto" w:fill="ffffff"/>
        </w:rPr>
      </w:r>
      <w:r/>
    </w:p>
    <w:p>
      <w:pPr>
        <w:pStyle w:val="869"/>
        <w:numPr>
          <w:ilvl w:val="0"/>
          <w:numId w:val="0"/>
        </w:numPr>
        <w:jc w:val="left"/>
        <w:widowControl/>
        <w:rPr>
          <w:rFonts w:hint="eastAsia"/>
          <w:b w:val="0"/>
          <w:bCs w:val="0"/>
          <w:color w:val="000000"/>
          <w:sz w:val="21"/>
          <w:szCs w:val="21"/>
          <w:highlight w:val="none"/>
          <w:shd w:val="clear" w:color="auto" w:fill="ffffff"/>
        </w:rPr>
      </w:pPr>
      <w:r/>
      <w:bookmarkEnd w:id="70"/>
      <w:r>
        <w:rPr>
          <w:rFonts w:hint="eastAsia"/>
          <w:b w:val="0"/>
          <w:bCs w:val="0"/>
          <w:color w:val="000000"/>
          <w:sz w:val="21"/>
          <w:szCs w:val="21"/>
          <w:highlight w:val="none"/>
          <w:shd w:val="clear" w:color="auto" w:fill="ffffff"/>
        </w:rPr>
      </w:r>
      <w:r/>
    </w:p>
    <w:p>
      <w:pPr>
        <w:pStyle w:val="869"/>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69"/>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69"/>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Char"/>
    <w:basedOn w:val="879"/>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paragraph" w:styleId="888">
    <w:name w:val="正文缩进"/>
    <w:basedOn w:val="869"/>
    <w:next w:val="888"/>
    <w:link w:val="889"/>
    <w:pPr>
      <w:ind w:firstLine="420"/>
    </w:pPr>
    <w:rPr>
      <w:szCs w:val="21"/>
    </w:rPr>
  </w:style>
  <w:style w:type="character" w:styleId="889">
    <w:name w:val="正文缩进 Char"/>
    <w:next w:val="889"/>
    <w:link w:val="888"/>
    <w:rPr>
      <w:szCs w:val="21"/>
    </w:rPr>
  </w:style>
  <w:style w:type="character" w:styleId="890">
    <w:name w:val="标题 3 Char"/>
    <w:next w:val="890"/>
    <w:link w:val="872"/>
    <w:rPr>
      <w:rFonts w:ascii="Times New Roman" w:hAnsi="Times New Roman" w:eastAsia="宋体" w:cs="Times New Roman"/>
      <w:b/>
      <w:bCs/>
      <w:sz w:val="32"/>
      <w:szCs w:val="32"/>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jc w:val="left"/>
    </w:pPr>
  </w:style>
  <w:style w:type="character" w:styleId="902">
    <w:name w:val="批注文字 Char"/>
    <w:basedOn w:val="879"/>
    <w:next w:val="902"/>
    <w:link w:val="901"/>
    <w:uiPriority w:val="99"/>
    <w:semiHidden/>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901"/>
    <w:next w:val="901"/>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正文1"/>
    <w:basedOn w:val="869"/>
    <w:next w:val="947"/>
    <w:link w:val="869"/>
    <w:qFormat/>
    <w:pPr>
      <w:ind w:left="350" w:firstLine="0"/>
    </w:pPr>
    <w:rPr>
      <w:rFonts w:cs="Times New Roman"/>
      <w:sz w:val="20"/>
      <w:szCs w:val="24"/>
    </w:rPr>
  </w:style>
  <w:style w:type="paragraph" w:styleId="948">
    <w:name w:val="正文首行缩进 211"/>
    <w:basedOn w:val="949"/>
    <w:next w:val="869"/>
    <w:link w:val="869"/>
    <w:qFormat/>
    <w:pPr>
      <w:ind w:left="0" w:firstLine="420"/>
      <w:spacing w:after="0" w:line="360" w:lineRule="auto"/>
    </w:pPr>
    <w:rPr>
      <w:rFonts w:ascii="宋体" w:hAnsi="宋体" w:eastAsia="宋体" w:cs="Times New Roman"/>
      <w:szCs w:val="20"/>
    </w:rPr>
  </w:style>
  <w:style w:type="paragraph" w:styleId="949">
    <w:name w:val="正文文本缩进11"/>
    <w:basedOn w:val="869"/>
    <w:next w:val="950"/>
    <w:link w:val="869"/>
    <w:unhideWhenUsed/>
    <w:qFormat/>
    <w:pPr>
      <w:ind w:left="420"/>
      <w:spacing w:after="120"/>
    </w:pPr>
  </w:style>
  <w:style w:type="paragraph" w:styleId="950">
    <w:name w:val="寄信人地址1"/>
    <w:basedOn w:val="869"/>
    <w:next w:val="950"/>
    <w:link w:val="869"/>
    <w:qFormat/>
    <w:rPr>
      <w:rFonts w:ascii="Arial" w:hAnsi="Arial" w:eastAsia="宋体" w:cs="宋体"/>
    </w:rPr>
  </w:style>
  <w:style w:type="paragraph" w:styleId="951">
    <w:name w:val="索引 41"/>
    <w:basedOn w:val="869"/>
    <w:next w:val="869"/>
    <w:link w:val="869"/>
    <w:semiHidden/>
    <w:qFormat/>
    <w:pPr>
      <w:ind w:left="1260"/>
    </w:pPr>
    <w:rPr>
      <w:rFonts w:ascii="Calibri" w:hAnsi="Calibri" w:eastAsia="Calibri" w:cs="宋体"/>
      <w:sz w:val="20"/>
      <w:lang w:val="zh-CN"/>
    </w:rPr>
  </w:style>
  <w:style w:type="paragraph" w:styleId="952">
    <w:name w:val="正文文本缩进1"/>
    <w:basedOn w:val="869"/>
    <w:next w:val="953"/>
    <w:link w:val="869"/>
    <w:unhideWhenUsed/>
    <w:qFormat/>
    <w:pPr>
      <w:ind w:left="420"/>
      <w:spacing w:after="120"/>
    </w:pPr>
  </w:style>
  <w:style w:type="paragraph" w:styleId="953">
    <w:name w:val="正文文本首行缩进 2"/>
    <w:basedOn w:val="952"/>
    <w:next w:val="953"/>
    <w:link w:val="869"/>
    <w:qFormat/>
    <w:pPr>
      <w:ind w:left="0" w:firstLine="420"/>
      <w:spacing w:after="0" w:line="360" w:lineRule="auto"/>
    </w:pPr>
    <w:rPr>
      <w:rFonts w:ascii="宋体" w:hAnsi="宋体"/>
      <w:sz w:val="20"/>
      <w:szCs w:val="20"/>
      <w:lang w:val="en-US" w:eastAsia="en-US"/>
    </w:rPr>
  </w:style>
  <w:style w:type="character" w:styleId="954">
    <w:name w:val="font5 Char"/>
    <w:next w:val="954"/>
    <w:link w:val="869"/>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69"/>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69"/>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69"/>
    <w:next w:val="905"/>
    <w:link w:val="869"/>
    <w:pPr>
      <w:spacing w:after="120"/>
    </w:pPr>
    <w:rPr>
      <w:rFonts w:ascii="宋体" w:hAnsi="Arial" w:eastAsia="宋体" w:cs="Times New Roman"/>
      <w:bCs/>
      <w:iCs/>
      <w:szCs w:val="24"/>
    </w:rPr>
  </w:style>
  <w:style w:type="paragraph" w:styleId="960">
    <w:name w:val="xl27"/>
    <w:basedOn w:val="869"/>
    <w:next w:val="96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69"/>
    <w:next w:val="961"/>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69"/>
    <w:next w:val="962"/>
    <w:link w:val="869"/>
    <w:pPr>
      <w:ind w:firstLine="200"/>
      <w:tabs>
        <w:tab w:val="left" w:pos="360" w:leader="none"/>
      </w:tabs>
    </w:pPr>
    <w:rPr>
      <w:rFonts w:ascii="Times New Roman" w:hAnsi="Times New Roman" w:eastAsia="宋体" w:cs="Times New Roman"/>
      <w:sz w:val="28"/>
      <w:szCs w:val="30"/>
    </w:rPr>
  </w:style>
  <w:style w:type="paragraph" w:styleId="963">
    <w:name w:val=" Char"/>
    <w:basedOn w:val="899"/>
    <w:next w:val="963"/>
    <w:link w:val="869"/>
    <w:rPr>
      <w:rFonts w:ascii="Tahoma" w:hAnsi="Tahoma"/>
      <w:sz w:val="24"/>
      <w:szCs w:val="24"/>
    </w:rPr>
  </w:style>
  <w:style w:type="paragraph" w:styleId="964">
    <w:name w:val="普通正文"/>
    <w:basedOn w:val="869"/>
    <w:next w:val="964"/>
    <w:link w:val="869"/>
    <w:pPr>
      <w:ind w:firstLine="480"/>
      <w:jc w:val="left"/>
      <w:spacing w:before="120" w:after="120" w:line="360" w:lineRule="auto"/>
    </w:pPr>
    <w:rPr>
      <w:rFonts w:ascii="Arial" w:hAnsi="Arial" w:eastAsia="宋体" w:cs="Times New Roman"/>
      <w:sz w:val="24"/>
      <w:szCs w:val="24"/>
    </w:rPr>
  </w:style>
  <w:style w:type="paragraph" w:styleId="965">
    <w:name w:val="table_lines"/>
    <w:basedOn w:val="869"/>
    <w:next w:val="965"/>
    <w:link w:val="869"/>
    <w:pPr>
      <w:jc w:val="left"/>
      <w:widowControl/>
    </w:pPr>
    <w:rPr>
      <w:rFonts w:ascii="Times New Roman" w:hAnsi="Times New Roman" w:eastAsia="宋体" w:cs="Times New Roman"/>
      <w:sz w:val="20"/>
      <w:szCs w:val="20"/>
      <w:lang w:val="de-DE" w:eastAsia="de-DE"/>
    </w:rPr>
  </w:style>
  <w:style w:type="paragraph" w:styleId="966">
    <w:name w:val="附录1"/>
    <w:next w:val="966"/>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69"/>
    <w:next w:val="967"/>
    <w:link w:val="869"/>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899"/>
    <w:next w:val="968"/>
    <w:link w:val="869"/>
    <w:pPr>
      <w:spacing w:line="360" w:lineRule="auto"/>
    </w:pPr>
    <w:rPr>
      <w:rFonts w:ascii="Tahoma" w:hAnsi="Tahoma"/>
      <w:sz w:val="24"/>
      <w:szCs w:val="24"/>
    </w:rPr>
  </w:style>
  <w:style w:type="paragraph" w:styleId="969">
    <w:name w:val="列出段落"/>
    <w:basedOn w:val="869"/>
    <w:next w:val="969"/>
    <w:link w:val="869"/>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71">
    <w:name w:val="普通 (Web)"/>
    <w:basedOn w:val="869"/>
    <w:next w:val="971"/>
    <w:link w:val="869"/>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69"/>
    <w:next w:val="972"/>
    <w:link w:val="869"/>
    <w:pPr>
      <w:spacing w:line="360" w:lineRule="auto"/>
    </w:pPr>
    <w:rPr>
      <w:rFonts w:ascii="Times New Roman" w:hAnsi="Times New Roman" w:eastAsia="宋体" w:cs="Times New Roman"/>
      <w:sz w:val="24"/>
      <w:szCs w:val="20"/>
    </w:rPr>
  </w:style>
  <w:style w:type="paragraph" w:styleId="973">
    <w:name w:val="样式1"/>
    <w:basedOn w:val="869"/>
    <w:next w:val="973"/>
    <w:link w:val="869"/>
    <w:pPr>
      <w:numPr>
        <w:ilvl w:val="0"/>
        <w:numId w:val="3"/>
      </w:numPr>
      <w:tabs>
        <w:tab w:val="left" w:pos="709" w:leader="none"/>
      </w:tabs>
    </w:pPr>
    <w:rPr>
      <w:rFonts w:ascii="宋体" w:hAnsi="宋体" w:eastAsia="宋体" w:cs="Times New Roman"/>
      <w:szCs w:val="21"/>
    </w:rPr>
  </w:style>
  <w:style w:type="paragraph" w:styleId="974">
    <w:name w:val="font6"/>
    <w:basedOn w:val="869"/>
    <w:next w:val="974"/>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69"/>
    <w:next w:val="975"/>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8">
    <w:name w:val="xl24"/>
    <w:basedOn w:val="869"/>
    <w:next w:val="97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69"/>
    <w:next w:val="979"/>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69"/>
    <w:next w:val="980"/>
    <w:link w:val="869"/>
    <w:pPr>
      <w:jc w:val="left"/>
      <w:spacing w:after="160" w:line="240" w:lineRule="exact"/>
      <w:widowControl/>
    </w:pPr>
    <w:rPr>
      <w:rFonts w:ascii="Verdana" w:hAnsi="Verdana" w:eastAsia="宋体" w:cs="Times New Roman"/>
      <w:sz w:val="20"/>
      <w:szCs w:val="20"/>
      <w:lang w:eastAsia="en-US"/>
    </w:rPr>
  </w:style>
  <w:style w:type="paragraph" w:styleId="981">
    <w:name w:val="xl28"/>
    <w:basedOn w:val="869"/>
    <w:next w:val="981"/>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69"/>
    <w:next w:val="982"/>
    <w:link w:val="869"/>
    <w:pPr>
      <w:jc w:val="left"/>
      <w:spacing w:after="160" w:line="240" w:lineRule="exact"/>
      <w:widowControl/>
    </w:pPr>
    <w:rPr>
      <w:rFonts w:ascii="Verdana" w:hAnsi="Verdana" w:eastAsia="宋体" w:cs="Times New Roman"/>
      <w:sz w:val="20"/>
      <w:szCs w:val="20"/>
      <w:lang w:eastAsia="en-US"/>
    </w:rPr>
  </w:style>
  <w:style w:type="paragraph" w:styleId="983">
    <w:name w:val="xl30"/>
    <w:basedOn w:val="869"/>
    <w:next w:val="983"/>
    <w:link w:val="869"/>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899"/>
    <w:next w:val="984"/>
    <w:link w:val="869"/>
    <w:pPr>
      <w:spacing w:line="360" w:lineRule="auto"/>
    </w:pPr>
    <w:rPr>
      <w:rFonts w:ascii="Tahoma" w:hAnsi="Tahoma"/>
      <w:sz w:val="24"/>
      <w:szCs w:val="24"/>
    </w:rPr>
  </w:style>
  <w:style w:type="paragraph" w:styleId="985">
    <w:name w:val="table_1stline"/>
    <w:basedOn w:val="869"/>
    <w:next w:val="985"/>
    <w:link w:val="869"/>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69"/>
    <w:next w:val="986"/>
    <w:link w:val="869"/>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修订"/>
    <w:next w:val="988"/>
    <w:link w:val="869"/>
    <w:uiPriority w:val="99"/>
    <w:semiHidden/>
    <w:rPr>
      <w:rFonts w:ascii="Times New Roman" w:hAnsi="Times New Roman"/>
      <w:sz w:val="21"/>
      <w:szCs w:val="21"/>
      <w:lang w:val="en-US" w:eastAsia="zh-CN" w:bidi="ar-SA"/>
    </w:rPr>
  </w:style>
  <w:style w:type="paragraph" w:styleId="989">
    <w:name w:val="无间隔"/>
    <w:next w:val="989"/>
    <w:link w:val="869"/>
    <w:uiPriority w:val="99"/>
    <w:qFormat/>
    <w:pPr>
      <w:jc w:val="both"/>
      <w:widowControl w:val="off"/>
    </w:pPr>
    <w:rPr>
      <w:rFonts w:ascii="Times New Roman" w:hAnsi="Times New Roman"/>
      <w:sz w:val="21"/>
      <w:szCs w:val="21"/>
      <w:lang w:val="en-US" w:eastAsia="zh-CN" w:bidi="ar-SA"/>
    </w:rPr>
  </w:style>
  <w:style w:type="table" w:styleId="990">
    <w:name w:val="Table Normal"/>
    <w:next w:val="990"/>
    <w:link w:val="869"/>
    <w:qFormat/>
    <w:tblPr/>
  </w:style>
  <w:style w:type="paragraph" w:styleId="991">
    <w:name w:val="正文文本12"/>
    <w:basedOn w:val="869"/>
    <w:next w:val="991"/>
    <w:link w:val="869"/>
    <w:uiPriority w:val="1"/>
    <w:qFormat/>
    <w:pPr>
      <w:ind w:left="120"/>
    </w:pPr>
    <w:rPr>
      <w:rFonts w:ascii="宋体" w:hAnsi="宋体" w:eastAsia="宋体" w:cs="宋体"/>
      <w:sz w:val="21"/>
      <w:szCs w:val="21"/>
      <w:lang w:val="zh-CN" w:eastAsia="zh-CN" w:bidi="zh-CN"/>
    </w:rPr>
  </w:style>
  <w:style w:type="paragraph" w:styleId="992">
    <w:name w:val="正文文本 211"/>
    <w:basedOn w:val="869"/>
    <w:next w:val="992"/>
    <w:link w:val="869"/>
    <w:uiPriority w:val="99"/>
    <w:qFormat/>
    <w:pPr>
      <w:jc w:val="center"/>
    </w:pPr>
    <w:rPr>
      <w:b/>
      <w:bCs/>
      <w:sz w:val="20"/>
      <w:szCs w:val="20"/>
    </w:rPr>
  </w:style>
  <w:style w:type="paragraph" w:styleId="993">
    <w:name w:val="正文文本1"/>
    <w:basedOn w:val="869"/>
    <w:next w:val="869"/>
    <w:link w:val="869"/>
    <w:semiHidden/>
    <w:qFormat/>
    <w:rPr>
      <w:rFonts w:ascii="Arial" w:hAnsi="Arial" w:eastAsia="Arial" w:cs="Arial"/>
      <w:sz w:val="21"/>
      <w:szCs w:val="21"/>
      <w:lang w:val="en-US" w:eastAsia="en-US" w:bidi="ar-SA"/>
    </w:rPr>
  </w:style>
  <w:style w:type="paragraph" w:styleId="994">
    <w:name w:val="Table Paragraph"/>
    <w:basedOn w:val="869"/>
    <w:next w:val="994"/>
    <w:link w:val="869"/>
    <w:uiPriority w:val="1"/>
    <w:qFormat/>
    <w:pPr>
      <w:jc w:val="left"/>
    </w:pPr>
    <w:rPr>
      <w:rFonts w:ascii="宋体" w:hAnsi="宋体" w:eastAsia="宋体" w:cs="宋体"/>
      <w:sz w:val="22"/>
      <w:szCs w:val="22"/>
      <w:lang w:val="zh-CN" w:bidi="zh-CN"/>
    </w:rPr>
  </w:style>
  <w:style w:type="table" w:styleId="995">
    <w:name w:val="网格型1"/>
    <w:basedOn w:val="996"/>
    <w:next w:val="995"/>
    <w:link w:val="869"/>
    <w:qFormat/>
    <w:pPr>
      <w:jc w:val="both"/>
      <w:widowControl w:val="off"/>
    </w:pPr>
    <w:tblPr/>
  </w:style>
  <w:style w:type="table" w:styleId="996">
    <w:name w:val="普通表格1"/>
    <w:next w:val="996"/>
    <w:link w:val="869"/>
    <w:uiPriority w:val="99"/>
    <w:unhideWhenUsed/>
    <w:qFormat/>
    <w:tblPr/>
  </w:style>
  <w:style w:type="character" w:styleId="997">
    <w:name w:val="15"/>
    <w:basedOn w:val="879"/>
    <w:next w:val="997"/>
    <w:link w:val="869"/>
    <w:rPr>
      <w:rFonts w:ascii="Times New Roman" w:hAnsi="Times New Roman" w:cs="Times New Roman"/>
    </w:rPr>
  </w:style>
  <w:style w:type="paragraph" w:styleId="998">
    <w:name w:val="正文首行缩进 21"/>
    <w:basedOn w:val="999"/>
    <w:next w:val="869"/>
    <w:link w:val="869"/>
    <w:qFormat/>
    <w:pPr>
      <w:ind w:left="0" w:firstLine="420"/>
      <w:spacing w:after="0" w:line="360" w:lineRule="auto"/>
    </w:pPr>
    <w:rPr>
      <w:rFonts w:ascii="宋体" w:hAnsi="宋体"/>
      <w:szCs w:val="20"/>
    </w:rPr>
  </w:style>
  <w:style w:type="paragraph" w:styleId="999">
    <w:name w:val="正文文本缩进12"/>
    <w:basedOn w:val="869"/>
    <w:next w:val="1000"/>
    <w:link w:val="869"/>
    <w:unhideWhenUsed/>
    <w:qFormat/>
    <w:pPr>
      <w:ind w:left="420"/>
      <w:spacing w:after="120"/>
    </w:pPr>
  </w:style>
  <w:style w:type="paragraph" w:styleId="1000">
    <w:name w:val="寄信人地址11"/>
    <w:basedOn w:val="869"/>
    <w:next w:val="1000"/>
    <w:link w:val="869"/>
    <w:qFormat/>
    <w:rPr>
      <w:rFonts w:ascii="Arial" w:hAnsi="Arial" w:cs="宋体"/>
    </w:rPr>
  </w:style>
  <w:style w:type="character" w:styleId="1001">
    <w:name w:val="批注引用1"/>
    <w:next w:val="1001"/>
    <w:link w:val="869"/>
    <w:semiHidden/>
    <w:qFormat/>
    <w:rPr>
      <w:sz w:val="21"/>
      <w:szCs w:val="21"/>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8</cp:revision>
  <dcterms:created xsi:type="dcterms:W3CDTF">2023-03-16T02:13:00Z</dcterms:created>
  <dcterms:modified xsi:type="dcterms:W3CDTF">2026-09-02T05:23:38Z</dcterms:modified>
</cp:coreProperties>
</file>