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EC4BEC">
      <w:pPr>
        <w:spacing w:line="360" w:lineRule="auto"/>
        <w:rPr>
          <w:rFonts w:hint="eastAsia" w:ascii="宋体" w:hAnsi="宋体" w:cs="宋体"/>
          <w:bCs/>
          <w:color w:val="auto"/>
          <w:sz w:val="52"/>
          <w:szCs w:val="52"/>
          <w:highlight w:val="none"/>
        </w:rPr>
      </w:pPr>
    </w:p>
    <w:p w14:paraId="30E12B8B">
      <w:pPr>
        <w:spacing w:line="360" w:lineRule="auto"/>
        <w:jc w:val="center"/>
        <w:rPr>
          <w:rFonts w:hint="eastAsia" w:ascii="宋体" w:hAnsi="宋体" w:cs="宋体"/>
          <w:bCs/>
          <w:color w:val="auto"/>
          <w:sz w:val="52"/>
          <w:szCs w:val="52"/>
          <w:highlight w:val="none"/>
        </w:rPr>
      </w:pPr>
    </w:p>
    <w:p w14:paraId="51CFD79C">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无锡市政府采购项目</w:t>
      </w:r>
    </w:p>
    <w:p w14:paraId="3AE68297">
      <w:pPr>
        <w:spacing w:line="360" w:lineRule="auto"/>
        <w:jc w:val="center"/>
        <w:rPr>
          <w:rFonts w:hint="eastAsia" w:ascii="宋体" w:hAnsi="宋体" w:cs="宋体"/>
          <w:bCs/>
          <w:color w:val="auto"/>
          <w:sz w:val="52"/>
          <w:szCs w:val="52"/>
          <w:highlight w:val="none"/>
        </w:rPr>
      </w:pPr>
      <w:r>
        <w:rPr>
          <w:rFonts w:hint="eastAsia" w:ascii="宋体" w:hAnsi="宋体" w:cs="宋体"/>
          <w:bCs/>
          <w:color w:val="auto"/>
          <w:sz w:val="52"/>
          <w:szCs w:val="52"/>
          <w:highlight w:val="none"/>
        </w:rPr>
        <w:t>公开招标文件</w:t>
      </w:r>
    </w:p>
    <w:p w14:paraId="68BD2DBB">
      <w:pPr>
        <w:spacing w:line="360" w:lineRule="auto"/>
        <w:jc w:val="center"/>
        <w:rPr>
          <w:rFonts w:ascii="宋体" w:hAnsi="宋体"/>
          <w:bCs/>
          <w:color w:val="auto"/>
          <w:sz w:val="24"/>
          <w:highlight w:val="none"/>
        </w:rPr>
      </w:pPr>
      <w:r>
        <w:rPr>
          <w:rFonts w:hint="eastAsia" w:ascii="华文中宋" w:hAnsi="华文中宋" w:eastAsia="华文中宋"/>
          <w:bCs/>
          <w:color w:val="auto"/>
          <w:sz w:val="30"/>
          <w:highlight w:val="none"/>
        </w:rPr>
        <w:t>（全流程电子化）</w:t>
      </w:r>
    </w:p>
    <w:p w14:paraId="4E001B50">
      <w:pPr>
        <w:spacing w:line="360" w:lineRule="auto"/>
        <w:rPr>
          <w:rFonts w:hint="eastAsia" w:ascii="宋体" w:hAnsi="宋体" w:cs="宋体"/>
          <w:bCs/>
          <w:color w:val="auto"/>
          <w:sz w:val="24"/>
          <w:highlight w:val="none"/>
        </w:rPr>
      </w:pPr>
    </w:p>
    <w:p w14:paraId="4E4BC471">
      <w:pPr>
        <w:spacing w:line="360" w:lineRule="auto"/>
        <w:rPr>
          <w:rFonts w:hint="eastAsia" w:ascii="宋体" w:hAnsi="宋体" w:cs="宋体"/>
          <w:bCs/>
          <w:color w:val="auto"/>
          <w:sz w:val="24"/>
          <w:highlight w:val="none"/>
        </w:rPr>
      </w:pPr>
    </w:p>
    <w:p w14:paraId="586F3883">
      <w:pPr>
        <w:spacing w:line="360" w:lineRule="auto"/>
        <w:rPr>
          <w:rFonts w:hint="eastAsia" w:ascii="宋体" w:hAnsi="宋体" w:cs="宋体"/>
          <w:bCs/>
          <w:color w:val="auto"/>
          <w:sz w:val="24"/>
          <w:highlight w:val="none"/>
        </w:rPr>
      </w:pPr>
    </w:p>
    <w:p w14:paraId="0193590A">
      <w:pPr>
        <w:spacing w:line="360" w:lineRule="auto"/>
        <w:rPr>
          <w:rFonts w:hint="eastAsia" w:ascii="宋体" w:hAnsi="宋体" w:cs="宋体"/>
          <w:bCs/>
          <w:color w:val="auto"/>
          <w:sz w:val="24"/>
          <w:highlight w:val="none"/>
        </w:rPr>
      </w:pPr>
    </w:p>
    <w:p w14:paraId="7435318A">
      <w:pPr>
        <w:spacing w:line="360" w:lineRule="auto"/>
        <w:rPr>
          <w:rFonts w:hint="eastAsia" w:ascii="宋体" w:hAnsi="宋体" w:cs="宋体"/>
          <w:bCs/>
          <w:color w:val="auto"/>
          <w:sz w:val="24"/>
          <w:highlight w:val="none"/>
        </w:rPr>
      </w:pPr>
    </w:p>
    <w:p w14:paraId="30A10E84">
      <w:pPr>
        <w:spacing w:line="360" w:lineRule="auto"/>
        <w:rPr>
          <w:rFonts w:hint="eastAsia" w:ascii="宋体" w:hAnsi="宋体" w:cs="宋体"/>
          <w:bCs/>
          <w:color w:val="auto"/>
          <w:sz w:val="24"/>
          <w:highlight w:val="none"/>
        </w:rPr>
      </w:pPr>
    </w:p>
    <w:p w14:paraId="3846AFC3">
      <w:pPr>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政府采购编号：JSZC-320214-JSSZ-G2026-0047</w:t>
      </w:r>
      <w:r>
        <w:rPr>
          <w:rFonts w:hint="eastAsia" w:ascii="宋体" w:hAnsi="宋体" w:eastAsia="宋体" w:cs="宋体"/>
          <w:bCs/>
          <w:color w:val="auto"/>
          <w:sz w:val="32"/>
          <w:szCs w:val="32"/>
          <w:highlight w:val="none"/>
          <w:lang w:val="en-US" w:eastAsia="zh-CN"/>
        </w:rPr>
        <w:t xml:space="preserve">   </w:t>
      </w:r>
    </w:p>
    <w:p w14:paraId="175E34DB">
      <w:pPr>
        <w:spacing w:line="360" w:lineRule="auto"/>
        <w:rPr>
          <w:rFonts w:hint="eastAsia" w:ascii="宋体" w:hAnsi="宋体" w:cs="宋体"/>
          <w:bCs/>
          <w:color w:val="auto"/>
          <w:sz w:val="32"/>
          <w:szCs w:val="32"/>
          <w:highlight w:val="none"/>
        </w:rPr>
      </w:pPr>
    </w:p>
    <w:p w14:paraId="7C97D2F5">
      <w:pP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采购项目名称：</w:t>
      </w:r>
      <w:r>
        <w:rPr>
          <w:rFonts w:hint="eastAsia" w:ascii="宋体" w:hAnsi="宋体" w:cs="宋体"/>
          <w:bCs/>
          <w:color w:val="auto"/>
          <w:sz w:val="32"/>
          <w:szCs w:val="32"/>
          <w:highlight w:val="none"/>
          <w:lang w:eastAsia="zh-CN"/>
        </w:rPr>
        <w:t>2026年新吴区疾控中心检验检测设备采购项目</w:t>
      </w:r>
    </w:p>
    <w:p w14:paraId="0CF8F754">
      <w:pPr>
        <w:spacing w:line="360" w:lineRule="auto"/>
        <w:rPr>
          <w:rFonts w:hint="eastAsia" w:ascii="宋体" w:hAnsi="宋体" w:cs="宋体"/>
          <w:bCs/>
          <w:color w:val="auto"/>
          <w:sz w:val="32"/>
          <w:szCs w:val="32"/>
          <w:highlight w:val="none"/>
        </w:rPr>
      </w:pPr>
    </w:p>
    <w:p w14:paraId="4CACC264">
      <w:pP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采 购 代 理 机 构：江苏苏咨工程咨询有限责任公司</w:t>
      </w:r>
    </w:p>
    <w:p w14:paraId="2BEFC362">
      <w:pPr>
        <w:spacing w:line="360" w:lineRule="auto"/>
        <w:rPr>
          <w:rFonts w:hint="eastAsia" w:ascii="宋体" w:hAnsi="宋体" w:cs="宋体"/>
          <w:bCs/>
          <w:color w:val="auto"/>
          <w:sz w:val="32"/>
          <w:szCs w:val="32"/>
          <w:highlight w:val="none"/>
        </w:rPr>
      </w:pPr>
    </w:p>
    <w:p w14:paraId="292F356A">
      <w:pPr>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采 购 人：</w:t>
      </w:r>
      <w:r>
        <w:rPr>
          <w:rFonts w:hint="eastAsia" w:ascii="宋体" w:hAnsi="宋体" w:cs="宋体"/>
          <w:bCs/>
          <w:color w:val="auto"/>
          <w:sz w:val="32"/>
          <w:szCs w:val="32"/>
          <w:highlight w:val="none"/>
          <w:lang w:eastAsia="zh-CN"/>
        </w:rPr>
        <w:t>无锡市新吴区疾病预防控制中心</w:t>
      </w:r>
    </w:p>
    <w:p w14:paraId="5FCBBEDC">
      <w:pPr>
        <w:spacing w:line="360" w:lineRule="auto"/>
        <w:rPr>
          <w:rFonts w:hint="eastAsia" w:ascii="宋体" w:hAnsi="宋体" w:cs="宋体"/>
          <w:bCs/>
          <w:color w:val="auto"/>
          <w:sz w:val="24"/>
          <w:highlight w:val="none"/>
        </w:rPr>
      </w:pPr>
    </w:p>
    <w:p w14:paraId="6E31B08E">
      <w:pPr>
        <w:spacing w:line="360" w:lineRule="auto"/>
        <w:rPr>
          <w:rFonts w:hint="eastAsia" w:ascii="宋体" w:hAnsi="宋体" w:cs="宋体"/>
          <w:bCs/>
          <w:color w:val="auto"/>
          <w:sz w:val="24"/>
          <w:highlight w:val="none"/>
        </w:rPr>
      </w:pPr>
    </w:p>
    <w:p w14:paraId="44E92B78">
      <w:pPr>
        <w:spacing w:line="360" w:lineRule="auto"/>
        <w:jc w:val="center"/>
        <w:rPr>
          <w:rFonts w:hint="eastAsia" w:ascii="宋体" w:hAnsi="宋体" w:cs="宋体"/>
          <w:bCs/>
          <w:color w:val="auto"/>
          <w:sz w:val="24"/>
          <w:highlight w:val="none"/>
        </w:rPr>
      </w:pPr>
    </w:p>
    <w:p w14:paraId="54D11581">
      <w:pPr>
        <w:pStyle w:val="220"/>
        <w:rPr>
          <w:rFonts w:hint="eastAsia"/>
          <w:color w:val="auto"/>
          <w:highlight w:val="none"/>
        </w:rPr>
      </w:pPr>
    </w:p>
    <w:p w14:paraId="06A17EA8">
      <w:pPr>
        <w:spacing w:line="360" w:lineRule="auto"/>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目  录</w:t>
      </w:r>
    </w:p>
    <w:p w14:paraId="7F881CBE">
      <w:pPr>
        <w:spacing w:line="360" w:lineRule="auto"/>
        <w:jc w:val="center"/>
        <w:rPr>
          <w:rFonts w:hint="eastAsia" w:ascii="宋体" w:hAnsi="宋体" w:cs="宋体"/>
          <w:bCs/>
          <w:color w:val="auto"/>
          <w:sz w:val="30"/>
          <w:szCs w:val="30"/>
          <w:highlight w:val="none"/>
        </w:rPr>
      </w:pPr>
    </w:p>
    <w:p w14:paraId="09BE8D98">
      <w:pPr>
        <w:tabs>
          <w:tab w:val="left" w:pos="8000"/>
        </w:tabs>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 </w:t>
      </w:r>
    </w:p>
    <w:p w14:paraId="42EB7D9D">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投标供应商须知 </w:t>
      </w:r>
    </w:p>
    <w:p w14:paraId="4FF57B45">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 </w:t>
      </w:r>
    </w:p>
    <w:p w14:paraId="4945A8F5">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合同书 </w:t>
      </w:r>
    </w:p>
    <w:p w14:paraId="35D4DE9F">
      <w:pPr>
        <w:spacing w:line="1000" w:lineRule="exact"/>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lang w:eastAsia="zh-CN"/>
        </w:rPr>
        <w:t>第五部分</w:t>
      </w:r>
      <w:r>
        <w:rPr>
          <w:rFonts w:hint="eastAsia" w:ascii="宋体" w:hAnsi="宋体" w:cs="宋体"/>
          <w:bCs/>
          <w:color w:val="auto"/>
          <w:sz w:val="30"/>
          <w:szCs w:val="30"/>
          <w:highlight w:val="none"/>
          <w:lang w:val="en-US" w:eastAsia="zh-CN"/>
        </w:rPr>
        <w:t xml:space="preserve">   </w:t>
      </w:r>
      <w:r>
        <w:rPr>
          <w:rFonts w:hint="eastAsia" w:ascii="宋体" w:hAnsi="宋体"/>
          <w:color w:val="auto"/>
          <w:sz w:val="30"/>
          <w:szCs w:val="30"/>
          <w:highlight w:val="none"/>
        </w:rPr>
        <w:t>评标方法与评标标准</w:t>
      </w:r>
    </w:p>
    <w:p w14:paraId="667FE833">
      <w:pPr>
        <w:spacing w:line="1000" w:lineRule="exact"/>
        <w:rPr>
          <w:rFonts w:hint="eastAsia" w:ascii="宋体" w:hAnsi="宋体" w:cs="宋体"/>
          <w:bCs/>
          <w:color w:val="auto"/>
          <w:sz w:val="30"/>
          <w:szCs w:val="30"/>
          <w:highlight w:val="none"/>
        </w:rPr>
      </w:pPr>
      <w:r>
        <w:rPr>
          <w:rFonts w:hint="eastAsia" w:ascii="宋体" w:hAnsi="宋体" w:cs="宋体"/>
          <w:bCs/>
          <w:color w:val="auto"/>
          <w:sz w:val="30"/>
          <w:szCs w:val="30"/>
          <w:highlight w:val="none"/>
        </w:rPr>
        <w:t>第</w:t>
      </w:r>
      <w:r>
        <w:rPr>
          <w:rFonts w:hint="eastAsia" w:ascii="宋体" w:hAnsi="宋体" w:cs="宋体"/>
          <w:bCs/>
          <w:color w:val="auto"/>
          <w:sz w:val="30"/>
          <w:szCs w:val="30"/>
          <w:highlight w:val="none"/>
          <w:lang w:eastAsia="zh-CN"/>
        </w:rPr>
        <w:t>六</w:t>
      </w:r>
      <w:r>
        <w:rPr>
          <w:rFonts w:hint="eastAsia" w:ascii="宋体" w:hAnsi="宋体" w:cs="宋体"/>
          <w:bCs/>
          <w:color w:val="auto"/>
          <w:sz w:val="30"/>
          <w:szCs w:val="30"/>
          <w:highlight w:val="none"/>
        </w:rPr>
        <w:t xml:space="preserve">部分    附件  </w:t>
      </w:r>
    </w:p>
    <w:p w14:paraId="768B5533">
      <w:pPr>
        <w:spacing w:line="1000" w:lineRule="exact"/>
        <w:rPr>
          <w:rFonts w:hint="eastAsia" w:ascii="宋体" w:hAnsi="宋体" w:cs="宋体"/>
          <w:bCs/>
          <w:color w:val="auto"/>
          <w:sz w:val="30"/>
          <w:szCs w:val="30"/>
          <w:highlight w:val="none"/>
        </w:rPr>
      </w:pPr>
    </w:p>
    <w:p w14:paraId="02EB7B59">
      <w:pPr>
        <w:widowControl/>
        <w:spacing w:line="360" w:lineRule="auto"/>
        <w:rPr>
          <w:rFonts w:hint="eastAsia" w:ascii="宋体" w:hAnsi="宋体" w:cs="宋体"/>
          <w:bCs/>
          <w:color w:val="auto"/>
          <w:sz w:val="24"/>
          <w:highlight w:val="none"/>
        </w:rPr>
      </w:pPr>
    </w:p>
    <w:p w14:paraId="3503CE3D">
      <w:pPr>
        <w:widowControl/>
        <w:spacing w:line="360" w:lineRule="auto"/>
        <w:rPr>
          <w:rFonts w:hint="eastAsia" w:ascii="宋体" w:hAnsi="宋体" w:cs="宋体"/>
          <w:bCs/>
          <w:color w:val="auto"/>
          <w:sz w:val="24"/>
          <w:highlight w:val="none"/>
        </w:rPr>
      </w:pPr>
    </w:p>
    <w:p w14:paraId="7AEEAA95">
      <w:pPr>
        <w:widowControl/>
        <w:spacing w:line="360" w:lineRule="auto"/>
        <w:rPr>
          <w:rFonts w:hint="eastAsia" w:ascii="宋体" w:hAnsi="宋体" w:cs="宋体"/>
          <w:bCs/>
          <w:color w:val="auto"/>
          <w:sz w:val="24"/>
          <w:highlight w:val="none"/>
        </w:rPr>
      </w:pPr>
    </w:p>
    <w:p w14:paraId="174327CB">
      <w:pPr>
        <w:widowControl/>
        <w:spacing w:line="360" w:lineRule="auto"/>
        <w:rPr>
          <w:rFonts w:hint="eastAsia" w:ascii="宋体" w:hAnsi="宋体" w:cs="宋体"/>
          <w:bCs/>
          <w:color w:val="auto"/>
          <w:sz w:val="24"/>
          <w:highlight w:val="none"/>
        </w:rPr>
      </w:pPr>
    </w:p>
    <w:p w14:paraId="1DB1D812">
      <w:pPr>
        <w:widowControl/>
        <w:spacing w:line="360" w:lineRule="auto"/>
        <w:rPr>
          <w:rFonts w:hint="eastAsia" w:ascii="宋体" w:hAnsi="宋体" w:cs="宋体"/>
          <w:bCs/>
          <w:color w:val="auto"/>
          <w:sz w:val="24"/>
          <w:highlight w:val="none"/>
        </w:rPr>
      </w:pPr>
    </w:p>
    <w:p w14:paraId="5E1B8F4B">
      <w:pPr>
        <w:widowControl/>
        <w:spacing w:before="470"/>
        <w:rPr>
          <w:rFonts w:hint="eastAsia" w:ascii="宋体" w:hAnsi="宋体" w:cs="宋体"/>
          <w:bCs/>
          <w:color w:val="auto"/>
          <w:sz w:val="24"/>
          <w:highlight w:val="none"/>
        </w:rPr>
      </w:pPr>
    </w:p>
    <w:p w14:paraId="46667B91">
      <w:pPr>
        <w:widowControl/>
        <w:spacing w:before="470"/>
        <w:rPr>
          <w:rFonts w:hint="eastAsia" w:ascii="宋体" w:hAnsi="宋体" w:cs="宋体"/>
          <w:bCs/>
          <w:color w:val="auto"/>
          <w:sz w:val="24"/>
          <w:highlight w:val="none"/>
        </w:rPr>
      </w:pPr>
    </w:p>
    <w:p w14:paraId="4C2FCD18">
      <w:pPr>
        <w:widowControl/>
        <w:spacing w:line="440" w:lineRule="exact"/>
        <w:jc w:val="center"/>
        <w:rPr>
          <w:rFonts w:hint="eastAsia" w:ascii="宋体" w:hAnsi="宋体" w:cs="宋体"/>
          <w:bCs/>
          <w:color w:val="auto"/>
          <w:sz w:val="44"/>
          <w:szCs w:val="44"/>
          <w:highlight w:val="none"/>
        </w:rPr>
      </w:pPr>
      <w:r>
        <w:rPr>
          <w:rFonts w:hint="eastAsia" w:ascii="宋体" w:hAnsi="宋体" w:cs="宋体"/>
          <w:bCs/>
          <w:color w:val="auto"/>
          <w:sz w:val="24"/>
          <w:highlight w:val="none"/>
        </w:rPr>
        <w:br w:type="page" w:clear="all"/>
      </w:r>
      <w:r>
        <w:rPr>
          <w:rFonts w:hint="eastAsia" w:ascii="宋体" w:hAnsi="宋体" w:cs="宋体"/>
          <w:bCs/>
          <w:color w:val="auto"/>
          <w:sz w:val="44"/>
          <w:szCs w:val="44"/>
          <w:highlight w:val="none"/>
        </w:rPr>
        <w:t>第一部分. 投标邀请</w:t>
      </w:r>
    </w:p>
    <w:p w14:paraId="3ABA4B53">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江苏苏咨工程咨询有限责任公司受</w:t>
      </w:r>
      <w:r>
        <w:rPr>
          <w:rFonts w:hint="eastAsia" w:ascii="宋体" w:hAnsi="宋体" w:cs="宋体"/>
          <w:bCs/>
          <w:color w:val="auto"/>
          <w:sz w:val="24"/>
          <w:highlight w:val="none"/>
          <w:lang w:eastAsia="zh-CN"/>
        </w:rPr>
        <w:t>无锡市新吴区疾病预防控制中心</w:t>
      </w:r>
      <w:r>
        <w:rPr>
          <w:rFonts w:hint="eastAsia" w:ascii="宋体" w:hAnsi="宋体" w:cs="宋体"/>
          <w:bCs/>
          <w:color w:val="auto"/>
          <w:sz w:val="24"/>
          <w:highlight w:val="none"/>
        </w:rPr>
        <w:t>委托，就其</w:t>
      </w:r>
      <w:r>
        <w:rPr>
          <w:rFonts w:hint="eastAsia" w:ascii="宋体" w:hAnsi="宋体" w:cs="宋体"/>
          <w:bCs/>
          <w:color w:val="auto"/>
          <w:sz w:val="24"/>
          <w:highlight w:val="none"/>
          <w:lang w:eastAsia="zh-CN"/>
        </w:rPr>
        <w:t>2026年新吴区疾控中心检验检测设备采购项目</w:t>
      </w:r>
      <w:r>
        <w:rPr>
          <w:rFonts w:hint="eastAsia" w:ascii="宋体" w:hAnsi="宋体" w:cs="宋体"/>
          <w:bCs/>
          <w:color w:val="auto"/>
          <w:sz w:val="24"/>
          <w:highlight w:val="none"/>
        </w:rPr>
        <w:t>进行公开招标。现欢迎符合相关条件的供应商参加投标，投标邀请如下：</w:t>
      </w:r>
    </w:p>
    <w:tbl>
      <w:tblPr>
        <w:tblStyle w:val="29"/>
        <w:tblW w:w="93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5"/>
        <w:gridCol w:w="8536"/>
      </w:tblGrid>
      <w:tr w14:paraId="10265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trPr>
        <w:tc>
          <w:tcPr>
            <w:tcW w:w="805" w:type="dxa"/>
            <w:noWrap w:val="0"/>
            <w:vAlign w:val="center"/>
          </w:tcPr>
          <w:p w14:paraId="14F2D5F7">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序号</w:t>
            </w:r>
          </w:p>
        </w:tc>
        <w:tc>
          <w:tcPr>
            <w:tcW w:w="8536" w:type="dxa"/>
            <w:noWrap w:val="0"/>
            <w:vAlign w:val="center"/>
          </w:tcPr>
          <w:p w14:paraId="23F029EA">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内容</w:t>
            </w:r>
          </w:p>
        </w:tc>
      </w:tr>
      <w:tr w14:paraId="2C228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F816AB2">
            <w:pPr>
              <w:spacing w:line="44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8536" w:type="dxa"/>
            <w:noWrap w:val="0"/>
            <w:vAlign w:val="center"/>
          </w:tcPr>
          <w:p w14:paraId="607F506E">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项目名称：</w:t>
            </w:r>
            <w:r>
              <w:rPr>
                <w:rFonts w:hint="eastAsia" w:ascii="宋体" w:hAnsi="宋体" w:cs="宋体"/>
                <w:bCs/>
                <w:color w:val="auto"/>
                <w:sz w:val="24"/>
                <w:highlight w:val="none"/>
                <w:lang w:eastAsia="zh-CN"/>
              </w:rPr>
              <w:t>2026年新吴区疾控中心检验检测设备采购项目</w:t>
            </w:r>
            <w:r>
              <w:rPr>
                <w:rFonts w:hint="eastAsia" w:ascii="宋体" w:hAnsi="宋体" w:cs="宋体"/>
                <w:bCs/>
                <w:color w:val="auto"/>
                <w:sz w:val="24"/>
                <w:highlight w:val="none"/>
              </w:rPr>
              <w:t xml:space="preserve"> </w:t>
            </w:r>
          </w:p>
          <w:p w14:paraId="05240907">
            <w:pPr>
              <w:spacing w:line="440" w:lineRule="exact"/>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采购编号</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JSZC-320214-JSSZ-G2026-0047</w:t>
            </w:r>
          </w:p>
          <w:p w14:paraId="3EAE8E1D">
            <w:pPr>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采购方式：公开招标</w:t>
            </w:r>
          </w:p>
          <w:p w14:paraId="2AA9DA63">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lang w:eastAsia="zh-CN"/>
              </w:rPr>
              <w:t>新吴区疾控中心检验检测设备</w:t>
            </w:r>
            <w:r>
              <w:rPr>
                <w:rFonts w:hint="eastAsia" w:ascii="宋体" w:hAnsi="宋体" w:cs="宋体"/>
                <w:bCs/>
                <w:color w:val="auto"/>
                <w:sz w:val="24"/>
                <w:highlight w:val="none"/>
              </w:rPr>
              <w:t>的供货及安装。具体数量及</w:t>
            </w:r>
            <w:r>
              <w:rPr>
                <w:rFonts w:hint="eastAsia" w:ascii="宋体" w:hAnsi="宋体"/>
                <w:bCs/>
                <w:color w:val="auto"/>
                <w:sz w:val="24"/>
                <w:highlight w:val="none"/>
              </w:rPr>
              <w:t>具体技术参数详见采购需求。</w:t>
            </w:r>
          </w:p>
        </w:tc>
      </w:tr>
      <w:tr w14:paraId="03598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8C8E66A">
            <w:pPr>
              <w:spacing w:line="44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8536" w:type="dxa"/>
            <w:noWrap w:val="0"/>
            <w:vAlign w:val="center"/>
          </w:tcPr>
          <w:p w14:paraId="73E10BB2">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采购人：</w:t>
            </w:r>
            <w:r>
              <w:rPr>
                <w:rFonts w:hint="eastAsia" w:ascii="宋体" w:hAnsi="宋体" w:cs="宋体"/>
                <w:bCs/>
                <w:color w:val="auto"/>
                <w:sz w:val="24"/>
                <w:highlight w:val="none"/>
                <w:lang w:eastAsia="zh-CN"/>
              </w:rPr>
              <w:t>无锡市新吴区疾病预防控制中心</w:t>
            </w:r>
          </w:p>
          <w:p w14:paraId="79CB12A4">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采购人地址： </w:t>
            </w:r>
            <w:r>
              <w:rPr>
                <w:rFonts w:hint="eastAsia" w:ascii="宋体" w:hAnsi="宋体" w:cs="宋体"/>
                <w:bCs/>
                <w:color w:val="auto"/>
                <w:sz w:val="24"/>
                <w:highlight w:val="none"/>
                <w:lang w:eastAsia="zh-CN"/>
              </w:rPr>
              <w:t>无锡市新吴区汉江路3号</w:t>
            </w:r>
          </w:p>
          <w:p w14:paraId="0ACF0F01">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采购代理机构：江苏苏咨工程咨询有限责任公司</w:t>
            </w:r>
          </w:p>
          <w:p w14:paraId="347C7702">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采购机构地址：无锡市滨湖区建筑西路599号国家工业设计园4幢706室</w:t>
            </w:r>
          </w:p>
        </w:tc>
      </w:tr>
      <w:tr w14:paraId="097698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0" w:hRule="atLeast"/>
        </w:trPr>
        <w:tc>
          <w:tcPr>
            <w:tcW w:w="805" w:type="dxa"/>
            <w:noWrap w:val="0"/>
            <w:vAlign w:val="center"/>
          </w:tcPr>
          <w:p w14:paraId="3DAB22BC">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8536" w:type="dxa"/>
            <w:noWrap w:val="0"/>
            <w:vAlign w:val="center"/>
          </w:tcPr>
          <w:p w14:paraId="56E91D4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采购项目概况、要求： </w:t>
            </w:r>
          </w:p>
          <w:p w14:paraId="22777024">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新吴区疾控中心检验检测设备</w:t>
            </w:r>
            <w:r>
              <w:rPr>
                <w:rFonts w:hint="eastAsia" w:ascii="宋体" w:hAnsi="宋体" w:cs="宋体"/>
                <w:color w:val="auto"/>
                <w:sz w:val="24"/>
                <w:highlight w:val="none"/>
              </w:rPr>
              <w:t>的供货及安装。具体数量及具体技术参数详见采购需求。</w:t>
            </w:r>
          </w:p>
          <w:p w14:paraId="6E1FA6C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合同履行期限：接到采购人通知后，</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0天内完成本次招标设备的供货、安装、调试以及与之配套的辅助工作，交付采购人使用；</w:t>
            </w:r>
          </w:p>
          <w:p w14:paraId="6F81EBEE">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本项目非专门面向中小企业采购；</w:t>
            </w:r>
          </w:p>
          <w:p w14:paraId="5B89AAC7">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本项目所属行业：根据中小企业划型标准规定（工信部联企业[2011]300号）中的：工业；</w:t>
            </w:r>
          </w:p>
          <w:p w14:paraId="67E8D43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交货地点：采购人指定地点；</w:t>
            </w:r>
          </w:p>
          <w:p w14:paraId="783503F3">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质量要求：满足采购人使用要求；</w:t>
            </w:r>
          </w:p>
          <w:p w14:paraId="79B4CCA0">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质保期：箱式电阻炉（马弗炉）</w:t>
            </w:r>
            <w:r>
              <w:rPr>
                <w:rFonts w:hint="eastAsia" w:ascii="宋体" w:hAnsi="宋体" w:cs="宋体"/>
                <w:color w:val="auto"/>
                <w:sz w:val="24"/>
                <w:highlight w:val="none"/>
                <w:lang w:eastAsia="zh-CN"/>
              </w:rPr>
              <w:t>、单道可调移液器（不同量程）、8通道可调移液器（不同量程）</w:t>
            </w:r>
            <w:r>
              <w:rPr>
                <w:rFonts w:hint="eastAsia" w:ascii="宋体" w:hAnsi="宋体" w:cs="宋体"/>
                <w:color w:val="auto"/>
                <w:sz w:val="24"/>
                <w:highlight w:val="none"/>
                <w:lang w:val="en-US" w:eastAsia="zh-CN"/>
              </w:rPr>
              <w:t>不少于2年，其余设备不少于3年；</w:t>
            </w:r>
          </w:p>
          <w:p w14:paraId="2D14BA0B">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响应时间：设备有故障，卖方应在接到买方通知后2小时内做出响应，24小时内到达使用现场并及时有效地排除故障；</w:t>
            </w:r>
          </w:p>
          <w:p w14:paraId="586FE3A1">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采购预算：</w:t>
            </w:r>
            <w:r>
              <w:rPr>
                <w:rFonts w:hint="eastAsia" w:ascii="宋体" w:hAnsi="宋体" w:cs="宋体"/>
                <w:color w:val="auto"/>
                <w:sz w:val="24"/>
                <w:highlight w:val="none"/>
                <w:lang w:val="en-US" w:eastAsia="zh-CN"/>
              </w:rPr>
              <w:t>131.16</w:t>
            </w:r>
            <w:r>
              <w:rPr>
                <w:rFonts w:hint="eastAsia" w:ascii="宋体" w:hAnsi="宋体" w:cs="宋体"/>
                <w:color w:val="auto"/>
                <w:sz w:val="24"/>
                <w:highlight w:val="none"/>
              </w:rPr>
              <w:t>万元。</w:t>
            </w:r>
          </w:p>
          <w:p w14:paraId="00F8EBBC">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最高限价及单项最高限价：</w:t>
            </w:r>
            <w:r>
              <w:rPr>
                <w:rFonts w:hint="eastAsia" w:ascii="宋体" w:hAnsi="宋体" w:cs="宋体"/>
                <w:color w:val="auto"/>
                <w:sz w:val="24"/>
                <w:highlight w:val="none"/>
                <w:lang w:val="en-US" w:eastAsia="zh-CN"/>
              </w:rPr>
              <w:t>131.16</w:t>
            </w:r>
            <w:r>
              <w:rPr>
                <w:rFonts w:hint="eastAsia" w:ascii="宋体" w:hAnsi="宋体" w:cs="宋体"/>
                <w:color w:val="auto"/>
                <w:sz w:val="24"/>
                <w:highlight w:val="none"/>
              </w:rPr>
              <w:t>万元。</w:t>
            </w:r>
            <w:r>
              <w:rPr>
                <w:rFonts w:hint="eastAsia" w:ascii="宋体" w:hAnsi="宋体" w:cs="宋体"/>
                <w:color w:val="auto"/>
                <w:sz w:val="24"/>
                <w:highlight w:val="none"/>
                <w:lang w:eastAsia="zh-CN"/>
              </w:rPr>
              <w:t>其中：微生物鉴定质谱仪</w:t>
            </w:r>
            <w:r>
              <w:rPr>
                <w:rFonts w:hint="eastAsia" w:ascii="宋体" w:hAnsi="宋体" w:cs="宋体"/>
                <w:color w:val="auto"/>
                <w:sz w:val="24"/>
                <w:highlight w:val="none"/>
                <w:lang w:val="en-US" w:eastAsia="zh-CN"/>
              </w:rPr>
              <w:t>1台，113万元；箱式电阻炉（马弗炉）1台，3.7万元；单道可调移液器（0.5-10微升）1台，0.18万元；单道可调移液器（2-20微升）2台，0.36万元；单道可调移液器（10-100微升）2台，0.36万元；单道可调移液器（20-200微升）3台，0.54万元；单道可调移液器（100-1000微升）8台，1.44万元；8通道可调移液器（0.5-10微升）1台，0.83万元；8通道可调移液器（10-100微升）1台，0.83万元；余氯等多参数便携式比色计1台，1.46万元；双路粉尘采样器（5-40L/min）4台，4万元；双路大气采样器（300-6000ml/min）4台，4万元；水质便携检测仪1台，0.46万元。</w:t>
            </w:r>
          </w:p>
          <w:p w14:paraId="4D87F371">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本项目箱式电阻炉（马弗炉）</w:t>
            </w:r>
            <w:r>
              <w:rPr>
                <w:rFonts w:hint="eastAsia" w:ascii="宋体" w:hAnsi="宋体" w:cs="宋体"/>
                <w:color w:val="auto"/>
                <w:sz w:val="24"/>
                <w:highlight w:val="none"/>
                <w:lang w:eastAsia="zh-CN"/>
              </w:rPr>
              <w:t>、单道可调移液器（不同量程）、8通道可调移液器（不同量程）</w:t>
            </w:r>
            <w:r>
              <w:rPr>
                <w:rFonts w:hint="eastAsia" w:ascii="宋体" w:hAnsi="宋体" w:cs="宋体"/>
                <w:color w:val="auto"/>
                <w:sz w:val="24"/>
                <w:highlight w:val="none"/>
              </w:rPr>
              <w:t>接受进口产品投标</w:t>
            </w:r>
            <w:r>
              <w:rPr>
                <w:rFonts w:hint="eastAsia" w:ascii="宋体" w:hAnsi="宋体" w:cs="宋体"/>
                <w:color w:val="auto"/>
                <w:sz w:val="24"/>
                <w:highlight w:val="none"/>
                <w:lang w:eastAsia="zh-CN"/>
              </w:rPr>
              <w:t>，</w:t>
            </w:r>
            <w:r>
              <w:rPr>
                <w:rFonts w:hint="eastAsia" w:ascii="宋体" w:hAnsi="宋体" w:eastAsia="宋体" w:cs="宋体"/>
                <w:i w:val="0"/>
                <w:iCs w:val="0"/>
                <w:caps w:val="0"/>
                <w:color w:val="auto"/>
                <w:spacing w:val="0"/>
                <w:sz w:val="24"/>
                <w:szCs w:val="24"/>
                <w:highlight w:val="none"/>
              </w:rPr>
              <w:t>其余产品不接受进口产品投标</w:t>
            </w:r>
            <w:r>
              <w:rPr>
                <w:rFonts w:hint="eastAsia" w:ascii="宋体" w:hAnsi="宋体" w:eastAsia="宋体" w:cs="宋体"/>
                <w:i w:val="0"/>
                <w:iCs w:val="0"/>
                <w:caps w:val="0"/>
                <w:color w:val="auto"/>
                <w:spacing w:val="0"/>
                <w:sz w:val="24"/>
                <w:szCs w:val="24"/>
                <w:highlight w:val="none"/>
                <w:lang w:eastAsia="zh-CN"/>
              </w:rPr>
              <w:t>。</w:t>
            </w:r>
          </w:p>
          <w:p w14:paraId="7A4F5068">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注：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1C903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805" w:type="dxa"/>
            <w:noWrap w:val="0"/>
            <w:vAlign w:val="center"/>
          </w:tcPr>
          <w:p w14:paraId="774AB61A">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8536" w:type="dxa"/>
            <w:noWrap w:val="0"/>
            <w:vAlign w:val="center"/>
          </w:tcPr>
          <w:p w14:paraId="693B7050">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投标供应商资格要求：</w:t>
            </w:r>
          </w:p>
          <w:p w14:paraId="20CEED2F">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1.满足《中华人民共和国政府采购法》第二十二条规定；</w:t>
            </w:r>
          </w:p>
          <w:p w14:paraId="37A86CDA">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2.落实政府采购政策需满足的资格要求：</w:t>
            </w:r>
          </w:p>
          <w:p w14:paraId="70094595">
            <w:pPr>
              <w:widowControl/>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2.1中小企业政策：本项目非专门面向中小企业； </w:t>
            </w:r>
          </w:p>
          <w:p w14:paraId="12D84BA3">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highlight w:val="none"/>
                <w:lang w:eastAsia="zh-CN"/>
              </w:rPr>
              <w:t>。</w:t>
            </w:r>
          </w:p>
          <w:p w14:paraId="02245F8B">
            <w:pPr>
              <w:widowControl/>
              <w:spacing w:line="360" w:lineRule="auto"/>
              <w:rPr>
                <w:rFonts w:hint="eastAsia" w:ascii="宋体" w:hAnsi="宋体" w:eastAsia="宋体" w:cs="宋体"/>
                <w:color w:val="auto"/>
                <w:sz w:val="24"/>
                <w:highlight w:val="none"/>
              </w:rPr>
            </w:pPr>
            <w:r>
              <w:rPr>
                <w:rFonts w:hint="eastAsia" w:ascii="宋体" w:hAnsi="宋体"/>
                <w:color w:val="auto"/>
                <w:sz w:val="24"/>
                <w:szCs w:val="24"/>
                <w:highlight w:val="none"/>
              </w:rPr>
              <w:t>3.本项目的特定资格要求：</w:t>
            </w:r>
          </w:p>
          <w:p w14:paraId="3382ACE6">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若投标人为</w:t>
            </w:r>
            <w:r>
              <w:rPr>
                <w:rFonts w:hint="eastAsia" w:ascii="宋体" w:hAnsi="宋体" w:eastAsia="宋体" w:cs="宋体"/>
                <w:color w:val="auto"/>
                <w:sz w:val="24"/>
                <w:highlight w:val="none"/>
                <w:lang w:eastAsia="zh-CN"/>
              </w:rPr>
              <w:t>微生物鉴定质谱仪</w:t>
            </w:r>
            <w:r>
              <w:rPr>
                <w:rFonts w:hint="eastAsia" w:ascii="宋体" w:hAnsi="宋体" w:eastAsia="宋体" w:cs="宋体"/>
                <w:color w:val="auto"/>
                <w:sz w:val="24"/>
                <w:highlight w:val="none"/>
              </w:rPr>
              <w:t>生产商的，须具有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p>
          <w:p w14:paraId="1CC66A12">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3.2</w:t>
            </w:r>
            <w:r>
              <w:rPr>
                <w:rFonts w:hint="eastAsia" w:ascii="宋体" w:hAnsi="宋体" w:eastAsia="宋体" w:cs="宋体"/>
                <w:color w:val="auto"/>
                <w:sz w:val="24"/>
                <w:highlight w:val="none"/>
              </w:rPr>
              <w:t>投标产品按国家规定须</w:t>
            </w:r>
            <w:r>
              <w:rPr>
                <w:rFonts w:hint="eastAsia" w:ascii="宋体" w:hAnsi="宋体" w:eastAsia="宋体" w:cs="宋体"/>
                <w:color w:val="auto"/>
                <w:sz w:val="24"/>
                <w:highlight w:val="none"/>
                <w:lang w:eastAsia="zh-CN"/>
              </w:rPr>
              <w:t>具备</w:t>
            </w:r>
            <w:r>
              <w:rPr>
                <w:rFonts w:hint="eastAsia" w:ascii="宋体" w:hAnsi="宋体" w:eastAsia="宋体" w:cs="宋体"/>
                <w:color w:val="auto"/>
                <w:sz w:val="24"/>
                <w:highlight w:val="none"/>
              </w:rPr>
              <w:t>医疗器械注册证的，供应商须提供产品有效完整的《医疗器械注册证》；按国家规定须进行备案的，供应商须提供产品的《第一类医疗器械备案凭证》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p>
          <w:p w14:paraId="02C51841">
            <w:pPr>
              <w:widowControl/>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val="en-US" w:eastAsia="zh-CN"/>
              </w:rPr>
              <w:t>3.3</w:t>
            </w:r>
            <w:r>
              <w:rPr>
                <w:rFonts w:hint="eastAsia" w:ascii="宋体" w:hAnsi="宋体" w:eastAsia="宋体" w:cs="宋体"/>
                <w:color w:val="auto"/>
                <w:sz w:val="24"/>
                <w:highlight w:val="none"/>
              </w:rPr>
              <w:t>投标供应商所投</w:t>
            </w:r>
            <w:r>
              <w:rPr>
                <w:rFonts w:hint="eastAsia" w:ascii="宋体" w:hAnsi="宋体" w:cs="宋体"/>
                <w:color w:val="auto"/>
                <w:sz w:val="24"/>
                <w:highlight w:val="none"/>
              </w:rPr>
              <w:t>箱式电阻炉（马弗炉）</w:t>
            </w:r>
            <w:r>
              <w:rPr>
                <w:rFonts w:hint="eastAsia" w:ascii="宋体" w:hAnsi="宋体" w:cs="宋体"/>
                <w:color w:val="auto"/>
                <w:sz w:val="24"/>
                <w:highlight w:val="none"/>
                <w:lang w:eastAsia="zh-CN"/>
              </w:rPr>
              <w:t>、单道可调移液器（不同量程）、8通道可调移液器（不同量程）</w:t>
            </w:r>
            <w:r>
              <w:rPr>
                <w:rFonts w:hint="eastAsia" w:ascii="宋体" w:hAnsi="宋体" w:eastAsia="宋体" w:cs="宋体"/>
                <w:color w:val="auto"/>
                <w:sz w:val="24"/>
                <w:highlight w:val="none"/>
              </w:rPr>
              <w:t>为进口产品的，投标时需提供所投产品有效授权书</w:t>
            </w:r>
            <w:r>
              <w:rPr>
                <w:rFonts w:hint="eastAsia" w:ascii="宋体" w:hAnsi="宋体" w:eastAsia="宋体" w:cs="宋体"/>
                <w:color w:val="auto"/>
                <w:sz w:val="24"/>
                <w:highlight w:val="none"/>
                <w:lang w:eastAsia="zh-CN"/>
              </w:rPr>
              <w:t>。</w:t>
            </w:r>
          </w:p>
          <w:p w14:paraId="7455E5A6">
            <w:pPr>
              <w:widowControl/>
              <w:spacing w:line="360" w:lineRule="auto"/>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4.本项目不接受联合体投标。</w:t>
            </w:r>
          </w:p>
        </w:tc>
      </w:tr>
      <w:tr w14:paraId="351EAE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5916B6A9">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5</w:t>
            </w:r>
          </w:p>
        </w:tc>
        <w:tc>
          <w:tcPr>
            <w:tcW w:w="8536" w:type="dxa"/>
            <w:noWrap w:val="0"/>
            <w:vAlign w:val="top"/>
          </w:tcPr>
          <w:p w14:paraId="6B40E85D">
            <w:pPr>
              <w:keepNext w:val="0"/>
              <w:keepLines w:val="0"/>
              <w:widowControl/>
              <w:suppressLineNumbers w:val="0"/>
              <w:spacing w:before="0" w:beforeAutospacing="0" w:after="0" w:afterAutospacing="0" w:line="360" w:lineRule="auto"/>
              <w:ind w:left="0" w:right="0"/>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招标文件获取信息：</w:t>
            </w:r>
          </w:p>
          <w:p w14:paraId="210635E3">
            <w:pPr>
              <w:pStyle w:val="472"/>
              <w:keepNext w:val="0"/>
              <w:keepLines w:val="0"/>
              <w:suppressLineNumbers w:val="0"/>
              <w:spacing w:before="0" w:beforeAutospacing="0" w:after="0" w:afterAutospacing="0" w:line="360" w:lineRule="auto"/>
              <w:ind w:left="0" w:right="0"/>
              <w:rPr>
                <w:rFonts w:hint="eastAsia" w:ascii="宋体" w:hAnsi="宋体" w:eastAsia="宋体" w:cs="宋体"/>
                <w:bCs/>
                <w:color w:val="auto"/>
                <w:highlight w:val="none"/>
              </w:rPr>
            </w:pPr>
            <w:r>
              <w:rPr>
                <w:rFonts w:hint="eastAsia" w:ascii="宋体" w:hAnsi="宋体" w:eastAsia="宋体" w:cs="宋体"/>
                <w:bCs/>
                <w:color w:val="auto"/>
                <w:sz w:val="20"/>
                <w:szCs w:val="24"/>
                <w:highlight w:val="none"/>
              </w:rPr>
              <w:t>1、</w:t>
            </w:r>
            <w:r>
              <w:rPr>
                <w:rFonts w:hint="eastAsia" w:ascii="宋体" w:hAnsi="宋体" w:eastAsia="宋体" w:cs="宋体"/>
                <w:bCs/>
                <w:color w:val="auto"/>
                <w:highlight w:val="none"/>
              </w:rPr>
              <w:t>招标文件获取期限：2026年</w:t>
            </w:r>
            <w:r>
              <w:rPr>
                <w:rFonts w:hint="eastAsia" w:hAnsi="宋体" w:cs="宋体"/>
                <w:bCs/>
                <w:color w:val="auto"/>
                <w:highlight w:val="none"/>
                <w:lang w:val="en-US" w:eastAsia="zh-CN"/>
              </w:rPr>
              <w:t>9</w:t>
            </w:r>
            <w:r>
              <w:rPr>
                <w:rFonts w:hint="eastAsia" w:ascii="宋体" w:hAnsi="宋体" w:eastAsia="宋体" w:cs="宋体"/>
                <w:bCs/>
                <w:color w:val="auto"/>
                <w:highlight w:val="none"/>
              </w:rPr>
              <w:t>月</w:t>
            </w:r>
            <w:r>
              <w:rPr>
                <w:rFonts w:hint="eastAsia" w:hAnsi="宋体" w:cs="宋体"/>
                <w:bCs/>
                <w:color w:val="auto"/>
                <w:highlight w:val="none"/>
                <w:lang w:val="en-US" w:eastAsia="zh-CN"/>
              </w:rPr>
              <w:t>20</w:t>
            </w:r>
            <w:r>
              <w:rPr>
                <w:rFonts w:hint="eastAsia" w:ascii="宋体" w:hAnsi="宋体" w:eastAsia="宋体" w:cs="宋体"/>
                <w:bCs/>
                <w:color w:val="auto"/>
                <w:highlight w:val="none"/>
              </w:rPr>
              <w:t>日至2026年</w:t>
            </w:r>
            <w:r>
              <w:rPr>
                <w:rFonts w:hint="eastAsia" w:hAnsi="宋体" w:cs="宋体"/>
                <w:bCs/>
                <w:color w:val="auto"/>
                <w:highlight w:val="none"/>
                <w:lang w:val="en-US" w:eastAsia="zh-CN"/>
              </w:rPr>
              <w:t>9</w:t>
            </w:r>
            <w:r>
              <w:rPr>
                <w:rFonts w:hint="eastAsia" w:ascii="宋体" w:hAnsi="宋体" w:eastAsia="宋体" w:cs="宋体"/>
                <w:bCs/>
                <w:color w:val="auto"/>
                <w:highlight w:val="none"/>
              </w:rPr>
              <w:t>月</w:t>
            </w:r>
            <w:r>
              <w:rPr>
                <w:rFonts w:hint="eastAsia" w:hAnsi="宋体" w:cs="宋体"/>
                <w:bCs/>
                <w:color w:val="auto"/>
                <w:highlight w:val="none"/>
                <w:lang w:val="en-US" w:eastAsia="zh-CN"/>
              </w:rPr>
              <w:t>28</w:t>
            </w:r>
            <w:r>
              <w:rPr>
                <w:rFonts w:hint="eastAsia" w:ascii="宋体" w:hAnsi="宋体" w:eastAsia="宋体" w:cs="宋体"/>
                <w:bCs/>
                <w:color w:val="auto"/>
                <w:highlight w:val="none"/>
              </w:rPr>
              <w:t>日</w:t>
            </w:r>
            <w:r>
              <w:rPr>
                <w:rFonts w:hint="eastAsia" w:ascii="宋体" w:hAnsi="宋体" w:eastAsia="宋体" w:cs="宋体"/>
                <w:bCs/>
                <w:color w:val="auto"/>
                <w:highlight w:val="none"/>
                <w:lang w:val="zh-CN"/>
              </w:rPr>
              <w:t>23:59时止（法定假日除外）</w:t>
            </w:r>
            <w:r>
              <w:rPr>
                <w:rFonts w:hint="eastAsia" w:ascii="宋体" w:hAnsi="宋体" w:eastAsia="宋体" w:cs="宋体"/>
                <w:bCs/>
                <w:color w:val="auto"/>
                <w:highlight w:val="none"/>
              </w:rPr>
              <w:t>。</w:t>
            </w:r>
          </w:p>
          <w:p w14:paraId="06E7016A">
            <w:pPr>
              <w:pStyle w:val="472"/>
              <w:keepNext w:val="0"/>
              <w:keepLines w:val="0"/>
              <w:suppressLineNumbers w:val="0"/>
              <w:spacing w:before="0" w:beforeAutospacing="0" w:after="0" w:afterAutospacing="0" w:line="360" w:lineRule="auto"/>
              <w:ind w:left="0" w:right="0"/>
              <w:rPr>
                <w:rFonts w:hint="eastAsia" w:ascii="宋体" w:hAnsi="宋体" w:eastAsia="宋体" w:cs="宋体"/>
                <w:bCs/>
                <w:color w:val="auto"/>
                <w:highlight w:val="none"/>
              </w:rPr>
            </w:pPr>
            <w:r>
              <w:rPr>
                <w:rFonts w:hint="eastAsia" w:ascii="宋体" w:hAnsi="宋体" w:eastAsia="宋体" w:cs="宋体"/>
                <w:bCs/>
                <w:color w:val="auto"/>
                <w:highlight w:val="none"/>
              </w:rPr>
              <w:t>2、获取方式：本项目采用网上注册登记方式，网上注册登记成功后在系统内免费下载。</w:t>
            </w:r>
          </w:p>
          <w:p w14:paraId="17060199">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3、</w:t>
            </w:r>
            <w:r>
              <w:rPr>
                <w:rFonts w:hint="eastAsia" w:ascii="宋体" w:hAnsi="宋体" w:eastAsia="宋体" w:cs="宋体"/>
                <w:bCs/>
                <w:color w:val="auto"/>
                <w:sz w:val="24"/>
                <w:highlight w:val="none"/>
              </w:rPr>
              <w:t>潜在投标供应商可在项目采购公告附件中查看采购文件，如确定投标，必须在苏采云平台（https:</w:t>
            </w:r>
            <w:r>
              <w:rPr>
                <w:rFonts w:ascii="宋体" w:hAnsi="宋体" w:eastAsia="宋体" w:cs="宋体"/>
                <w:bCs/>
                <w:color w:val="auto"/>
                <w:sz w:val="24"/>
                <w:highlight w:val="none"/>
              </w:rPr>
              <w:t>//jszfcg.jsczt.cn/jszc/login</w:t>
            </w:r>
            <w:r>
              <w:rPr>
                <w:rFonts w:hint="eastAsia" w:ascii="宋体" w:hAnsi="宋体" w:eastAsia="宋体" w:cs="宋体"/>
                <w:bCs/>
                <w:color w:val="auto"/>
                <w:sz w:val="24"/>
                <w:highlight w:val="none"/>
              </w:rPr>
              <w:t>）中免费下载文件（“项目参与”——“采购项目”中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rPr>
                <w:rFonts w:hint="eastAsia" w:ascii="宋体" w:hAnsi="宋体" w:eastAsia="宋体" w:cs="宋体"/>
                <w:color w:val="auto"/>
                <w:sz w:val="24"/>
                <w:szCs w:val="20"/>
                <w:highlight w:val="none"/>
              </w:rPr>
              <w:t>。</w:t>
            </w:r>
          </w:p>
          <w:p w14:paraId="7EDA3665">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4、投标供应商应承担其编制投标文件以及递交投标文件所涉及的一切费用。无论投标结果如何，采购人对上述费用不负任何责任。</w:t>
            </w:r>
          </w:p>
          <w:p w14:paraId="74C6BAE3">
            <w:pPr>
              <w:keepNext w:val="0"/>
              <w:keepLines w:val="0"/>
              <w:suppressLineNumbers w:val="0"/>
              <w:spacing w:before="0" w:beforeAutospacing="0" w:after="0" w:afterAutospacing="0" w:line="36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5、本项目无需缴纳投标保证金。</w:t>
            </w:r>
          </w:p>
        </w:tc>
      </w:tr>
      <w:tr w14:paraId="63CEC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5CE9ECD1">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6</w:t>
            </w:r>
          </w:p>
        </w:tc>
        <w:tc>
          <w:tcPr>
            <w:tcW w:w="8536" w:type="dxa"/>
            <w:noWrap w:val="0"/>
            <w:vAlign w:val="center"/>
          </w:tcPr>
          <w:p w14:paraId="28176498">
            <w:pPr>
              <w:widowControl/>
              <w:spacing w:line="360" w:lineRule="auto"/>
              <w:rPr>
                <w:rFonts w:hint="eastAsia" w:ascii="宋体" w:hAnsi="宋体"/>
                <w:color w:val="auto"/>
                <w:sz w:val="24"/>
                <w:highlight w:val="none"/>
              </w:rPr>
            </w:pPr>
            <w:r>
              <w:rPr>
                <w:rFonts w:hint="eastAsia" w:ascii="宋体" w:hAnsi="宋体" w:cs="宋体"/>
                <w:bCs/>
                <w:color w:val="auto"/>
                <w:sz w:val="24"/>
                <w:highlight w:val="none"/>
              </w:rPr>
              <w:t>踏勘现场：由投标供应商自行组织踏勘现场。</w:t>
            </w:r>
            <w:r>
              <w:rPr>
                <w:rFonts w:hint="eastAsia" w:ascii="宋体" w:hAnsi="宋体" w:cs="宋体"/>
                <w:color w:val="auto"/>
                <w:sz w:val="24"/>
                <w:highlight w:val="none"/>
              </w:rPr>
              <w:t>相关踏勘费用由供应商自行承担。供应商在投标时应充分考虑现场实际情况，采购人不负担因供应商对项目现场情况考虑不周而产生的其他任何费用</w:t>
            </w:r>
            <w:r>
              <w:rPr>
                <w:rFonts w:hint="eastAsia" w:ascii="宋体" w:hAnsi="宋体"/>
                <w:color w:val="auto"/>
                <w:sz w:val="24"/>
                <w:highlight w:val="none"/>
              </w:rPr>
              <w:t>。</w:t>
            </w:r>
          </w:p>
          <w:p w14:paraId="1A15AEF5">
            <w:pPr>
              <w:widowControl/>
              <w:spacing w:line="360" w:lineRule="auto"/>
              <w:rPr>
                <w:rFonts w:hint="eastAsia" w:ascii="宋体" w:hAnsi="宋体" w:cs="宋体"/>
                <w:color w:val="auto"/>
                <w:sz w:val="24"/>
                <w:highlight w:val="none"/>
              </w:rPr>
            </w:pPr>
            <w:r>
              <w:rPr>
                <w:rFonts w:hint="eastAsia" w:ascii="宋体" w:hAnsi="宋体" w:cs="宋体"/>
                <w:bCs/>
                <w:color w:val="auto"/>
                <w:sz w:val="24"/>
                <w:highlight w:val="none"/>
              </w:rPr>
              <w:t>投标供应商要求澄清采购文件的截止</w:t>
            </w:r>
            <w:r>
              <w:rPr>
                <w:rFonts w:hint="eastAsia" w:ascii="宋体" w:hAnsi="宋体" w:cs="宋体"/>
                <w:color w:val="auto"/>
                <w:sz w:val="24"/>
                <w:highlight w:val="none"/>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29</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时，以书面形式给采购代理机构。</w:t>
            </w:r>
          </w:p>
          <w:p w14:paraId="13CBE748">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采购人对采购文件澄清、修改时间：投标截止时间15天前。</w:t>
            </w:r>
          </w:p>
        </w:tc>
      </w:tr>
      <w:tr w14:paraId="57DC2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70A4E811">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7</w:t>
            </w:r>
          </w:p>
        </w:tc>
        <w:tc>
          <w:tcPr>
            <w:tcW w:w="8536" w:type="dxa"/>
            <w:noWrap w:val="0"/>
            <w:vAlign w:val="center"/>
          </w:tcPr>
          <w:p w14:paraId="7E60B980">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本项目无须递交投标保证金，也无须递交履约保证金。</w:t>
            </w:r>
          </w:p>
        </w:tc>
      </w:tr>
      <w:tr w14:paraId="5680F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805" w:type="dxa"/>
            <w:noWrap w:val="0"/>
            <w:vAlign w:val="center"/>
          </w:tcPr>
          <w:p w14:paraId="6F210AB7">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8</w:t>
            </w:r>
          </w:p>
        </w:tc>
        <w:tc>
          <w:tcPr>
            <w:tcW w:w="8536" w:type="dxa"/>
            <w:noWrap w:val="0"/>
            <w:vAlign w:val="center"/>
          </w:tcPr>
          <w:p w14:paraId="044A0B78">
            <w:pPr>
              <w:widowControl/>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投标有效期：投标截止时间起90天。</w:t>
            </w:r>
          </w:p>
        </w:tc>
      </w:tr>
      <w:tr w14:paraId="0CAB1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E183B60">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9</w:t>
            </w:r>
          </w:p>
        </w:tc>
        <w:tc>
          <w:tcPr>
            <w:tcW w:w="8536" w:type="dxa"/>
            <w:noWrap w:val="0"/>
            <w:vAlign w:val="center"/>
          </w:tcPr>
          <w:p w14:paraId="1271E040">
            <w:pPr>
              <w:widowControl/>
              <w:shd w:val="clear" w:color="auto" w:fill="FFFFFF"/>
              <w:spacing w:line="360" w:lineRule="auto"/>
              <w:jc w:val="left"/>
              <w:rPr>
                <w:rFonts w:ascii="宋体" w:hAnsi="宋体"/>
                <w:color w:val="auto"/>
                <w:sz w:val="24"/>
                <w:highlight w:val="none"/>
              </w:rPr>
            </w:pPr>
            <w:r>
              <w:rPr>
                <w:rFonts w:hint="eastAsia" w:ascii="宋体" w:hAnsi="宋体" w:cs="宋体"/>
                <w:color w:val="auto"/>
                <w:sz w:val="24"/>
                <w:highlight w:val="none"/>
              </w:rPr>
              <w:t>网上</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递交截止时间：202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13:30</w:t>
            </w:r>
            <w:r>
              <w:rPr>
                <w:rFonts w:hint="eastAsia" w:ascii="宋体" w:hAnsi="宋体" w:cs="宋体"/>
                <w:color w:val="auto"/>
                <w:sz w:val="24"/>
                <w:highlight w:val="none"/>
              </w:rPr>
              <w:t>（</w:t>
            </w:r>
            <w:r>
              <w:rPr>
                <w:rFonts w:hint="eastAsia" w:ascii="宋体" w:hAnsi="宋体" w:cs="宋体"/>
                <w:color w:val="auto"/>
                <w:sz w:val="24"/>
                <w:highlight w:val="none"/>
                <w:lang w:eastAsia="zh-CN"/>
              </w:rPr>
              <w:t>投标文件</w:t>
            </w:r>
            <w:r>
              <w:rPr>
                <w:rFonts w:hint="eastAsia" w:ascii="宋体" w:hAnsi="宋体" w:cs="宋体"/>
                <w:color w:val="auto"/>
                <w:sz w:val="24"/>
                <w:highlight w:val="none"/>
              </w:rPr>
              <w:t>递交</w:t>
            </w:r>
            <w:r>
              <w:rPr>
                <w:rFonts w:hint="eastAsia" w:ascii="宋体" w:hAnsi="宋体"/>
                <w:color w:val="auto"/>
                <w:sz w:val="24"/>
                <w:highlight w:val="none"/>
              </w:rPr>
              <w:t>截止时间后的</w:t>
            </w:r>
            <w:r>
              <w:rPr>
                <w:rFonts w:hint="eastAsia" w:ascii="宋体" w:hAnsi="宋体"/>
                <w:color w:val="auto"/>
                <w:sz w:val="24"/>
                <w:highlight w:val="none"/>
                <w:lang w:eastAsia="zh-CN"/>
              </w:rPr>
              <w:t>投标文件</w:t>
            </w:r>
            <w:r>
              <w:rPr>
                <w:rFonts w:hint="eastAsia" w:ascii="宋体" w:hAnsi="宋体"/>
                <w:color w:val="auto"/>
                <w:sz w:val="24"/>
                <w:highlight w:val="none"/>
              </w:rPr>
              <w:t>恕不接受</w:t>
            </w:r>
            <w:r>
              <w:rPr>
                <w:rFonts w:hint="eastAsia" w:ascii="宋体" w:hAnsi="宋体" w:cs="宋体"/>
                <w:color w:val="auto"/>
                <w:sz w:val="24"/>
                <w:highlight w:val="none"/>
              </w:rPr>
              <w:t>）</w:t>
            </w:r>
          </w:p>
          <w:p w14:paraId="230D133D">
            <w:pPr>
              <w:widowControl/>
              <w:shd w:val="clear" w:color="auto" w:fill="FFFFFF"/>
              <w:spacing w:line="360" w:lineRule="auto"/>
              <w:jc w:val="left"/>
              <w:rPr>
                <w:rFonts w:ascii="宋体" w:hAnsi="宋体" w:cs="宋体"/>
                <w:color w:val="auto"/>
                <w:sz w:val="24"/>
                <w:highlight w:val="none"/>
              </w:rPr>
            </w:pPr>
            <w:r>
              <w:rPr>
                <w:rFonts w:hint="eastAsia" w:ascii="宋体" w:hAnsi="宋体" w:cs="宋体"/>
                <w:color w:val="auto"/>
                <w:sz w:val="24"/>
                <w:highlight w:val="none"/>
              </w:rPr>
              <w:t>网上投标解密时间：202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13:30</w:t>
            </w:r>
            <w:r>
              <w:rPr>
                <w:rFonts w:hint="eastAsia" w:ascii="宋体" w:hAnsi="宋体" w:cs="宋体"/>
                <w:color w:val="auto"/>
                <w:sz w:val="24"/>
                <w:highlight w:val="none"/>
              </w:rPr>
              <w:t>开启解密后半小时。</w:t>
            </w:r>
          </w:p>
          <w:p w14:paraId="2E5E3209">
            <w:pPr>
              <w:spacing w:line="360" w:lineRule="auto"/>
              <w:rPr>
                <w:rFonts w:ascii="宋体"/>
                <w:bCs/>
                <w:color w:val="auto"/>
                <w:sz w:val="24"/>
                <w:highlight w:val="none"/>
              </w:rPr>
            </w:pPr>
            <w:r>
              <w:rPr>
                <w:rFonts w:hint="eastAsia" w:ascii="宋体" w:hAnsi="宋体"/>
                <w:bCs/>
                <w:color w:val="auto"/>
                <w:sz w:val="24"/>
                <w:highlight w:val="none"/>
              </w:rPr>
              <w:t>定标时间：评标结束</w:t>
            </w:r>
          </w:p>
          <w:p w14:paraId="039C86B1">
            <w:pPr>
              <w:widowControl/>
              <w:shd w:val="clear" w:color="auto" w:fill="FFFFFF"/>
              <w:spacing w:line="360" w:lineRule="auto"/>
              <w:jc w:val="left"/>
              <w:rPr>
                <w:rFonts w:ascii="宋体" w:hAnsi="宋体" w:cs="宋体"/>
                <w:color w:val="auto"/>
                <w:sz w:val="24"/>
                <w:highlight w:val="none"/>
              </w:rPr>
            </w:pPr>
            <w:r>
              <w:rPr>
                <w:rFonts w:hint="eastAsia" w:ascii="宋体" w:hAnsi="宋体"/>
                <w:bCs/>
                <w:color w:val="auto"/>
                <w:sz w:val="24"/>
                <w:highlight w:val="none"/>
              </w:rPr>
              <w:t>定标地点：</w:t>
            </w:r>
            <w:r>
              <w:rPr>
                <w:rFonts w:hint="eastAsia" w:ascii="宋体" w:hAnsi="宋体"/>
                <w:color w:val="auto"/>
                <w:sz w:val="24"/>
                <w:highlight w:val="none"/>
              </w:rPr>
              <w:t>无锡市公共资源交易中心新吴分中心（新吴区交大联云科技园停车场1楼）</w:t>
            </w:r>
          </w:p>
          <w:p w14:paraId="17C4322D">
            <w:pPr>
              <w:widowControl/>
              <w:spacing w:line="420" w:lineRule="exact"/>
              <w:rPr>
                <w:rFonts w:hint="eastAsia" w:ascii="宋体" w:hAnsi="宋体" w:cs="宋体"/>
                <w:color w:val="auto"/>
                <w:sz w:val="24"/>
                <w:highlight w:val="none"/>
                <w:lang w:val="zh-CN"/>
              </w:rPr>
            </w:pPr>
            <w:r>
              <w:rPr>
                <w:rFonts w:hint="eastAsia" w:ascii="宋体" w:hAnsi="宋体" w:cs="宋体"/>
                <w:b/>
                <w:bCs/>
                <w:color w:val="auto"/>
                <w:sz w:val="24"/>
                <w:highlight w:val="none"/>
              </w:rPr>
              <w:t>注：本项目线上进行采购活动，投标供应商应根据有关规定和方法，在电子采购平台的电子招投标系统参加开标会议。供应商自行准备CA锁、无线上网的笔记本一台（投标供应商自行解决上网问题，笔记本电脑提前确认是否浏览器设置、CA证书软件下载等，确保和CA证书匹配可以正常登陆苏采云投标客户端），如因未准备相关设备及CA锁导致的废标，由投标供应商自行承担。</w:t>
            </w:r>
            <w:r>
              <w:rPr>
                <w:rFonts w:ascii="宋体" w:hAnsi="宋体" w:cs="宋体"/>
                <w:color w:val="auto"/>
                <w:sz w:val="24"/>
                <w:highlight w:val="none"/>
              </w:rPr>
              <w:t> </w:t>
            </w:r>
          </w:p>
        </w:tc>
      </w:tr>
      <w:tr w14:paraId="06BD7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62B1AA1D">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10</w:t>
            </w:r>
          </w:p>
        </w:tc>
        <w:tc>
          <w:tcPr>
            <w:tcW w:w="8536" w:type="dxa"/>
            <w:noWrap w:val="0"/>
            <w:vAlign w:val="center"/>
          </w:tcPr>
          <w:p w14:paraId="3B45028A">
            <w:pPr>
              <w:spacing w:line="276" w:lineRule="auto"/>
              <w:rPr>
                <w:rStyle w:val="330"/>
                <w:rFonts w:hint="eastAsia" w:ascii="宋体" w:hAnsi="宋体" w:cs="宋体"/>
                <w:b/>
                <w:bCs/>
                <w:color w:val="auto"/>
                <w:sz w:val="24"/>
                <w:highlight w:val="none"/>
              </w:rPr>
            </w:pPr>
            <w:r>
              <w:rPr>
                <w:rStyle w:val="330"/>
                <w:rFonts w:hint="eastAsia" w:ascii="宋体" w:hAnsi="宋体" w:cs="宋体"/>
                <w:b/>
                <w:bCs/>
                <w:color w:val="auto"/>
                <w:sz w:val="24"/>
                <w:highlight w:val="none"/>
              </w:rPr>
              <w:t>投标有关信息：</w:t>
            </w:r>
          </w:p>
          <w:p w14:paraId="4D482A4A">
            <w:pPr>
              <w:spacing w:line="276" w:lineRule="auto"/>
              <w:rPr>
                <w:rStyle w:val="330"/>
                <w:rFonts w:hint="eastAsia" w:ascii="宋体" w:hAnsi="宋体" w:cs="宋体"/>
                <w:color w:val="auto"/>
                <w:sz w:val="24"/>
                <w:highlight w:val="none"/>
              </w:rPr>
            </w:pPr>
            <w:r>
              <w:rPr>
                <w:rStyle w:val="330"/>
                <w:rFonts w:hint="eastAsia" w:ascii="宋体" w:hAnsi="宋体" w:cs="宋体"/>
                <w:color w:val="auto"/>
                <w:sz w:val="24"/>
                <w:highlight w:val="none"/>
              </w:rPr>
              <w:t>投标时间：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13:30</w:t>
            </w:r>
          </w:p>
          <w:p w14:paraId="676C3726">
            <w:pPr>
              <w:spacing w:line="276" w:lineRule="auto"/>
              <w:rPr>
                <w:rStyle w:val="330"/>
                <w:rFonts w:hint="eastAsia" w:ascii="宋体" w:hAnsi="宋体" w:cs="宋体"/>
                <w:color w:val="auto"/>
                <w:sz w:val="24"/>
                <w:highlight w:val="none"/>
              </w:rPr>
            </w:pPr>
            <w:r>
              <w:rPr>
                <w:rStyle w:val="330"/>
                <w:rFonts w:hint="eastAsia" w:ascii="宋体" w:hAnsi="宋体" w:cs="宋体"/>
                <w:color w:val="auto"/>
                <w:sz w:val="24"/>
                <w:highlight w:val="none"/>
              </w:rPr>
              <w:t>投标地点：苏采云相关客户端</w:t>
            </w:r>
          </w:p>
          <w:p w14:paraId="2AC2D76E">
            <w:pPr>
              <w:tabs>
                <w:tab w:val="left" w:pos="360"/>
              </w:tabs>
              <w:spacing w:line="360" w:lineRule="exact"/>
              <w:rPr>
                <w:rFonts w:hint="eastAsia" w:ascii="宋体" w:hAnsi="宋体" w:cs="宋体"/>
                <w:bCs/>
                <w:color w:val="auto"/>
                <w:sz w:val="24"/>
                <w:highlight w:val="none"/>
              </w:rPr>
            </w:pPr>
            <w:r>
              <w:rPr>
                <w:rStyle w:val="330"/>
                <w:rFonts w:hint="eastAsia" w:ascii="宋体" w:hAnsi="宋体" w:cs="宋体"/>
                <w:b/>
                <w:bCs/>
                <w:color w:val="auto"/>
                <w:sz w:val="24"/>
                <w:highlight w:val="none"/>
              </w:rPr>
              <w:t>本项目进行线上不见面采购活动，供应商授权委托人在整个投标过程中，应保持电话畅通，由于供应商无法及时沟通，造成的损失由各供应商自行承担。</w:t>
            </w:r>
          </w:p>
        </w:tc>
      </w:tr>
      <w:tr w14:paraId="617D6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767D12A">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11</w:t>
            </w:r>
          </w:p>
        </w:tc>
        <w:tc>
          <w:tcPr>
            <w:tcW w:w="8536" w:type="dxa"/>
            <w:noWrap w:val="0"/>
            <w:vAlign w:val="center"/>
          </w:tcPr>
          <w:p w14:paraId="49BA0FDE">
            <w:pPr>
              <w:widowControl/>
              <w:spacing w:line="360" w:lineRule="auto"/>
              <w:rPr>
                <w:rFonts w:hint="eastAsia" w:ascii="宋体" w:hAnsi="宋体"/>
                <w:color w:val="auto"/>
                <w:sz w:val="24"/>
                <w:highlight w:val="none"/>
                <w:lang w:val="zh-CN"/>
              </w:rPr>
            </w:pPr>
            <w:r>
              <w:rPr>
                <w:rFonts w:hint="eastAsia" w:ascii="宋体" w:hAnsi="宋体"/>
                <w:color w:val="auto"/>
                <w:sz w:val="24"/>
                <w:highlight w:val="none"/>
              </w:rPr>
              <w:t>评审时间：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w:t>
            </w:r>
          </w:p>
          <w:p w14:paraId="2754A39B">
            <w:pPr>
              <w:widowControl/>
              <w:spacing w:line="360" w:lineRule="auto"/>
              <w:rPr>
                <w:rFonts w:hint="eastAsia" w:ascii="宋体" w:hAnsi="宋体"/>
                <w:color w:val="auto"/>
                <w:sz w:val="24"/>
                <w:highlight w:val="none"/>
              </w:rPr>
            </w:pPr>
            <w:r>
              <w:rPr>
                <w:rFonts w:hint="eastAsia" w:ascii="宋体" w:hAnsi="宋体"/>
                <w:color w:val="auto"/>
                <w:sz w:val="24"/>
                <w:highlight w:val="none"/>
              </w:rPr>
              <w:t>评审地点：无锡市公共资源交易中心新吴分中心（新吴区交大联云科技园停车场1楼）</w:t>
            </w:r>
          </w:p>
          <w:p w14:paraId="07156307">
            <w:pPr>
              <w:widowControl/>
              <w:spacing w:line="360" w:lineRule="auto"/>
              <w:rPr>
                <w:rFonts w:hint="eastAsia" w:ascii="宋体" w:hAnsi="宋体"/>
                <w:color w:val="auto"/>
                <w:sz w:val="24"/>
                <w:highlight w:val="none"/>
              </w:rPr>
            </w:pPr>
            <w:r>
              <w:rPr>
                <w:rFonts w:hint="eastAsia" w:ascii="宋体" w:hAnsi="宋体"/>
                <w:color w:val="auto"/>
                <w:sz w:val="24"/>
                <w:highlight w:val="none"/>
              </w:rPr>
              <w:t>确定成交单位时间：</w:t>
            </w:r>
            <w:r>
              <w:rPr>
                <w:rFonts w:hint="eastAsia" w:ascii="宋体" w:hAnsi="宋体" w:cs="宋体"/>
                <w:color w:val="auto"/>
                <w:sz w:val="24"/>
                <w:highlight w:val="none"/>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日</w:t>
            </w:r>
            <w:bookmarkStart w:id="3" w:name="_GoBack"/>
            <w:bookmarkEnd w:id="3"/>
            <w:r>
              <w:rPr>
                <w:rFonts w:hint="eastAsia" w:ascii="宋体" w:hAnsi="宋体"/>
                <w:color w:val="auto"/>
                <w:sz w:val="24"/>
                <w:highlight w:val="none"/>
              </w:rPr>
              <w:t>评审结束</w:t>
            </w:r>
          </w:p>
          <w:p w14:paraId="1F960AF0">
            <w:pPr>
              <w:widowControl/>
              <w:spacing w:line="360" w:lineRule="auto"/>
              <w:rPr>
                <w:rFonts w:hint="eastAsia" w:ascii="宋体" w:hAnsi="宋体"/>
                <w:color w:val="auto"/>
                <w:sz w:val="24"/>
                <w:highlight w:val="none"/>
              </w:rPr>
            </w:pPr>
            <w:r>
              <w:rPr>
                <w:rFonts w:hint="eastAsia" w:ascii="宋体" w:hAnsi="宋体"/>
                <w:color w:val="auto"/>
                <w:sz w:val="24"/>
                <w:highlight w:val="none"/>
              </w:rPr>
              <w:t>确定成交单位地点：无锡市公共资源交易中心新吴分中心（新吴区交大联云科技园停车场1楼）</w:t>
            </w:r>
          </w:p>
        </w:tc>
      </w:tr>
      <w:tr w14:paraId="39B4F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664D5A96">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12</w:t>
            </w:r>
          </w:p>
        </w:tc>
        <w:tc>
          <w:tcPr>
            <w:tcW w:w="8536" w:type="dxa"/>
            <w:noWrap w:val="0"/>
            <w:vAlign w:val="center"/>
          </w:tcPr>
          <w:p w14:paraId="26630901">
            <w:pPr>
              <w:widowControl/>
              <w:spacing w:line="360" w:lineRule="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投标文件份数：</w:t>
            </w:r>
          </w:p>
          <w:p w14:paraId="2C65FCE4">
            <w:pPr>
              <w:widowControl/>
              <w:spacing w:line="360" w:lineRule="auto"/>
              <w:rPr>
                <w:rFonts w:hint="eastAsia" w:ascii="宋体" w:hAnsi="宋体"/>
                <w:color w:val="auto"/>
                <w:sz w:val="24"/>
                <w:highlight w:val="none"/>
              </w:rPr>
            </w:pPr>
            <w:r>
              <w:rPr>
                <w:rFonts w:hint="eastAsia" w:ascii="宋体" w:hAnsi="宋体"/>
                <w:color w:val="auto"/>
                <w:sz w:val="24"/>
                <w:highlight w:val="none"/>
              </w:rPr>
              <w:t>1、因供应商可能会存在操作不熟练、业务不熟悉等因素，为保证开评标流程顺利，供应商如有问题应及时反馈，供应商在</w:t>
            </w:r>
            <w:r>
              <w:rPr>
                <w:rFonts w:hint="eastAsia" w:ascii="宋体" w:hAnsi="宋体"/>
                <w:color w:val="auto"/>
                <w:sz w:val="24"/>
                <w:highlight w:val="none"/>
                <w:lang w:eastAsia="zh-CN"/>
              </w:rPr>
              <w:t>投标文件</w:t>
            </w:r>
            <w:r>
              <w:rPr>
                <w:rFonts w:hint="eastAsia" w:ascii="宋体" w:hAnsi="宋体"/>
                <w:color w:val="auto"/>
                <w:sz w:val="24"/>
                <w:highlight w:val="none"/>
              </w:rPr>
              <w:t>递交截止时间前网上上传电子投标文件。</w:t>
            </w:r>
          </w:p>
          <w:p w14:paraId="05E87D18">
            <w:pPr>
              <w:widowControl/>
              <w:spacing w:line="360" w:lineRule="auto"/>
              <w:rPr>
                <w:rFonts w:hint="eastAsia" w:ascii="宋体" w:hAnsi="宋体"/>
                <w:color w:val="auto"/>
                <w:sz w:val="24"/>
                <w:highlight w:val="none"/>
              </w:rPr>
            </w:pPr>
            <w:r>
              <w:rPr>
                <w:rFonts w:hint="eastAsia" w:ascii="宋体" w:hAnsi="宋体"/>
                <w:color w:val="auto"/>
                <w:sz w:val="24"/>
                <w:highlight w:val="none"/>
              </w:rPr>
              <w:t>2、本项目为不见面开标，</w:t>
            </w:r>
            <w:r>
              <w:rPr>
                <w:rFonts w:hint="eastAsia" w:ascii="宋体" w:hAnsi="宋体" w:cs="宋体"/>
                <w:color w:val="auto"/>
                <w:sz w:val="24"/>
                <w:highlight w:val="none"/>
              </w:rPr>
              <w:t>仅需在任意地点</w:t>
            </w:r>
            <w:r>
              <w:rPr>
                <w:rFonts w:ascii="宋体" w:hAnsi="宋体" w:cs="宋体"/>
                <w:color w:val="auto"/>
                <w:sz w:val="24"/>
                <w:highlight w:val="none"/>
                <w:lang w:val="zh-CN"/>
              </w:rPr>
              <w:t>登录</w:t>
            </w:r>
            <w:r>
              <w:rPr>
                <w:rFonts w:hint="eastAsia" w:ascii="宋体" w:hAnsi="宋体" w:cs="宋体"/>
                <w:color w:val="auto"/>
                <w:sz w:val="24"/>
                <w:highlight w:val="none"/>
                <w:lang w:val="zh-CN"/>
              </w:rPr>
              <w:t>苏</w:t>
            </w:r>
            <w:r>
              <w:rPr>
                <w:rFonts w:ascii="宋体" w:hAnsi="宋体" w:cs="宋体"/>
                <w:color w:val="auto"/>
                <w:sz w:val="24"/>
                <w:highlight w:val="none"/>
                <w:lang w:val="zh-CN"/>
              </w:rPr>
              <w:t>采云平台</w:t>
            </w:r>
            <w:r>
              <w:rPr>
                <w:rFonts w:hint="eastAsia" w:ascii="宋体" w:hAnsi="宋体" w:cs="宋体"/>
                <w:color w:val="auto"/>
                <w:sz w:val="24"/>
                <w:highlight w:val="none"/>
              </w:rPr>
              <w:t>参加开标会议，</w:t>
            </w:r>
            <w:r>
              <w:rPr>
                <w:rFonts w:hint="eastAsia" w:ascii="宋体" w:hAnsi="宋体"/>
                <w:color w:val="auto"/>
                <w:sz w:val="24"/>
                <w:highlight w:val="none"/>
              </w:rPr>
              <w:t>供应商无需到达开标现场。</w:t>
            </w:r>
          </w:p>
          <w:p w14:paraId="3D3D093B">
            <w:pPr>
              <w:widowControl/>
              <w:spacing w:line="360" w:lineRule="auto"/>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s="宋体"/>
                <w:color w:val="auto"/>
                <w:sz w:val="24"/>
                <w:szCs w:val="28"/>
                <w:highlight w:val="none"/>
              </w:rPr>
              <w:t>纸质投标文件：</w:t>
            </w:r>
            <w:r>
              <w:rPr>
                <w:rFonts w:hint="eastAsia" w:ascii="宋体" w:hAnsi="宋体"/>
                <w:color w:val="auto"/>
                <w:sz w:val="24"/>
                <w:highlight w:val="none"/>
              </w:rPr>
              <w:t>本项目为不见面开标，</w:t>
            </w:r>
            <w:r>
              <w:rPr>
                <w:rFonts w:hint="eastAsia" w:ascii="宋体" w:hAnsi="宋体"/>
                <w:color w:val="auto"/>
                <w:sz w:val="24"/>
                <w:highlight w:val="none"/>
                <w:lang w:eastAsia="zh-CN"/>
              </w:rPr>
              <w:t>投标</w:t>
            </w:r>
            <w:r>
              <w:rPr>
                <w:rFonts w:hint="eastAsia" w:ascii="宋体" w:hAnsi="宋体"/>
                <w:color w:val="auto"/>
                <w:sz w:val="24"/>
                <w:highlight w:val="none"/>
              </w:rPr>
              <w:t>人无需递交纸质投标文件至现场，</w:t>
            </w:r>
            <w:r>
              <w:rPr>
                <w:rFonts w:hint="eastAsia" w:ascii="宋体" w:hAnsi="宋体" w:cs="宋体"/>
                <w:color w:val="auto"/>
                <w:sz w:val="24"/>
                <w:szCs w:val="28"/>
                <w:highlight w:val="none"/>
              </w:rPr>
              <w:t>中标后中标供应商向采购人提供与电子投标文件完全一致的纸质投标文件（2份：一正、一副）。</w:t>
            </w:r>
          </w:p>
          <w:p w14:paraId="41915AC3">
            <w:pPr>
              <w:widowControl/>
              <w:spacing w:line="360" w:lineRule="auto"/>
              <w:rPr>
                <w:rFonts w:hint="eastAsia" w:ascii="宋体" w:hAnsi="宋体"/>
                <w:color w:val="auto"/>
                <w:sz w:val="24"/>
                <w:highlight w:val="none"/>
              </w:rPr>
            </w:pPr>
            <w:r>
              <w:rPr>
                <w:rFonts w:hint="eastAsia" w:ascii="宋体" w:hAnsi="宋体"/>
                <w:color w:val="auto"/>
                <w:sz w:val="24"/>
                <w:highlight w:val="none"/>
              </w:rPr>
              <w:t>4、供应商请仔细阅读供应商注册流程和采购文件中关于电子开评标等相关事项，如有问题可发送邮件或电话咨询。</w:t>
            </w:r>
          </w:p>
          <w:p w14:paraId="65E02B85">
            <w:pPr>
              <w:widowControl/>
              <w:spacing w:line="360" w:lineRule="auto"/>
              <w:rPr>
                <w:rFonts w:hint="eastAsia" w:ascii="宋体" w:hAnsi="宋体" w:cs="宋体"/>
                <w:bCs/>
                <w:color w:val="auto"/>
                <w:sz w:val="24"/>
                <w:highlight w:val="none"/>
              </w:rPr>
            </w:pPr>
            <w:r>
              <w:rPr>
                <w:rFonts w:hint="eastAsia" w:ascii="宋体" w:hAnsi="宋体"/>
                <w:color w:val="auto"/>
                <w:sz w:val="24"/>
                <w:highlight w:val="none"/>
              </w:rPr>
              <w:t>5、</w:t>
            </w:r>
            <w:r>
              <w:rPr>
                <w:rFonts w:hint="eastAsia" w:hAnsi="宋体" w:cs="宋体"/>
                <w:bCs/>
                <w:color w:val="auto"/>
                <w:sz w:val="24"/>
                <w:highlight w:val="none"/>
              </w:rPr>
              <w:t>本次采购采用《</w:t>
            </w:r>
            <w:r>
              <w:rPr>
                <w:rFonts w:hint="eastAsia" w:hAnsi="宋体" w:cs="宋体"/>
                <w:bCs/>
                <w:color w:val="auto"/>
                <w:sz w:val="24"/>
                <w:highlight w:val="none"/>
                <w:lang w:eastAsia="zh-CN"/>
              </w:rPr>
              <w:t>江苏省政府采购(苏采云)平台</w:t>
            </w:r>
            <w:r>
              <w:rPr>
                <w:rFonts w:hint="eastAsia" w:hAnsi="宋体" w:cs="宋体"/>
                <w:bCs/>
                <w:color w:val="auto"/>
                <w:sz w:val="24"/>
                <w:highlight w:val="none"/>
              </w:rPr>
              <w:t>》进行采购活动，采购文件发布、报价、评审和成交结果发布全程电子化</w:t>
            </w:r>
            <w:r>
              <w:rPr>
                <w:rFonts w:hint="eastAsia" w:ascii="宋体" w:hAnsi="宋体"/>
                <w:color w:val="auto"/>
                <w:sz w:val="24"/>
                <w:highlight w:val="none"/>
              </w:rPr>
              <w:t>。</w:t>
            </w:r>
          </w:p>
        </w:tc>
      </w:tr>
      <w:tr w14:paraId="3E9A6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2C51CCD9">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13</w:t>
            </w:r>
          </w:p>
        </w:tc>
        <w:tc>
          <w:tcPr>
            <w:tcW w:w="8536" w:type="dxa"/>
            <w:noWrap w:val="0"/>
            <w:vAlign w:val="center"/>
          </w:tcPr>
          <w:p w14:paraId="61C65414">
            <w:pPr>
              <w:widowControl/>
              <w:spacing w:line="360" w:lineRule="auto"/>
              <w:rPr>
                <w:rFonts w:hint="eastAsia" w:ascii="宋体" w:hAnsi="宋体"/>
                <w:color w:val="auto"/>
                <w:sz w:val="24"/>
                <w:highlight w:val="none"/>
                <w:lang w:eastAsia="zh-CN"/>
              </w:rPr>
            </w:pPr>
            <w:r>
              <w:rPr>
                <w:rFonts w:hint="eastAsia" w:ascii="宋体" w:hAnsi="宋体"/>
                <w:color w:val="auto"/>
                <w:sz w:val="24"/>
                <w:highlight w:val="none"/>
              </w:rPr>
              <w:t>采购人：</w:t>
            </w:r>
            <w:r>
              <w:rPr>
                <w:rFonts w:hint="eastAsia" w:ascii="宋体" w:hAnsi="宋体"/>
                <w:color w:val="auto"/>
                <w:sz w:val="24"/>
                <w:highlight w:val="none"/>
                <w:lang w:eastAsia="zh-CN"/>
              </w:rPr>
              <w:t>无锡市新吴区疾病预防控制中心</w:t>
            </w:r>
          </w:p>
          <w:p w14:paraId="06990E70">
            <w:pPr>
              <w:widowControl/>
              <w:spacing w:line="360" w:lineRule="auto"/>
              <w:rPr>
                <w:rFonts w:hint="eastAsia" w:ascii="宋体" w:hAnsi="宋体"/>
                <w:color w:val="auto"/>
                <w:sz w:val="24"/>
                <w:highlight w:val="none"/>
              </w:rPr>
            </w:pPr>
            <w:r>
              <w:rPr>
                <w:rFonts w:hint="eastAsia" w:ascii="宋体" w:hAnsi="宋体"/>
                <w:color w:val="auto"/>
                <w:sz w:val="24"/>
                <w:highlight w:val="none"/>
              </w:rPr>
              <w:t>联系人：</w:t>
            </w:r>
            <w:r>
              <w:rPr>
                <w:rFonts w:hint="eastAsia" w:ascii="宋体" w:hAnsi="宋体"/>
                <w:color w:val="auto"/>
                <w:sz w:val="24"/>
                <w:highlight w:val="none"/>
                <w:lang w:eastAsia="zh-CN"/>
              </w:rPr>
              <w:t>谢</w:t>
            </w:r>
            <w:r>
              <w:rPr>
                <w:rFonts w:hint="eastAsia" w:ascii="宋体" w:hAnsi="宋体"/>
                <w:color w:val="auto"/>
                <w:sz w:val="24"/>
                <w:highlight w:val="none"/>
              </w:rPr>
              <w:t>老师</w:t>
            </w:r>
          </w:p>
          <w:p w14:paraId="4A078F88">
            <w:pPr>
              <w:widowControl/>
              <w:spacing w:line="360" w:lineRule="auto"/>
              <w:rPr>
                <w:rFonts w:hint="eastAsia"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lang w:val="en-US" w:eastAsia="zh-CN"/>
              </w:rPr>
              <w:t xml:space="preserve"> 0510-82830089</w:t>
            </w:r>
          </w:p>
          <w:p w14:paraId="683CBB05">
            <w:pPr>
              <w:widowControl/>
              <w:spacing w:line="360" w:lineRule="auto"/>
              <w:rPr>
                <w:rFonts w:hint="eastAsia" w:ascii="宋体" w:hAnsi="宋体"/>
                <w:color w:val="auto"/>
                <w:sz w:val="24"/>
                <w:highlight w:val="none"/>
              </w:rPr>
            </w:pPr>
            <w:r>
              <w:rPr>
                <w:rFonts w:hint="eastAsia" w:ascii="宋体" w:hAnsi="宋体"/>
                <w:color w:val="auto"/>
                <w:sz w:val="24"/>
                <w:highlight w:val="none"/>
              </w:rPr>
              <w:t>联系地址：</w:t>
            </w:r>
            <w:r>
              <w:rPr>
                <w:rFonts w:hint="eastAsia" w:ascii="宋体" w:hAnsi="宋体"/>
                <w:color w:val="auto"/>
                <w:sz w:val="24"/>
                <w:highlight w:val="none"/>
                <w:lang w:eastAsia="zh-CN"/>
              </w:rPr>
              <w:t>无锡市新吴区汉江路3号</w:t>
            </w:r>
            <w:r>
              <w:rPr>
                <w:rFonts w:hint="eastAsia" w:ascii="宋体" w:hAnsi="宋体"/>
                <w:color w:val="auto"/>
                <w:sz w:val="24"/>
                <w:highlight w:val="none"/>
              </w:rPr>
              <w:t xml:space="preserve">   </w:t>
            </w:r>
          </w:p>
          <w:p w14:paraId="67514827">
            <w:pPr>
              <w:widowControl/>
              <w:spacing w:line="360" w:lineRule="auto"/>
              <w:rPr>
                <w:rFonts w:hint="eastAsia" w:ascii="宋体" w:hAnsi="宋体"/>
                <w:color w:val="auto"/>
                <w:sz w:val="24"/>
                <w:highlight w:val="none"/>
                <w:lang w:eastAsia="zh-CN"/>
              </w:rPr>
            </w:pPr>
            <w:r>
              <w:rPr>
                <w:rFonts w:hint="eastAsia" w:ascii="宋体" w:hAnsi="宋体"/>
                <w:color w:val="auto"/>
                <w:sz w:val="24"/>
                <w:highlight w:val="none"/>
              </w:rPr>
              <w:t>采购代理机构：</w:t>
            </w:r>
            <w:r>
              <w:rPr>
                <w:rFonts w:hint="eastAsia" w:ascii="宋体" w:hAnsi="宋体"/>
                <w:color w:val="auto"/>
                <w:sz w:val="24"/>
                <w:highlight w:val="none"/>
                <w:lang w:eastAsia="zh-CN"/>
              </w:rPr>
              <w:t>江苏苏咨工程咨询有限责任公司</w:t>
            </w:r>
          </w:p>
          <w:p w14:paraId="73767AFE">
            <w:pPr>
              <w:widowControl/>
              <w:spacing w:line="360" w:lineRule="auto"/>
              <w:rPr>
                <w:rFonts w:ascii="宋体" w:hAnsi="宋体"/>
                <w:color w:val="auto"/>
                <w:sz w:val="24"/>
                <w:highlight w:val="none"/>
                <w:lang w:val="en-US" w:eastAsia="zh-CN"/>
              </w:rPr>
            </w:pPr>
            <w:r>
              <w:rPr>
                <w:rFonts w:hint="eastAsia" w:ascii="宋体" w:hAnsi="宋体"/>
                <w:color w:val="auto"/>
                <w:sz w:val="24"/>
                <w:highlight w:val="none"/>
              </w:rPr>
              <w:t>联系人：</w:t>
            </w:r>
            <w:r>
              <w:rPr>
                <w:rFonts w:hint="eastAsia" w:ascii="宋体" w:hAnsi="宋体"/>
                <w:color w:val="auto"/>
                <w:sz w:val="24"/>
                <w:highlight w:val="none"/>
                <w:lang w:val="en-US" w:eastAsia="zh-CN"/>
              </w:rPr>
              <w:t>吴虹、张芳</w:t>
            </w:r>
          </w:p>
          <w:p w14:paraId="3E267FB6">
            <w:pPr>
              <w:widowControl/>
              <w:spacing w:line="360" w:lineRule="auto"/>
              <w:rPr>
                <w:rFonts w:hint="eastAsia" w:ascii="宋体" w:hAnsi="宋体"/>
                <w:color w:val="auto"/>
                <w:sz w:val="24"/>
                <w:highlight w:val="none"/>
                <w:lang w:eastAsia="zh-CN"/>
              </w:rPr>
            </w:pPr>
            <w:r>
              <w:rPr>
                <w:rFonts w:hint="eastAsia" w:ascii="宋体" w:hAnsi="宋体"/>
                <w:color w:val="auto"/>
                <w:sz w:val="24"/>
                <w:highlight w:val="none"/>
              </w:rPr>
              <w:t>联系电话：0510-85136316、</w:t>
            </w:r>
            <w:r>
              <w:rPr>
                <w:rFonts w:hint="eastAsia" w:ascii="宋体" w:hAnsi="宋体"/>
                <w:color w:val="auto"/>
                <w:sz w:val="24"/>
                <w:highlight w:val="none"/>
                <w:lang w:val="en-US" w:eastAsia="zh-CN"/>
              </w:rPr>
              <w:t>13665189291</w:t>
            </w:r>
            <w:r>
              <w:rPr>
                <w:rFonts w:hint="eastAsia" w:ascii="宋体" w:hAnsi="宋体"/>
                <w:color w:val="auto"/>
                <w:sz w:val="24"/>
                <w:highlight w:val="none"/>
              </w:rPr>
              <w:t>联系地址：</w:t>
            </w:r>
            <w:r>
              <w:rPr>
                <w:rFonts w:hint="eastAsia" w:ascii="宋体" w:hAnsi="宋体"/>
                <w:color w:val="auto"/>
                <w:sz w:val="24"/>
                <w:highlight w:val="none"/>
                <w:lang w:eastAsia="zh-CN"/>
              </w:rPr>
              <w:t>无锡市滨湖区建筑西路599号国家工业设计园4幢706室</w:t>
            </w:r>
          </w:p>
          <w:p w14:paraId="41474BCF">
            <w:pPr>
              <w:widowControl/>
              <w:spacing w:line="360" w:lineRule="auto"/>
              <w:rPr>
                <w:rFonts w:hint="eastAsia" w:ascii="宋体" w:hAnsi="宋体"/>
                <w:color w:val="auto"/>
                <w:sz w:val="24"/>
                <w:highlight w:val="none"/>
              </w:rPr>
            </w:pPr>
            <w:r>
              <w:rPr>
                <w:rFonts w:hint="eastAsia" w:ascii="宋体" w:hAnsi="宋体"/>
                <w:color w:val="auto"/>
                <w:sz w:val="24"/>
                <w:highlight w:val="none"/>
              </w:rPr>
              <w:t>邮政编码：214000</w:t>
            </w:r>
          </w:p>
          <w:p w14:paraId="4F81EF31">
            <w:pPr>
              <w:widowControl/>
              <w:spacing w:line="360" w:lineRule="auto"/>
              <w:rPr>
                <w:rFonts w:hint="eastAsia" w:ascii="宋体" w:hAnsi="宋体"/>
                <w:color w:val="auto"/>
                <w:sz w:val="24"/>
                <w:highlight w:val="none"/>
                <w:lang w:eastAsia="zh-CN"/>
              </w:rPr>
            </w:pPr>
            <w:r>
              <w:rPr>
                <w:rFonts w:hint="eastAsia" w:ascii="宋体" w:hAnsi="宋体"/>
                <w:color w:val="auto"/>
                <w:sz w:val="24"/>
                <w:highlight w:val="none"/>
              </w:rPr>
              <w:t>邮箱：</w:t>
            </w:r>
            <w:r>
              <w:rPr>
                <w:rFonts w:hint="eastAsia" w:ascii="宋体" w:hAnsi="宋体"/>
                <w:color w:val="auto"/>
                <w:sz w:val="24"/>
                <w:highlight w:val="none"/>
                <w:lang w:val="en-US" w:eastAsia="zh-CN"/>
              </w:rPr>
              <w:t>460894753</w:t>
            </w:r>
            <w:r>
              <w:rPr>
                <w:rFonts w:hint="eastAsia" w:ascii="宋体" w:hAnsi="宋体"/>
                <w:color w:val="auto"/>
                <w:sz w:val="24"/>
                <w:highlight w:val="none"/>
                <w:lang w:eastAsia="zh-CN"/>
              </w:rPr>
              <w:t>@qq.com</w:t>
            </w:r>
          </w:p>
          <w:p w14:paraId="059FB305">
            <w:pPr>
              <w:widowControl/>
              <w:spacing w:line="360" w:lineRule="auto"/>
              <w:rPr>
                <w:rFonts w:hint="eastAsia" w:ascii="宋体" w:hAnsi="宋体"/>
                <w:color w:val="auto"/>
                <w:sz w:val="24"/>
                <w:highlight w:val="none"/>
              </w:rPr>
            </w:pPr>
            <w:r>
              <w:rPr>
                <w:rFonts w:hint="eastAsia" w:ascii="宋体" w:hAnsi="宋体"/>
                <w:color w:val="auto"/>
                <w:sz w:val="24"/>
                <w:highlight w:val="none"/>
              </w:rPr>
              <w:t>有关本次采购活动方面的问题,可来人、来函（传真）或电话联系。</w:t>
            </w:r>
          </w:p>
        </w:tc>
      </w:tr>
      <w:tr w14:paraId="2C1A70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05" w:type="dxa"/>
            <w:noWrap w:val="0"/>
            <w:vAlign w:val="center"/>
          </w:tcPr>
          <w:p w14:paraId="0E440B95">
            <w:pPr>
              <w:widowControl/>
              <w:jc w:val="center"/>
              <w:rPr>
                <w:rFonts w:hint="eastAsia" w:ascii="宋体" w:hAnsi="宋体" w:cs="宋体"/>
                <w:bCs/>
                <w:color w:val="auto"/>
                <w:sz w:val="24"/>
                <w:highlight w:val="none"/>
              </w:rPr>
            </w:pPr>
            <w:r>
              <w:rPr>
                <w:rFonts w:hint="eastAsia" w:ascii="宋体" w:hAnsi="宋体" w:cs="宋体"/>
                <w:bCs/>
                <w:color w:val="auto"/>
                <w:sz w:val="24"/>
                <w:highlight w:val="none"/>
              </w:rPr>
              <w:t>14</w:t>
            </w:r>
          </w:p>
        </w:tc>
        <w:tc>
          <w:tcPr>
            <w:tcW w:w="8536" w:type="dxa"/>
            <w:noWrap w:val="0"/>
            <w:vAlign w:val="center"/>
          </w:tcPr>
          <w:p w14:paraId="2AAA0E5D">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供应商主体信息库注册：</w:t>
            </w:r>
          </w:p>
          <w:p w14:paraId="20A7516C">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1.请有意参加本项目投标的供应商按以下流程进行操作：</w:t>
            </w:r>
          </w:p>
          <w:p w14:paraId="022BA2B3">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p>
          <w:p w14:paraId="08868985">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“苏采云”系统使用的数字证书及电子签章为“意源”CA数字证书和“方正”电子签章。办理流程：详见《江苏省政府采购数字证书（供应商）CA及电子签章办理指南》，具体网址：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"http://jsxcmm.com/help/gys.html。请相关供应商提前完善相应办理"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http://jsxcmm.com/help/gys.html。请相关供应商提前完善相应办理</w:t>
            </w:r>
            <w:r>
              <w:rPr>
                <w:rFonts w:hint="eastAsia" w:ascii="宋体" w:hAnsi="宋体" w:cs="宋体"/>
                <w:color w:val="auto"/>
                <w:sz w:val="24"/>
                <w:highlight w:val="none"/>
              </w:rPr>
              <w:fldChar w:fldCharType="end"/>
            </w:r>
            <w:r>
              <w:rPr>
                <w:rFonts w:hint="eastAsia" w:ascii="宋体" w:hAnsi="宋体" w:cs="宋体"/>
                <w:color w:val="auto"/>
                <w:sz w:val="24"/>
                <w:highlight w:val="none"/>
              </w:rPr>
              <w:t>材料。办理地点：无锡市公共资源交易中心（无锡市滨湖区观山路199号）12号楼二楼5号、6号窗口。</w:t>
            </w:r>
          </w:p>
          <w:p w14:paraId="0B4C2A46">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咨询电话：供应商注册：0519-86722801、0519-86722806，CA及电子加盖公章或签电子公章：0510-81827781，其他事项：0510-81827730。</w:t>
            </w:r>
          </w:p>
          <w:p w14:paraId="53B0018B">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（4）潜在供应商访问“苏采云”系统的网络地址和方法：“苏采云”系统的网址：</w:t>
            </w:r>
            <w:r>
              <w:rPr>
                <w:rFonts w:hint="eastAsia" w:ascii="宋体" w:hAnsi="宋体" w:eastAsia="宋体" w:cs="宋体"/>
                <w:bCs/>
                <w:color w:val="auto"/>
                <w:sz w:val="24"/>
                <w:highlight w:val="none"/>
              </w:rPr>
              <w:t>https:</w:t>
            </w:r>
            <w:r>
              <w:rPr>
                <w:rFonts w:ascii="宋体" w:hAnsi="宋体" w:eastAsia="宋体" w:cs="宋体"/>
                <w:bCs/>
                <w:color w:val="auto"/>
                <w:sz w:val="24"/>
                <w:highlight w:val="none"/>
              </w:rPr>
              <w:t>//jszfcg.jsczt.cn/jszc/login</w:t>
            </w:r>
            <w:r>
              <w:rPr>
                <w:rFonts w:hint="eastAsia" w:ascii="宋体" w:hAnsi="宋体" w:cs="宋体"/>
                <w:color w:val="auto"/>
                <w:sz w:val="24"/>
                <w:highlight w:val="none"/>
              </w:rPr>
              <w:t>。</w:t>
            </w:r>
          </w:p>
          <w:p w14:paraId="2BC5361C">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（5）采购文件（后缀名为“.kedt”）、供应商操作手册及政府采购客户端工具也可通过“苏采云”系统--已报名项目--报名详情页面内相应链接进行下载。</w:t>
            </w:r>
          </w:p>
          <w:p w14:paraId="01B33FFC">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招标代理机构（采购代理机构）将数据电文形式的采购文件加载至“苏采云”系统，供潜在供应商下载或者查阅。     </w:t>
            </w:r>
          </w:p>
          <w:p w14:paraId="25AD8A4E">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（7）苏采云系统使用谷歌浏览器参与不见面开标。</w:t>
            </w:r>
          </w:p>
          <w:p w14:paraId="39388562">
            <w:pPr>
              <w:widowControl/>
              <w:spacing w:line="420" w:lineRule="exact"/>
              <w:rPr>
                <w:rFonts w:hint="eastAsia" w:ascii="宋体" w:hAnsi="宋体" w:cs="宋体"/>
                <w:color w:val="auto"/>
                <w:sz w:val="24"/>
                <w:highlight w:val="none"/>
              </w:rPr>
            </w:pPr>
            <w:r>
              <w:rPr>
                <w:rFonts w:hint="eastAsia" w:ascii="宋体" w:hAnsi="宋体" w:cs="宋体"/>
                <w:color w:val="auto"/>
                <w:sz w:val="24"/>
                <w:highlight w:val="none"/>
              </w:rPr>
              <w:t>2.如供应商未按上述要求操作，由此所产生的损失及风险供应商自行承担。</w:t>
            </w:r>
          </w:p>
          <w:p w14:paraId="6DBA7B0A">
            <w:pPr>
              <w:widowControl/>
              <w:spacing w:line="420" w:lineRule="exact"/>
              <w:rPr>
                <w:rFonts w:hint="eastAsia" w:ascii="宋体" w:hAnsi="宋体" w:cs="宋体"/>
                <w:bCs/>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有关本次招标的事项若存在变动或修改，敬请及时关注江苏政府采购网发布的信息更正公告。如潜在投标供应商未按上述要求操作，由此所产生的损失及风险由潜在投标供应商自行承担。</w:t>
            </w:r>
          </w:p>
        </w:tc>
      </w:tr>
    </w:tbl>
    <w:p w14:paraId="116F5D46">
      <w:pPr>
        <w:spacing w:line="360" w:lineRule="auto"/>
        <w:jc w:val="center"/>
        <w:rPr>
          <w:rFonts w:hint="eastAsia" w:ascii="宋体" w:hAnsi="宋体" w:cs="宋体"/>
          <w:bCs/>
          <w:color w:val="auto"/>
          <w:sz w:val="44"/>
          <w:szCs w:val="44"/>
          <w:highlight w:val="none"/>
        </w:rPr>
      </w:pPr>
      <w:r>
        <w:rPr>
          <w:rFonts w:hint="eastAsia" w:ascii="宋体" w:hAnsi="宋体" w:cs="宋体"/>
          <w:bCs/>
          <w:color w:val="auto"/>
          <w:sz w:val="24"/>
          <w:highlight w:val="none"/>
        </w:rPr>
        <w:br w:type="page" w:clear="all"/>
      </w:r>
      <w:r>
        <w:rPr>
          <w:rFonts w:hint="eastAsia" w:ascii="宋体" w:hAnsi="宋体" w:cs="宋体"/>
          <w:bCs/>
          <w:color w:val="auto"/>
          <w:sz w:val="44"/>
          <w:szCs w:val="44"/>
          <w:highlight w:val="none"/>
        </w:rPr>
        <w:t>第二部分. 投标供应商须知</w:t>
      </w:r>
    </w:p>
    <w:p w14:paraId="0CB58CCF">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（一）遵循原则：</w:t>
      </w:r>
    </w:p>
    <w:p w14:paraId="5C6B3443">
      <w:pPr>
        <w:spacing w:line="360" w:lineRule="auto"/>
        <w:ind w:firstLine="240"/>
        <w:rPr>
          <w:rFonts w:hint="eastAsia" w:ascii="宋体" w:hAnsi="宋体" w:cs="宋体"/>
          <w:bCs/>
          <w:color w:val="auto"/>
          <w:sz w:val="24"/>
          <w:highlight w:val="none"/>
        </w:rPr>
      </w:pPr>
      <w:r>
        <w:rPr>
          <w:rFonts w:hint="eastAsia" w:ascii="宋体" w:hAnsi="宋体" w:cs="宋体"/>
          <w:bCs/>
          <w:color w:val="auto"/>
          <w:sz w:val="24"/>
          <w:highlight w:val="none"/>
        </w:rPr>
        <w:t>公开透明原则、公平竞争原则、公正原则和诚实信用原则。</w:t>
      </w:r>
    </w:p>
    <w:p w14:paraId="4107B04F">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（二）采购文件：</w:t>
      </w:r>
    </w:p>
    <w:p w14:paraId="1BCDC69C">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1．采购文件包括文件目录所列全部内容，投标供应商应仔细阅读，并在投标文件中充分响应采购文件的所有要求。</w:t>
      </w:r>
    </w:p>
    <w:p w14:paraId="463A47FD">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2．投标供应商应向江苏苏咨工程咨询有限责任公司购买文件及有关资料，按采购文件要求提交全部资料并对采购文件各项内容做出实质性响应，否则投标无效。</w:t>
      </w:r>
    </w:p>
    <w:p w14:paraId="0B2A1100">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3．投标供应商一旦参加本项目投标，即表明承诺接受了本采购文件中所有条件和规定。</w:t>
      </w:r>
    </w:p>
    <w:p w14:paraId="240F8175">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4．采购文件一经售出、一律不退，且仅作为本次投标使用。</w:t>
      </w:r>
    </w:p>
    <w:p w14:paraId="557AA92F">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（三）采购文件的解释：</w:t>
      </w:r>
    </w:p>
    <w:p w14:paraId="2925D975">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1．投标供应商如有需要对采购文件要求澄清的问题，请以书面提出，并按“投标邀请”第6项规定的时间将电子邮件或书面传真发送至江苏苏咨工程咨询有限责任公司，联系方式详见“投标邀请”第13项。</w:t>
      </w:r>
    </w:p>
    <w:p w14:paraId="26105F63">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2．采购人、江苏苏咨工程咨询有限责任公司将按“投标邀请”第6项规定的时间对投标供应商针对采购文件书面提出的要求澄清的问题进行书面答疑。</w:t>
      </w:r>
    </w:p>
    <w:p w14:paraId="7E9CADAE">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3．本文件的最终解释权归采购人。</w:t>
      </w:r>
    </w:p>
    <w:p w14:paraId="1CE7E430">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（四）采购文件的补充或修正：</w:t>
      </w:r>
    </w:p>
    <w:p w14:paraId="72021CB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1．投标截止时间15日前江苏苏咨工程咨询有限责任公司可对采购文件进行必要的澄清或者修改，并视具体情况，延长投标截止时间。</w:t>
      </w:r>
    </w:p>
    <w:p w14:paraId="0936E06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2．如需对采购文件进行补充或修正，江苏苏咨工程咨询有限责任公司将在江苏政府采购网网上发布更正公告。该澄清或者修改的内容为采购文件的组成部分, 与采购文件具有同等约束力。</w:t>
      </w:r>
    </w:p>
    <w:p w14:paraId="6E075900">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（五）投标文件的组成：</w:t>
      </w:r>
    </w:p>
    <w:p w14:paraId="56C6924F">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投标文件由证明文件、</w:t>
      </w:r>
      <w:r>
        <w:rPr>
          <w:rFonts w:hint="eastAsia" w:ascii="宋体" w:hAnsi="宋体" w:cs="宋体"/>
          <w:bCs/>
          <w:color w:val="auto"/>
          <w:sz w:val="24"/>
          <w:highlight w:val="none"/>
          <w:lang w:eastAsia="zh-CN"/>
        </w:rPr>
        <w:t>投标函</w:t>
      </w:r>
      <w:r>
        <w:rPr>
          <w:rFonts w:hint="eastAsia" w:ascii="宋体" w:hAnsi="宋体" w:cs="宋体"/>
          <w:bCs/>
          <w:color w:val="auto"/>
          <w:sz w:val="24"/>
          <w:highlight w:val="none"/>
        </w:rPr>
        <w:t>、投标文件、技术部分四部分组成</w:t>
      </w:r>
      <w:r>
        <w:rPr>
          <w:rFonts w:hint="eastAsia" w:ascii="宋体" w:hAnsi="宋体"/>
          <w:b/>
          <w:color w:val="auto"/>
          <w:sz w:val="24"/>
          <w:highlight w:val="none"/>
        </w:rPr>
        <w:t>（</w:t>
      </w:r>
      <w:r>
        <w:rPr>
          <w:rFonts w:hint="eastAsia" w:ascii="宋体" w:hAnsi="宋体"/>
          <w:b/>
          <w:bCs/>
          <w:color w:val="auto"/>
          <w:sz w:val="24"/>
          <w:highlight w:val="none"/>
        </w:rPr>
        <w:t>相应内容上传至投标客户端）</w:t>
      </w:r>
      <w:r>
        <w:rPr>
          <w:rFonts w:hint="eastAsia" w:ascii="宋体" w:hAnsi="宋体" w:cs="宋体"/>
          <w:bCs/>
          <w:color w:val="auto"/>
          <w:sz w:val="24"/>
          <w:highlight w:val="none"/>
        </w:rPr>
        <w:t>。</w:t>
      </w:r>
    </w:p>
    <w:p w14:paraId="6E9BE129">
      <w:pPr>
        <w:spacing w:line="440" w:lineRule="exact"/>
        <w:ind w:left="480"/>
        <w:rPr>
          <w:rFonts w:hint="eastAsia" w:ascii="宋体" w:hAnsi="宋体" w:cs="宋体"/>
          <w:bCs/>
          <w:color w:val="auto"/>
          <w:sz w:val="24"/>
          <w:highlight w:val="none"/>
        </w:rPr>
      </w:pPr>
      <w:r>
        <w:rPr>
          <w:rFonts w:hint="eastAsia" w:ascii="宋体" w:hAnsi="宋体" w:cs="宋体"/>
          <w:bCs/>
          <w:color w:val="auto"/>
          <w:sz w:val="24"/>
          <w:highlight w:val="none"/>
        </w:rPr>
        <w:t>1.证明文件：</w:t>
      </w:r>
    </w:p>
    <w:p w14:paraId="70C33E8C">
      <w:pPr>
        <w:spacing w:line="360" w:lineRule="auto"/>
        <w:ind w:left="480"/>
        <w:rPr>
          <w:rFonts w:hint="eastAsia" w:ascii="宋体" w:hAnsi="宋体" w:cs="宋体"/>
          <w:bCs/>
          <w:color w:val="auto"/>
          <w:sz w:val="24"/>
          <w:highlight w:val="none"/>
        </w:rPr>
      </w:pPr>
      <w:r>
        <w:rPr>
          <w:rFonts w:hint="eastAsia" w:ascii="宋体" w:hAnsi="宋体" w:cs="宋体"/>
          <w:bCs/>
          <w:color w:val="auto"/>
          <w:sz w:val="24"/>
          <w:highlight w:val="none"/>
        </w:rPr>
        <w:t>1.1资格、资信证明文件</w:t>
      </w:r>
      <w:r>
        <w:rPr>
          <w:rFonts w:hint="eastAsia" w:ascii="宋体" w:hAnsi="宋体"/>
          <w:b/>
          <w:color w:val="auto"/>
          <w:sz w:val="24"/>
          <w:highlight w:val="none"/>
        </w:rPr>
        <w:t>（扫描后上传）</w:t>
      </w:r>
    </w:p>
    <w:p w14:paraId="58C67DED">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（1）关于资格的声明函（格式见附件）</w:t>
      </w:r>
    </w:p>
    <w:p w14:paraId="3180FF80">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（2）投标</w:t>
      </w:r>
      <w:r>
        <w:rPr>
          <w:rFonts w:hint="eastAsia" w:ascii="宋体" w:hAnsi="宋体"/>
          <w:color w:val="auto"/>
          <w:sz w:val="24"/>
          <w:highlight w:val="none"/>
        </w:rPr>
        <w:t>供应商的营业执照副本</w:t>
      </w:r>
      <w:r>
        <w:rPr>
          <w:rFonts w:hint="eastAsia" w:ascii="宋体" w:hAnsi="宋体" w:cs="宋体"/>
          <w:color w:val="auto"/>
          <w:sz w:val="24"/>
          <w:highlight w:val="none"/>
        </w:rPr>
        <w:t>或相关部门的登记证明文件</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752B84EC">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（3）投标供应商法定代表人授权委托书（格式见附件）；</w:t>
      </w:r>
    </w:p>
    <w:p w14:paraId="1BB30F8F">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（4）投标供应商法定代表人身份证复印件及法定代表人授权代表身份证（</w:t>
      </w:r>
      <w:r>
        <w:rPr>
          <w:rFonts w:hint="eastAsia" w:ascii="宋体" w:hAnsi="宋体"/>
          <w:b/>
          <w:color w:val="auto"/>
          <w:sz w:val="24"/>
          <w:highlight w:val="none"/>
        </w:rPr>
        <w:t>原件扫描件，</w:t>
      </w:r>
      <w:r>
        <w:rPr>
          <w:rFonts w:hint="eastAsia" w:ascii="宋体" w:hAnsi="宋体"/>
          <w:b/>
          <w:bCs/>
          <w:color w:val="auto"/>
          <w:sz w:val="24"/>
          <w:highlight w:val="none"/>
        </w:rPr>
        <w:t>正、反双面扫描</w:t>
      </w:r>
      <w:r>
        <w:rPr>
          <w:rFonts w:hint="eastAsia" w:ascii="宋体" w:hAnsi="宋体" w:cs="宋体"/>
          <w:bCs/>
          <w:color w:val="auto"/>
          <w:sz w:val="24"/>
          <w:highlight w:val="none"/>
        </w:rPr>
        <w:t>）；</w:t>
      </w:r>
    </w:p>
    <w:p w14:paraId="57262B69">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5</w:t>
      </w:r>
      <w:r>
        <w:rPr>
          <w:rFonts w:hint="eastAsia" w:ascii="宋体" w:hAnsi="宋体" w:cs="宋体"/>
          <w:bCs/>
          <w:color w:val="auto"/>
          <w:sz w:val="24"/>
          <w:highlight w:val="none"/>
        </w:rPr>
        <w:t>）授权委托人由法定的社保收缴部门出具的</w:t>
      </w:r>
      <w:r>
        <w:rPr>
          <w:rFonts w:hint="eastAsia" w:ascii="宋体" w:hAnsi="宋体" w:cs="宋体"/>
          <w:bCs/>
          <w:color w:val="auto"/>
          <w:sz w:val="24"/>
          <w:highlight w:val="none"/>
          <w:lang w:eastAsia="zh-CN"/>
        </w:rPr>
        <w:t>近一年内任意一个月</w:t>
      </w:r>
      <w:r>
        <w:rPr>
          <w:rFonts w:hint="eastAsia" w:ascii="宋体" w:hAnsi="宋体" w:cs="宋体"/>
          <w:bCs/>
          <w:color w:val="auto"/>
          <w:sz w:val="24"/>
          <w:highlight w:val="none"/>
        </w:rPr>
        <w:t xml:space="preserve">的投标供应商为其依法缴纳社保的相关证明材料复印件并加盖公章（提供相关主管部门证明或银行代扣证明复印件）； </w:t>
      </w:r>
    </w:p>
    <w:p w14:paraId="1CC23165">
      <w:pPr>
        <w:tabs>
          <w:tab w:val="left" w:pos="0"/>
        </w:tabs>
        <w:spacing w:line="440" w:lineRule="exact"/>
        <w:ind w:firstLine="240"/>
        <w:rPr>
          <w:rFonts w:hint="eastAsia" w:ascii="宋体" w:hAnsi="宋体" w:cs="宋体"/>
          <w:bCs/>
          <w:color w:val="auto"/>
          <w:sz w:val="24"/>
          <w:highlight w:val="none"/>
        </w:rPr>
      </w:pPr>
      <w:r>
        <w:rPr>
          <w:rFonts w:hint="eastAsia" w:ascii="宋体" w:hAnsi="宋体" w:cs="宋体"/>
          <w:bCs/>
          <w:color w:val="auto"/>
          <w:sz w:val="24"/>
          <w:highlight w:val="none"/>
          <w:lang w:val="zh-CN"/>
        </w:rPr>
        <w:t xml:space="preserve"> （</w:t>
      </w:r>
      <w:r>
        <w:rPr>
          <w:rFonts w:hint="eastAsia" w:ascii="宋体" w:hAnsi="宋体" w:cs="宋体"/>
          <w:bCs/>
          <w:color w:val="auto"/>
          <w:sz w:val="24"/>
          <w:highlight w:val="none"/>
          <w:lang w:val="en-US" w:eastAsia="zh-CN"/>
        </w:rPr>
        <w:t>6</w:t>
      </w:r>
      <w:r>
        <w:rPr>
          <w:rFonts w:hint="eastAsia" w:ascii="宋体" w:hAnsi="宋体" w:cs="宋体"/>
          <w:bCs/>
          <w:color w:val="auto"/>
          <w:sz w:val="24"/>
          <w:highlight w:val="none"/>
          <w:lang w:val="zh-CN"/>
        </w:rPr>
        <w:t>）投标供应商近一年内任意一个月份的财务状况报告（资产负债表和利润表）或</w:t>
      </w:r>
      <w:r>
        <w:rPr>
          <w:rFonts w:hint="eastAsia" w:ascii="宋体" w:hAnsi="宋体" w:cs="宋体"/>
          <w:bCs/>
          <w:color w:val="auto"/>
          <w:sz w:val="24"/>
          <w:highlight w:val="none"/>
        </w:rPr>
        <w:t>由会计师事务所出具的</w:t>
      </w:r>
      <w:r>
        <w:rPr>
          <w:rFonts w:hint="eastAsia" w:ascii="宋体" w:hAnsi="宋体" w:cs="宋体"/>
          <w:bCs/>
          <w:color w:val="auto"/>
          <w:sz w:val="24"/>
          <w:highlight w:val="none"/>
          <w:lang w:val="en-US" w:eastAsia="zh-CN"/>
        </w:rPr>
        <w:t>2024年度或2025年度</w:t>
      </w:r>
      <w:r>
        <w:rPr>
          <w:rFonts w:hint="eastAsia" w:ascii="宋体" w:hAnsi="宋体" w:cs="宋体"/>
          <w:bCs/>
          <w:color w:val="auto"/>
          <w:sz w:val="24"/>
          <w:highlight w:val="none"/>
        </w:rPr>
        <w:t>的审计报告和所附已审财务报告</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206722B0">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7</w:t>
      </w:r>
      <w:r>
        <w:rPr>
          <w:rFonts w:hint="eastAsia" w:ascii="宋体" w:hAnsi="宋体" w:cs="宋体"/>
          <w:bCs/>
          <w:color w:val="auto"/>
          <w:sz w:val="24"/>
          <w:highlight w:val="none"/>
        </w:rPr>
        <w:t>）投标供应商</w:t>
      </w:r>
      <w:r>
        <w:rPr>
          <w:rFonts w:hint="eastAsia" w:ascii="宋体" w:hAnsi="宋体" w:cs="宋体"/>
          <w:bCs/>
          <w:color w:val="auto"/>
          <w:sz w:val="24"/>
          <w:highlight w:val="none"/>
          <w:lang w:eastAsia="zh-CN"/>
        </w:rPr>
        <w:t>近一年内任意一个月份</w:t>
      </w:r>
      <w:r>
        <w:rPr>
          <w:rFonts w:hint="eastAsia" w:ascii="宋体" w:hAnsi="宋体" w:cs="宋体"/>
          <w:bCs/>
          <w:color w:val="auto"/>
          <w:sz w:val="24"/>
          <w:highlight w:val="none"/>
        </w:rPr>
        <w:t>的依法缴纳税收的相关材料（提供相关主管部门证明或银行代扣证明）</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08F597C5">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8</w:t>
      </w:r>
      <w:r>
        <w:rPr>
          <w:rFonts w:hint="eastAsia" w:ascii="宋体" w:hAnsi="宋体" w:cs="宋体"/>
          <w:bCs/>
          <w:color w:val="auto"/>
          <w:sz w:val="24"/>
          <w:highlight w:val="none"/>
        </w:rPr>
        <w:t>）投标供应商</w:t>
      </w:r>
      <w:r>
        <w:rPr>
          <w:rFonts w:hint="eastAsia" w:ascii="宋体" w:hAnsi="宋体" w:cs="宋体"/>
          <w:bCs/>
          <w:color w:val="auto"/>
          <w:sz w:val="24"/>
          <w:highlight w:val="none"/>
          <w:lang w:eastAsia="zh-CN"/>
        </w:rPr>
        <w:t>近一年内任意一个月份</w:t>
      </w:r>
      <w:r>
        <w:rPr>
          <w:rFonts w:hint="eastAsia" w:ascii="宋体" w:hAnsi="宋体" w:cs="宋体"/>
          <w:bCs/>
          <w:color w:val="auto"/>
          <w:sz w:val="24"/>
          <w:highlight w:val="none"/>
        </w:rPr>
        <w:t>的依法缴纳社保的相关材料（提供相关主管部门证明或银行代扣证明）</w:t>
      </w:r>
      <w:r>
        <w:rPr>
          <w:rFonts w:hint="eastAsia" w:ascii="宋体" w:hAnsi="宋体"/>
          <w:b/>
          <w:color w:val="auto"/>
          <w:sz w:val="24"/>
          <w:highlight w:val="none"/>
        </w:rPr>
        <w:t>（原件扫描件）</w:t>
      </w:r>
      <w:r>
        <w:rPr>
          <w:rFonts w:hint="eastAsia" w:ascii="宋体" w:hAnsi="宋体" w:cs="宋体"/>
          <w:bCs/>
          <w:color w:val="auto"/>
          <w:sz w:val="24"/>
          <w:highlight w:val="none"/>
        </w:rPr>
        <w:t>；</w:t>
      </w:r>
    </w:p>
    <w:p w14:paraId="140F3A39">
      <w:pPr>
        <w:widowControl/>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若投标人为</w:t>
      </w:r>
      <w:r>
        <w:rPr>
          <w:rFonts w:hint="eastAsia" w:ascii="宋体" w:hAnsi="宋体" w:eastAsia="宋体" w:cs="宋体"/>
          <w:color w:val="auto"/>
          <w:sz w:val="24"/>
          <w:highlight w:val="none"/>
          <w:lang w:eastAsia="zh-CN"/>
        </w:rPr>
        <w:t>微生物鉴定质谱仪</w:t>
      </w:r>
      <w:r>
        <w:rPr>
          <w:rFonts w:hint="eastAsia" w:ascii="宋体" w:hAnsi="宋体" w:eastAsia="宋体" w:cs="宋体"/>
          <w:color w:val="auto"/>
          <w:sz w:val="24"/>
          <w:highlight w:val="none"/>
        </w:rPr>
        <w:t>生产商的，须具有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p>
    <w:p w14:paraId="06939A8C">
      <w:pPr>
        <w:widowControl/>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投标产品按国家规定须</w:t>
      </w:r>
      <w:r>
        <w:rPr>
          <w:rFonts w:hint="eastAsia" w:ascii="宋体" w:hAnsi="宋体" w:eastAsia="宋体" w:cs="宋体"/>
          <w:color w:val="auto"/>
          <w:sz w:val="24"/>
          <w:highlight w:val="none"/>
          <w:lang w:eastAsia="zh-CN"/>
        </w:rPr>
        <w:t>具备</w:t>
      </w:r>
      <w:r>
        <w:rPr>
          <w:rFonts w:hint="eastAsia" w:ascii="宋体" w:hAnsi="宋体" w:eastAsia="宋体" w:cs="宋体"/>
          <w:color w:val="auto"/>
          <w:sz w:val="24"/>
          <w:highlight w:val="none"/>
        </w:rPr>
        <w:t>医疗器械注册证的，供应商须提供产品有效完整的《医疗器械注册证》；按国家规定须进行备案的，供应商须提供产品的《第一类医疗器械备案凭证》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上传证明文件并加盖公章</w:t>
      </w:r>
      <w:r>
        <w:rPr>
          <w:rFonts w:hint="eastAsia" w:ascii="宋体" w:hAnsi="宋体" w:eastAsia="宋体" w:cs="宋体"/>
          <w:color w:val="auto"/>
          <w:sz w:val="24"/>
          <w:highlight w:val="none"/>
          <w:lang w:eastAsia="zh-CN"/>
        </w:rPr>
        <w:t>）</w:t>
      </w:r>
    </w:p>
    <w:p w14:paraId="3845C52C">
      <w:pPr>
        <w:tabs>
          <w:tab w:val="left" w:pos="0"/>
        </w:tabs>
        <w:spacing w:line="440" w:lineRule="exact"/>
        <w:ind w:left="4" w:firstLine="422"/>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11</w:t>
      </w:r>
      <w:r>
        <w:rPr>
          <w:rFonts w:hint="eastAsia" w:ascii="宋体" w:hAnsi="宋体" w:cs="宋体"/>
          <w:bCs/>
          <w:color w:val="auto"/>
          <w:sz w:val="24"/>
          <w:highlight w:val="none"/>
        </w:rPr>
        <w:t>)投标供应商所投</w:t>
      </w:r>
      <w:r>
        <w:rPr>
          <w:rFonts w:hint="eastAsia" w:ascii="宋体" w:hAnsi="宋体" w:cs="宋体"/>
          <w:color w:val="auto"/>
          <w:sz w:val="24"/>
          <w:highlight w:val="none"/>
          <w:lang w:eastAsia="zh-CN"/>
        </w:rPr>
        <w:t>吹</w:t>
      </w:r>
      <w:r>
        <w:rPr>
          <w:rFonts w:hint="eastAsia" w:ascii="宋体" w:hAnsi="宋体" w:cs="宋体"/>
          <w:color w:val="auto"/>
          <w:sz w:val="24"/>
          <w:highlight w:val="none"/>
        </w:rPr>
        <w:t>箱式电阻炉（马弗炉）</w:t>
      </w:r>
      <w:r>
        <w:rPr>
          <w:rFonts w:hint="eastAsia" w:ascii="宋体" w:hAnsi="宋体" w:cs="宋体"/>
          <w:color w:val="auto"/>
          <w:sz w:val="24"/>
          <w:highlight w:val="none"/>
          <w:lang w:eastAsia="zh-CN"/>
        </w:rPr>
        <w:t>、单道可调移液器（不同量程）、8通道可调移液器（不同量程）为进口产品的</w:t>
      </w:r>
      <w:r>
        <w:rPr>
          <w:rFonts w:hint="eastAsia" w:ascii="宋体" w:hAnsi="宋体" w:cs="宋体"/>
          <w:bCs/>
          <w:color w:val="auto"/>
          <w:sz w:val="24"/>
          <w:highlight w:val="none"/>
        </w:rPr>
        <w:t>，投标时需提供所投产品有效授权书(</w:t>
      </w:r>
      <w:r>
        <w:rPr>
          <w:rFonts w:hint="eastAsia" w:ascii="宋体" w:hAnsi="宋体" w:cs="宋体"/>
          <w:b/>
          <w:color w:val="auto"/>
          <w:sz w:val="24"/>
          <w:highlight w:val="none"/>
        </w:rPr>
        <w:t>原件扫描件)；</w:t>
      </w:r>
    </w:p>
    <w:p w14:paraId="0B0039DE">
      <w:pPr>
        <w:tabs>
          <w:tab w:val="left" w:pos="0"/>
        </w:tabs>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zh-CN"/>
        </w:rPr>
        <w:t>（</w:t>
      </w:r>
      <w:r>
        <w:rPr>
          <w:rFonts w:hint="eastAsia" w:ascii="宋体" w:hAnsi="宋体" w:cs="宋体"/>
          <w:bCs/>
          <w:color w:val="auto"/>
          <w:sz w:val="24"/>
          <w:highlight w:val="none"/>
          <w:lang w:val="en-US" w:eastAsia="zh-CN"/>
        </w:rPr>
        <w:t>12</w:t>
      </w:r>
      <w:r>
        <w:rPr>
          <w:rFonts w:hint="eastAsia" w:ascii="宋体" w:hAnsi="宋体" w:cs="宋体"/>
          <w:bCs/>
          <w:color w:val="auto"/>
          <w:sz w:val="24"/>
          <w:highlight w:val="none"/>
          <w:lang w:val="zh-CN"/>
        </w:rPr>
        <w:t>）承诺书（格式见附件）。</w:t>
      </w:r>
    </w:p>
    <w:p w14:paraId="4B507CED">
      <w:pPr>
        <w:tabs>
          <w:tab w:val="left" w:pos="420"/>
          <w:tab w:val="left" w:pos="945"/>
        </w:tabs>
        <w:spacing w:line="440" w:lineRule="exact"/>
        <w:ind w:firstLine="523"/>
        <w:rPr>
          <w:rFonts w:ascii="宋体" w:hAnsi="宋体"/>
          <w:b/>
          <w:bCs/>
          <w:color w:val="auto"/>
          <w:sz w:val="24"/>
          <w:highlight w:val="none"/>
        </w:rPr>
      </w:pPr>
      <w:r>
        <w:rPr>
          <w:rFonts w:hint="eastAsia" w:ascii="宋体" w:hAnsi="宋体"/>
          <w:b/>
          <w:bCs/>
          <w:color w:val="auto"/>
          <w:sz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12D71B2">
      <w:pPr>
        <w:tabs>
          <w:tab w:val="left" w:pos="0"/>
        </w:tabs>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供应商法定代表人或法定代表人授权代表为外籍、港、澳、台地区人士的，其身份证明须提供有效的护照或港澳同胞来往内地通行证、台湾同胞来往大陆通行证，或其他可在中国大陆有效居留的许可证明。</w:t>
      </w:r>
    </w:p>
    <w:p w14:paraId="0724FC67">
      <w:pPr>
        <w:spacing w:line="360" w:lineRule="auto"/>
        <w:ind w:left="480"/>
        <w:rPr>
          <w:rFonts w:hint="eastAsia" w:ascii="宋体" w:hAnsi="宋体" w:cs="宋体"/>
          <w:bCs/>
          <w:color w:val="auto"/>
          <w:sz w:val="24"/>
          <w:highlight w:val="none"/>
        </w:rPr>
      </w:pPr>
      <w:r>
        <w:rPr>
          <w:rFonts w:hint="eastAsia" w:ascii="宋体" w:hAnsi="宋体" w:cs="宋体"/>
          <w:bCs/>
          <w:color w:val="auto"/>
          <w:sz w:val="24"/>
          <w:highlight w:val="none"/>
        </w:rPr>
        <w:t>第二部分：补充证明文件</w:t>
      </w:r>
    </w:p>
    <w:p w14:paraId="222A93E2">
      <w:pPr>
        <w:tabs>
          <w:tab w:val="left" w:pos="0"/>
        </w:tabs>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）中小型企业声明函、残疾人福利性单位声明函（如是）；</w:t>
      </w:r>
    </w:p>
    <w:p w14:paraId="6BFAFCA0">
      <w:p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2</w:t>
      </w:r>
      <w:r>
        <w:rPr>
          <w:rFonts w:hint="eastAsia" w:ascii="宋体" w:hAnsi="宋体" w:cs="宋体"/>
          <w:bCs/>
          <w:color w:val="auto"/>
          <w:sz w:val="24"/>
          <w:highlight w:val="none"/>
        </w:rPr>
        <w:t>）其他投标供应商认为有必要提供的证明资料（参考评分标准）；</w:t>
      </w:r>
    </w:p>
    <w:p w14:paraId="48470F1A">
      <w:pPr>
        <w:spacing w:line="440" w:lineRule="exact"/>
        <w:ind w:left="48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lang w:eastAsia="zh-CN"/>
        </w:rPr>
        <w:t>投标函</w:t>
      </w:r>
      <w:r>
        <w:rPr>
          <w:rFonts w:hint="eastAsia" w:ascii="宋体" w:hAnsi="宋体" w:cs="宋体"/>
          <w:bCs/>
          <w:color w:val="auto"/>
          <w:sz w:val="24"/>
          <w:highlight w:val="none"/>
        </w:rPr>
        <w:t>部分（格式见附件）：</w:t>
      </w:r>
    </w:p>
    <w:p w14:paraId="3D06CDDD">
      <w:pPr>
        <w:spacing w:line="400" w:lineRule="exact"/>
        <w:ind w:left="149" w:firstLine="360"/>
        <w:rPr>
          <w:rFonts w:hint="eastAsia" w:ascii="宋体" w:hAnsi="宋体" w:cs="宋体"/>
          <w:bCs/>
          <w:color w:val="auto"/>
          <w:sz w:val="24"/>
          <w:highlight w:val="none"/>
        </w:rPr>
      </w:pPr>
      <w:r>
        <w:rPr>
          <w:rFonts w:hint="eastAsia" w:ascii="宋体" w:hAnsi="宋体" w:cs="宋体"/>
          <w:bCs/>
          <w:color w:val="auto"/>
          <w:sz w:val="24"/>
          <w:highlight w:val="none"/>
        </w:rPr>
        <w:t>（1）.</w:t>
      </w:r>
      <w:r>
        <w:rPr>
          <w:rFonts w:hint="eastAsia" w:ascii="宋体" w:hAnsi="宋体" w:cs="宋体"/>
          <w:bCs/>
          <w:color w:val="auto"/>
          <w:sz w:val="24"/>
          <w:highlight w:val="none"/>
          <w:lang w:eastAsia="zh-CN"/>
        </w:rPr>
        <w:t>投标函</w:t>
      </w:r>
      <w:r>
        <w:rPr>
          <w:rFonts w:hint="eastAsia" w:ascii="宋体" w:hAnsi="宋体" w:cs="宋体"/>
          <w:bCs/>
          <w:color w:val="auto"/>
          <w:sz w:val="24"/>
          <w:highlight w:val="none"/>
        </w:rPr>
        <w:t xml:space="preserve"> ；</w:t>
      </w:r>
    </w:p>
    <w:p w14:paraId="692912BD">
      <w:pPr>
        <w:spacing w:line="400" w:lineRule="exact"/>
        <w:ind w:left="149" w:firstLine="360"/>
        <w:rPr>
          <w:rFonts w:hint="eastAsia" w:ascii="宋体" w:hAnsi="宋体" w:cs="宋体"/>
          <w:bCs/>
          <w:color w:val="auto"/>
          <w:sz w:val="24"/>
          <w:highlight w:val="none"/>
        </w:rPr>
      </w:pPr>
      <w:r>
        <w:rPr>
          <w:rFonts w:hint="eastAsia" w:ascii="宋体" w:hAnsi="宋体" w:cs="宋体"/>
          <w:bCs/>
          <w:color w:val="auto"/>
          <w:sz w:val="24"/>
          <w:highlight w:val="none"/>
        </w:rPr>
        <w:t>（2）.</w:t>
      </w:r>
      <w:r>
        <w:rPr>
          <w:rFonts w:hint="eastAsia" w:ascii="宋体" w:hAnsi="宋体" w:cs="宋体"/>
          <w:bCs/>
          <w:color w:val="auto"/>
          <w:sz w:val="24"/>
          <w:highlight w:val="none"/>
          <w:lang w:eastAsia="zh-CN"/>
        </w:rPr>
        <w:t>开标一览表</w:t>
      </w:r>
      <w:r>
        <w:rPr>
          <w:rFonts w:hint="eastAsia" w:ascii="宋体" w:hAnsi="宋体" w:cs="宋体"/>
          <w:bCs/>
          <w:color w:val="auto"/>
          <w:sz w:val="24"/>
          <w:highlight w:val="none"/>
        </w:rPr>
        <w:t>。</w:t>
      </w:r>
    </w:p>
    <w:p w14:paraId="7597ADFC">
      <w:pPr>
        <w:spacing w:line="440" w:lineRule="exact"/>
        <w:ind w:left="480"/>
        <w:rPr>
          <w:rFonts w:hint="eastAsia" w:ascii="宋体" w:hAnsi="宋体" w:cs="宋体"/>
          <w:bCs/>
          <w:color w:val="auto"/>
          <w:sz w:val="24"/>
          <w:highlight w:val="none"/>
        </w:rPr>
      </w:pPr>
      <w:r>
        <w:rPr>
          <w:rFonts w:hint="eastAsia" w:ascii="宋体" w:hAnsi="宋体" w:cs="宋体"/>
          <w:bCs/>
          <w:color w:val="auto"/>
          <w:sz w:val="24"/>
          <w:highlight w:val="none"/>
        </w:rPr>
        <w:t>3.报价部分（格式见附件）：</w:t>
      </w:r>
    </w:p>
    <w:p w14:paraId="420DFB37">
      <w:pPr>
        <w:spacing w:line="44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总报价中应包括货物、配件、包装、运杂、安装、调试、税金、售后服务</w:t>
      </w:r>
      <w:r>
        <w:rPr>
          <w:rFonts w:hint="eastAsia" w:ascii="宋体" w:hAnsi="宋体" w:cs="宋体"/>
          <w:bCs/>
          <w:color w:val="auto"/>
          <w:sz w:val="24"/>
          <w:highlight w:val="none"/>
          <w:lang w:eastAsia="zh-CN"/>
        </w:rPr>
        <w:t>、招标代理费</w:t>
      </w:r>
      <w:r>
        <w:rPr>
          <w:rFonts w:hint="eastAsia" w:ascii="宋体" w:hAnsi="宋体" w:cs="宋体"/>
          <w:bCs/>
          <w:color w:val="auto"/>
          <w:sz w:val="24"/>
          <w:highlight w:val="none"/>
        </w:rPr>
        <w:t>等所有费用。</w:t>
      </w:r>
    </w:p>
    <w:p w14:paraId="255C9635">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2A32D65F">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42B1844D">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0255B108">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6AB88B30">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1A94C47D">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35589C8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3CA76F4D">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F61E8A8">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0D42E1C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3F1DA19">
      <w:pPr>
        <w:spacing w:line="440" w:lineRule="exact"/>
        <w:ind w:firstLine="482"/>
        <w:rPr>
          <w:rFonts w:ascii="宋体" w:hAnsi="宋体" w:eastAsia="宋体" w:cs="宋体"/>
          <w:b/>
          <w:bCs w:val="0"/>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p>
    <w:p w14:paraId="3D89024A">
      <w:pPr>
        <w:spacing w:line="360" w:lineRule="auto"/>
        <w:ind w:left="480"/>
        <w:rPr>
          <w:rFonts w:hint="eastAsia" w:ascii="宋体" w:hAnsi="宋体" w:cs="宋体"/>
          <w:bCs/>
          <w:color w:val="auto"/>
          <w:sz w:val="24"/>
          <w:highlight w:val="none"/>
        </w:rPr>
      </w:pPr>
      <w:r>
        <w:rPr>
          <w:rFonts w:hint="eastAsia" w:ascii="宋体" w:hAnsi="宋体" w:cs="宋体"/>
          <w:bCs/>
          <w:color w:val="auto"/>
          <w:sz w:val="24"/>
          <w:highlight w:val="none"/>
        </w:rPr>
        <w:t>4、技术部分</w:t>
      </w:r>
    </w:p>
    <w:p w14:paraId="31213609">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投标供应商须提交拟供货物和服务符合采购文件规定的技术投标文件，作为投标文</w:t>
      </w:r>
    </w:p>
    <w:p w14:paraId="78491EAB">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件的一部分，同时提供：</w:t>
      </w:r>
    </w:p>
    <w:p w14:paraId="3114EE58">
      <w:pPr>
        <w:tabs>
          <w:tab w:val="left" w:pos="0"/>
        </w:tabs>
        <w:spacing w:line="360" w:lineRule="auto"/>
        <w:ind w:left="150"/>
        <w:rPr>
          <w:rFonts w:hint="eastAsia" w:ascii="宋体" w:hAnsi="宋体" w:cs="宋体"/>
          <w:bCs/>
          <w:color w:val="auto"/>
          <w:sz w:val="24"/>
          <w:highlight w:val="none"/>
        </w:rPr>
      </w:pPr>
      <w:r>
        <w:rPr>
          <w:rFonts w:hint="eastAsia" w:ascii="宋体" w:hAnsi="宋体" w:cs="宋体"/>
          <w:bCs/>
          <w:color w:val="auto"/>
          <w:sz w:val="24"/>
          <w:highlight w:val="none"/>
        </w:rPr>
        <w:t>（1）设备主要技术性能的详细描述资料；</w:t>
      </w:r>
    </w:p>
    <w:p w14:paraId="2B41CA1E">
      <w:pPr>
        <w:tabs>
          <w:tab w:val="left" w:pos="0"/>
        </w:tabs>
        <w:spacing w:line="360" w:lineRule="auto"/>
        <w:ind w:firstLine="120"/>
        <w:rPr>
          <w:rFonts w:hint="eastAsia" w:ascii="宋体" w:hAnsi="宋体" w:cs="宋体"/>
          <w:bCs/>
          <w:color w:val="auto"/>
          <w:sz w:val="24"/>
          <w:highlight w:val="none"/>
        </w:rPr>
      </w:pPr>
      <w:r>
        <w:rPr>
          <w:rFonts w:hint="eastAsia" w:ascii="宋体" w:hAnsi="宋体" w:cs="宋体"/>
          <w:bCs/>
          <w:color w:val="auto"/>
          <w:sz w:val="24"/>
          <w:highlight w:val="none"/>
        </w:rPr>
        <w:t>（2）投标设备技术偏差表（投标供应商应对采购设备的技术要求作出实质性响应，如有异议应逐条提出）。</w:t>
      </w:r>
    </w:p>
    <w:p w14:paraId="77DEEA21">
      <w:pPr>
        <w:spacing w:line="360" w:lineRule="auto"/>
        <w:outlineLvl w:val="0"/>
        <w:rPr>
          <w:rFonts w:hint="eastAsia" w:ascii="宋体" w:hAnsi="宋体" w:cs="宋体"/>
          <w:bCs/>
          <w:color w:val="auto"/>
          <w:sz w:val="24"/>
          <w:highlight w:val="none"/>
        </w:rPr>
      </w:pPr>
      <w:r>
        <w:rPr>
          <w:rFonts w:hint="eastAsia" w:ascii="宋体" w:hAnsi="宋体" w:cs="宋体"/>
          <w:bCs/>
          <w:color w:val="auto"/>
          <w:sz w:val="24"/>
          <w:highlight w:val="none"/>
        </w:rPr>
        <w:t>（六）投标文件的要求：</w:t>
      </w:r>
    </w:p>
    <w:p w14:paraId="105DFE93">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1.所有文件、往来函件均应使用简体中文（规格、型号辅助符号除外）。</w:t>
      </w:r>
    </w:p>
    <w:p w14:paraId="06801972">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2.投标文件由投标供应商按给定格式如实填写（编写），须有法人（盖章）、法定代表人或法定代表人授权代表签字或盖章，方为有效，未尽事宜可自行补充。</w:t>
      </w:r>
    </w:p>
    <w:p w14:paraId="368C1638">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3.投标供应商报价一律以人民币为报价结算货币，结算单位为“元”。</w:t>
      </w:r>
    </w:p>
    <w:p w14:paraId="45C819D6">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4.投标文件格式部分，应由投标供应商按给定格式提供，不得更改。</w:t>
      </w:r>
    </w:p>
    <w:p w14:paraId="7CA8AEB8">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5.投标文件份数：1）因供应商可能会存在操作不熟练、业务不熟悉等因素，为保证开评标流程顺利，供应商如有问题应及时反馈，供应商在投标截止时间前网上上传电子投标文件。</w:t>
      </w:r>
    </w:p>
    <w:p w14:paraId="0ADBD95F">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2）本项目为不见面开标，仅需在任意地点</w:t>
      </w:r>
      <w:r>
        <w:rPr>
          <w:rFonts w:hint="eastAsia" w:ascii="宋体" w:hAnsi="宋体" w:cs="宋体"/>
          <w:bCs/>
          <w:color w:val="auto"/>
          <w:sz w:val="24"/>
          <w:highlight w:val="none"/>
          <w:lang w:val="zh-CN"/>
        </w:rPr>
        <w:t>登录苏采云平台</w:t>
      </w:r>
      <w:r>
        <w:rPr>
          <w:rFonts w:hint="eastAsia" w:ascii="宋体" w:hAnsi="宋体" w:cs="宋体"/>
          <w:bCs/>
          <w:color w:val="auto"/>
          <w:sz w:val="24"/>
          <w:highlight w:val="none"/>
        </w:rPr>
        <w:t>参加开标会议，投标供应商无需到达开标现场。</w:t>
      </w:r>
    </w:p>
    <w:p w14:paraId="270FB486">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3）纸质投标文件：本项目为不见面开标，投标供应商无需递交纸质投标文件至现场，中标后中标单位向招标人提供与电子投标文件完全一致的纸质投标文件（二份）。</w:t>
      </w:r>
    </w:p>
    <w:p w14:paraId="4BB56FDB">
      <w:pPr>
        <w:tabs>
          <w:tab w:val="left" w:pos="0"/>
          <w:tab w:val="left" w:pos="704"/>
        </w:tabs>
        <w:spacing w:line="44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4）供应商请仔细阅读供应商注册流程和招标文件中关于电子开评标等相关事项，如有问题可发送邮件或电话咨询。</w:t>
      </w:r>
    </w:p>
    <w:p w14:paraId="24F86382">
      <w:pPr>
        <w:tabs>
          <w:tab w:val="left" w:pos="0"/>
        </w:tabs>
        <w:spacing w:line="440" w:lineRule="exact"/>
        <w:ind w:firstLine="470"/>
        <w:rPr>
          <w:rFonts w:hint="eastAsia" w:ascii="宋体" w:hAnsi="宋体" w:cs="宋体"/>
          <w:color w:val="auto"/>
          <w:sz w:val="24"/>
          <w:szCs w:val="28"/>
          <w:highlight w:val="none"/>
        </w:rPr>
      </w:pPr>
      <w:r>
        <w:rPr>
          <w:rFonts w:hint="eastAsia" w:ascii="宋体" w:hAnsi="宋体"/>
          <w:color w:val="auto"/>
          <w:sz w:val="24"/>
          <w:highlight w:val="none"/>
        </w:rPr>
        <w:t>5）</w:t>
      </w:r>
      <w:r>
        <w:rPr>
          <w:rFonts w:hint="eastAsia" w:hAnsi="宋体" w:cs="宋体"/>
          <w:bCs/>
          <w:color w:val="auto"/>
          <w:sz w:val="24"/>
          <w:highlight w:val="none"/>
        </w:rPr>
        <w:t>本次采购采用《</w:t>
      </w:r>
      <w:r>
        <w:rPr>
          <w:rFonts w:hint="eastAsia" w:hAnsi="宋体" w:cs="宋体"/>
          <w:bCs/>
          <w:color w:val="auto"/>
          <w:sz w:val="24"/>
          <w:highlight w:val="none"/>
          <w:lang w:eastAsia="zh-CN"/>
        </w:rPr>
        <w:t>江苏省政府采购(苏采云)平台</w:t>
      </w:r>
      <w:r>
        <w:rPr>
          <w:rFonts w:hint="eastAsia" w:hAnsi="宋体" w:cs="宋体"/>
          <w:bCs/>
          <w:color w:val="auto"/>
          <w:sz w:val="24"/>
          <w:highlight w:val="none"/>
        </w:rPr>
        <w:t>》进行采购活动，采购文件发布、报价、评审和成交结果发布全程电子化</w:t>
      </w:r>
      <w:r>
        <w:rPr>
          <w:rFonts w:hint="eastAsia" w:ascii="宋体" w:hAnsi="宋体"/>
          <w:color w:val="auto"/>
          <w:sz w:val="24"/>
          <w:highlight w:val="none"/>
        </w:rPr>
        <w:t>。</w:t>
      </w:r>
    </w:p>
    <w:p w14:paraId="4B4EB94B">
      <w:pPr>
        <w:tabs>
          <w:tab w:val="left" w:pos="0"/>
        </w:tabs>
        <w:spacing w:line="440" w:lineRule="exact"/>
        <w:ind w:left="315"/>
        <w:rPr>
          <w:rFonts w:hint="eastAsia" w:ascii="宋体" w:hAnsi="宋体"/>
          <w:color w:val="auto"/>
          <w:sz w:val="24"/>
          <w:highlight w:val="none"/>
        </w:rPr>
      </w:pPr>
      <w:r>
        <w:rPr>
          <w:rFonts w:hint="eastAsia" w:ascii="宋体" w:hAnsi="宋体"/>
          <w:color w:val="auto"/>
          <w:sz w:val="24"/>
          <w:highlight w:val="none"/>
        </w:rPr>
        <w:t xml:space="preserve"> 6.投标文件不应有涂改、增删。</w:t>
      </w:r>
    </w:p>
    <w:p w14:paraId="3B1F3896">
      <w:pPr>
        <w:tabs>
          <w:tab w:val="left" w:pos="0"/>
        </w:tabs>
        <w:spacing w:line="440" w:lineRule="exact"/>
        <w:ind w:left="315"/>
        <w:rPr>
          <w:rFonts w:hint="eastAsia"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7.供应商应充分考虑企业管理情况、市场风险等因素，测算检测成本。供应商自行承担投标费用，无论中标与否，采购人不作解释。 </w:t>
      </w:r>
    </w:p>
    <w:p w14:paraId="05B92DC9">
      <w:pPr>
        <w:tabs>
          <w:tab w:val="left" w:pos="0"/>
          <w:tab w:val="left" w:pos="704"/>
        </w:tabs>
        <w:spacing w:line="44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8.网上投标</w:t>
      </w:r>
    </w:p>
    <w:p w14:paraId="66BC53B5">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1）投标供应商应由其法定代表人或法定代表人授权代表在规定的时间内，凭CA数字证书登陆系统获取采购文件，在投标客户端制作投标文件（电子数据），并在投标文件递交截止时间之前上传投标文件。</w:t>
      </w:r>
    </w:p>
    <w:p w14:paraId="62CCA973">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2）投标供应商应对CA数字证书妥善保管，如被他人盗用投标，后果自负。</w:t>
      </w:r>
    </w:p>
    <w:p w14:paraId="1BFE2FEC">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3）投标供应商按采购文件规定的网上解密时间</w:t>
      </w:r>
      <w:r>
        <w:rPr>
          <w:rFonts w:hint="eastAsia" w:ascii="宋体" w:hAnsi="宋体"/>
          <w:b/>
          <w:bCs/>
          <w:color w:val="auto"/>
          <w:sz w:val="24"/>
          <w:highlight w:val="none"/>
        </w:rPr>
        <w:t>（30分钟内）</w:t>
      </w:r>
      <w:r>
        <w:rPr>
          <w:rFonts w:hint="eastAsia" w:ascii="宋体" w:hAnsi="宋体"/>
          <w:color w:val="auto"/>
          <w:sz w:val="24"/>
          <w:highlight w:val="none"/>
        </w:rPr>
        <w:t>进行解密，如未按时解密后果自负。</w:t>
      </w:r>
    </w:p>
    <w:p w14:paraId="12C980E9">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4）投标供应商应当对采购文件提出的要求和条件作出实质性响应，并在电子投标系统逐条应答。</w:t>
      </w:r>
    </w:p>
    <w:p w14:paraId="1156CC34">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5）投标供应商应对要求提供的资格证明文件（如资质证书、资格证书）、商务技术资料（如业绩等）扫描上传至投标系统。</w:t>
      </w:r>
    </w:p>
    <w:p w14:paraId="4073A85B">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6）投标供应商进行网上投标请参照《</w:t>
      </w:r>
      <w:r>
        <w:rPr>
          <w:rFonts w:hint="eastAsia" w:ascii="宋体" w:hAnsi="宋体"/>
          <w:color w:val="auto"/>
          <w:sz w:val="24"/>
          <w:highlight w:val="none"/>
          <w:lang w:val="zh-CN"/>
        </w:rPr>
        <w:t>江苏省政府采购交易系统（苏采云）供应商操作手册</w:t>
      </w:r>
      <w:r>
        <w:rPr>
          <w:rFonts w:hint="eastAsia" w:ascii="宋体" w:hAnsi="宋体"/>
          <w:color w:val="auto"/>
          <w:sz w:val="24"/>
          <w:highlight w:val="none"/>
        </w:rPr>
        <w:t>》。</w:t>
      </w:r>
    </w:p>
    <w:p w14:paraId="10045F01">
      <w:pPr>
        <w:spacing w:line="360" w:lineRule="auto"/>
        <w:outlineLvl w:val="0"/>
        <w:rPr>
          <w:rFonts w:hint="eastAsia" w:ascii="宋体" w:hAnsi="宋体" w:cs="宋体"/>
          <w:bCs/>
          <w:color w:val="auto"/>
          <w:sz w:val="24"/>
          <w:highlight w:val="none"/>
        </w:rPr>
      </w:pPr>
      <w:r>
        <w:rPr>
          <w:rFonts w:hint="eastAsia" w:ascii="宋体" w:hAnsi="宋体" w:cs="宋体"/>
          <w:bCs/>
          <w:color w:val="auto"/>
          <w:sz w:val="24"/>
          <w:highlight w:val="none"/>
        </w:rPr>
        <w:t>（七）无效投标文件的确认：</w:t>
      </w:r>
    </w:p>
    <w:p w14:paraId="1499A464">
      <w:pPr>
        <w:spacing w:line="460" w:lineRule="exact"/>
        <w:ind w:firstLine="360"/>
        <w:rPr>
          <w:rFonts w:hint="eastAsia" w:ascii="宋体" w:hAnsi="宋体" w:cs="宋体"/>
          <w:bCs/>
          <w:color w:val="auto"/>
          <w:sz w:val="24"/>
          <w:highlight w:val="none"/>
        </w:rPr>
      </w:pPr>
      <w:r>
        <w:rPr>
          <w:rFonts w:hint="eastAsia" w:ascii="宋体" w:hAnsi="宋体" w:cs="宋体"/>
          <w:bCs/>
          <w:color w:val="auto"/>
          <w:sz w:val="24"/>
          <w:highlight w:val="none"/>
        </w:rPr>
        <w:t>投标供应商有下列情况之一者，其投标文件无效：</w:t>
      </w:r>
    </w:p>
    <w:p w14:paraId="1B63CBDB">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1.未按规定在无锡市政府采购供应商信息库注册的；</w:t>
      </w:r>
    </w:p>
    <w:p w14:paraId="1AE64F6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2.电子投标文件未按规定期限投标的，纸质投标文件（如要求）未按规定的期限、地点送达的；</w:t>
      </w:r>
    </w:p>
    <w:p w14:paraId="20E5C0C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3.电子投标文件未按采购文件要求签章的；</w:t>
      </w:r>
    </w:p>
    <w:p w14:paraId="34A574C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4.投标供应商的被授权代表无法定代表人授权委托书的；</w:t>
      </w:r>
    </w:p>
    <w:p w14:paraId="23B782C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5.不具备采购文件中规定的资格要求及未按采购文件规定的要求提供资格、资信证明文件的；</w:t>
      </w:r>
    </w:p>
    <w:p w14:paraId="1BC61DF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6.投标文件未按采购文件规定的格式、内容和要求填写、制作的；</w:t>
      </w:r>
    </w:p>
    <w:p w14:paraId="1926EF71">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7.投标文件书写潦草、字迹模糊不清、无法辨认的；</w:t>
      </w:r>
    </w:p>
    <w:p w14:paraId="53E9CD8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8.投标文件中有采购文件未允许提供的选择性内容的；</w:t>
      </w:r>
    </w:p>
    <w:p w14:paraId="515FB8E6">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9.未按采购文件要求解密电子投标文件的；</w:t>
      </w:r>
    </w:p>
    <w:p w14:paraId="0ECB133E">
      <w:pPr>
        <w:spacing w:line="440" w:lineRule="exact"/>
        <w:ind w:left="480"/>
        <w:rPr>
          <w:rFonts w:hint="eastAsia" w:ascii="宋体" w:hAnsi="宋体" w:cs="宋体"/>
          <w:color w:val="auto"/>
          <w:sz w:val="24"/>
          <w:szCs w:val="28"/>
          <w:highlight w:val="none"/>
        </w:rPr>
      </w:pPr>
      <w:r>
        <w:rPr>
          <w:rFonts w:hint="eastAsia" w:ascii="宋体" w:hAnsi="宋体" w:cs="宋体"/>
          <w:color w:val="auto"/>
          <w:sz w:val="24"/>
          <w:highlight w:val="none"/>
        </w:rPr>
        <w:t>10.提供虚假材料的（包括工商营业执照、财务报表、资格、资信证明文件等）；</w:t>
      </w:r>
    </w:p>
    <w:p w14:paraId="351FF492">
      <w:pPr>
        <w:spacing w:line="440" w:lineRule="exact"/>
        <w:ind w:left="480"/>
        <w:rPr>
          <w:rFonts w:hint="eastAsia" w:ascii="宋体" w:hAnsi="宋体" w:cs="宋体"/>
          <w:color w:val="auto"/>
          <w:sz w:val="24"/>
          <w:szCs w:val="28"/>
          <w:highlight w:val="none"/>
        </w:rPr>
      </w:pPr>
      <w:r>
        <w:rPr>
          <w:rFonts w:hint="eastAsia" w:ascii="宋体" w:hAnsi="宋体" w:cs="宋体"/>
          <w:color w:val="auto"/>
          <w:sz w:val="24"/>
          <w:highlight w:val="none"/>
        </w:rPr>
        <w:t>11.投标文件未按要求制作、递交的；</w:t>
      </w:r>
    </w:p>
    <w:p w14:paraId="20F91A62">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12.投标文件未加盖投标供应商公章及法定代表人或授权代表签字和盖章的；</w:t>
      </w:r>
    </w:p>
    <w:p w14:paraId="63DF207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13.投标供应商未遵循公平竞争的原则，恶意串通，妨碍其他供应商的竞争行为，损害采购人或者其他供应商的合法权益；</w:t>
      </w:r>
    </w:p>
    <w:p w14:paraId="0D98B53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14.不同投标供应商的投标文件的装订形式、纸张情况、目录序号、排版格式、文字风格等存在明显的相似性或一致性，特征显示由同一单位或者同一个人编制的；</w:t>
      </w:r>
    </w:p>
    <w:p w14:paraId="19E400FE">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15.不同投标供应商委托同一单位或者个人办理投标事宜；</w:t>
      </w:r>
    </w:p>
    <w:p w14:paraId="4A46E474">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16.不同投标供应商的投标文件载明的项目管理成员或者联系人员为同一人；</w:t>
      </w:r>
    </w:p>
    <w:p w14:paraId="407BC238">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17.不同投标供应商投标文件内容存在非正常一致、项目组成员出现同一人、投标文件中错误（或异常）一致或雷同、电子文档信息一致或雷同的；</w:t>
      </w:r>
    </w:p>
    <w:p w14:paraId="0151E8C3">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18.不同投标供应商报价细目呈明显规律性变化，或恶意串通其他投标供应商，故意哄抬价格或压价的；</w:t>
      </w:r>
    </w:p>
    <w:p w14:paraId="6CBB2D98">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19.不同投标供应商投标文件相互混装的；</w:t>
      </w:r>
    </w:p>
    <w:p w14:paraId="02C513B9">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20.不同投标供应商投标文件中的项目相关人员出现同一人的；</w:t>
      </w:r>
    </w:p>
    <w:p w14:paraId="2D5DEB5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21.不同投标供应商聘请同一人为其投标提供技术或经济咨询服务的；</w:t>
      </w:r>
    </w:p>
    <w:p w14:paraId="26EF893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22.不同投标供应商的单位负责人为同一人或者存在直接控股、管理关系的；</w:t>
      </w:r>
    </w:p>
    <w:p w14:paraId="761AD30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23.投标文件中同一方案有选择性报价且未声明以哪一个为准的；</w:t>
      </w:r>
    </w:p>
    <w:p w14:paraId="68D2E121">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24.投标文件被本项目评委确认为无效投标文件的；</w:t>
      </w:r>
    </w:p>
    <w:p w14:paraId="61C0EC21">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25.未通过初步资格性审查、投标文件资格性检查、投标文件符合性检查的；</w:t>
      </w:r>
    </w:p>
    <w:p w14:paraId="6AF341BB">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26.未按要求提供技术文件的；</w:t>
      </w:r>
    </w:p>
    <w:p w14:paraId="3811BB8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27.</w:t>
      </w:r>
      <w:r>
        <w:rPr>
          <w:rFonts w:hint="eastAsia" w:ascii="宋体" w:hAnsi="宋体" w:cs="宋体"/>
          <w:bCs/>
          <w:color w:val="auto"/>
          <w:sz w:val="24"/>
          <w:highlight w:val="none"/>
        </w:rPr>
        <w:t>投标设备技术指标与采购文件要求有负偏离的</w:t>
      </w:r>
      <w:r>
        <w:rPr>
          <w:rFonts w:hint="eastAsia" w:ascii="宋体" w:hAnsi="宋体" w:cs="宋体"/>
          <w:color w:val="auto"/>
          <w:sz w:val="24"/>
          <w:highlight w:val="none"/>
        </w:rPr>
        <w:t>；</w:t>
      </w:r>
    </w:p>
    <w:p w14:paraId="238C9B63">
      <w:pPr>
        <w:spacing w:line="440" w:lineRule="exact"/>
        <w:ind w:left="480"/>
        <w:rPr>
          <w:rFonts w:hint="eastAsia" w:ascii="宋体" w:hAnsi="宋体" w:cs="宋体"/>
          <w:b/>
          <w:bCs/>
          <w:color w:val="auto"/>
          <w:sz w:val="24"/>
          <w:highlight w:val="none"/>
        </w:rPr>
      </w:pPr>
      <w:r>
        <w:rPr>
          <w:rFonts w:hint="eastAsia" w:ascii="宋体" w:hAnsi="宋体" w:cs="宋体"/>
          <w:b/>
          <w:bCs/>
          <w:color w:val="auto"/>
          <w:sz w:val="24"/>
          <w:highlight w:val="none"/>
        </w:rPr>
        <w:t>28.投标报价超过采购文件中规定的最高限价或者采购预算或者单项最高限价的；</w:t>
      </w:r>
    </w:p>
    <w:p w14:paraId="48C4150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29.投标供应商的投标报价畸高或畸低，投标总报价与各分项报价不能相互对应，在询标时没有合理的解释或者不能提供计算依据和报价依据的；</w:t>
      </w:r>
    </w:p>
    <w:p w14:paraId="4046CF3A">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30.</w:t>
      </w:r>
      <w:r>
        <w:rPr>
          <w:rFonts w:hint="eastAsia" w:ascii="宋体" w:hAnsi="宋体" w:cs="宋体"/>
          <w:b/>
          <w:bCs/>
          <w:color w:val="auto"/>
          <w:sz w:val="24"/>
          <w:highlight w:val="none"/>
        </w:rPr>
        <w:t>评标委员会认为投标人的报价</w:t>
      </w:r>
      <w:r>
        <w:rPr>
          <w:rFonts w:hint="eastAsia" w:ascii="宋体" w:hAnsi="宋体" w:cs="宋体"/>
          <w:b/>
          <w:bCs/>
          <w:color w:val="auto"/>
          <w:sz w:val="24"/>
          <w:highlight w:val="none"/>
          <w:lang w:eastAsia="zh-CN"/>
        </w:rPr>
        <w:t>为异常低价</w:t>
      </w:r>
      <w:r>
        <w:rPr>
          <w:rFonts w:hint="eastAsia" w:ascii="宋体" w:hAnsi="宋体" w:cs="宋体"/>
          <w:b/>
          <w:bCs/>
          <w:color w:val="auto"/>
          <w:sz w:val="24"/>
          <w:highlight w:val="none"/>
        </w:rPr>
        <w:t>，</w:t>
      </w:r>
      <w:r>
        <w:rPr>
          <w:rFonts w:ascii="宋体" w:hAnsi="宋体" w:eastAsia="宋体" w:cs="宋体"/>
          <w:b/>
          <w:bCs/>
          <w:color w:val="auto"/>
          <w:sz w:val="24"/>
          <w:highlight w:val="none"/>
        </w:rPr>
        <w:t>启动异常低价投标（响应）审查</w:t>
      </w:r>
      <w:r>
        <w:rPr>
          <w:rFonts w:hint="eastAsia" w:ascii="宋体" w:hAnsi="宋体" w:eastAsia="宋体" w:cs="宋体"/>
          <w:b/>
          <w:bCs/>
          <w:color w:val="auto"/>
          <w:sz w:val="24"/>
          <w:highlight w:val="none"/>
          <w:lang w:eastAsia="zh-CN"/>
        </w:rPr>
        <w:t>后，</w:t>
      </w:r>
      <w:r>
        <w:rPr>
          <w:rFonts w:ascii="宋体" w:hAnsi="宋体" w:eastAsia="宋体" w:cs="宋体"/>
          <w:b/>
          <w:bCs/>
          <w:color w:val="auto"/>
          <w:sz w:val="24"/>
          <w:highlight w:val="none"/>
        </w:rPr>
        <w:t>投标（响应）供应商在评标现场合理的时间</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30分钟</w:t>
      </w:r>
      <w:r>
        <w:rPr>
          <w:rFonts w:hint="eastAsia" w:ascii="宋体" w:hAnsi="宋体" w:eastAsia="宋体" w:cs="宋体"/>
          <w:b/>
          <w:bCs/>
          <w:color w:val="auto"/>
          <w:sz w:val="24"/>
          <w:highlight w:val="none"/>
          <w:lang w:eastAsia="zh-CN"/>
        </w:rPr>
        <w:t>）</w:t>
      </w:r>
      <w:r>
        <w:rPr>
          <w:rFonts w:ascii="宋体" w:hAnsi="宋体" w:eastAsia="宋体" w:cs="宋体"/>
          <w:b/>
          <w:bCs/>
          <w:color w:val="auto"/>
          <w:sz w:val="24"/>
          <w:highlight w:val="none"/>
        </w:rPr>
        <w:t>内，不提供书面说明、证明材料，或者提供的书面说明、证明材料不能证明其报价合理性的</w:t>
      </w:r>
      <w:r>
        <w:rPr>
          <w:rFonts w:hint="eastAsia" w:ascii="宋体" w:hAnsi="宋体" w:cs="宋体"/>
          <w:color w:val="auto"/>
          <w:sz w:val="24"/>
          <w:highlight w:val="none"/>
        </w:rPr>
        <w:t>；</w:t>
      </w:r>
    </w:p>
    <w:p w14:paraId="7CC4BC57">
      <w:pPr>
        <w:spacing w:line="440" w:lineRule="exact"/>
        <w:ind w:firstLine="480"/>
        <w:rPr>
          <w:rFonts w:hint="eastAsia" w:ascii="宋体" w:hAnsi="宋体" w:cs="宋体"/>
          <w:color w:val="auto"/>
          <w:sz w:val="24"/>
          <w:highlight w:val="none"/>
        </w:rPr>
      </w:pPr>
      <w:r>
        <w:rPr>
          <w:rFonts w:hint="eastAsia" w:ascii="宋体" w:hAnsi="宋体" w:cs="宋体"/>
          <w:color w:val="auto"/>
          <w:sz w:val="24"/>
          <w:highlight w:val="none"/>
        </w:rPr>
        <w:t>31.不同供应商的委托代理人、项目负责人以及其他相关人员有在同一个单位缴纳社会保险的；</w:t>
      </w:r>
    </w:p>
    <w:p w14:paraId="08E82549">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32.同一投标文件中单位名称落款与公章不是同一单位的；</w:t>
      </w:r>
    </w:p>
    <w:p w14:paraId="0C519FC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33.投标文件内容不全或不符合法律法规和招标文件中规定的其他实质性要求的。</w:t>
      </w:r>
    </w:p>
    <w:p w14:paraId="46F8B3E3">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 xml:space="preserve">34.不同投标供应商的投标文件由同一台电脑编制或者同一把数字证书加密锁加密或者同一台附属设备打印的； </w:t>
      </w:r>
    </w:p>
    <w:p w14:paraId="444DCB1F">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35.</w:t>
      </w:r>
      <w:r>
        <w:rPr>
          <w:rFonts w:hint="eastAsia" w:ascii="宋体" w:hAnsi="宋体" w:cs="宋体"/>
          <w:b/>
          <w:color w:val="auto"/>
          <w:sz w:val="24"/>
          <w:highlight w:val="none"/>
        </w:rPr>
        <w:t>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rPr>
          <w:rFonts w:hint="eastAsia" w:ascii="宋体" w:hAnsi="宋体" w:cs="宋体"/>
          <w:color w:val="auto"/>
          <w:sz w:val="24"/>
          <w:highlight w:val="none"/>
        </w:rPr>
        <w:t xml:space="preserve">； </w:t>
      </w:r>
    </w:p>
    <w:p w14:paraId="4A01C3FA">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36.列入失信被执行人、重大税收违法案件当事人名单、政府采购严重违法失信行为记录名单及其他不符合《中华人民共和国政府采购法》第二十二条规定条件的。</w:t>
      </w:r>
    </w:p>
    <w:p w14:paraId="0B4906E5">
      <w:pPr>
        <w:spacing w:line="440" w:lineRule="exact"/>
        <w:ind w:left="480"/>
        <w:rPr>
          <w:rFonts w:hint="eastAsia" w:ascii="宋体" w:hAnsi="宋体" w:cs="宋体"/>
          <w:color w:val="auto"/>
          <w:sz w:val="24"/>
          <w:highlight w:val="none"/>
        </w:rPr>
      </w:pPr>
      <w:r>
        <w:rPr>
          <w:rFonts w:hint="eastAsia" w:ascii="宋体" w:hAnsi="宋体" w:cs="宋体"/>
          <w:color w:val="auto"/>
          <w:sz w:val="24"/>
          <w:highlight w:val="none"/>
        </w:rPr>
        <w:t>37.法律、法规和招标文件规定的其他无效情形。</w:t>
      </w:r>
    </w:p>
    <w:p w14:paraId="1EECF0FF">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八</w:t>
      </w:r>
      <w:r>
        <w:rPr>
          <w:rFonts w:hint="eastAsia" w:ascii="宋体" w:hAnsi="宋体" w:cs="宋体"/>
          <w:bCs/>
          <w:color w:val="auto"/>
          <w:sz w:val="24"/>
          <w:highlight w:val="none"/>
        </w:rPr>
        <w:t>） 开标、评标：</w:t>
      </w:r>
    </w:p>
    <w:p w14:paraId="00BA4A81">
      <w:pPr>
        <w:tabs>
          <w:tab w:val="left" w:pos="945"/>
        </w:tabs>
        <w:spacing w:line="336" w:lineRule="auto"/>
        <w:ind w:firstLine="480"/>
        <w:outlineLvl w:val="0"/>
        <w:rPr>
          <w:rFonts w:hint="eastAsia" w:ascii="宋体" w:hAnsi="宋体" w:cs="宋体"/>
          <w:b/>
          <w:color w:val="auto"/>
          <w:sz w:val="24"/>
          <w:highlight w:val="none"/>
        </w:rPr>
      </w:pPr>
      <w:r>
        <w:rPr>
          <w:rFonts w:hint="eastAsia" w:ascii="宋体" w:hAnsi="宋体" w:cs="宋体"/>
          <w:b/>
          <w:color w:val="auto"/>
          <w:sz w:val="24"/>
          <w:highlight w:val="none"/>
        </w:rPr>
        <w:t>1.开标工作程序</w:t>
      </w:r>
    </w:p>
    <w:p w14:paraId="3C57FC11">
      <w:pPr>
        <w:tabs>
          <w:tab w:val="left" w:pos="945"/>
        </w:tabs>
        <w:spacing w:line="336" w:lineRule="auto"/>
        <w:ind w:firstLine="480"/>
        <w:outlineLvl w:val="0"/>
        <w:rPr>
          <w:rFonts w:hint="eastAsia" w:ascii="宋体" w:hAnsi="宋体" w:cs="宋体"/>
          <w:bCs/>
          <w:color w:val="auto"/>
          <w:sz w:val="24"/>
          <w:highlight w:val="none"/>
        </w:rPr>
      </w:pPr>
      <w:r>
        <w:rPr>
          <w:rFonts w:hint="eastAsia" w:ascii="宋体" w:hAnsi="宋体" w:cs="宋体"/>
          <w:bCs/>
          <w:color w:val="auto"/>
          <w:sz w:val="24"/>
          <w:highlight w:val="none"/>
        </w:rPr>
        <w:t>1.1</w:t>
      </w:r>
      <w:r>
        <w:rPr>
          <w:rFonts w:hint="eastAsia" w:ascii="宋体" w:hAnsi="宋体"/>
          <w:bCs/>
          <w:color w:val="auto"/>
          <w:sz w:val="24"/>
          <w:highlight w:val="none"/>
          <w:lang w:val="zh-CN"/>
        </w:rPr>
        <w:t>采购人按</w:t>
      </w:r>
      <w:r>
        <w:rPr>
          <w:rFonts w:hint="eastAsia" w:ascii="宋体" w:hAnsi="宋体"/>
          <w:bCs/>
          <w:color w:val="auto"/>
          <w:sz w:val="24"/>
          <w:highlight w:val="none"/>
        </w:rPr>
        <w:t>采购文件</w:t>
      </w:r>
      <w:r>
        <w:rPr>
          <w:rFonts w:hint="eastAsia" w:ascii="宋体" w:hAnsi="宋体"/>
          <w:bCs/>
          <w:color w:val="auto"/>
          <w:sz w:val="24"/>
          <w:highlight w:val="none"/>
          <w:lang w:val="zh-CN"/>
        </w:rPr>
        <w:t>规定的时间在“苏采云开标大厅”召开开标大会。</w:t>
      </w:r>
      <w:r>
        <w:rPr>
          <w:rFonts w:hint="eastAsia" w:ascii="宋体" w:hAnsi="宋体"/>
          <w:bCs/>
          <w:color w:val="auto"/>
          <w:sz w:val="24"/>
          <w:highlight w:val="none"/>
        </w:rPr>
        <w:t>供应商</w:t>
      </w:r>
      <w:r>
        <w:rPr>
          <w:rFonts w:hint="eastAsia" w:ascii="宋体" w:hAnsi="宋体"/>
          <w:bCs/>
          <w:color w:val="auto"/>
          <w:sz w:val="24"/>
          <w:highlight w:val="none"/>
          <w:lang w:val="zh-CN"/>
        </w:rPr>
        <w:t>应当在开标前做好充分准备，携带 CA 数字证书准时参加</w:t>
      </w:r>
      <w:r>
        <w:rPr>
          <w:rFonts w:hint="eastAsia" w:ascii="宋体" w:hAnsi="宋体" w:cs="宋体"/>
          <w:bCs/>
          <w:color w:val="auto"/>
          <w:sz w:val="24"/>
          <w:highlight w:val="none"/>
        </w:rPr>
        <w:t>。</w:t>
      </w:r>
    </w:p>
    <w:p w14:paraId="2CEBFF57">
      <w:pPr>
        <w:tabs>
          <w:tab w:val="left" w:pos="0"/>
        </w:tabs>
        <w:spacing w:line="336" w:lineRule="auto"/>
        <w:rPr>
          <w:rFonts w:ascii="宋体" w:hAnsi="宋体"/>
          <w:bCs/>
          <w:color w:val="auto"/>
          <w:sz w:val="24"/>
          <w:highlight w:val="none"/>
          <w:lang w:val="zh-CN"/>
        </w:rPr>
      </w:pPr>
      <w:r>
        <w:rPr>
          <w:rFonts w:hint="eastAsia" w:ascii="宋体" w:hAnsi="宋体" w:cs="宋体"/>
          <w:bCs/>
          <w:color w:val="auto"/>
          <w:sz w:val="24"/>
          <w:highlight w:val="none"/>
        </w:rPr>
        <w:t xml:space="preserve">    1.2</w:t>
      </w:r>
      <w:r>
        <w:rPr>
          <w:rFonts w:hint="eastAsia" w:ascii="宋体" w:hAnsi="宋体"/>
          <w:bCs/>
          <w:color w:val="auto"/>
          <w:sz w:val="24"/>
          <w:highlight w:val="none"/>
          <w:lang w:val="zh-CN"/>
        </w:rPr>
        <w:t>投标文件</w:t>
      </w:r>
      <w:r>
        <w:rPr>
          <w:rFonts w:ascii="宋体" w:hAnsi="宋体"/>
          <w:bCs/>
          <w:color w:val="auto"/>
          <w:sz w:val="24"/>
          <w:highlight w:val="none"/>
          <w:lang w:val="zh-CN"/>
        </w:rPr>
        <w:t>递交截止时间后，采购</w:t>
      </w:r>
      <w:r>
        <w:rPr>
          <w:rFonts w:hint="eastAsia" w:ascii="宋体" w:hAnsi="宋体"/>
          <w:bCs/>
          <w:color w:val="auto"/>
          <w:sz w:val="24"/>
          <w:highlight w:val="none"/>
        </w:rPr>
        <w:t>代理机构</w:t>
      </w:r>
      <w:r>
        <w:rPr>
          <w:rFonts w:ascii="宋体" w:hAnsi="宋体"/>
          <w:bCs/>
          <w:color w:val="auto"/>
          <w:sz w:val="24"/>
          <w:highlight w:val="none"/>
          <w:lang w:val="zh-CN"/>
        </w:rPr>
        <w:t>将在系统内公布</w:t>
      </w:r>
      <w:r>
        <w:rPr>
          <w:rFonts w:hint="eastAsia" w:ascii="宋体" w:hAnsi="宋体"/>
          <w:bCs/>
          <w:color w:val="auto"/>
          <w:sz w:val="24"/>
          <w:highlight w:val="none"/>
          <w:lang w:val="zh-CN"/>
        </w:rPr>
        <w:t>供应商</w:t>
      </w:r>
      <w:r>
        <w:rPr>
          <w:rFonts w:ascii="宋体" w:hAnsi="宋体"/>
          <w:bCs/>
          <w:color w:val="auto"/>
          <w:sz w:val="24"/>
          <w:highlight w:val="none"/>
          <w:lang w:val="zh-CN"/>
        </w:rPr>
        <w:t>名单然后通过开标会议区发出</w:t>
      </w:r>
      <w:r>
        <w:rPr>
          <w:rFonts w:hint="eastAsia" w:ascii="宋体" w:hAnsi="宋体"/>
          <w:bCs/>
          <w:color w:val="auto"/>
          <w:sz w:val="24"/>
          <w:highlight w:val="none"/>
          <w:lang w:val="zh-CN"/>
        </w:rPr>
        <w:t>投标文件</w:t>
      </w:r>
      <w:r>
        <w:rPr>
          <w:rFonts w:ascii="宋体" w:hAnsi="宋体"/>
          <w:bCs/>
          <w:color w:val="auto"/>
          <w:sz w:val="24"/>
          <w:highlight w:val="none"/>
          <w:lang w:val="zh-CN"/>
        </w:rPr>
        <w:t>解密的指令，供应商在各自地点按规定时间自行实施远程解密，</w:t>
      </w:r>
      <w:r>
        <w:rPr>
          <w:rFonts w:hint="eastAsia" w:ascii="宋体" w:hAnsi="宋体"/>
          <w:bCs/>
          <w:color w:val="auto"/>
          <w:sz w:val="24"/>
          <w:highlight w:val="none"/>
          <w:lang w:val="zh-CN"/>
        </w:rPr>
        <w:t>供应商解密限定在解密时间开始30分钟内完成。</w:t>
      </w:r>
      <w:r>
        <w:rPr>
          <w:rFonts w:ascii="宋体" w:hAnsi="宋体"/>
          <w:bCs/>
          <w:color w:val="auto"/>
          <w:sz w:val="24"/>
          <w:highlight w:val="none"/>
          <w:lang w:val="zh-CN"/>
        </w:rPr>
        <w:t>因供应商网络与电源不稳定、未按操作手册要求配置软硬件、解密锁发生故障或用错、故意不在要求时限内完成解密等自身原因，导致</w:t>
      </w:r>
      <w:r>
        <w:rPr>
          <w:rFonts w:hint="eastAsia" w:ascii="宋体" w:hAnsi="宋体"/>
          <w:bCs/>
          <w:color w:val="auto"/>
          <w:sz w:val="24"/>
          <w:highlight w:val="none"/>
          <w:lang w:val="zh-CN"/>
        </w:rPr>
        <w:t>投标文件</w:t>
      </w:r>
      <w:r>
        <w:rPr>
          <w:rFonts w:ascii="宋体" w:hAnsi="宋体"/>
          <w:bCs/>
          <w:color w:val="auto"/>
          <w:sz w:val="24"/>
          <w:highlight w:val="none"/>
          <w:lang w:val="zh-CN"/>
        </w:rPr>
        <w:t>在规定时间内未能解密、解密失败或解密超时，视为供应商撤销其</w:t>
      </w:r>
      <w:r>
        <w:rPr>
          <w:rFonts w:hint="eastAsia" w:ascii="宋体" w:hAnsi="宋体"/>
          <w:bCs/>
          <w:color w:val="auto"/>
          <w:sz w:val="24"/>
          <w:highlight w:val="none"/>
          <w:lang w:val="zh-CN"/>
        </w:rPr>
        <w:t>投标文件</w:t>
      </w:r>
      <w:r>
        <w:rPr>
          <w:rFonts w:ascii="宋体" w:hAnsi="宋体"/>
          <w:bCs/>
          <w:color w:val="auto"/>
          <w:sz w:val="24"/>
          <w:highlight w:val="none"/>
          <w:lang w:val="zh-CN"/>
        </w:rPr>
        <w:t>；因网上平台发生故障，导致无法按时完成</w:t>
      </w:r>
      <w:r>
        <w:rPr>
          <w:rFonts w:hint="eastAsia" w:ascii="宋体" w:hAnsi="宋体"/>
          <w:bCs/>
          <w:color w:val="auto"/>
          <w:sz w:val="24"/>
          <w:highlight w:val="none"/>
          <w:lang w:val="zh-CN"/>
        </w:rPr>
        <w:t>投标文件</w:t>
      </w:r>
      <w:r>
        <w:rPr>
          <w:rFonts w:ascii="宋体" w:hAnsi="宋体"/>
          <w:bCs/>
          <w:color w:val="auto"/>
          <w:sz w:val="24"/>
          <w:highlight w:val="none"/>
          <w:lang w:val="zh-CN"/>
        </w:rPr>
        <w:t>解密或开、评标工作无法进行的，可根据实际情况相应延迟解密时间或调整开、评标时间（友情提示：若</w:t>
      </w:r>
      <w:r>
        <w:rPr>
          <w:rFonts w:hint="eastAsia" w:ascii="宋体" w:hAnsi="宋体"/>
          <w:bCs/>
          <w:color w:val="auto"/>
          <w:sz w:val="24"/>
          <w:highlight w:val="none"/>
          <w:lang w:val="zh-CN"/>
        </w:rPr>
        <w:t>供应商</w:t>
      </w:r>
      <w:r>
        <w:rPr>
          <w:rFonts w:ascii="宋体" w:hAnsi="宋体"/>
          <w:bCs/>
          <w:color w:val="auto"/>
          <w:sz w:val="24"/>
          <w:highlight w:val="none"/>
          <w:lang w:val="zh-CN"/>
        </w:rPr>
        <w:t>已领取副锁（含多把副锁）请注意正副锁的使用差别）。本项目在限定的解密时间内，只要有一家供应商解密成功，即视为网上平台运行无故障。</w:t>
      </w:r>
    </w:p>
    <w:p w14:paraId="1330E078">
      <w:pPr>
        <w:tabs>
          <w:tab w:val="left" w:pos="0"/>
        </w:tabs>
        <w:spacing w:line="336" w:lineRule="auto"/>
        <w:ind w:firstLine="630"/>
        <w:rPr>
          <w:rFonts w:hint="eastAsia" w:ascii="宋体" w:hAnsi="宋体" w:cs="宋体"/>
          <w:color w:val="auto"/>
          <w:sz w:val="24"/>
          <w:highlight w:val="none"/>
        </w:rPr>
      </w:pPr>
      <w:r>
        <w:rPr>
          <w:rFonts w:hint="eastAsia" w:ascii="宋体" w:hAnsi="宋体"/>
          <w:bCs/>
          <w:color w:val="auto"/>
          <w:sz w:val="24"/>
          <w:highlight w:val="none"/>
        </w:rPr>
        <w:t>1.3解密后：</w:t>
      </w:r>
      <w:r>
        <w:rPr>
          <w:rFonts w:hint="eastAsia" w:ascii="宋体" w:hAnsi="宋体"/>
          <w:b/>
          <w:color w:val="auto"/>
          <w:sz w:val="24"/>
          <w:highlight w:val="none"/>
        </w:rPr>
        <w:t>供应商须自行准备设备（包括但不限于笔记本电脑、无线网络）登录“江苏省政府采购(苏采云)平台”，按采购文件规定时间解密后，在评审过程中保持在线，等待资格审查小组或者评标委员会的询问，并等待评审结果，中途不得离开。如未按要求应答，由此所产生的损失及风险由供应商自行承担。</w:t>
      </w:r>
    </w:p>
    <w:p w14:paraId="4C291C78">
      <w:pPr>
        <w:tabs>
          <w:tab w:val="left" w:pos="945"/>
        </w:tabs>
        <w:spacing w:line="336" w:lineRule="auto"/>
        <w:outlineLvl w:val="0"/>
        <w:rPr>
          <w:rFonts w:hint="eastAsia" w:ascii="宋体" w:hAnsi="宋体" w:cs="宋体"/>
          <w:bCs/>
          <w:color w:val="auto"/>
          <w:sz w:val="24"/>
          <w:highlight w:val="none"/>
        </w:rPr>
      </w:pPr>
      <w:r>
        <w:rPr>
          <w:rFonts w:hint="eastAsia" w:ascii="宋体" w:hAnsi="宋体" w:cs="宋体"/>
          <w:bCs/>
          <w:color w:val="auto"/>
          <w:sz w:val="24"/>
          <w:highlight w:val="none"/>
        </w:rPr>
        <w:t>    1.4投标截止时间后参加投标的供应商或解密投标文件的供应商不足三家的，不进行评审。</w:t>
      </w:r>
    </w:p>
    <w:p w14:paraId="2773B2FA">
      <w:pPr>
        <w:tabs>
          <w:tab w:val="left" w:pos="945"/>
        </w:tabs>
        <w:spacing w:line="336" w:lineRule="auto"/>
        <w:ind w:firstLine="600"/>
        <w:outlineLvl w:val="0"/>
        <w:rPr>
          <w:rFonts w:hint="eastAsia" w:ascii="宋体" w:hAnsi="宋体" w:cs="宋体"/>
          <w:bCs/>
          <w:color w:val="auto"/>
          <w:sz w:val="24"/>
          <w:highlight w:val="none"/>
        </w:rPr>
      </w:pPr>
      <w:r>
        <w:rPr>
          <w:rFonts w:hint="eastAsia" w:ascii="宋体" w:hAnsi="宋体" w:cs="宋体"/>
          <w:bCs/>
          <w:color w:val="auto"/>
          <w:sz w:val="24"/>
          <w:highlight w:val="none"/>
        </w:rPr>
        <w:t>1.5开标时，投标文件报价出现前后不一致的，按照下列规定修正:</w:t>
      </w:r>
    </w:p>
    <w:p w14:paraId="58284199">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（一）投标文件中开标一览表（报价表）内容与投标文件中相应内容不一致的，以开标一览表（报价表）为准；</w:t>
      </w:r>
    </w:p>
    <w:p w14:paraId="3FB0A97B">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（二）大写金额和小写金额不一致的，以大写金额为准；</w:t>
      </w:r>
    </w:p>
    <w:p w14:paraId="0F45ECA3">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(三)单价金额小数点或者百分比有明显错位的,以开标一览表的总价为准,并修改单价；</w:t>
      </w:r>
    </w:p>
    <w:p w14:paraId="3A10E97C">
      <w:pPr>
        <w:tabs>
          <w:tab w:val="left" w:pos="945"/>
        </w:tabs>
        <w:spacing w:line="336" w:lineRule="auto"/>
        <w:ind w:firstLine="480"/>
        <w:outlineLvl w:val="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(四）总价金额与按单价汇总金额不一致的，以单价金额计算结果为准。</w:t>
      </w:r>
    </w:p>
    <w:p w14:paraId="279DC830">
      <w:pPr>
        <w:tabs>
          <w:tab w:val="left" w:pos="945"/>
        </w:tabs>
        <w:spacing w:line="336" w:lineRule="auto"/>
        <w:ind w:firstLine="600"/>
        <w:outlineLvl w:val="0"/>
        <w:rPr>
          <w:rFonts w:hint="eastAsia" w:ascii="宋体" w:hAnsi="宋体" w:cs="宋体"/>
          <w:bCs/>
          <w:color w:val="auto"/>
          <w:sz w:val="24"/>
          <w:highlight w:val="none"/>
        </w:rPr>
      </w:pPr>
      <w:r>
        <w:rPr>
          <w:rFonts w:hint="eastAsia" w:ascii="宋体" w:hAnsi="宋体" w:cs="宋体"/>
          <w:bCs/>
          <w:color w:val="auto"/>
          <w:sz w:val="24"/>
          <w:highlight w:val="none"/>
        </w:rPr>
        <w:t>同时出现两种以上不一致的，按照上述(1）一(4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p>
    <w:p w14:paraId="342552D6">
      <w:pPr>
        <w:tabs>
          <w:tab w:val="left" w:pos="945"/>
        </w:tabs>
        <w:spacing w:line="336" w:lineRule="auto"/>
        <w:outlineLvl w:val="0"/>
        <w:rPr>
          <w:rFonts w:hint="eastAsia" w:ascii="宋体" w:hAnsi="宋体" w:cs="宋体"/>
          <w:color w:val="auto"/>
          <w:sz w:val="24"/>
          <w:highlight w:val="none"/>
        </w:rPr>
      </w:pPr>
      <w:r>
        <w:rPr>
          <w:rFonts w:hint="eastAsia" w:ascii="宋体" w:hAnsi="宋体" w:cs="宋体"/>
          <w:bCs/>
          <w:color w:val="auto"/>
          <w:sz w:val="24"/>
          <w:highlight w:val="none"/>
        </w:rPr>
        <w:t xml:space="preserve">   </w:t>
      </w:r>
      <w:r>
        <w:rPr>
          <w:rFonts w:hint="eastAsia" w:ascii="宋体" w:hAnsi="宋体" w:cs="宋体"/>
          <w:b/>
          <w:color w:val="auto"/>
          <w:sz w:val="24"/>
          <w:highlight w:val="none"/>
        </w:rPr>
        <w:t xml:space="preserve"> 2.投标供应商资格审查</w:t>
      </w:r>
    </w:p>
    <w:p w14:paraId="5AAD90CD">
      <w:pPr>
        <w:tabs>
          <w:tab w:val="left" w:pos="0"/>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2.1公开招标采购项目开标结束后，投标文件资格性检查由采购人或采购代理机构组建的资格审查小组负责。</w:t>
      </w:r>
    </w:p>
    <w:p w14:paraId="27793009">
      <w:pPr>
        <w:tabs>
          <w:tab w:val="left" w:pos="0"/>
          <w:tab w:val="left" w:pos="525"/>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p>
    <w:p w14:paraId="0DE1EFED">
      <w:pPr>
        <w:tabs>
          <w:tab w:val="left" w:pos="0"/>
          <w:tab w:val="left" w:pos="525"/>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2.3关于对参与供应商信用记录的政府采购要求:</w:t>
      </w:r>
      <w:r>
        <w:rPr>
          <w:rFonts w:hint="eastAsia" w:ascii="宋体" w:hAnsi="宋体" w:cs="宋体"/>
          <w:bCs/>
          <w:color w:val="auto"/>
          <w:sz w:val="24"/>
          <w:szCs w:val="20"/>
          <w:highlight w:val="none"/>
        </w:rPr>
        <w:t>采购人或采购代理机构在投标截止时间前通过“信用中国”网站(www.creditchina.gov.cn)、中国政府采购网(</w:t>
      </w:r>
      <w:r>
        <w:rPr>
          <w:rFonts w:hint="eastAsia" w:ascii="宋体" w:hAnsi="宋体" w:cs="宋体"/>
          <w:bCs/>
          <w:color w:val="auto"/>
          <w:highlight w:val="none"/>
        </w:rPr>
        <w:fldChar w:fldCharType="begin"/>
      </w:r>
      <w:r>
        <w:rPr>
          <w:rFonts w:hint="eastAsia" w:ascii="宋体" w:hAnsi="宋体" w:cs="宋体"/>
          <w:bCs/>
          <w:color w:val="auto"/>
          <w:highlight w:val="none"/>
        </w:rPr>
        <w:instrText xml:space="preserve"> HYPERLINK "http://www.ccgp.gov.cn" </w:instrText>
      </w:r>
      <w:r>
        <w:rPr>
          <w:rFonts w:hint="eastAsia" w:ascii="宋体" w:hAnsi="宋体" w:cs="宋体"/>
          <w:bCs/>
          <w:color w:val="auto"/>
          <w:highlight w:val="none"/>
        </w:rPr>
        <w:fldChar w:fldCharType="separate"/>
      </w:r>
      <w:r>
        <w:rPr>
          <w:rFonts w:hint="eastAsia" w:ascii="宋体" w:hAnsi="宋体" w:cs="宋体"/>
          <w:bCs/>
          <w:color w:val="auto"/>
          <w:sz w:val="24"/>
          <w:szCs w:val="20"/>
          <w:highlight w:val="none"/>
        </w:rPr>
        <w:t>www.ccgp.gov.cn</w:t>
      </w:r>
      <w:r>
        <w:rPr>
          <w:rFonts w:hint="eastAsia" w:ascii="宋体" w:hAnsi="宋体" w:cs="宋体"/>
          <w:bCs/>
          <w:color w:val="auto"/>
          <w:sz w:val="24"/>
          <w:szCs w:val="20"/>
          <w:highlight w:val="none"/>
        </w:rPr>
        <w:fldChar w:fldCharType="end"/>
      </w:r>
      <w:r>
        <w:rPr>
          <w:rFonts w:hint="eastAsia" w:ascii="宋体" w:hAnsi="宋体" w:cs="宋体"/>
          <w:bCs/>
          <w:color w:val="auto"/>
          <w:sz w:val="24"/>
          <w:szCs w:val="20"/>
          <w:highlight w:val="none"/>
        </w:rPr>
        <w:t>)、“信用江苏”网站http://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rPr>
          <w:rFonts w:hint="eastAsia" w:ascii="宋体" w:hAnsi="宋体" w:cs="宋体"/>
          <w:color w:val="auto"/>
          <w:sz w:val="24"/>
          <w:highlight w:val="none"/>
        </w:rPr>
        <w:t>。</w:t>
      </w:r>
    </w:p>
    <w:p w14:paraId="0F974D13">
      <w:pPr>
        <w:tabs>
          <w:tab w:val="left" w:pos="0"/>
          <w:tab w:val="left" w:pos="525"/>
        </w:tabs>
        <w:spacing w:line="336" w:lineRule="auto"/>
        <w:ind w:firstLine="630"/>
        <w:rPr>
          <w:rFonts w:hint="eastAsia"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资格审查不合格的投标供应商的投标文件不进入后续评审。</w:t>
      </w:r>
    </w:p>
    <w:p w14:paraId="0EF32DDC">
      <w:pPr>
        <w:tabs>
          <w:tab w:val="left" w:pos="525"/>
          <w:tab w:val="left" w:pos="1050"/>
          <w:tab w:val="left" w:pos="1146"/>
          <w:tab w:val="left" w:pos="1770"/>
        </w:tabs>
        <w:spacing w:line="336" w:lineRule="auto"/>
        <w:ind w:firstLine="482"/>
        <w:rPr>
          <w:rFonts w:hint="eastAsia" w:ascii="宋体" w:hAnsi="宋体" w:cs="宋体"/>
          <w:b/>
          <w:bCs/>
          <w:color w:val="auto"/>
          <w:sz w:val="24"/>
          <w:highlight w:val="none"/>
        </w:rPr>
      </w:pPr>
      <w:r>
        <w:rPr>
          <w:rFonts w:hint="eastAsia" w:ascii="宋体" w:hAnsi="宋体" w:cs="宋体"/>
          <w:b/>
          <w:bCs/>
          <w:color w:val="auto"/>
          <w:sz w:val="24"/>
          <w:highlight w:val="none"/>
        </w:rPr>
        <w:t>3.评标工作程序</w:t>
      </w:r>
    </w:p>
    <w:p w14:paraId="5176EF51">
      <w:pPr>
        <w:tabs>
          <w:tab w:val="left" w:pos="525"/>
          <w:tab w:val="left" w:pos="94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3.1由专家及采购人代表组成评标委员会，并实行回避制度。</w:t>
      </w:r>
    </w:p>
    <w:p w14:paraId="382A6DF9">
      <w:pPr>
        <w:tabs>
          <w:tab w:val="left" w:pos="525"/>
          <w:tab w:val="left" w:pos="94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3.2投标文件符合性检查</w:t>
      </w:r>
    </w:p>
    <w:p w14:paraId="77AF7549">
      <w:pPr>
        <w:tabs>
          <w:tab w:val="left" w:pos="525"/>
        </w:tabs>
        <w:spacing w:line="360" w:lineRule="auto"/>
        <w:ind w:firstLine="480"/>
        <w:rPr>
          <w:color w:val="auto"/>
          <w:sz w:val="24"/>
          <w:szCs w:val="20"/>
          <w:highlight w:val="none"/>
        </w:rPr>
      </w:pPr>
      <w:r>
        <w:rPr>
          <w:rFonts w:hint="eastAsia" w:ascii="宋体" w:hAnsi="宋体"/>
          <w:color w:val="auto"/>
          <w:sz w:val="24"/>
          <w:szCs w:val="20"/>
          <w:highlight w:val="none"/>
        </w:rPr>
        <w:t xml:space="preserve">3.2.1 </w:t>
      </w:r>
      <w:r>
        <w:rPr>
          <w:rFonts w:hint="eastAsia" w:ascii="宋体" w:hAnsi="宋体" w:cs="宋体"/>
          <w:color w:val="auto"/>
          <w:sz w:val="24"/>
          <w:highlight w:val="none"/>
        </w:rPr>
        <w:t>投标文件的符合性检查由评标委员会负责。</w:t>
      </w:r>
    </w:p>
    <w:p w14:paraId="5BD7011C">
      <w:pPr>
        <w:tabs>
          <w:tab w:val="left" w:pos="525"/>
        </w:tabs>
        <w:spacing w:line="360" w:lineRule="auto"/>
        <w:ind w:firstLine="480"/>
        <w:rPr>
          <w:color w:val="auto"/>
          <w:sz w:val="24"/>
          <w:szCs w:val="20"/>
          <w:highlight w:val="none"/>
        </w:rPr>
      </w:pPr>
      <w:r>
        <w:rPr>
          <w:rFonts w:hint="eastAsia" w:ascii="宋体" w:hAnsi="宋体"/>
          <w:color w:val="auto"/>
          <w:sz w:val="24"/>
          <w:szCs w:val="20"/>
          <w:highlight w:val="none"/>
        </w:rPr>
        <w:t>3.2.2对投标文件的有效性、完整性和对采购文件要求的符合性进行审查，以确定是否对采购文件的实质性要求做出响应。</w:t>
      </w:r>
    </w:p>
    <w:p w14:paraId="73C3EE00">
      <w:pPr>
        <w:tabs>
          <w:tab w:val="left" w:pos="525"/>
        </w:tabs>
        <w:spacing w:line="360" w:lineRule="auto"/>
        <w:ind w:firstLine="480"/>
        <w:rPr>
          <w:rFonts w:hint="eastAsia" w:ascii="宋体" w:hAnsi="宋体"/>
          <w:color w:val="auto"/>
          <w:sz w:val="24"/>
          <w:highlight w:val="none"/>
        </w:rPr>
      </w:pPr>
      <w:r>
        <w:rPr>
          <w:rFonts w:hint="eastAsia" w:ascii="宋体" w:hAnsi="宋体"/>
          <w:color w:val="auto"/>
          <w:sz w:val="24"/>
          <w:highlight w:val="none"/>
        </w:rPr>
        <w:t>3.2.3对于投标文件中含义不明确、同类问题表述不一致或者有明显文字和计算错误的内容，评标委员会可以通过政府采购交易管理一体化系统发起询标要求供应商作出必要的澄清、说明或者纠正。供应商的澄清、说明或者纠正应当通过政采采购交易管理一体化系统，由其授权的代表应答并加盖电子公章，且不得超出投标文件的范围或者改变投标文件的实质性内容。</w:t>
      </w:r>
    </w:p>
    <w:p w14:paraId="17907178">
      <w:pPr>
        <w:spacing w:line="500" w:lineRule="exact"/>
        <w:ind w:firstLine="480"/>
        <w:rPr>
          <w:rFonts w:hint="eastAsia" w:ascii="宋体" w:hAnsi="宋体" w:eastAsia="宋体" w:cs="宋体"/>
          <w:b/>
          <w:color w:val="auto"/>
          <w:sz w:val="24"/>
          <w:highlight w:val="none"/>
        </w:rPr>
      </w:pPr>
      <w:r>
        <w:rPr>
          <w:rFonts w:hint="eastAsia" w:ascii="宋体" w:hAnsi="宋体" w:eastAsia="宋体" w:cs="Times New Roman"/>
          <w:b/>
          <w:bCs/>
          <w:color w:val="auto"/>
          <w:sz w:val="24"/>
          <w:highlight w:val="none"/>
          <w:lang w:val="en-US" w:eastAsia="zh-CN"/>
        </w:rPr>
        <w:t>3.2.4</w:t>
      </w:r>
      <w:r>
        <w:rPr>
          <w:rFonts w:hint="eastAsia" w:ascii="宋体" w:hAnsi="宋体" w:eastAsia="宋体" w:cs="宋体"/>
          <w:b/>
          <w:color w:val="auto"/>
          <w:sz w:val="24"/>
          <w:highlight w:val="none"/>
        </w:rPr>
        <w:t>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p>
    <w:p w14:paraId="624CCC85">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（1）评审中出现下列情形之一的，评审委员会应当启动异常低价投标（响应）审查程序： </w:t>
      </w:r>
    </w:p>
    <w:p w14:paraId="2FB3D4E7">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①投标（响应）报价低于全部通过符合性审查供应商投标（响应）报价平均值50%的，即投标（响应）报价&lt;全部通过符合性审查供应商投标（响应）报价平均值×50%； </w:t>
      </w:r>
    </w:p>
    <w:p w14:paraId="189F0D4A">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②投标（响应）报价低于通过符合性审查的次低报价供应商投标（响应）报价50%的，即投标（响应）报价&lt;通过符合性审查的次低报价供应商投标（响应）报价×50%； </w:t>
      </w:r>
    </w:p>
    <w:p w14:paraId="54622973">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③投标（响应）报价低于采购项目最高限价45%的，即投标（响应）报价&lt;采购项目最高限价×45%； </w:t>
      </w:r>
    </w:p>
    <w:p w14:paraId="7543ADA8">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④评审委员会基于专业判断，认为供应商报价过低，有可能影响产品质量或者不能诚信履约的其他情形。</w:t>
      </w:r>
    </w:p>
    <w:p w14:paraId="1737859B">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p>
    <w:p w14:paraId="77D2FFCA">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3FBD3BC">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F8A3D3E">
      <w:pPr>
        <w:spacing w:line="500" w:lineRule="exact"/>
        <w:ind w:firstLine="48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335B3EC7">
      <w:pPr>
        <w:tabs>
          <w:tab w:val="left" w:pos="525"/>
        </w:tabs>
        <w:spacing w:line="360" w:lineRule="auto"/>
        <w:ind w:firstLine="482"/>
        <w:rPr>
          <w:rFonts w:hint="eastAsia" w:ascii="宋体" w:hAnsi="宋体"/>
          <w:color w:val="auto"/>
          <w:sz w:val="24"/>
          <w:highlight w:val="none"/>
        </w:rPr>
      </w:pPr>
      <w:r>
        <w:rPr>
          <w:rFonts w:hint="eastAsia" w:ascii="宋体" w:hAnsi="宋体" w:eastAsia="宋体" w:cs="宋体"/>
          <w:b/>
          <w:color w:val="auto"/>
          <w:sz w:val="24"/>
          <w:highlight w:val="none"/>
        </w:rPr>
        <w:t>（3）财政部门在投诉处理、监督检查中发现评审委员会未按规定对异常低价开展审查的，依法予以纠正并追究评审专家的法律责任</w:t>
      </w:r>
      <w:r>
        <w:rPr>
          <w:rFonts w:ascii="宋体" w:hAnsi="宋体" w:eastAsia="宋体" w:cs="Times New Roman"/>
          <w:b/>
          <w:bCs/>
          <w:color w:val="auto"/>
          <w:sz w:val="24"/>
          <w:highlight w:val="none"/>
        </w:rPr>
        <w:t>。</w:t>
      </w:r>
    </w:p>
    <w:p w14:paraId="746FD4CA">
      <w:pPr>
        <w:tabs>
          <w:tab w:val="left" w:pos="525"/>
        </w:tabs>
        <w:spacing w:line="360" w:lineRule="auto"/>
        <w:ind w:firstLine="480"/>
        <w:rPr>
          <w:rFonts w:hint="eastAsia" w:ascii="宋体" w:hAnsi="宋体"/>
          <w:color w:val="auto"/>
          <w:sz w:val="24"/>
          <w:highlight w:val="none"/>
        </w:rPr>
      </w:pPr>
      <w:r>
        <w:rPr>
          <w:rFonts w:hint="eastAsia" w:ascii="宋体" w:hAnsi="宋体"/>
          <w:color w:val="auto"/>
          <w:sz w:val="24"/>
          <w:highlight w:val="none"/>
        </w:rPr>
        <w:t>3.3评委会组负责具体的评标事务，并独立履行以下职责:</w:t>
      </w:r>
    </w:p>
    <w:p w14:paraId="2C80FD5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3.3.1审查、评价投标文件是否符合招标文件的商务、技术等实质性要求；</w:t>
      </w:r>
    </w:p>
    <w:p w14:paraId="2FEB9AF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3.3.2要求投标供应商对投标文件有关事项做出澄清或者说明；</w:t>
      </w:r>
    </w:p>
    <w:p w14:paraId="215C4B44">
      <w:pPr>
        <w:tabs>
          <w:tab w:val="left" w:pos="840"/>
          <w:tab w:val="left" w:pos="1050"/>
        </w:tabs>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3.3.3对投标文件进行比较和评价</w:t>
      </w:r>
      <w:r>
        <w:rPr>
          <w:rFonts w:hint="eastAsia" w:ascii="宋体" w:hAnsi="宋体" w:cs="宋体"/>
          <w:bCs/>
          <w:color w:val="auto"/>
          <w:sz w:val="24"/>
          <w:highlight w:val="none"/>
          <w:lang w:eastAsia="zh-CN"/>
        </w:rPr>
        <w:t>；</w:t>
      </w:r>
    </w:p>
    <w:p w14:paraId="5A77E1CF">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3.3.4根据招标文件评分办法，向采购人推荐3名中标候选供应商;</w:t>
      </w:r>
    </w:p>
    <w:p w14:paraId="23C76C97">
      <w:pPr>
        <w:tabs>
          <w:tab w:val="left" w:pos="840"/>
          <w:tab w:val="left" w:pos="1050"/>
        </w:tabs>
        <w:spacing w:line="360" w:lineRule="auto"/>
        <w:ind w:firstLine="480"/>
        <w:rPr>
          <w:rFonts w:hint="eastAsia"/>
          <w:color w:val="auto"/>
          <w:highlight w:val="none"/>
        </w:rPr>
      </w:pPr>
      <w:r>
        <w:rPr>
          <w:rFonts w:hint="eastAsia" w:ascii="宋体" w:hAnsi="宋体" w:cs="宋体"/>
          <w:bCs/>
          <w:color w:val="auto"/>
          <w:sz w:val="24"/>
          <w:highlight w:val="none"/>
        </w:rPr>
        <w:t>3.3.5向采购人、采购代理机构或者有关部门报告评标中发现的违法行为;</w:t>
      </w:r>
    </w:p>
    <w:p w14:paraId="76BE73EC">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3.4评委会成员应当履行下列义务:</w:t>
      </w:r>
    </w:p>
    <w:p w14:paraId="6BEA19C8">
      <w:pPr>
        <w:tabs>
          <w:tab w:val="left" w:pos="630"/>
          <w:tab w:val="left" w:pos="945"/>
          <w:tab w:val="left" w:pos="1155"/>
        </w:tabs>
        <w:spacing w:line="360" w:lineRule="auto"/>
        <w:ind w:left="458"/>
        <w:rPr>
          <w:rFonts w:hint="eastAsia" w:ascii="宋体"/>
          <w:bCs/>
          <w:color w:val="auto"/>
          <w:sz w:val="24"/>
          <w:highlight w:val="none"/>
        </w:rPr>
      </w:pPr>
      <w:r>
        <w:rPr>
          <w:rFonts w:hint="eastAsia" w:ascii="宋体" w:hAnsi="宋体"/>
          <w:bCs/>
          <w:color w:val="auto"/>
          <w:sz w:val="24"/>
          <w:highlight w:val="none"/>
        </w:rPr>
        <w:t>3.4.1遵纪守法，客观、公正、廉洁地履行职责;</w:t>
      </w:r>
      <w:r>
        <w:rPr>
          <w:rFonts w:hint="eastAsia" w:ascii="宋体" w:hAnsi="宋体"/>
          <w:bCs/>
          <w:color w:val="auto"/>
          <w:sz w:val="24"/>
          <w:highlight w:val="none"/>
          <w:lang w:eastAsia="zh-CN"/>
        </w:rPr>
        <w:t>投标文件</w:t>
      </w:r>
      <w:r>
        <w:rPr>
          <w:rFonts w:hint="eastAsia" w:ascii="宋体" w:hAnsi="宋体"/>
          <w:bCs/>
          <w:color w:val="auto"/>
          <w:sz w:val="24"/>
          <w:highlight w:val="none"/>
        </w:rPr>
        <w:t>初审。初审分为资格性检查和符合性检查；</w:t>
      </w:r>
    </w:p>
    <w:p w14:paraId="044398AF">
      <w:pPr>
        <w:tabs>
          <w:tab w:val="left" w:pos="525"/>
          <w:tab w:val="left" w:pos="630"/>
          <w:tab w:val="left" w:pos="945"/>
          <w:tab w:val="left" w:pos="136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3.4.2按照招标文件规定的评标办法和评标标准进行评标，对评审意见承担个人责任；</w:t>
      </w:r>
    </w:p>
    <w:p w14:paraId="3451D264">
      <w:pPr>
        <w:tabs>
          <w:tab w:val="left" w:pos="525"/>
          <w:tab w:val="left" w:pos="630"/>
          <w:tab w:val="left" w:pos="945"/>
          <w:tab w:val="left" w:pos="136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3.4.3对评标过程和结果，以及投标供应商的商业秘密保密；</w:t>
      </w:r>
    </w:p>
    <w:p w14:paraId="12A6BF40">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3.4.4参与评标报告的起草；</w:t>
      </w:r>
    </w:p>
    <w:p w14:paraId="2EFEF096">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3.4.5配合采购人及采购代理机构答复投标供应商提出的质疑；</w:t>
      </w:r>
    </w:p>
    <w:p w14:paraId="0126BE07">
      <w:pPr>
        <w:tabs>
          <w:tab w:val="left" w:pos="525"/>
          <w:tab w:val="left" w:pos="945"/>
          <w:tab w:val="left" w:pos="1155"/>
        </w:tabs>
        <w:spacing w:line="360" w:lineRule="auto"/>
        <w:ind w:left="458"/>
        <w:rPr>
          <w:rFonts w:ascii="宋体"/>
          <w:bCs/>
          <w:color w:val="auto"/>
          <w:sz w:val="24"/>
          <w:highlight w:val="none"/>
        </w:rPr>
      </w:pPr>
      <w:r>
        <w:rPr>
          <w:rFonts w:hint="eastAsia" w:ascii="宋体" w:hAnsi="宋体"/>
          <w:bCs/>
          <w:color w:val="auto"/>
          <w:sz w:val="24"/>
          <w:highlight w:val="none"/>
        </w:rPr>
        <w:t>3.4.6配合有关部门的投诉处理工作。</w:t>
      </w:r>
    </w:p>
    <w:p w14:paraId="79B82AD1">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3.5评标内容的保密</w:t>
      </w:r>
    </w:p>
    <w:p w14:paraId="67178DB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3.5.1公开开标后，直到宣布授予中标供应商合同为止，凡属于审查、澄清、评价和比较投标的所有资料，有关授予合同的信息都不应向投标供应商或与评标无关的其他人泄露；</w:t>
      </w:r>
    </w:p>
    <w:p w14:paraId="2FEFFB62">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3.5.2在投标文件的审查、澄清、评价和比较以及授予合同的过程中，投标供应商对采购代理机构和评标委员会成员施加影响的任何行为，都将取消其中标资格。</w:t>
      </w:r>
    </w:p>
    <w:p w14:paraId="1F9545C3">
      <w:pPr>
        <w:tabs>
          <w:tab w:val="left" w:pos="525"/>
          <w:tab w:val="left" w:pos="945"/>
          <w:tab w:val="left" w:pos="1155"/>
        </w:tabs>
        <w:spacing w:line="360" w:lineRule="auto"/>
        <w:ind w:left="458"/>
        <w:rPr>
          <w:rFonts w:hint="eastAsia" w:ascii="宋体" w:hAnsi="宋体"/>
          <w:bCs/>
          <w:color w:val="auto"/>
          <w:sz w:val="24"/>
          <w:highlight w:val="none"/>
        </w:rPr>
      </w:pPr>
      <w:r>
        <w:rPr>
          <w:rFonts w:hint="eastAsia" w:ascii="宋体" w:hAnsi="宋体"/>
          <w:bCs/>
          <w:color w:val="auto"/>
          <w:sz w:val="24"/>
          <w:highlight w:val="none"/>
        </w:rPr>
        <w:t>3.6比较与评价</w:t>
      </w:r>
    </w:p>
    <w:p w14:paraId="7B711266">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3.6.1投标文件资格性检查和符合性检查结束后，凡属于“(</w:t>
      </w:r>
      <w:r>
        <w:rPr>
          <w:rFonts w:hint="eastAsia" w:ascii="宋体" w:hAnsi="宋体" w:cs="宋体"/>
          <w:bCs/>
          <w:color w:val="auto"/>
          <w:sz w:val="24"/>
          <w:highlight w:val="none"/>
          <w:lang w:eastAsia="zh-CN"/>
        </w:rPr>
        <w:t>七</w:t>
      </w:r>
      <w:r>
        <w:rPr>
          <w:rFonts w:hint="eastAsia" w:ascii="宋体" w:hAnsi="宋体" w:cs="宋体"/>
          <w:bCs/>
          <w:color w:val="auto"/>
          <w:sz w:val="24"/>
          <w:highlight w:val="none"/>
        </w:rPr>
        <w:t>）无效投标文件的确认”的投标文件不进入比较与评价程序。</w:t>
      </w:r>
    </w:p>
    <w:p w14:paraId="300C959A">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3.6.2经评审有效的投标文件按招标文件中规定的评标方法和标准，由评标委员会进行比较与评价。</w:t>
      </w:r>
    </w:p>
    <w:p w14:paraId="5C40BB6A">
      <w:pPr>
        <w:tabs>
          <w:tab w:val="left" w:pos="840"/>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3.6.3评审全部结束后，由工作人员在公证或监督下(如有)，汇总各投标供应商商务标和技术标得分，确定各投标供应商总分和最终排序。</w:t>
      </w:r>
    </w:p>
    <w:p w14:paraId="303D37FE">
      <w:pPr>
        <w:spacing w:line="360" w:lineRule="auto"/>
        <w:ind w:firstLine="240"/>
        <w:outlineLvl w:val="0"/>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九</w:t>
      </w:r>
      <w:r>
        <w:rPr>
          <w:rFonts w:hint="eastAsia" w:ascii="宋体" w:hAnsi="宋体" w:cs="宋体"/>
          <w:bCs/>
          <w:color w:val="auto"/>
          <w:sz w:val="24"/>
          <w:highlight w:val="none"/>
        </w:rPr>
        <w:t>）确定中标供应商：</w:t>
      </w:r>
    </w:p>
    <w:p w14:paraId="311B9D43">
      <w:pPr>
        <w:tabs>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供应商。江苏苏咨工程咨询有限责任公司自中标供应商确定之日起2个工作日内，发出中标通知书，并在财政部门指定的政府采购信息发布媒体上发布中标公告。如有质疑，供应商按中华人民共和国财政部令【第94号】《政府采购质疑和投诉办法》第十二条：供应商提出质疑应当提交质疑函和必要的证明材料。质疑函应当包括下列内容: (一)供应商的姓名或者名称、地址、邮编、联系人及联系电话；(二)质疑项目的名称、编号； (三)具体、明确的质疑事项和与质疑事项相关的请求；(四)事实依据；(五)必要的法律依据；(六)提出质疑的日期。 供应商为自然人的，应当由本人签字；供应商为法人或者其他组织的，应当由法定代表人、主要负责人，或者其授权代表签字或者盖章，并加盖公章。规定提交资料；按《中华人民共和国政府采购法》等有关法规处理。评审、开标及定标的整个过程均由采购人或纪律监察部门全程监督。</w:t>
      </w:r>
    </w:p>
    <w:p w14:paraId="08CFB81B">
      <w:pPr>
        <w:tabs>
          <w:tab w:val="left" w:pos="525"/>
          <w:tab w:val="left" w:pos="945"/>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2．在发布中标公告的同时，江苏苏咨工程咨询有限责任公司将向中标供应商发出中标通知书。</w:t>
      </w:r>
    </w:p>
    <w:p w14:paraId="35024951">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（十） 废标的确认：</w:t>
      </w:r>
    </w:p>
    <w:p w14:paraId="2BEBFE80">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在采购中，出现下列情况之一的，应予废标：</w:t>
      </w:r>
    </w:p>
    <w:p w14:paraId="49F72A66">
      <w:pPr>
        <w:numPr>
          <w:ilvl w:val="0"/>
          <w:numId w:val="5"/>
        </w:numPr>
        <w:tabs>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符合专业条件的投标供应商或者对采购文件作出实质性响应的投标供应商不足三家；</w:t>
      </w:r>
    </w:p>
    <w:p w14:paraId="1ACD8A88">
      <w:pPr>
        <w:numPr>
          <w:ilvl w:val="0"/>
          <w:numId w:val="5"/>
        </w:numPr>
        <w:tabs>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出现影响采购公正的违法、违规行为；</w:t>
      </w:r>
    </w:p>
    <w:p w14:paraId="7B66DC0F">
      <w:pPr>
        <w:numPr>
          <w:ilvl w:val="0"/>
          <w:numId w:val="5"/>
        </w:numPr>
        <w:tabs>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投标供应商的报价均超过采购预算，采购人不能支付的；</w:t>
      </w:r>
    </w:p>
    <w:p w14:paraId="671F3194">
      <w:pPr>
        <w:numPr>
          <w:ilvl w:val="0"/>
          <w:numId w:val="5"/>
        </w:numPr>
        <w:tabs>
          <w:tab w:val="right" w:pos="180"/>
          <w:tab w:val="left" w:pos="525"/>
          <w:tab w:val="left" w:pos="1155"/>
          <w:tab w:val="left" w:pos="1260"/>
        </w:tabs>
        <w:spacing w:line="360" w:lineRule="auto"/>
        <w:ind w:left="0" w:firstLine="630"/>
        <w:rPr>
          <w:rFonts w:hint="eastAsia" w:ascii="宋体" w:hAnsi="宋体" w:cs="宋体"/>
          <w:bCs/>
          <w:color w:val="auto"/>
          <w:sz w:val="24"/>
          <w:highlight w:val="none"/>
        </w:rPr>
      </w:pPr>
      <w:r>
        <w:rPr>
          <w:rFonts w:hint="eastAsia" w:ascii="宋体" w:hAnsi="宋体" w:cs="宋体"/>
          <w:bCs/>
          <w:color w:val="auto"/>
          <w:sz w:val="24"/>
          <w:highlight w:val="none"/>
        </w:rPr>
        <w:t>因重大变故，采购任务取消。</w:t>
      </w:r>
    </w:p>
    <w:p w14:paraId="05A9A9A2">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一</w:t>
      </w:r>
      <w:r>
        <w:rPr>
          <w:rFonts w:hint="eastAsia" w:ascii="宋体" w:hAnsi="宋体" w:cs="宋体"/>
          <w:bCs/>
          <w:color w:val="auto"/>
          <w:sz w:val="24"/>
          <w:highlight w:val="none"/>
        </w:rPr>
        <w:t>）投标保证金：</w:t>
      </w:r>
    </w:p>
    <w:p w14:paraId="3F3D5896">
      <w:pPr>
        <w:tabs>
          <w:tab w:val="left" w:pos="525"/>
          <w:tab w:val="left" w:pos="1155"/>
          <w:tab w:val="left" w:pos="1260"/>
        </w:tabs>
        <w:spacing w:line="360" w:lineRule="auto"/>
        <w:ind w:left="150" w:firstLine="480"/>
        <w:rPr>
          <w:rFonts w:hint="eastAsia" w:ascii="宋体" w:hAnsi="宋体" w:cs="宋体"/>
          <w:bCs/>
          <w:color w:val="auto"/>
          <w:sz w:val="24"/>
          <w:highlight w:val="none"/>
        </w:rPr>
      </w:pPr>
      <w:r>
        <w:rPr>
          <w:rFonts w:hint="eastAsia" w:ascii="宋体" w:hAnsi="宋体" w:cs="宋体"/>
          <w:bCs/>
          <w:color w:val="auto"/>
          <w:sz w:val="24"/>
          <w:highlight w:val="none"/>
        </w:rPr>
        <w:t>本项目无须递交投标保证金。</w:t>
      </w:r>
    </w:p>
    <w:p w14:paraId="1BE6B1A7">
      <w:pPr>
        <w:spacing w:line="360" w:lineRule="auto"/>
        <w:ind w:left="-2" w:firstLine="420"/>
        <w:outlineLvl w:val="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二</w:t>
      </w:r>
      <w:r>
        <w:rPr>
          <w:rFonts w:hint="eastAsia" w:ascii="宋体" w:hAnsi="宋体" w:cs="宋体"/>
          <w:bCs/>
          <w:color w:val="auto"/>
          <w:sz w:val="24"/>
          <w:highlight w:val="none"/>
        </w:rPr>
        <w:t>）签订、履行合同：</w:t>
      </w:r>
    </w:p>
    <w:p w14:paraId="2F151635">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1.采购人应当自中标通知书发出之日起</w:t>
      </w:r>
      <w:r>
        <w:rPr>
          <w:rFonts w:hint="eastAsia" w:ascii="宋体" w:hAnsi="宋体" w:cs="宋体"/>
          <w:b/>
          <w:color w:val="auto"/>
          <w:sz w:val="24"/>
          <w:highlight w:val="none"/>
        </w:rPr>
        <w:t>三十日</w:t>
      </w:r>
      <w:r>
        <w:rPr>
          <w:rFonts w:hint="eastAsia" w:ascii="宋体" w:hAnsi="宋体" w:cs="宋体"/>
          <w:bCs/>
          <w:color w:val="auto"/>
          <w:sz w:val="24"/>
          <w:highlight w:val="none"/>
        </w:rPr>
        <w:t>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4E452894">
      <w:pPr>
        <w:tabs>
          <w:tab w:val="left" w:pos="525"/>
          <w:tab w:val="left" w:pos="1050"/>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2.江苏苏咨工程咨询有限责任公司监督合同的履行。中标方非因不可抗力未履行招、投标文件和合同规定的义务，一经查实，招标代理机构将根据具体情况提请政府采购管理部门作出相应处理。</w:t>
      </w:r>
    </w:p>
    <w:p w14:paraId="3A25E7F6">
      <w:pPr>
        <w:tabs>
          <w:tab w:val="left" w:pos="525"/>
          <w:tab w:val="left" w:pos="1050"/>
        </w:tabs>
        <w:spacing w:line="360" w:lineRule="auto"/>
        <w:ind w:firstLine="600"/>
        <w:rPr>
          <w:rFonts w:hint="eastAsia" w:ascii="宋体" w:hAnsi="宋体" w:cs="宋体"/>
          <w:bCs/>
          <w:color w:val="auto"/>
          <w:sz w:val="24"/>
          <w:highlight w:val="none"/>
        </w:rPr>
      </w:pPr>
      <w:r>
        <w:rPr>
          <w:rFonts w:hint="eastAsia" w:ascii="宋体" w:hAnsi="宋体" w:cs="宋体"/>
          <w:bCs/>
          <w:color w:val="auto"/>
          <w:sz w:val="24"/>
          <w:highlight w:val="none"/>
        </w:rPr>
        <w:t>3.本项目无须履约保证金。</w:t>
      </w:r>
    </w:p>
    <w:p w14:paraId="0730EF19">
      <w:pPr>
        <w:spacing w:line="360" w:lineRule="auto"/>
        <w:ind w:firstLine="360"/>
        <w:outlineLvl w:val="0"/>
        <w:rPr>
          <w:rFonts w:hint="eastAsia"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三</w:t>
      </w:r>
      <w:r>
        <w:rPr>
          <w:rFonts w:hint="eastAsia" w:ascii="宋体" w:hAnsi="宋体" w:cs="宋体"/>
          <w:bCs/>
          <w:color w:val="auto"/>
          <w:sz w:val="24"/>
          <w:highlight w:val="none"/>
        </w:rPr>
        <w:t>）代理服务费：</w:t>
      </w:r>
    </w:p>
    <w:p w14:paraId="093EBE3F">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1.本项目代理服务费由中标供应商支付，</w:t>
      </w:r>
      <w:r>
        <w:rPr>
          <w:rFonts w:hint="eastAsia" w:ascii="宋体" w:hAnsi="宋体" w:cs="宋体"/>
          <w:bCs/>
          <w:color w:val="auto"/>
          <w:sz w:val="24"/>
          <w:highlight w:val="none"/>
          <w:lang w:eastAsia="zh-CN"/>
        </w:rPr>
        <w:t>中标供应商必须将招标代理服务费计算进投标总价中。</w:t>
      </w:r>
      <w:r>
        <w:rPr>
          <w:rFonts w:hint="eastAsia" w:ascii="宋体" w:hAnsi="宋体" w:cs="宋体"/>
          <w:bCs/>
          <w:color w:val="auto"/>
          <w:sz w:val="24"/>
          <w:highlight w:val="none"/>
        </w:rPr>
        <w:t>代理服务费以中标金额为计费基础，按差额定率累进法，收费标准为：</w:t>
      </w:r>
      <w:r>
        <w:rPr>
          <w:rFonts w:hint="eastAsia" w:ascii="宋体" w:hAnsi="宋体" w:cs="宋体"/>
          <w:bCs/>
          <w:color w:val="auto"/>
          <w:sz w:val="24"/>
          <w:highlight w:val="none"/>
          <w:lang w:eastAsia="zh-CN"/>
        </w:rPr>
        <w:t>中标</w:t>
      </w:r>
      <w:r>
        <w:rPr>
          <w:rFonts w:hint="eastAsia" w:ascii="宋体" w:hAnsi="宋体" w:cs="宋体"/>
          <w:bCs/>
          <w:color w:val="auto"/>
          <w:sz w:val="24"/>
          <w:highlight w:val="none"/>
        </w:rPr>
        <w:t>金额100万以下费率为成交金额的1.5%,100万元-500万元费率为成交金额的1.1%。在此基础上打</w:t>
      </w:r>
      <w:r>
        <w:rPr>
          <w:rFonts w:hint="eastAsia" w:ascii="宋体" w:hAnsi="宋体" w:cs="宋体"/>
          <w:bCs/>
          <w:color w:val="auto"/>
          <w:sz w:val="24"/>
          <w:highlight w:val="none"/>
          <w:lang w:eastAsia="zh-CN"/>
        </w:rPr>
        <w:t>七</w:t>
      </w:r>
      <w:r>
        <w:rPr>
          <w:rFonts w:hint="eastAsia" w:ascii="宋体" w:hAnsi="宋体" w:cs="宋体"/>
          <w:bCs/>
          <w:color w:val="auto"/>
          <w:sz w:val="24"/>
          <w:highlight w:val="none"/>
        </w:rPr>
        <w:t>折。</w:t>
      </w:r>
    </w:p>
    <w:p w14:paraId="6A820E62">
      <w:pPr>
        <w:tabs>
          <w:tab w:val="left" w:pos="525"/>
          <w:tab w:val="left" w:pos="1050"/>
        </w:tabs>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2. 领取中标通知书时中标人向采购代理机构一次性付清。</w:t>
      </w:r>
    </w:p>
    <w:p w14:paraId="4F11BFF3">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（十</w:t>
      </w:r>
      <w:r>
        <w:rPr>
          <w:rFonts w:hint="eastAsia" w:ascii="宋体" w:hAnsi="宋体" w:cs="宋体"/>
          <w:bCs/>
          <w:color w:val="auto"/>
          <w:sz w:val="24"/>
          <w:highlight w:val="none"/>
          <w:lang w:eastAsia="zh-CN"/>
        </w:rPr>
        <w:t>四</w:t>
      </w:r>
      <w:r>
        <w:rPr>
          <w:rFonts w:hint="eastAsia" w:ascii="宋体" w:hAnsi="宋体" w:cs="宋体"/>
          <w:bCs/>
          <w:color w:val="auto"/>
          <w:sz w:val="24"/>
          <w:highlight w:val="none"/>
        </w:rPr>
        <w:t>）</w:t>
      </w:r>
      <w:r>
        <w:rPr>
          <w:rFonts w:hint="eastAsia" w:ascii="宋体" w:hAnsi="宋体" w:cs="宋体"/>
          <w:color w:val="auto"/>
          <w:sz w:val="24"/>
          <w:highlight w:val="none"/>
        </w:rPr>
        <w:t>政府采购信用担保</w:t>
      </w:r>
      <w:r>
        <w:rPr>
          <w:rFonts w:hint="eastAsia" w:ascii="宋体" w:hAnsi="宋体" w:cs="宋体"/>
          <w:bCs/>
          <w:color w:val="auto"/>
          <w:sz w:val="24"/>
          <w:highlight w:val="none"/>
        </w:rPr>
        <w:t>：</w:t>
      </w:r>
    </w:p>
    <w:p w14:paraId="736B4C3F">
      <w:pPr>
        <w:spacing w:line="360" w:lineRule="auto"/>
        <w:ind w:firstLine="480"/>
        <w:rPr>
          <w:rFonts w:ascii="宋体" w:hAnsi="宋体"/>
          <w:bCs/>
          <w:color w:val="auto"/>
          <w:sz w:val="24"/>
          <w:highlight w:val="none"/>
        </w:rPr>
      </w:pPr>
      <w:r>
        <w:rPr>
          <w:rFonts w:hint="eastAsia" w:ascii="宋体" w:hAnsi="宋体"/>
          <w:bCs/>
          <w:color w:val="auto"/>
          <w:sz w:val="24"/>
          <w:highlight w:val="none"/>
        </w:rPr>
        <w:t>政府采购信用担保，是由专业担保机构为供应商向采购人、代理机构、金融机构提供的保证，主要包括履约担保、融资担保两种形式。供应商可以根据自身情况，自行决定是否选择采用该两种信用担保形式。</w:t>
      </w:r>
    </w:p>
    <w:p w14:paraId="45004C8B">
      <w:pPr>
        <w:spacing w:line="360" w:lineRule="auto"/>
        <w:ind w:firstLine="480"/>
        <w:rPr>
          <w:rFonts w:ascii="宋体" w:hAnsi="宋体"/>
          <w:bCs/>
          <w:color w:val="auto"/>
          <w:sz w:val="24"/>
          <w:highlight w:val="none"/>
        </w:rPr>
      </w:pPr>
      <w:r>
        <w:rPr>
          <w:rFonts w:hint="eastAsia" w:ascii="宋体" w:hAnsi="宋体"/>
          <w:bCs/>
          <w:color w:val="auto"/>
          <w:sz w:val="24"/>
          <w:highlight w:val="none"/>
        </w:rPr>
        <w:t>1.履约担保。</w:t>
      </w:r>
    </w:p>
    <w:p w14:paraId="4532E24D">
      <w:pPr>
        <w:spacing w:line="360" w:lineRule="auto"/>
        <w:ind w:firstLine="480"/>
        <w:rPr>
          <w:rFonts w:ascii="宋体" w:hAnsi="宋体"/>
          <w:bCs/>
          <w:color w:val="auto"/>
          <w:sz w:val="24"/>
          <w:highlight w:val="none"/>
        </w:rPr>
      </w:pPr>
      <w:r>
        <w:rPr>
          <w:rFonts w:hint="eastAsia" w:ascii="宋体" w:hAnsi="宋体"/>
          <w:bCs/>
          <w:color w:val="auto"/>
          <w:sz w:val="24"/>
          <w:highlight w:val="none"/>
        </w:rPr>
        <w:t>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230ADF18">
      <w:pPr>
        <w:spacing w:line="360" w:lineRule="auto"/>
        <w:ind w:firstLine="480"/>
        <w:rPr>
          <w:rFonts w:ascii="宋体" w:hAnsi="宋体"/>
          <w:bCs/>
          <w:color w:val="auto"/>
          <w:sz w:val="24"/>
          <w:highlight w:val="none"/>
        </w:rPr>
      </w:pPr>
      <w:r>
        <w:rPr>
          <w:rFonts w:hint="eastAsia" w:ascii="宋体" w:hAnsi="宋体"/>
          <w:bCs/>
          <w:color w:val="auto"/>
          <w:sz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政府采购履约担保函格式见附件</w:t>
      </w:r>
      <w:r>
        <w:rPr>
          <w:rFonts w:hint="eastAsia" w:ascii="宋体" w:hAnsi="宋体" w:cs="宋体"/>
          <w:color w:val="auto"/>
          <w:sz w:val="24"/>
          <w:highlight w:val="none"/>
        </w:rPr>
        <w:t>。</w:t>
      </w:r>
    </w:p>
    <w:p w14:paraId="7F240E71">
      <w:pPr>
        <w:spacing w:line="360" w:lineRule="auto"/>
        <w:ind w:firstLine="480"/>
        <w:rPr>
          <w:rFonts w:ascii="宋体" w:hAnsi="宋体"/>
          <w:bCs/>
          <w:color w:val="auto"/>
          <w:sz w:val="24"/>
          <w:highlight w:val="none"/>
        </w:rPr>
      </w:pPr>
      <w:r>
        <w:rPr>
          <w:rFonts w:hint="eastAsia" w:ascii="宋体" w:hAnsi="宋体"/>
          <w:bCs/>
          <w:color w:val="auto"/>
          <w:sz w:val="24"/>
          <w:highlight w:val="none"/>
        </w:rPr>
        <w:t>2.融资担保。</w:t>
      </w:r>
    </w:p>
    <w:p w14:paraId="63788AC3">
      <w:pPr>
        <w:spacing w:line="360" w:lineRule="auto"/>
        <w:ind w:firstLine="480"/>
        <w:rPr>
          <w:rFonts w:ascii="宋体" w:hAnsi="宋体"/>
          <w:bCs/>
          <w:color w:val="auto"/>
          <w:sz w:val="24"/>
          <w:highlight w:val="none"/>
        </w:rPr>
      </w:pPr>
      <w:r>
        <w:rPr>
          <w:rFonts w:hint="eastAsia" w:ascii="宋体" w:hAnsi="宋体"/>
          <w:bCs/>
          <w:color w:val="auto"/>
          <w:sz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2360D8DF">
      <w:pPr>
        <w:spacing w:line="360" w:lineRule="auto"/>
        <w:ind w:firstLine="480"/>
        <w:rPr>
          <w:rFonts w:ascii="宋体" w:hAnsi="宋体"/>
          <w:bCs/>
          <w:color w:val="auto"/>
          <w:sz w:val="24"/>
          <w:highlight w:val="none"/>
        </w:rPr>
      </w:pPr>
      <w:r>
        <w:rPr>
          <w:rFonts w:hint="eastAsia" w:ascii="宋体" w:hAnsi="宋体"/>
          <w:bCs/>
          <w:color w:val="auto"/>
          <w:sz w:val="24"/>
          <w:highlight w:val="none"/>
        </w:rPr>
        <w:t>成交、中标供应商可根据自身情况，自行决定是否选择采用合同融资形式。</w:t>
      </w:r>
      <w:r>
        <w:rPr>
          <w:rFonts w:hint="eastAsia" w:ascii="宋体" w:hAnsi="宋体" w:cs="宋体"/>
          <w:b/>
          <w:color w:val="auto"/>
          <w:sz w:val="24"/>
          <w:highlight w:val="none"/>
        </w:rPr>
        <w:t>无锡市政府采购合同融资政策告知函（详见附件）。</w:t>
      </w:r>
    </w:p>
    <w:p w14:paraId="6F5E2B5E">
      <w:pPr>
        <w:spacing w:line="360" w:lineRule="auto"/>
        <w:ind w:firstLine="480"/>
        <w:rPr>
          <w:rFonts w:ascii="宋体" w:hAnsi="宋体"/>
          <w:bCs/>
          <w:color w:val="auto"/>
          <w:sz w:val="24"/>
          <w:highlight w:val="none"/>
        </w:rPr>
      </w:pPr>
      <w:r>
        <w:rPr>
          <w:rFonts w:hint="eastAsia" w:ascii="宋体" w:hAnsi="宋体"/>
          <w:bCs/>
          <w:color w:val="auto"/>
          <w:sz w:val="24"/>
          <w:highlight w:val="none"/>
        </w:rPr>
        <w:t>采购代理机构应在“中标通知书”中增加“政采贷”合同融资政策宣传条款，并将《无锡市政府采购合同融资政策告知函》作为“中标（成交）通知书”附件一同发给中标供应商。</w:t>
      </w:r>
    </w:p>
    <w:p w14:paraId="42BD84DE">
      <w:pPr>
        <w:spacing w:line="360" w:lineRule="auto"/>
        <w:ind w:firstLine="480"/>
        <w:rPr>
          <w:rFonts w:ascii="宋体" w:hAnsi="宋体"/>
          <w:bCs/>
          <w:color w:val="auto"/>
          <w:sz w:val="24"/>
          <w:highlight w:val="none"/>
        </w:rPr>
      </w:pPr>
      <w:bookmarkStart w:id="0" w:name="_Hlk62744624"/>
      <w:r>
        <w:rPr>
          <w:rFonts w:hint="eastAsia" w:ascii="宋体" w:hAnsi="宋体"/>
          <w:bCs/>
          <w:color w:val="auto"/>
          <w:sz w:val="24"/>
          <w:highlight w:val="none"/>
        </w:rPr>
        <w:t>3.政府采购信用担保合作担保机构和信用融资合作银行</w:t>
      </w:r>
    </w:p>
    <w:p w14:paraId="5D71D41F">
      <w:pPr>
        <w:spacing w:line="360" w:lineRule="auto"/>
        <w:ind w:firstLine="480"/>
        <w:rPr>
          <w:rFonts w:ascii="宋体" w:hAnsi="宋体"/>
          <w:bCs/>
          <w:color w:val="auto"/>
          <w:sz w:val="24"/>
          <w:highlight w:val="none"/>
        </w:rPr>
      </w:pPr>
      <w:r>
        <w:rPr>
          <w:rFonts w:hint="eastAsia" w:ascii="宋体" w:hAnsi="宋体"/>
          <w:bCs/>
          <w:color w:val="auto"/>
          <w:sz w:val="24"/>
          <w:highlight w:val="none"/>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59AA3894">
      <w:pPr>
        <w:numPr>
          <w:ilvl w:val="0"/>
          <w:numId w:val="6"/>
        </w:num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0"/>
      <w:r>
        <w:rPr>
          <w:rFonts w:hint="eastAsia" w:ascii="宋体" w:hAnsi="宋体"/>
          <w:bCs/>
          <w:color w:val="auto"/>
          <w:sz w:val="24"/>
          <w:highlight w:val="none"/>
        </w:rPr>
        <w:t>。</w:t>
      </w:r>
    </w:p>
    <w:p w14:paraId="76C36C3D">
      <w:pPr>
        <w:spacing w:line="360" w:lineRule="auto"/>
        <w:ind w:firstLine="480"/>
        <w:rPr>
          <w:rFonts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（十</w:t>
      </w:r>
      <w:r>
        <w:rPr>
          <w:rFonts w:hint="eastAsia" w:ascii="宋体" w:hAnsi="宋体" w:cs="宋体"/>
          <w:color w:val="auto"/>
          <w:sz w:val="24"/>
          <w:highlight w:val="none"/>
          <w:lang w:eastAsia="zh-CN"/>
        </w:rPr>
        <w:t>五</w:t>
      </w:r>
      <w:r>
        <w:rPr>
          <w:rFonts w:hint="eastAsia" w:ascii="宋体" w:hAnsi="宋体" w:eastAsia="宋体" w:cs="宋体"/>
          <w:color w:val="auto"/>
          <w:sz w:val="24"/>
          <w:highlight w:val="none"/>
        </w:rPr>
        <w:t>）</w:t>
      </w:r>
      <w:r>
        <w:rPr>
          <w:rFonts w:hint="eastAsia" w:ascii="宋体" w:hAnsi="宋体" w:cs="宋体"/>
          <w:bCs/>
          <w:color w:val="auto"/>
          <w:sz w:val="24"/>
          <w:highlight w:val="none"/>
          <w:lang w:val="en-US" w:eastAsia="zh-CN"/>
        </w:rPr>
        <w:t>电子履约保函</w:t>
      </w:r>
    </w:p>
    <w:p w14:paraId="75672B92">
      <w:pPr>
        <w:spacing w:line="360" w:lineRule="auto"/>
        <w:ind w:firstLine="544"/>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为深入贯彻落实《国务院办公厅关于印发〈政府采购领域</w:t>
      </w:r>
      <w:r>
        <w:rPr>
          <w:rFonts w:ascii="宋体" w:hAnsi="宋体" w:eastAsia="宋体" w:cs="Times New Roman"/>
          <w:bCs/>
          <w:color w:val="auto"/>
          <w:sz w:val="24"/>
          <w:highlight w:val="none"/>
          <w:lang w:val="en-US" w:eastAsia="zh-CN"/>
        </w:rPr>
        <w:t>“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1A567559">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一、江苏省财政厅通过政府采购流程确定开鑫科技有限公司为“政府采购电子履约保函（保险）平台”提供系统技术服务。该平台可通过江苏省政府采购网、“苏采云”系统链接访问（首次使用需注册）。</w:t>
      </w:r>
    </w:p>
    <w:p w14:paraId="58B05CBC">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1E974CC4">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735363C6">
      <w:pPr>
        <w:spacing w:line="360" w:lineRule="auto"/>
        <w:ind w:firstLine="544"/>
        <w:rPr>
          <w:rFonts w:hint="eastAsia" w:ascii="宋体" w:hAnsi="宋体" w:eastAsia="宋体" w:cs="Times New Roman"/>
          <w:bCs/>
          <w:color w:val="auto"/>
          <w:sz w:val="24"/>
          <w:highlight w:val="none"/>
        </w:rPr>
      </w:pPr>
      <w:r>
        <w:rPr>
          <w:rFonts w:ascii="宋体" w:hAnsi="宋体" w:eastAsia="宋体" w:cs="Times New Roman"/>
          <w:bCs/>
          <w:color w:val="auto"/>
          <w:sz w:val="24"/>
          <w:highlight w:val="none"/>
          <w:lang w:val="en-US" w:eastAsia="zh-CN"/>
        </w:rPr>
        <w:t>四、电子履约保函与履约保证金、纸质保函具有同等法律效力</w:t>
      </w:r>
      <w:r>
        <w:rPr>
          <w:rFonts w:hint="eastAsia" w:ascii="宋体" w:hAnsi="宋体" w:eastAsia="宋体" w:cs="Times New Roman"/>
          <w:bCs/>
          <w:color w:val="auto"/>
          <w:sz w:val="24"/>
          <w:highlight w:val="none"/>
          <w:lang w:val="en-US" w:eastAsia="zh-CN"/>
        </w:rPr>
        <w:t>。</w:t>
      </w:r>
    </w:p>
    <w:p w14:paraId="735AE631">
      <w:pPr>
        <w:spacing w:line="360" w:lineRule="auto"/>
        <w:ind w:firstLine="544"/>
        <w:rPr>
          <w:rFonts w:hint="eastAsia" w:ascii="宋体" w:hAnsi="宋体" w:eastAsia="宋体" w:cs="宋体"/>
          <w:color w:val="auto"/>
          <w:sz w:val="24"/>
          <w:highlight w:val="none"/>
        </w:rPr>
      </w:pPr>
      <w:r>
        <w:rPr>
          <w:rFonts w:ascii="宋体" w:hAnsi="宋体" w:eastAsia="宋体" w:cs="Times New Roman"/>
          <w:bCs/>
          <w:color w:val="auto"/>
          <w:sz w:val="24"/>
          <w:highlight w:val="none"/>
          <w:lang w:val="en-US" w:eastAsia="zh-CN"/>
        </w:rPr>
        <w:t>五、供应商可通过江苏政府采购网下载“政府采购电子履约保函（保险）操作手册”</w:t>
      </w:r>
      <w:r>
        <w:rPr>
          <w:rFonts w:hint="eastAsia" w:ascii="宋体" w:hAnsi="宋体" w:cs="Times New Roman"/>
          <w:bCs/>
          <w:color w:val="auto"/>
          <w:sz w:val="24"/>
          <w:highlight w:val="none"/>
          <w:lang w:val="en-US" w:eastAsia="zh-CN"/>
        </w:rPr>
        <w:t>，</w:t>
      </w:r>
      <w:r>
        <w:rPr>
          <w:rFonts w:ascii="宋体" w:hAnsi="宋体" w:eastAsia="宋体" w:cs="Times New Roman"/>
          <w:bCs/>
          <w:color w:val="auto"/>
          <w:sz w:val="24"/>
          <w:highlight w:val="none"/>
          <w:lang w:val="en-US" w:eastAsia="zh-CN"/>
        </w:rPr>
        <w:t>具体地址为：http://www.ccgp-jiangsu.gov.cn/jiangsu/zlxz/。</w:t>
      </w:r>
    </w:p>
    <w:p w14:paraId="064D3EC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（十</w:t>
      </w:r>
      <w:r>
        <w:rPr>
          <w:rFonts w:hint="eastAsia" w:ascii="宋体" w:hAnsi="宋体" w:cs="宋体"/>
          <w:color w:val="auto"/>
          <w:sz w:val="24"/>
          <w:highlight w:val="none"/>
          <w:lang w:eastAsia="zh-CN"/>
        </w:rPr>
        <w:t>六</w:t>
      </w:r>
      <w:r>
        <w:rPr>
          <w:rFonts w:hint="eastAsia" w:ascii="宋体" w:hAnsi="宋体" w:cs="宋体"/>
          <w:color w:val="auto"/>
          <w:sz w:val="24"/>
          <w:highlight w:val="none"/>
        </w:rPr>
        <w:t>）其他政策要求：</w:t>
      </w:r>
    </w:p>
    <w:p w14:paraId="16D97C3B">
      <w:pPr>
        <w:numPr>
          <w:ilvl w:val="1"/>
          <w:numId w:val="7"/>
        </w:numPr>
        <w:tabs>
          <w:tab w:val="left" w:pos="525"/>
          <w:tab w:val="left" w:pos="945"/>
        </w:tabs>
        <w:spacing w:line="360" w:lineRule="auto"/>
        <w:ind w:left="0" w:firstLine="525"/>
        <w:rPr>
          <w:rFonts w:ascii="宋体"/>
          <w:bCs/>
          <w:color w:val="auto"/>
          <w:sz w:val="24"/>
          <w:szCs w:val="24"/>
          <w:highlight w:val="none"/>
        </w:rPr>
      </w:pPr>
      <w:r>
        <w:rPr>
          <w:rFonts w:hint="eastAsia" w:ascii="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5C4B514">
      <w:pPr>
        <w:numPr>
          <w:ilvl w:val="1"/>
          <w:numId w:val="7"/>
        </w:numPr>
        <w:tabs>
          <w:tab w:val="left" w:pos="525"/>
          <w:tab w:val="left" w:pos="945"/>
        </w:tabs>
        <w:spacing w:line="360" w:lineRule="auto"/>
        <w:ind w:left="0" w:firstLine="525"/>
        <w:rPr>
          <w:rFonts w:hint="eastAsia" w:ascii="宋体"/>
          <w:bCs/>
          <w:color w:val="auto"/>
          <w:sz w:val="24"/>
          <w:szCs w:val="24"/>
          <w:highlight w:val="none"/>
        </w:rPr>
      </w:pPr>
      <w:r>
        <w:rPr>
          <w:rFonts w:hint="eastAsia" w:ascii="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11D604B4">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采购产品属于《节能产品政府采购品目清单</w:t>
      </w:r>
      <w:r>
        <w:rPr>
          <w:rFonts w:hint="eastAsia" w:ascii="宋体"/>
          <w:bCs/>
          <w:color w:val="auto"/>
          <w:sz w:val="24"/>
          <w:szCs w:val="24"/>
          <w:highlight w:val="none"/>
          <w:lang w:eastAsia="zh-CN"/>
        </w:rPr>
        <w:t>》《</w:t>
      </w:r>
      <w:r>
        <w:rPr>
          <w:rFonts w:hint="eastAsia" w:ascii="宋体"/>
          <w:bCs/>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6DD9A88F">
      <w:pPr>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认证机构详见市场监管总局发布的《参与实施政府采购节能产品认证机构名录》和《参与实施政府采购环境标志产品认证机构名录》。</w:t>
      </w:r>
    </w:p>
    <w:p w14:paraId="42B682D0">
      <w:pPr>
        <w:numPr>
          <w:ilvl w:val="1"/>
          <w:numId w:val="7"/>
        </w:numPr>
        <w:tabs>
          <w:tab w:val="left" w:pos="525"/>
          <w:tab w:val="left" w:pos="945"/>
        </w:tabs>
        <w:spacing w:line="360" w:lineRule="auto"/>
        <w:ind w:left="0" w:firstLine="525"/>
        <w:rPr>
          <w:rFonts w:hint="eastAsia" w:ascii="宋体"/>
          <w:bCs/>
          <w:color w:val="auto"/>
          <w:sz w:val="24"/>
          <w:szCs w:val="24"/>
          <w:highlight w:val="none"/>
        </w:rPr>
      </w:pPr>
      <w:r>
        <w:rPr>
          <w:rFonts w:hint="eastAsia"/>
          <w:color w:val="auto"/>
          <w:sz w:val="24"/>
          <w:szCs w:val="24"/>
          <w:highlight w:val="none"/>
        </w:rPr>
        <w:t>本项目中如有涉及采购数据中心相关设备、运维服务的，应当按《关于印发〈绿色数据中心政府采购需求标准（试行）〉的通知》（财办库〔</w:t>
      </w:r>
      <w:r>
        <w:rPr>
          <w:color w:val="auto"/>
          <w:sz w:val="24"/>
          <w:szCs w:val="24"/>
          <w:highlight w:val="none"/>
        </w:rPr>
        <w:t>2023</w:t>
      </w:r>
      <w:r>
        <w:rPr>
          <w:rFonts w:hint="eastAsia"/>
          <w:color w:val="auto"/>
          <w:sz w:val="24"/>
          <w:szCs w:val="24"/>
          <w:highlight w:val="none"/>
        </w:rPr>
        <w:t>〕</w:t>
      </w:r>
      <w:r>
        <w:rPr>
          <w:color w:val="auto"/>
          <w:sz w:val="24"/>
          <w:szCs w:val="24"/>
          <w:highlight w:val="none"/>
        </w:rPr>
        <w:t>7</w:t>
      </w:r>
      <w:r>
        <w:rPr>
          <w:rFonts w:hint="eastAsia"/>
          <w:color w:val="auto"/>
          <w:sz w:val="24"/>
          <w:szCs w:val="24"/>
          <w:highlight w:val="none"/>
        </w:rPr>
        <w:t>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FC6704C">
      <w:pPr>
        <w:numPr>
          <w:ilvl w:val="1"/>
          <w:numId w:val="7"/>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有关中小企业政策，如</w:t>
      </w:r>
      <w:r>
        <w:rPr>
          <w:rFonts w:hint="eastAsia" w:ascii="宋体" w:hAnsi="宋体"/>
          <w:color w:val="auto"/>
          <w:sz w:val="24"/>
          <w:szCs w:val="24"/>
          <w:highlight w:val="none"/>
        </w:rPr>
        <w:t>落实政府采购政策需满足的资格要求以及落实政府采购政策的价格调整的相关内容可详见本文件其他章节。</w:t>
      </w:r>
    </w:p>
    <w:p w14:paraId="0BAFDA9C">
      <w:pPr>
        <w:numPr>
          <w:ilvl w:val="1"/>
          <w:numId w:val="7"/>
        </w:numPr>
        <w:tabs>
          <w:tab w:val="left" w:pos="525"/>
          <w:tab w:val="left" w:pos="945"/>
        </w:tabs>
        <w:spacing w:line="360" w:lineRule="auto"/>
        <w:ind w:left="0" w:firstLine="525"/>
        <w:rPr>
          <w:rFonts w:hint="eastAsia" w:ascii="宋体" w:hAnsi="宋体" w:cs="宋体"/>
          <w:color w:val="auto"/>
          <w:sz w:val="24"/>
          <w:szCs w:val="24"/>
          <w:highlight w:val="none"/>
        </w:rPr>
      </w:pPr>
      <w:r>
        <w:rPr>
          <w:rFonts w:hint="eastAsia" w:ascii="宋体"/>
          <w:bCs/>
          <w:color w:val="auto"/>
          <w:sz w:val="24"/>
          <w:szCs w:val="24"/>
          <w:highlight w:val="none"/>
        </w:rPr>
        <w:t>中标、成交供应商可采用合同融资形式，中标人可凭政府采购合同办理融资贷款，详见政府采购网“政采贷”专栏。</w:t>
      </w:r>
    </w:p>
    <w:p w14:paraId="769808AC">
      <w:pPr>
        <w:widowControl w:val="0"/>
        <w:numPr>
          <w:ilvl w:val="1"/>
          <w:numId w:val="7"/>
        </w:numPr>
        <w:tabs>
          <w:tab w:val="left" w:pos="525"/>
          <w:tab w:val="left" w:pos="945"/>
        </w:tabs>
        <w:spacing w:line="360" w:lineRule="auto"/>
        <w:ind w:left="0" w:firstLine="480"/>
        <w:rPr>
          <w:rFonts w:hint="eastAsia" w:ascii="宋体" w:hAnsi="宋体" w:cs="宋体"/>
          <w:b w:val="0"/>
          <w:bCs/>
          <w:color w:val="auto"/>
          <w:sz w:val="24"/>
          <w:szCs w:val="24"/>
          <w:highlight w:val="none"/>
        </w:rPr>
      </w:pPr>
      <w:r>
        <w:rPr>
          <w:rFonts w:hint="eastAsia" w:ascii="宋体"/>
          <w:b w:val="0"/>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 w:val="0"/>
          <w:bCs/>
          <w:color w:val="auto"/>
          <w:sz w:val="24"/>
          <w:szCs w:val="24"/>
          <w:highlight w:val="none"/>
          <w:lang w:eastAsia="zh-CN"/>
        </w:rPr>
        <w:t>，</w:t>
      </w:r>
      <w:r>
        <w:rPr>
          <w:rFonts w:hint="eastAsia" w:ascii="宋体"/>
          <w:b w:val="0"/>
          <w:bCs/>
          <w:color w:val="auto"/>
          <w:sz w:val="24"/>
          <w:szCs w:val="24"/>
          <w:highlight w:val="none"/>
        </w:rPr>
        <w:t>中标、成交供应商以保函形式缴纳履约保证金；供应商未按政府采购合同履行约定义务而应实际支付保证金的，由专业担保机构按照担保函约定履行担保责任。</w:t>
      </w:r>
    </w:p>
    <w:p w14:paraId="378CDDB2">
      <w:pPr>
        <w:widowControl w:val="0"/>
        <w:tabs>
          <w:tab w:val="left" w:pos="525"/>
          <w:tab w:val="left" w:pos="630"/>
          <w:tab w:val="left" w:pos="735"/>
          <w:tab w:val="left" w:pos="945"/>
          <w:tab w:val="left" w:pos="1080"/>
        </w:tabs>
        <w:spacing w:line="360" w:lineRule="auto"/>
        <w:ind w:firstLine="480"/>
        <w:rPr>
          <w:rFonts w:hint="eastAsia" w:ascii="宋体"/>
          <w:b w:val="0"/>
          <w:bCs/>
          <w:color w:val="auto"/>
          <w:sz w:val="24"/>
          <w:szCs w:val="24"/>
          <w:highlight w:val="none"/>
        </w:rPr>
      </w:pPr>
      <w:r>
        <w:rPr>
          <w:rFonts w:hint="eastAsia" w:ascii="宋体"/>
          <w:b w:val="0"/>
          <w:bCs/>
          <w:color w:val="auto"/>
          <w:sz w:val="24"/>
          <w:szCs w:val="24"/>
          <w:highlight w:val="none"/>
        </w:rPr>
        <w:t>中标、成交供应商可以采用电子履约保函形式，具体操作可登录江苏政府采购网的保险保函模块进行办理，也可通过</w:t>
      </w:r>
      <w:r>
        <w:rPr>
          <w:rFonts w:ascii="宋体"/>
          <w:b w:val="0"/>
          <w:bCs/>
          <w:color w:val="auto"/>
          <w:sz w:val="24"/>
          <w:szCs w:val="24"/>
          <w:highlight w:val="none"/>
        </w:rPr>
        <w:t>无锡市政府采购网</w:t>
      </w:r>
      <w:r>
        <w:rPr>
          <w:rFonts w:hint="eastAsia" w:ascii="宋体"/>
          <w:b w:val="0"/>
          <w:bCs/>
          <w:color w:val="auto"/>
          <w:sz w:val="24"/>
          <w:szCs w:val="24"/>
          <w:highlight w:val="none"/>
        </w:rPr>
        <w:t>、“</w:t>
      </w:r>
      <w:r>
        <w:rPr>
          <w:rFonts w:ascii="宋体"/>
          <w:b w:val="0"/>
          <w:bCs/>
          <w:color w:val="auto"/>
          <w:sz w:val="24"/>
          <w:szCs w:val="24"/>
          <w:highlight w:val="none"/>
        </w:rPr>
        <w:t>苏采云</w:t>
      </w:r>
      <w:r>
        <w:rPr>
          <w:rFonts w:hint="eastAsia" w:ascii="宋体"/>
          <w:b w:val="0"/>
          <w:bCs/>
          <w:color w:val="auto"/>
          <w:sz w:val="24"/>
          <w:szCs w:val="24"/>
          <w:highlight w:val="none"/>
        </w:rPr>
        <w:t>”</w:t>
      </w:r>
      <w:r>
        <w:rPr>
          <w:rFonts w:ascii="宋体"/>
          <w:b w:val="0"/>
          <w:bCs/>
          <w:color w:val="auto"/>
          <w:sz w:val="24"/>
          <w:szCs w:val="24"/>
          <w:highlight w:val="none"/>
        </w:rPr>
        <w:t>系统链接访问（首次使用需注册）。</w:t>
      </w:r>
    </w:p>
    <w:p w14:paraId="2830A114">
      <w:pPr>
        <w:widowControl w:val="0"/>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hAnsi="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310B6FF9">
      <w:pPr>
        <w:widowControl w:val="0"/>
        <w:numPr>
          <w:ilvl w:val="1"/>
          <w:numId w:val="7"/>
        </w:numPr>
        <w:tabs>
          <w:tab w:val="left" w:pos="525"/>
          <w:tab w:val="left" w:pos="945"/>
        </w:tabs>
        <w:spacing w:line="360" w:lineRule="auto"/>
        <w:ind w:left="0" w:firstLine="480"/>
        <w:rPr>
          <w:rFonts w:hint="eastAsia" w:ascii="宋体"/>
          <w:bCs/>
          <w:color w:val="auto"/>
          <w:sz w:val="24"/>
          <w:szCs w:val="24"/>
          <w:highlight w:val="none"/>
        </w:rPr>
      </w:pP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DEA5CA1">
      <w:pPr>
        <w:widowControl w:val="0"/>
        <w:tabs>
          <w:tab w:val="left" w:pos="525"/>
          <w:tab w:val="left" w:pos="630"/>
          <w:tab w:val="left" w:pos="735"/>
          <w:tab w:val="left" w:pos="945"/>
          <w:tab w:val="left" w:pos="1080"/>
        </w:tabs>
        <w:spacing w:line="360" w:lineRule="auto"/>
        <w:ind w:firstLine="480"/>
        <w:rPr>
          <w:rFonts w:hint="eastAsia" w:ascii="宋体"/>
          <w:bCs/>
          <w:color w:val="auto"/>
          <w:sz w:val="24"/>
          <w:szCs w:val="24"/>
          <w:highlight w:val="none"/>
        </w:rPr>
      </w:pPr>
      <w:r>
        <w:rPr>
          <w:rFonts w:hint="eastAsia" w:asci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4CD6B75">
      <w:pPr>
        <w:widowControl w:val="0"/>
        <w:tabs>
          <w:tab w:val="left" w:pos="525"/>
          <w:tab w:val="left" w:pos="630"/>
          <w:tab w:val="left" w:pos="735"/>
          <w:tab w:val="left" w:pos="945"/>
          <w:tab w:val="left" w:pos="1080"/>
        </w:tabs>
        <w:spacing w:line="360" w:lineRule="auto"/>
        <w:ind w:firstLine="480"/>
        <w:rPr>
          <w:rFonts w:hint="eastAsia" w:ascii="宋体" w:hAnsi="宋体" w:eastAsia="宋体" w:cs="宋体"/>
          <w:color w:val="auto"/>
          <w:sz w:val="24"/>
          <w:highlight w:val="none"/>
        </w:rPr>
      </w:pPr>
      <w:r>
        <w:rPr>
          <w:rFonts w:hint="eastAsia" w:ascii="宋体"/>
          <w:bCs/>
          <w:color w:val="auto"/>
          <w:sz w:val="24"/>
          <w:szCs w:val="24"/>
          <w:highlight w:val="none"/>
        </w:rPr>
        <w:t>采购人原则上应当自收到发票后10个工作日内将资金支付到合同约定的供应商账户。</w:t>
      </w:r>
    </w:p>
    <w:p w14:paraId="1A3F4A7C">
      <w:pPr>
        <w:rPr>
          <w:rFonts w:hint="eastAsia"/>
          <w:color w:val="auto"/>
          <w:highlight w:val="none"/>
        </w:rPr>
      </w:pPr>
    </w:p>
    <w:p w14:paraId="02E57E7E">
      <w:pPr>
        <w:spacing w:line="540" w:lineRule="exact"/>
        <w:ind w:firstLine="480"/>
        <w:rPr>
          <w:rFonts w:hint="eastAsia" w:ascii="宋体" w:hAnsi="宋体"/>
          <w:bCs/>
          <w:color w:val="auto"/>
          <w:sz w:val="24"/>
          <w:highlight w:val="none"/>
        </w:rPr>
      </w:pPr>
    </w:p>
    <w:p w14:paraId="64C29769">
      <w:pPr>
        <w:spacing w:line="540" w:lineRule="exact"/>
        <w:ind w:firstLine="480"/>
        <w:rPr>
          <w:rFonts w:hint="eastAsia" w:ascii="宋体" w:hAnsi="宋体"/>
          <w:bCs/>
          <w:color w:val="auto"/>
          <w:sz w:val="24"/>
          <w:highlight w:val="none"/>
        </w:rPr>
      </w:pPr>
    </w:p>
    <w:p w14:paraId="54F4728A">
      <w:pPr>
        <w:spacing w:line="540" w:lineRule="exact"/>
        <w:ind w:firstLine="480"/>
        <w:rPr>
          <w:rFonts w:hint="eastAsia" w:ascii="宋体" w:hAnsi="宋体"/>
          <w:bCs/>
          <w:color w:val="auto"/>
          <w:sz w:val="24"/>
          <w:highlight w:val="none"/>
        </w:rPr>
      </w:pPr>
    </w:p>
    <w:p w14:paraId="52FEA7C5">
      <w:pPr>
        <w:spacing w:line="540" w:lineRule="exact"/>
        <w:ind w:firstLine="480"/>
        <w:rPr>
          <w:rFonts w:hint="eastAsia" w:ascii="宋体" w:hAnsi="宋体"/>
          <w:bCs/>
          <w:color w:val="auto"/>
          <w:sz w:val="24"/>
          <w:highlight w:val="none"/>
        </w:rPr>
      </w:pPr>
    </w:p>
    <w:p w14:paraId="1CFCD95E">
      <w:pPr>
        <w:spacing w:line="540" w:lineRule="exact"/>
        <w:ind w:firstLine="480"/>
        <w:rPr>
          <w:rFonts w:hint="eastAsia" w:ascii="宋体" w:hAnsi="宋体"/>
          <w:bCs/>
          <w:color w:val="auto"/>
          <w:sz w:val="24"/>
          <w:highlight w:val="none"/>
        </w:rPr>
      </w:pPr>
    </w:p>
    <w:p w14:paraId="49F23E4C">
      <w:pPr>
        <w:spacing w:line="540" w:lineRule="exact"/>
        <w:ind w:firstLine="480"/>
        <w:rPr>
          <w:rFonts w:hint="eastAsia" w:ascii="宋体" w:hAnsi="宋体"/>
          <w:bCs/>
          <w:color w:val="auto"/>
          <w:sz w:val="24"/>
          <w:highlight w:val="none"/>
        </w:rPr>
      </w:pPr>
    </w:p>
    <w:p w14:paraId="7BAF6D71">
      <w:pPr>
        <w:spacing w:line="540" w:lineRule="exact"/>
        <w:ind w:firstLine="480"/>
        <w:rPr>
          <w:rFonts w:hint="eastAsia" w:ascii="宋体" w:hAnsi="宋体"/>
          <w:bCs/>
          <w:color w:val="auto"/>
          <w:sz w:val="24"/>
          <w:highlight w:val="none"/>
        </w:rPr>
      </w:pPr>
    </w:p>
    <w:p w14:paraId="51205589">
      <w:pPr>
        <w:spacing w:line="540" w:lineRule="exact"/>
        <w:ind w:firstLine="480"/>
        <w:rPr>
          <w:rFonts w:hint="eastAsia" w:ascii="宋体" w:hAnsi="宋体"/>
          <w:bCs/>
          <w:color w:val="auto"/>
          <w:sz w:val="24"/>
          <w:highlight w:val="none"/>
        </w:rPr>
      </w:pPr>
    </w:p>
    <w:p w14:paraId="73DEE368">
      <w:pPr>
        <w:spacing w:line="540" w:lineRule="exact"/>
        <w:ind w:firstLine="480"/>
        <w:rPr>
          <w:rFonts w:hint="eastAsia" w:ascii="宋体" w:hAnsi="宋体"/>
          <w:bCs/>
          <w:color w:val="auto"/>
          <w:sz w:val="24"/>
          <w:highlight w:val="none"/>
        </w:rPr>
      </w:pPr>
    </w:p>
    <w:p w14:paraId="6F9FCD61">
      <w:pPr>
        <w:spacing w:line="540" w:lineRule="exact"/>
        <w:ind w:firstLine="480"/>
        <w:rPr>
          <w:rFonts w:ascii="宋体" w:hAnsi="宋体"/>
          <w:bCs/>
          <w:color w:val="auto"/>
          <w:sz w:val="24"/>
          <w:highlight w:val="none"/>
        </w:rPr>
      </w:pPr>
      <w:r>
        <w:rPr>
          <w:rFonts w:hint="eastAsia" w:ascii="宋体" w:hAnsi="宋体"/>
          <w:bCs/>
          <w:color w:val="auto"/>
          <w:sz w:val="24"/>
          <w:highlight w:val="none"/>
        </w:rPr>
        <w:t>附件1.                政府采购履约担保函（项目用）</w:t>
      </w:r>
    </w:p>
    <w:p w14:paraId="319DBCEC">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编号：</w:t>
      </w:r>
    </w:p>
    <w:p w14:paraId="6A9462EA">
      <w:pPr>
        <w:widowControl/>
        <w:tabs>
          <w:tab w:val="left" w:pos="360"/>
          <w:tab w:val="left" w:pos="960"/>
        </w:tabs>
        <w:spacing w:line="440" w:lineRule="exact"/>
        <w:jc w:val="left"/>
        <w:rPr>
          <w:rFonts w:ascii="宋体" w:hAnsi="宋体"/>
          <w:bCs/>
          <w:color w:val="auto"/>
          <w:sz w:val="24"/>
          <w:highlight w:val="none"/>
          <w:u w:val="singl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（采购人）：</w:t>
      </w:r>
    </w:p>
    <w:p w14:paraId="5FF246D9">
      <w:pPr>
        <w:widowControl/>
        <w:tabs>
          <w:tab w:val="left" w:pos="360"/>
          <w:tab w:val="left" w:pos="960"/>
        </w:tabs>
        <w:spacing w:line="440" w:lineRule="exact"/>
        <w:ind w:firstLine="360"/>
        <w:jc w:val="left"/>
        <w:rPr>
          <w:rFonts w:ascii="宋体" w:hAnsi="宋体"/>
          <w:bCs/>
          <w:color w:val="auto"/>
          <w:sz w:val="24"/>
          <w:highlight w:val="none"/>
        </w:rPr>
      </w:pPr>
    </w:p>
    <w:p w14:paraId="0EEFB20E">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鉴于你方与</w:t>
      </w:r>
      <w:r>
        <w:rPr>
          <w:rFonts w:hint="eastAsia" w:ascii="宋体" w:hAnsi="宋体"/>
          <w:bCs/>
          <w:color w:val="auto"/>
          <w:sz w:val="24"/>
          <w:highlight w:val="none"/>
          <w:u w:val="single"/>
        </w:rPr>
        <w:t xml:space="preserve">                    （以下简称供应商）</w:t>
      </w:r>
      <w:r>
        <w:rPr>
          <w:rFonts w:hint="eastAsia" w:ascii="宋体" w:hAnsi="宋体"/>
          <w:bCs/>
          <w:color w:val="auto"/>
          <w:sz w:val="24"/>
          <w:highlight w:val="none"/>
        </w:rPr>
        <w:t>于</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日签定编号为   的《</w:t>
      </w:r>
      <w:r>
        <w:rPr>
          <w:rFonts w:hint="eastAsia" w:ascii="宋体" w:hAnsi="宋体"/>
          <w:bCs/>
          <w:color w:val="auto"/>
          <w:sz w:val="24"/>
          <w:highlight w:val="none"/>
          <w:u w:val="single"/>
        </w:rPr>
        <w:t xml:space="preserve">           </w:t>
      </w:r>
      <w:r>
        <w:rPr>
          <w:rFonts w:hint="eastAsia" w:ascii="宋体" w:hAnsi="宋体"/>
          <w:bCs/>
          <w:color w:val="auto"/>
          <w:sz w:val="24"/>
          <w:highlight w:val="none"/>
        </w:rPr>
        <w:t>政府采购合同》（以下简称主合同），且依据该合同的约定，供应商应在</w:t>
      </w:r>
    </w:p>
    <w:p w14:paraId="3F4BADD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日前向你方交纳履约保证金，且可以履约担保函的形式交纳履约保证金。应供应商的申请，我方以保证的方式向你方提供如下履约保证金担保：</w:t>
      </w:r>
    </w:p>
    <w:p w14:paraId="3427813F">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一、保证责任的情形及保证金额</w:t>
      </w:r>
    </w:p>
    <w:p w14:paraId="3434CF75">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（一）在供应商出现下列情形之一时，我方承担保证责任：</w:t>
      </w:r>
    </w:p>
    <w:p w14:paraId="71D42DD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1．将中标项目转让给他人，或者在</w:t>
      </w:r>
      <w:r>
        <w:rPr>
          <w:rFonts w:hint="eastAsia" w:ascii="宋体" w:hAnsi="宋体"/>
          <w:bCs/>
          <w:color w:val="auto"/>
          <w:sz w:val="24"/>
          <w:highlight w:val="none"/>
          <w:lang w:eastAsia="zh-CN"/>
        </w:rPr>
        <w:t>投标文件</w:t>
      </w:r>
      <w:r>
        <w:rPr>
          <w:rFonts w:hint="eastAsia" w:ascii="宋体" w:hAnsi="宋体"/>
          <w:bCs/>
          <w:color w:val="auto"/>
          <w:sz w:val="24"/>
          <w:highlight w:val="none"/>
        </w:rPr>
        <w:t>中未说明，且未经采购招标机构人同意，将中标项目分包给他人的；</w:t>
      </w:r>
    </w:p>
    <w:p w14:paraId="2B31CF51">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 xml:space="preserve">　　2．主合同约定的应当缴纳履约保证金的情形: </w:t>
      </w:r>
    </w:p>
    <w:p w14:paraId="122D2CB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（1）未按主合同约定的质量、数量和期限供应货物/提供服务/完成工程的；</w:t>
      </w:r>
    </w:p>
    <w:p w14:paraId="31E86D5E">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                                                           。</w:t>
      </w:r>
    </w:p>
    <w:p w14:paraId="237C9F7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（二）我方的保证范围是主合同约定的合同价款总额的</w:t>
      </w:r>
      <w:r>
        <w:rPr>
          <w:rFonts w:hint="eastAsia" w:ascii="宋体" w:hAnsi="宋体"/>
          <w:bCs/>
          <w:color w:val="auto"/>
          <w:sz w:val="24"/>
          <w:highlight w:val="none"/>
          <w:u w:val="single"/>
        </w:rPr>
        <w:t xml:space="preserve">        </w:t>
      </w:r>
      <w:r>
        <w:rPr>
          <w:rFonts w:hint="eastAsia" w:ascii="宋体" w:hAnsi="宋体"/>
          <w:bCs/>
          <w:color w:val="auto"/>
          <w:sz w:val="24"/>
          <w:highlight w:val="none"/>
        </w:rPr>
        <w:t>%数额为</w:t>
      </w:r>
      <w:r>
        <w:rPr>
          <w:rFonts w:hint="eastAsia" w:ascii="宋体" w:hAnsi="宋体"/>
          <w:bCs/>
          <w:color w:val="auto"/>
          <w:sz w:val="24"/>
          <w:highlight w:val="none"/>
          <w:u w:val="single"/>
        </w:rPr>
        <w:t xml:space="preserve">         </w:t>
      </w:r>
      <w:r>
        <w:rPr>
          <w:rFonts w:hint="eastAsia" w:ascii="宋体" w:hAnsi="宋体"/>
          <w:bCs/>
          <w:color w:val="auto"/>
          <w:sz w:val="24"/>
          <w:highlight w:val="none"/>
        </w:rPr>
        <w:t>元（大写</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），币种为 </w:t>
      </w:r>
      <w:r>
        <w:rPr>
          <w:rFonts w:hint="eastAsia" w:ascii="宋体" w:hAnsi="宋体"/>
          <w:bCs/>
          <w:color w:val="auto"/>
          <w:sz w:val="24"/>
          <w:highlight w:val="none"/>
          <w:u w:val="single"/>
        </w:rPr>
        <w:t xml:space="preserve">       </w:t>
      </w:r>
      <w:r>
        <w:rPr>
          <w:rFonts w:hint="eastAsia" w:ascii="宋体" w:hAnsi="宋体"/>
          <w:bCs/>
          <w:color w:val="auto"/>
          <w:sz w:val="24"/>
          <w:highlight w:val="none"/>
        </w:rPr>
        <w:t>。（即主合同履约保证金金额）</w:t>
      </w:r>
    </w:p>
    <w:p w14:paraId="395413DB">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二、保证的方式及保证期间</w:t>
      </w:r>
    </w:p>
    <w:p w14:paraId="0657605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我方保证的方式为：连带责任保证。</w:t>
      </w:r>
    </w:p>
    <w:p w14:paraId="2EF4715A">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我方保证的期间为：自本合同生效之日起至供应商按照主合同约定的供货/完工期限届满后</w:t>
      </w:r>
      <w:r>
        <w:rPr>
          <w:rFonts w:hint="eastAsia" w:ascii="宋体" w:hAnsi="宋体"/>
          <w:bCs/>
          <w:color w:val="auto"/>
          <w:sz w:val="24"/>
          <w:highlight w:val="none"/>
          <w:u w:val="single"/>
        </w:rPr>
        <w:t xml:space="preserve">     </w:t>
      </w:r>
      <w:r>
        <w:rPr>
          <w:rFonts w:hint="eastAsia" w:ascii="宋体" w:hAnsi="宋体"/>
          <w:bCs/>
          <w:color w:val="auto"/>
          <w:sz w:val="24"/>
          <w:highlight w:val="none"/>
        </w:rPr>
        <w:t>日内。</w:t>
      </w:r>
    </w:p>
    <w:p w14:paraId="2E5662E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如果供应商未按主合同约定向贵方供应货物/提供服务/完成工程的，由我方在保证金额内向你方支付上述款项。</w:t>
      </w:r>
    </w:p>
    <w:p w14:paraId="5333F8B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三、承担保证责任的程序</w:t>
      </w:r>
    </w:p>
    <w:p w14:paraId="31225E7F">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1．你方要求我方承担保证责任的，应在本保函保证期间内向我方发出书面索赔通知。索赔通知应写明要求索赔的金额，支付款项应到达的帐号。并附有证明供应商违约事实的证明材料。</w:t>
      </w:r>
    </w:p>
    <w:p w14:paraId="160F7BC7">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5C8B571C">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 我方收到你方的书面索赔通知及相应证明材料，在</w:t>
      </w:r>
      <w:r>
        <w:rPr>
          <w:rFonts w:hint="eastAsia" w:ascii="宋体" w:hAnsi="宋体"/>
          <w:bCs/>
          <w:color w:val="auto"/>
          <w:sz w:val="24"/>
          <w:highlight w:val="none"/>
          <w:u w:val="single"/>
        </w:rPr>
        <w:t xml:space="preserve">     </w:t>
      </w:r>
      <w:r>
        <w:rPr>
          <w:rFonts w:hint="eastAsia" w:ascii="宋体" w:hAnsi="宋体"/>
          <w:bCs/>
          <w:color w:val="auto"/>
          <w:sz w:val="24"/>
          <w:highlight w:val="none"/>
        </w:rPr>
        <w:t>工作日内进行核定后按照本保函的承诺承担保证责任。</w:t>
      </w:r>
    </w:p>
    <w:p w14:paraId="64BDDF66">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四、保证责任的终止</w:t>
      </w:r>
    </w:p>
    <w:p w14:paraId="37A3A397">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0B23140B">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2．我方按照本保函向你方履行了保证责任后，自我方向你方支付款项（支付款项从我方账户划出）之日起，保证责任即终止。</w:t>
      </w:r>
    </w:p>
    <w:p w14:paraId="114AE48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3．按照法律法规的规定或出现应终止我方保证责任的其它情形的，我方在本保函项下的保证责任亦终止。</w:t>
      </w:r>
    </w:p>
    <w:p w14:paraId="6F63F45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08C0448F">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五、免责条款</w:t>
      </w:r>
    </w:p>
    <w:p w14:paraId="534B2343">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1．因你方违反主合同约定致使供应商不能履行义务的，我方不承担保证责任。</w:t>
      </w:r>
    </w:p>
    <w:p w14:paraId="674E2135">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2．依照法律法规的规定或你方与供应商的另行约定，全部或者部分免除供应商应缴纳的保证金义务的，我方亦免除相应的保证责任。</w:t>
      </w:r>
    </w:p>
    <w:p w14:paraId="04A7CFF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3．因不可抗力造成供应商不能履行供货义务的，我方不承担保证责任。</w:t>
      </w:r>
    </w:p>
    <w:p w14:paraId="6BA2272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六、争议的解决</w:t>
      </w:r>
    </w:p>
    <w:p w14:paraId="054AA59D">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因本保函发生的纠纷，由你我双方协商解决，协商不成的，通过诉讼程序解决，诉讼管辖地法院为</w:t>
      </w:r>
      <w:r>
        <w:rPr>
          <w:rFonts w:hint="eastAsia" w:ascii="宋体" w:hAnsi="宋体"/>
          <w:bCs/>
          <w:color w:val="auto"/>
          <w:sz w:val="24"/>
          <w:highlight w:val="none"/>
          <w:u w:val="single"/>
        </w:rPr>
        <w:t xml:space="preserve">        </w:t>
      </w:r>
      <w:r>
        <w:rPr>
          <w:rFonts w:hint="eastAsia" w:ascii="宋体" w:hAnsi="宋体"/>
          <w:bCs/>
          <w:color w:val="auto"/>
          <w:sz w:val="24"/>
          <w:highlight w:val="none"/>
        </w:rPr>
        <w:t>法院。</w:t>
      </w:r>
    </w:p>
    <w:p w14:paraId="20E95D48">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七、保函的生效</w:t>
      </w:r>
    </w:p>
    <w:p w14:paraId="54713D70">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本保函自我方加盖公章之日起生效。</w:t>
      </w:r>
    </w:p>
    <w:p w14:paraId="038A3B88">
      <w:pPr>
        <w:widowControl/>
        <w:tabs>
          <w:tab w:val="left" w:pos="360"/>
          <w:tab w:val="left" w:pos="960"/>
        </w:tabs>
        <w:spacing w:line="440" w:lineRule="exact"/>
        <w:jc w:val="left"/>
        <w:rPr>
          <w:rFonts w:ascii="宋体" w:hAnsi="宋体"/>
          <w:bCs/>
          <w:color w:val="auto"/>
          <w:sz w:val="24"/>
          <w:highlight w:val="none"/>
        </w:rPr>
      </w:pPr>
      <w:r>
        <w:rPr>
          <w:rFonts w:hint="eastAsia" w:ascii="宋体" w:hAnsi="宋体"/>
          <w:bCs/>
          <w:color w:val="auto"/>
          <w:sz w:val="24"/>
          <w:highlight w:val="none"/>
        </w:rPr>
        <w:t xml:space="preserve">                                 </w:t>
      </w:r>
    </w:p>
    <w:p w14:paraId="0BCDD7BC">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保证人：（公章）</w:t>
      </w:r>
    </w:p>
    <w:p w14:paraId="2BE2B002">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 xml:space="preserve">                   </w:t>
      </w:r>
    </w:p>
    <w:p w14:paraId="3B38A051">
      <w:pPr>
        <w:widowControl/>
        <w:tabs>
          <w:tab w:val="left" w:pos="360"/>
          <w:tab w:val="left" w:pos="960"/>
        </w:tabs>
        <w:spacing w:line="440" w:lineRule="exact"/>
        <w:ind w:firstLine="360"/>
        <w:jc w:val="left"/>
        <w:rPr>
          <w:rFonts w:ascii="宋体" w:hAnsi="宋体"/>
          <w:bCs/>
          <w:color w:val="auto"/>
          <w:sz w:val="24"/>
          <w:highlight w:val="none"/>
        </w:rPr>
      </w:pPr>
      <w:r>
        <w:rPr>
          <w:rFonts w:hint="eastAsia" w:ascii="宋体" w:hAnsi="宋体"/>
          <w:bCs/>
          <w:color w:val="auto"/>
          <w:sz w:val="24"/>
          <w:highlight w:val="none"/>
        </w:rPr>
        <w:t xml:space="preserve"> 年     月      日</w:t>
      </w:r>
    </w:p>
    <w:p w14:paraId="73256776">
      <w:pPr>
        <w:spacing w:line="540" w:lineRule="exact"/>
        <w:ind w:firstLine="960"/>
        <w:rPr>
          <w:rFonts w:hint="eastAsia" w:ascii="宋体" w:hAnsi="宋体" w:cs="宋体"/>
          <w:bCs/>
          <w:color w:val="auto"/>
          <w:sz w:val="24"/>
          <w:highlight w:val="none"/>
        </w:rPr>
        <w:sectPr>
          <w:footerReference r:id="rId6" w:type="first"/>
          <w:headerReference r:id="rId3" w:type="default"/>
          <w:footerReference r:id="rId4" w:type="default"/>
          <w:footerReference r:id="rId5" w:type="even"/>
          <w:pgSz w:w="11906" w:h="16838"/>
          <w:pgMar w:top="1440" w:right="1287" w:bottom="1440" w:left="1440" w:header="851" w:footer="992" w:gutter="0"/>
          <w:cols w:space="1701" w:num="1"/>
          <w:docGrid w:linePitch="360" w:charSpace="0"/>
        </w:sectPr>
      </w:pPr>
    </w:p>
    <w:p w14:paraId="45341F54">
      <w:pPr>
        <w:numPr>
          <w:ilvl w:val="0"/>
          <w:numId w:val="8"/>
        </w:numPr>
        <w:spacing w:line="540" w:lineRule="exact"/>
        <w:ind w:firstLine="880"/>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采购需求</w:t>
      </w:r>
    </w:p>
    <w:p w14:paraId="53074D20">
      <w:pPr>
        <w:spacing w:line="276"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一、</w:t>
      </w:r>
      <w:r>
        <w:rPr>
          <w:rFonts w:hint="eastAsia" w:ascii="宋体" w:hAnsi="宋体" w:eastAsia="宋体" w:cs="宋体"/>
          <w:b/>
          <w:bCs/>
          <w:color w:val="auto"/>
          <w:sz w:val="28"/>
          <w:szCs w:val="28"/>
          <w:highlight w:val="none"/>
        </w:rPr>
        <w:t>微生物鉴定质谱仪</w:t>
      </w:r>
      <w:r>
        <w:rPr>
          <w:rFonts w:hint="eastAsia" w:ascii="宋体" w:hAnsi="宋体" w:eastAsia="宋体" w:cs="宋体"/>
          <w:b/>
          <w:bCs/>
          <w:color w:val="auto"/>
          <w:sz w:val="28"/>
          <w:szCs w:val="28"/>
          <w:highlight w:val="none"/>
          <w:lang w:val="en-US" w:eastAsia="zh-CN"/>
        </w:rPr>
        <w:t xml:space="preserve"> 1台</w:t>
      </w:r>
    </w:p>
    <w:p w14:paraId="6598B16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、设备主要用途及基本要求</w:t>
      </w:r>
    </w:p>
    <w:p w14:paraId="3BBE3B1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1、质谱仪</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为桌面台式机，具备NMPA医疗器械注册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应用范围应包括对细菌、真菌的鉴定；</w:t>
      </w:r>
    </w:p>
    <w:p w14:paraId="13D7690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2、可</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不同种类的化合物</w:t>
      </w:r>
      <w:r>
        <w:rPr>
          <w:rFonts w:hint="eastAsia" w:ascii="宋体" w:hAnsi="宋体" w:eastAsia="宋体" w:cs="宋体"/>
          <w:color w:val="auto"/>
          <w:sz w:val="24"/>
          <w:szCs w:val="24"/>
          <w:highlight w:val="none"/>
          <w:lang w:val="en-US" w:eastAsia="zh-CN"/>
        </w:rPr>
        <w:t>研究</w:t>
      </w:r>
      <w:r>
        <w:rPr>
          <w:rFonts w:hint="eastAsia" w:ascii="宋体" w:hAnsi="宋体" w:eastAsia="宋体" w:cs="宋体"/>
          <w:color w:val="auto"/>
          <w:sz w:val="24"/>
          <w:szCs w:val="24"/>
          <w:highlight w:val="none"/>
        </w:rPr>
        <w:t>，包括蛋白质、核酸、脂质等样本</w:t>
      </w:r>
      <w:r>
        <w:rPr>
          <w:rFonts w:hint="eastAsia" w:ascii="宋体" w:hAnsi="宋体" w:eastAsia="宋体" w:cs="宋体"/>
          <w:color w:val="auto"/>
          <w:sz w:val="24"/>
          <w:szCs w:val="24"/>
          <w:highlight w:val="none"/>
          <w:lang w:eastAsia="zh-CN"/>
        </w:rPr>
        <w:t>。</w:t>
      </w:r>
    </w:p>
    <w:p w14:paraId="0BFD867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、技术参数要求</w:t>
      </w:r>
    </w:p>
    <w:p w14:paraId="4CFA17A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1、质谱仪硬件性能规格要求</w:t>
      </w:r>
    </w:p>
    <w:p w14:paraId="08E8D9F1">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采用</w:t>
      </w:r>
      <w:r>
        <w:rPr>
          <w:rFonts w:hint="eastAsia" w:ascii="宋体" w:hAnsi="宋体" w:eastAsia="宋体" w:cs="宋体"/>
          <w:color w:val="auto"/>
          <w:sz w:val="24"/>
          <w:szCs w:val="24"/>
          <w:highlight w:val="none"/>
        </w:rPr>
        <w:t>直线形</w:t>
      </w:r>
      <w:r>
        <w:rPr>
          <w:rFonts w:hint="eastAsia" w:ascii="宋体" w:hAnsi="宋体" w:eastAsia="宋体" w:cs="宋体"/>
          <w:strike w:val="0"/>
          <w:color w:val="auto"/>
          <w:sz w:val="24"/>
          <w:szCs w:val="24"/>
          <w:highlight w:val="none"/>
        </w:rPr>
        <w:t>不锈钢</w:t>
      </w:r>
      <w:r>
        <w:rPr>
          <w:rFonts w:hint="eastAsia" w:ascii="宋体" w:hAnsi="宋体" w:eastAsia="宋体" w:cs="宋体"/>
          <w:color w:val="auto"/>
          <w:sz w:val="24"/>
          <w:szCs w:val="24"/>
          <w:highlight w:val="none"/>
        </w:rPr>
        <w:t>飞行管，飞行管长度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1米；</w:t>
      </w:r>
    </w:p>
    <w:p w14:paraId="7FDFF784">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1.2、具备温度补偿功能，消除环境温度变化对蛋白质量检测准确度的影响</w:t>
      </w:r>
      <w:r>
        <w:rPr>
          <w:rFonts w:hint="eastAsia" w:ascii="宋体" w:hAnsi="宋体" w:cs="宋体"/>
          <w:color w:val="auto"/>
          <w:sz w:val="24"/>
          <w:szCs w:val="24"/>
          <w:highlight w:val="none"/>
          <w:lang w:eastAsia="zh-CN"/>
        </w:rPr>
        <w:t>。</w:t>
      </w:r>
    </w:p>
    <w:p w14:paraId="307BDEC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1.3、检测器：配置MCP检测器，检测</w:t>
      </w:r>
      <w:r>
        <w:rPr>
          <w:rFonts w:hint="eastAsia" w:ascii="宋体" w:hAnsi="宋体" w:eastAsia="宋体" w:cs="宋体"/>
          <w:color w:val="auto"/>
          <w:sz w:val="24"/>
          <w:szCs w:val="24"/>
          <w:highlight w:val="none"/>
          <w:lang w:val="en-US" w:eastAsia="zh-CN"/>
        </w:rPr>
        <w:t>微</w:t>
      </w:r>
      <w:r>
        <w:rPr>
          <w:rFonts w:hint="eastAsia" w:ascii="宋体" w:hAnsi="宋体" w:eastAsia="宋体" w:cs="宋体"/>
          <w:color w:val="auto"/>
          <w:sz w:val="24"/>
          <w:szCs w:val="24"/>
          <w:highlight w:val="none"/>
        </w:rPr>
        <w:t>通道数≥10万，保障高分辨率</w:t>
      </w:r>
      <w:r>
        <w:rPr>
          <w:rFonts w:hint="eastAsia" w:ascii="宋体" w:hAnsi="宋体" w:eastAsia="宋体" w:cs="宋体"/>
          <w:color w:val="auto"/>
          <w:sz w:val="24"/>
          <w:szCs w:val="24"/>
          <w:highlight w:val="none"/>
          <w:lang w:eastAsia="zh-CN"/>
        </w:rPr>
        <w:t>。</w:t>
      </w:r>
    </w:p>
    <w:p w14:paraId="7F63DB85">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1.4、激光器：配置</w:t>
      </w:r>
      <w:r>
        <w:rPr>
          <w:rFonts w:hint="eastAsia" w:ascii="宋体" w:hAnsi="宋体" w:eastAsia="宋体" w:cs="宋体"/>
          <w:color w:val="auto"/>
          <w:sz w:val="24"/>
          <w:szCs w:val="24"/>
          <w:highlight w:val="none"/>
          <w:lang w:val="en-US" w:eastAsia="zh-CN"/>
        </w:rPr>
        <w:t>长寿命固体激光器，</w:t>
      </w:r>
      <w:r>
        <w:rPr>
          <w:rFonts w:hint="eastAsia" w:ascii="宋体" w:hAnsi="宋体" w:eastAsia="宋体" w:cs="宋体"/>
          <w:color w:val="auto"/>
          <w:sz w:val="24"/>
          <w:szCs w:val="24"/>
          <w:highlight w:val="none"/>
        </w:rPr>
        <w:t>频率在 1-</w:t>
      </w:r>
      <w:r>
        <w:rPr>
          <w:rFonts w:hint="eastAsia" w:ascii="宋体" w:hAnsi="宋体" w:eastAsia="宋体" w:cs="宋体"/>
          <w:color w:val="auto"/>
          <w:sz w:val="24"/>
          <w:szCs w:val="24"/>
          <w:highlight w:val="none"/>
          <w:lang w:val="en-US" w:eastAsia="zh-CN"/>
        </w:rPr>
        <w:t>2000</w:t>
      </w:r>
      <w:r>
        <w:rPr>
          <w:rFonts w:hint="eastAsia" w:ascii="宋体" w:hAnsi="宋体" w:eastAsia="宋体" w:cs="宋体"/>
          <w:color w:val="auto"/>
          <w:sz w:val="24"/>
          <w:szCs w:val="24"/>
          <w:highlight w:val="none"/>
        </w:rPr>
        <w:t>Hz 范围内可调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波长355nm，激光发射次数≥9</w:t>
      </w:r>
      <w:r>
        <w:rPr>
          <w:rFonts w:hint="eastAsia" w:ascii="宋体" w:hAnsi="宋体" w:eastAsia="宋体" w:cs="宋体"/>
          <w:color w:val="auto"/>
          <w:sz w:val="24"/>
          <w:szCs w:val="24"/>
          <w:highlight w:val="none"/>
        </w:rPr>
        <w:t>*10</w:t>
      </w:r>
      <w:r>
        <w:rPr>
          <w:rFonts w:hint="eastAsia" w:ascii="宋体" w:hAnsi="宋体" w:eastAsia="宋体" w:cs="宋体"/>
          <w:color w:val="auto"/>
          <w:sz w:val="24"/>
          <w:szCs w:val="24"/>
          <w:highlight w:val="none"/>
          <w:vertAlign w:val="superscript"/>
          <w:lang w:val="en-US" w:eastAsia="zh-CN"/>
        </w:rPr>
        <w:t>9</w:t>
      </w:r>
      <w:r>
        <w:rPr>
          <w:rFonts w:hint="eastAsia" w:ascii="宋体" w:hAnsi="宋体" w:eastAsia="宋体" w:cs="宋体"/>
          <w:color w:val="auto"/>
          <w:sz w:val="24"/>
          <w:szCs w:val="24"/>
          <w:highlight w:val="none"/>
        </w:rPr>
        <w:t>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p>
    <w:p w14:paraId="5432E22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1.5、配备负离子检测模块，可进行脂质分析，可检测大肠杆菌脂质A m/z1796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相对</w:t>
      </w:r>
      <w:r>
        <w:rPr>
          <w:rFonts w:hint="eastAsia" w:ascii="宋体" w:hAnsi="宋体" w:eastAsia="宋体" w:cs="宋体"/>
          <w:color w:val="auto"/>
          <w:sz w:val="24"/>
          <w:szCs w:val="24"/>
          <w:highlight w:val="none"/>
          <w:lang w:val="en-US" w:eastAsia="zh-CN"/>
        </w:rPr>
        <w:t>示值</w:t>
      </w:r>
      <w:r>
        <w:rPr>
          <w:rFonts w:hint="eastAsia" w:ascii="宋体" w:hAnsi="宋体" w:eastAsia="宋体" w:cs="宋体"/>
          <w:color w:val="auto"/>
          <w:sz w:val="24"/>
          <w:szCs w:val="24"/>
          <w:highlight w:val="none"/>
        </w:rPr>
        <w:t>误差≤</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00ppm；</w:t>
      </w:r>
    </w:p>
    <w:p w14:paraId="37EAB3C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1.6、具备三脉冲高精度离子延迟引出技术，采用三脉冲搭载三电场（正/负电场和混合电场）加速离子，实现离子的延时引出，延时精度误差≤100 ps</w:t>
      </w:r>
      <w:r>
        <w:rPr>
          <w:rFonts w:hint="eastAsia" w:ascii="宋体" w:hAnsi="宋体" w:eastAsia="宋体" w:cs="宋体"/>
          <w:color w:val="auto"/>
          <w:sz w:val="24"/>
          <w:szCs w:val="24"/>
          <w:highlight w:val="none"/>
          <w:lang w:eastAsia="zh-CN"/>
        </w:rPr>
        <w:t>；</w:t>
      </w:r>
    </w:p>
    <w:p w14:paraId="6224FEB0">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1.7、前级泵应为内置无油隔膜泵，无机油污染，维护时无需添加或更换机油，提供内置无油隔膜泵安装在仪器内部的图片及中文技术说明书</w:t>
      </w:r>
      <w:r>
        <w:rPr>
          <w:rFonts w:hint="eastAsia" w:ascii="宋体" w:hAnsi="宋体" w:eastAsia="宋体" w:cs="宋体"/>
          <w:color w:val="auto"/>
          <w:sz w:val="24"/>
          <w:szCs w:val="24"/>
          <w:highlight w:val="none"/>
          <w:lang w:val="en-US" w:eastAsia="zh-CN"/>
        </w:rPr>
        <w:t>；</w:t>
      </w:r>
    </w:p>
    <w:p w14:paraId="284BEF0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、质谱仪从样品靶板放入质谱仪后到真空抽到3×10-6mbar以下所需时间＜50s；</w:t>
      </w:r>
    </w:p>
    <w:p w14:paraId="6608752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、单次进靶检测通量≥96个；</w:t>
      </w:r>
    </w:p>
    <w:p w14:paraId="6ED3CC8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2、软件系统</w:t>
      </w:r>
    </w:p>
    <w:p w14:paraId="28F85F87">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能通过智能算法，对系统进行大样本量训练，构建微生物鉴定区分模型，进行李斯特复合群鉴定</w:t>
      </w:r>
      <w:r>
        <w:rPr>
          <w:rFonts w:hint="eastAsia" w:ascii="宋体" w:hAnsi="宋体" w:eastAsia="宋体" w:cs="宋体"/>
          <w:color w:val="auto"/>
          <w:sz w:val="24"/>
          <w:szCs w:val="24"/>
          <w:highlight w:val="none"/>
          <w:lang w:eastAsia="zh-CN"/>
        </w:rPr>
        <w:t>。</w:t>
      </w:r>
    </w:p>
    <w:p w14:paraId="2C2FF39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数据库</w:t>
      </w:r>
    </w:p>
    <w:p w14:paraId="6DAF596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lang w:val="en-US" w:eastAsia="zh-CN"/>
        </w:rPr>
        <w:t>蛋白指纹图谱数据库：</w:t>
      </w:r>
      <w:r>
        <w:rPr>
          <w:rFonts w:hint="eastAsia" w:ascii="宋体" w:hAnsi="宋体" w:eastAsia="宋体" w:cs="宋体"/>
          <w:color w:val="auto"/>
          <w:sz w:val="24"/>
          <w:szCs w:val="24"/>
          <w:highlight w:val="none"/>
        </w:rPr>
        <w:t>必须具备本地微生物菌种数据库，鉴定菌种 5000 种以上,包括苛氧菌、厌氧菌、分枝杆菌等传统方法难以鉴定的疑难菌种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数据库终身免费升级，一年更新＞2次；</w:t>
      </w:r>
    </w:p>
    <w:p w14:paraId="5C7DE6BC">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、丝状真菌数据库＞500种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菌种鉴定属正确率大于95%。</w:t>
      </w:r>
    </w:p>
    <w:p w14:paraId="4CBFD505">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3.2、具备微生物亲缘关系智能分析功能，在报告鉴定结果的同时，能够自动生成直观的圆形聚类图，展示不同菌株间的遗传距离；</w:t>
      </w:r>
    </w:p>
    <w:p w14:paraId="5C3BD6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4、检测性能 </w:t>
      </w:r>
    </w:p>
    <w:p w14:paraId="1E29967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4.1、鉴定质量范围：1-500kDa；</w:t>
      </w:r>
    </w:p>
    <w:p w14:paraId="769B30B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4.2、质量分辨率（线性模式）：&gt;5000(FWHM)@ Angiotensin；</w:t>
      </w:r>
    </w:p>
    <w:p w14:paraId="60A3B65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4.3、鉴定灵敏度：1 fmol/uL 人纤维蛋白肽B（信噪比≥10∶1）；100fmol/uL 牛血清白蛋白（信噪比≥50 : 1）；</w:t>
      </w:r>
    </w:p>
    <w:p w14:paraId="4B485F6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4.4、质量准确度：≤ 150 ppm (外校准) 质量准确度：≤100ppm （内校准）</w:t>
      </w:r>
      <w:r>
        <w:rPr>
          <w:rFonts w:hint="eastAsia" w:ascii="宋体" w:hAnsi="宋体" w:eastAsia="宋体" w:cs="宋体"/>
          <w:color w:val="auto"/>
          <w:sz w:val="24"/>
          <w:szCs w:val="24"/>
          <w:highlight w:val="none"/>
          <w:lang w:eastAsia="zh-CN"/>
        </w:rPr>
        <w:t>；</w:t>
      </w:r>
    </w:p>
    <w:p w14:paraId="7743EF1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、配置清单</w:t>
      </w:r>
    </w:p>
    <w:p w14:paraId="683F7F1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1、微生物鉴定质谱系统主机：1 台；</w:t>
      </w:r>
    </w:p>
    <w:p w14:paraId="6DB70F46">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配套</w:t>
      </w:r>
      <w:r>
        <w:rPr>
          <w:rFonts w:hint="eastAsia" w:ascii="宋体" w:hAnsi="宋体" w:eastAsia="宋体" w:cs="宋体"/>
          <w:color w:val="auto"/>
          <w:sz w:val="24"/>
          <w:szCs w:val="24"/>
          <w:highlight w:val="none"/>
        </w:rPr>
        <w:t>工作站：</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Windows10以上操作系统，3.0GHzCPU四核处理器，16GB，1TB硬盘</w:t>
      </w:r>
      <w:r>
        <w:rPr>
          <w:rFonts w:hint="eastAsia" w:ascii="宋体" w:hAnsi="宋体" w:eastAsia="宋体" w:cs="宋体"/>
          <w:color w:val="auto"/>
          <w:sz w:val="24"/>
          <w:szCs w:val="24"/>
          <w:highlight w:val="none"/>
          <w:lang w:eastAsia="zh-CN"/>
        </w:rPr>
        <w:t>。</w:t>
      </w:r>
    </w:p>
    <w:p w14:paraId="1009F808">
      <w:pPr>
        <w:numPr>
          <w:ilvl w:val="0"/>
          <w:numId w:val="0"/>
        </w:numPr>
        <w:rPr>
          <w:rFonts w:hint="eastAsia" w:ascii="宋体" w:hAnsi="宋体" w:eastAsia="宋体" w:cs="宋体"/>
          <w:b/>
          <w:bCs w:val="0"/>
          <w:color w:val="auto"/>
          <w:sz w:val="24"/>
          <w:szCs w:val="24"/>
          <w:highlight w:val="none"/>
          <w:lang w:val="en-US" w:eastAsia="zh-CN"/>
        </w:rPr>
      </w:pPr>
    </w:p>
    <w:p w14:paraId="41E8F08E">
      <w:pPr>
        <w:spacing w:line="276"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二、</w:t>
      </w:r>
      <w:r>
        <w:rPr>
          <w:rFonts w:hint="eastAsia" w:ascii="宋体" w:hAnsi="宋体" w:eastAsia="宋体" w:cs="宋体"/>
          <w:b/>
          <w:bCs/>
          <w:color w:val="auto"/>
          <w:sz w:val="28"/>
          <w:szCs w:val="28"/>
          <w:highlight w:val="none"/>
        </w:rPr>
        <w:t>箱式电阻炉（马弗炉）</w:t>
      </w:r>
      <w:r>
        <w:rPr>
          <w:rFonts w:hint="eastAsia" w:ascii="宋体" w:hAnsi="宋体" w:eastAsia="宋体" w:cs="宋体"/>
          <w:b/>
          <w:bCs/>
          <w:color w:val="auto"/>
          <w:sz w:val="28"/>
          <w:szCs w:val="28"/>
          <w:highlight w:val="none"/>
          <w:lang w:val="en-US" w:eastAsia="zh-CN"/>
        </w:rPr>
        <w:t xml:space="preserve"> 1台</w:t>
      </w:r>
    </w:p>
    <w:p w14:paraId="36505BB4">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最高温度</w:t>
      </w:r>
      <w:r>
        <w:rPr>
          <w:rFonts w:hint="eastAsia" w:ascii="宋体" w:hAnsi="宋体" w:eastAsia="宋体" w:cs="宋体"/>
          <w:color w:val="auto"/>
          <w:sz w:val="24"/>
          <w:szCs w:val="24"/>
          <w:highlight w:val="none"/>
          <w:lang w:eastAsia="zh-CN"/>
        </w:rPr>
        <w:t>达到</w:t>
      </w:r>
      <w:r>
        <w:rPr>
          <w:rFonts w:hint="eastAsia" w:ascii="宋体" w:hAnsi="宋体" w:eastAsia="宋体" w:cs="宋体"/>
          <w:color w:val="auto"/>
          <w:sz w:val="24"/>
          <w:szCs w:val="24"/>
          <w:highlight w:val="none"/>
        </w:rPr>
        <w:t>1100 ℃，工作温度</w:t>
      </w:r>
      <w:r>
        <w:rPr>
          <w:rFonts w:hint="eastAsia" w:ascii="宋体" w:hAnsi="宋体" w:eastAsia="宋体" w:cs="宋体"/>
          <w:color w:val="auto"/>
          <w:sz w:val="24"/>
          <w:szCs w:val="24"/>
          <w:highlight w:val="none"/>
          <w:lang w:eastAsia="zh-CN"/>
        </w:rPr>
        <w:t>达到</w:t>
      </w:r>
      <w:r>
        <w:rPr>
          <w:rFonts w:hint="eastAsia" w:ascii="宋体" w:hAnsi="宋体" w:eastAsia="宋体" w:cs="宋体"/>
          <w:color w:val="auto"/>
          <w:sz w:val="24"/>
          <w:szCs w:val="24"/>
          <w:highlight w:val="none"/>
        </w:rPr>
        <w:t>1050 ℃</w:t>
      </w:r>
    </w:p>
    <w:p w14:paraId="1708BE5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两面加热，加热元件置于石英管内</w:t>
      </w:r>
    </w:p>
    <w:p w14:paraId="5BE9690E">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加热元件和保温材料易于更换</w:t>
      </w:r>
    </w:p>
    <w:p w14:paraId="6902930F">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双层</w:t>
      </w:r>
      <w:r>
        <w:rPr>
          <w:rFonts w:hint="eastAsia" w:ascii="宋体" w:hAnsi="宋体" w:eastAsia="宋体" w:cs="宋体"/>
          <w:color w:val="auto"/>
          <w:sz w:val="24"/>
          <w:szCs w:val="24"/>
          <w:highlight w:val="none"/>
          <w:lang w:val="en-US" w:eastAsia="zh-CN"/>
        </w:rPr>
        <w:t>不锈钢</w:t>
      </w:r>
      <w:r>
        <w:rPr>
          <w:rFonts w:hint="eastAsia" w:ascii="宋体" w:hAnsi="宋体" w:eastAsia="宋体" w:cs="宋体"/>
          <w:color w:val="auto"/>
          <w:sz w:val="24"/>
          <w:szCs w:val="24"/>
          <w:highlight w:val="none"/>
        </w:rPr>
        <w:t>炉壳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结构稳定，降低外壳温度</w:t>
      </w:r>
    </w:p>
    <w:p w14:paraId="030020CD">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外开式炉门可用于工件摆放</w:t>
      </w:r>
    </w:p>
    <w:p w14:paraId="15FA4FF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炉后壁设有排气口</w:t>
      </w:r>
    </w:p>
    <w:p w14:paraId="0089A30C">
      <w:pPr>
        <w:numPr>
          <w:ilvl w:val="0"/>
          <w:numId w:val="0"/>
        </w:num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加热运行噪音低，带固态继电器</w:t>
      </w:r>
    </w:p>
    <w:p w14:paraId="4F37B704">
      <w:pPr>
        <w:numPr>
          <w:ilvl w:val="0"/>
          <w:numId w:val="0"/>
        </w:numPr>
        <w:ind w:firstLine="480"/>
        <w:rPr>
          <w:rFonts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8、设备安装空间的尺寸深≤550mm，高≤800mm</w:t>
      </w:r>
    </w:p>
    <w:p w14:paraId="61180335">
      <w:pPr>
        <w:numPr>
          <w:ilvl w:val="0"/>
          <w:numId w:val="0"/>
        </w:numPr>
        <w:ind w:firstLine="480"/>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9</w:t>
      </w:r>
      <w:r>
        <w:rPr>
          <w:rFonts w:hint="eastAsia" w:ascii="宋体" w:hAnsi="宋体" w:eastAsia="宋体" w:cs="宋体"/>
          <w:color w:val="auto"/>
          <w:sz w:val="24"/>
          <w:szCs w:val="24"/>
          <w:highlight w:val="none"/>
          <w:lang w:val="en-US" w:eastAsia="zh-CN" w:bidi="ar"/>
        </w:rPr>
        <w:t>、容积:≥14升</w:t>
      </w:r>
    </w:p>
    <w:p w14:paraId="43A4079A">
      <w:pPr>
        <w:numPr>
          <w:ilvl w:val="0"/>
          <w:numId w:val="0"/>
        </w:numPr>
        <w:ind w:firstLine="480"/>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w:t>
      </w:r>
      <w:r>
        <w:rPr>
          <w:rFonts w:hint="eastAsia" w:ascii="宋体" w:hAnsi="宋体" w:cs="宋体"/>
          <w:color w:val="auto"/>
          <w:sz w:val="24"/>
          <w:szCs w:val="24"/>
          <w:highlight w:val="none"/>
          <w:lang w:val="en-US" w:eastAsia="zh-CN" w:bidi="ar"/>
        </w:rPr>
        <w:t>0</w:t>
      </w:r>
      <w:r>
        <w:rPr>
          <w:rFonts w:hint="eastAsia" w:ascii="宋体" w:hAnsi="宋体" w:eastAsia="宋体" w:cs="宋体"/>
          <w:color w:val="auto"/>
          <w:sz w:val="24"/>
          <w:szCs w:val="24"/>
          <w:highlight w:val="none"/>
          <w:lang w:val="en-US" w:eastAsia="zh-CN" w:bidi="ar"/>
        </w:rPr>
        <w:t>、</w:t>
      </w:r>
      <w:r>
        <w:rPr>
          <w:rFonts w:hint="eastAsia" w:ascii="宋体" w:hAnsi="宋体" w:eastAsia="宋体" w:cs="宋体"/>
          <w:color w:val="auto"/>
          <w:sz w:val="24"/>
          <w:szCs w:val="24"/>
          <w:highlight w:val="none"/>
          <w:lang w:bidi="ar"/>
        </w:rPr>
        <w:t>连接功率</w:t>
      </w:r>
      <w:r>
        <w:rPr>
          <w:rFonts w:hint="eastAsia" w:ascii="宋体" w:hAnsi="宋体" w:eastAsia="宋体" w:cs="宋体"/>
          <w:color w:val="auto"/>
          <w:sz w:val="24"/>
          <w:szCs w:val="24"/>
          <w:highlight w:val="none"/>
          <w:lang w:eastAsia="zh-CN" w:bidi="ar"/>
        </w:rPr>
        <w:t>：</w:t>
      </w:r>
      <w:r>
        <w:rPr>
          <w:rFonts w:hint="eastAsia" w:ascii="宋体" w:hAnsi="宋体" w:cs="宋体"/>
          <w:color w:val="auto"/>
          <w:sz w:val="24"/>
          <w:szCs w:val="24"/>
          <w:highlight w:val="none"/>
          <w:lang w:val="en-US" w:eastAsia="zh-CN" w:bidi="ar"/>
        </w:rPr>
        <w:t>≤</w:t>
      </w:r>
      <w:r>
        <w:rPr>
          <w:rFonts w:hint="eastAsia" w:ascii="宋体" w:hAnsi="宋体" w:eastAsia="宋体" w:cs="宋体"/>
          <w:color w:val="auto"/>
          <w:sz w:val="24"/>
          <w:szCs w:val="24"/>
          <w:highlight w:val="none"/>
          <w:lang w:val="en-US" w:eastAsia="zh-CN" w:bidi="ar"/>
        </w:rPr>
        <w:t>3.2千瓦</w:t>
      </w:r>
    </w:p>
    <w:p w14:paraId="758EEFF5">
      <w:pPr>
        <w:numPr>
          <w:ilvl w:val="0"/>
          <w:numId w:val="0"/>
        </w:numPr>
        <w:ind w:firstLine="480"/>
        <w:rPr>
          <w:rFonts w:hint="eastAsia" w:ascii="宋体" w:hAnsi="宋体" w:eastAsia="宋体" w:cs="宋体"/>
          <w:color w:val="auto"/>
          <w:sz w:val="24"/>
          <w:szCs w:val="24"/>
          <w:highlight w:val="none"/>
          <w:lang w:val="en-US" w:eastAsia="zh-CN" w:bidi="ar"/>
        </w:rPr>
      </w:pPr>
    </w:p>
    <w:p w14:paraId="51498040">
      <w:pPr>
        <w:numPr>
          <w:ilvl w:val="0"/>
          <w:numId w:val="0"/>
        </w:numPr>
        <w:spacing w:line="276"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三、</w:t>
      </w:r>
      <w:r>
        <w:rPr>
          <w:rFonts w:hint="eastAsia" w:ascii="宋体" w:hAnsi="宋体" w:eastAsia="宋体" w:cs="宋体"/>
          <w:b/>
          <w:bCs/>
          <w:color w:val="auto"/>
          <w:sz w:val="28"/>
          <w:szCs w:val="28"/>
          <w:highlight w:val="none"/>
        </w:rPr>
        <w:t>单道可调移液器（0.5-10微升）</w:t>
      </w:r>
      <w:r>
        <w:rPr>
          <w:rFonts w:hint="eastAsia" w:ascii="宋体" w:hAnsi="宋体" w:eastAsia="宋体" w:cs="宋体"/>
          <w:b/>
          <w:bCs/>
          <w:color w:val="auto"/>
          <w:sz w:val="28"/>
          <w:szCs w:val="28"/>
          <w:highlight w:val="none"/>
          <w:lang w:val="en-US" w:eastAsia="zh-CN"/>
        </w:rPr>
        <w:t xml:space="preserve"> 1台</w:t>
      </w:r>
    </w:p>
    <w:p w14:paraId="1F384D2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可整支高温高压灭菌和紫外线灭菌，操作更安全</w:t>
      </w:r>
    </w:p>
    <w:p w14:paraId="4A6DD0E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人体工程学设计，显著减少手、手臂和肩膀用力，避免手部重复性劳损（RSI）</w:t>
      </w:r>
    </w:p>
    <w:p w14:paraId="3218DF49">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下半支可徒手拆卸，便于清洁保养</w:t>
      </w:r>
    </w:p>
    <w:p w14:paraId="27A02FE0">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伸缩式弹性吸嘴设计，确保吸头装配的气密性和移液均一性</w:t>
      </w:r>
    </w:p>
    <w:p w14:paraId="7176ABA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四位数字放大体积显示，可精准设置移液体积</w:t>
      </w:r>
    </w:p>
    <w:p w14:paraId="7AE2400B">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体积视窗位置合理（在前面），便于移液观察，可单手设定体积及操作</w:t>
      </w:r>
    </w:p>
    <w:p w14:paraId="4837CD7D">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独有密度调节窗口，适用于不同密度的液体 ，通用性更广泛  </w:t>
      </w:r>
    </w:p>
    <w:p w14:paraId="4C37A93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7、可选择量程</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μL－</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 xml:space="preserve">μL </w:t>
      </w:r>
    </w:p>
    <w:p w14:paraId="4325C793">
      <w:pPr>
        <w:numPr>
          <w:ilvl w:val="0"/>
          <w:numId w:val="0"/>
        </w:numPr>
        <w:spacing w:line="276" w:lineRule="auto"/>
        <w:rPr>
          <w:rFonts w:hint="eastAsia" w:ascii="宋体" w:hAnsi="宋体" w:eastAsia="宋体" w:cs="宋体"/>
          <w:b/>
          <w:bCs/>
          <w:color w:val="auto"/>
          <w:sz w:val="28"/>
          <w:szCs w:val="28"/>
          <w:highlight w:val="none"/>
          <w:lang w:val="en-US" w:eastAsia="zh-CN"/>
        </w:rPr>
      </w:pPr>
    </w:p>
    <w:p w14:paraId="71F19625">
      <w:pPr>
        <w:numPr>
          <w:ilvl w:val="0"/>
          <w:numId w:val="0"/>
        </w:numPr>
        <w:spacing w:line="276"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四、</w:t>
      </w:r>
      <w:r>
        <w:rPr>
          <w:rFonts w:hint="eastAsia" w:ascii="宋体" w:hAnsi="宋体" w:eastAsia="宋体" w:cs="宋体"/>
          <w:b/>
          <w:bCs/>
          <w:color w:val="auto"/>
          <w:sz w:val="28"/>
          <w:szCs w:val="28"/>
          <w:highlight w:val="none"/>
          <w:lang w:val="en-US" w:eastAsia="zh-CN"/>
        </w:rPr>
        <w:t>单道可调移液器（2-20微升）2台</w:t>
      </w:r>
    </w:p>
    <w:p w14:paraId="4832A20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可整支高温高压灭菌和紫外线灭菌，操作更安全</w:t>
      </w:r>
    </w:p>
    <w:p w14:paraId="3BDCBB14">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人体工程学设计，显著减少手、手臂和肩膀用力，避免手部重复性劳损（RSI）</w:t>
      </w:r>
    </w:p>
    <w:p w14:paraId="03DF96FD">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下半支可徒手拆卸，便于清洁保养</w:t>
      </w:r>
    </w:p>
    <w:p w14:paraId="314D79C5">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伸缩式弹性吸嘴设计，确保吸头装配的气密性和移液均一性</w:t>
      </w:r>
    </w:p>
    <w:p w14:paraId="0E87B040">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四位数字放大体积显示，可精准设置移液体积</w:t>
      </w:r>
    </w:p>
    <w:p w14:paraId="2CEEEEF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体积视窗位置合理（在前面），便于移液观察，可单手设定体积及操作</w:t>
      </w:r>
    </w:p>
    <w:p w14:paraId="3740A598">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独有密度调节窗口，适用于不同密度的液体 ，通用性更广泛  </w:t>
      </w:r>
    </w:p>
    <w:p w14:paraId="0528FBC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7、可选择量程2</w:t>
      </w:r>
      <w:r>
        <w:rPr>
          <w:rFonts w:hint="eastAsia" w:ascii="宋体" w:hAnsi="宋体" w:eastAsia="宋体" w:cs="宋体"/>
          <w:color w:val="auto"/>
          <w:sz w:val="24"/>
          <w:szCs w:val="24"/>
          <w:highlight w:val="none"/>
        </w:rPr>
        <w:t>μL－</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0μL </w:t>
      </w:r>
    </w:p>
    <w:p w14:paraId="04650F15">
      <w:pPr>
        <w:numPr>
          <w:ilvl w:val="0"/>
          <w:numId w:val="0"/>
        </w:numPr>
        <w:spacing w:line="276" w:lineRule="auto"/>
        <w:rPr>
          <w:rFonts w:hint="eastAsia" w:ascii="宋体" w:hAnsi="宋体" w:eastAsia="宋体" w:cs="宋体"/>
          <w:b/>
          <w:bCs/>
          <w:color w:val="auto"/>
          <w:sz w:val="28"/>
          <w:szCs w:val="28"/>
          <w:highlight w:val="none"/>
          <w:lang w:val="en-US" w:eastAsia="zh-CN" w:bidi="ar-SA"/>
        </w:rPr>
      </w:pPr>
    </w:p>
    <w:p w14:paraId="6F79AE21">
      <w:pPr>
        <w:numPr>
          <w:ilvl w:val="0"/>
          <w:numId w:val="0"/>
        </w:numPr>
        <w:spacing w:line="276"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五、</w:t>
      </w:r>
      <w:r>
        <w:rPr>
          <w:rFonts w:hint="eastAsia" w:ascii="宋体" w:hAnsi="宋体" w:eastAsia="宋体" w:cs="宋体"/>
          <w:b/>
          <w:bCs/>
          <w:color w:val="auto"/>
          <w:sz w:val="28"/>
          <w:szCs w:val="28"/>
          <w:highlight w:val="none"/>
          <w:lang w:val="en-US" w:eastAsia="zh-CN"/>
        </w:rPr>
        <w:t>单道可调移液器（10-100微升）2台</w:t>
      </w:r>
    </w:p>
    <w:p w14:paraId="265ED22A">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可整支高温高压灭菌和紫外线灭菌，操作更安全</w:t>
      </w:r>
    </w:p>
    <w:p w14:paraId="7AC4021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人体工程学设计，显著减少手、手臂和肩膀用力，避免手部重复性劳损（RSI）</w:t>
      </w:r>
    </w:p>
    <w:p w14:paraId="642390FB">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下半支可徒手拆卸，便于清洁保养</w:t>
      </w:r>
    </w:p>
    <w:p w14:paraId="201111E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伸缩式弹性吸嘴设计，确保吸头装配的气密性和移液均一性</w:t>
      </w:r>
    </w:p>
    <w:p w14:paraId="4737D3A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四位数字放大体积显示，可精准设置移液体积</w:t>
      </w:r>
    </w:p>
    <w:p w14:paraId="0D79C8CA">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体积视窗位置合理（在前面），便于移液观察，可单手设定体积及操作</w:t>
      </w:r>
    </w:p>
    <w:p w14:paraId="355C214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独有密度调节窗口，适用于不同密度的液体 ，通用性更广泛  </w:t>
      </w:r>
    </w:p>
    <w:p w14:paraId="3C42EF1B">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7、可选择量程10</w:t>
      </w:r>
      <w:r>
        <w:rPr>
          <w:rFonts w:hint="eastAsia" w:ascii="宋体" w:hAnsi="宋体" w:eastAsia="宋体" w:cs="宋体"/>
          <w:color w:val="auto"/>
          <w:sz w:val="24"/>
          <w:szCs w:val="24"/>
          <w:highlight w:val="none"/>
        </w:rPr>
        <w:t>μL－</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0μL</w:t>
      </w:r>
    </w:p>
    <w:p w14:paraId="57556094">
      <w:pPr>
        <w:numPr>
          <w:ilvl w:val="0"/>
          <w:numId w:val="0"/>
        </w:numPr>
        <w:spacing w:line="276" w:lineRule="auto"/>
        <w:rPr>
          <w:rFonts w:hint="eastAsia" w:ascii="宋体" w:hAnsi="宋体" w:eastAsia="宋体" w:cs="宋体"/>
          <w:b/>
          <w:bCs/>
          <w:color w:val="auto"/>
          <w:sz w:val="28"/>
          <w:szCs w:val="28"/>
          <w:highlight w:val="none"/>
          <w:lang w:val="en-US" w:eastAsia="zh-CN"/>
        </w:rPr>
      </w:pPr>
    </w:p>
    <w:p w14:paraId="3BF4DEE8">
      <w:pPr>
        <w:numPr>
          <w:ilvl w:val="0"/>
          <w:numId w:val="0"/>
        </w:numPr>
        <w:spacing w:line="276"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六、</w:t>
      </w:r>
      <w:r>
        <w:rPr>
          <w:rFonts w:hint="eastAsia" w:ascii="宋体" w:hAnsi="宋体" w:eastAsia="宋体" w:cs="宋体"/>
          <w:b/>
          <w:bCs/>
          <w:color w:val="auto"/>
          <w:sz w:val="28"/>
          <w:szCs w:val="28"/>
          <w:highlight w:val="none"/>
          <w:lang w:val="en-US" w:eastAsia="zh-CN"/>
        </w:rPr>
        <w:t>单道可调移液器（20-200微升）3台</w:t>
      </w:r>
    </w:p>
    <w:p w14:paraId="295FF95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可整支高温高压灭菌和紫外线灭菌，操作更安全</w:t>
      </w:r>
    </w:p>
    <w:p w14:paraId="49E8A5E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人体工程学设计，显著减少手、手臂和肩膀用力，避免手部重复性劳损（RSI）</w:t>
      </w:r>
    </w:p>
    <w:p w14:paraId="2C2736A8">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下半支可徒手拆卸，便于清洁保养</w:t>
      </w:r>
    </w:p>
    <w:p w14:paraId="57909FD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伸缩式弹性吸嘴设计，确保吸头装配的气密性和移液均一性</w:t>
      </w:r>
    </w:p>
    <w:p w14:paraId="6A18840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四位数字放大体积显示，可精准设置移液体积</w:t>
      </w:r>
    </w:p>
    <w:p w14:paraId="2142237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体积视窗位置合理（在前面），便于移液观察，可单手设定体积及操作</w:t>
      </w:r>
    </w:p>
    <w:p w14:paraId="48495C7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独有密度调节窗口，适用于不同密度的液体 ，通用性更广泛  </w:t>
      </w:r>
    </w:p>
    <w:p w14:paraId="24C4418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7、可选择量程20</w:t>
      </w:r>
      <w:r>
        <w:rPr>
          <w:rFonts w:hint="eastAsia" w:ascii="宋体" w:hAnsi="宋体" w:eastAsia="宋体" w:cs="宋体"/>
          <w:color w:val="auto"/>
          <w:sz w:val="24"/>
          <w:szCs w:val="24"/>
          <w:highlight w:val="none"/>
        </w:rPr>
        <w:t>μL－</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0μL</w:t>
      </w:r>
    </w:p>
    <w:p w14:paraId="6F7443B3">
      <w:pPr>
        <w:numPr>
          <w:ilvl w:val="0"/>
          <w:numId w:val="0"/>
        </w:numPr>
        <w:spacing w:line="276"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七、单道可调移液器（100-1000微升）8台</w:t>
      </w:r>
    </w:p>
    <w:p w14:paraId="281CCF5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可整支高温高压灭菌和紫外线灭菌，操作更安全</w:t>
      </w:r>
    </w:p>
    <w:p w14:paraId="019815B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人体工程学设计，显著减少手、手臂和肩膀用力，避免手部重复性劳损（RSI）</w:t>
      </w:r>
    </w:p>
    <w:p w14:paraId="38A7C97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下半支可徒手拆卸，便于清洁保养</w:t>
      </w:r>
    </w:p>
    <w:p w14:paraId="4E3E29F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伸缩式弹性吸嘴设计，确保吸头装配的气密性和移液均一性</w:t>
      </w:r>
    </w:p>
    <w:p w14:paraId="1EA37FB8">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四位数字放大体积显示，可精准设置移液体积</w:t>
      </w:r>
    </w:p>
    <w:p w14:paraId="738FEEFA">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体积视窗位置合理（在前面），便于移液观察，可单手设定体积及操作</w:t>
      </w:r>
    </w:p>
    <w:p w14:paraId="66FDAE3A">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独有密度调节窗口，适用于不同密度的液体 ，通用性更广泛  </w:t>
      </w:r>
    </w:p>
    <w:p w14:paraId="4C0233B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7、可选择量程100</w:t>
      </w:r>
      <w:r>
        <w:rPr>
          <w:rFonts w:hint="eastAsia" w:ascii="宋体" w:hAnsi="宋体" w:eastAsia="宋体" w:cs="宋体"/>
          <w:color w:val="auto"/>
          <w:sz w:val="24"/>
          <w:szCs w:val="24"/>
          <w:highlight w:val="none"/>
        </w:rPr>
        <w:t>μL－</w:t>
      </w:r>
      <w:r>
        <w:rPr>
          <w:rFonts w:hint="eastAsia" w:ascii="宋体" w:hAnsi="宋体" w:eastAsia="宋体" w:cs="宋体"/>
          <w:color w:val="auto"/>
          <w:sz w:val="24"/>
          <w:szCs w:val="24"/>
          <w:highlight w:val="none"/>
          <w:lang w:val="en-US" w:eastAsia="zh-CN"/>
        </w:rPr>
        <w:t>100</w:t>
      </w:r>
      <w:r>
        <w:rPr>
          <w:rFonts w:hint="eastAsia" w:ascii="宋体" w:hAnsi="宋体" w:eastAsia="宋体" w:cs="宋体"/>
          <w:color w:val="auto"/>
          <w:sz w:val="24"/>
          <w:szCs w:val="24"/>
          <w:highlight w:val="none"/>
        </w:rPr>
        <w:t>0μL</w:t>
      </w:r>
    </w:p>
    <w:p w14:paraId="3B97E86B">
      <w:pPr>
        <w:spacing w:line="276" w:lineRule="auto"/>
        <w:rPr>
          <w:rFonts w:hint="eastAsia" w:ascii="宋体" w:hAnsi="宋体" w:eastAsia="宋体" w:cs="宋体"/>
          <w:b/>
          <w:bCs/>
          <w:color w:val="auto"/>
          <w:sz w:val="28"/>
          <w:szCs w:val="28"/>
          <w:highlight w:val="none"/>
          <w:lang w:val="en-US" w:eastAsia="zh-CN"/>
        </w:rPr>
      </w:pPr>
    </w:p>
    <w:p w14:paraId="7381FA04">
      <w:pPr>
        <w:spacing w:line="276"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8通道可调移液器（0.5-10微升）</w:t>
      </w:r>
      <w:r>
        <w:rPr>
          <w:rFonts w:hint="eastAsia" w:ascii="宋体" w:hAnsi="宋体" w:eastAsia="宋体" w:cs="宋体"/>
          <w:b/>
          <w:bCs/>
          <w:color w:val="auto"/>
          <w:sz w:val="28"/>
          <w:szCs w:val="28"/>
          <w:highlight w:val="none"/>
          <w:lang w:val="en-US" w:eastAsia="zh-CN"/>
        </w:rPr>
        <w:t xml:space="preserve"> 1台</w:t>
      </w:r>
    </w:p>
    <w:p w14:paraId="2F19B5C9">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可选择量程</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μL－10μ</w:t>
      </w:r>
      <w:r>
        <w:rPr>
          <w:rFonts w:hint="eastAsia" w:ascii="宋体" w:hAnsi="宋体" w:eastAsia="宋体" w:cs="宋体"/>
          <w:color w:val="auto"/>
          <w:sz w:val="24"/>
          <w:szCs w:val="24"/>
          <w:highlight w:val="none"/>
          <w:lang w:val="en-US" w:eastAsia="zh-CN"/>
        </w:rPr>
        <w:t>L</w:t>
      </w:r>
      <w:r>
        <w:rPr>
          <w:rFonts w:hint="eastAsia" w:ascii="宋体" w:hAnsi="宋体" w:eastAsia="宋体" w:cs="宋体"/>
          <w:color w:val="auto"/>
          <w:sz w:val="24"/>
          <w:szCs w:val="24"/>
          <w:highlight w:val="none"/>
        </w:rPr>
        <w:t>；</w:t>
      </w:r>
    </w:p>
    <w:p w14:paraId="60CD359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可整支高温高压灭菌和紫外线灭菌，操作更安全；</w:t>
      </w:r>
    </w:p>
    <w:p w14:paraId="1298C00E">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3、人体工程学设计，显著减少手、手臂和肩膀用力，避免手部重复性劳损；</w:t>
      </w:r>
    </w:p>
    <w:p w14:paraId="08CAC610">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4、下半支可徒手拆卸，便于清洁保养；</w:t>
      </w:r>
    </w:p>
    <w:p w14:paraId="0DCBBEE0">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5、伸缩式弹性吸嘴设计，确保吸头装配的气密性和移液均一性；</w:t>
      </w:r>
    </w:p>
    <w:p w14:paraId="5DACF9B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6、四位数字放大体积显示，可精准设置移液体积；</w:t>
      </w:r>
    </w:p>
    <w:p w14:paraId="3190CEE9">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7、体积视窗位置合理（在前面），便于移液观察，可单手设定体积及操作；</w:t>
      </w:r>
    </w:p>
    <w:p w14:paraId="36CFE2C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8、有密度调节窗口，适用于不同密度的液体 ，通用性更广泛；</w:t>
      </w:r>
    </w:p>
    <w:p w14:paraId="50857763">
      <w:pPr>
        <w:ind w:firstLine="480"/>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9</w:t>
      </w:r>
      <w:r>
        <w:rPr>
          <w:rFonts w:hint="eastAsia" w:ascii="宋体" w:hAnsi="宋体" w:eastAsia="宋体" w:cs="宋体"/>
          <w:color w:val="auto"/>
          <w:sz w:val="24"/>
          <w:szCs w:val="24"/>
          <w:highlight w:val="none"/>
        </w:rPr>
        <w:t>、颜色标识移液器量程；</w:t>
      </w:r>
    </w:p>
    <w:p w14:paraId="7D0E0CAC">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0</w:t>
      </w:r>
      <w:r>
        <w:rPr>
          <w:rFonts w:hint="eastAsia" w:ascii="宋体" w:hAnsi="宋体" w:eastAsia="宋体" w:cs="宋体"/>
          <w:color w:val="auto"/>
          <w:sz w:val="24"/>
          <w:szCs w:val="24"/>
          <w:highlight w:val="none"/>
        </w:rPr>
        <w:t>、多道移液器具备可拆卸的单独通道设计，确保移液精准性，节省维修成本；</w:t>
      </w:r>
    </w:p>
    <w:p w14:paraId="03FC8BD9">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、多道移液器数字通道标识，保持同一方向移液以确保移液的均一性和精准性。</w:t>
      </w:r>
    </w:p>
    <w:p w14:paraId="346F9A1A">
      <w:pPr>
        <w:spacing w:line="276" w:lineRule="auto"/>
        <w:rPr>
          <w:rFonts w:hint="eastAsia" w:ascii="宋体" w:hAnsi="宋体" w:eastAsia="宋体" w:cs="宋体"/>
          <w:b/>
          <w:bCs/>
          <w:color w:val="auto"/>
          <w:sz w:val="28"/>
          <w:szCs w:val="28"/>
          <w:highlight w:val="none"/>
          <w:lang w:val="en-US" w:eastAsia="zh-CN"/>
        </w:rPr>
      </w:pPr>
    </w:p>
    <w:p w14:paraId="4597FD7A">
      <w:pPr>
        <w:spacing w:line="276"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color w:val="auto"/>
          <w:sz w:val="28"/>
          <w:szCs w:val="28"/>
          <w:highlight w:val="none"/>
          <w:lang w:val="en-US" w:eastAsia="zh-CN"/>
        </w:rPr>
        <w:t>九、8通道可调移液器（10-100微升）1台</w:t>
      </w:r>
    </w:p>
    <w:p w14:paraId="729B80C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可选择量程10</w:t>
      </w:r>
      <w:r>
        <w:rPr>
          <w:rFonts w:hint="eastAsia" w:ascii="宋体" w:hAnsi="宋体" w:eastAsia="宋体" w:cs="宋体"/>
          <w:color w:val="auto"/>
          <w:sz w:val="24"/>
          <w:szCs w:val="24"/>
          <w:highlight w:val="none"/>
        </w:rPr>
        <w:t>μL－10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μ</w:t>
      </w:r>
      <w:r>
        <w:rPr>
          <w:rFonts w:hint="eastAsia" w:ascii="宋体" w:hAnsi="宋体" w:eastAsia="宋体" w:cs="宋体"/>
          <w:color w:val="auto"/>
          <w:sz w:val="24"/>
          <w:szCs w:val="24"/>
          <w:highlight w:val="none"/>
          <w:lang w:val="en-US" w:eastAsia="zh-CN"/>
        </w:rPr>
        <w:t>L</w:t>
      </w:r>
      <w:r>
        <w:rPr>
          <w:rFonts w:hint="eastAsia" w:ascii="宋体" w:hAnsi="宋体" w:eastAsia="宋体" w:cs="宋体"/>
          <w:color w:val="auto"/>
          <w:sz w:val="24"/>
          <w:szCs w:val="24"/>
          <w:highlight w:val="none"/>
        </w:rPr>
        <w:t>；</w:t>
      </w:r>
    </w:p>
    <w:p w14:paraId="084F0214">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可整支高温高压灭菌和紫外线灭菌，操作更安全；</w:t>
      </w:r>
    </w:p>
    <w:p w14:paraId="229B19C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3、人体工程学设计，显著减少手、手臂和肩膀用力，避免手部重复性劳损；</w:t>
      </w:r>
    </w:p>
    <w:p w14:paraId="4A9B3CA8">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4、下半支可徒手拆卸，便于清洁保养；</w:t>
      </w:r>
    </w:p>
    <w:p w14:paraId="7B100CD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5、伸缩式弹性吸嘴设计，确保吸头装配的气密性和移液均一性；</w:t>
      </w:r>
    </w:p>
    <w:p w14:paraId="096E018B">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6、四位数字放大体积显示，可精准设置移液体积；</w:t>
      </w:r>
    </w:p>
    <w:p w14:paraId="08FC16C0">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7、体积视窗位置合理（在前面），便于移液观察，可单手设定体积及操作；</w:t>
      </w:r>
    </w:p>
    <w:p w14:paraId="464CA4C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8、有密度调节窗口，适用于不同密度的液体 ，通用性更广泛；</w:t>
      </w:r>
    </w:p>
    <w:p w14:paraId="268EFC00">
      <w:pPr>
        <w:ind w:firstLine="480"/>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9</w:t>
      </w:r>
      <w:r>
        <w:rPr>
          <w:rFonts w:hint="eastAsia" w:ascii="宋体" w:hAnsi="宋体" w:eastAsia="宋体" w:cs="宋体"/>
          <w:color w:val="auto"/>
          <w:sz w:val="24"/>
          <w:szCs w:val="24"/>
          <w:highlight w:val="none"/>
        </w:rPr>
        <w:t>、颜色标识移液器量程；</w:t>
      </w:r>
    </w:p>
    <w:p w14:paraId="401522F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0</w:t>
      </w:r>
      <w:r>
        <w:rPr>
          <w:rFonts w:hint="eastAsia" w:ascii="宋体" w:hAnsi="宋体" w:eastAsia="宋体" w:cs="宋体"/>
          <w:color w:val="auto"/>
          <w:sz w:val="24"/>
          <w:szCs w:val="24"/>
          <w:highlight w:val="none"/>
        </w:rPr>
        <w:t>、多道移液器具备可拆卸的单独通道设计，确保移液精准性，节省维修成本；</w:t>
      </w:r>
    </w:p>
    <w:p w14:paraId="2534C09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1</w:t>
      </w:r>
      <w:r>
        <w:rPr>
          <w:rFonts w:hint="eastAsia" w:ascii="宋体" w:hAnsi="宋体" w:eastAsia="宋体" w:cs="宋体"/>
          <w:color w:val="auto"/>
          <w:sz w:val="24"/>
          <w:szCs w:val="24"/>
          <w:highlight w:val="none"/>
        </w:rPr>
        <w:t>、多道移液器数字通道标识，保持同一方向移液以确保移液的均一性和精准性。</w:t>
      </w:r>
    </w:p>
    <w:p w14:paraId="0DCDAA2C">
      <w:pPr>
        <w:spacing w:line="276" w:lineRule="auto"/>
        <w:rPr>
          <w:rFonts w:hint="eastAsia" w:ascii="宋体" w:hAnsi="宋体" w:eastAsia="宋体" w:cs="宋体"/>
          <w:b/>
          <w:bCs/>
          <w:color w:val="auto"/>
          <w:sz w:val="28"/>
          <w:szCs w:val="28"/>
          <w:highlight w:val="none"/>
          <w:lang w:eastAsia="zh-CN"/>
        </w:rPr>
      </w:pPr>
    </w:p>
    <w:p w14:paraId="263041BE">
      <w:pPr>
        <w:spacing w:line="276"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十、</w:t>
      </w:r>
      <w:r>
        <w:rPr>
          <w:rFonts w:hint="eastAsia" w:ascii="宋体" w:hAnsi="宋体" w:eastAsia="宋体" w:cs="宋体"/>
          <w:b/>
          <w:bCs/>
          <w:color w:val="auto"/>
          <w:sz w:val="28"/>
          <w:szCs w:val="28"/>
          <w:highlight w:val="none"/>
        </w:rPr>
        <w:t>余氯等多参数便携式比色计</w:t>
      </w:r>
      <w:r>
        <w:rPr>
          <w:rFonts w:hint="eastAsia" w:ascii="宋体" w:hAnsi="宋体" w:eastAsia="宋体" w:cs="宋体"/>
          <w:b/>
          <w:bCs/>
          <w:color w:val="auto"/>
          <w:sz w:val="28"/>
          <w:szCs w:val="28"/>
          <w:highlight w:val="none"/>
          <w:lang w:val="en-US" w:eastAsia="zh-CN"/>
        </w:rPr>
        <w:t>1台</w:t>
      </w:r>
    </w:p>
    <w:p w14:paraId="2BE846FD">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1、用途</w:t>
      </w:r>
    </w:p>
    <w:p w14:paraId="4EC59BFF">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具有自动选择测试方法等功能，可用于市政污水、自来水、饮用水、环境监测、锅炉水、冷却水、水处理、工业过程监测、教育、农业等领域的水质分析。</w:t>
      </w:r>
    </w:p>
    <w:p w14:paraId="67453B7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2、工作条件</w:t>
      </w:r>
    </w:p>
    <w:p w14:paraId="63CB9098">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电源：电池</w:t>
      </w:r>
    </w:p>
    <w:p w14:paraId="63120C2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温度：0~50</w:t>
      </w:r>
      <w:r>
        <w:rPr>
          <w:rFonts w:ascii="Symbol" w:hAnsi="Symbol" w:eastAsia="Symbol" w:cs="Symbol"/>
          <w:color w:val="auto"/>
          <w:sz w:val="24"/>
          <w:szCs w:val="24"/>
          <w:highlight w:val="none"/>
        </w:rPr>
        <w:t>°</w:t>
      </w:r>
      <w:r>
        <w:rPr>
          <w:rFonts w:hint="eastAsia" w:ascii="宋体" w:hAnsi="宋体" w:eastAsia="宋体" w:cs="宋体"/>
          <w:color w:val="auto"/>
          <w:sz w:val="24"/>
          <w:szCs w:val="24"/>
          <w:highlight w:val="none"/>
        </w:rPr>
        <w:t>C</w:t>
      </w:r>
    </w:p>
    <w:p w14:paraId="567AFB9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湿度：相对湿度</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90%，非冷凝</w:t>
      </w:r>
    </w:p>
    <w:p w14:paraId="13AB9DFF">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3、技术性能指标</w:t>
      </w:r>
    </w:p>
    <w:p w14:paraId="77C04C39">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 </w:t>
      </w:r>
      <w:r>
        <w:rPr>
          <w:rFonts w:hint="eastAsia" w:ascii="宋体" w:hAnsi="宋体" w:eastAsia="宋体" w:cs="宋体"/>
          <w:color w:val="auto"/>
          <w:sz w:val="24"/>
          <w:szCs w:val="24"/>
          <w:highlight w:val="none"/>
        </w:rPr>
        <w:t>读数模式：浓度(mg/L等)、吸光度（Abs）、透过率（%）</w:t>
      </w:r>
    </w:p>
    <w:p w14:paraId="0DD2ED5E">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rPr>
        <w:t>已存储校准曲线：</w:t>
      </w:r>
      <w:r>
        <w:rPr>
          <w:rFonts w:hint="eastAsia" w:ascii="宋体" w:hAnsi="宋体" w:cs="宋体"/>
          <w:color w:val="auto"/>
          <w:sz w:val="24"/>
          <w:szCs w:val="24"/>
          <w:highlight w:val="none"/>
          <w:lang w:val="en-US" w:eastAsia="zh-CN"/>
        </w:rPr>
        <w:t>不少于</w:t>
      </w:r>
      <w:r>
        <w:rPr>
          <w:rFonts w:hint="eastAsia" w:ascii="宋体" w:hAnsi="宋体" w:eastAsia="宋体" w:cs="宋体"/>
          <w:color w:val="auto"/>
          <w:sz w:val="24"/>
          <w:szCs w:val="24"/>
          <w:highlight w:val="none"/>
        </w:rPr>
        <w:t>90条，可直接用于COD、氨氮、总磷、总氮重要水质参数分析</w:t>
      </w:r>
    </w:p>
    <w:p w14:paraId="512BFDD6">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 </w:t>
      </w:r>
      <w:r>
        <w:rPr>
          <w:rFonts w:hint="eastAsia" w:ascii="宋体" w:hAnsi="宋体" w:eastAsia="宋体" w:cs="宋体"/>
          <w:color w:val="auto"/>
          <w:sz w:val="24"/>
          <w:szCs w:val="24"/>
          <w:highlight w:val="none"/>
        </w:rPr>
        <w:t>自建曲线：</w:t>
      </w:r>
      <w:r>
        <w:rPr>
          <w:rFonts w:hint="eastAsia" w:ascii="宋体" w:hAnsi="宋体" w:eastAsia="宋体" w:cs="宋体"/>
          <w:color w:val="auto"/>
          <w:sz w:val="24"/>
          <w:szCs w:val="24"/>
          <w:highlight w:val="none"/>
          <w:lang w:eastAsia="zh-CN"/>
        </w:rPr>
        <w:t>不少于</w:t>
      </w:r>
      <w:r>
        <w:rPr>
          <w:rFonts w:hint="eastAsia" w:ascii="宋体" w:hAnsi="宋体" w:eastAsia="宋体" w:cs="宋体"/>
          <w:color w:val="auto"/>
          <w:sz w:val="24"/>
          <w:szCs w:val="24"/>
          <w:highlight w:val="none"/>
        </w:rPr>
        <w:t>10条</w:t>
      </w:r>
    </w:p>
    <w:p w14:paraId="7B510802">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 </w:t>
      </w:r>
      <w:r>
        <w:rPr>
          <w:rFonts w:hint="eastAsia" w:ascii="宋体" w:hAnsi="宋体" w:cs="宋体"/>
          <w:color w:val="auto"/>
          <w:sz w:val="24"/>
          <w:szCs w:val="24"/>
          <w:highlight w:val="none"/>
          <w:lang w:val="en-US" w:eastAsia="zh-CN"/>
        </w:rPr>
        <w:t>至少包含以下</w:t>
      </w:r>
      <w:r>
        <w:rPr>
          <w:rFonts w:hint="eastAsia" w:ascii="宋体" w:hAnsi="宋体" w:eastAsia="宋体" w:cs="宋体"/>
          <w:color w:val="auto"/>
          <w:sz w:val="24"/>
          <w:szCs w:val="24"/>
          <w:highlight w:val="none"/>
        </w:rPr>
        <w:t>波长范围：420nm，520nm，560nm，610nm</w:t>
      </w:r>
    </w:p>
    <w:p w14:paraId="333CB021">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3.5 </w:t>
      </w:r>
      <w:r>
        <w:rPr>
          <w:rFonts w:hint="eastAsia" w:ascii="宋体" w:hAnsi="宋体" w:eastAsia="宋体" w:cs="宋体"/>
          <w:color w:val="auto"/>
          <w:sz w:val="24"/>
          <w:szCs w:val="24"/>
          <w:highlight w:val="none"/>
        </w:rPr>
        <w:t>波长准确度：</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±1 nm</w:t>
      </w:r>
    </w:p>
    <w:p w14:paraId="1C2B6DC5">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 </w:t>
      </w:r>
      <w:r>
        <w:rPr>
          <w:rFonts w:hint="eastAsia" w:ascii="宋体" w:hAnsi="宋体" w:eastAsia="宋体" w:cs="宋体"/>
          <w:color w:val="auto"/>
          <w:sz w:val="24"/>
          <w:szCs w:val="24"/>
          <w:highlight w:val="none"/>
        </w:rPr>
        <w:t>波长选择：基于测试方法的自动选择</w:t>
      </w:r>
    </w:p>
    <w:p w14:paraId="0AB6866D">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 </w:t>
      </w:r>
      <w:r>
        <w:rPr>
          <w:rFonts w:hint="eastAsia" w:ascii="宋体" w:hAnsi="宋体" w:eastAsia="宋体" w:cs="宋体"/>
          <w:color w:val="auto"/>
          <w:sz w:val="24"/>
          <w:szCs w:val="24"/>
          <w:highlight w:val="none"/>
        </w:rPr>
        <w:t>光度测量范围：0~2 A</w:t>
      </w:r>
    </w:p>
    <w:p w14:paraId="14508193">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3.8 </w:t>
      </w:r>
      <w:r>
        <w:rPr>
          <w:rFonts w:hint="eastAsia" w:ascii="宋体" w:hAnsi="宋体" w:eastAsia="宋体" w:cs="宋体"/>
          <w:color w:val="auto"/>
          <w:sz w:val="24"/>
          <w:szCs w:val="24"/>
          <w:highlight w:val="none"/>
        </w:rPr>
        <w:t>光度测量线性：</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±0.002 A（0~1 A）</w:t>
      </w:r>
    </w:p>
    <w:p w14:paraId="745105B4">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 </w:t>
      </w:r>
      <w:r>
        <w:rPr>
          <w:rFonts w:hint="eastAsia" w:ascii="宋体" w:hAnsi="宋体" w:eastAsia="宋体" w:cs="宋体"/>
          <w:color w:val="auto"/>
          <w:sz w:val="24"/>
          <w:szCs w:val="24"/>
          <w:highlight w:val="none"/>
        </w:rPr>
        <w:t>光度测量重复性：</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±0.002 A（0~1 A）</w:t>
      </w:r>
    </w:p>
    <w:p w14:paraId="6F55F0CE">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3.10 </w:t>
      </w:r>
      <w:r>
        <w:rPr>
          <w:rFonts w:hint="eastAsia" w:ascii="宋体" w:hAnsi="宋体" w:eastAsia="宋体" w:cs="宋体"/>
          <w:color w:val="auto"/>
          <w:sz w:val="24"/>
          <w:szCs w:val="24"/>
          <w:highlight w:val="none"/>
        </w:rPr>
        <w:t>光度测量准确度：</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±0.005 A（1.0Abs时）</w:t>
      </w:r>
    </w:p>
    <w:p w14:paraId="2BE89529">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3.11 </w:t>
      </w:r>
      <w:r>
        <w:rPr>
          <w:rFonts w:hint="eastAsia" w:ascii="宋体" w:hAnsi="宋体" w:eastAsia="宋体" w:cs="宋体"/>
          <w:color w:val="auto"/>
          <w:sz w:val="24"/>
          <w:szCs w:val="24"/>
          <w:highlight w:val="none"/>
        </w:rPr>
        <w:t>光源：发光二极管（LED）</w:t>
      </w:r>
    </w:p>
    <w:p w14:paraId="1BD33387">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3.12 </w:t>
      </w:r>
      <w:r>
        <w:rPr>
          <w:rFonts w:hint="eastAsia" w:ascii="宋体" w:hAnsi="宋体" w:eastAsia="宋体" w:cs="宋体"/>
          <w:color w:val="auto"/>
          <w:sz w:val="24"/>
          <w:szCs w:val="24"/>
          <w:highlight w:val="none"/>
        </w:rPr>
        <w:t>检测器：硅光电二极管</w:t>
      </w:r>
    </w:p>
    <w:p w14:paraId="2FFDAA7D">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3.13 </w:t>
      </w:r>
      <w:r>
        <w:rPr>
          <w:rFonts w:hint="eastAsia" w:ascii="宋体" w:hAnsi="宋体" w:eastAsia="宋体" w:cs="宋体"/>
          <w:color w:val="auto"/>
          <w:sz w:val="24"/>
          <w:szCs w:val="24"/>
          <w:highlight w:val="none"/>
        </w:rPr>
        <w:t>数据存储：</w:t>
      </w:r>
      <w:r>
        <w:rPr>
          <w:rFonts w:hint="eastAsia" w:ascii="宋体" w:hAnsi="宋体" w:eastAsia="宋体" w:cs="宋体"/>
          <w:color w:val="auto"/>
          <w:sz w:val="24"/>
          <w:szCs w:val="24"/>
          <w:highlight w:val="none"/>
          <w:lang w:eastAsia="zh-CN"/>
        </w:rPr>
        <w:t>不少于</w:t>
      </w:r>
      <w:r>
        <w:rPr>
          <w:rFonts w:hint="eastAsia" w:ascii="宋体" w:hAnsi="宋体" w:eastAsia="宋体" w:cs="宋体"/>
          <w:color w:val="auto"/>
          <w:sz w:val="24"/>
          <w:szCs w:val="24"/>
          <w:highlight w:val="none"/>
        </w:rPr>
        <w:t>500条，自动存储</w:t>
      </w:r>
    </w:p>
    <w:p w14:paraId="7EB4420A">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 </w:t>
      </w:r>
      <w:r>
        <w:rPr>
          <w:rFonts w:hint="eastAsia" w:ascii="宋体" w:hAnsi="宋体" w:eastAsia="宋体" w:cs="宋体"/>
          <w:color w:val="auto"/>
          <w:sz w:val="24"/>
          <w:szCs w:val="24"/>
          <w:highlight w:val="none"/>
        </w:rPr>
        <w:t>接口：mini USB接口</w:t>
      </w:r>
    </w:p>
    <w:p w14:paraId="5487F530">
      <w:pPr>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 </w:t>
      </w:r>
      <w:r>
        <w:rPr>
          <w:rFonts w:hint="eastAsia" w:ascii="宋体" w:hAnsi="宋体" w:eastAsia="宋体" w:cs="宋体"/>
          <w:color w:val="auto"/>
          <w:sz w:val="24"/>
          <w:szCs w:val="24"/>
          <w:highlight w:val="none"/>
        </w:rPr>
        <w:t>防护等级：不低于IP67</w:t>
      </w:r>
    </w:p>
    <w:p w14:paraId="1F9C2522">
      <w:pPr>
        <w:spacing w:line="276" w:lineRule="auto"/>
        <w:rPr>
          <w:rFonts w:hint="eastAsia" w:ascii="宋体" w:hAnsi="宋体" w:eastAsia="宋体" w:cs="宋体"/>
          <w:b/>
          <w:bCs/>
          <w:color w:val="auto"/>
          <w:sz w:val="28"/>
          <w:szCs w:val="28"/>
          <w:highlight w:val="none"/>
          <w:lang w:eastAsia="zh-CN"/>
        </w:rPr>
      </w:pPr>
    </w:p>
    <w:p w14:paraId="3B8AC9C0">
      <w:pPr>
        <w:spacing w:line="276"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十一、</w:t>
      </w:r>
      <w:r>
        <w:rPr>
          <w:rFonts w:hint="eastAsia" w:ascii="宋体" w:hAnsi="宋体" w:eastAsia="宋体" w:cs="宋体"/>
          <w:b/>
          <w:bCs/>
          <w:color w:val="auto"/>
          <w:sz w:val="28"/>
          <w:szCs w:val="28"/>
          <w:highlight w:val="none"/>
        </w:rPr>
        <w:t>双路粉尘采样器（5-40L/min）</w:t>
      </w:r>
      <w:r>
        <w:rPr>
          <w:rFonts w:hint="eastAsia" w:ascii="宋体" w:hAnsi="宋体" w:eastAsia="宋体" w:cs="宋体"/>
          <w:b/>
          <w:bCs/>
          <w:color w:val="auto"/>
          <w:sz w:val="28"/>
          <w:szCs w:val="28"/>
          <w:highlight w:val="none"/>
          <w:lang w:val="en-US" w:eastAsia="zh-CN"/>
        </w:rPr>
        <w:t>4台</w:t>
      </w:r>
    </w:p>
    <w:p w14:paraId="73BE4647">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1.流量范围：</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35</w:t>
      </w:r>
      <w:r>
        <w:rPr>
          <w:rFonts w:hint="eastAsia" w:ascii="宋体" w:hAnsi="宋体" w:cs="宋体"/>
          <w:color w:val="auto"/>
          <w:sz w:val="24"/>
          <w:highlight w:val="none"/>
        </w:rPr>
        <w:t>L/min</w:t>
      </w:r>
    </w:p>
    <w:p w14:paraId="3AE7C67A">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2.流量分辨率：</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0.01L/min</w:t>
      </w:r>
    </w:p>
    <w:p w14:paraId="1A489035">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流量准确度：流量误差±3%以内</w:t>
      </w:r>
    </w:p>
    <w:p w14:paraId="5DF71476">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 xml:space="preserve">工作续航：双路同时续航时间：≥8小时  </w:t>
      </w:r>
    </w:p>
    <w:p w14:paraId="4495F2B0">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充电时长：≤4小时</w:t>
      </w:r>
    </w:p>
    <w:p w14:paraId="05299CEC">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数据存储：具有历史记录、故障记录功能，存储数据每个通道不小于5000组，支持U盘导出采样记录</w:t>
      </w:r>
    </w:p>
    <w:p w14:paraId="62CED163">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数字恒流：无刷真空泵机，采用闭环控制技术，流量随负载变化而自动调节以达到流量采样，不受电压波动和阻力变化影响流量等。</w:t>
      </w:r>
    </w:p>
    <w:p w14:paraId="0F318E09">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8</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校准权限及方式：开放式校准模式适配任何流量校准仪</w:t>
      </w:r>
    </w:p>
    <w:p w14:paraId="6F3C0346">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9</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断电续采：具有断电关机后，机器开机可继续上次采样功能</w:t>
      </w:r>
    </w:p>
    <w:p w14:paraId="0F7CFEE3">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10</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温度测量：内置温度传感器，检测环境温度，并实时显示</w:t>
      </w:r>
    </w:p>
    <w:p w14:paraId="21784AE4">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气压测量：内置气压传感器，检测环境气压，并实时显示</w:t>
      </w:r>
    </w:p>
    <w:p w14:paraId="161016AD">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体积换算：依据内置温度、气压传感器，自动进行标态体积换算</w:t>
      </w:r>
    </w:p>
    <w:p w14:paraId="532E27FB">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异常检测：具有异常、故障监测功能，包括负载压力异常、低电量警告等；</w:t>
      </w:r>
    </w:p>
    <w:p w14:paraId="0DB41A5C">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流量超差检测：具有检测流量超差后自动暂停功能</w:t>
      </w:r>
    </w:p>
    <w:p w14:paraId="79BFA7DD">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15</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负载能力：≥20Kpa</w:t>
      </w:r>
    </w:p>
    <w:p w14:paraId="5BB91E00">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16</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屏幕及操作：采用触摸屏操作方式，两个通道，可独立控制</w:t>
      </w:r>
    </w:p>
    <w:p w14:paraId="26B34305">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17</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采样模式：手动/定时/定容/循环定时/循环定容</w:t>
      </w:r>
    </w:p>
    <w:p w14:paraId="58E9D6AA">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18</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多重防护：整机具有过压、过流、过热等自保护及普通应用场所下防爆功能；</w:t>
      </w:r>
    </w:p>
    <w:p w14:paraId="586691A8">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lang w:val="en-US" w:eastAsia="zh-CN"/>
        </w:rPr>
        <w:t>19.</w:t>
      </w:r>
      <w:r>
        <w:rPr>
          <w:rFonts w:hint="eastAsia" w:ascii="宋体" w:hAnsi="宋体" w:cs="宋体"/>
          <w:color w:val="auto"/>
          <w:sz w:val="24"/>
          <w:highlight w:val="none"/>
        </w:rPr>
        <w:t>操作权限：具有锁屏功能，防止无关人员误操作</w:t>
      </w:r>
    </w:p>
    <w:p w14:paraId="49D48D26">
      <w:pPr>
        <w:keepNext w:val="0"/>
        <w:keepLines w:val="0"/>
        <w:pageBreakBefore w:val="0"/>
        <w:widowControl w:val="0"/>
        <w:ind w:firstLine="480"/>
        <w:rPr>
          <w:rFonts w:ascii="等线" w:hAnsi="等线" w:eastAsia="等线"/>
          <w:color w:val="auto"/>
          <w:sz w:val="24"/>
          <w:highlight w:val="none"/>
        </w:rPr>
      </w:pPr>
      <w:r>
        <w:rPr>
          <w:rFonts w:hint="eastAsia" w:ascii="宋体" w:hAnsi="宋体" w:cs="宋体"/>
          <w:color w:val="auto"/>
          <w:sz w:val="24"/>
          <w:highlight w:val="none"/>
          <w:lang w:val="en-US" w:eastAsia="zh-CN"/>
        </w:rPr>
        <w:t>20.</w:t>
      </w:r>
      <w:r>
        <w:rPr>
          <w:rFonts w:hint="eastAsia" w:ascii="宋体" w:hAnsi="宋体" w:cs="宋体"/>
          <w:color w:val="auto"/>
          <w:sz w:val="24"/>
          <w:highlight w:val="none"/>
        </w:rPr>
        <w:t>气密性检测具有气路的密闭性检测功能，便于使用前对设备和连接件整个采样系统是否漏气进行检测</w:t>
      </w:r>
    </w:p>
    <w:p w14:paraId="66F5BAAA">
      <w:pPr>
        <w:spacing w:line="276" w:lineRule="auto"/>
        <w:rPr>
          <w:rFonts w:hint="eastAsia" w:ascii="宋体" w:hAnsi="宋体" w:eastAsia="宋体" w:cs="宋体"/>
          <w:b/>
          <w:bCs/>
          <w:color w:val="auto"/>
          <w:sz w:val="28"/>
          <w:szCs w:val="28"/>
          <w:highlight w:val="none"/>
          <w:lang w:eastAsia="zh-CN"/>
        </w:rPr>
      </w:pPr>
    </w:p>
    <w:p w14:paraId="3994D831">
      <w:pPr>
        <w:spacing w:line="276"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十二、</w:t>
      </w:r>
      <w:r>
        <w:rPr>
          <w:rFonts w:hint="eastAsia" w:ascii="宋体" w:hAnsi="宋体" w:eastAsia="宋体" w:cs="宋体"/>
          <w:b/>
          <w:bCs/>
          <w:color w:val="auto"/>
          <w:sz w:val="28"/>
          <w:szCs w:val="28"/>
          <w:highlight w:val="none"/>
        </w:rPr>
        <w:t>双路大气采样器（300-6000ml/min）</w:t>
      </w:r>
      <w:r>
        <w:rPr>
          <w:rFonts w:hint="eastAsia" w:ascii="宋体" w:hAnsi="宋体" w:eastAsia="宋体" w:cs="宋体"/>
          <w:b/>
          <w:bCs/>
          <w:color w:val="auto"/>
          <w:sz w:val="28"/>
          <w:szCs w:val="28"/>
          <w:highlight w:val="none"/>
          <w:lang w:val="en-US" w:eastAsia="zh-CN"/>
        </w:rPr>
        <w:t>4台</w:t>
      </w:r>
    </w:p>
    <w:p w14:paraId="6ED9AFAF">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1.采样流量：300-</w:t>
      </w:r>
      <w:r>
        <w:rPr>
          <w:rFonts w:hint="eastAsia" w:ascii="宋体" w:hAnsi="宋体" w:cs="宋体"/>
          <w:color w:val="auto"/>
          <w:sz w:val="24"/>
          <w:highlight w:val="none"/>
          <w:lang w:val="en-US" w:eastAsia="zh-CN"/>
        </w:rPr>
        <w:t>5500</w:t>
      </w:r>
      <w:r>
        <w:rPr>
          <w:rFonts w:hint="eastAsia" w:ascii="宋体" w:hAnsi="宋体" w:cs="宋体"/>
          <w:color w:val="auto"/>
          <w:sz w:val="24"/>
          <w:highlight w:val="none"/>
        </w:rPr>
        <w:t>ml/min；分辨率：</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1ml/min；</w:t>
      </w:r>
    </w:p>
    <w:p w14:paraId="17CBA7D2">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2.流量误差5%以内，出厂流量范围在3%以内</w:t>
      </w:r>
    </w:p>
    <w:p w14:paraId="0A5ACF58">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3.交互方式：按键形式</w:t>
      </w:r>
    </w:p>
    <w:p w14:paraId="05E56076">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4.运行模式：手动/定时/定容模式</w:t>
      </w:r>
    </w:p>
    <w:p w14:paraId="7DBD30EE">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5.双路同时续航时间：≥15小时；</w:t>
      </w:r>
    </w:p>
    <w:p w14:paraId="17D66EB7">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6.充电时间：≤4小时；</w:t>
      </w:r>
    </w:p>
    <w:p w14:paraId="30AEEED3">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7.运行界面显示内容:实时流量/采样模式/设定流量/设定时间（体积）/采样时长/采样体积/采样进度/环境温度/环境大气压/负载压力/计前温度等</w:t>
      </w:r>
    </w:p>
    <w:p w14:paraId="1AC37775">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8.校准方式：内置单点校准和自动校准双模式，支持保存历史校准记录</w:t>
      </w:r>
    </w:p>
    <w:p w14:paraId="644F3134">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9.数据储存：具有事件记录功能，存储数据不小于10000组；</w:t>
      </w:r>
    </w:p>
    <w:p w14:paraId="051E6BBF">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10.内置温度传感器：温度范围-55℃~+125℃；</w:t>
      </w:r>
    </w:p>
    <w:p w14:paraId="7721B336">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11.内置大气压传感器:大气压范围30kPa~110kPa；</w:t>
      </w:r>
    </w:p>
    <w:p w14:paraId="43017591">
      <w:pPr>
        <w:keepNext w:val="0"/>
        <w:keepLines w:val="0"/>
        <w:pageBreakBefore w:val="0"/>
        <w:widowControl w:val="0"/>
        <w:ind w:firstLine="480"/>
        <w:jc w:val="left"/>
        <w:rPr>
          <w:rFonts w:ascii="宋体" w:hAnsi="宋体" w:cs="宋体"/>
          <w:color w:val="auto"/>
          <w:sz w:val="24"/>
          <w:highlight w:val="none"/>
        </w:rPr>
      </w:pPr>
      <w:r>
        <w:rPr>
          <w:rFonts w:hint="eastAsia" w:ascii="宋体" w:hAnsi="宋体" w:cs="宋体"/>
          <w:color w:val="auto"/>
          <w:sz w:val="24"/>
          <w:highlight w:val="none"/>
        </w:rPr>
        <w:t>12.内置负载压力传感器:负载压力范围-40kPa~0kPa；</w:t>
      </w:r>
    </w:p>
    <w:p w14:paraId="1E569813">
      <w:pPr>
        <w:keepNext w:val="0"/>
        <w:keepLines w:val="0"/>
        <w:pageBreakBefore w:val="0"/>
        <w:widowControl w:val="0"/>
        <w:numPr>
          <w:ilvl w:val="0"/>
          <w:numId w:val="0"/>
        </w:numPr>
        <w:ind w:firstLine="480"/>
        <w:jc w:val="left"/>
        <w:rPr>
          <w:rFonts w:hint="eastAsia" w:ascii="宋体" w:hAnsi="宋体" w:cs="宋体"/>
          <w:color w:val="auto"/>
          <w:sz w:val="24"/>
          <w:highlight w:val="none"/>
        </w:rPr>
      </w:pPr>
      <w:r>
        <w:rPr>
          <w:rFonts w:hint="eastAsia" w:ascii="宋体" w:hAnsi="宋体" w:cs="宋体"/>
          <w:color w:val="auto"/>
          <w:sz w:val="24"/>
          <w:highlight w:val="none"/>
        </w:rPr>
        <w:t>13.支持设备自检:开机自检内部传感器、功能模块及气密性检测</w:t>
      </w:r>
    </w:p>
    <w:p w14:paraId="66A2DA04">
      <w:pPr>
        <w:numPr>
          <w:ilvl w:val="0"/>
          <w:numId w:val="0"/>
        </w:numPr>
        <w:jc w:val="left"/>
        <w:rPr>
          <w:rFonts w:hint="eastAsia" w:ascii="宋体" w:hAnsi="宋体" w:cs="宋体"/>
          <w:color w:val="auto"/>
          <w:sz w:val="24"/>
          <w:highlight w:val="none"/>
        </w:rPr>
      </w:pPr>
    </w:p>
    <w:p w14:paraId="0F728370">
      <w:pPr>
        <w:spacing w:line="276" w:lineRule="auto"/>
        <w:rPr>
          <w:rFonts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eastAsia="zh-CN"/>
        </w:rPr>
        <w:t>十三、</w:t>
      </w:r>
      <w:r>
        <w:rPr>
          <w:rFonts w:hint="eastAsia" w:ascii="宋体" w:hAnsi="宋体" w:eastAsia="宋体" w:cs="宋体"/>
          <w:b/>
          <w:bCs/>
          <w:color w:val="auto"/>
          <w:sz w:val="28"/>
          <w:szCs w:val="28"/>
          <w:highlight w:val="none"/>
          <w:lang w:val="en-US" w:eastAsia="zh-CN"/>
        </w:rPr>
        <w:t>水质便携检测仪1台</w:t>
      </w:r>
    </w:p>
    <w:p w14:paraId="1860600A">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1、测定误差：≤±5%</w:t>
      </w:r>
    </w:p>
    <w:p w14:paraId="4F311F88">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2、重复性误差：≤±3%</w:t>
      </w:r>
    </w:p>
    <w:p w14:paraId="1E1691AD">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3、波长精准度：≤±1nm</w:t>
      </w:r>
    </w:p>
    <w:p w14:paraId="3C3F7ABF">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4、光学稳定性：≤±0.001A/20分钟（10万⼩时寿命）</w:t>
      </w:r>
    </w:p>
    <w:p w14:paraId="06F1DB8F">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5、比色方式：双比色检测系统支持（16mm；25mm比色管）</w:t>
      </w:r>
    </w:p>
    <w:p w14:paraId="1792115A">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6、波长选择：根据测定项目自动选择</w:t>
      </w:r>
    </w:p>
    <w:p w14:paraId="15280458">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7、波长校准：自动校准</w:t>
      </w:r>
    </w:p>
    <w:p w14:paraId="482A4CF8">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8、检测光源：进口固态冷光源</w:t>
      </w:r>
    </w:p>
    <w:p w14:paraId="032977ED">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9、数据显示：浓度、透过率（%）、吸光度（A）</w:t>
      </w:r>
    </w:p>
    <w:p w14:paraId="2D699EA9">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10、操作系统：水质智能检测系统</w:t>
      </w:r>
    </w:p>
    <w:p w14:paraId="3FA2B0DE">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11、数据传输：Type-C、wifi、蓝牙</w:t>
      </w:r>
    </w:p>
    <w:p w14:paraId="3EC1D7CA">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12、数据打印：蓝牙打印机</w:t>
      </w:r>
    </w:p>
    <w:p w14:paraId="5928D5E5">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13、数据处理：</w:t>
      </w:r>
      <w:r>
        <w:rPr>
          <w:rFonts w:hint="eastAsia" w:ascii="宋体" w:hAnsi="宋体" w:cs="宋体"/>
          <w:color w:val="auto"/>
          <w:sz w:val="24"/>
          <w:szCs w:val="24"/>
          <w:highlight w:val="none"/>
          <w:lang w:val="en-US" w:eastAsia="zh-CN"/>
        </w:rPr>
        <w:t>不少于</w:t>
      </w:r>
      <w:r>
        <w:rPr>
          <w:rFonts w:hint="eastAsia" w:ascii="宋体" w:hAnsi="宋体" w:eastAsia="宋体" w:cs="宋体"/>
          <w:color w:val="auto"/>
          <w:sz w:val="24"/>
          <w:szCs w:val="24"/>
          <w:highlight w:val="none"/>
        </w:rPr>
        <w:t>5万条数据、200条曲线（含自拓展）</w:t>
      </w:r>
    </w:p>
    <w:p w14:paraId="491FA608">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14、显示屏：</w:t>
      </w:r>
      <w:r>
        <w:rPr>
          <w:rFonts w:hint="eastAsia" w:ascii="宋体" w:hAnsi="宋体" w:cs="宋体"/>
          <w:color w:val="auto"/>
          <w:sz w:val="24"/>
          <w:szCs w:val="24"/>
          <w:highlight w:val="none"/>
          <w:lang w:val="en-US" w:eastAsia="zh-CN"/>
        </w:rPr>
        <w:t>不小于</w:t>
      </w:r>
      <w:r>
        <w:rPr>
          <w:rFonts w:hint="eastAsia" w:ascii="宋体" w:hAnsi="宋体" w:eastAsia="宋体" w:cs="宋体"/>
          <w:color w:val="auto"/>
          <w:sz w:val="24"/>
          <w:szCs w:val="24"/>
          <w:highlight w:val="none"/>
        </w:rPr>
        <w:t>3寸工业级彩色</w:t>
      </w:r>
    </w:p>
    <w:p w14:paraId="7381DDC5">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15、工作环境：</w:t>
      </w:r>
      <w:r>
        <w:rPr>
          <w:rFonts w:hint="eastAsia" w:ascii="宋体" w:hAnsi="宋体" w:cs="宋体"/>
          <w:color w:val="auto"/>
          <w:sz w:val="24"/>
          <w:szCs w:val="24"/>
          <w:highlight w:val="none"/>
          <w:lang w:val="en-US" w:eastAsia="zh-CN"/>
        </w:rPr>
        <w:t>温度</w:t>
      </w:r>
      <w:r>
        <w:rPr>
          <w:rFonts w:hint="eastAsia" w:ascii="宋体" w:hAnsi="宋体" w:eastAsia="宋体" w:cs="宋体"/>
          <w:color w:val="auto"/>
          <w:sz w:val="24"/>
          <w:szCs w:val="24"/>
          <w:highlight w:val="none"/>
        </w:rPr>
        <w:t>5-45℃</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相对湿度</w:t>
      </w:r>
      <w:r>
        <w:rPr>
          <w:rFonts w:hint="eastAsia" w:ascii="宋体" w:hAnsi="宋体" w:eastAsia="宋体" w:cs="宋体"/>
          <w:color w:val="auto"/>
          <w:sz w:val="24"/>
          <w:szCs w:val="24"/>
          <w:highlight w:val="none"/>
        </w:rPr>
        <w:t>≤50%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无冷凝</w:t>
      </w:r>
    </w:p>
    <w:p w14:paraId="462CF414">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16、供电方式：</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5V=2.5A</w:t>
      </w:r>
    </w:p>
    <w:p w14:paraId="0848E3F9">
      <w:pPr>
        <w:keepNext w:val="0"/>
        <w:keepLines w:val="0"/>
        <w:pageBreakBefore w:val="0"/>
        <w:widowControl w:val="0"/>
        <w:spacing w:line="22" w:lineRule="atLeas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17、电池容量：</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rPr>
        <w:t>5000毫安</w:t>
      </w:r>
    </w:p>
    <w:p w14:paraId="31D2FAC3">
      <w:pPr>
        <w:keepNext w:val="0"/>
        <w:keepLines w:val="0"/>
        <w:pageBreakBefore w:val="0"/>
        <w:widowControl w:val="0"/>
        <w:spacing w:line="22" w:lineRule="atLeast"/>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18、至少包含以下检测项目：二氧化氯、余氯、总氯</w:t>
      </w:r>
    </w:p>
    <w:p w14:paraId="4653CA0E">
      <w:pPr>
        <w:keepNext w:val="0"/>
        <w:keepLines w:val="0"/>
        <w:pageBreakBefore w:val="0"/>
        <w:widowControl w:val="0"/>
        <w:numPr>
          <w:ilvl w:val="0"/>
          <w:numId w:val="0"/>
        </w:numPr>
        <w:tabs>
          <w:tab w:val="left" w:pos="1296"/>
        </w:tabs>
        <w:ind w:firstLine="480"/>
        <w:jc w:val="left"/>
        <w:rPr>
          <w:rFonts w:hint="eastAsia" w:ascii="宋体" w:hAnsi="宋体" w:eastAsia="宋体" w:cs="宋体"/>
          <w:color w:val="auto"/>
          <w:sz w:val="24"/>
          <w:szCs w:val="24"/>
          <w:highlight w:val="none"/>
          <w:lang w:val="en-US" w:eastAsia="zh-CN" w:bidi="ar-SA"/>
        </w:rPr>
      </w:pPr>
    </w:p>
    <w:p w14:paraId="034F1F17">
      <w:pPr>
        <w:numPr>
          <w:ilvl w:val="0"/>
          <w:numId w:val="0"/>
        </w:num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    以上所有产品，如设备性能参数符合要求必须提供相应的有效且真实的证明材料【设备生产厂家出具相关证明或检测报告或彩页或白皮书等】以证明技术参数及功能的有效性，如未附有效证明材料或者所附的证明材料由评标委员会认为不能佐证技术指标的有效性的，则同样视为不符合要求并作无效投标处理。</w:t>
      </w:r>
    </w:p>
    <w:p w14:paraId="38935466">
      <w:pPr>
        <w:pStyle w:val="36"/>
        <w:numPr>
          <w:ilvl w:val="0"/>
          <w:numId w:val="0"/>
        </w:numPr>
        <w:rPr>
          <w:rFonts w:hint="eastAsia" w:ascii="宋体" w:hAnsi="宋体" w:eastAsia="宋体" w:cs="宋体"/>
          <w:b w:val="0"/>
          <w:bCs/>
          <w:i/>
          <w:iCs/>
          <w:color w:val="auto"/>
          <w:sz w:val="24"/>
          <w:highlight w:val="none"/>
        </w:rPr>
      </w:pPr>
    </w:p>
    <w:p w14:paraId="4BB97B67">
      <w:pPr>
        <w:rPr>
          <w:rFonts w:hint="eastAsia" w:ascii="宋体" w:hAnsi="宋体" w:eastAsia="宋体" w:cs="宋体"/>
          <w:b w:val="0"/>
          <w:bCs/>
          <w:i/>
          <w:iCs/>
          <w:color w:val="auto"/>
          <w:sz w:val="24"/>
          <w:highlight w:val="none"/>
        </w:rPr>
      </w:pPr>
    </w:p>
    <w:p w14:paraId="7400A0BF">
      <w:pPr>
        <w:rPr>
          <w:rFonts w:hint="eastAsia" w:ascii="宋体" w:hAnsi="宋体" w:eastAsia="宋体" w:cs="宋体"/>
          <w:b w:val="0"/>
          <w:bCs/>
          <w:i/>
          <w:iCs/>
          <w:color w:val="auto"/>
          <w:sz w:val="24"/>
          <w:highlight w:val="none"/>
        </w:rPr>
      </w:pPr>
    </w:p>
    <w:p w14:paraId="6F709696">
      <w:pPr>
        <w:tabs>
          <w:tab w:val="left" w:pos="1460"/>
        </w:tabs>
        <w:jc w:val="left"/>
        <w:rPr>
          <w:rFonts w:hint="eastAsia" w:ascii="宋体" w:hAnsi="宋体" w:eastAsia="宋体" w:cs="宋体"/>
          <w:b/>
          <w:color w:val="auto"/>
          <w:highlight w:val="none"/>
        </w:rPr>
      </w:pPr>
    </w:p>
    <w:p w14:paraId="61C7910C">
      <w:pPr>
        <w:tabs>
          <w:tab w:val="left" w:pos="1460"/>
        </w:tabs>
        <w:jc w:val="left"/>
        <w:rPr>
          <w:rFonts w:hint="eastAsia" w:ascii="宋体" w:hAnsi="宋体" w:eastAsia="宋体" w:cs="宋体"/>
          <w:b/>
          <w:color w:val="auto"/>
          <w:highlight w:val="none"/>
        </w:rPr>
      </w:pPr>
    </w:p>
    <w:p w14:paraId="601E59E0">
      <w:pPr>
        <w:tabs>
          <w:tab w:val="left" w:pos="1460"/>
        </w:tabs>
        <w:jc w:val="left"/>
        <w:rPr>
          <w:rFonts w:hint="eastAsia" w:ascii="宋体" w:hAnsi="宋体" w:eastAsia="宋体" w:cs="宋体"/>
          <w:b/>
          <w:color w:val="auto"/>
          <w:highlight w:val="none"/>
        </w:rPr>
      </w:pPr>
    </w:p>
    <w:p w14:paraId="54798E85">
      <w:pPr>
        <w:tabs>
          <w:tab w:val="left" w:pos="1460"/>
        </w:tabs>
        <w:jc w:val="left"/>
        <w:rPr>
          <w:rFonts w:hint="eastAsia" w:ascii="宋体" w:hAnsi="宋体" w:eastAsia="宋体" w:cs="宋体"/>
          <w:b/>
          <w:color w:val="auto"/>
          <w:highlight w:val="none"/>
        </w:rPr>
      </w:pPr>
    </w:p>
    <w:p w14:paraId="2C32FA2E">
      <w:pPr>
        <w:tabs>
          <w:tab w:val="left" w:pos="1460"/>
        </w:tabs>
        <w:jc w:val="left"/>
        <w:rPr>
          <w:rFonts w:hint="eastAsia" w:ascii="宋体" w:hAnsi="宋体" w:eastAsia="宋体" w:cs="宋体"/>
          <w:b/>
          <w:color w:val="auto"/>
          <w:highlight w:val="none"/>
        </w:rPr>
      </w:pPr>
    </w:p>
    <w:p w14:paraId="4464A282">
      <w:pPr>
        <w:tabs>
          <w:tab w:val="left" w:pos="1460"/>
        </w:tabs>
        <w:jc w:val="left"/>
        <w:rPr>
          <w:rFonts w:hint="eastAsia" w:ascii="宋体" w:hAnsi="宋体" w:eastAsia="宋体" w:cs="宋体"/>
          <w:b/>
          <w:color w:val="auto"/>
          <w:highlight w:val="none"/>
        </w:rPr>
      </w:pPr>
    </w:p>
    <w:p w14:paraId="0E487AE0">
      <w:pPr>
        <w:tabs>
          <w:tab w:val="left" w:pos="1460"/>
        </w:tabs>
        <w:jc w:val="left"/>
        <w:rPr>
          <w:rFonts w:hint="eastAsia" w:ascii="宋体" w:hAnsi="宋体" w:eastAsia="宋体" w:cs="宋体"/>
          <w:b/>
          <w:color w:val="auto"/>
          <w:highlight w:val="none"/>
        </w:rPr>
      </w:pPr>
    </w:p>
    <w:p w14:paraId="791FDBC7">
      <w:pPr>
        <w:tabs>
          <w:tab w:val="left" w:pos="1460"/>
        </w:tabs>
        <w:jc w:val="left"/>
        <w:rPr>
          <w:rFonts w:hint="eastAsia" w:ascii="宋体" w:hAnsi="宋体" w:eastAsia="宋体" w:cs="宋体"/>
          <w:b/>
          <w:color w:val="auto"/>
          <w:highlight w:val="none"/>
        </w:rPr>
      </w:pPr>
    </w:p>
    <w:p w14:paraId="68432A91">
      <w:pPr>
        <w:tabs>
          <w:tab w:val="left" w:pos="1460"/>
        </w:tabs>
        <w:jc w:val="left"/>
        <w:rPr>
          <w:rFonts w:hint="eastAsia" w:ascii="宋体" w:hAnsi="宋体" w:eastAsia="宋体" w:cs="宋体"/>
          <w:b/>
          <w:color w:val="auto"/>
          <w:highlight w:val="none"/>
        </w:rPr>
      </w:pPr>
    </w:p>
    <w:p w14:paraId="16890893">
      <w:pPr>
        <w:tabs>
          <w:tab w:val="left" w:pos="1460"/>
        </w:tabs>
        <w:jc w:val="left"/>
        <w:rPr>
          <w:rFonts w:hint="eastAsia" w:ascii="宋体" w:hAnsi="宋体" w:eastAsia="宋体" w:cs="宋体"/>
          <w:b/>
          <w:color w:val="auto"/>
          <w:highlight w:val="none"/>
        </w:rPr>
      </w:pPr>
    </w:p>
    <w:p w14:paraId="7DB1BCFC">
      <w:pPr>
        <w:tabs>
          <w:tab w:val="left" w:pos="1460"/>
        </w:tabs>
        <w:jc w:val="left"/>
        <w:rPr>
          <w:rFonts w:hint="eastAsia" w:ascii="宋体" w:hAnsi="宋体" w:eastAsia="宋体" w:cs="宋体"/>
          <w:b/>
          <w:color w:val="auto"/>
          <w:highlight w:val="none"/>
        </w:rPr>
      </w:pPr>
    </w:p>
    <w:p w14:paraId="24A4B3DE">
      <w:pPr>
        <w:tabs>
          <w:tab w:val="left" w:pos="1460"/>
        </w:tabs>
        <w:jc w:val="left"/>
        <w:rPr>
          <w:rFonts w:hint="eastAsia" w:ascii="宋体" w:hAnsi="宋体" w:eastAsia="宋体" w:cs="宋体"/>
          <w:b/>
          <w:color w:val="auto"/>
          <w:highlight w:val="none"/>
        </w:rPr>
      </w:pPr>
    </w:p>
    <w:p w14:paraId="2EF87F9B">
      <w:pPr>
        <w:pStyle w:val="36"/>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highlight w:val="none"/>
        </w:rPr>
        <w:t>第四部分．合同书</w:t>
      </w:r>
      <w:r>
        <w:rPr>
          <w:rFonts w:hint="eastAsia" w:ascii="宋体" w:hAnsi="宋体" w:eastAsia="宋体" w:cs="宋体"/>
          <w:b w:val="0"/>
          <w:color w:val="auto"/>
          <w:sz w:val="24"/>
          <w:szCs w:val="24"/>
          <w:highlight w:val="none"/>
        </w:rPr>
        <w:t>(格式,投标时不需填写）</w:t>
      </w:r>
    </w:p>
    <w:p w14:paraId="72F7875D">
      <w:pPr>
        <w:spacing w:line="440" w:lineRule="exact"/>
        <w:rPr>
          <w:rFonts w:ascii="宋体" w:hAnsi="宋体" w:cs="宋体"/>
          <w:bCs/>
          <w:color w:val="auto"/>
          <w:sz w:val="24"/>
          <w:highlight w:val="none"/>
          <w:u w:val="single"/>
        </w:rPr>
      </w:pPr>
      <w:bookmarkStart w:id="1" w:name="_Toc245033607"/>
      <w:r>
        <w:rPr>
          <w:rFonts w:hint="eastAsia" w:ascii="宋体" w:hAnsi="宋体" w:cs="宋体"/>
          <w:bCs/>
          <w:color w:val="auto"/>
          <w:sz w:val="24"/>
          <w:highlight w:val="none"/>
        </w:rPr>
        <w:t>需方（采购人）：</w:t>
      </w:r>
      <w:r>
        <w:rPr>
          <w:rFonts w:hint="eastAsia" w:ascii="宋体" w:hAnsi="宋体" w:cs="宋体"/>
          <w:bCs/>
          <w:color w:val="auto"/>
          <w:sz w:val="24"/>
          <w:highlight w:val="none"/>
          <w:u w:val="single"/>
          <w:lang w:eastAsia="zh-CN"/>
        </w:rPr>
        <w:t>无锡市新吴区疾病预防控制中心</w:t>
      </w:r>
      <w:r>
        <w:rPr>
          <w:rFonts w:hint="eastAsia" w:ascii="宋体" w:hAnsi="宋体" w:cs="宋体"/>
          <w:bCs/>
          <w:color w:val="auto"/>
          <w:sz w:val="24"/>
          <w:highlight w:val="none"/>
          <w:u w:val="single"/>
        </w:rPr>
        <w:t xml:space="preserve">          </w:t>
      </w:r>
    </w:p>
    <w:p w14:paraId="6901D58D">
      <w:pPr>
        <w:spacing w:line="440" w:lineRule="exact"/>
        <w:rPr>
          <w:rFonts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lang w:eastAsia="zh-CN"/>
        </w:rPr>
        <w:t>无锡市新吴区汉江路3号</w:t>
      </w:r>
      <w:r>
        <w:rPr>
          <w:rFonts w:hint="eastAsia" w:ascii="宋体" w:hAnsi="宋体" w:cs="宋体"/>
          <w:bCs/>
          <w:color w:val="auto"/>
          <w:sz w:val="24"/>
          <w:highlight w:val="none"/>
          <w:u w:val="single"/>
        </w:rPr>
        <w:t xml:space="preserve">          </w:t>
      </w:r>
    </w:p>
    <w:p w14:paraId="2627CB1D">
      <w:pPr>
        <w:spacing w:line="440" w:lineRule="exact"/>
        <w:rPr>
          <w:rFonts w:ascii="宋体" w:hAnsi="宋体" w:cs="宋体"/>
          <w:bCs/>
          <w:color w:val="auto"/>
          <w:sz w:val="24"/>
          <w:highlight w:val="none"/>
          <w:u w:val="single"/>
        </w:rPr>
      </w:pPr>
      <w:r>
        <w:rPr>
          <w:rFonts w:hint="eastAsia" w:ascii="宋体" w:hAnsi="宋体" w:cs="宋体"/>
          <w:bCs/>
          <w:color w:val="auto"/>
          <w:sz w:val="24"/>
          <w:highlight w:val="none"/>
        </w:rPr>
        <w:t>供方（中标方）：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28576D4D">
      <w:pPr>
        <w:spacing w:line="440" w:lineRule="exact"/>
        <w:rPr>
          <w:rFonts w:ascii="宋体" w:hAnsi="宋体" w:cs="宋体"/>
          <w:bCs/>
          <w:color w:val="auto"/>
          <w:sz w:val="24"/>
          <w:highlight w:val="none"/>
          <w:u w:val="single"/>
        </w:rPr>
      </w:pPr>
      <w:r>
        <w:rPr>
          <w:rFonts w:hint="eastAsia" w:ascii="宋体" w:hAnsi="宋体" w:cs="宋体"/>
          <w:bCs/>
          <w:color w:val="auto"/>
          <w:sz w:val="24"/>
          <w:highlight w:val="none"/>
        </w:rPr>
        <w:t>住所：</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5C380272">
      <w:pPr>
        <w:numPr>
          <w:ilvl w:val="0"/>
          <w:numId w:val="9"/>
        </w:numPr>
        <w:tabs>
          <w:tab w:val="left" w:pos="210"/>
          <w:tab w:val="left" w:pos="840"/>
          <w:tab w:val="left" w:pos="126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采购项目编号：</w:t>
      </w:r>
      <w:r>
        <w:rPr>
          <w:rFonts w:ascii="宋体" w:hAnsi="宋体" w:cs="宋体"/>
          <w:bCs/>
          <w:color w:val="auto"/>
          <w:sz w:val="24"/>
          <w:highlight w:val="none"/>
          <w:u w:val="single"/>
        </w:rPr>
        <w:t xml:space="preserve">              </w:t>
      </w:r>
    </w:p>
    <w:p w14:paraId="3D778470">
      <w:pPr>
        <w:numPr>
          <w:ilvl w:val="0"/>
          <w:numId w:val="9"/>
        </w:numPr>
        <w:tabs>
          <w:tab w:val="left" w:pos="210"/>
          <w:tab w:val="left" w:pos="840"/>
          <w:tab w:val="left" w:pos="126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采购内容：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46F0C02A">
      <w:pPr>
        <w:numPr>
          <w:ilvl w:val="0"/>
          <w:numId w:val="9"/>
        </w:numPr>
        <w:tabs>
          <w:tab w:val="left" w:pos="210"/>
          <w:tab w:val="left" w:pos="840"/>
          <w:tab w:val="left" w:pos="126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中标总金额：（大写）</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；（小写）</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元</w:t>
      </w:r>
      <w:r>
        <w:rPr>
          <w:rFonts w:hint="eastAsia" w:ascii="宋体" w:hAnsi="宋体" w:cs="宋体"/>
          <w:bCs/>
          <w:color w:val="auto"/>
          <w:sz w:val="24"/>
          <w:highlight w:val="none"/>
        </w:rPr>
        <w:t>。</w:t>
      </w:r>
    </w:p>
    <w:p w14:paraId="587936A6">
      <w:pPr>
        <w:numPr>
          <w:ilvl w:val="0"/>
          <w:numId w:val="9"/>
        </w:numPr>
        <w:tabs>
          <w:tab w:val="left" w:pos="210"/>
          <w:tab w:val="left" w:pos="840"/>
          <w:tab w:val="left" w:pos="1260"/>
        </w:tabs>
        <w:spacing w:line="440" w:lineRule="exact"/>
        <w:ind w:left="0" w:firstLine="523"/>
        <w:rPr>
          <w:rFonts w:ascii="宋体" w:hAnsi="宋体" w:cs="宋体"/>
          <w:bCs/>
          <w:color w:val="auto"/>
          <w:sz w:val="24"/>
          <w:highlight w:val="none"/>
        </w:rPr>
      </w:pPr>
      <w:r>
        <w:rPr>
          <w:rFonts w:hint="eastAsia" w:ascii="宋体" w:hAnsi="宋体" w:cs="宋体"/>
          <w:bCs/>
          <w:color w:val="auto"/>
          <w:sz w:val="24"/>
          <w:highlight w:val="none"/>
        </w:rPr>
        <w:t>采购设备明细：</w:t>
      </w:r>
    </w:p>
    <w:tbl>
      <w:tblPr>
        <w:tblStyle w:val="29"/>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43"/>
        <w:gridCol w:w="2409"/>
        <w:gridCol w:w="1276"/>
        <w:gridCol w:w="709"/>
        <w:gridCol w:w="1559"/>
        <w:gridCol w:w="1559"/>
      </w:tblGrid>
      <w:tr w14:paraId="632E3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43" w:type="dxa"/>
            <w:noWrap w:val="0"/>
            <w:vAlign w:val="center"/>
          </w:tcPr>
          <w:p w14:paraId="733BB53F">
            <w:pPr>
              <w:spacing w:line="360" w:lineRule="auto"/>
              <w:jc w:val="center"/>
              <w:rPr>
                <w:rFonts w:ascii="宋体" w:hAnsi="宋体" w:cs="宋体"/>
                <w:bCs/>
                <w:color w:val="auto"/>
                <w:highlight w:val="none"/>
              </w:rPr>
            </w:pPr>
            <w:r>
              <w:rPr>
                <w:rFonts w:hint="eastAsia" w:ascii="宋体" w:hAnsi="宋体" w:cs="宋体"/>
                <w:bCs/>
                <w:color w:val="auto"/>
                <w:highlight w:val="none"/>
              </w:rPr>
              <w:t>设备名称</w:t>
            </w:r>
          </w:p>
        </w:tc>
        <w:tc>
          <w:tcPr>
            <w:tcW w:w="2409" w:type="dxa"/>
            <w:noWrap w:val="0"/>
            <w:vAlign w:val="center"/>
          </w:tcPr>
          <w:p w14:paraId="5AA1AA62">
            <w:pPr>
              <w:spacing w:line="360" w:lineRule="auto"/>
              <w:jc w:val="center"/>
              <w:rPr>
                <w:rFonts w:ascii="宋体" w:hAnsi="宋体" w:cs="宋体"/>
                <w:bCs/>
                <w:color w:val="auto"/>
                <w:highlight w:val="none"/>
              </w:rPr>
            </w:pPr>
            <w:r>
              <w:rPr>
                <w:rFonts w:hint="eastAsia" w:ascii="宋体" w:hAnsi="宋体" w:cs="宋体"/>
                <w:bCs/>
                <w:color w:val="auto"/>
                <w:highlight w:val="none"/>
              </w:rPr>
              <w:t>生产厂家</w:t>
            </w:r>
          </w:p>
        </w:tc>
        <w:tc>
          <w:tcPr>
            <w:tcW w:w="1276" w:type="dxa"/>
            <w:noWrap w:val="0"/>
            <w:vAlign w:val="center"/>
          </w:tcPr>
          <w:p w14:paraId="2FD7E8F8">
            <w:pPr>
              <w:spacing w:line="360" w:lineRule="auto"/>
              <w:jc w:val="center"/>
              <w:rPr>
                <w:rFonts w:ascii="宋体" w:hAnsi="宋体" w:cs="宋体"/>
                <w:bCs/>
                <w:color w:val="auto"/>
                <w:highlight w:val="none"/>
              </w:rPr>
            </w:pPr>
            <w:r>
              <w:rPr>
                <w:rFonts w:hint="eastAsia" w:ascii="宋体" w:hAnsi="宋体" w:cs="宋体"/>
                <w:bCs/>
                <w:color w:val="auto"/>
                <w:highlight w:val="none"/>
              </w:rPr>
              <w:t>规格型号</w:t>
            </w:r>
          </w:p>
        </w:tc>
        <w:tc>
          <w:tcPr>
            <w:tcW w:w="709" w:type="dxa"/>
            <w:noWrap w:val="0"/>
            <w:vAlign w:val="center"/>
          </w:tcPr>
          <w:p w14:paraId="71FB41FB">
            <w:pPr>
              <w:spacing w:line="360" w:lineRule="auto"/>
              <w:jc w:val="center"/>
              <w:rPr>
                <w:rFonts w:ascii="宋体" w:hAnsi="宋体" w:cs="宋体"/>
                <w:bCs/>
                <w:color w:val="auto"/>
                <w:highlight w:val="none"/>
              </w:rPr>
            </w:pPr>
            <w:r>
              <w:rPr>
                <w:rFonts w:hint="eastAsia" w:ascii="宋体" w:hAnsi="宋体" w:cs="宋体"/>
                <w:bCs/>
                <w:color w:val="auto"/>
                <w:highlight w:val="none"/>
              </w:rPr>
              <w:t>数量</w:t>
            </w:r>
          </w:p>
        </w:tc>
        <w:tc>
          <w:tcPr>
            <w:tcW w:w="1559" w:type="dxa"/>
            <w:noWrap w:val="0"/>
            <w:vAlign w:val="center"/>
          </w:tcPr>
          <w:p w14:paraId="07E8A057">
            <w:pPr>
              <w:spacing w:line="360" w:lineRule="auto"/>
              <w:jc w:val="center"/>
              <w:rPr>
                <w:rFonts w:ascii="宋体" w:hAnsi="宋体" w:cs="宋体"/>
                <w:bCs/>
                <w:color w:val="auto"/>
                <w:highlight w:val="none"/>
              </w:rPr>
            </w:pPr>
            <w:r>
              <w:rPr>
                <w:rFonts w:hint="eastAsia" w:ascii="宋体" w:hAnsi="宋体" w:cs="宋体"/>
                <w:bCs/>
                <w:color w:val="auto"/>
                <w:highlight w:val="none"/>
              </w:rPr>
              <w:t>单价（元）</w:t>
            </w:r>
          </w:p>
        </w:tc>
        <w:tc>
          <w:tcPr>
            <w:tcW w:w="1559" w:type="dxa"/>
            <w:noWrap w:val="0"/>
            <w:vAlign w:val="center"/>
          </w:tcPr>
          <w:p w14:paraId="676116C2">
            <w:pPr>
              <w:spacing w:line="360" w:lineRule="auto"/>
              <w:jc w:val="center"/>
              <w:rPr>
                <w:rFonts w:ascii="宋体" w:hAnsi="宋体" w:cs="宋体"/>
                <w:bCs/>
                <w:color w:val="auto"/>
                <w:highlight w:val="none"/>
                <w:u w:val="single"/>
              </w:rPr>
            </w:pPr>
            <w:r>
              <w:rPr>
                <w:rFonts w:hint="eastAsia" w:ascii="宋体" w:hAnsi="宋体" w:cs="宋体"/>
                <w:bCs/>
                <w:color w:val="auto"/>
                <w:highlight w:val="none"/>
              </w:rPr>
              <w:t>成交总价（元）</w:t>
            </w:r>
          </w:p>
        </w:tc>
      </w:tr>
      <w:tr w14:paraId="33C6F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843" w:type="dxa"/>
            <w:noWrap w:val="0"/>
            <w:vAlign w:val="center"/>
          </w:tcPr>
          <w:p w14:paraId="543FF819">
            <w:pPr>
              <w:spacing w:line="360" w:lineRule="auto"/>
              <w:jc w:val="center"/>
              <w:rPr>
                <w:rFonts w:hint="eastAsia" w:ascii="宋体" w:hAnsi="宋体" w:cs="宋体"/>
                <w:bCs/>
                <w:color w:val="auto"/>
                <w:sz w:val="18"/>
                <w:szCs w:val="18"/>
                <w:highlight w:val="none"/>
              </w:rPr>
            </w:pPr>
          </w:p>
        </w:tc>
        <w:tc>
          <w:tcPr>
            <w:tcW w:w="2409" w:type="dxa"/>
            <w:noWrap w:val="0"/>
            <w:vAlign w:val="center"/>
          </w:tcPr>
          <w:p w14:paraId="29901CF9">
            <w:pPr>
              <w:spacing w:line="360" w:lineRule="auto"/>
              <w:jc w:val="center"/>
              <w:rPr>
                <w:rFonts w:ascii="宋体" w:hAnsi="宋体" w:cs="宋体"/>
                <w:bCs/>
                <w:color w:val="auto"/>
                <w:sz w:val="18"/>
                <w:szCs w:val="18"/>
                <w:highlight w:val="none"/>
              </w:rPr>
            </w:pPr>
          </w:p>
        </w:tc>
        <w:tc>
          <w:tcPr>
            <w:tcW w:w="1276" w:type="dxa"/>
            <w:noWrap w:val="0"/>
            <w:vAlign w:val="center"/>
          </w:tcPr>
          <w:p w14:paraId="7D7D0121">
            <w:pPr>
              <w:spacing w:line="360" w:lineRule="auto"/>
              <w:jc w:val="center"/>
              <w:rPr>
                <w:rFonts w:ascii="宋体" w:hAnsi="宋体" w:cs="宋体"/>
                <w:bCs/>
                <w:color w:val="auto"/>
                <w:sz w:val="18"/>
                <w:szCs w:val="18"/>
                <w:highlight w:val="none"/>
              </w:rPr>
            </w:pPr>
          </w:p>
        </w:tc>
        <w:tc>
          <w:tcPr>
            <w:tcW w:w="709" w:type="dxa"/>
            <w:noWrap w:val="0"/>
            <w:vAlign w:val="center"/>
          </w:tcPr>
          <w:p w14:paraId="2E378806">
            <w:pPr>
              <w:spacing w:line="360" w:lineRule="auto"/>
              <w:jc w:val="center"/>
              <w:rPr>
                <w:rFonts w:ascii="宋体" w:hAnsi="宋体" w:cs="宋体"/>
                <w:bCs/>
                <w:color w:val="auto"/>
                <w:sz w:val="18"/>
                <w:szCs w:val="18"/>
                <w:highlight w:val="none"/>
              </w:rPr>
            </w:pPr>
          </w:p>
        </w:tc>
        <w:tc>
          <w:tcPr>
            <w:tcW w:w="1559" w:type="dxa"/>
            <w:noWrap w:val="0"/>
            <w:vAlign w:val="center"/>
          </w:tcPr>
          <w:p w14:paraId="0A274398">
            <w:pPr>
              <w:spacing w:line="360" w:lineRule="auto"/>
              <w:jc w:val="center"/>
              <w:rPr>
                <w:rFonts w:ascii="宋体" w:hAnsi="宋体" w:cs="宋体"/>
                <w:bCs/>
                <w:color w:val="auto"/>
                <w:sz w:val="18"/>
                <w:szCs w:val="18"/>
                <w:highlight w:val="none"/>
              </w:rPr>
            </w:pPr>
          </w:p>
        </w:tc>
        <w:tc>
          <w:tcPr>
            <w:tcW w:w="1559" w:type="dxa"/>
            <w:noWrap w:val="0"/>
            <w:vAlign w:val="center"/>
          </w:tcPr>
          <w:p w14:paraId="63B361FA">
            <w:pPr>
              <w:spacing w:line="360" w:lineRule="auto"/>
              <w:jc w:val="center"/>
              <w:rPr>
                <w:rFonts w:ascii="宋体" w:hAnsi="宋体" w:cs="宋体"/>
                <w:bCs/>
                <w:color w:val="auto"/>
                <w:sz w:val="18"/>
                <w:szCs w:val="18"/>
                <w:highlight w:val="none"/>
              </w:rPr>
            </w:pPr>
          </w:p>
        </w:tc>
      </w:tr>
      <w:tr w14:paraId="39D5B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843" w:type="dxa"/>
            <w:noWrap w:val="0"/>
            <w:vAlign w:val="center"/>
          </w:tcPr>
          <w:p w14:paraId="41317FC2">
            <w:pPr>
              <w:spacing w:line="360" w:lineRule="auto"/>
              <w:rPr>
                <w:rFonts w:hint="eastAsia" w:ascii="宋体" w:hAnsi="宋体" w:cs="宋体"/>
                <w:bCs/>
                <w:color w:val="auto"/>
                <w:sz w:val="18"/>
                <w:szCs w:val="18"/>
                <w:highlight w:val="none"/>
              </w:rPr>
            </w:pPr>
          </w:p>
        </w:tc>
        <w:tc>
          <w:tcPr>
            <w:tcW w:w="2409" w:type="dxa"/>
            <w:noWrap w:val="0"/>
            <w:vAlign w:val="center"/>
          </w:tcPr>
          <w:p w14:paraId="1728F256">
            <w:pPr>
              <w:spacing w:line="360" w:lineRule="auto"/>
              <w:jc w:val="center"/>
              <w:rPr>
                <w:rFonts w:ascii="宋体" w:hAnsi="宋体" w:cs="宋体"/>
                <w:bCs/>
                <w:color w:val="auto"/>
                <w:sz w:val="18"/>
                <w:szCs w:val="18"/>
                <w:highlight w:val="none"/>
              </w:rPr>
            </w:pPr>
          </w:p>
        </w:tc>
        <w:tc>
          <w:tcPr>
            <w:tcW w:w="1276" w:type="dxa"/>
            <w:noWrap w:val="0"/>
            <w:vAlign w:val="center"/>
          </w:tcPr>
          <w:p w14:paraId="3B42DFB8">
            <w:pPr>
              <w:spacing w:line="360" w:lineRule="auto"/>
              <w:jc w:val="center"/>
              <w:rPr>
                <w:rFonts w:ascii="宋体" w:hAnsi="宋体" w:cs="宋体"/>
                <w:bCs/>
                <w:color w:val="auto"/>
                <w:sz w:val="18"/>
                <w:szCs w:val="18"/>
                <w:highlight w:val="none"/>
              </w:rPr>
            </w:pPr>
          </w:p>
        </w:tc>
        <w:tc>
          <w:tcPr>
            <w:tcW w:w="709" w:type="dxa"/>
            <w:noWrap w:val="0"/>
            <w:vAlign w:val="center"/>
          </w:tcPr>
          <w:p w14:paraId="7F9B7D98">
            <w:pPr>
              <w:spacing w:line="360" w:lineRule="auto"/>
              <w:jc w:val="center"/>
              <w:rPr>
                <w:rFonts w:ascii="宋体" w:hAnsi="宋体" w:cs="宋体"/>
                <w:bCs/>
                <w:color w:val="auto"/>
                <w:sz w:val="18"/>
                <w:szCs w:val="18"/>
                <w:highlight w:val="none"/>
              </w:rPr>
            </w:pPr>
          </w:p>
        </w:tc>
        <w:tc>
          <w:tcPr>
            <w:tcW w:w="1559" w:type="dxa"/>
            <w:noWrap w:val="0"/>
            <w:vAlign w:val="center"/>
          </w:tcPr>
          <w:p w14:paraId="4D2A938F">
            <w:pPr>
              <w:spacing w:line="360" w:lineRule="auto"/>
              <w:jc w:val="center"/>
              <w:rPr>
                <w:rFonts w:ascii="宋体" w:hAnsi="宋体" w:cs="宋体"/>
                <w:bCs/>
                <w:color w:val="auto"/>
                <w:sz w:val="18"/>
                <w:szCs w:val="18"/>
                <w:highlight w:val="none"/>
              </w:rPr>
            </w:pPr>
          </w:p>
        </w:tc>
        <w:tc>
          <w:tcPr>
            <w:tcW w:w="1559" w:type="dxa"/>
            <w:noWrap w:val="0"/>
            <w:vAlign w:val="center"/>
          </w:tcPr>
          <w:p w14:paraId="4E419FDD">
            <w:pPr>
              <w:spacing w:line="360" w:lineRule="auto"/>
              <w:jc w:val="center"/>
              <w:rPr>
                <w:rFonts w:ascii="宋体" w:hAnsi="宋体" w:cs="宋体"/>
                <w:bCs/>
                <w:color w:val="auto"/>
                <w:sz w:val="18"/>
                <w:szCs w:val="18"/>
                <w:highlight w:val="none"/>
              </w:rPr>
            </w:pPr>
          </w:p>
        </w:tc>
      </w:tr>
      <w:tr w14:paraId="52DF8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843" w:type="dxa"/>
            <w:noWrap w:val="0"/>
            <w:vAlign w:val="center"/>
          </w:tcPr>
          <w:p w14:paraId="2797BE98">
            <w:pPr>
              <w:spacing w:line="360" w:lineRule="auto"/>
              <w:jc w:val="center"/>
              <w:rPr>
                <w:rFonts w:hint="eastAsia" w:ascii="宋体" w:hAnsi="宋体" w:cs="宋体"/>
                <w:bCs/>
                <w:color w:val="auto"/>
                <w:sz w:val="18"/>
                <w:szCs w:val="18"/>
                <w:highlight w:val="none"/>
              </w:rPr>
            </w:pPr>
          </w:p>
        </w:tc>
        <w:tc>
          <w:tcPr>
            <w:tcW w:w="2409" w:type="dxa"/>
            <w:noWrap w:val="0"/>
            <w:vAlign w:val="center"/>
          </w:tcPr>
          <w:p w14:paraId="0C92FB9E">
            <w:pPr>
              <w:spacing w:line="360" w:lineRule="auto"/>
              <w:jc w:val="center"/>
              <w:rPr>
                <w:rFonts w:ascii="宋体" w:hAnsi="宋体" w:cs="宋体"/>
                <w:bCs/>
                <w:color w:val="auto"/>
                <w:sz w:val="18"/>
                <w:szCs w:val="18"/>
                <w:highlight w:val="none"/>
              </w:rPr>
            </w:pPr>
          </w:p>
        </w:tc>
        <w:tc>
          <w:tcPr>
            <w:tcW w:w="1276" w:type="dxa"/>
            <w:noWrap w:val="0"/>
            <w:vAlign w:val="center"/>
          </w:tcPr>
          <w:p w14:paraId="73BB2D4E">
            <w:pPr>
              <w:spacing w:line="360" w:lineRule="auto"/>
              <w:jc w:val="center"/>
              <w:rPr>
                <w:rFonts w:ascii="宋体" w:hAnsi="宋体" w:cs="宋体"/>
                <w:bCs/>
                <w:color w:val="auto"/>
                <w:sz w:val="18"/>
                <w:szCs w:val="18"/>
                <w:highlight w:val="none"/>
              </w:rPr>
            </w:pPr>
          </w:p>
        </w:tc>
        <w:tc>
          <w:tcPr>
            <w:tcW w:w="709" w:type="dxa"/>
            <w:noWrap w:val="0"/>
            <w:vAlign w:val="center"/>
          </w:tcPr>
          <w:p w14:paraId="3A9ED506">
            <w:pPr>
              <w:spacing w:line="360" w:lineRule="auto"/>
              <w:jc w:val="center"/>
              <w:rPr>
                <w:rFonts w:ascii="宋体" w:hAnsi="宋体" w:cs="宋体"/>
                <w:bCs/>
                <w:color w:val="auto"/>
                <w:sz w:val="18"/>
                <w:szCs w:val="18"/>
                <w:highlight w:val="none"/>
              </w:rPr>
            </w:pPr>
          </w:p>
        </w:tc>
        <w:tc>
          <w:tcPr>
            <w:tcW w:w="1559" w:type="dxa"/>
            <w:noWrap w:val="0"/>
            <w:vAlign w:val="center"/>
          </w:tcPr>
          <w:p w14:paraId="0CC93074">
            <w:pPr>
              <w:spacing w:line="360" w:lineRule="auto"/>
              <w:jc w:val="center"/>
              <w:rPr>
                <w:rFonts w:ascii="宋体" w:hAnsi="宋体" w:cs="宋体"/>
                <w:bCs/>
                <w:color w:val="auto"/>
                <w:sz w:val="18"/>
                <w:szCs w:val="18"/>
                <w:highlight w:val="none"/>
              </w:rPr>
            </w:pPr>
          </w:p>
        </w:tc>
        <w:tc>
          <w:tcPr>
            <w:tcW w:w="1559" w:type="dxa"/>
            <w:noWrap w:val="0"/>
            <w:vAlign w:val="center"/>
          </w:tcPr>
          <w:p w14:paraId="675A36B3">
            <w:pPr>
              <w:spacing w:line="360" w:lineRule="auto"/>
              <w:jc w:val="center"/>
              <w:rPr>
                <w:rFonts w:ascii="宋体" w:hAnsi="宋体" w:cs="宋体"/>
                <w:bCs/>
                <w:color w:val="auto"/>
                <w:sz w:val="18"/>
                <w:szCs w:val="18"/>
                <w:highlight w:val="none"/>
              </w:rPr>
            </w:pPr>
          </w:p>
        </w:tc>
      </w:tr>
      <w:tr w14:paraId="48314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trPr>
        <w:tc>
          <w:tcPr>
            <w:tcW w:w="6237" w:type="dxa"/>
            <w:gridSpan w:val="4"/>
            <w:noWrap w:val="0"/>
            <w:vAlign w:val="bottom"/>
          </w:tcPr>
          <w:p w14:paraId="18FCDC84">
            <w:pPr>
              <w:spacing w:line="360" w:lineRule="auto"/>
              <w:rPr>
                <w:rFonts w:ascii="宋体" w:hAnsi="宋体" w:cs="宋体"/>
                <w:bCs/>
                <w:color w:val="auto"/>
                <w:highlight w:val="none"/>
                <w:u w:val="single"/>
              </w:rPr>
            </w:pPr>
            <w:r>
              <w:rPr>
                <w:rFonts w:hint="eastAsia" w:ascii="宋体" w:hAnsi="宋体" w:cs="宋体"/>
                <w:bCs/>
                <w:color w:val="auto"/>
                <w:highlight w:val="none"/>
              </w:rPr>
              <w:t xml:space="preserve">总计（大写）：人民币 </w:t>
            </w:r>
          </w:p>
        </w:tc>
        <w:tc>
          <w:tcPr>
            <w:tcW w:w="3118" w:type="dxa"/>
            <w:gridSpan w:val="2"/>
            <w:noWrap w:val="0"/>
            <w:vAlign w:val="bottom"/>
          </w:tcPr>
          <w:p w14:paraId="1A2B155B">
            <w:pPr>
              <w:spacing w:line="360" w:lineRule="auto"/>
              <w:rPr>
                <w:rFonts w:ascii="宋体" w:hAnsi="宋体" w:cs="宋体"/>
                <w:bCs/>
                <w:color w:val="auto"/>
                <w:highlight w:val="none"/>
                <w:u w:val="single"/>
              </w:rPr>
            </w:pPr>
            <w:r>
              <w:rPr>
                <w:rFonts w:hint="eastAsia" w:ascii="宋体" w:hAnsi="宋体" w:cs="宋体"/>
                <w:bCs/>
                <w:color w:val="auto"/>
                <w:highlight w:val="none"/>
              </w:rPr>
              <w:t>（小写）：￥</w:t>
            </w:r>
          </w:p>
        </w:tc>
      </w:tr>
    </w:tbl>
    <w:p w14:paraId="726EC222">
      <w:pPr>
        <w:tabs>
          <w:tab w:val="left" w:pos="525"/>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五、质量和包装要求及验收标准：</w:t>
      </w:r>
    </w:p>
    <w:p w14:paraId="1B9B014D">
      <w:pPr>
        <w:tabs>
          <w:tab w:val="left" w:pos="525"/>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 xml:space="preserve">1．供方应严格按照招标文件的有关规定和供方投标文件及本合同的约定提供合格的货物及服务。                                   </w:t>
      </w:r>
    </w:p>
    <w:p w14:paraId="237C0345">
      <w:pPr>
        <w:tabs>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270A7C89">
      <w:pPr>
        <w:tabs>
          <w:tab w:val="left" w:pos="420"/>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3．货物的到货验收包括：数量、外观、质量、性能、随机备件、装箱单、质量证书等随机资料及包装完整无破损。</w:t>
      </w:r>
    </w:p>
    <w:p w14:paraId="6B21DC96">
      <w:pPr>
        <w:tabs>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4．货物和系统调试验收标准：按行业通行标准、厂方出厂标准、招标文件要求和供方投标文件的承诺，并不低于国家相关标准。</w:t>
      </w:r>
    </w:p>
    <w:p w14:paraId="0D4E122B">
      <w:pPr>
        <w:tabs>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5．货物运到需方指定地点并经需方验证签收后，由于需方保管不善造成的质量问题，供方应负责修理，但有关费用由需方承担。</w:t>
      </w:r>
    </w:p>
    <w:p w14:paraId="3A244E9B">
      <w:pPr>
        <w:tabs>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6. 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p>
    <w:p w14:paraId="19F63FA9">
      <w:pPr>
        <w:tabs>
          <w:tab w:val="left" w:pos="1050"/>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7. 需方不得擅自变更招投标文件约定的性能、指标等相关内容，如有变更应按《中华人民共和国政府采购法》、财政部《政府采购货物和服务招标投标管理办法》的相关程序执行。</w:t>
      </w:r>
    </w:p>
    <w:p w14:paraId="47ACFCB5">
      <w:pPr>
        <w:keepNext w:val="0"/>
        <w:keepLines w:val="0"/>
        <w:pageBreakBefore w:val="0"/>
        <w:widowControl w:val="0"/>
        <w:tabs>
          <w:tab w:val="left" w:pos="210"/>
          <w:tab w:val="left" w:pos="840"/>
          <w:tab w:val="left" w:pos="1260"/>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六、交货期或完工期：合同签订后【 </w:t>
      </w:r>
      <w:r>
        <w:rPr>
          <w:rFonts w:ascii="宋体" w:hAnsi="宋体" w:cs="宋体"/>
          <w:bCs/>
          <w:color w:val="auto"/>
          <w:sz w:val="24"/>
          <w:highlight w:val="none"/>
        </w:rPr>
        <w:t xml:space="preserve">  </w:t>
      </w:r>
      <w:r>
        <w:rPr>
          <w:rFonts w:hint="eastAsia" w:ascii="宋体" w:hAnsi="宋体" w:cs="宋体"/>
          <w:bCs/>
          <w:color w:val="auto"/>
          <w:sz w:val="24"/>
          <w:highlight w:val="none"/>
        </w:rPr>
        <w:t>】天</w:t>
      </w:r>
      <w:r>
        <w:rPr>
          <w:rFonts w:hint="eastAsia" w:ascii="宋体" w:hAnsi="宋体" w:cs="宋体"/>
          <w:bCs/>
          <w:color w:val="auto"/>
          <w:sz w:val="24"/>
          <w:highlight w:val="none"/>
          <w:u w:val="single"/>
        </w:rPr>
        <w:t>内完成所有设备的供货、安装、调试以及与之配套的辅助工作，交付采购人正常使用，调试验收合格及交付使用的时间以采购人盖章确认的验收合格文件为准。</w:t>
      </w:r>
    </w:p>
    <w:p w14:paraId="46D2BEAB">
      <w:pPr>
        <w:tabs>
          <w:tab w:val="left" w:pos="210"/>
          <w:tab w:val="left" w:pos="840"/>
          <w:tab w:val="left" w:pos="1260"/>
        </w:tabs>
        <w:spacing w:line="440" w:lineRule="exact"/>
        <w:ind w:left="458"/>
        <w:rPr>
          <w:rFonts w:ascii="宋体" w:hAnsi="宋体" w:cs="宋体"/>
          <w:bCs/>
          <w:color w:val="auto"/>
          <w:sz w:val="24"/>
          <w:highlight w:val="none"/>
        </w:rPr>
      </w:pPr>
      <w:r>
        <w:rPr>
          <w:rFonts w:hint="eastAsia" w:ascii="宋体" w:hAnsi="宋体" w:cs="宋体"/>
          <w:bCs/>
          <w:color w:val="auto"/>
          <w:sz w:val="24"/>
          <w:highlight w:val="none"/>
        </w:rPr>
        <w:t>七、交货地点和方式：</w:t>
      </w:r>
    </w:p>
    <w:p w14:paraId="22FF922F">
      <w:pPr>
        <w:tabs>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1．供方在验收时应先用信函、传真、电子邮件等书面方式通知需方。</w:t>
      </w:r>
    </w:p>
    <w:p w14:paraId="03219E05">
      <w:pPr>
        <w:tabs>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2.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21A171D8">
      <w:pPr>
        <w:tabs>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3.</w:t>
      </w:r>
      <w:r>
        <w:rPr>
          <w:rFonts w:hint="eastAsia" w:ascii="宋体" w:hAnsi="宋体" w:cs="宋体"/>
          <w:bCs/>
          <w:color w:val="auto"/>
          <w:sz w:val="28"/>
          <w:highlight w:val="none"/>
        </w:rPr>
        <w:t xml:space="preserve"> </w:t>
      </w:r>
      <w:r>
        <w:rPr>
          <w:rFonts w:hint="eastAsia" w:ascii="宋体" w:hAnsi="宋体" w:cs="宋体"/>
          <w:bCs/>
          <w:color w:val="auto"/>
          <w:sz w:val="24"/>
          <w:highlight w:val="none"/>
        </w:rPr>
        <w:t>货物交货时，所有货物必须带有货物质量检验合格证书、中文质保单、装箱单、中文货物安装使用说明书。其它附件所有部件必须原包装。</w:t>
      </w:r>
    </w:p>
    <w:p w14:paraId="4958BA5E">
      <w:pPr>
        <w:keepNext w:val="0"/>
        <w:keepLines w:val="0"/>
        <w:pageBreakBefore w:val="0"/>
        <w:widowControl w:val="0"/>
        <w:tabs>
          <w:tab w:val="left" w:pos="210"/>
          <w:tab w:val="left" w:pos="840"/>
          <w:tab w:val="left" w:pos="1260"/>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4. 运输及到货地点：由供方负责办理运输并承担所有费用，直接送到需方指定地点，即：</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lang w:eastAsia="zh-CN"/>
        </w:rPr>
        <w:t>无锡市新吴区疾病预防控制中心</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w:t>
      </w:r>
    </w:p>
    <w:p w14:paraId="29377631">
      <w:pPr>
        <w:tabs>
          <w:tab w:val="left" w:pos="210"/>
          <w:tab w:val="left" w:pos="840"/>
          <w:tab w:val="left" w:pos="1260"/>
        </w:tabs>
        <w:spacing w:line="440" w:lineRule="exact"/>
        <w:ind w:left="458"/>
        <w:rPr>
          <w:rFonts w:ascii="宋体" w:hAnsi="宋体" w:cs="宋体"/>
          <w:bCs/>
          <w:color w:val="auto"/>
          <w:sz w:val="24"/>
          <w:highlight w:val="none"/>
        </w:rPr>
      </w:pPr>
      <w:r>
        <w:rPr>
          <w:rFonts w:hint="eastAsia" w:ascii="宋体" w:hAnsi="宋体" w:cs="宋体"/>
          <w:bCs/>
          <w:color w:val="auto"/>
          <w:sz w:val="24"/>
          <w:highlight w:val="none"/>
        </w:rPr>
        <w:t>八、货款支付步骤和办法</w:t>
      </w:r>
    </w:p>
    <w:p w14:paraId="27F77AAC">
      <w:pPr>
        <w:tabs>
          <w:tab w:val="left" w:pos="1155"/>
        </w:tabs>
        <w:spacing w:line="360" w:lineRule="auto"/>
        <w:ind w:firstLine="520"/>
        <w:rPr>
          <w:rFonts w:ascii="宋体" w:hAnsi="宋体" w:cs="宋体"/>
          <w:bCs/>
          <w:color w:val="auto"/>
          <w:sz w:val="24"/>
          <w:highlight w:val="none"/>
        </w:rPr>
      </w:pPr>
      <w:r>
        <w:rPr>
          <w:rFonts w:hint="eastAsia" w:ascii="宋体" w:hAnsi="宋体" w:cs="宋体"/>
          <w:bCs/>
          <w:color w:val="auto"/>
          <w:sz w:val="24"/>
          <w:highlight w:val="none"/>
        </w:rPr>
        <w:t>设备验收合格后首付50%，正常使用</w:t>
      </w:r>
      <w:r>
        <w:rPr>
          <w:rFonts w:hint="eastAsia" w:ascii="宋体" w:hAnsi="宋体" w:cs="宋体"/>
          <w:bCs/>
          <w:color w:val="auto"/>
          <w:sz w:val="24"/>
          <w:highlight w:val="none"/>
          <w:lang w:val="en-US" w:eastAsia="zh-CN"/>
        </w:rPr>
        <w:t>1</w:t>
      </w:r>
      <w:r>
        <w:rPr>
          <w:rFonts w:hint="eastAsia" w:ascii="宋体" w:hAnsi="宋体" w:cs="宋体"/>
          <w:bCs/>
          <w:color w:val="auto"/>
          <w:sz w:val="24"/>
          <w:highlight w:val="none"/>
        </w:rPr>
        <w:t>个月后付40%，余款10%在产品验收合格并正常使用1年内付清。</w:t>
      </w:r>
    </w:p>
    <w:p w14:paraId="4D702237">
      <w:pPr>
        <w:tabs>
          <w:tab w:val="left" w:pos="525"/>
          <w:tab w:val="left" w:pos="84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 xml:space="preserve">九、售后服务： </w:t>
      </w:r>
    </w:p>
    <w:p w14:paraId="03F76DD1">
      <w:pPr>
        <w:tabs>
          <w:tab w:val="left" w:pos="525"/>
          <w:tab w:val="left" w:pos="84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1.供方负责本项目的安装和调试，并保证其提供的货物符合国家、行业、地方、招投标文件及合同规定的质量、性能和标准，并正确且安全地安装。</w:t>
      </w:r>
    </w:p>
    <w:p w14:paraId="1D36C4B8">
      <w:pPr>
        <w:keepNext w:val="0"/>
        <w:keepLines w:val="0"/>
        <w:pageBreakBefore w:val="0"/>
        <w:widowControl w:val="0"/>
        <w:tabs>
          <w:tab w:val="left" w:pos="525"/>
          <w:tab w:val="left" w:pos="840"/>
          <w:tab w:val="left" w:pos="94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2.供方提供的服务全部按照国家有关法律法规规章和“三包”规定以及按招标文件要求和供方投标文件中的承诺执行。</w:t>
      </w:r>
    </w:p>
    <w:p w14:paraId="4516815E">
      <w:pPr>
        <w:tabs>
          <w:tab w:val="left" w:pos="525"/>
          <w:tab w:val="left" w:pos="840"/>
          <w:tab w:val="left" w:pos="945"/>
          <w:tab w:val="left" w:pos="1050"/>
        </w:tabs>
        <w:spacing w:line="360" w:lineRule="auto"/>
        <w:ind w:firstLine="480"/>
        <w:rPr>
          <w:rFonts w:ascii="宋体" w:hAnsi="宋体"/>
          <w:bCs/>
          <w:color w:val="auto"/>
          <w:sz w:val="24"/>
          <w:highlight w:val="none"/>
        </w:rPr>
      </w:pPr>
      <w:r>
        <w:rPr>
          <w:rFonts w:hint="eastAsia" w:ascii="宋体" w:hAnsi="宋体" w:cs="宋体"/>
          <w:bCs/>
          <w:color w:val="auto"/>
          <w:sz w:val="24"/>
          <w:highlight w:val="none"/>
        </w:rPr>
        <w:t>3.经双方协商，从交货并调试验收合格之日起，货物质保期为</w:t>
      </w:r>
      <w:r>
        <w:rPr>
          <w:rFonts w:hint="eastAsia" w:ascii="宋体" w:hAnsi="宋体" w:cs="宋体"/>
          <w:bCs/>
          <w:color w:val="auto"/>
          <w:sz w:val="24"/>
          <w:highlight w:val="none"/>
          <w:lang w:eastAsia="zh-CN"/>
        </w:rPr>
        <w:t>（</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年。质保期内设备出现质量问题的，供方应当无偿修理，故障排除时间不超过需方报故障后24小时。</w:t>
      </w:r>
      <w:r>
        <w:rPr>
          <w:rFonts w:hint="eastAsia" w:ascii="宋体" w:hAnsi="宋体"/>
          <w:bCs/>
          <w:color w:val="auto"/>
          <w:sz w:val="24"/>
          <w:highlight w:val="none"/>
        </w:rPr>
        <w:t>若供方未在上述时间内排除</w:t>
      </w:r>
      <w:r>
        <w:rPr>
          <w:rFonts w:hint="eastAsia" w:ascii="宋体" w:hAnsi="宋体" w:eastAsia="宋体" w:cs="Times New Roman"/>
          <w:bCs/>
          <w:color w:val="auto"/>
          <w:sz w:val="24"/>
          <w:highlight w:val="none"/>
        </w:rPr>
        <w:t>故障的，</w:t>
      </w:r>
      <w:r>
        <w:rPr>
          <w:rFonts w:hint="eastAsia" w:ascii="宋体" w:hAnsi="宋体" w:eastAsia="宋体" w:cs="Times New Roman"/>
          <w:bCs/>
          <w:color w:val="auto"/>
          <w:sz w:val="24"/>
          <w:highlight w:val="none"/>
          <w:lang w:eastAsia="zh-CN"/>
        </w:rPr>
        <w:t>供方赔偿需方损失</w:t>
      </w:r>
      <w:r>
        <w:rPr>
          <w:rFonts w:hint="eastAsia" w:ascii="宋体" w:hAnsi="宋体" w:eastAsia="宋体" w:cs="Times New Roman"/>
          <w:bCs/>
          <w:color w:val="auto"/>
          <w:sz w:val="24"/>
          <w:highlight w:val="none"/>
          <w:lang w:val="en-US" w:eastAsia="zh-CN"/>
        </w:rPr>
        <w:t>5000元/次，</w:t>
      </w:r>
      <w:r>
        <w:rPr>
          <w:rFonts w:hint="eastAsia" w:ascii="宋体" w:hAnsi="宋体" w:eastAsia="宋体" w:cs="Times New Roman"/>
          <w:bCs/>
          <w:color w:val="auto"/>
          <w:sz w:val="24"/>
          <w:highlight w:val="none"/>
        </w:rPr>
        <w:t>质保期外设备出现质量问题的，供方应在报故障后24小时内排除故障，并按照成本价向需方收</w:t>
      </w:r>
      <w:r>
        <w:rPr>
          <w:rFonts w:hint="eastAsia" w:ascii="宋体" w:hAnsi="宋体"/>
          <w:bCs/>
          <w:color w:val="auto"/>
          <w:sz w:val="24"/>
          <w:highlight w:val="none"/>
        </w:rPr>
        <w:t>取费用。</w:t>
      </w:r>
    </w:p>
    <w:p w14:paraId="260541A1">
      <w:pPr>
        <w:tabs>
          <w:tab w:val="left" w:pos="525"/>
          <w:tab w:val="left" w:pos="840"/>
          <w:tab w:val="left" w:pos="94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4.需方应向供方现场调试的技术人员及维修人员提供方便条件，有关费用由供方负责。</w:t>
      </w:r>
    </w:p>
    <w:p w14:paraId="12DFD484">
      <w:pPr>
        <w:tabs>
          <w:tab w:val="left" w:pos="525"/>
          <w:tab w:val="left" w:pos="840"/>
          <w:tab w:val="left" w:pos="945"/>
          <w:tab w:val="left" w:pos="105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5.需方如要求供方提供招标文件及供方投标文件以外的其它服务，其费用另定。</w:t>
      </w:r>
    </w:p>
    <w:p w14:paraId="65AFB208">
      <w:pPr>
        <w:tabs>
          <w:tab w:val="left" w:pos="0"/>
          <w:tab w:val="left" w:pos="525"/>
          <w:tab w:val="left" w:pos="945"/>
        </w:tabs>
        <w:spacing w:line="360" w:lineRule="auto"/>
        <w:ind w:left="456"/>
        <w:rPr>
          <w:rFonts w:ascii="宋体" w:hAnsi="宋体" w:cs="宋体"/>
          <w:bCs/>
          <w:color w:val="auto"/>
          <w:sz w:val="24"/>
          <w:highlight w:val="none"/>
        </w:rPr>
      </w:pPr>
      <w:r>
        <w:rPr>
          <w:rFonts w:hint="eastAsia" w:ascii="宋体" w:hAnsi="宋体" w:cs="宋体"/>
          <w:bCs/>
          <w:color w:val="auto"/>
          <w:sz w:val="24"/>
          <w:highlight w:val="none"/>
        </w:rPr>
        <w:t>十、违约责任：</w:t>
      </w:r>
    </w:p>
    <w:p w14:paraId="0E1265FC">
      <w:pPr>
        <w:keepNext w:val="0"/>
        <w:keepLines w:val="0"/>
        <w:pageBreakBefore w:val="0"/>
        <w:widowControl w:val="0"/>
        <w:tabs>
          <w:tab w:val="left" w:pos="0"/>
          <w:tab w:val="left" w:pos="525"/>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1478B042">
      <w:pPr>
        <w:keepNext w:val="0"/>
        <w:keepLines w:val="0"/>
        <w:pageBreakBefore w:val="0"/>
        <w:widowControl w:val="0"/>
        <w:tabs>
          <w:tab w:val="left" w:pos="0"/>
          <w:tab w:val="left" w:pos="525"/>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131E8CD2">
      <w:pPr>
        <w:keepNext w:val="0"/>
        <w:keepLines w:val="0"/>
        <w:pageBreakBefore w:val="0"/>
        <w:widowControl w:val="0"/>
        <w:tabs>
          <w:tab w:val="left" w:pos="105"/>
          <w:tab w:val="left" w:pos="525"/>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3.需方无正当理由逾期付款时，每逾期一日，需方应按照逾期付款金额的万分之五的标准累计计算向供方支付违约金。</w:t>
      </w:r>
    </w:p>
    <w:p w14:paraId="271662A8">
      <w:pPr>
        <w:keepNext w:val="0"/>
        <w:keepLines w:val="0"/>
        <w:pageBreakBefore w:val="0"/>
        <w:widowControl w:val="0"/>
        <w:tabs>
          <w:tab w:val="left" w:pos="105"/>
          <w:tab w:val="left" w:pos="525"/>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4.由于需方的原因要求延期交货，需方应按规定承付货款，并承担供方提供的代为保管费。（有关仓储规定另议）</w:t>
      </w:r>
    </w:p>
    <w:p w14:paraId="1DDD6416">
      <w:pPr>
        <w:keepNext w:val="0"/>
        <w:keepLines w:val="0"/>
        <w:pageBreakBefore w:val="0"/>
        <w:widowControl w:val="0"/>
        <w:tabs>
          <w:tab w:val="left" w:pos="105"/>
          <w:tab w:val="left" w:pos="525"/>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5.供方如无不可抗力，又未履行招标文件、投标文件和合同条款的，一经查实，由供方赔偿由此给需方造成的损失，并按照合同总价的30%向需方支付违约金，</w:t>
      </w:r>
      <w:r>
        <w:rPr>
          <w:rFonts w:hint="eastAsia" w:ascii="宋体" w:hAnsi="宋体"/>
          <w:bCs/>
          <w:color w:val="auto"/>
          <w:sz w:val="24"/>
          <w:highlight w:val="none"/>
        </w:rPr>
        <w:t>并赔偿需方因此遭受的全部损失。</w:t>
      </w:r>
      <w:r>
        <w:rPr>
          <w:rFonts w:hint="eastAsia" w:ascii="宋体" w:hAnsi="宋体" w:cs="宋体"/>
          <w:bCs/>
          <w:color w:val="auto"/>
          <w:sz w:val="24"/>
          <w:highlight w:val="none"/>
        </w:rPr>
        <w:t>因招、投标产生的其他责任及后果按招标文件的相关要求及处理方式执行。</w:t>
      </w:r>
    </w:p>
    <w:p w14:paraId="6D571DAC">
      <w:pPr>
        <w:keepNext w:val="0"/>
        <w:keepLines w:val="0"/>
        <w:pageBreakBefore w:val="0"/>
        <w:widowControl w:val="0"/>
        <w:tabs>
          <w:tab w:val="left" w:pos="105"/>
          <w:tab w:val="left" w:pos="525"/>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所有维权费用）。供方并应按照合同总价的20%向需方支付违约金，如给需方造成其他损失的，供方还应负责赔偿。</w:t>
      </w:r>
    </w:p>
    <w:p w14:paraId="6B4DB9AE">
      <w:pPr>
        <w:keepNext w:val="0"/>
        <w:keepLines w:val="0"/>
        <w:pageBreakBefore w:val="0"/>
        <w:widowControl w:val="0"/>
        <w:tabs>
          <w:tab w:val="left" w:pos="105"/>
          <w:tab w:val="left" w:pos="525"/>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7.如遭遇不可抗力事件，遭遇不可抗力的一方应尽快以书面形式将不可抗力的情况和原因通知另一方，并积极采取措施防止损失扩大。因不可抗力造成的损失，供、需双方按照法律规定处理。</w:t>
      </w:r>
    </w:p>
    <w:p w14:paraId="2DB21EC5">
      <w:pPr>
        <w:tabs>
          <w:tab w:val="left" w:pos="105"/>
          <w:tab w:val="left" w:pos="525"/>
          <w:tab w:val="left" w:pos="945"/>
        </w:tabs>
        <w:spacing w:line="360" w:lineRule="auto"/>
        <w:ind w:left="0" w:firstLine="456"/>
        <w:rPr>
          <w:rFonts w:ascii="宋体" w:hAnsi="宋体" w:cs="宋体"/>
          <w:bCs/>
          <w:color w:val="auto"/>
          <w:sz w:val="24"/>
          <w:highlight w:val="none"/>
        </w:rPr>
      </w:pPr>
      <w:r>
        <w:rPr>
          <w:rFonts w:hint="eastAsia" w:ascii="宋体" w:hAnsi="宋体" w:cs="宋体"/>
          <w:bCs/>
          <w:color w:val="auto"/>
          <w:sz w:val="24"/>
          <w:highlight w:val="none"/>
        </w:rPr>
        <w:t>8.招标文件及合同中所述之“不可抗力”系指不可预见、不可避免、不可克服的事件，包括但不限于：战争、洪水、台风、地震及其他法律、法规规定的事件。</w:t>
      </w:r>
    </w:p>
    <w:p w14:paraId="5C511E1A">
      <w:pPr>
        <w:tabs>
          <w:tab w:val="left" w:pos="105"/>
          <w:tab w:val="left" w:pos="525"/>
          <w:tab w:val="left" w:pos="945"/>
        </w:tabs>
        <w:spacing w:line="360" w:lineRule="auto"/>
        <w:ind w:left="0" w:firstLine="480"/>
        <w:rPr>
          <w:rFonts w:ascii="宋体" w:hAnsi="宋体" w:cs="宋体"/>
          <w:bCs/>
          <w:color w:val="auto"/>
          <w:sz w:val="24"/>
          <w:highlight w:val="none"/>
        </w:rPr>
      </w:pPr>
      <w:r>
        <w:rPr>
          <w:rFonts w:ascii="宋体" w:hAnsi="宋体" w:cs="宋体"/>
          <w:bCs/>
          <w:color w:val="auto"/>
          <w:sz w:val="24"/>
          <w:highlight w:val="none"/>
        </w:rPr>
        <w:t>9.</w:t>
      </w:r>
      <w:r>
        <w:rPr>
          <w:rFonts w:hint="eastAsia" w:ascii="宋体" w:hAnsi="宋体" w:cs="宋体"/>
          <w:bCs/>
          <w:color w:val="auto"/>
          <w:sz w:val="24"/>
          <w:highlight w:val="none"/>
        </w:rPr>
        <w:t>上述所称损失，包括但不限于直接损失、可得利益损失、维权费用开支、诉讼费、仲裁费、律师费、公告费、执行费、担保费、保全费、交通费、差旅费等。</w:t>
      </w:r>
    </w:p>
    <w:p w14:paraId="0CF5178D">
      <w:pPr>
        <w:tabs>
          <w:tab w:val="left" w:pos="210"/>
          <w:tab w:val="left" w:pos="840"/>
          <w:tab w:val="left" w:pos="1260"/>
        </w:tabs>
        <w:spacing w:line="440" w:lineRule="exact"/>
        <w:ind w:left="458"/>
        <w:rPr>
          <w:rFonts w:ascii="宋体" w:hAnsi="宋体" w:cs="宋体"/>
          <w:bCs/>
          <w:color w:val="auto"/>
          <w:sz w:val="24"/>
          <w:highlight w:val="none"/>
        </w:rPr>
      </w:pPr>
      <w:r>
        <w:rPr>
          <w:rFonts w:hint="eastAsia" w:ascii="宋体" w:hAnsi="宋体" w:cs="宋体"/>
          <w:bCs/>
          <w:color w:val="auto"/>
          <w:sz w:val="24"/>
          <w:highlight w:val="none"/>
        </w:rPr>
        <w:t>十一、解决争议的方式：</w:t>
      </w:r>
    </w:p>
    <w:p w14:paraId="674DAB59">
      <w:pPr>
        <w:numPr>
          <w:ilvl w:val="0"/>
          <w:numId w:val="10"/>
        </w:numPr>
        <w:tabs>
          <w:tab w:val="left" w:pos="0"/>
          <w:tab w:val="left" w:pos="525"/>
          <w:tab w:val="left" w:pos="945"/>
        </w:tabs>
        <w:spacing w:line="360" w:lineRule="auto"/>
        <w:ind w:left="0" w:firstLine="520"/>
        <w:rPr>
          <w:rFonts w:ascii="宋体" w:hAnsi="宋体" w:cs="宋体"/>
          <w:bCs/>
          <w:color w:val="auto"/>
          <w:sz w:val="24"/>
          <w:highlight w:val="none"/>
        </w:rPr>
      </w:pPr>
      <w:r>
        <w:rPr>
          <w:rFonts w:hint="eastAsia" w:ascii="宋体" w:hAnsi="宋体" w:cs="宋体"/>
          <w:bCs/>
          <w:color w:val="auto"/>
          <w:sz w:val="24"/>
          <w:highlight w:val="none"/>
        </w:rPr>
        <w:t>合同经供需双方代表签字并盖章后即生效。</w:t>
      </w:r>
    </w:p>
    <w:p w14:paraId="081FB291">
      <w:pPr>
        <w:numPr>
          <w:ilvl w:val="0"/>
          <w:numId w:val="10"/>
        </w:numPr>
        <w:tabs>
          <w:tab w:val="left" w:pos="0"/>
          <w:tab w:val="left" w:pos="525"/>
          <w:tab w:val="left" w:pos="945"/>
        </w:tabs>
        <w:spacing w:line="360" w:lineRule="auto"/>
        <w:ind w:left="0" w:firstLine="520"/>
        <w:rPr>
          <w:rFonts w:ascii="宋体" w:hAnsi="宋体" w:cs="宋体"/>
          <w:bCs/>
          <w:color w:val="auto"/>
          <w:sz w:val="24"/>
          <w:highlight w:val="none"/>
        </w:rPr>
      </w:pPr>
      <w:r>
        <w:rPr>
          <w:rFonts w:hint="eastAsia" w:ascii="宋体" w:hAnsi="宋体" w:cs="宋体"/>
          <w:bCs/>
          <w:color w:val="auto"/>
          <w:sz w:val="24"/>
          <w:highlight w:val="none"/>
        </w:rPr>
        <w:t>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cs="宋体"/>
          <w:bCs/>
          <w:color w:val="auto"/>
          <w:sz w:val="24"/>
          <w:highlight w:val="none"/>
          <w:u w:val="single"/>
        </w:rPr>
        <w:t xml:space="preserve"> 2  </w:t>
      </w:r>
      <w:r>
        <w:rPr>
          <w:rFonts w:hint="eastAsia" w:ascii="宋体" w:hAnsi="宋体" w:cs="宋体"/>
          <w:bCs/>
          <w:color w:val="auto"/>
          <w:sz w:val="24"/>
          <w:highlight w:val="none"/>
        </w:rPr>
        <w:t>方式处理：</w:t>
      </w:r>
    </w:p>
    <w:p w14:paraId="5BE37D5F">
      <w:pPr>
        <w:tabs>
          <w:tab w:val="left" w:pos="525"/>
          <w:tab w:val="left" w:pos="945"/>
        </w:tabs>
        <w:spacing w:line="360" w:lineRule="auto"/>
        <w:ind w:left="521"/>
        <w:rPr>
          <w:rFonts w:ascii="宋体" w:hAnsi="宋体" w:cs="宋体"/>
          <w:bCs/>
          <w:color w:val="auto"/>
          <w:sz w:val="24"/>
          <w:highlight w:val="none"/>
        </w:rPr>
      </w:pPr>
      <w:r>
        <w:rPr>
          <w:rFonts w:hint="eastAsia" w:ascii="宋体" w:hAnsi="宋体" w:cs="宋体"/>
          <w:bCs/>
          <w:color w:val="auto"/>
          <w:sz w:val="24"/>
          <w:highlight w:val="none"/>
        </w:rPr>
        <w:t>（1）向无锡仲裁委员会申请仲裁。</w:t>
      </w:r>
    </w:p>
    <w:p w14:paraId="44420CC4">
      <w:pPr>
        <w:tabs>
          <w:tab w:val="left" w:pos="525"/>
          <w:tab w:val="left" w:pos="945"/>
        </w:tabs>
        <w:spacing w:line="360" w:lineRule="auto"/>
        <w:ind w:left="521"/>
        <w:rPr>
          <w:rFonts w:ascii="宋体" w:hAnsi="宋体" w:cs="宋体"/>
          <w:bCs/>
          <w:color w:val="auto"/>
          <w:sz w:val="24"/>
          <w:highlight w:val="none"/>
        </w:rPr>
      </w:pPr>
      <w:r>
        <w:rPr>
          <w:rFonts w:hint="eastAsia" w:ascii="宋体" w:hAnsi="宋体" w:cs="宋体"/>
          <w:bCs/>
          <w:color w:val="auto"/>
          <w:sz w:val="24"/>
          <w:highlight w:val="none"/>
        </w:rPr>
        <w:t>（2）向需方所在地法院提起诉讼。</w:t>
      </w:r>
    </w:p>
    <w:p w14:paraId="059B1120">
      <w:pPr>
        <w:numPr>
          <w:ilvl w:val="0"/>
          <w:numId w:val="10"/>
        </w:numPr>
        <w:tabs>
          <w:tab w:val="left" w:pos="0"/>
          <w:tab w:val="left" w:pos="525"/>
          <w:tab w:val="left" w:pos="945"/>
        </w:tabs>
        <w:spacing w:line="360" w:lineRule="auto"/>
        <w:ind w:left="0" w:firstLine="520"/>
        <w:rPr>
          <w:rFonts w:ascii="宋体" w:hAnsi="宋体" w:cs="宋体"/>
          <w:bCs/>
          <w:color w:val="auto"/>
          <w:sz w:val="24"/>
          <w:highlight w:val="none"/>
        </w:rPr>
      </w:pPr>
      <w:r>
        <w:rPr>
          <w:rFonts w:hint="eastAsia" w:ascii="宋体" w:hAnsi="宋体" w:cs="宋体"/>
          <w:bCs/>
          <w:color w:val="auto"/>
          <w:sz w:val="24"/>
          <w:highlight w:val="none"/>
        </w:rPr>
        <w:t>合同在执行过程中出现的未尽事宜，双方在不违背本合同和招标文件的原则下协商解决，协商结果以书面形式签订补充协议，且补充协议与本合同具有同等效力。</w:t>
      </w:r>
    </w:p>
    <w:p w14:paraId="769F33E8">
      <w:pPr>
        <w:numPr>
          <w:ilvl w:val="0"/>
          <w:numId w:val="10"/>
        </w:numPr>
        <w:tabs>
          <w:tab w:val="left" w:pos="0"/>
          <w:tab w:val="left" w:pos="525"/>
          <w:tab w:val="left" w:pos="945"/>
        </w:tabs>
        <w:spacing w:line="360" w:lineRule="auto"/>
        <w:ind w:left="0" w:firstLine="520"/>
        <w:rPr>
          <w:rFonts w:ascii="宋体" w:hAnsi="宋体" w:cs="宋体"/>
          <w:bCs/>
          <w:color w:val="auto"/>
          <w:sz w:val="24"/>
          <w:highlight w:val="none"/>
        </w:rPr>
      </w:pPr>
      <w:r>
        <w:rPr>
          <w:rFonts w:hint="eastAsia" w:ascii="宋体" w:hAnsi="宋体" w:cs="宋体"/>
          <w:bCs/>
          <w:color w:val="auto"/>
          <w:sz w:val="24"/>
          <w:highlight w:val="none"/>
        </w:rPr>
        <w:t>合同中未有约定的按照有关的法律法规以及国家行业标准或技术文件规定予以解决。</w:t>
      </w:r>
    </w:p>
    <w:p w14:paraId="6D9A792D">
      <w:pPr>
        <w:tabs>
          <w:tab w:val="left" w:pos="210"/>
          <w:tab w:val="left" w:pos="840"/>
          <w:tab w:val="left" w:pos="1260"/>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十二、其它事项：</w:t>
      </w:r>
    </w:p>
    <w:p w14:paraId="5BD1DA74">
      <w:pPr>
        <w:tabs>
          <w:tab w:val="left" w:pos="0"/>
          <w:tab w:val="left" w:pos="525"/>
          <w:tab w:val="left" w:pos="945"/>
        </w:tabs>
        <w:spacing w:line="360" w:lineRule="auto"/>
        <w:ind w:left="0" w:firstLine="456"/>
        <w:rPr>
          <w:rFonts w:ascii="宋体" w:hAnsi="宋体" w:cs="宋体"/>
          <w:bCs/>
          <w:color w:val="auto"/>
          <w:sz w:val="24"/>
          <w:highlight w:val="none"/>
        </w:rPr>
      </w:pPr>
      <w:r>
        <w:rPr>
          <w:rFonts w:hint="eastAsia" w:ascii="宋体" w:hAnsi="宋体" w:cs="宋体"/>
          <w:bCs/>
          <w:color w:val="auto"/>
          <w:sz w:val="24"/>
          <w:highlight w:val="none"/>
        </w:rPr>
        <w:t>供需双方确认：对本合同条款及后果均已知悉，一致确认不存在欺诈、胁迫、乘人之危、重大误解、显失公平等任何可能导致合同无效或被撤销的情形。</w:t>
      </w:r>
    </w:p>
    <w:p w14:paraId="7CE0AAAC">
      <w:pPr>
        <w:tabs>
          <w:tab w:val="left" w:pos="210"/>
          <w:tab w:val="left" w:pos="840"/>
          <w:tab w:val="left" w:pos="1260"/>
        </w:tabs>
        <w:spacing w:line="440" w:lineRule="exact"/>
        <w:ind w:left="458"/>
        <w:rPr>
          <w:rFonts w:ascii="宋体" w:hAnsi="宋体" w:cs="宋体"/>
          <w:bCs/>
          <w:color w:val="auto"/>
          <w:sz w:val="24"/>
          <w:highlight w:val="none"/>
        </w:rPr>
      </w:pPr>
      <w:r>
        <w:rPr>
          <w:rFonts w:hint="eastAsia" w:ascii="宋体" w:hAnsi="宋体" w:cs="宋体"/>
          <w:bCs/>
          <w:color w:val="auto"/>
          <w:sz w:val="24"/>
          <w:highlight w:val="none"/>
        </w:rPr>
        <w:t>十三、合同不可分割部分：</w:t>
      </w:r>
    </w:p>
    <w:p w14:paraId="09BDF81C">
      <w:pPr>
        <w:tabs>
          <w:tab w:val="left" w:pos="210"/>
          <w:tab w:val="left" w:pos="420"/>
          <w:tab w:val="left" w:pos="1155"/>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招标文件、投标文件、合同条款及中标通知书，供方在投标、评标过程中所作其它有关承诺、声明、书面澄清等均为合同不可分割的部分，与主合同具有同等法律效力。</w:t>
      </w:r>
    </w:p>
    <w:p w14:paraId="36C08F75">
      <w:pPr>
        <w:tabs>
          <w:tab w:val="left" w:pos="210"/>
          <w:tab w:val="left" w:pos="840"/>
          <w:tab w:val="left" w:pos="1155"/>
        </w:tabs>
        <w:spacing w:line="440" w:lineRule="exact"/>
        <w:ind w:left="458"/>
        <w:rPr>
          <w:rFonts w:ascii="宋体" w:hAnsi="宋体" w:cs="宋体"/>
          <w:bCs/>
          <w:color w:val="auto"/>
          <w:sz w:val="24"/>
          <w:highlight w:val="none"/>
        </w:rPr>
      </w:pPr>
      <w:r>
        <w:rPr>
          <w:rFonts w:hint="eastAsia" w:ascii="宋体" w:hAnsi="宋体" w:cs="宋体"/>
          <w:bCs/>
          <w:color w:val="auto"/>
          <w:sz w:val="24"/>
          <w:highlight w:val="none"/>
        </w:rPr>
        <w:t>十四、合同生效：</w:t>
      </w:r>
    </w:p>
    <w:p w14:paraId="0C5F4515">
      <w:pPr>
        <w:spacing w:line="400" w:lineRule="exact"/>
        <w:rPr>
          <w:rFonts w:ascii="宋体" w:hAnsi="宋体" w:cs="宋体"/>
          <w:bCs/>
          <w:color w:val="auto"/>
          <w:sz w:val="24"/>
          <w:highlight w:val="none"/>
        </w:rPr>
      </w:pPr>
      <w:r>
        <w:rPr>
          <w:rFonts w:hint="eastAsia" w:ascii="宋体" w:hAnsi="宋体" w:cs="宋体"/>
          <w:bCs/>
          <w:color w:val="auto"/>
          <w:sz w:val="24"/>
          <w:highlight w:val="none"/>
        </w:rPr>
        <w:tab/>
      </w:r>
      <w:r>
        <w:rPr>
          <w:rFonts w:hint="eastAsia" w:ascii="宋体" w:hAnsi="宋体" w:cs="宋体"/>
          <w:bCs/>
          <w:color w:val="auto"/>
          <w:sz w:val="24"/>
          <w:highlight w:val="none"/>
        </w:rPr>
        <w:t>本协议书一式</w:t>
      </w:r>
      <w:r>
        <w:rPr>
          <w:rFonts w:hint="eastAsia" w:ascii="宋体" w:hAnsi="宋体" w:cs="宋体"/>
          <w:bCs/>
          <w:color w:val="auto"/>
          <w:sz w:val="24"/>
          <w:highlight w:val="none"/>
          <w:lang w:eastAsia="zh-CN"/>
        </w:rPr>
        <w:t>伍</w:t>
      </w:r>
      <w:r>
        <w:rPr>
          <w:rFonts w:hint="eastAsia" w:ascii="宋体" w:hAnsi="宋体" w:cs="宋体"/>
          <w:bCs/>
          <w:color w:val="auto"/>
          <w:sz w:val="24"/>
          <w:highlight w:val="none"/>
        </w:rPr>
        <w:t>份，具有同等法律效力。供需双方各执贰份，</w:t>
      </w:r>
      <w:r>
        <w:rPr>
          <w:rFonts w:hint="eastAsia" w:ascii="宋体" w:hAnsi="宋体" w:cs="宋体"/>
          <w:bCs/>
          <w:color w:val="auto"/>
          <w:sz w:val="24"/>
          <w:highlight w:val="none"/>
          <w:lang w:eastAsia="zh-CN"/>
        </w:rPr>
        <w:t>采购代理机构</w:t>
      </w:r>
      <w:r>
        <w:rPr>
          <w:rFonts w:hint="eastAsia" w:ascii="宋体" w:hAnsi="宋体" w:cs="宋体"/>
          <w:bCs/>
          <w:color w:val="auto"/>
          <w:sz w:val="24"/>
          <w:highlight w:val="none"/>
        </w:rPr>
        <w:t>执壹份。</w:t>
      </w:r>
    </w:p>
    <w:p w14:paraId="12A25D8C">
      <w:pPr>
        <w:spacing w:line="440" w:lineRule="exact"/>
        <w:ind w:left="6000" w:hanging="6000"/>
        <w:rPr>
          <w:rFonts w:ascii="宋体" w:hAnsi="宋体" w:cs="宋体"/>
          <w:bCs/>
          <w:color w:val="auto"/>
          <w:sz w:val="24"/>
          <w:highlight w:val="none"/>
        </w:rPr>
      </w:pPr>
    </w:p>
    <w:bookmarkEnd w:id="1"/>
    <w:p w14:paraId="60DDF7A4">
      <w:pPr>
        <w:spacing w:line="440" w:lineRule="exact"/>
        <w:ind w:left="6000" w:hanging="6000"/>
        <w:rPr>
          <w:rFonts w:hint="eastAsia" w:ascii="宋体" w:hAnsi="宋体" w:cs="宋体"/>
          <w:bCs/>
          <w:color w:val="auto"/>
          <w:sz w:val="24"/>
          <w:highlight w:val="none"/>
          <w:lang w:eastAsia="zh-CN"/>
        </w:rPr>
      </w:pPr>
      <w:r>
        <w:rPr>
          <w:rFonts w:hint="eastAsia" w:ascii="宋体" w:hAnsi="宋体" w:cs="宋体"/>
          <w:bCs/>
          <w:color w:val="auto"/>
          <w:sz w:val="24"/>
          <w:highlight w:val="none"/>
        </w:rPr>
        <w:t>需方（采购人）：</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供方（中标方）：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5C997F2D">
      <w:pPr>
        <w:spacing w:line="440" w:lineRule="exact"/>
        <w:rPr>
          <w:rFonts w:ascii="宋体" w:hAnsi="宋体" w:cs="宋体"/>
          <w:bCs/>
          <w:color w:val="auto"/>
          <w:sz w:val="24"/>
          <w:highlight w:val="none"/>
          <w:u w:val="single"/>
        </w:rPr>
      </w:pPr>
      <w:r>
        <w:rPr>
          <w:rFonts w:hint="eastAsia" w:ascii="宋体" w:hAnsi="宋体" w:cs="宋体"/>
          <w:bCs/>
          <w:color w:val="auto"/>
          <w:sz w:val="24"/>
          <w:highlight w:val="none"/>
        </w:rPr>
        <w:t>法定（授权）代表人：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法定（授权）代表人：</w:t>
      </w:r>
      <w:r>
        <w:rPr>
          <w:rFonts w:hint="eastAsia" w:ascii="宋体" w:hAnsi="宋体" w:cs="宋体"/>
          <w:bCs/>
          <w:color w:val="auto"/>
          <w:sz w:val="24"/>
          <w:highlight w:val="none"/>
          <w:u w:val="single"/>
        </w:rPr>
        <w:t xml:space="preserve">                       </w:t>
      </w:r>
    </w:p>
    <w:p w14:paraId="61BE3ADE">
      <w:pPr>
        <w:spacing w:line="440" w:lineRule="exact"/>
        <w:rPr>
          <w:rFonts w:ascii="宋体" w:hAnsi="宋体" w:cs="宋体"/>
          <w:bCs/>
          <w:color w:val="auto"/>
          <w:sz w:val="24"/>
          <w:highlight w:val="none"/>
          <w:u w:val="singl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日</w:t>
      </w:r>
    </w:p>
    <w:p w14:paraId="4E389C60">
      <w:pPr>
        <w:spacing w:line="440" w:lineRule="exact"/>
        <w:ind w:firstLine="480"/>
        <w:rPr>
          <w:rFonts w:ascii="宋体" w:hAnsi="宋体" w:cs="宋体"/>
          <w:bCs/>
          <w:color w:val="auto"/>
          <w:sz w:val="24"/>
          <w:highlight w:val="none"/>
          <w:u w:val="single"/>
        </w:rPr>
      </w:pPr>
      <w:r>
        <w:rPr>
          <w:rFonts w:hint="eastAsia" w:ascii="宋体" w:hAnsi="宋体" w:cs="宋体"/>
          <w:bCs/>
          <w:color w:val="auto"/>
          <w:sz w:val="24"/>
          <w:highlight w:val="none"/>
        </w:rPr>
        <w:t xml:space="preserve">                                供方户名：</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p>
    <w:p w14:paraId="40F4574E">
      <w:pPr>
        <w:spacing w:line="440" w:lineRule="exact"/>
        <w:rPr>
          <w:rFonts w:ascii="宋体" w:hAnsi="宋体" w:cs="宋体"/>
          <w:bCs/>
          <w:color w:val="auto"/>
          <w:sz w:val="24"/>
          <w:highlight w:val="none"/>
        </w:rPr>
      </w:pPr>
      <w:r>
        <w:rPr>
          <w:rFonts w:hint="eastAsia" w:ascii="宋体" w:hAnsi="宋体" w:cs="宋体"/>
          <w:bCs/>
          <w:color w:val="auto"/>
          <w:sz w:val="24"/>
          <w:highlight w:val="none"/>
        </w:rPr>
        <w:t xml:space="preserve">                                    供方开户银行：</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41D681F1">
      <w:pPr>
        <w:jc w:val="left"/>
        <w:rPr>
          <w:rFonts w:ascii="宋体" w:hAnsi="宋体" w:cs="宋体"/>
          <w:bCs/>
          <w:color w:val="auto"/>
          <w:sz w:val="24"/>
          <w:highlight w:val="none"/>
        </w:rPr>
      </w:pPr>
    </w:p>
    <w:p w14:paraId="5A7AB512">
      <w:pPr>
        <w:jc w:val="left"/>
        <w:rPr>
          <w:rFonts w:ascii="宋体" w:hAnsi="宋体" w:cs="宋体"/>
          <w:bCs/>
          <w:color w:val="auto"/>
          <w:sz w:val="24"/>
          <w:highlight w:val="none"/>
        </w:rPr>
      </w:pPr>
    </w:p>
    <w:p w14:paraId="7B298EB1">
      <w:pPr>
        <w:jc w:val="left"/>
        <w:rPr>
          <w:rFonts w:ascii="宋体" w:hAnsi="宋体" w:cs="宋体"/>
          <w:bCs/>
          <w:color w:val="auto"/>
          <w:sz w:val="24"/>
          <w:highlight w:val="none"/>
        </w:rPr>
      </w:pPr>
    </w:p>
    <w:p w14:paraId="0E4D2D6E">
      <w:pPr>
        <w:rPr>
          <w:rFonts w:ascii="宋体" w:hAnsi="宋体" w:cs="宋体"/>
          <w:bCs/>
          <w:color w:val="auto"/>
          <w:szCs w:val="20"/>
          <w:highlight w:val="none"/>
        </w:rPr>
      </w:pPr>
    </w:p>
    <w:p w14:paraId="5005A0F2">
      <w:pPr>
        <w:spacing w:line="560" w:lineRule="exact"/>
        <w:jc w:val="center"/>
        <w:rPr>
          <w:rFonts w:ascii="方正小标宋简体" w:eastAsia="方正小标宋简体"/>
          <w:bCs/>
          <w:color w:val="auto"/>
          <w:sz w:val="44"/>
          <w:szCs w:val="44"/>
          <w:highlight w:val="none"/>
        </w:rPr>
      </w:pPr>
      <w:r>
        <w:rPr>
          <w:rFonts w:hint="eastAsia" w:ascii="方正小标宋简体" w:eastAsia="方正小标宋简体"/>
          <w:bCs/>
          <w:color w:val="auto"/>
          <w:sz w:val="44"/>
          <w:szCs w:val="44"/>
          <w:highlight w:val="none"/>
        </w:rPr>
        <w:t>医疗设备购销廉洁协议</w:t>
      </w:r>
    </w:p>
    <w:p w14:paraId="270A4FAF">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为了进一步加强党风廉政建设，预防业务活动中不规范和违纪违法行为的发生，根据上级有关法律法规和单位行风建设规章制度，（甲方）</w:t>
      </w:r>
      <w:r>
        <w:rPr>
          <w:rFonts w:hint="eastAsia" w:ascii="宋体" w:hAnsi="宋体" w:cs="宋体"/>
          <w:bCs/>
          <w:color w:val="auto"/>
          <w:sz w:val="24"/>
          <w:highlight w:val="none"/>
          <w:u w:val="single"/>
          <w:lang w:eastAsia="zh-CN"/>
        </w:rPr>
        <w:t>无锡市新吴区疾病预防控制中心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（医疗卫生单位），（乙方）</w:t>
      </w:r>
      <w:r>
        <w:rPr>
          <w:rFonts w:hint="eastAsia" w:ascii="宋体" w:hAnsi="宋体" w:cs="宋体"/>
          <w:bCs/>
          <w:color w:val="auto"/>
          <w:sz w:val="24"/>
          <w:highlight w:val="none"/>
          <w:u w:val="single"/>
        </w:rPr>
        <w:t xml:space="preserve"> </w:t>
      </w:r>
      <w:r>
        <w:rPr>
          <w:rFonts w:ascii="宋体" w:hAnsi="宋体" w:cs="宋体"/>
          <w:bCs/>
          <w:color w:val="auto"/>
          <w:sz w:val="24"/>
          <w:highlight w:val="none"/>
          <w:u w:val="single"/>
        </w:rPr>
        <w:t xml:space="preserve">               </w:t>
      </w:r>
      <w:r>
        <w:rPr>
          <w:rFonts w:hint="eastAsia" w:ascii="宋体" w:hAnsi="宋体" w:cs="宋体"/>
          <w:bCs/>
          <w:color w:val="auto"/>
          <w:sz w:val="24"/>
          <w:highlight w:val="none"/>
        </w:rPr>
        <w:t>特订立如下协议。</w:t>
      </w:r>
    </w:p>
    <w:p w14:paraId="1387E2E8">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一、甲乙双方的权利和义务</w:t>
      </w:r>
    </w:p>
    <w:p w14:paraId="376999F8">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（一）双方严格遵守国家有关法律法规及党风廉政的规定。</w:t>
      </w:r>
    </w:p>
    <w:p w14:paraId="5381255E">
      <w:pPr>
        <w:pStyle w:val="222"/>
        <w:spacing w:line="520" w:lineRule="exact"/>
        <w:ind w:firstLine="6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（二）双方的业务活动坚持公开、公正、诚信、透明的原则，不得损害国家、集体和病人的利益，违反行业管理的各项规章制度。</w:t>
      </w:r>
    </w:p>
    <w:p w14:paraId="50FA7835">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（三）发现对方在业务活动中有违反廉政规定的行为，有及时提醒对方纠正的权利和义务。</w:t>
      </w:r>
    </w:p>
    <w:p w14:paraId="2B62D147">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（四）双方承诺严格遵守本协议，自觉接受双方纪检监察部门的监督。</w:t>
      </w:r>
    </w:p>
    <w:p w14:paraId="2CA8ECF4">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二、甲方的义务</w:t>
      </w:r>
    </w:p>
    <w:p w14:paraId="2FC6A0D8">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（一）甲方及其工作人员不得索要或接受乙方的钱物。</w:t>
      </w:r>
    </w:p>
    <w:p w14:paraId="141B1AD1">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（二）甲方工作人员不得私自接受乙方承担费用的旅游、参观、学习培训等活动。</w:t>
      </w:r>
    </w:p>
    <w:p w14:paraId="2C73F890">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（三）甲方工作人员要秉公办事，不得营私舞弊，不得以权谋私，获得非法利益。</w:t>
      </w:r>
    </w:p>
    <w:p w14:paraId="7EA8B302">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（四）甲方工作人员有义务宣传、告知</w:t>
      </w:r>
      <w:r>
        <w:rPr>
          <w:rFonts w:hint="eastAsia" w:ascii="宋体" w:hAnsi="宋体" w:cs="宋体"/>
          <w:bCs/>
          <w:color w:val="auto"/>
          <w:sz w:val="24"/>
          <w:highlight w:val="none"/>
          <w:lang w:eastAsia="zh-CN"/>
        </w:rPr>
        <w:t>本单位</w:t>
      </w:r>
      <w:r>
        <w:rPr>
          <w:rFonts w:hint="eastAsia" w:ascii="宋体" w:hAnsi="宋体" w:cs="宋体"/>
          <w:bCs/>
          <w:color w:val="auto"/>
          <w:sz w:val="24"/>
          <w:highlight w:val="none"/>
        </w:rPr>
        <w:t>已建立的行风建设制度和规定。</w:t>
      </w:r>
    </w:p>
    <w:p w14:paraId="092DFBD3">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三、乙方的承诺</w:t>
      </w:r>
    </w:p>
    <w:p w14:paraId="6FA60746">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1、不以现金、有价证券、实物或变相组织旅游和娱乐活动等形式贿赂本院管理及医务人员。</w:t>
      </w:r>
    </w:p>
    <w:p w14:paraId="4B9A9981">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2、不以任何名义为甲方工作人员报销应由个人支付的任何费用。</w:t>
      </w:r>
    </w:p>
    <w:p w14:paraId="388FFA8B">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3、不以任何理由安排甲方工作人员参加高消费宴请及娱乐活动。</w:t>
      </w:r>
    </w:p>
    <w:p w14:paraId="0191E456">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4、不为甲方工作人员及其家属购置或提供通讯工具、交通工具、高档办公用品和一些其他服务。</w:t>
      </w:r>
    </w:p>
    <w:p w14:paraId="0C7AB228">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5、不得要求</w:t>
      </w:r>
      <w:r>
        <w:rPr>
          <w:rFonts w:hint="eastAsia" w:ascii="宋体" w:hAnsi="宋体" w:cs="宋体"/>
          <w:bCs/>
          <w:color w:val="auto"/>
          <w:sz w:val="24"/>
          <w:highlight w:val="none"/>
          <w:lang w:eastAsia="zh-CN"/>
        </w:rPr>
        <w:t>本单位</w:t>
      </w:r>
      <w:r>
        <w:rPr>
          <w:rFonts w:hint="eastAsia" w:ascii="宋体" w:hAnsi="宋体" w:cs="宋体"/>
          <w:bCs/>
          <w:color w:val="auto"/>
          <w:sz w:val="24"/>
          <w:highlight w:val="none"/>
        </w:rPr>
        <w:t>任何部门、任何个人对药品、器械的使用情况进行统计。</w:t>
      </w:r>
    </w:p>
    <w:p w14:paraId="7DF4CAA2">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6、遵守“两指”制度。医药器械代表必须在指定时间、指定地点开展活动。</w:t>
      </w:r>
    </w:p>
    <w:p w14:paraId="037FB2EA">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四、违约责任</w:t>
      </w:r>
    </w:p>
    <w:p w14:paraId="12CF123E">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（一）甲方及其工作人员违反本协议，按管理权限，依据有关规定给予党纪、政纪或组织处理；涉嫌犯罪的，移交司法机关追究刑事责任。</w:t>
      </w:r>
    </w:p>
    <w:p w14:paraId="11D39B24">
      <w:pPr>
        <w:spacing w:line="520" w:lineRule="exact"/>
        <w:ind w:firstLine="480"/>
        <w:rPr>
          <w:rFonts w:ascii="宋体" w:hAnsi="宋体" w:cs="宋体"/>
          <w:bCs/>
          <w:color w:val="auto"/>
          <w:sz w:val="24"/>
          <w:highlight w:val="none"/>
        </w:rPr>
      </w:pPr>
      <w:r>
        <w:rPr>
          <w:rFonts w:hint="eastAsia" w:ascii="宋体" w:hAnsi="宋体" w:cs="宋体"/>
          <w:bCs/>
          <w:color w:val="auto"/>
          <w:sz w:val="24"/>
          <w:highlight w:val="none"/>
        </w:rPr>
        <w:t>（二）乙方及其工作人员违反本协议的，按管理权限，依据有关规定，给予相应处分。实施商业贿赂行为的，将被列入商业贿赂不良记录；涉嫌犯罪的，移交司法机关追究刑事责任。同时，甲方有权终止其业务往来。</w:t>
      </w:r>
    </w:p>
    <w:p w14:paraId="5A5265F0">
      <w:pPr>
        <w:spacing w:line="520" w:lineRule="exact"/>
        <w:ind w:firstLine="480"/>
        <w:rPr>
          <w:rFonts w:ascii="宋体" w:hAnsi="宋体" w:cs="宋体"/>
          <w:bCs/>
          <w:color w:val="auto"/>
          <w:sz w:val="24"/>
          <w:highlight w:val="none"/>
        </w:rPr>
      </w:pPr>
    </w:p>
    <w:p w14:paraId="3796F68F">
      <w:pPr>
        <w:spacing w:line="520" w:lineRule="exact"/>
        <w:rPr>
          <w:rFonts w:ascii="宋体" w:hAnsi="宋体" w:cs="宋体"/>
          <w:bCs/>
          <w:color w:val="auto"/>
          <w:sz w:val="24"/>
          <w:highlight w:val="none"/>
        </w:rPr>
      </w:pPr>
      <w:r>
        <w:rPr>
          <w:rFonts w:hint="eastAsia" w:ascii="宋体" w:hAnsi="宋体" w:cs="宋体"/>
          <w:bCs/>
          <w:color w:val="auto"/>
          <w:sz w:val="24"/>
          <w:highlight w:val="none"/>
        </w:rPr>
        <w:t>甲方：</w:t>
      </w:r>
      <w:r>
        <w:rPr>
          <w:rFonts w:hint="eastAsia" w:ascii="宋体" w:hAnsi="宋体" w:cs="宋体"/>
          <w:bCs/>
          <w:color w:val="auto"/>
          <w:sz w:val="24"/>
          <w:highlight w:val="none"/>
          <w:lang w:eastAsia="zh-CN"/>
        </w:rPr>
        <w:t>无锡市新吴区疾病预防控制中心</w:t>
      </w:r>
      <w:r>
        <w:rPr>
          <w:rFonts w:hint="eastAsia" w:ascii="宋体" w:hAnsi="宋体" w:cs="宋体"/>
          <w:bCs/>
          <w:color w:val="auto"/>
          <w:sz w:val="24"/>
          <w:highlight w:val="none"/>
        </w:rPr>
        <w:t xml:space="preserve">                乙方：</w:t>
      </w:r>
    </w:p>
    <w:p w14:paraId="50CC9CCD">
      <w:pPr>
        <w:spacing w:line="520" w:lineRule="exact"/>
        <w:ind w:left="5280" w:hanging="5280"/>
        <w:jc w:val="left"/>
        <w:rPr>
          <w:rFonts w:ascii="宋体" w:hAnsi="宋体" w:cs="宋体"/>
          <w:bCs/>
          <w:color w:val="auto"/>
          <w:sz w:val="24"/>
          <w:highlight w:val="none"/>
        </w:rPr>
      </w:pPr>
      <w:r>
        <w:rPr>
          <w:rFonts w:hint="eastAsia" w:ascii="宋体" w:hAnsi="宋体" w:cs="宋体"/>
          <w:bCs/>
          <w:color w:val="auto"/>
          <w:sz w:val="24"/>
          <w:highlight w:val="none"/>
        </w:rPr>
        <w:t xml:space="preserve">代表签字：                             代表签字：               </w:t>
      </w:r>
    </w:p>
    <w:p w14:paraId="23BF8658">
      <w:pPr>
        <w:tabs>
          <w:tab w:val="left" w:pos="4320"/>
        </w:tabs>
        <w:spacing w:line="520" w:lineRule="exact"/>
        <w:jc w:val="left"/>
        <w:rPr>
          <w:rFonts w:ascii="宋体" w:hAnsi="宋体" w:cs="宋体"/>
          <w:bCs/>
          <w:color w:val="auto"/>
          <w:sz w:val="24"/>
          <w:highlight w:val="none"/>
        </w:rPr>
      </w:pPr>
      <w:r>
        <w:rPr>
          <w:rFonts w:hint="eastAsia" w:ascii="宋体" w:hAnsi="宋体" w:cs="宋体"/>
          <w:bCs/>
          <w:color w:val="auto"/>
          <w:sz w:val="24"/>
          <w:highlight w:val="none"/>
        </w:rPr>
        <w:t xml:space="preserve">日期：                                 日期：                  </w:t>
      </w:r>
    </w:p>
    <w:p w14:paraId="6E0E423B">
      <w:pPr>
        <w:spacing w:line="360" w:lineRule="auto"/>
        <w:jc w:val="center"/>
        <w:outlineLvl w:val="0"/>
        <w:rPr>
          <w:rFonts w:hint="eastAsia" w:ascii="宋体" w:hAnsi="宋体" w:cs="宋体"/>
          <w:bCs/>
          <w:color w:val="auto"/>
          <w:sz w:val="44"/>
          <w:szCs w:val="44"/>
          <w:highlight w:val="none"/>
        </w:rPr>
      </w:pPr>
    </w:p>
    <w:p w14:paraId="5A3FA643">
      <w:pPr>
        <w:jc w:val="left"/>
        <w:rPr>
          <w:rFonts w:ascii="宋体" w:hAnsi="宋体" w:cs="宋体"/>
          <w:bCs/>
          <w:color w:val="auto"/>
          <w:sz w:val="24"/>
          <w:highlight w:val="none"/>
        </w:rPr>
      </w:pPr>
    </w:p>
    <w:p w14:paraId="44DA176B">
      <w:pPr>
        <w:rPr>
          <w:rFonts w:ascii="宋体" w:hAnsi="宋体" w:cs="宋体"/>
          <w:bCs/>
          <w:color w:val="auto"/>
          <w:szCs w:val="20"/>
          <w:highlight w:val="none"/>
        </w:rPr>
      </w:pPr>
    </w:p>
    <w:p w14:paraId="04C9BA2E">
      <w:pPr>
        <w:spacing w:line="360" w:lineRule="auto"/>
        <w:jc w:val="center"/>
        <w:outlineLvl w:val="0"/>
        <w:rPr>
          <w:rFonts w:ascii="宋体" w:hAnsi="宋体" w:cs="宋体"/>
          <w:bCs/>
          <w:color w:val="auto"/>
          <w:sz w:val="44"/>
          <w:szCs w:val="44"/>
          <w:highlight w:val="none"/>
        </w:rPr>
      </w:pPr>
    </w:p>
    <w:p w14:paraId="71B1D288">
      <w:pPr>
        <w:pStyle w:val="226"/>
        <w:ind w:left="1260"/>
        <w:rPr>
          <w:rFonts w:ascii="宋体" w:hAnsi="宋体" w:cs="宋体"/>
          <w:bCs/>
          <w:color w:val="auto"/>
          <w:sz w:val="44"/>
          <w:szCs w:val="44"/>
          <w:highlight w:val="none"/>
        </w:rPr>
      </w:pPr>
    </w:p>
    <w:p w14:paraId="6EC5E690">
      <w:pPr>
        <w:jc w:val="left"/>
        <w:rPr>
          <w:rFonts w:ascii="宋体" w:hAnsi="宋体" w:cs="宋体"/>
          <w:bCs/>
          <w:color w:val="auto"/>
          <w:sz w:val="24"/>
          <w:highlight w:val="none"/>
        </w:rPr>
      </w:pPr>
    </w:p>
    <w:p w14:paraId="4B21DE91">
      <w:pPr>
        <w:rPr>
          <w:rFonts w:ascii="宋体" w:hAnsi="宋体" w:cs="宋体"/>
          <w:bCs/>
          <w:color w:val="auto"/>
          <w:szCs w:val="20"/>
          <w:highlight w:val="none"/>
        </w:rPr>
      </w:pPr>
    </w:p>
    <w:p w14:paraId="26C7A8B4">
      <w:pPr>
        <w:spacing w:line="360" w:lineRule="auto"/>
        <w:jc w:val="center"/>
        <w:outlineLvl w:val="0"/>
        <w:rPr>
          <w:rFonts w:ascii="宋体" w:hAnsi="宋体" w:cs="宋体"/>
          <w:bCs/>
          <w:color w:val="auto"/>
          <w:sz w:val="44"/>
          <w:szCs w:val="44"/>
          <w:highlight w:val="none"/>
        </w:rPr>
      </w:pPr>
    </w:p>
    <w:p w14:paraId="3A85D25B">
      <w:pPr>
        <w:spacing w:line="360" w:lineRule="auto"/>
        <w:jc w:val="center"/>
        <w:outlineLvl w:val="0"/>
        <w:rPr>
          <w:rFonts w:ascii="宋体" w:hAnsi="宋体" w:cs="宋体"/>
          <w:bCs/>
          <w:color w:val="auto"/>
          <w:sz w:val="44"/>
          <w:szCs w:val="44"/>
          <w:highlight w:val="none"/>
        </w:rPr>
      </w:pPr>
    </w:p>
    <w:p w14:paraId="1DE2AC0F">
      <w:pPr>
        <w:pStyle w:val="226"/>
        <w:ind w:left="1260"/>
        <w:rPr>
          <w:rFonts w:ascii="宋体" w:hAnsi="宋体" w:cs="宋体"/>
          <w:bCs/>
          <w:color w:val="auto"/>
          <w:sz w:val="44"/>
          <w:szCs w:val="44"/>
          <w:highlight w:val="none"/>
        </w:rPr>
      </w:pPr>
    </w:p>
    <w:p w14:paraId="47415501">
      <w:pPr>
        <w:rPr>
          <w:rFonts w:ascii="宋体" w:hAnsi="宋体" w:cs="宋体"/>
          <w:bCs/>
          <w:color w:val="auto"/>
          <w:sz w:val="44"/>
          <w:szCs w:val="44"/>
          <w:highlight w:val="none"/>
        </w:rPr>
      </w:pPr>
    </w:p>
    <w:p w14:paraId="2EDED5AC">
      <w:pPr>
        <w:pStyle w:val="226"/>
        <w:ind w:left="1260"/>
        <w:rPr>
          <w:rFonts w:ascii="宋体" w:hAnsi="宋体" w:cs="宋体"/>
          <w:bCs/>
          <w:color w:val="auto"/>
          <w:sz w:val="44"/>
          <w:szCs w:val="44"/>
          <w:highlight w:val="none"/>
        </w:rPr>
      </w:pPr>
    </w:p>
    <w:p w14:paraId="521EB8E0">
      <w:pPr>
        <w:rPr>
          <w:rFonts w:ascii="宋体" w:hAnsi="宋体" w:cs="宋体"/>
          <w:bCs/>
          <w:color w:val="auto"/>
          <w:sz w:val="44"/>
          <w:szCs w:val="44"/>
          <w:highlight w:val="none"/>
        </w:rPr>
      </w:pPr>
    </w:p>
    <w:p w14:paraId="20614761">
      <w:pPr>
        <w:pStyle w:val="226"/>
        <w:ind w:left="0"/>
        <w:rPr>
          <w:rFonts w:ascii="宋体" w:hAnsi="宋体" w:cs="宋体"/>
          <w:color w:val="auto"/>
          <w:sz w:val="44"/>
          <w:szCs w:val="44"/>
          <w:highlight w:val="none"/>
        </w:rPr>
      </w:pPr>
    </w:p>
    <w:p w14:paraId="65329455">
      <w:pPr>
        <w:pStyle w:val="226"/>
        <w:ind w:left="0"/>
        <w:rPr>
          <w:rFonts w:ascii="宋体" w:hAnsi="宋体" w:cs="宋体"/>
          <w:color w:val="auto"/>
          <w:sz w:val="44"/>
          <w:szCs w:val="44"/>
          <w:highlight w:val="none"/>
        </w:rPr>
      </w:pPr>
    </w:p>
    <w:p w14:paraId="24936835">
      <w:pPr>
        <w:tabs>
          <w:tab w:val="left" w:pos="1440"/>
        </w:tabs>
        <w:spacing w:line="500" w:lineRule="exact"/>
        <w:jc w:val="center"/>
        <w:outlineLvl w:val="0"/>
        <w:rPr>
          <w:rFonts w:ascii="黑体" w:hAnsi="黑体" w:eastAsia="黑体"/>
          <w:color w:val="auto"/>
          <w:sz w:val="36"/>
          <w:szCs w:val="36"/>
          <w:highlight w:val="none"/>
        </w:rPr>
      </w:pPr>
      <w:r>
        <w:rPr>
          <w:rFonts w:hint="eastAsia" w:ascii="黑体" w:hAnsi="黑体" w:eastAsia="黑体"/>
          <w:color w:val="auto"/>
          <w:sz w:val="36"/>
          <w:szCs w:val="36"/>
          <w:highlight w:val="none"/>
        </w:rPr>
        <w:t>第五</w:t>
      </w:r>
      <w:r>
        <w:rPr>
          <w:rFonts w:hint="eastAsia" w:ascii="黑体" w:hAnsi="黑体" w:eastAsia="黑体"/>
          <w:color w:val="auto"/>
          <w:sz w:val="36"/>
          <w:szCs w:val="36"/>
          <w:highlight w:val="none"/>
          <w:lang w:eastAsia="zh-CN"/>
        </w:rPr>
        <w:t>部分</w:t>
      </w:r>
      <w:r>
        <w:rPr>
          <w:rFonts w:hint="eastAsia" w:ascii="黑体" w:hAnsi="黑体" w:eastAsia="黑体"/>
          <w:color w:val="auto"/>
          <w:sz w:val="36"/>
          <w:szCs w:val="36"/>
          <w:highlight w:val="none"/>
        </w:rPr>
        <w:t xml:space="preserve">  评标方法与评标标准</w:t>
      </w:r>
    </w:p>
    <w:p w14:paraId="32B7AE16">
      <w:pPr>
        <w:pStyle w:val="473"/>
        <w:spacing w:before="0" w:after="0" w:line="500" w:lineRule="exact"/>
        <w:ind w:firstLine="602"/>
        <w:rPr>
          <w:rFonts w:cs="Arial"/>
          <w:b/>
          <w:color w:val="auto"/>
          <w:sz w:val="30"/>
          <w:szCs w:val="30"/>
          <w:highlight w:val="none"/>
        </w:rPr>
      </w:pPr>
      <w:r>
        <w:rPr>
          <w:rFonts w:hint="eastAsia" w:cs="Arial"/>
          <w:b/>
          <w:color w:val="auto"/>
          <w:sz w:val="30"/>
          <w:szCs w:val="30"/>
          <w:highlight w:val="none"/>
          <w:lang w:eastAsia="zh-CN"/>
        </w:rPr>
        <w:t>一、</w:t>
      </w:r>
      <w:r>
        <w:rPr>
          <w:rFonts w:hint="eastAsia" w:cs="Arial"/>
          <w:b/>
          <w:color w:val="auto"/>
          <w:sz w:val="30"/>
          <w:szCs w:val="30"/>
          <w:highlight w:val="none"/>
        </w:rPr>
        <w:t>评标方法</w:t>
      </w:r>
    </w:p>
    <w:p w14:paraId="2C55D341">
      <w:pPr>
        <w:pStyle w:val="473"/>
        <w:spacing w:before="0" w:after="0" w:line="500" w:lineRule="exact"/>
        <w:rPr>
          <w:rFonts w:cs="Arial"/>
          <w:color w:val="auto"/>
          <w:highlight w:val="none"/>
        </w:rPr>
      </w:pPr>
      <w:r>
        <w:rPr>
          <w:rFonts w:hint="eastAsia" w:cs="Arial"/>
          <w:color w:val="auto"/>
          <w:highlight w:val="none"/>
        </w:rPr>
        <w:t>投标人通过初审的，方可进入比较与评价程序。</w:t>
      </w:r>
    </w:p>
    <w:p w14:paraId="304021FD">
      <w:pPr>
        <w:pStyle w:val="473"/>
        <w:spacing w:before="0" w:after="0" w:line="500" w:lineRule="exact"/>
        <w:rPr>
          <w:rFonts w:cs="Arial"/>
          <w:color w:val="auto"/>
          <w:highlight w:val="none"/>
        </w:rPr>
      </w:pPr>
      <w:r>
        <w:rPr>
          <w:rFonts w:hint="eastAsia" w:cs="Arial"/>
          <w:color w:val="auto"/>
          <w:highlight w:val="none"/>
        </w:rPr>
        <w:t>比较与评价采用综合评分法。</w:t>
      </w:r>
    </w:p>
    <w:p w14:paraId="422CE579">
      <w:pPr>
        <w:pStyle w:val="473"/>
        <w:spacing w:before="0" w:after="0" w:line="500" w:lineRule="exact"/>
        <w:rPr>
          <w:rFonts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1C89F3BF">
      <w:pPr>
        <w:pStyle w:val="473"/>
        <w:spacing w:before="0" w:after="0" w:line="500" w:lineRule="exact"/>
        <w:rPr>
          <w:rFonts w:ascii="宋体" w:hAnsi="宋体"/>
          <w:bCs/>
          <w:color w:val="auto"/>
          <w:highlight w:val="none"/>
        </w:rPr>
      </w:pPr>
      <w:r>
        <w:rPr>
          <w:rFonts w:hint="eastAsia" w:ascii="宋体" w:hAnsi="宋体" w:cs="宋体"/>
          <w:b/>
          <w:bCs w:val="0"/>
          <w:color w:val="auto"/>
          <w:sz w:val="24"/>
          <w:highlight w:val="none"/>
        </w:rPr>
        <w:t>本项目</w:t>
      </w:r>
      <w:r>
        <w:rPr>
          <w:rFonts w:hint="eastAsia" w:ascii="宋体" w:hAnsi="宋体" w:cs="宋体"/>
          <w:b/>
          <w:bCs w:val="0"/>
          <w:color w:val="auto"/>
          <w:sz w:val="24"/>
          <w:highlight w:val="none"/>
          <w:lang w:eastAsia="zh-CN"/>
        </w:rPr>
        <w:t>核心产品</w:t>
      </w:r>
      <w:r>
        <w:rPr>
          <w:rFonts w:hint="eastAsia" w:ascii="宋体" w:hAnsi="宋体" w:eastAsia="宋体" w:cs="宋体"/>
          <w:b/>
          <w:bCs w:val="0"/>
          <w:color w:val="auto"/>
          <w:sz w:val="24"/>
          <w:highlight w:val="none"/>
          <w:lang w:val="en-US" w:eastAsia="zh-CN"/>
        </w:rPr>
        <w:t>微生物鉴定质谱仪。</w:t>
      </w: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0A3A1F1">
      <w:pPr>
        <w:pStyle w:val="473"/>
        <w:spacing w:before="0" w:after="0" w:line="500" w:lineRule="exact"/>
        <w:rPr>
          <w:rFonts w:ascii="宋体" w:hAnsi="宋体"/>
          <w:bCs/>
          <w:color w:val="auto"/>
          <w:highlight w:val="none"/>
        </w:rPr>
      </w:pPr>
      <w:r>
        <w:rPr>
          <w:rFonts w:hint="eastAsia" w:cs="Arial"/>
          <w:b/>
          <w:color w:val="auto"/>
          <w:sz w:val="30"/>
          <w:szCs w:val="30"/>
          <w:highlight w:val="none"/>
          <w:lang w:eastAsia="zh-CN"/>
        </w:rPr>
        <w:t>二、</w:t>
      </w:r>
      <w:r>
        <w:rPr>
          <w:rFonts w:hint="eastAsia" w:cs="Arial"/>
          <w:b/>
          <w:color w:val="auto"/>
          <w:sz w:val="30"/>
          <w:szCs w:val="30"/>
          <w:highlight w:val="none"/>
        </w:rPr>
        <w:t>评标标准</w:t>
      </w:r>
    </w:p>
    <w:p w14:paraId="3D359B61">
      <w:pPr>
        <w:pStyle w:val="473"/>
        <w:spacing w:before="0" w:after="0" w:line="500" w:lineRule="exact"/>
        <w:ind w:firstLine="562"/>
        <w:rPr>
          <w:rFonts w:hint="eastAsia" w:ascii="宋体" w:hAnsi="宋体"/>
          <w:b/>
          <w:color w:val="auto"/>
          <w:sz w:val="28"/>
          <w:szCs w:val="28"/>
          <w:highlight w:val="none"/>
        </w:rPr>
      </w:pPr>
      <w:r>
        <w:rPr>
          <w:rFonts w:hint="eastAsia" w:ascii="宋体" w:hAnsi="宋体"/>
          <w:b/>
          <w:color w:val="auto"/>
          <w:sz w:val="28"/>
          <w:szCs w:val="28"/>
          <w:highlight w:val="none"/>
          <w:lang w:eastAsia="zh-CN"/>
        </w:rPr>
        <w:t>（一）、</w:t>
      </w:r>
      <w:r>
        <w:rPr>
          <w:rFonts w:hint="eastAsia" w:ascii="宋体" w:hAnsi="宋体"/>
          <w:b/>
          <w:color w:val="auto"/>
          <w:sz w:val="28"/>
          <w:szCs w:val="28"/>
          <w:highlight w:val="none"/>
        </w:rPr>
        <w:t>落实政府采购政策的价格调整</w:t>
      </w:r>
    </w:p>
    <w:p w14:paraId="6709A6F0">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1.小微型企业价格扣除：本项目或采购包“落实政府采购政策需满足的资格要求”中的“中小企业政策”如为专门面向中小企业的，本项目或采购包不再享受小微型企业价格扣除政策。</w:t>
      </w:r>
    </w:p>
    <w:p w14:paraId="53E02498">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79AE495E">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p>
    <w:p w14:paraId="27113DFC">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5BF41A9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1.4残疾人福利单位、监狱企业属于小型、微型企业的，不重复享受政策。</w:t>
      </w:r>
    </w:p>
    <w:p w14:paraId="18296C7C">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1E74D0D9">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05622095">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210B72E5">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2.对本国产品的支持政策：根据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01F7061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4249863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7834A30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3370A059">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6941E9C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5F6DDF34">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4FF7BBC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69886E0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w:t>
      </w:r>
      <w:r>
        <w:rPr>
          <w:rFonts w:hint="eastAsia" w:ascii="宋体" w:hAnsi="宋体"/>
          <w:bCs/>
          <w:color w:val="auto"/>
          <w:sz w:val="24"/>
          <w:szCs w:val="24"/>
          <w:highlight w:val="none"/>
          <w:lang w:eastAsia="zh-CN"/>
        </w:rPr>
        <w:t>部分</w:t>
      </w:r>
      <w:r>
        <w:rPr>
          <w:rFonts w:hint="eastAsia" w:ascii="宋体" w:hAnsi="宋体"/>
          <w:bCs/>
          <w:color w:val="auto"/>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0FAF1E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584A49B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552E461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即，当小微型企业价格扣除政策和本国产品价格扣除政策同时享受时，按以下计算方式进行计算：供应商参与评审的报价=供应商投标总报价×[1-（小微型企业价格扣除+本国产品价格扣除）]</w:t>
      </w:r>
    </w:p>
    <w:p w14:paraId="66C4EAF9">
      <w:pPr>
        <w:spacing w:line="500" w:lineRule="exact"/>
        <w:ind w:firstLine="480"/>
        <w:jc w:val="left"/>
        <w:rPr>
          <w:rFonts w:hint="eastAsia" w:eastAsia="宋体"/>
          <w:color w:val="auto"/>
          <w:highlight w:val="none"/>
          <w:lang w:eastAsia="zh-CN"/>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例如，供应商总报价1000000元，经认定可以享受小微型企业价格扣除政策以及本国产品价格扣除政策的，则该供应商参与评审的报价为：1000000×[1-（10%+20%）]=700000元</w:t>
      </w:r>
      <w:r>
        <w:rPr>
          <w:rFonts w:hint="eastAsia" w:ascii="宋体" w:hAnsi="宋体"/>
          <w:bCs/>
          <w:color w:val="auto"/>
          <w:sz w:val="24"/>
          <w:szCs w:val="24"/>
          <w:highlight w:val="none"/>
          <w:lang w:eastAsia="zh-CN"/>
        </w:rPr>
        <w:t>。</w:t>
      </w:r>
    </w:p>
    <w:p w14:paraId="69ADA037">
      <w:pPr>
        <w:pStyle w:val="473"/>
        <w:spacing w:before="0" w:after="0" w:line="500" w:lineRule="exact"/>
        <w:ind w:firstLine="360"/>
        <w:rPr>
          <w:rFonts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lang w:eastAsia="zh-CN"/>
        </w:rPr>
        <w:t>（二）、</w:t>
      </w:r>
      <w:r>
        <w:rPr>
          <w:rFonts w:hint="eastAsia" w:ascii="宋体" w:hAnsi="宋体"/>
          <w:b/>
          <w:color w:val="auto"/>
          <w:sz w:val="28"/>
          <w:szCs w:val="28"/>
          <w:highlight w:val="none"/>
        </w:rPr>
        <w:t>评分标准</w:t>
      </w:r>
    </w:p>
    <w:p w14:paraId="32FBEC85">
      <w:pPr>
        <w:spacing w:line="440" w:lineRule="exact"/>
        <w:ind w:firstLine="472"/>
        <w:rPr>
          <w:rFonts w:hint="eastAsia" w:hAnsi="宋体" w:cs="宋体"/>
          <w:b/>
          <w:bCs/>
          <w:color w:val="auto"/>
          <w:sz w:val="24"/>
          <w:highlight w:val="none"/>
        </w:rPr>
      </w:pPr>
      <w:r>
        <w:rPr>
          <w:rFonts w:hint="eastAsia" w:hAnsi="宋体" w:cs="宋体"/>
          <w:color w:val="auto"/>
          <w:sz w:val="24"/>
          <w:highlight w:val="none"/>
        </w:rPr>
        <w:t>一）评分项目及总分（总分100分）</w:t>
      </w:r>
    </w:p>
    <w:p w14:paraId="779D305B">
      <w:pPr>
        <w:spacing w:line="440" w:lineRule="exact"/>
        <w:ind w:firstLine="472"/>
        <w:rPr>
          <w:rFonts w:hint="eastAsia" w:ascii="Times New Roman" w:hAnsi="宋体" w:eastAsia="宋体" w:cs="宋体"/>
          <w:b/>
          <w:bCs/>
          <w:color w:val="auto"/>
          <w:sz w:val="24"/>
          <w:highlight w:val="none"/>
        </w:rPr>
      </w:pPr>
      <w:r>
        <w:rPr>
          <w:rFonts w:hint="eastAsia" w:ascii="Times New Roman" w:hAnsi="宋体" w:eastAsia="宋体" w:cs="宋体"/>
          <w:b/>
          <w:bCs/>
          <w:color w:val="auto"/>
          <w:sz w:val="24"/>
          <w:highlight w:val="none"/>
        </w:rPr>
        <w:t xml:space="preserve">（1）报价分                        </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ascii="Times New Roman" w:hAnsi="宋体" w:eastAsia="宋体" w:cs="宋体"/>
          <w:b/>
          <w:bCs/>
          <w:color w:val="auto"/>
          <w:sz w:val="24"/>
          <w:highlight w:val="none"/>
          <w:lang w:val="en-US" w:eastAsia="zh-CN"/>
        </w:rPr>
        <w:t>50</w:t>
      </w:r>
      <w:r>
        <w:rPr>
          <w:rFonts w:hint="eastAsia" w:ascii="Times New Roman" w:hAnsi="宋体" w:eastAsia="宋体" w:cs="宋体"/>
          <w:b/>
          <w:bCs/>
          <w:color w:val="auto"/>
          <w:sz w:val="24"/>
          <w:highlight w:val="none"/>
        </w:rPr>
        <w:t>分</w:t>
      </w:r>
    </w:p>
    <w:p w14:paraId="74E31FB7">
      <w:pPr>
        <w:spacing w:line="440" w:lineRule="exact"/>
        <w:ind w:firstLine="472"/>
        <w:rPr>
          <w:rFonts w:hint="eastAsia" w:ascii="Times New Roman" w:hAnsi="宋体" w:eastAsia="宋体" w:cs="宋体"/>
          <w:b/>
          <w:bCs/>
          <w:color w:val="auto"/>
          <w:sz w:val="24"/>
          <w:highlight w:val="none"/>
        </w:rPr>
      </w:pPr>
      <w:r>
        <w:rPr>
          <w:rFonts w:hint="eastAsia" w:ascii="Times New Roman" w:hAnsi="宋体" w:eastAsia="宋体" w:cs="宋体"/>
          <w:b/>
          <w:bCs/>
          <w:color w:val="auto"/>
          <w:sz w:val="24"/>
          <w:highlight w:val="none"/>
        </w:rPr>
        <w:t>（2）设备配置性能</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ascii="Times New Roman" w:hAnsi="宋体" w:eastAsia="宋体" w:cs="宋体"/>
          <w:b/>
          <w:bCs/>
          <w:color w:val="auto"/>
          <w:sz w:val="24"/>
          <w:highlight w:val="none"/>
          <w:lang w:val="en-US" w:eastAsia="zh-CN"/>
        </w:rPr>
        <w:t>20</w:t>
      </w:r>
      <w:r>
        <w:rPr>
          <w:rFonts w:hint="eastAsia" w:ascii="Times New Roman" w:hAnsi="宋体" w:eastAsia="宋体" w:cs="宋体"/>
          <w:b/>
          <w:bCs/>
          <w:color w:val="auto"/>
          <w:sz w:val="24"/>
          <w:highlight w:val="none"/>
        </w:rPr>
        <w:t>分</w:t>
      </w:r>
    </w:p>
    <w:p w14:paraId="77A00FD7">
      <w:pPr>
        <w:spacing w:line="440" w:lineRule="exact"/>
        <w:ind w:firstLine="472"/>
        <w:rPr>
          <w:rFonts w:hint="eastAsia" w:ascii="Times New Roman" w:hAnsi="宋体" w:eastAsia="宋体" w:cs="宋体"/>
          <w:b/>
          <w:bCs/>
          <w:color w:val="auto"/>
          <w:sz w:val="24"/>
          <w:highlight w:val="none"/>
        </w:rPr>
      </w:pPr>
      <w:r>
        <w:rPr>
          <w:rFonts w:hint="eastAsia" w:ascii="Times New Roman" w:hAnsi="宋体" w:eastAsia="宋体" w:cs="宋体"/>
          <w:b/>
          <w:bCs/>
          <w:color w:val="auto"/>
          <w:sz w:val="24"/>
          <w:highlight w:val="none"/>
        </w:rPr>
        <w:t>（</w:t>
      </w:r>
      <w:r>
        <w:rPr>
          <w:rFonts w:hint="eastAsia" w:ascii="Times New Roman" w:hAnsi="宋体" w:eastAsia="宋体" w:cs="宋体"/>
          <w:b/>
          <w:bCs/>
          <w:color w:val="auto"/>
          <w:sz w:val="24"/>
          <w:highlight w:val="none"/>
          <w:lang w:val="en-US" w:eastAsia="zh-CN"/>
        </w:rPr>
        <w:t>3</w:t>
      </w:r>
      <w:r>
        <w:rPr>
          <w:rFonts w:hint="eastAsia" w:ascii="Times New Roman" w:hAnsi="宋体" w:eastAsia="宋体" w:cs="宋体"/>
          <w:b/>
          <w:bCs/>
          <w:color w:val="auto"/>
          <w:sz w:val="24"/>
          <w:highlight w:val="none"/>
        </w:rPr>
        <w:t>）</w:t>
      </w:r>
      <w:r>
        <w:rPr>
          <w:rFonts w:hint="eastAsia" w:ascii="Times New Roman" w:hAnsi="宋体" w:eastAsia="宋体" w:cs="宋体"/>
          <w:b/>
          <w:bCs/>
          <w:color w:val="auto"/>
          <w:sz w:val="24"/>
          <w:highlight w:val="none"/>
          <w:lang w:eastAsia="zh-CN"/>
        </w:rPr>
        <w:t>服务方案</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ascii="Times New Roman" w:hAnsi="宋体" w:eastAsia="宋体" w:cs="宋体"/>
          <w:b/>
          <w:bCs/>
          <w:color w:val="auto"/>
          <w:sz w:val="24"/>
          <w:highlight w:val="none"/>
          <w:lang w:val="en-US" w:eastAsia="zh-CN"/>
        </w:rPr>
        <w:t xml:space="preserve">   </w:t>
      </w:r>
      <w:r>
        <w:rPr>
          <w:rFonts w:hint="eastAsia" w:ascii="Times New Roman" w:hAnsi="宋体" w:eastAsia="宋体" w:cs="宋体"/>
          <w:b/>
          <w:bCs/>
          <w:color w:val="auto"/>
          <w:sz w:val="24"/>
          <w:highlight w:val="none"/>
        </w:rPr>
        <w:t xml:space="preserve"> </w:t>
      </w:r>
      <w:r>
        <w:rPr>
          <w:rFonts w:hint="eastAsia" w:ascii="Times New Roman" w:hAnsi="宋体" w:eastAsia="宋体" w:cs="宋体"/>
          <w:b/>
          <w:bCs/>
          <w:color w:val="auto"/>
          <w:sz w:val="24"/>
          <w:highlight w:val="none"/>
          <w:lang w:val="en-US" w:eastAsia="zh-CN"/>
        </w:rPr>
        <w:t>30</w:t>
      </w:r>
      <w:r>
        <w:rPr>
          <w:rFonts w:hint="eastAsia" w:ascii="Times New Roman" w:hAnsi="宋体" w:eastAsia="宋体" w:cs="宋体"/>
          <w:b/>
          <w:bCs/>
          <w:color w:val="auto"/>
          <w:sz w:val="24"/>
          <w:highlight w:val="none"/>
        </w:rPr>
        <w:t>分</w:t>
      </w:r>
    </w:p>
    <w:p w14:paraId="3017CB66">
      <w:pPr>
        <w:spacing w:line="440" w:lineRule="exact"/>
        <w:ind w:firstLine="480"/>
        <w:rPr>
          <w:rFonts w:hAnsi="宋体" w:cs="宋体"/>
          <w:bCs/>
          <w:color w:val="auto"/>
          <w:sz w:val="24"/>
          <w:highlight w:val="none"/>
        </w:rPr>
      </w:pPr>
      <w:r>
        <w:rPr>
          <w:rFonts w:hint="eastAsia" w:hAnsi="宋体" w:cs="宋体"/>
          <w:color w:val="auto"/>
          <w:sz w:val="24"/>
          <w:highlight w:val="none"/>
        </w:rPr>
        <w:t>二）</w:t>
      </w:r>
      <w:r>
        <w:rPr>
          <w:rFonts w:hint="eastAsia" w:hAnsi="宋体" w:cs="宋体"/>
          <w:bCs/>
          <w:color w:val="auto"/>
          <w:sz w:val="24"/>
          <w:highlight w:val="none"/>
        </w:rPr>
        <w:t>具体评分标准如下：</w:t>
      </w:r>
    </w:p>
    <w:p w14:paraId="011F8905">
      <w:pPr>
        <w:numPr>
          <w:ilvl w:val="4"/>
          <w:numId w:val="0"/>
        </w:numPr>
        <w:tabs>
          <w:tab w:val="left" w:pos="525"/>
          <w:tab w:val="left" w:pos="945"/>
          <w:tab w:val="left" w:pos="1155"/>
          <w:tab w:val="left" w:pos="3823"/>
        </w:tabs>
        <w:spacing w:line="50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1.报价分（</w:t>
      </w:r>
      <w:r>
        <w:rPr>
          <w:rFonts w:hint="eastAsia" w:ascii="宋体" w:hAnsi="宋体"/>
          <w:b/>
          <w:bCs/>
          <w:color w:val="auto"/>
          <w:sz w:val="24"/>
          <w:szCs w:val="24"/>
          <w:highlight w:val="none"/>
          <w:lang w:val="en-US" w:eastAsia="zh-CN"/>
        </w:rPr>
        <w:t>50</w:t>
      </w:r>
      <w:r>
        <w:rPr>
          <w:rFonts w:hint="eastAsia" w:ascii="宋体" w:hAnsi="宋体"/>
          <w:b/>
          <w:bCs/>
          <w:color w:val="auto"/>
          <w:sz w:val="24"/>
          <w:szCs w:val="24"/>
          <w:highlight w:val="none"/>
        </w:rPr>
        <w:t>分）：</w:t>
      </w:r>
    </w:p>
    <w:p w14:paraId="6BED62E9">
      <w:pPr>
        <w:tabs>
          <w:tab w:val="left" w:pos="945"/>
          <w:tab w:val="left" w:pos="1155"/>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采用低价优先法计算，即满足招标文件要求且投标价格最低的投标报价为评标基准价，其价格分为满分。其他投标人的价格分统一按照下列公式计算：</w:t>
      </w:r>
    </w:p>
    <w:p w14:paraId="46899AAC">
      <w:pPr>
        <w:tabs>
          <w:tab w:val="left" w:pos="945"/>
          <w:tab w:val="left" w:pos="1155"/>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投标报价得分</w:t>
      </w:r>
      <w:r>
        <w:rPr>
          <w:rFonts w:ascii="宋体" w:hAnsi="宋体"/>
          <w:bCs/>
          <w:color w:val="auto"/>
          <w:sz w:val="24"/>
          <w:szCs w:val="24"/>
          <w:highlight w:val="none"/>
        </w:rPr>
        <w:t>=(</w:t>
      </w:r>
      <w:r>
        <w:rPr>
          <w:rFonts w:hint="eastAsia" w:ascii="宋体" w:hAnsi="宋体"/>
          <w:bCs/>
          <w:color w:val="auto"/>
          <w:sz w:val="24"/>
          <w:szCs w:val="24"/>
          <w:highlight w:val="none"/>
        </w:rPr>
        <w:t>评标基准价／投标报价</w:t>
      </w:r>
      <w:r>
        <w:rPr>
          <w:rFonts w:ascii="宋体" w:hAnsi="宋体"/>
          <w:bCs/>
          <w:color w:val="auto"/>
          <w:sz w:val="24"/>
          <w:szCs w:val="24"/>
          <w:highlight w:val="none"/>
        </w:rPr>
        <w:t>)</w:t>
      </w:r>
      <w:r>
        <w:rPr>
          <w:rFonts w:hint="eastAsia" w:ascii="宋体" w:hAnsi="宋体"/>
          <w:bCs/>
          <w:color w:val="auto"/>
          <w:sz w:val="24"/>
          <w:szCs w:val="24"/>
          <w:highlight w:val="none"/>
        </w:rPr>
        <w:t>×价格权值×</w:t>
      </w:r>
      <w:r>
        <w:rPr>
          <w:rFonts w:ascii="宋体" w:hAnsi="宋体"/>
          <w:bCs/>
          <w:color w:val="auto"/>
          <w:sz w:val="24"/>
          <w:szCs w:val="24"/>
          <w:highlight w:val="none"/>
        </w:rPr>
        <w:t>100</w:t>
      </w:r>
      <w:r>
        <w:rPr>
          <w:rFonts w:hint="eastAsia" w:ascii="宋体" w:hAnsi="宋体"/>
          <w:bCs/>
          <w:color w:val="auto"/>
          <w:sz w:val="24"/>
          <w:szCs w:val="24"/>
          <w:highlight w:val="none"/>
        </w:rPr>
        <w:t>。</w:t>
      </w:r>
    </w:p>
    <w:p w14:paraId="11158793">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关于价格扣除详见本章第二部分“一、落实政府采购政策的价格调整”。</w:t>
      </w:r>
    </w:p>
    <w:p w14:paraId="548C16C2">
      <w:pPr>
        <w:numPr>
          <w:ilvl w:val="4"/>
          <w:numId w:val="0"/>
        </w:numPr>
        <w:tabs>
          <w:tab w:val="left" w:pos="525"/>
          <w:tab w:val="left" w:pos="945"/>
          <w:tab w:val="left" w:pos="1155"/>
          <w:tab w:val="left" w:pos="3823"/>
        </w:tabs>
        <w:spacing w:line="500" w:lineRule="exact"/>
        <w:ind w:firstLine="482"/>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val="en-US" w:eastAsia="zh-CN"/>
        </w:rPr>
        <w:t>2.</w:t>
      </w:r>
      <w:r>
        <w:rPr>
          <w:rFonts w:hint="eastAsia" w:ascii="宋体" w:hAnsi="宋体" w:eastAsia="宋体" w:cs="Times New Roman"/>
          <w:b/>
          <w:bCs/>
          <w:color w:val="auto"/>
          <w:sz w:val="24"/>
          <w:szCs w:val="24"/>
          <w:highlight w:val="none"/>
        </w:rPr>
        <w:t>设备配置性能（</w:t>
      </w:r>
      <w:r>
        <w:rPr>
          <w:rFonts w:hint="eastAsia" w:ascii="宋体" w:hAnsi="宋体" w:eastAsia="宋体" w:cs="Times New Roman"/>
          <w:b/>
          <w:bCs/>
          <w:color w:val="auto"/>
          <w:sz w:val="24"/>
          <w:szCs w:val="24"/>
          <w:highlight w:val="none"/>
          <w:lang w:val="en-US" w:eastAsia="zh-CN"/>
        </w:rPr>
        <w:t>20</w:t>
      </w:r>
      <w:r>
        <w:rPr>
          <w:rFonts w:hint="eastAsia" w:ascii="宋体" w:hAnsi="宋体" w:eastAsia="宋体" w:cs="Times New Roman"/>
          <w:b/>
          <w:bCs/>
          <w:color w:val="auto"/>
          <w:sz w:val="24"/>
          <w:szCs w:val="24"/>
          <w:highlight w:val="none"/>
        </w:rPr>
        <w:t>分</w:t>
      </w:r>
      <w:r>
        <w:rPr>
          <w:rFonts w:hint="eastAsia" w:ascii="宋体" w:hAnsi="宋体" w:eastAsia="宋体" w:cs="Times New Roman"/>
          <w:b/>
          <w:bCs/>
          <w:color w:val="auto"/>
          <w:sz w:val="24"/>
          <w:szCs w:val="24"/>
          <w:highlight w:val="none"/>
          <w:lang w:eastAsia="zh-CN"/>
        </w:rPr>
        <w:t>）</w:t>
      </w:r>
    </w:p>
    <w:p w14:paraId="20DA3EA1">
      <w:pPr>
        <w:spacing w:line="360" w:lineRule="auto"/>
        <w:ind w:firstLine="48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微生物鉴定质谱仪</w:t>
      </w:r>
      <w:r>
        <w:rPr>
          <w:rFonts w:hint="eastAsia" w:ascii="宋体" w:hAnsi="宋体" w:eastAsia="宋体" w:cs="宋体"/>
          <w:b w:val="0"/>
          <w:bCs w:val="0"/>
          <w:color w:val="auto"/>
          <w:sz w:val="24"/>
          <w:szCs w:val="24"/>
          <w:highlight w:val="none"/>
          <w:lang w:eastAsia="zh-CN"/>
        </w:rPr>
        <w:t>：</w:t>
      </w:r>
    </w:p>
    <w:p w14:paraId="43F04762">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分子泵为复合型涡轮分子泵，具有叶片级和拖拽级，拖拽级≥10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L/S</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分子泵抽速≥300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L/S</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满足要求得2分。</w:t>
      </w:r>
    </w:p>
    <w:p w14:paraId="2C97E70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②软件鉴定结果微生物名称中文和拉丁文同时给出，无需切换。为保证生物安全风险，对于布鲁氏菌、脑膜炎奈瑟菌等软件具有高危致病菌标识，提供软件界面截图。满足要求得2分。</w:t>
      </w:r>
    </w:p>
    <w:p w14:paraId="4B747B12">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③具备细菌蛋白指纹图谱数据库和细菌DNA预测蛋白图谱数据库“双鉴定系统”，支持双鉴定系统结果交叉复核，比对结果一致性，保证报告准确性，满足要求得2分。</w:t>
      </w:r>
    </w:p>
    <w:p w14:paraId="15B5727E">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④细菌DNA预测蛋白图谱数据库：采用无实物菌株建库，基于全球菌株基因组信息建立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数据库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10000</w:t>
      </w:r>
      <w:r>
        <w:rPr>
          <w:rFonts w:hint="eastAsia" w:ascii="宋体" w:hAnsi="宋体" w:eastAsia="宋体" w:cs="宋体"/>
          <w:color w:val="auto"/>
          <w:sz w:val="24"/>
          <w:szCs w:val="24"/>
          <w:highlight w:val="none"/>
          <w:lang w:eastAsia="zh-CN"/>
        </w:rPr>
        <w:t>种</w:t>
      </w:r>
      <w:r>
        <w:rPr>
          <w:rFonts w:hint="eastAsia" w:ascii="宋体" w:hAnsi="宋体" w:eastAsia="宋体" w:cs="宋体"/>
          <w:color w:val="auto"/>
          <w:sz w:val="24"/>
          <w:szCs w:val="24"/>
          <w:highlight w:val="none"/>
          <w:lang w:val="en-US" w:eastAsia="zh-CN"/>
        </w:rPr>
        <w:t>，全面覆盖临床诊断、食品安全、环境监测、工业生物技术、农业生产、畜牧兽医、药品等领域。满足要求得2分。</w:t>
      </w:r>
    </w:p>
    <w:p w14:paraId="148E9601">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w:t>
      </w:r>
      <w:r>
        <w:rPr>
          <w:rFonts w:hint="eastAsia" w:ascii="宋体" w:hAnsi="宋体" w:eastAsia="宋体" w:cs="宋体"/>
          <w:color w:val="auto"/>
          <w:sz w:val="24"/>
          <w:szCs w:val="24"/>
          <w:highlight w:val="none"/>
        </w:rPr>
        <w:t>具备20种以上施万菌数据库；分枝杆菌数据库≥170种，该分枝杆菌数据库建设工作</w:t>
      </w:r>
      <w:r>
        <w:rPr>
          <w:rFonts w:hint="eastAsia" w:ascii="宋体" w:hAnsi="宋体" w:eastAsia="宋体" w:cs="宋体"/>
          <w:color w:val="auto"/>
          <w:sz w:val="24"/>
          <w:szCs w:val="24"/>
          <w:highlight w:val="none"/>
          <w:lang w:val="en-US" w:eastAsia="zh-CN"/>
        </w:rPr>
        <w:t>与国家单位合作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满足要求得2分</w:t>
      </w:r>
      <w:r>
        <w:rPr>
          <w:rFonts w:hint="eastAsia" w:ascii="宋体" w:hAnsi="宋体" w:eastAsia="宋体" w:cs="宋体"/>
          <w:color w:val="auto"/>
          <w:sz w:val="24"/>
          <w:szCs w:val="24"/>
          <w:highlight w:val="none"/>
          <w:lang w:eastAsia="zh-CN"/>
        </w:rPr>
        <w:t>。</w:t>
      </w:r>
    </w:p>
    <w:p w14:paraId="1060B3A9">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⑥</w:t>
      </w:r>
      <w:r>
        <w:rPr>
          <w:rFonts w:hint="eastAsia" w:ascii="宋体" w:hAnsi="宋体" w:eastAsia="宋体" w:cs="宋体"/>
          <w:color w:val="auto"/>
          <w:sz w:val="24"/>
          <w:szCs w:val="24"/>
          <w:highlight w:val="none"/>
        </w:rPr>
        <w:t>鉴定结果：标配检索鉴定软件给出质谱鉴定结果的同时还可给出国家级出版社提供的的微生物形态学（平板菌落图及染色图）形态图，以辅助对鉴定结果进行判读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满足要求得2分。</w:t>
      </w:r>
    </w:p>
    <w:p w14:paraId="3BC203CB">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⑦</w:t>
      </w:r>
      <w:r>
        <w:rPr>
          <w:rFonts w:hint="eastAsia" w:ascii="宋体" w:hAnsi="宋体" w:eastAsia="宋体" w:cs="宋体"/>
          <w:color w:val="auto"/>
          <w:sz w:val="24"/>
          <w:szCs w:val="24"/>
          <w:highlight w:val="none"/>
        </w:rPr>
        <w:t>软件配套专业微生物知识库，包含菌种的形态学、生物特性、核糖体蛋白信息等，支持用户上传形态图，为实验室检测提供参考依据。</w:t>
      </w:r>
      <w:r>
        <w:rPr>
          <w:rFonts w:hint="eastAsia" w:ascii="宋体" w:hAnsi="宋体" w:eastAsia="宋体" w:cs="宋体"/>
          <w:color w:val="auto"/>
          <w:sz w:val="24"/>
          <w:szCs w:val="24"/>
          <w:highlight w:val="none"/>
          <w:lang w:val="en-US" w:eastAsia="zh-CN"/>
        </w:rPr>
        <w:t>满足要求得2分。</w:t>
      </w:r>
    </w:p>
    <w:p w14:paraId="0890CCE4">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⑧为提升公共卫生应急响应能力，样本无需培养，直接采用磁珠法原理特异性吸附菌体，同时匹配仪器自动化操作，且取得临床注册证。满足要求得2分。</w:t>
      </w:r>
    </w:p>
    <w:p w14:paraId="398AFDF9">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⑨</w:t>
      </w:r>
      <w:r>
        <w:rPr>
          <w:rFonts w:hint="eastAsia" w:ascii="宋体" w:hAnsi="宋体" w:eastAsia="宋体" w:cs="宋体"/>
          <w:color w:val="auto"/>
          <w:sz w:val="24"/>
          <w:szCs w:val="24"/>
          <w:highlight w:val="none"/>
        </w:rPr>
        <w:t>可提供同品牌一次性硅基靶板和重复使用不锈钢靶板，重复性靶板为</w:t>
      </w:r>
      <w:r>
        <w:rPr>
          <w:rFonts w:hint="eastAsia" w:ascii="宋体" w:hAnsi="宋体" w:eastAsia="宋体" w:cs="宋体"/>
          <w:color w:val="auto"/>
          <w:sz w:val="24"/>
          <w:szCs w:val="24"/>
          <w:highlight w:val="none"/>
          <w:lang w:val="en-US" w:eastAsia="zh-CN"/>
        </w:rPr>
        <w:t>一体式</w:t>
      </w:r>
      <w:r>
        <w:rPr>
          <w:rFonts w:hint="eastAsia" w:ascii="宋体" w:hAnsi="宋体" w:eastAsia="宋体" w:cs="宋体"/>
          <w:color w:val="auto"/>
          <w:sz w:val="24"/>
          <w:szCs w:val="24"/>
          <w:highlight w:val="none"/>
        </w:rPr>
        <w:t>靶板，</w:t>
      </w: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lang w:eastAsia="zh-CN"/>
        </w:rPr>
        <w:t>激光彩印条码。</w:t>
      </w:r>
      <w:r>
        <w:rPr>
          <w:rFonts w:hint="eastAsia" w:ascii="宋体" w:hAnsi="宋体" w:eastAsia="宋体" w:cs="宋体"/>
          <w:color w:val="auto"/>
          <w:sz w:val="24"/>
          <w:szCs w:val="24"/>
          <w:highlight w:val="none"/>
          <w:lang w:val="en-US" w:eastAsia="zh-CN"/>
        </w:rPr>
        <w:t>一体式</w:t>
      </w:r>
      <w:r>
        <w:rPr>
          <w:rFonts w:hint="eastAsia" w:ascii="宋体" w:hAnsi="宋体" w:eastAsia="宋体" w:cs="宋体"/>
          <w:color w:val="auto"/>
          <w:sz w:val="24"/>
          <w:szCs w:val="24"/>
          <w:highlight w:val="none"/>
        </w:rPr>
        <w:t>靶板靶面精度2微米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确保高平整度</w:t>
      </w:r>
      <w:r>
        <w:rPr>
          <w:rFonts w:hint="eastAsia" w:ascii="宋体" w:hAnsi="宋体" w:eastAsia="宋体" w:cs="宋体"/>
          <w:color w:val="auto"/>
          <w:sz w:val="24"/>
          <w:szCs w:val="24"/>
          <w:highlight w:val="none"/>
          <w:lang w:val="en-US" w:eastAsia="zh-CN"/>
        </w:rPr>
        <w:t>且</w:t>
      </w:r>
      <w:r>
        <w:rPr>
          <w:rFonts w:hint="eastAsia" w:ascii="宋体" w:hAnsi="宋体" w:eastAsia="宋体" w:cs="宋体"/>
          <w:color w:val="auto"/>
          <w:sz w:val="24"/>
          <w:szCs w:val="24"/>
          <w:highlight w:val="none"/>
          <w:lang w:eastAsia="zh-CN"/>
        </w:rPr>
        <w:t>表面经镜面抛光处理，具有易于清洗、无残留的特性。</w:t>
      </w:r>
      <w:r>
        <w:rPr>
          <w:rFonts w:hint="eastAsia" w:ascii="宋体" w:hAnsi="宋体" w:eastAsia="宋体" w:cs="宋体"/>
          <w:color w:val="auto"/>
          <w:sz w:val="24"/>
          <w:szCs w:val="24"/>
          <w:highlight w:val="none"/>
          <w:lang w:val="en-US" w:eastAsia="zh-CN"/>
        </w:rPr>
        <w:t>满足要求得2分。</w:t>
      </w:r>
    </w:p>
    <w:p w14:paraId="2BA313E6">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⑩系统能连接第三方药敏仪，实现质谱结果的自动传输，无需人工手抄结果。满足要求得2分。</w:t>
      </w:r>
    </w:p>
    <w:p w14:paraId="065D287A">
      <w:pPr>
        <w:tabs>
          <w:tab w:val="left" w:pos="1401"/>
        </w:tabs>
        <w:spacing w:line="384" w:lineRule="auto"/>
        <w:ind w:firstLine="480"/>
        <w:jc w:val="left"/>
        <w:rPr>
          <w:rFonts w:hint="eastAsia" w:ascii="宋体" w:hAnsi="宋体"/>
          <w:bCs/>
          <w:color w:val="auto"/>
          <w:sz w:val="24"/>
          <w:highlight w:val="none"/>
        </w:rPr>
      </w:pPr>
      <w:r>
        <w:rPr>
          <w:rFonts w:hint="eastAsia" w:ascii="宋体" w:hAnsi="宋体"/>
          <w:bCs/>
          <w:color w:val="auto"/>
          <w:sz w:val="24"/>
          <w:highlight w:val="none"/>
        </w:rPr>
        <w:t>注：</w:t>
      </w:r>
      <w:r>
        <w:rPr>
          <w:rFonts w:hint="eastAsia" w:ascii="宋体" w:hAnsi="宋体" w:cs="宋体"/>
          <w:bCs/>
          <w:color w:val="auto"/>
          <w:sz w:val="24"/>
          <w:highlight w:val="none"/>
        </w:rPr>
        <w:t>如</w:t>
      </w:r>
      <w:r>
        <w:rPr>
          <w:rFonts w:hint="eastAsia" w:ascii="宋体" w:hAnsi="宋体"/>
          <w:b/>
          <w:bCs/>
          <w:color w:val="auto"/>
          <w:sz w:val="24"/>
          <w:highlight w:val="none"/>
        </w:rPr>
        <w:t>设备配置性能</w:t>
      </w:r>
      <w:r>
        <w:rPr>
          <w:rFonts w:hint="eastAsia" w:ascii="宋体" w:hAnsi="宋体" w:cs="宋体"/>
          <w:bCs/>
          <w:color w:val="auto"/>
          <w:sz w:val="24"/>
          <w:highlight w:val="none"/>
          <w:lang w:eastAsia="zh-CN"/>
        </w:rPr>
        <w:t>为正偏离</w:t>
      </w:r>
      <w:r>
        <w:rPr>
          <w:rFonts w:hint="eastAsia" w:ascii="宋体" w:hAnsi="宋体" w:cs="宋体"/>
          <w:bCs/>
          <w:color w:val="auto"/>
          <w:sz w:val="24"/>
          <w:highlight w:val="none"/>
        </w:rPr>
        <w:t>必须提供相应的有效且真实的证明材料【</w:t>
      </w:r>
      <w:r>
        <w:rPr>
          <w:rFonts w:hint="eastAsia" w:ascii="宋体" w:hAnsi="宋体" w:cs="宋体"/>
          <w:bCs/>
          <w:color w:val="auto"/>
          <w:sz w:val="24"/>
          <w:highlight w:val="none"/>
          <w:lang w:eastAsia="zh-CN"/>
        </w:rPr>
        <w:t>除了评分标准中要求提供的证明材料，其他证明为</w:t>
      </w:r>
      <w:r>
        <w:rPr>
          <w:rFonts w:hint="eastAsia" w:ascii="宋体" w:hAnsi="宋体" w:cs="宋体"/>
          <w:b/>
          <w:bCs/>
          <w:color w:val="auto"/>
          <w:sz w:val="24"/>
          <w:highlight w:val="none"/>
        </w:rPr>
        <w:t>彩页或白皮书或注册检验报告或提供加盖生产厂商公章的参数表等</w:t>
      </w:r>
      <w:r>
        <w:rPr>
          <w:rFonts w:hint="eastAsia" w:ascii="宋体" w:hAnsi="宋体" w:cs="宋体"/>
          <w:bCs/>
          <w:color w:val="auto"/>
          <w:sz w:val="24"/>
          <w:highlight w:val="none"/>
        </w:rPr>
        <w:t>】以证明技术参数及功能的有效性，如未附有效证明材料或者所附的证明材料由评标委员会认为不能佐证技术指标的有效性的，则同样视为</w:t>
      </w:r>
      <w:r>
        <w:rPr>
          <w:rFonts w:hint="eastAsia" w:ascii="宋体" w:hAnsi="宋体" w:cs="宋体"/>
          <w:bCs/>
          <w:color w:val="auto"/>
          <w:sz w:val="24"/>
          <w:highlight w:val="none"/>
          <w:lang w:eastAsia="zh-CN"/>
        </w:rPr>
        <w:t>无正偏离</w:t>
      </w:r>
      <w:r>
        <w:rPr>
          <w:rFonts w:hint="eastAsia" w:ascii="宋体" w:hAnsi="宋体"/>
          <w:bCs/>
          <w:color w:val="auto"/>
          <w:sz w:val="24"/>
          <w:highlight w:val="none"/>
        </w:rPr>
        <w:t>。</w:t>
      </w:r>
    </w:p>
    <w:p w14:paraId="3639E1A1">
      <w:pPr>
        <w:tabs>
          <w:tab w:val="left" w:pos="426"/>
        </w:tabs>
        <w:spacing w:line="360" w:lineRule="auto"/>
        <w:ind w:firstLine="360"/>
        <w:rPr>
          <w:rFonts w:hint="eastAsia" w:ascii="宋体" w:hAnsi="宋体" w:cs="宋体"/>
          <w:bCs/>
          <w:color w:val="auto"/>
          <w:sz w:val="24"/>
          <w:highlight w:val="none"/>
        </w:rPr>
      </w:pPr>
      <w:r>
        <w:rPr>
          <w:rFonts w:hint="eastAsia" w:ascii="宋体" w:hAnsi="宋体" w:eastAsia="宋体" w:cs="宋体"/>
          <w:bCs/>
          <w:color w:val="auto"/>
          <w:sz w:val="24"/>
          <w:highlight w:val="none"/>
          <w:lang w:val="en-US" w:eastAsia="zh-CN"/>
        </w:rPr>
        <w:t>3.</w:t>
      </w:r>
      <w:r>
        <w:rPr>
          <w:rFonts w:hint="eastAsia" w:ascii="宋体" w:hAnsi="宋体" w:eastAsia="宋体" w:cs="Times New Roman"/>
          <w:b/>
          <w:bCs/>
          <w:color w:val="auto"/>
          <w:sz w:val="24"/>
          <w:szCs w:val="24"/>
          <w:highlight w:val="none"/>
          <w:lang w:eastAsia="zh-CN"/>
        </w:rPr>
        <w:t>服务方案</w:t>
      </w:r>
      <w:r>
        <w:rPr>
          <w:rFonts w:hint="eastAsia" w:ascii="宋体" w:hAnsi="宋体" w:eastAsia="宋体" w:cs="Times New Roman"/>
          <w:b/>
          <w:bCs/>
          <w:color w:val="auto"/>
          <w:sz w:val="24"/>
          <w:szCs w:val="24"/>
          <w:highlight w:val="none"/>
        </w:rPr>
        <w:t>（</w:t>
      </w:r>
      <w:r>
        <w:rPr>
          <w:rFonts w:hint="eastAsia" w:ascii="宋体" w:hAnsi="宋体" w:eastAsia="宋体" w:cs="Times New Roman"/>
          <w:b/>
          <w:bCs/>
          <w:color w:val="auto"/>
          <w:sz w:val="24"/>
          <w:szCs w:val="24"/>
          <w:highlight w:val="none"/>
          <w:lang w:val="en-US" w:eastAsia="zh-CN"/>
        </w:rPr>
        <w:t>30</w:t>
      </w:r>
      <w:r>
        <w:rPr>
          <w:rFonts w:hint="eastAsia" w:ascii="宋体" w:hAnsi="宋体" w:cs="宋体"/>
          <w:bCs/>
          <w:color w:val="auto"/>
          <w:sz w:val="24"/>
          <w:highlight w:val="none"/>
        </w:rPr>
        <w:t>分）</w:t>
      </w:r>
    </w:p>
    <w:p w14:paraId="4DCC7BE9">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rPr>
        <w:t xml:space="preserve">设备出现质量问题时的响应时间、响应内容和补救措施 </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p>
    <w:p w14:paraId="78C440B5">
      <w:pPr>
        <w:spacing w:line="360" w:lineRule="auto"/>
        <w:ind w:left="150" w:firstLine="600"/>
        <w:rPr>
          <w:rFonts w:hint="eastAsia" w:ascii="宋体" w:hAnsi="宋体" w:cs="宋体"/>
          <w:color w:val="auto"/>
          <w:sz w:val="24"/>
          <w:highlight w:val="none"/>
        </w:rPr>
      </w:pPr>
      <w:r>
        <w:rPr>
          <w:rFonts w:hint="eastAsia" w:ascii="宋体" w:hAnsi="宋体" w:cs="宋体"/>
          <w:color w:val="auto"/>
          <w:sz w:val="24"/>
          <w:highlight w:val="none"/>
        </w:rPr>
        <w:t>包括3条：①设备出现质量问题的响应时间。②设备出现质量问题供应商处理问题的相关响应内容。③设备出现质量问题相关有效的补救措施。投标供应商须针对每条内容进行阐述。内容详实、需求贴合度高且条理清晰的该条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分，每缺少一条内容或存在逻辑错误、前后矛盾，或存在违反现行相关规范的，该条不得分。</w:t>
      </w:r>
    </w:p>
    <w:p w14:paraId="5F4BD616">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 xml:space="preserve">针对本项目采购方人员的培训方案及其他相关技术方案   </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w:t>
      </w:r>
    </w:p>
    <w:p w14:paraId="643B3752">
      <w:pPr>
        <w:spacing w:line="360" w:lineRule="auto"/>
        <w:ind w:left="150" w:firstLine="600"/>
        <w:rPr>
          <w:rFonts w:hint="eastAsia" w:ascii="宋体" w:hAnsi="宋体" w:cs="宋体"/>
          <w:color w:val="auto"/>
          <w:sz w:val="24"/>
          <w:highlight w:val="none"/>
        </w:rPr>
      </w:pPr>
      <w:r>
        <w:rPr>
          <w:rFonts w:hint="eastAsia" w:ascii="宋体" w:hAnsi="宋体" w:cs="宋体"/>
          <w:color w:val="auto"/>
          <w:sz w:val="24"/>
          <w:highlight w:val="none"/>
        </w:rPr>
        <w:t>包括2条：①供应商拟派人员对采购人进行培训的具体方案。②其他与本项目有关的对采购人有利的相关技术方案。投标供应商须针对每条内容进行阐述。内容详实、需求贴合度高且条理清晰的该条得</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分，每缺少一条内容或存在逻辑错误、前后矛盾，或存在违反现行相关规范的，该条不得分。</w:t>
      </w:r>
    </w:p>
    <w:p w14:paraId="3DEFF667">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 xml:space="preserve">保证售后服务质量的有效措施 </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w:t>
      </w:r>
    </w:p>
    <w:p w14:paraId="7E76E6B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包括2条：①针对本项目售后服务主要涉及的内容</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其中微生物质谱仪须提供原厂质保函原件扫描件</w:t>
      </w:r>
      <w:r>
        <w:rPr>
          <w:rFonts w:hint="eastAsia" w:ascii="宋体" w:hAnsi="宋体" w:cs="宋体"/>
          <w:color w:val="auto"/>
          <w:sz w:val="24"/>
          <w:highlight w:val="none"/>
        </w:rPr>
        <w:t>。②保证售后服务质量的相关有效措施。投标供应商须针对每条内容进行阐述。内容详实、需求贴合度高且条理清晰的该条得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分，每缺少一条内容或存在逻辑错误、前后矛盾</w:t>
      </w:r>
      <w:r>
        <w:rPr>
          <w:rFonts w:hint="eastAsia" w:ascii="宋体" w:hAnsi="宋体" w:cs="宋体"/>
          <w:color w:val="auto"/>
          <w:sz w:val="24"/>
          <w:highlight w:val="none"/>
          <w:lang w:eastAsia="zh-CN"/>
        </w:rPr>
        <w:t>、未提供要求的质保函等相关材料</w:t>
      </w:r>
      <w:r>
        <w:rPr>
          <w:rFonts w:hint="eastAsia" w:ascii="宋体" w:hAnsi="宋体" w:cs="宋体"/>
          <w:color w:val="auto"/>
          <w:sz w:val="24"/>
          <w:highlight w:val="none"/>
        </w:rPr>
        <w:t>，或存在违反现行相关规范的，该条不得分。</w:t>
      </w:r>
    </w:p>
    <w:p w14:paraId="4F5B53C3">
      <w:pPr>
        <w:spacing w:line="360" w:lineRule="auto"/>
        <w:ind w:left="150" w:firstLine="120"/>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 xml:space="preserve">针对本项目维保人员的配备方案 </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4FFCFE3B">
      <w:pPr>
        <w:spacing w:line="360" w:lineRule="auto"/>
        <w:ind w:left="150" w:firstLine="600"/>
        <w:rPr>
          <w:rFonts w:hint="eastAsia" w:ascii="宋体" w:hAnsi="宋体" w:cs="宋体"/>
          <w:color w:val="auto"/>
          <w:sz w:val="24"/>
          <w:highlight w:val="none"/>
        </w:rPr>
      </w:pPr>
      <w:r>
        <w:rPr>
          <w:rFonts w:hint="eastAsia" w:ascii="宋体" w:hAnsi="宋体" w:cs="宋体"/>
          <w:color w:val="auto"/>
          <w:sz w:val="24"/>
          <w:highlight w:val="none"/>
        </w:rPr>
        <w:t>包括2条：①相关人员具体的配备方案。②所配备人员的具体岗位职责。投标供应商须针对每条内容进行阐述。内容详实、需求贴合度高且条理清晰的该条得</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分，每缺少一条内容或存在逻辑错误、前后矛盾</w:t>
      </w:r>
      <w:r>
        <w:rPr>
          <w:rFonts w:hint="eastAsia" w:ascii="宋体" w:hAnsi="宋体" w:cs="宋体"/>
          <w:color w:val="auto"/>
          <w:sz w:val="24"/>
          <w:highlight w:val="none"/>
          <w:lang w:eastAsia="zh-CN"/>
        </w:rPr>
        <w:t>、未提供要求的证明材料</w:t>
      </w:r>
      <w:r>
        <w:rPr>
          <w:rFonts w:hint="eastAsia" w:ascii="宋体" w:hAnsi="宋体" w:cs="宋体"/>
          <w:color w:val="auto"/>
          <w:sz w:val="24"/>
          <w:highlight w:val="none"/>
        </w:rPr>
        <w:t>，或存在违反现行相关规范的，该条不得分。</w:t>
      </w:r>
    </w:p>
    <w:p w14:paraId="03025F3B">
      <w:pPr>
        <w:spacing w:line="360" w:lineRule="auto"/>
        <w:ind w:firstLine="240"/>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其他售后服务内容及方案（</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w:t>
      </w:r>
    </w:p>
    <w:p w14:paraId="6B81A247">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包括</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条：①质保期满后维保内容及</w:t>
      </w:r>
      <w:r>
        <w:rPr>
          <w:rFonts w:hint="eastAsia" w:ascii="宋体" w:hAnsi="宋体" w:cs="宋体"/>
          <w:color w:val="auto"/>
          <w:sz w:val="24"/>
          <w:highlight w:val="none"/>
          <w:lang w:eastAsia="zh-CN"/>
        </w:rPr>
        <w:t>其</w:t>
      </w:r>
      <w:r>
        <w:rPr>
          <w:rFonts w:hint="eastAsia" w:ascii="宋体" w:hAnsi="宋体" w:cs="宋体"/>
          <w:color w:val="auto"/>
          <w:sz w:val="24"/>
          <w:highlight w:val="none"/>
        </w:rPr>
        <w:t>收费</w:t>
      </w:r>
      <w:r>
        <w:rPr>
          <w:rFonts w:hint="eastAsia" w:ascii="宋体" w:hAnsi="宋体" w:cs="宋体"/>
          <w:color w:val="auto"/>
          <w:sz w:val="24"/>
          <w:highlight w:val="none"/>
          <w:lang w:eastAsia="zh-CN"/>
        </w:rPr>
        <w:t>情况、</w:t>
      </w:r>
      <w:r>
        <w:rPr>
          <w:rFonts w:hint="eastAsia" w:ascii="宋体" w:hAnsi="宋体" w:cs="宋体"/>
          <w:color w:val="auto"/>
          <w:sz w:val="24"/>
          <w:highlight w:val="none"/>
        </w:rPr>
        <w:t>零配件和维修备品备件的价格。②其零配件和维修备品备件的供应保障。投标供应商须针对每条内容进行阐述。内容详实、需求贴合度高且条理清晰的该条得</w:t>
      </w:r>
      <w:r>
        <w:rPr>
          <w:rFonts w:hint="eastAsia" w:ascii="宋体" w:hAnsi="宋体" w:cs="宋体"/>
          <w:color w:val="auto"/>
          <w:sz w:val="24"/>
          <w:highlight w:val="none"/>
          <w:lang w:val="en-US" w:eastAsia="zh-CN"/>
        </w:rPr>
        <w:t>2.5</w:t>
      </w:r>
      <w:r>
        <w:rPr>
          <w:rFonts w:hint="eastAsia" w:ascii="宋体" w:hAnsi="宋体" w:cs="宋体"/>
          <w:color w:val="auto"/>
          <w:sz w:val="24"/>
          <w:highlight w:val="none"/>
        </w:rPr>
        <w:t>分；内容较为简单、可行、细节待完善的该条得</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分。本项最高得</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分，每缺少一条内容或存在逻辑错误、前后矛盾，或存在违反现行相关规范的，该条不得分。</w:t>
      </w:r>
    </w:p>
    <w:p w14:paraId="0B491B28">
      <w:pPr>
        <w:rPr>
          <w:color w:val="auto"/>
          <w:highlight w:val="none"/>
        </w:rPr>
      </w:pPr>
    </w:p>
    <w:p w14:paraId="4096298E">
      <w:pPr>
        <w:spacing w:line="360" w:lineRule="auto"/>
        <w:ind w:firstLine="480"/>
        <w:rPr>
          <w:rFonts w:hint="eastAsia" w:ascii="宋体" w:hAnsi="宋体" w:cs="宋体"/>
          <w:color w:val="auto"/>
          <w:sz w:val="24"/>
          <w:highlight w:val="none"/>
        </w:rPr>
      </w:pPr>
    </w:p>
    <w:p w14:paraId="08127740">
      <w:pPr>
        <w:spacing w:line="360" w:lineRule="auto"/>
        <w:jc w:val="center"/>
        <w:outlineLvl w:val="0"/>
        <w:rPr>
          <w:rFonts w:hint="eastAsia" w:ascii="宋体" w:hAnsi="宋体" w:cs="宋体"/>
          <w:bCs/>
          <w:color w:val="auto"/>
          <w:sz w:val="44"/>
          <w:szCs w:val="44"/>
          <w:highlight w:val="none"/>
        </w:rPr>
      </w:pPr>
    </w:p>
    <w:p w14:paraId="426DC966">
      <w:pPr>
        <w:spacing w:line="360" w:lineRule="auto"/>
        <w:jc w:val="center"/>
        <w:outlineLvl w:val="0"/>
        <w:rPr>
          <w:rFonts w:hint="eastAsia" w:ascii="宋体" w:hAnsi="宋体" w:cs="宋体"/>
          <w:bCs/>
          <w:color w:val="auto"/>
          <w:sz w:val="44"/>
          <w:szCs w:val="44"/>
          <w:highlight w:val="none"/>
        </w:rPr>
      </w:pPr>
    </w:p>
    <w:p w14:paraId="065B97CA">
      <w:pPr>
        <w:spacing w:line="360" w:lineRule="auto"/>
        <w:jc w:val="center"/>
        <w:outlineLvl w:val="0"/>
        <w:rPr>
          <w:rFonts w:hint="eastAsia" w:ascii="宋体" w:hAnsi="宋体" w:cs="宋体"/>
          <w:bCs/>
          <w:color w:val="auto"/>
          <w:sz w:val="44"/>
          <w:szCs w:val="44"/>
          <w:highlight w:val="none"/>
        </w:rPr>
      </w:pPr>
    </w:p>
    <w:p w14:paraId="1B2DF6B1">
      <w:pPr>
        <w:spacing w:line="360" w:lineRule="auto"/>
        <w:jc w:val="center"/>
        <w:outlineLvl w:val="0"/>
        <w:rPr>
          <w:rFonts w:hint="eastAsia" w:ascii="宋体" w:hAnsi="宋体" w:cs="宋体"/>
          <w:bCs/>
          <w:color w:val="auto"/>
          <w:sz w:val="44"/>
          <w:szCs w:val="44"/>
          <w:highlight w:val="none"/>
        </w:rPr>
      </w:pPr>
    </w:p>
    <w:p w14:paraId="36E300F4">
      <w:pPr>
        <w:spacing w:line="360" w:lineRule="auto"/>
        <w:jc w:val="center"/>
        <w:outlineLvl w:val="0"/>
        <w:rPr>
          <w:rFonts w:hint="eastAsia" w:ascii="宋体" w:hAnsi="宋体" w:cs="宋体"/>
          <w:bCs/>
          <w:color w:val="auto"/>
          <w:sz w:val="44"/>
          <w:szCs w:val="44"/>
          <w:highlight w:val="none"/>
        </w:rPr>
      </w:pPr>
    </w:p>
    <w:p w14:paraId="286CF250">
      <w:pPr>
        <w:spacing w:line="360" w:lineRule="auto"/>
        <w:jc w:val="center"/>
        <w:outlineLvl w:val="0"/>
        <w:rPr>
          <w:rFonts w:hint="eastAsia" w:ascii="宋体" w:hAnsi="宋体" w:cs="宋体"/>
          <w:bCs/>
          <w:color w:val="auto"/>
          <w:sz w:val="44"/>
          <w:szCs w:val="44"/>
          <w:highlight w:val="none"/>
        </w:rPr>
      </w:pPr>
    </w:p>
    <w:p w14:paraId="7CD0D18B">
      <w:pPr>
        <w:spacing w:line="360" w:lineRule="auto"/>
        <w:jc w:val="center"/>
        <w:outlineLvl w:val="0"/>
        <w:rPr>
          <w:rFonts w:hint="eastAsia" w:ascii="宋体" w:hAnsi="宋体" w:cs="宋体"/>
          <w:bCs/>
          <w:color w:val="auto"/>
          <w:sz w:val="44"/>
          <w:szCs w:val="44"/>
          <w:highlight w:val="none"/>
        </w:rPr>
      </w:pPr>
    </w:p>
    <w:p w14:paraId="00C8D916">
      <w:pPr>
        <w:spacing w:line="360" w:lineRule="auto"/>
        <w:jc w:val="center"/>
        <w:outlineLvl w:val="0"/>
        <w:rPr>
          <w:rFonts w:hint="eastAsia" w:ascii="宋体" w:hAnsi="宋体" w:cs="宋体"/>
          <w:bCs/>
          <w:color w:val="auto"/>
          <w:sz w:val="44"/>
          <w:szCs w:val="44"/>
          <w:highlight w:val="none"/>
        </w:rPr>
      </w:pPr>
    </w:p>
    <w:p w14:paraId="168B30DE">
      <w:pPr>
        <w:spacing w:line="360" w:lineRule="auto"/>
        <w:jc w:val="center"/>
        <w:outlineLvl w:val="0"/>
        <w:rPr>
          <w:rFonts w:hint="eastAsia" w:ascii="宋体" w:hAnsi="宋体" w:cs="宋体"/>
          <w:bCs/>
          <w:color w:val="auto"/>
          <w:sz w:val="44"/>
          <w:szCs w:val="44"/>
          <w:highlight w:val="none"/>
        </w:rPr>
      </w:pPr>
      <w:r>
        <w:rPr>
          <w:rFonts w:hint="eastAsia" w:ascii="宋体" w:hAnsi="宋体" w:cs="宋体"/>
          <w:bCs/>
          <w:color w:val="auto"/>
          <w:sz w:val="44"/>
          <w:szCs w:val="44"/>
          <w:highlight w:val="none"/>
        </w:rPr>
        <w:t>第</w:t>
      </w:r>
      <w:r>
        <w:rPr>
          <w:rFonts w:hint="eastAsia" w:ascii="宋体" w:hAnsi="宋体" w:cs="宋体"/>
          <w:bCs/>
          <w:color w:val="auto"/>
          <w:sz w:val="44"/>
          <w:szCs w:val="44"/>
          <w:highlight w:val="none"/>
          <w:lang w:eastAsia="zh-CN"/>
        </w:rPr>
        <w:t>六</w:t>
      </w:r>
      <w:r>
        <w:rPr>
          <w:rFonts w:hint="eastAsia" w:ascii="宋体" w:hAnsi="宋体" w:cs="宋体"/>
          <w:bCs/>
          <w:color w:val="auto"/>
          <w:sz w:val="44"/>
          <w:szCs w:val="44"/>
          <w:highlight w:val="none"/>
        </w:rPr>
        <w:t>部分．附件（投标文件格式）</w:t>
      </w:r>
    </w:p>
    <w:p w14:paraId="16290E04">
      <w:pPr>
        <w:jc w:val="both"/>
        <w:rPr>
          <w:rFonts w:hint="eastAsia" w:ascii="黑体" w:hAnsi="华文中宋" w:eastAsia="黑体"/>
          <w:bCs/>
          <w:color w:val="auto"/>
          <w:spacing w:val="20"/>
          <w:sz w:val="84"/>
          <w:szCs w:val="84"/>
          <w:highlight w:val="none"/>
        </w:rPr>
      </w:pPr>
      <w:r>
        <w:rPr>
          <w:rFonts w:hint="eastAsia" w:cs="Arial"/>
          <w:b/>
          <w:color w:val="auto"/>
          <w:sz w:val="28"/>
          <w:szCs w:val="28"/>
          <w:highlight w:val="none"/>
        </w:rPr>
        <w:t>封面格式（参考格式）</w:t>
      </w:r>
    </w:p>
    <w:p w14:paraId="315B5CD7">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  标  文  件</w:t>
      </w:r>
    </w:p>
    <w:p w14:paraId="46262E1F">
      <w:pPr>
        <w:jc w:val="center"/>
        <w:rPr>
          <w:rFonts w:ascii="宋体" w:hAnsi="宋体"/>
          <w:b/>
          <w:color w:val="auto"/>
          <w:sz w:val="72"/>
          <w:highlight w:val="none"/>
          <w:shd w:val="clear" w:color="FFFFFF" w:fill="D9D9D9"/>
        </w:rPr>
      </w:pPr>
    </w:p>
    <w:p w14:paraId="7732B1E1">
      <w:pPr>
        <w:jc w:val="center"/>
        <w:rPr>
          <w:rFonts w:ascii="宋体" w:hAnsi="宋体"/>
          <w:b/>
          <w:color w:val="auto"/>
          <w:sz w:val="72"/>
          <w:highlight w:val="none"/>
          <w:shd w:val="clear" w:color="FFFFFF" w:fill="D9D9D9"/>
        </w:rPr>
      </w:pPr>
    </w:p>
    <w:p w14:paraId="63A0A462">
      <w:pPr>
        <w:jc w:val="center"/>
        <w:rPr>
          <w:rFonts w:ascii="宋体" w:hAnsi="宋体"/>
          <w:b/>
          <w:color w:val="auto"/>
          <w:sz w:val="72"/>
          <w:highlight w:val="none"/>
          <w:shd w:val="clear" w:color="FFFFFF" w:fill="D9D9D9"/>
        </w:rPr>
      </w:pPr>
    </w:p>
    <w:p w14:paraId="6EC4AF17">
      <w:pPr>
        <w:jc w:val="center"/>
        <w:rPr>
          <w:rFonts w:ascii="宋体" w:hAnsi="宋体"/>
          <w:b/>
          <w:color w:val="auto"/>
          <w:sz w:val="72"/>
          <w:highlight w:val="none"/>
          <w:shd w:val="clear" w:color="FFFFFF" w:fill="D9D9D9"/>
        </w:rPr>
      </w:pPr>
    </w:p>
    <w:p w14:paraId="37E1AE8F">
      <w:pPr>
        <w:jc w:val="center"/>
        <w:rPr>
          <w:rFonts w:ascii="宋体" w:hAnsi="宋体"/>
          <w:b/>
          <w:color w:val="auto"/>
          <w:sz w:val="72"/>
          <w:highlight w:val="none"/>
          <w:shd w:val="clear" w:color="FFFFFF" w:fill="D9D9D9"/>
        </w:rPr>
      </w:pPr>
    </w:p>
    <w:p w14:paraId="27069766">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项目编号：</w:t>
      </w:r>
    </w:p>
    <w:p w14:paraId="35E3CA34">
      <w:pPr>
        <w:ind w:firstLine="18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项目名称：</w:t>
      </w:r>
    </w:p>
    <w:p w14:paraId="79FE3C63">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投 标 人：</w:t>
      </w:r>
    </w:p>
    <w:p w14:paraId="6BBE1263">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01BF7B0D">
      <w:pPr>
        <w:spacing w:line="360" w:lineRule="auto"/>
        <w:jc w:val="center"/>
        <w:outlineLvl w:val="0"/>
        <w:rPr>
          <w:rFonts w:hint="eastAsia" w:ascii="宋体" w:hAnsi="宋体" w:cs="宋体"/>
          <w:bCs/>
          <w:color w:val="auto"/>
          <w:sz w:val="30"/>
          <w:szCs w:val="30"/>
          <w:highlight w:val="none"/>
        </w:rPr>
      </w:pPr>
    </w:p>
    <w:p w14:paraId="72DB17E0">
      <w:pPr>
        <w:spacing w:line="360" w:lineRule="auto"/>
        <w:jc w:val="center"/>
        <w:outlineLvl w:val="0"/>
        <w:rPr>
          <w:rFonts w:hint="eastAsia" w:ascii="宋体" w:hAnsi="宋体" w:cs="宋体"/>
          <w:bCs/>
          <w:color w:val="auto"/>
          <w:sz w:val="30"/>
          <w:szCs w:val="30"/>
          <w:highlight w:val="none"/>
        </w:rPr>
      </w:pPr>
    </w:p>
    <w:p w14:paraId="7324FC65">
      <w:pPr>
        <w:pStyle w:val="226"/>
        <w:ind w:left="1260"/>
        <w:rPr>
          <w:rFonts w:hint="eastAsia" w:ascii="宋体" w:hAnsi="宋体" w:cs="宋体"/>
          <w:bCs/>
          <w:color w:val="auto"/>
          <w:sz w:val="30"/>
          <w:szCs w:val="30"/>
          <w:highlight w:val="none"/>
        </w:rPr>
      </w:pPr>
    </w:p>
    <w:p w14:paraId="75D802FA">
      <w:pPr>
        <w:rPr>
          <w:rFonts w:hint="eastAsia" w:ascii="宋体" w:hAnsi="宋体" w:cs="宋体"/>
          <w:bCs/>
          <w:color w:val="auto"/>
          <w:sz w:val="30"/>
          <w:szCs w:val="30"/>
          <w:highlight w:val="none"/>
        </w:rPr>
      </w:pPr>
    </w:p>
    <w:p w14:paraId="3EB99F8A">
      <w:pPr>
        <w:rPr>
          <w:rFonts w:hint="eastAsia" w:ascii="宋体" w:hAnsi="宋体" w:cs="宋体"/>
          <w:bCs/>
          <w:color w:val="auto"/>
          <w:sz w:val="30"/>
          <w:szCs w:val="30"/>
          <w:highlight w:val="none"/>
        </w:rPr>
      </w:pPr>
    </w:p>
    <w:p w14:paraId="35170854">
      <w:pPr>
        <w:rPr>
          <w:rFonts w:hint="eastAsia" w:ascii="宋体" w:hAnsi="宋体" w:cs="宋体"/>
          <w:color w:val="auto"/>
          <w:sz w:val="30"/>
          <w:szCs w:val="30"/>
          <w:highlight w:val="none"/>
        </w:rPr>
      </w:pPr>
    </w:p>
    <w:p w14:paraId="3A499943">
      <w:pPr>
        <w:rPr>
          <w:rFonts w:hint="eastAsia" w:ascii="宋体" w:hAnsi="宋体" w:cs="宋体"/>
          <w:color w:val="auto"/>
          <w:sz w:val="30"/>
          <w:szCs w:val="30"/>
          <w:highlight w:val="none"/>
        </w:rPr>
      </w:pPr>
    </w:p>
    <w:p w14:paraId="388B042F">
      <w:pPr>
        <w:rPr>
          <w:rFonts w:hint="eastAsia" w:ascii="宋体" w:hAnsi="宋体" w:cs="宋体"/>
          <w:color w:val="auto"/>
          <w:sz w:val="30"/>
          <w:szCs w:val="30"/>
          <w:highlight w:val="none"/>
        </w:rPr>
      </w:pPr>
    </w:p>
    <w:p w14:paraId="4CA40380">
      <w:pPr>
        <w:rPr>
          <w:rFonts w:hint="eastAsia" w:ascii="宋体" w:hAnsi="宋体" w:cs="宋体"/>
          <w:color w:val="auto"/>
          <w:sz w:val="30"/>
          <w:szCs w:val="30"/>
          <w:highlight w:val="none"/>
        </w:rPr>
      </w:pPr>
    </w:p>
    <w:p w14:paraId="6D9BC19F">
      <w:pPr>
        <w:rPr>
          <w:rFonts w:hint="eastAsia" w:ascii="宋体" w:hAnsi="宋体" w:cs="宋体"/>
          <w:color w:val="auto"/>
          <w:sz w:val="30"/>
          <w:szCs w:val="30"/>
          <w:highlight w:val="none"/>
        </w:rPr>
      </w:pPr>
    </w:p>
    <w:p w14:paraId="548F7C76">
      <w:pPr>
        <w:rPr>
          <w:rFonts w:hint="eastAsia" w:ascii="宋体" w:hAnsi="宋体" w:cs="宋体"/>
          <w:color w:val="auto"/>
          <w:sz w:val="30"/>
          <w:szCs w:val="30"/>
          <w:highlight w:val="none"/>
        </w:rPr>
      </w:pPr>
    </w:p>
    <w:p w14:paraId="0646AEC7">
      <w:pPr>
        <w:rPr>
          <w:rFonts w:hint="eastAsia" w:ascii="宋体" w:hAnsi="宋体" w:cs="宋体"/>
          <w:color w:val="auto"/>
          <w:sz w:val="30"/>
          <w:szCs w:val="30"/>
          <w:highlight w:val="none"/>
        </w:rPr>
      </w:pPr>
    </w:p>
    <w:p w14:paraId="7B85A02C">
      <w:pPr>
        <w:rPr>
          <w:rFonts w:hint="eastAsia"/>
          <w:color w:val="auto"/>
          <w:highlight w:val="none"/>
        </w:rPr>
      </w:pPr>
    </w:p>
    <w:p w14:paraId="6509C938">
      <w:pPr>
        <w:spacing w:line="360" w:lineRule="auto"/>
        <w:jc w:val="center"/>
        <w:outlineLvl w:val="0"/>
        <w:rPr>
          <w:rFonts w:hint="eastAsia" w:ascii="宋体" w:hAnsi="宋体" w:cs="宋体"/>
          <w:bCs/>
          <w:color w:val="auto"/>
          <w:sz w:val="30"/>
          <w:szCs w:val="30"/>
          <w:highlight w:val="none"/>
        </w:rPr>
      </w:pPr>
      <w:r>
        <w:rPr>
          <w:rFonts w:hint="eastAsia" w:ascii="宋体" w:hAnsi="宋体" w:cs="宋体"/>
          <w:bCs/>
          <w:color w:val="auto"/>
          <w:sz w:val="30"/>
          <w:szCs w:val="30"/>
          <w:highlight w:val="none"/>
        </w:rPr>
        <w:t>（一）</w:t>
      </w:r>
      <w:r>
        <w:rPr>
          <w:rFonts w:hint="eastAsia" w:ascii="宋体" w:hAnsi="宋体" w:cs="宋体"/>
          <w:bCs/>
          <w:color w:val="auto"/>
          <w:sz w:val="30"/>
          <w:szCs w:val="30"/>
          <w:highlight w:val="none"/>
          <w:lang w:eastAsia="zh-CN"/>
        </w:rPr>
        <w:t>投标函</w:t>
      </w:r>
      <w:r>
        <w:rPr>
          <w:rFonts w:hint="eastAsia" w:ascii="宋体" w:hAnsi="宋体" w:cs="宋体"/>
          <w:bCs/>
          <w:color w:val="auto"/>
          <w:sz w:val="30"/>
          <w:szCs w:val="30"/>
          <w:highlight w:val="none"/>
        </w:rPr>
        <w:t>（格式）</w:t>
      </w:r>
    </w:p>
    <w:p w14:paraId="5D1DD63B">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64668AB2">
      <w:pPr>
        <w:spacing w:line="400" w:lineRule="exact"/>
        <w:rPr>
          <w:rFonts w:ascii="宋体"/>
          <w:bCs/>
          <w:color w:val="auto"/>
          <w:sz w:val="24"/>
          <w:szCs w:val="24"/>
          <w:highlight w:val="none"/>
        </w:rPr>
      </w:pPr>
      <w:r>
        <w:rPr>
          <w:rFonts w:hint="eastAsia" w:ascii="宋体" w:hAnsi="宋体"/>
          <w:bCs/>
          <w:color w:val="auto"/>
          <w:sz w:val="24"/>
          <w:szCs w:val="24"/>
          <w:highlight w:val="none"/>
        </w:rPr>
        <w:t>致江苏苏咨工程咨询有限责任公司：</w:t>
      </w:r>
    </w:p>
    <w:p w14:paraId="6DBBF37A">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我方收到贵方编号：          招标文件，经仔细阅读和研究，我方决定参加此项目的投标。</w:t>
      </w:r>
    </w:p>
    <w:p w14:paraId="266FFD69">
      <w:pPr>
        <w:numPr>
          <w:ilvl w:val="0"/>
          <w:numId w:val="11"/>
        </w:numPr>
        <w:tabs>
          <w:tab w:val="left" w:pos="315"/>
          <w:tab w:val="left" w:pos="840"/>
          <w:tab w:val="left" w:pos="945"/>
          <w:tab w:val="left" w:pos="1050"/>
          <w:tab w:val="left" w:pos="1260"/>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3FBDA244">
      <w:pPr>
        <w:numPr>
          <w:ilvl w:val="0"/>
          <w:numId w:val="11"/>
        </w:numPr>
        <w:tabs>
          <w:tab w:val="left" w:pos="0"/>
          <w:tab w:val="left" w:pos="315"/>
          <w:tab w:val="left" w:pos="525"/>
          <w:tab w:val="left" w:pos="840"/>
          <w:tab w:val="left" w:pos="945"/>
          <w:tab w:val="left" w:pos="1050"/>
        </w:tabs>
        <w:spacing w:line="400" w:lineRule="exact"/>
        <w:ind w:left="0" w:firstLine="523"/>
        <w:rPr>
          <w:rStyle w:val="474"/>
          <w:bCs/>
          <w:color w:val="auto"/>
          <w:highlight w:val="none"/>
        </w:rPr>
      </w:pPr>
      <w:r>
        <w:rPr>
          <w:rFonts w:hint="eastAsia" w:ascii="宋体" w:hAnsi="宋体"/>
          <w:bCs/>
          <w:color w:val="auto"/>
          <w:sz w:val="24"/>
          <w:szCs w:val="24"/>
          <w:highlight w:val="none"/>
        </w:rPr>
        <w:t>我方愿意提供江苏苏咨工程咨询有限责任公司在招标文件中要求的文件、资料。</w:t>
      </w:r>
    </w:p>
    <w:p w14:paraId="69E0EF5F">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562533F8">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21BFBD17">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4B03FD3D">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6FC91F5">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6E93C078">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5443879D">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377B03C0">
      <w:pPr>
        <w:numPr>
          <w:ilvl w:val="0"/>
          <w:numId w:val="11"/>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78B7E54C">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27D8EBF8">
      <w:pPr>
        <w:spacing w:line="40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75E53D99">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45D1F4BA">
      <w:pPr>
        <w:spacing w:line="400" w:lineRule="exact"/>
        <w:jc w:val="center"/>
        <w:rPr>
          <w:rFonts w:hint="eastAsia" w:ascii="宋体" w:hAnsi="宋体" w:cs="宋体"/>
          <w:bCs/>
          <w:color w:val="auto"/>
          <w:sz w:val="28"/>
          <w:szCs w:val="28"/>
          <w:highlight w:val="none"/>
        </w:rPr>
      </w:pPr>
    </w:p>
    <w:p w14:paraId="3E91D386">
      <w:pPr>
        <w:spacing w:line="400" w:lineRule="exact"/>
        <w:jc w:val="center"/>
        <w:rPr>
          <w:rFonts w:hint="eastAsia" w:ascii="宋体" w:hAnsi="宋体" w:cs="宋体"/>
          <w:bCs/>
          <w:color w:val="auto"/>
          <w:sz w:val="28"/>
          <w:szCs w:val="28"/>
          <w:highlight w:val="none"/>
        </w:rPr>
      </w:pPr>
    </w:p>
    <w:p w14:paraId="538B099F">
      <w:pPr>
        <w:spacing w:line="400" w:lineRule="exact"/>
        <w:jc w:val="center"/>
        <w:rPr>
          <w:rFonts w:hint="eastAsia" w:ascii="宋体" w:hAnsi="宋体" w:cs="宋体"/>
          <w:bCs/>
          <w:color w:val="auto"/>
          <w:sz w:val="28"/>
          <w:szCs w:val="28"/>
          <w:highlight w:val="none"/>
        </w:rPr>
      </w:pPr>
    </w:p>
    <w:p w14:paraId="6E75D5BD">
      <w:pPr>
        <w:spacing w:line="400" w:lineRule="exact"/>
        <w:jc w:val="center"/>
        <w:rPr>
          <w:rFonts w:hint="eastAsia" w:ascii="宋体" w:hAnsi="宋体" w:cs="宋体"/>
          <w:bCs/>
          <w:color w:val="auto"/>
          <w:sz w:val="28"/>
          <w:szCs w:val="28"/>
          <w:highlight w:val="none"/>
        </w:rPr>
      </w:pPr>
      <w:r>
        <w:rPr>
          <w:rFonts w:hint="eastAsia" w:ascii="宋体" w:hAnsi="宋体" w:cs="宋体"/>
          <w:bCs/>
          <w:color w:val="auto"/>
          <w:sz w:val="28"/>
          <w:szCs w:val="28"/>
          <w:highlight w:val="none"/>
        </w:rPr>
        <w:t>（二）</w:t>
      </w:r>
      <w:r>
        <w:rPr>
          <w:rFonts w:hint="eastAsia" w:ascii="宋体" w:hAnsi="宋体" w:cs="宋体"/>
          <w:bCs/>
          <w:color w:val="auto"/>
          <w:sz w:val="28"/>
          <w:szCs w:val="28"/>
          <w:highlight w:val="none"/>
          <w:lang w:eastAsia="zh-CN"/>
        </w:rPr>
        <w:t>开标一览表</w:t>
      </w:r>
      <w:r>
        <w:rPr>
          <w:rFonts w:hint="eastAsia" w:ascii="宋体" w:hAnsi="宋体" w:cs="宋体"/>
          <w:bCs/>
          <w:color w:val="auto"/>
          <w:sz w:val="28"/>
          <w:szCs w:val="28"/>
          <w:highlight w:val="none"/>
        </w:rPr>
        <w:t>（格式）</w:t>
      </w:r>
    </w:p>
    <w:p w14:paraId="1207037E">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项目编号：</w:t>
      </w:r>
    </w:p>
    <w:tbl>
      <w:tblPr>
        <w:tblStyle w:val="29"/>
        <w:tblW w:w="899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02"/>
        <w:gridCol w:w="3188"/>
      </w:tblGrid>
      <w:tr w14:paraId="67024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802" w:type="dxa"/>
            <w:noWrap w:val="0"/>
            <w:vAlign w:val="center"/>
          </w:tcPr>
          <w:p w14:paraId="118F36E1">
            <w:pPr>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5A6812D9">
            <w:pPr>
              <w:jc w:val="center"/>
              <w:rPr>
                <w:rFonts w:ascii="宋体"/>
                <w:b/>
                <w:bCs/>
                <w:color w:val="auto"/>
                <w:sz w:val="24"/>
                <w:szCs w:val="24"/>
                <w:highlight w:val="none"/>
              </w:rPr>
            </w:pPr>
            <w:r>
              <w:rPr>
                <w:rFonts w:hint="eastAsia" w:ascii="宋体" w:hAnsi="宋体"/>
                <w:b/>
                <w:bCs/>
                <w:color w:val="auto"/>
                <w:sz w:val="24"/>
                <w:szCs w:val="24"/>
                <w:highlight w:val="none"/>
              </w:rPr>
              <w:t>投标总报价</w:t>
            </w:r>
            <w:r>
              <w:rPr>
                <w:rFonts w:ascii="宋体" w:hAnsi="宋体"/>
                <w:b/>
                <w:bCs/>
                <w:color w:val="auto"/>
                <w:sz w:val="24"/>
                <w:szCs w:val="24"/>
                <w:highlight w:val="none"/>
              </w:rPr>
              <w:t>(</w:t>
            </w:r>
            <w:r>
              <w:rPr>
                <w:rFonts w:hint="eastAsia" w:ascii="宋体" w:hAnsi="宋体"/>
                <w:b/>
                <w:bCs/>
                <w:color w:val="auto"/>
                <w:sz w:val="24"/>
                <w:szCs w:val="24"/>
                <w:highlight w:val="none"/>
              </w:rPr>
              <w:t>小写</w:t>
            </w:r>
            <w:r>
              <w:rPr>
                <w:rFonts w:ascii="宋体" w:hAnsi="宋体"/>
                <w:b/>
                <w:bCs/>
                <w:color w:val="auto"/>
                <w:sz w:val="24"/>
                <w:szCs w:val="24"/>
                <w:highlight w:val="none"/>
              </w:rPr>
              <w:t>)</w:t>
            </w:r>
          </w:p>
        </w:tc>
      </w:tr>
      <w:tr w14:paraId="24A46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802" w:type="dxa"/>
            <w:noWrap w:val="0"/>
            <w:vAlign w:val="center"/>
          </w:tcPr>
          <w:p w14:paraId="56CE44A7">
            <w:pPr>
              <w:pStyle w:val="472"/>
              <w:spacing w:line="400" w:lineRule="exact"/>
              <w:jc w:val="center"/>
              <w:rPr>
                <w:rFonts w:hint="eastAsia" w:hAnsi="宋体" w:eastAsia="宋体"/>
                <w:bCs/>
                <w:color w:val="auto"/>
                <w:szCs w:val="24"/>
                <w:highlight w:val="none"/>
                <w:lang w:eastAsia="zh-CN"/>
              </w:rPr>
            </w:pPr>
            <w:r>
              <w:rPr>
                <w:rFonts w:hint="eastAsia" w:ascii="黑体" w:hAnsi="Times New Roman" w:eastAsia="黑体" w:cs="Times New Roman"/>
                <w:color w:val="auto"/>
                <w:sz w:val="24"/>
                <w:szCs w:val="24"/>
                <w:highlight w:val="none"/>
                <w:lang w:val="en-US" w:eastAsia="zh-CN" w:bidi="ar-SA"/>
              </w:rPr>
              <w:t>2026年新吴区疾控中心检验检测设备采购项目</w:t>
            </w:r>
          </w:p>
        </w:tc>
        <w:tc>
          <w:tcPr>
            <w:tcW w:w="3188" w:type="dxa"/>
            <w:noWrap w:val="0"/>
            <w:vAlign w:val="center"/>
          </w:tcPr>
          <w:p w14:paraId="165D1C10">
            <w:pPr>
              <w:pStyle w:val="472"/>
              <w:jc w:val="center"/>
              <w:rPr>
                <w:rFonts w:hAnsi="宋体"/>
                <w:b/>
                <w:color w:val="auto"/>
                <w:szCs w:val="24"/>
                <w:highlight w:val="none"/>
              </w:rPr>
            </w:pPr>
          </w:p>
        </w:tc>
      </w:tr>
      <w:tr w14:paraId="42063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990" w:type="dxa"/>
            <w:gridSpan w:val="2"/>
            <w:noWrap w:val="0"/>
            <w:vAlign w:val="center"/>
          </w:tcPr>
          <w:p w14:paraId="68F4F1D0">
            <w:pPr>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w:t>
            </w:r>
            <w:r>
              <w:rPr>
                <w:rFonts w:ascii="宋体"/>
                <w:bCs/>
                <w:color w:val="auto"/>
                <w:sz w:val="24"/>
                <w:szCs w:val="24"/>
                <w:highlight w:val="none"/>
              </w:rPr>
              <w:t xml:space="preserve"> </w:t>
            </w:r>
          </w:p>
        </w:tc>
      </w:tr>
    </w:tbl>
    <w:p w14:paraId="036BF8FB">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22AA93E4">
      <w:pPr>
        <w:spacing w:line="400" w:lineRule="exact"/>
        <w:rPr>
          <w:rFonts w:ascii="黑体" w:eastAsia="黑体"/>
          <w:bCs/>
          <w:color w:val="auto"/>
          <w:sz w:val="24"/>
          <w:szCs w:val="24"/>
          <w:highlight w:val="none"/>
        </w:rPr>
      </w:pPr>
    </w:p>
    <w:p w14:paraId="6958C5B1">
      <w:pPr>
        <w:spacing w:line="400" w:lineRule="exact"/>
        <w:rPr>
          <w:rFonts w:ascii="黑体" w:eastAsia="黑体"/>
          <w:bCs/>
          <w:color w:val="auto"/>
          <w:sz w:val="24"/>
          <w:szCs w:val="24"/>
          <w:highlight w:val="none"/>
        </w:rPr>
      </w:pPr>
    </w:p>
    <w:p w14:paraId="0CE3538C">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5D487486">
      <w:pPr>
        <w:spacing w:line="400" w:lineRule="exact"/>
        <w:jc w:val="center"/>
        <w:rPr>
          <w:rFonts w:hint="eastAsia" w:ascii="宋体" w:hAnsi="宋体" w:cs="宋体"/>
          <w:bCs/>
          <w:color w:val="auto"/>
          <w:sz w:val="28"/>
          <w:szCs w:val="28"/>
          <w:highlight w:val="none"/>
        </w:rPr>
      </w:pPr>
    </w:p>
    <w:p w14:paraId="1DFAE67A">
      <w:pPr>
        <w:spacing w:line="400" w:lineRule="exact"/>
        <w:jc w:val="center"/>
        <w:rPr>
          <w:rFonts w:hint="eastAsia" w:ascii="宋体" w:hAnsi="宋体" w:cs="宋体"/>
          <w:bCs/>
          <w:color w:val="auto"/>
          <w:sz w:val="28"/>
          <w:szCs w:val="28"/>
          <w:highlight w:val="none"/>
        </w:rPr>
      </w:pPr>
    </w:p>
    <w:p w14:paraId="4A4D952B">
      <w:pPr>
        <w:spacing w:line="400" w:lineRule="exact"/>
        <w:jc w:val="center"/>
        <w:rPr>
          <w:rFonts w:hint="eastAsia" w:ascii="宋体" w:hAnsi="宋体" w:cs="宋体"/>
          <w:bCs/>
          <w:color w:val="auto"/>
          <w:sz w:val="28"/>
          <w:szCs w:val="28"/>
          <w:highlight w:val="none"/>
        </w:rPr>
      </w:pPr>
    </w:p>
    <w:p w14:paraId="689F00DD">
      <w:pPr>
        <w:spacing w:line="400" w:lineRule="exact"/>
        <w:jc w:val="center"/>
        <w:rPr>
          <w:rFonts w:hint="eastAsia" w:ascii="宋体" w:hAnsi="宋体" w:cs="宋体"/>
          <w:bCs/>
          <w:color w:val="auto"/>
          <w:sz w:val="28"/>
          <w:szCs w:val="28"/>
          <w:highlight w:val="none"/>
        </w:rPr>
      </w:pPr>
    </w:p>
    <w:p w14:paraId="4FF8AF69">
      <w:pPr>
        <w:spacing w:line="400" w:lineRule="exact"/>
        <w:jc w:val="center"/>
        <w:rPr>
          <w:rFonts w:hint="eastAsia" w:ascii="宋体" w:hAnsi="宋体" w:cs="宋体"/>
          <w:bCs/>
          <w:color w:val="auto"/>
          <w:sz w:val="28"/>
          <w:szCs w:val="28"/>
          <w:highlight w:val="none"/>
        </w:rPr>
      </w:pPr>
    </w:p>
    <w:p w14:paraId="2C64B949">
      <w:pPr>
        <w:spacing w:line="400" w:lineRule="exact"/>
        <w:jc w:val="center"/>
        <w:rPr>
          <w:rFonts w:hint="eastAsia" w:ascii="宋体" w:hAnsi="宋体" w:cs="宋体"/>
          <w:bCs/>
          <w:color w:val="auto"/>
          <w:sz w:val="28"/>
          <w:szCs w:val="28"/>
          <w:highlight w:val="none"/>
        </w:rPr>
      </w:pPr>
    </w:p>
    <w:p w14:paraId="51F4F581">
      <w:pPr>
        <w:spacing w:line="400" w:lineRule="exact"/>
        <w:jc w:val="center"/>
        <w:rPr>
          <w:rFonts w:hint="eastAsia" w:ascii="宋体" w:hAnsi="宋体" w:cs="宋体"/>
          <w:bCs/>
          <w:color w:val="auto"/>
          <w:sz w:val="28"/>
          <w:szCs w:val="28"/>
          <w:highlight w:val="none"/>
        </w:rPr>
      </w:pPr>
    </w:p>
    <w:p w14:paraId="4805E4DB">
      <w:pPr>
        <w:spacing w:line="400" w:lineRule="exact"/>
        <w:jc w:val="center"/>
        <w:rPr>
          <w:rFonts w:hint="eastAsia" w:ascii="宋体" w:hAnsi="宋体" w:cs="宋体"/>
          <w:bCs/>
          <w:color w:val="auto"/>
          <w:sz w:val="28"/>
          <w:szCs w:val="28"/>
          <w:highlight w:val="none"/>
        </w:rPr>
      </w:pPr>
    </w:p>
    <w:p w14:paraId="43C672F3">
      <w:pPr>
        <w:spacing w:line="400" w:lineRule="exact"/>
        <w:jc w:val="center"/>
        <w:rPr>
          <w:rFonts w:hint="eastAsia" w:ascii="宋体" w:hAnsi="宋体" w:cs="宋体"/>
          <w:bCs/>
          <w:color w:val="auto"/>
          <w:sz w:val="28"/>
          <w:szCs w:val="28"/>
          <w:highlight w:val="none"/>
        </w:rPr>
      </w:pPr>
    </w:p>
    <w:p w14:paraId="37D5E963">
      <w:pPr>
        <w:spacing w:line="400" w:lineRule="exact"/>
        <w:jc w:val="center"/>
        <w:rPr>
          <w:rFonts w:hint="eastAsia" w:ascii="宋体" w:hAnsi="宋体" w:cs="宋体"/>
          <w:bCs/>
          <w:color w:val="auto"/>
          <w:sz w:val="28"/>
          <w:szCs w:val="28"/>
          <w:highlight w:val="none"/>
        </w:rPr>
      </w:pPr>
    </w:p>
    <w:p w14:paraId="2124B428">
      <w:pPr>
        <w:spacing w:line="400" w:lineRule="exact"/>
        <w:jc w:val="center"/>
        <w:rPr>
          <w:rFonts w:hint="eastAsia" w:ascii="宋体" w:hAnsi="宋体" w:cs="宋体"/>
          <w:bCs/>
          <w:color w:val="auto"/>
          <w:sz w:val="28"/>
          <w:szCs w:val="28"/>
          <w:highlight w:val="none"/>
        </w:rPr>
      </w:pPr>
    </w:p>
    <w:p w14:paraId="44E028CA">
      <w:pPr>
        <w:spacing w:line="400" w:lineRule="exact"/>
        <w:jc w:val="center"/>
        <w:rPr>
          <w:rFonts w:hint="eastAsia" w:ascii="宋体" w:hAnsi="宋体" w:cs="宋体"/>
          <w:bCs/>
          <w:color w:val="auto"/>
          <w:sz w:val="28"/>
          <w:szCs w:val="28"/>
          <w:highlight w:val="none"/>
        </w:rPr>
      </w:pPr>
    </w:p>
    <w:p w14:paraId="307A7B58">
      <w:pPr>
        <w:spacing w:line="400" w:lineRule="exact"/>
        <w:jc w:val="center"/>
        <w:rPr>
          <w:rFonts w:hint="eastAsia" w:ascii="宋体" w:hAnsi="宋体" w:cs="宋体"/>
          <w:bCs/>
          <w:color w:val="auto"/>
          <w:sz w:val="28"/>
          <w:szCs w:val="28"/>
          <w:highlight w:val="none"/>
        </w:rPr>
      </w:pPr>
    </w:p>
    <w:p w14:paraId="43C60FF6">
      <w:pPr>
        <w:pStyle w:val="220"/>
        <w:rPr>
          <w:rFonts w:hint="eastAsia"/>
          <w:bCs/>
          <w:color w:val="auto"/>
          <w:highlight w:val="none"/>
        </w:rPr>
      </w:pPr>
    </w:p>
    <w:p w14:paraId="1FA6E15D">
      <w:pPr>
        <w:spacing w:line="400" w:lineRule="exact"/>
        <w:jc w:val="center"/>
        <w:rPr>
          <w:rFonts w:hint="eastAsia" w:ascii="宋体" w:hAnsi="宋体" w:cs="宋体"/>
          <w:bCs/>
          <w:color w:val="auto"/>
          <w:sz w:val="28"/>
          <w:szCs w:val="28"/>
          <w:highlight w:val="none"/>
        </w:rPr>
      </w:pPr>
    </w:p>
    <w:p w14:paraId="2DEEEFB3">
      <w:pPr>
        <w:pStyle w:val="220"/>
        <w:rPr>
          <w:rFonts w:hint="eastAsia"/>
          <w:bCs/>
          <w:color w:val="auto"/>
          <w:highlight w:val="none"/>
        </w:rPr>
      </w:pPr>
    </w:p>
    <w:p w14:paraId="53604C8C">
      <w:pPr>
        <w:spacing w:line="400" w:lineRule="exact"/>
        <w:jc w:val="center"/>
        <w:rPr>
          <w:rFonts w:hint="eastAsia" w:ascii="宋体" w:hAnsi="宋体" w:cs="宋体"/>
          <w:bCs/>
          <w:color w:val="auto"/>
          <w:sz w:val="28"/>
          <w:szCs w:val="28"/>
          <w:highlight w:val="none"/>
        </w:rPr>
      </w:pPr>
    </w:p>
    <w:p w14:paraId="59F25DBC">
      <w:pPr>
        <w:pStyle w:val="226"/>
        <w:ind w:left="1260"/>
        <w:rPr>
          <w:rFonts w:hint="eastAsia" w:ascii="宋体" w:hAnsi="宋体" w:cs="宋体"/>
          <w:bCs/>
          <w:color w:val="auto"/>
          <w:sz w:val="28"/>
          <w:szCs w:val="28"/>
          <w:highlight w:val="none"/>
        </w:rPr>
      </w:pPr>
    </w:p>
    <w:p w14:paraId="7A13E4A1">
      <w:pPr>
        <w:keepNext w:val="0"/>
        <w:keepLines w:val="0"/>
        <w:pageBreakBefore w:val="0"/>
        <w:spacing w:line="400" w:lineRule="exact"/>
        <w:jc w:val="center"/>
        <w:outlineLvl w:val="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lang w:eastAsia="zh-CN"/>
        </w:rPr>
        <w:t>（三）</w:t>
      </w:r>
      <w:r>
        <w:rPr>
          <w:rFonts w:hint="eastAsia" w:ascii="黑体" w:hAnsi="Times New Roman" w:eastAsia="黑体" w:cs="Times New Roman"/>
          <w:bCs/>
          <w:color w:val="auto"/>
          <w:sz w:val="28"/>
          <w:szCs w:val="28"/>
          <w:highlight w:val="none"/>
        </w:rPr>
        <w:t>分项报价表</w:t>
      </w:r>
      <w:r>
        <w:rPr>
          <w:rFonts w:hint="eastAsia" w:ascii="黑体" w:hAnsi="Times New Roman" w:eastAsia="黑体" w:cs="Times New Roman"/>
          <w:bCs/>
          <w:color w:val="auto"/>
          <w:sz w:val="28"/>
          <w:szCs w:val="28"/>
          <w:highlight w:val="none"/>
          <w:lang w:eastAsia="zh-CN"/>
        </w:rPr>
        <w:t>（给定格式）：</w:t>
      </w:r>
    </w:p>
    <w:p w14:paraId="20F5F52F">
      <w:pPr>
        <w:keepNext w:val="0"/>
        <w:keepLines w:val="0"/>
        <w:pageBreakBefore w:val="0"/>
        <w:spacing w:line="400" w:lineRule="exact"/>
        <w:jc w:val="center"/>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分项报价表</w:t>
      </w:r>
    </w:p>
    <w:p w14:paraId="17BBAE1A">
      <w:pPr>
        <w:keepNext w:val="0"/>
        <w:keepLines w:val="0"/>
        <w:pageBreakBefore w:val="0"/>
        <w:spacing w:line="400" w:lineRule="exact"/>
        <w:rPr>
          <w:rFonts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p>
    <w:tbl>
      <w:tblPr>
        <w:tblStyle w:val="29"/>
        <w:tblW w:w="10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31"/>
        <w:gridCol w:w="1559"/>
        <w:gridCol w:w="638"/>
        <w:gridCol w:w="638"/>
        <w:gridCol w:w="992"/>
        <w:gridCol w:w="992"/>
        <w:gridCol w:w="992"/>
        <w:gridCol w:w="992"/>
        <w:gridCol w:w="992"/>
        <w:gridCol w:w="993"/>
        <w:gridCol w:w="992"/>
      </w:tblGrid>
      <w:tr w14:paraId="61E46E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08" w:hRule="atLeast"/>
          <w:jc w:val="center"/>
        </w:trPr>
        <w:tc>
          <w:tcPr>
            <w:tcW w:w="531" w:type="dxa"/>
            <w:noWrap/>
            <w:tcMar>
              <w:top w:w="15" w:type="dxa"/>
              <w:left w:w="15" w:type="dxa"/>
              <w:bottom w:w="0" w:type="dxa"/>
              <w:right w:w="15" w:type="dxa"/>
            </w:tcMar>
            <w:vAlign w:val="center"/>
          </w:tcPr>
          <w:p w14:paraId="130A106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59" w:type="dxa"/>
            <w:noWrap w:val="0"/>
            <w:tcMar>
              <w:top w:w="15" w:type="dxa"/>
              <w:left w:w="15" w:type="dxa"/>
              <w:bottom w:w="0" w:type="dxa"/>
              <w:right w:w="15" w:type="dxa"/>
            </w:tcMar>
            <w:vAlign w:val="center"/>
          </w:tcPr>
          <w:p w14:paraId="48E381AB">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638" w:type="dxa"/>
            <w:noWrap/>
            <w:tcMar>
              <w:top w:w="15" w:type="dxa"/>
              <w:left w:w="15" w:type="dxa"/>
              <w:bottom w:w="0" w:type="dxa"/>
              <w:right w:w="15" w:type="dxa"/>
            </w:tcMar>
            <w:vAlign w:val="center"/>
          </w:tcPr>
          <w:p w14:paraId="521419CE">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638" w:type="dxa"/>
            <w:noWrap w:val="0"/>
            <w:tcMar>
              <w:top w:w="15" w:type="dxa"/>
              <w:left w:w="15" w:type="dxa"/>
              <w:bottom w:w="0" w:type="dxa"/>
              <w:right w:w="15" w:type="dxa"/>
            </w:tcMar>
            <w:vAlign w:val="center"/>
          </w:tcPr>
          <w:p w14:paraId="296030C0">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992" w:type="dxa"/>
            <w:noWrap w:val="0"/>
            <w:tcMar>
              <w:top w:w="15" w:type="dxa"/>
              <w:left w:w="15" w:type="dxa"/>
              <w:bottom w:w="0" w:type="dxa"/>
              <w:right w:w="15" w:type="dxa"/>
            </w:tcMar>
            <w:vAlign w:val="center"/>
          </w:tcPr>
          <w:p w14:paraId="61B8E40A">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992" w:type="dxa"/>
            <w:noWrap/>
            <w:tcMar>
              <w:top w:w="15" w:type="dxa"/>
              <w:left w:w="15" w:type="dxa"/>
              <w:bottom w:w="0" w:type="dxa"/>
              <w:right w:w="15" w:type="dxa"/>
            </w:tcMar>
            <w:vAlign w:val="center"/>
          </w:tcPr>
          <w:p w14:paraId="4DB1260F">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生产</w:t>
            </w:r>
          </w:p>
          <w:p w14:paraId="208266FC">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厂家</w:t>
            </w:r>
          </w:p>
        </w:tc>
        <w:tc>
          <w:tcPr>
            <w:tcW w:w="992" w:type="dxa"/>
            <w:noWrap w:val="0"/>
            <w:vAlign w:val="top"/>
          </w:tcPr>
          <w:p w14:paraId="47D53E4F">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992" w:type="dxa"/>
            <w:noWrap w:val="0"/>
            <w:vAlign w:val="center"/>
          </w:tcPr>
          <w:p w14:paraId="4A17E3A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是否中小企业</w:t>
            </w:r>
          </w:p>
        </w:tc>
        <w:tc>
          <w:tcPr>
            <w:tcW w:w="992" w:type="dxa"/>
            <w:noWrap w:val="0"/>
            <w:vAlign w:val="center"/>
          </w:tcPr>
          <w:p w14:paraId="07FB213C">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免费</w:t>
            </w:r>
          </w:p>
          <w:p w14:paraId="3A1FFCA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tc>
        <w:tc>
          <w:tcPr>
            <w:tcW w:w="993" w:type="dxa"/>
            <w:noWrap w:val="0"/>
            <w:vAlign w:val="center"/>
          </w:tcPr>
          <w:p w14:paraId="07EB5BF9">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单报价</w:t>
            </w:r>
          </w:p>
        </w:tc>
        <w:tc>
          <w:tcPr>
            <w:tcW w:w="992" w:type="dxa"/>
            <w:noWrap w:val="0"/>
            <w:vAlign w:val="center"/>
          </w:tcPr>
          <w:p w14:paraId="3069EB44">
            <w:pPr>
              <w:keepNext w:val="0"/>
              <w:keepLines w:val="0"/>
              <w:pageBreakBefore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分项总报价</w:t>
            </w:r>
          </w:p>
        </w:tc>
      </w:tr>
      <w:tr w14:paraId="7B2BA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46" w:hRule="atLeast"/>
          <w:jc w:val="center"/>
        </w:trPr>
        <w:tc>
          <w:tcPr>
            <w:tcW w:w="531" w:type="dxa"/>
            <w:noWrap/>
            <w:tcMar>
              <w:top w:w="15" w:type="dxa"/>
              <w:left w:w="15" w:type="dxa"/>
              <w:bottom w:w="0" w:type="dxa"/>
              <w:right w:w="15" w:type="dxa"/>
            </w:tcMar>
            <w:vAlign w:val="center"/>
          </w:tcPr>
          <w:p w14:paraId="362A41FC">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559" w:type="dxa"/>
            <w:noWrap w:val="0"/>
            <w:tcMar>
              <w:top w:w="15" w:type="dxa"/>
              <w:left w:w="15" w:type="dxa"/>
              <w:bottom w:w="0" w:type="dxa"/>
              <w:right w:w="15" w:type="dxa"/>
            </w:tcMar>
            <w:vAlign w:val="center"/>
          </w:tcPr>
          <w:p w14:paraId="7F8CC256">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4CFE0B10">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4AFAB33F">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21F729D9">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1C719F97">
            <w:pPr>
              <w:keepNext w:val="0"/>
              <w:keepLines w:val="0"/>
              <w:pageBreakBefore w:val="0"/>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　</w:t>
            </w:r>
          </w:p>
        </w:tc>
        <w:tc>
          <w:tcPr>
            <w:tcW w:w="992" w:type="dxa"/>
            <w:noWrap w:val="0"/>
            <w:vAlign w:val="top"/>
          </w:tcPr>
          <w:p w14:paraId="1438FD1C">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5136BC69">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610D4406">
            <w:pPr>
              <w:keepNext w:val="0"/>
              <w:keepLines w:val="0"/>
              <w:pageBreakBefore w:val="0"/>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　</w:t>
            </w:r>
          </w:p>
        </w:tc>
        <w:tc>
          <w:tcPr>
            <w:tcW w:w="993" w:type="dxa"/>
            <w:noWrap w:val="0"/>
            <w:vAlign w:val="center"/>
          </w:tcPr>
          <w:p w14:paraId="56897DAE">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7B73A727">
            <w:pPr>
              <w:keepNext w:val="0"/>
              <w:keepLines w:val="0"/>
              <w:pageBreakBefore w:val="0"/>
              <w:spacing w:line="360" w:lineRule="auto"/>
              <w:jc w:val="center"/>
              <w:rPr>
                <w:rFonts w:ascii="宋体" w:hAnsi="宋体"/>
                <w:bCs/>
                <w:color w:val="auto"/>
                <w:sz w:val="24"/>
                <w:szCs w:val="24"/>
                <w:highlight w:val="none"/>
              </w:rPr>
            </w:pPr>
          </w:p>
        </w:tc>
      </w:tr>
      <w:tr w14:paraId="286A8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46" w:hRule="atLeast"/>
          <w:jc w:val="center"/>
        </w:trPr>
        <w:tc>
          <w:tcPr>
            <w:tcW w:w="531" w:type="dxa"/>
            <w:noWrap/>
            <w:tcMar>
              <w:top w:w="15" w:type="dxa"/>
              <w:left w:w="15" w:type="dxa"/>
              <w:bottom w:w="0" w:type="dxa"/>
              <w:right w:w="15" w:type="dxa"/>
            </w:tcMar>
            <w:vAlign w:val="center"/>
          </w:tcPr>
          <w:p w14:paraId="0BD353D6">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559" w:type="dxa"/>
            <w:noWrap w:val="0"/>
            <w:tcMar>
              <w:top w:w="15" w:type="dxa"/>
              <w:left w:w="15" w:type="dxa"/>
              <w:bottom w:w="0" w:type="dxa"/>
              <w:right w:w="15" w:type="dxa"/>
            </w:tcMar>
            <w:vAlign w:val="center"/>
          </w:tcPr>
          <w:p w14:paraId="3B239528">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4A7418DE">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45309003">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5B28CB12">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37F91F9B">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top"/>
          </w:tcPr>
          <w:p w14:paraId="206F6964">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24FF15EA">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29192EB7">
            <w:pPr>
              <w:keepNext w:val="0"/>
              <w:keepLines w:val="0"/>
              <w:pageBreakBefore w:val="0"/>
              <w:spacing w:line="360" w:lineRule="auto"/>
              <w:jc w:val="center"/>
              <w:rPr>
                <w:rFonts w:ascii="宋体" w:hAnsi="宋体"/>
                <w:bCs/>
                <w:color w:val="auto"/>
                <w:sz w:val="24"/>
                <w:szCs w:val="24"/>
                <w:highlight w:val="none"/>
              </w:rPr>
            </w:pPr>
          </w:p>
        </w:tc>
        <w:tc>
          <w:tcPr>
            <w:tcW w:w="993" w:type="dxa"/>
            <w:noWrap w:val="0"/>
            <w:vAlign w:val="center"/>
          </w:tcPr>
          <w:p w14:paraId="0F1046E2">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57EBD0D0">
            <w:pPr>
              <w:keepNext w:val="0"/>
              <w:keepLines w:val="0"/>
              <w:pageBreakBefore w:val="0"/>
              <w:spacing w:line="360" w:lineRule="auto"/>
              <w:jc w:val="center"/>
              <w:rPr>
                <w:rFonts w:ascii="宋体" w:hAnsi="宋体"/>
                <w:bCs/>
                <w:color w:val="auto"/>
                <w:sz w:val="24"/>
                <w:szCs w:val="24"/>
                <w:highlight w:val="none"/>
              </w:rPr>
            </w:pPr>
          </w:p>
        </w:tc>
      </w:tr>
      <w:tr w14:paraId="45825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82" w:hRule="atLeast"/>
          <w:jc w:val="center"/>
        </w:trPr>
        <w:tc>
          <w:tcPr>
            <w:tcW w:w="531" w:type="dxa"/>
            <w:noWrap/>
            <w:tcMar>
              <w:top w:w="15" w:type="dxa"/>
              <w:left w:w="15" w:type="dxa"/>
              <w:bottom w:w="0" w:type="dxa"/>
              <w:right w:w="15" w:type="dxa"/>
            </w:tcMar>
            <w:vAlign w:val="center"/>
          </w:tcPr>
          <w:p w14:paraId="44B007D8">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559" w:type="dxa"/>
            <w:noWrap w:val="0"/>
            <w:tcMar>
              <w:top w:w="15" w:type="dxa"/>
              <w:left w:w="15" w:type="dxa"/>
              <w:bottom w:w="0" w:type="dxa"/>
              <w:right w:w="15" w:type="dxa"/>
            </w:tcMar>
            <w:vAlign w:val="center"/>
          </w:tcPr>
          <w:p w14:paraId="73579103">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52DE49A5">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3E2186CC">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2BDBB505">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7F3A65A1">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top"/>
          </w:tcPr>
          <w:p w14:paraId="59A65BAC">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52EC5CD4">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689C725D">
            <w:pPr>
              <w:keepNext w:val="0"/>
              <w:keepLines w:val="0"/>
              <w:pageBreakBefore w:val="0"/>
              <w:spacing w:line="360" w:lineRule="auto"/>
              <w:jc w:val="center"/>
              <w:rPr>
                <w:rFonts w:ascii="宋体" w:hAnsi="宋体"/>
                <w:bCs/>
                <w:color w:val="auto"/>
                <w:sz w:val="24"/>
                <w:szCs w:val="24"/>
                <w:highlight w:val="none"/>
              </w:rPr>
            </w:pPr>
          </w:p>
        </w:tc>
        <w:tc>
          <w:tcPr>
            <w:tcW w:w="993" w:type="dxa"/>
            <w:noWrap w:val="0"/>
            <w:vAlign w:val="center"/>
          </w:tcPr>
          <w:p w14:paraId="3C4889BD">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723242EB">
            <w:pPr>
              <w:keepNext w:val="0"/>
              <w:keepLines w:val="0"/>
              <w:pageBreakBefore w:val="0"/>
              <w:spacing w:line="360" w:lineRule="auto"/>
              <w:jc w:val="center"/>
              <w:rPr>
                <w:rFonts w:ascii="宋体" w:hAnsi="宋体"/>
                <w:bCs/>
                <w:color w:val="auto"/>
                <w:sz w:val="24"/>
                <w:szCs w:val="24"/>
                <w:highlight w:val="none"/>
              </w:rPr>
            </w:pPr>
          </w:p>
        </w:tc>
      </w:tr>
      <w:tr w14:paraId="1EAEC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81" w:hRule="atLeast"/>
          <w:jc w:val="center"/>
        </w:trPr>
        <w:tc>
          <w:tcPr>
            <w:tcW w:w="10311" w:type="dxa"/>
            <w:gridSpan w:val="11"/>
            <w:noWrap/>
            <w:tcMar>
              <w:top w:w="15" w:type="dxa"/>
              <w:left w:w="15" w:type="dxa"/>
              <w:bottom w:w="0" w:type="dxa"/>
              <w:right w:w="15" w:type="dxa"/>
            </w:tcMar>
            <w:vAlign w:val="center"/>
          </w:tcPr>
          <w:p w14:paraId="5B2EB09C">
            <w:pPr>
              <w:keepNext w:val="0"/>
              <w:keepLines w:val="0"/>
              <w:pageBreakBefore w:val="0"/>
              <w:tabs>
                <w:tab w:val="left" w:pos="630"/>
                <w:tab w:val="left" w:pos="735"/>
                <w:tab w:val="left" w:pos="945"/>
              </w:tabs>
              <w:spacing w:line="360" w:lineRule="auto"/>
              <w:rPr>
                <w:rFonts w:ascii="宋体" w:hAnsi="宋体"/>
                <w:bCs/>
                <w:color w:val="auto"/>
                <w:sz w:val="24"/>
                <w:szCs w:val="24"/>
                <w:highlight w:val="none"/>
              </w:rPr>
            </w:pPr>
            <w:r>
              <w:rPr>
                <w:rFonts w:hint="eastAsia" w:ascii="宋体" w:hAnsi="宋体"/>
                <w:bCs/>
                <w:color w:val="auto"/>
                <w:sz w:val="24"/>
                <w:szCs w:val="24"/>
                <w:highlight w:val="none"/>
              </w:rPr>
              <w:t>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天内送货并安装调试完毕。</w:t>
            </w:r>
          </w:p>
        </w:tc>
      </w:tr>
      <w:tr w14:paraId="5DA18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9" w:hRule="atLeast"/>
          <w:jc w:val="center"/>
        </w:trPr>
        <w:tc>
          <w:tcPr>
            <w:tcW w:w="10311" w:type="dxa"/>
            <w:gridSpan w:val="11"/>
            <w:noWrap/>
            <w:tcMar>
              <w:top w:w="15" w:type="dxa"/>
              <w:left w:w="15" w:type="dxa"/>
              <w:bottom w:w="0" w:type="dxa"/>
              <w:right w:w="15" w:type="dxa"/>
            </w:tcMar>
            <w:vAlign w:val="center"/>
          </w:tcPr>
          <w:p w14:paraId="0FA40292">
            <w:pPr>
              <w:keepNext w:val="0"/>
              <w:keepLines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总报价：大写小写</w:t>
            </w:r>
          </w:p>
        </w:tc>
      </w:tr>
      <w:tr w14:paraId="13825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369" w:hRule="atLeast"/>
          <w:jc w:val="center"/>
        </w:trPr>
        <w:tc>
          <w:tcPr>
            <w:tcW w:w="10311" w:type="dxa"/>
            <w:gridSpan w:val="11"/>
            <w:noWrap/>
            <w:tcMar>
              <w:top w:w="15" w:type="dxa"/>
              <w:left w:w="15" w:type="dxa"/>
              <w:bottom w:w="0" w:type="dxa"/>
              <w:right w:w="15" w:type="dxa"/>
            </w:tcMar>
            <w:vAlign w:val="center"/>
          </w:tcPr>
          <w:p w14:paraId="4D0AF304">
            <w:pPr>
              <w:keepNext w:val="0"/>
              <w:keepLines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tc>
      </w:tr>
    </w:tbl>
    <w:p w14:paraId="7EF43A04">
      <w:pPr>
        <w:keepNext w:val="0"/>
        <w:keepLines w:val="0"/>
        <w:pageBreakBefore w:val="0"/>
        <w:spacing w:line="560" w:lineRule="atLeast"/>
        <w:rPr>
          <w:b/>
          <w:bCs/>
          <w:color w:val="auto"/>
          <w:sz w:val="24"/>
          <w:szCs w:val="24"/>
          <w:highlight w:val="none"/>
        </w:rPr>
      </w:pPr>
      <w:r>
        <w:rPr>
          <w:rFonts w:hint="eastAsia"/>
          <w:b/>
          <w:bCs/>
          <w:color w:val="auto"/>
          <w:sz w:val="24"/>
          <w:szCs w:val="24"/>
          <w:highlight w:val="none"/>
        </w:rPr>
        <w:t>投标人名称（盖章）：</w:t>
      </w:r>
    </w:p>
    <w:p w14:paraId="0A5D9881">
      <w:pPr>
        <w:keepNext w:val="0"/>
        <w:keepLines w:val="0"/>
        <w:pageBreakBefore w:val="0"/>
        <w:spacing w:line="400" w:lineRule="exact"/>
        <w:outlineLvl w:val="0"/>
        <w:rPr>
          <w:rFonts w:ascii="宋体" w:hAnsi="宋体"/>
          <w:b/>
          <w:color w:val="auto"/>
          <w:highlight w:val="none"/>
        </w:rPr>
      </w:pPr>
    </w:p>
    <w:p w14:paraId="32C0CA23">
      <w:pPr>
        <w:keepNext w:val="0"/>
        <w:keepLines w:val="0"/>
        <w:pageBreakBefore w:val="0"/>
        <w:spacing w:line="400" w:lineRule="exact"/>
        <w:outlineLvl w:val="0"/>
        <w:rPr>
          <w:rFonts w:hint="eastAsia" w:ascii="宋体"/>
          <w:bCs/>
          <w:color w:val="auto"/>
          <w:highlight w:val="none"/>
        </w:rPr>
      </w:pPr>
      <w:r>
        <w:rPr>
          <w:rFonts w:hint="eastAsia" w:ascii="宋体" w:hAnsi="宋体"/>
          <w:b/>
          <w:color w:val="auto"/>
          <w:highlight w:val="none"/>
        </w:rPr>
        <w:t>注：</w:t>
      </w:r>
      <w:r>
        <w:rPr>
          <w:rFonts w:hint="eastAsia" w:ascii="宋体" w:hAnsi="宋体"/>
          <w:bCs/>
          <w:color w:val="auto"/>
          <w:highlight w:val="none"/>
        </w:rPr>
        <w:t>（</w:t>
      </w:r>
      <w:r>
        <w:rPr>
          <w:rFonts w:ascii="宋体" w:hAnsi="宋体"/>
          <w:bCs/>
          <w:color w:val="auto"/>
          <w:highlight w:val="none"/>
        </w:rPr>
        <w:t>1</w:t>
      </w:r>
      <w:r>
        <w:rPr>
          <w:rFonts w:hint="eastAsia" w:ascii="宋体" w:hAnsi="宋体"/>
          <w:bCs/>
          <w:color w:val="auto"/>
          <w:highlight w:val="none"/>
        </w:rPr>
        <w:t>）</w:t>
      </w:r>
      <w:r>
        <w:rPr>
          <w:rFonts w:hint="eastAsia" w:ascii="宋体"/>
          <w:bCs/>
          <w:color w:val="auto"/>
          <w:highlight w:val="none"/>
        </w:rPr>
        <w:t>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采购代理机构</w:t>
      </w:r>
      <w:r>
        <w:rPr>
          <w:rFonts w:hint="eastAsia" w:ascii="宋体"/>
          <w:bCs/>
          <w:color w:val="auto"/>
          <w:highlight w:val="none"/>
        </w:rPr>
        <w:t>有权将相关内容进行公示；</w:t>
      </w:r>
    </w:p>
    <w:p w14:paraId="2113A1B9">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rPr>
        <w:t>（2）投标人应当根据“采购需求”的内容在上表中详细填写；</w:t>
      </w:r>
    </w:p>
    <w:p w14:paraId="57D935B2">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lang w:eastAsia="zh-CN"/>
        </w:rPr>
        <w:t>（</w:t>
      </w:r>
      <w:r>
        <w:rPr>
          <w:rFonts w:hint="eastAsia" w:ascii="宋体"/>
          <w:bCs/>
          <w:color w:val="auto"/>
          <w:highlight w:val="none"/>
          <w:lang w:val="en-US" w:eastAsia="zh-CN"/>
        </w:rPr>
        <w:t>3</w:t>
      </w:r>
      <w:r>
        <w:rPr>
          <w:rFonts w:hint="eastAsia" w:ascii="宋体"/>
          <w:bCs/>
          <w:color w:val="auto"/>
          <w:highlight w:val="none"/>
          <w:lang w:eastAsia="zh-CN"/>
        </w:rPr>
        <w:t>）</w:t>
      </w:r>
      <w:r>
        <w:rPr>
          <w:rFonts w:hint="eastAsia" w:ascii="宋体"/>
          <w:bCs/>
          <w:color w:val="auto"/>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2FB95A64">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rPr>
        <w:t>（</w:t>
      </w:r>
      <w:r>
        <w:rPr>
          <w:rFonts w:hint="eastAsia" w:ascii="宋体"/>
          <w:bCs/>
          <w:color w:val="auto"/>
          <w:highlight w:val="none"/>
          <w:lang w:val="en-US" w:eastAsia="zh-CN"/>
        </w:rPr>
        <w:t>4</w:t>
      </w:r>
      <w:r>
        <w:rPr>
          <w:rFonts w:hint="eastAsia" w:ascii="宋体"/>
          <w:bCs/>
          <w:color w:val="auto"/>
          <w:highlight w:val="none"/>
        </w:rPr>
        <w:t>）表格不够可自行延长。</w:t>
      </w:r>
    </w:p>
    <w:p w14:paraId="5F632B8A">
      <w:pPr>
        <w:rPr>
          <w:bCs/>
          <w:color w:val="auto"/>
          <w:highlight w:val="none"/>
        </w:rPr>
      </w:pPr>
    </w:p>
    <w:p w14:paraId="7FBDFD34">
      <w:pPr>
        <w:rPr>
          <w:rFonts w:hint="eastAsia" w:ascii="宋体" w:hAnsi="宋体" w:cs="宋体"/>
          <w:bCs/>
          <w:color w:val="auto"/>
          <w:sz w:val="28"/>
          <w:szCs w:val="28"/>
          <w:highlight w:val="none"/>
        </w:rPr>
      </w:pPr>
    </w:p>
    <w:p w14:paraId="327CB559">
      <w:pPr>
        <w:rPr>
          <w:rFonts w:hint="eastAsia" w:ascii="宋体" w:hAnsi="宋体" w:cs="宋体"/>
          <w:bCs/>
          <w:color w:val="auto"/>
          <w:sz w:val="28"/>
          <w:szCs w:val="28"/>
          <w:highlight w:val="none"/>
        </w:rPr>
      </w:pPr>
    </w:p>
    <w:p w14:paraId="59079386">
      <w:pPr>
        <w:rPr>
          <w:rFonts w:hint="eastAsia" w:ascii="宋体" w:hAnsi="宋体" w:cs="宋体"/>
          <w:bCs/>
          <w:color w:val="auto"/>
          <w:sz w:val="28"/>
          <w:szCs w:val="28"/>
          <w:highlight w:val="none"/>
        </w:rPr>
      </w:pPr>
    </w:p>
    <w:p w14:paraId="612AA4F3">
      <w:pPr>
        <w:pStyle w:val="185"/>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（四）关于资格的声明函（格式）</w:t>
      </w:r>
    </w:p>
    <w:p w14:paraId="3A421B3E">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采购编号：</w:t>
      </w:r>
    </w:p>
    <w:p w14:paraId="1E8AC405">
      <w:pPr>
        <w:spacing w:line="360" w:lineRule="auto"/>
        <w:jc w:val="center"/>
        <w:rPr>
          <w:rFonts w:hint="eastAsia" w:ascii="宋体" w:hAnsi="宋体" w:cs="宋体"/>
          <w:bCs/>
          <w:color w:val="auto"/>
          <w:sz w:val="24"/>
          <w:highlight w:val="none"/>
        </w:rPr>
      </w:pPr>
      <w:r>
        <w:rPr>
          <w:rFonts w:hint="eastAsia" w:ascii="宋体" w:hAnsi="宋体" w:cs="宋体"/>
          <w:bCs/>
          <w:color w:val="auto"/>
          <w:sz w:val="24"/>
          <w:highlight w:val="none"/>
        </w:rPr>
        <w:t>日期：</w:t>
      </w:r>
    </w:p>
    <w:p w14:paraId="40DA2A5F">
      <w:pPr>
        <w:jc w:val="center"/>
        <w:rPr>
          <w:rFonts w:hint="eastAsia" w:ascii="宋体" w:hAnsi="宋体" w:cs="宋体"/>
          <w:bCs/>
          <w:color w:val="auto"/>
          <w:highlight w:val="none"/>
        </w:rPr>
      </w:pPr>
    </w:p>
    <w:p w14:paraId="4C914435">
      <w:pPr>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u w:val="single"/>
        </w:rPr>
        <w:t xml:space="preserve">   江苏苏咨工程咨询有限责任公司： </w:t>
      </w:r>
    </w:p>
    <w:p w14:paraId="215D9093">
      <w:pPr>
        <w:spacing w:line="360" w:lineRule="auto"/>
        <w:ind w:firstLine="360"/>
        <w:rPr>
          <w:rFonts w:hint="eastAsia" w:ascii="宋体" w:hAnsi="宋体" w:cs="宋体"/>
          <w:bCs/>
          <w:color w:val="auto"/>
          <w:sz w:val="24"/>
          <w:highlight w:val="none"/>
        </w:rPr>
      </w:pPr>
      <w:r>
        <w:rPr>
          <w:rFonts w:hint="eastAsia" w:ascii="宋体" w:hAnsi="宋体" w:cs="宋体"/>
          <w:bCs/>
          <w:color w:val="auto"/>
          <w:sz w:val="24"/>
          <w:highlight w:val="none"/>
        </w:rPr>
        <w:t>我公司（单位）参加政府采购活动前三年内在经营活动中没有重大违法记录。</w:t>
      </w:r>
    </w:p>
    <w:p w14:paraId="00E2D673">
      <w:pPr>
        <w:pStyle w:val="224"/>
        <w:spacing w:line="360" w:lineRule="auto"/>
        <w:ind w:left="0" w:right="34" w:firstLine="403"/>
        <w:rPr>
          <w:rFonts w:hint="eastAsia" w:ascii="宋体" w:hAnsi="宋体" w:cs="宋体"/>
          <w:bCs/>
          <w:color w:val="auto"/>
          <w:szCs w:val="24"/>
          <w:highlight w:val="none"/>
        </w:rPr>
      </w:pPr>
      <w:r>
        <w:rPr>
          <w:rFonts w:hint="eastAsia" w:ascii="宋体" w:hAnsi="宋体" w:cs="宋体"/>
          <w:bCs/>
          <w:color w:val="auto"/>
          <w:szCs w:val="24"/>
          <w:highlight w:val="none"/>
        </w:rPr>
        <w:t>我公司（单位）愿针对本项目（采购编号：　　　　）进行报价，投标文件中所有关于报价资格的文件、证明、陈述均是真实的、准确的。若有违背，我公司（单位）        愿意承担由此而产生的一切后果。</w:t>
      </w:r>
    </w:p>
    <w:p w14:paraId="2C05DBE3">
      <w:pPr>
        <w:pStyle w:val="224"/>
        <w:spacing w:line="360" w:lineRule="auto"/>
        <w:ind w:left="0" w:right="34" w:firstLine="403"/>
        <w:rPr>
          <w:rFonts w:hint="eastAsia" w:ascii="宋体" w:hAnsi="宋体" w:cs="宋体"/>
          <w:bCs/>
          <w:color w:val="auto"/>
          <w:szCs w:val="24"/>
          <w:highlight w:val="none"/>
        </w:rPr>
      </w:pPr>
    </w:p>
    <w:p w14:paraId="24DC7AF5">
      <w:pPr>
        <w:pStyle w:val="224"/>
        <w:spacing w:line="360" w:lineRule="auto"/>
        <w:ind w:left="0" w:right="34" w:firstLine="403"/>
        <w:rPr>
          <w:rFonts w:hint="eastAsia" w:ascii="宋体" w:hAnsi="宋体" w:cs="宋体"/>
          <w:bCs/>
          <w:color w:val="auto"/>
          <w:sz w:val="21"/>
          <w:highlight w:val="none"/>
        </w:rPr>
      </w:pPr>
    </w:p>
    <w:p w14:paraId="628430F2">
      <w:pPr>
        <w:pStyle w:val="224"/>
        <w:spacing w:line="360" w:lineRule="auto"/>
        <w:ind w:left="0" w:right="34" w:firstLine="403"/>
        <w:rPr>
          <w:rFonts w:hint="eastAsia" w:ascii="宋体" w:hAnsi="宋体" w:cs="宋体"/>
          <w:bCs/>
          <w:color w:val="auto"/>
          <w:sz w:val="21"/>
          <w:highlight w:val="none"/>
        </w:rPr>
      </w:pPr>
    </w:p>
    <w:p w14:paraId="125B8488">
      <w:pPr>
        <w:spacing w:line="360" w:lineRule="auto"/>
        <w:ind w:firstLine="480"/>
        <w:jc w:val="center"/>
        <w:rPr>
          <w:rFonts w:hint="eastAsia" w:ascii="宋体" w:hAnsi="宋体" w:cs="宋体"/>
          <w:bCs/>
          <w:color w:val="auto"/>
          <w:sz w:val="24"/>
          <w:highlight w:val="none"/>
        </w:rPr>
      </w:pPr>
      <w:r>
        <w:rPr>
          <w:rFonts w:hint="eastAsia" w:ascii="宋体" w:hAnsi="宋体" w:cs="宋体"/>
          <w:bCs/>
          <w:color w:val="auto"/>
          <w:sz w:val="24"/>
          <w:highlight w:val="none"/>
        </w:rPr>
        <w:t>投标人（盖章）：</w:t>
      </w:r>
    </w:p>
    <w:p w14:paraId="4303E25D">
      <w:pPr>
        <w:pStyle w:val="224"/>
        <w:spacing w:line="360" w:lineRule="auto"/>
        <w:ind w:left="0" w:right="34" w:firstLine="403"/>
        <w:rPr>
          <w:rFonts w:hint="eastAsia" w:ascii="宋体" w:hAnsi="宋体" w:cs="宋体"/>
          <w:bCs/>
          <w:color w:val="auto"/>
          <w:sz w:val="21"/>
          <w:highlight w:val="none"/>
        </w:rPr>
      </w:pPr>
      <w:r>
        <w:rPr>
          <w:rFonts w:hint="eastAsia" w:ascii="宋体" w:hAnsi="宋体" w:cs="宋体"/>
          <w:bCs/>
          <w:color w:val="auto"/>
          <w:highlight w:val="none"/>
        </w:rPr>
        <w:t>　　　　　　　　　　　法定代表人或法定代表人授权代表签字或盖章：</w:t>
      </w:r>
    </w:p>
    <w:p w14:paraId="5DDC6844">
      <w:pPr>
        <w:pStyle w:val="224"/>
        <w:spacing w:line="360" w:lineRule="auto"/>
        <w:ind w:left="0" w:right="34" w:firstLine="403"/>
        <w:rPr>
          <w:rFonts w:hint="eastAsia" w:ascii="宋体" w:hAnsi="宋体" w:cs="宋体"/>
          <w:bCs/>
          <w:color w:val="auto"/>
          <w:sz w:val="21"/>
          <w:highlight w:val="none"/>
        </w:rPr>
      </w:pPr>
    </w:p>
    <w:p w14:paraId="09F82D82">
      <w:pPr>
        <w:spacing w:line="500" w:lineRule="exact"/>
        <w:ind w:firstLine="480"/>
        <w:rPr>
          <w:rFonts w:hint="eastAsia" w:ascii="宋体" w:hAnsi="宋体" w:cs="宋体"/>
          <w:bCs/>
          <w:color w:val="auto"/>
          <w:sz w:val="24"/>
          <w:highlight w:val="none"/>
        </w:rPr>
      </w:pPr>
    </w:p>
    <w:p w14:paraId="588D2974">
      <w:pPr>
        <w:jc w:val="center"/>
        <w:outlineLvl w:val="0"/>
        <w:rPr>
          <w:rFonts w:hint="eastAsia" w:ascii="宋体" w:hAnsi="宋体" w:cs="宋体"/>
          <w:bCs/>
          <w:color w:val="auto"/>
          <w:sz w:val="32"/>
          <w:highlight w:val="none"/>
        </w:rPr>
      </w:pPr>
    </w:p>
    <w:p w14:paraId="79751A8D">
      <w:pPr>
        <w:jc w:val="center"/>
        <w:outlineLvl w:val="0"/>
        <w:rPr>
          <w:rFonts w:hint="eastAsia" w:ascii="宋体" w:hAnsi="宋体" w:cs="宋体"/>
          <w:bCs/>
          <w:color w:val="auto"/>
          <w:sz w:val="32"/>
          <w:highlight w:val="none"/>
        </w:rPr>
      </w:pPr>
    </w:p>
    <w:p w14:paraId="1D21F788">
      <w:pPr>
        <w:jc w:val="center"/>
        <w:outlineLvl w:val="0"/>
        <w:rPr>
          <w:rFonts w:hint="eastAsia" w:ascii="宋体" w:hAnsi="宋体" w:cs="宋体"/>
          <w:bCs/>
          <w:color w:val="auto"/>
          <w:sz w:val="32"/>
          <w:highlight w:val="none"/>
        </w:rPr>
      </w:pPr>
    </w:p>
    <w:p w14:paraId="35A0C253">
      <w:pPr>
        <w:jc w:val="center"/>
        <w:outlineLvl w:val="0"/>
        <w:rPr>
          <w:rFonts w:hint="eastAsia" w:ascii="宋体" w:hAnsi="宋体" w:cs="宋体"/>
          <w:bCs/>
          <w:color w:val="auto"/>
          <w:sz w:val="32"/>
          <w:highlight w:val="none"/>
        </w:rPr>
      </w:pPr>
    </w:p>
    <w:p w14:paraId="0B0B8B70">
      <w:pPr>
        <w:jc w:val="center"/>
        <w:outlineLvl w:val="0"/>
        <w:rPr>
          <w:rFonts w:hint="eastAsia" w:ascii="宋体" w:hAnsi="宋体" w:cs="宋体"/>
          <w:bCs/>
          <w:color w:val="auto"/>
          <w:sz w:val="32"/>
          <w:highlight w:val="none"/>
        </w:rPr>
      </w:pPr>
    </w:p>
    <w:p w14:paraId="7DB01752">
      <w:pPr>
        <w:jc w:val="center"/>
        <w:outlineLvl w:val="0"/>
        <w:rPr>
          <w:rFonts w:hint="eastAsia" w:ascii="宋体" w:hAnsi="宋体" w:cs="宋体"/>
          <w:bCs/>
          <w:color w:val="auto"/>
          <w:sz w:val="32"/>
          <w:highlight w:val="none"/>
        </w:rPr>
      </w:pPr>
    </w:p>
    <w:p w14:paraId="2B8776AC">
      <w:pPr>
        <w:jc w:val="center"/>
        <w:outlineLvl w:val="0"/>
        <w:rPr>
          <w:rFonts w:hint="eastAsia" w:ascii="宋体" w:hAnsi="宋体" w:cs="宋体"/>
          <w:bCs/>
          <w:color w:val="auto"/>
          <w:sz w:val="32"/>
          <w:highlight w:val="none"/>
        </w:rPr>
      </w:pPr>
    </w:p>
    <w:p w14:paraId="4298B2F1">
      <w:pPr>
        <w:jc w:val="center"/>
        <w:outlineLvl w:val="0"/>
        <w:rPr>
          <w:rFonts w:hint="eastAsia" w:ascii="宋体" w:hAnsi="宋体" w:cs="宋体"/>
          <w:bCs/>
          <w:color w:val="auto"/>
          <w:sz w:val="32"/>
          <w:highlight w:val="none"/>
        </w:rPr>
      </w:pPr>
    </w:p>
    <w:p w14:paraId="331D3E1E">
      <w:pPr>
        <w:pStyle w:val="185"/>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highlight w:val="none"/>
        </w:rPr>
        <w:br w:type="page" w:clear="all"/>
      </w:r>
      <w:r>
        <w:rPr>
          <w:rFonts w:hint="eastAsia" w:ascii="宋体" w:hAnsi="宋体" w:eastAsia="宋体" w:cs="宋体"/>
          <w:b w:val="0"/>
          <w:color w:val="auto"/>
          <w:sz w:val="28"/>
          <w:szCs w:val="28"/>
          <w:highlight w:val="none"/>
        </w:rPr>
        <w:t>（五）承诺书（格式）：</w:t>
      </w:r>
    </w:p>
    <w:p w14:paraId="1F0479AA">
      <w:pPr>
        <w:outlineLvl w:val="0"/>
        <w:rPr>
          <w:rFonts w:hint="eastAsia" w:ascii="宋体" w:hAnsi="宋体" w:cs="宋体"/>
          <w:bCs/>
          <w:color w:val="auto"/>
          <w:sz w:val="28"/>
          <w:szCs w:val="28"/>
          <w:highlight w:val="none"/>
        </w:rPr>
      </w:pPr>
    </w:p>
    <w:p w14:paraId="2E454756">
      <w:pPr>
        <w:jc w:val="center"/>
        <w:rPr>
          <w:rFonts w:hint="eastAsia" w:ascii="宋体" w:hAnsi="宋体" w:cs="宋体"/>
          <w:bCs/>
          <w:color w:val="auto"/>
          <w:sz w:val="28"/>
          <w:szCs w:val="28"/>
          <w:highlight w:val="none"/>
        </w:rPr>
      </w:pPr>
    </w:p>
    <w:p w14:paraId="5C301670">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u w:val="single"/>
        </w:rPr>
        <w:t xml:space="preserve">      （投标供应商名称）           </w:t>
      </w:r>
      <w:r>
        <w:rPr>
          <w:rFonts w:hint="eastAsia" w:ascii="宋体" w:hAnsi="宋体" w:cs="宋体"/>
          <w:bCs/>
          <w:color w:val="auto"/>
          <w:sz w:val="24"/>
          <w:highlight w:val="none"/>
        </w:rPr>
        <w:t>在此承诺：</w:t>
      </w:r>
    </w:p>
    <w:p w14:paraId="50FFBEB8">
      <w:pPr>
        <w:spacing w:line="480" w:lineRule="auto"/>
        <w:ind w:firstLine="480"/>
        <w:rPr>
          <w:rFonts w:hint="eastAsia" w:ascii="宋体" w:hAnsi="宋体" w:cs="宋体"/>
          <w:bCs/>
          <w:color w:val="auto"/>
          <w:sz w:val="24"/>
          <w:highlight w:val="none"/>
        </w:rPr>
      </w:pPr>
    </w:p>
    <w:p w14:paraId="716360E4">
      <w:pPr>
        <w:spacing w:before="240"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我公司自愿参加贵单位（公司）</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12C8B5BE">
      <w:pPr>
        <w:spacing w:before="240" w:line="360" w:lineRule="auto"/>
        <w:ind w:firstLine="480"/>
        <w:rPr>
          <w:rFonts w:hint="eastAsia" w:ascii="宋体" w:hAnsi="宋体" w:cs="宋体"/>
          <w:bCs/>
          <w:color w:val="auto"/>
          <w:sz w:val="24"/>
          <w:highlight w:val="none"/>
        </w:rPr>
      </w:pPr>
    </w:p>
    <w:p w14:paraId="456F7F97">
      <w:pPr>
        <w:spacing w:before="240" w:line="360" w:lineRule="auto"/>
        <w:ind w:firstLine="480"/>
        <w:rPr>
          <w:rFonts w:hint="eastAsia" w:ascii="宋体" w:hAnsi="宋体" w:cs="宋体"/>
          <w:bCs/>
          <w:color w:val="auto"/>
          <w:sz w:val="24"/>
          <w:highlight w:val="none"/>
        </w:rPr>
      </w:pPr>
    </w:p>
    <w:p w14:paraId="48B1BF7A">
      <w:pPr>
        <w:spacing w:line="480" w:lineRule="auto"/>
        <w:ind w:firstLine="480"/>
        <w:rPr>
          <w:rFonts w:hint="eastAsia" w:ascii="宋体" w:hAnsi="宋体" w:cs="宋体"/>
          <w:bCs/>
          <w:color w:val="auto"/>
          <w:sz w:val="24"/>
          <w:highlight w:val="none"/>
        </w:rPr>
      </w:pPr>
    </w:p>
    <w:p w14:paraId="4FABDEDA">
      <w:pPr>
        <w:spacing w:line="480" w:lineRule="auto"/>
        <w:rPr>
          <w:rFonts w:hint="eastAsia" w:ascii="宋体" w:hAnsi="宋体" w:cs="宋体"/>
          <w:bCs/>
          <w:color w:val="auto"/>
          <w:sz w:val="24"/>
          <w:highlight w:val="none"/>
        </w:rPr>
      </w:pPr>
    </w:p>
    <w:p w14:paraId="7C5654C0">
      <w:pPr>
        <w:spacing w:line="480" w:lineRule="auto"/>
        <w:ind w:firstLine="5400"/>
        <w:rPr>
          <w:rFonts w:hint="eastAsia" w:ascii="宋体" w:hAnsi="宋体" w:cs="宋体"/>
          <w:bCs/>
          <w:color w:val="auto"/>
          <w:sz w:val="24"/>
          <w:highlight w:val="none"/>
        </w:rPr>
      </w:pPr>
    </w:p>
    <w:p w14:paraId="798725FD">
      <w:pPr>
        <w:spacing w:line="480" w:lineRule="auto"/>
        <w:ind w:firstLine="2880"/>
        <w:rPr>
          <w:rFonts w:hint="eastAsia" w:ascii="宋体" w:hAnsi="宋体" w:cs="宋体"/>
          <w:bCs/>
          <w:color w:val="auto"/>
          <w:sz w:val="24"/>
          <w:highlight w:val="none"/>
        </w:rPr>
      </w:pPr>
      <w:r>
        <w:rPr>
          <w:rFonts w:hint="eastAsia" w:ascii="宋体" w:hAnsi="宋体" w:cs="宋体"/>
          <w:bCs/>
          <w:color w:val="auto"/>
          <w:sz w:val="24"/>
          <w:highlight w:val="none"/>
        </w:rPr>
        <w:t>投标供应商（盖章）：</w:t>
      </w:r>
    </w:p>
    <w:p w14:paraId="66317546">
      <w:pPr>
        <w:ind w:right="960"/>
        <w:jc w:val="center"/>
        <w:outlineLvl w:val="0"/>
        <w:rPr>
          <w:rFonts w:hint="eastAsia" w:ascii="宋体" w:hAnsi="宋体" w:cs="宋体"/>
          <w:bCs/>
          <w:color w:val="auto"/>
          <w:sz w:val="24"/>
          <w:highlight w:val="none"/>
        </w:rPr>
      </w:pPr>
      <w:r>
        <w:rPr>
          <w:rFonts w:hint="eastAsia" w:ascii="宋体" w:hAnsi="宋体" w:cs="宋体"/>
          <w:bCs/>
          <w:color w:val="auto"/>
          <w:sz w:val="24"/>
          <w:highlight w:val="none"/>
        </w:rPr>
        <w:t>法定代表人或授权代表签字或盖章：</w:t>
      </w:r>
    </w:p>
    <w:p w14:paraId="078DBC7C">
      <w:pPr>
        <w:outlineLvl w:val="0"/>
        <w:rPr>
          <w:rFonts w:hint="eastAsia" w:ascii="宋体" w:hAnsi="宋体" w:cs="宋体"/>
          <w:bCs/>
          <w:color w:val="auto"/>
          <w:sz w:val="24"/>
          <w:highlight w:val="none"/>
        </w:rPr>
      </w:pPr>
    </w:p>
    <w:p w14:paraId="6CB86BC8">
      <w:pPr>
        <w:outlineLvl w:val="0"/>
        <w:rPr>
          <w:rFonts w:hint="eastAsia" w:ascii="宋体" w:hAnsi="宋体" w:cs="宋体"/>
          <w:bCs/>
          <w:color w:val="auto"/>
          <w:sz w:val="24"/>
          <w:highlight w:val="none"/>
        </w:rPr>
      </w:pPr>
    </w:p>
    <w:p w14:paraId="488A6828">
      <w:pPr>
        <w:outlineLvl w:val="0"/>
        <w:rPr>
          <w:rFonts w:hint="eastAsia" w:ascii="宋体" w:hAnsi="宋体" w:cs="宋体"/>
          <w:bCs/>
          <w:color w:val="auto"/>
          <w:sz w:val="24"/>
          <w:highlight w:val="none"/>
        </w:rPr>
      </w:pPr>
    </w:p>
    <w:p w14:paraId="646DF702">
      <w:pPr>
        <w:outlineLvl w:val="0"/>
        <w:rPr>
          <w:rFonts w:hint="eastAsia" w:ascii="宋体" w:hAnsi="宋体" w:cs="宋体"/>
          <w:bCs/>
          <w:color w:val="auto"/>
          <w:sz w:val="28"/>
          <w:szCs w:val="28"/>
          <w:highlight w:val="none"/>
        </w:rPr>
      </w:pPr>
    </w:p>
    <w:p w14:paraId="0270906A">
      <w:pPr>
        <w:outlineLvl w:val="0"/>
        <w:rPr>
          <w:rFonts w:hint="eastAsia" w:ascii="宋体" w:hAnsi="宋体" w:cs="宋体"/>
          <w:bCs/>
          <w:color w:val="auto"/>
          <w:sz w:val="28"/>
          <w:szCs w:val="28"/>
          <w:highlight w:val="none"/>
        </w:rPr>
      </w:pPr>
    </w:p>
    <w:p w14:paraId="5214EC13">
      <w:pPr>
        <w:pStyle w:val="185"/>
        <w:jc w:val="center"/>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w:t>
      </w:r>
      <w:r>
        <w:rPr>
          <w:rFonts w:hint="eastAsia" w:ascii="宋体" w:hAnsi="宋体" w:eastAsia="宋体" w:cs="宋体"/>
          <w:b w:val="0"/>
          <w:color w:val="auto"/>
          <w:sz w:val="28"/>
          <w:szCs w:val="28"/>
          <w:highlight w:val="none"/>
          <w:lang w:eastAsia="zh-CN"/>
        </w:rPr>
        <w:t>六</w:t>
      </w:r>
      <w:r>
        <w:rPr>
          <w:rFonts w:hint="eastAsia" w:ascii="宋体" w:hAnsi="宋体" w:eastAsia="宋体" w:cs="宋体"/>
          <w:b w:val="0"/>
          <w:color w:val="auto"/>
          <w:sz w:val="28"/>
          <w:szCs w:val="28"/>
          <w:highlight w:val="none"/>
        </w:rPr>
        <w:t>）法定代表人授权委托书（格式）：</w:t>
      </w:r>
    </w:p>
    <w:p w14:paraId="6EBB4BD2">
      <w:pPr>
        <w:outlineLvl w:val="0"/>
        <w:rPr>
          <w:rFonts w:hint="eastAsia" w:ascii="宋体" w:hAnsi="宋体" w:cs="宋体"/>
          <w:bCs/>
          <w:color w:val="auto"/>
          <w:sz w:val="28"/>
          <w:szCs w:val="28"/>
          <w:highlight w:val="none"/>
        </w:rPr>
      </w:pPr>
    </w:p>
    <w:p w14:paraId="1A8BC9AB">
      <w:pPr>
        <w:spacing w:line="480" w:lineRule="auto"/>
        <w:rPr>
          <w:rFonts w:hint="eastAsia" w:ascii="宋体" w:hAnsi="宋体" w:cs="宋体"/>
          <w:bCs/>
          <w:color w:val="auto"/>
          <w:sz w:val="24"/>
          <w:highlight w:val="none"/>
        </w:rPr>
      </w:pPr>
      <w:r>
        <w:rPr>
          <w:rFonts w:hint="eastAsia" w:ascii="宋体" w:hAnsi="宋体" w:cs="宋体"/>
          <w:bCs/>
          <w:color w:val="auto"/>
          <w:sz w:val="30"/>
          <w:highlight w:val="none"/>
        </w:rPr>
        <w:t xml:space="preserve">                           </w:t>
      </w:r>
      <w:r>
        <w:rPr>
          <w:rFonts w:hint="eastAsia" w:ascii="宋体" w:hAnsi="宋体" w:cs="宋体"/>
          <w:bCs/>
          <w:color w:val="auto"/>
          <w:sz w:val="24"/>
          <w:highlight w:val="none"/>
        </w:rPr>
        <w:t>采购编号：</w:t>
      </w:r>
    </w:p>
    <w:p w14:paraId="519F877E">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日期：</w:t>
      </w:r>
    </w:p>
    <w:p w14:paraId="2D2BEAD6">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江苏苏咨工程咨询有限责任公司：</w:t>
      </w:r>
    </w:p>
    <w:p w14:paraId="1DEA0AA7">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（投标供应商单位名称）          </w:t>
      </w:r>
      <w:r>
        <w:rPr>
          <w:rFonts w:hint="eastAsia" w:ascii="宋体" w:hAnsi="宋体" w:cs="宋体"/>
          <w:bCs/>
          <w:color w:val="auto"/>
          <w:sz w:val="24"/>
          <w:highlight w:val="none"/>
        </w:rPr>
        <w:t>系中华人民共和国合法企业，</w:t>
      </w:r>
    </w:p>
    <w:p w14:paraId="52BD41A7">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法定地址：</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，特授权</w:t>
      </w:r>
      <w:r>
        <w:rPr>
          <w:rFonts w:hint="eastAsia" w:ascii="宋体" w:hAnsi="宋体" w:cs="宋体"/>
          <w:bCs/>
          <w:color w:val="auto"/>
          <w:sz w:val="24"/>
          <w:highlight w:val="none"/>
          <w:u w:val="single"/>
        </w:rPr>
        <w:t xml:space="preserve">    （姓名）   </w:t>
      </w:r>
      <w:r>
        <w:rPr>
          <w:rFonts w:hint="eastAsia" w:ascii="宋体" w:hAnsi="宋体" w:cs="宋体"/>
          <w:bCs/>
          <w:color w:val="auto"/>
          <w:sz w:val="24"/>
          <w:highlight w:val="none"/>
        </w:rPr>
        <w:t>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的投标，参与谈判、评审、签约等具体工作，并签署全部有关的文件、协议及合同。</w:t>
      </w:r>
    </w:p>
    <w:p w14:paraId="06F61D42">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我公司（单位）对被授权人的签名负全部责任。</w:t>
      </w:r>
    </w:p>
    <w:p w14:paraId="18E557D5">
      <w:pPr>
        <w:spacing w:line="480" w:lineRule="auto"/>
        <w:ind w:firstLine="523"/>
        <w:rPr>
          <w:rFonts w:hint="eastAsia" w:ascii="宋体" w:hAnsi="宋体" w:cs="宋体"/>
          <w:bCs/>
          <w:color w:val="auto"/>
          <w:sz w:val="24"/>
          <w:highlight w:val="none"/>
        </w:rPr>
      </w:pPr>
      <w:r>
        <w:rPr>
          <w:rFonts w:hint="eastAsia" w:ascii="宋体" w:hAnsi="宋体" w:cs="宋体"/>
          <w:bCs/>
          <w:color w:val="auto"/>
          <w:sz w:val="24"/>
          <w:highlight w:val="none"/>
        </w:rPr>
        <w:t>在撤销授权的书面通知送达你处以前，本授权书一直有效，被授权人签署的所有文件（在授权书有效期内签署的）不因授权的撤销而失效。被授权人有（无）转委托权。</w:t>
      </w:r>
    </w:p>
    <w:p w14:paraId="7DF48697">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被授权人情况：</w:t>
      </w:r>
    </w:p>
    <w:p w14:paraId="186F3180">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姓名：         性别：       年龄：       职务：</w:t>
      </w:r>
    </w:p>
    <w:p w14:paraId="4C535EEC">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身份证号码：                电话：</w:t>
      </w:r>
    </w:p>
    <w:p w14:paraId="2F69713B">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通讯地址：</w:t>
      </w:r>
    </w:p>
    <w:p w14:paraId="5E00D155">
      <w:pPr>
        <w:spacing w:line="480" w:lineRule="auto"/>
        <w:ind w:firstLine="525"/>
        <w:rPr>
          <w:rFonts w:hint="eastAsia" w:ascii="宋体" w:hAnsi="宋体" w:cs="宋体"/>
          <w:bCs/>
          <w:color w:val="auto"/>
          <w:sz w:val="24"/>
          <w:highlight w:val="none"/>
        </w:rPr>
      </w:pPr>
      <w:r>
        <w:rPr>
          <w:rFonts w:hint="eastAsia" w:ascii="宋体" w:hAnsi="宋体" w:cs="宋体"/>
          <w:bCs/>
          <w:color w:val="auto"/>
          <w:sz w:val="24"/>
          <w:highlight w:val="none"/>
        </w:rPr>
        <w:t>被授权人签名：                单位名称（盖章）：</w:t>
      </w:r>
    </w:p>
    <w:p w14:paraId="127F6D5D">
      <w:pPr>
        <w:spacing w:line="48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w:t xml:space="preserve">                       法定代表人（签字或盖章）：</w:t>
      </w:r>
    </w:p>
    <w:p w14:paraId="0ABDF2B6">
      <w:pPr>
        <w:spacing w:line="480" w:lineRule="auto"/>
        <w:ind w:firstLine="420"/>
        <w:rPr>
          <w:rFonts w:hint="eastAsia" w:ascii="宋体" w:hAnsi="宋体" w:cs="宋体"/>
          <w:bCs/>
          <w:color w:val="auto"/>
          <w:sz w:val="24"/>
          <w:highlight w:val="none"/>
        </w:rPr>
      </w:pPr>
    </w:p>
    <w:p w14:paraId="1062177B">
      <w:pPr>
        <w:spacing w:line="480" w:lineRule="auto"/>
        <w:ind w:firstLine="420"/>
        <w:rPr>
          <w:rFonts w:hint="eastAsia" w:ascii="宋体" w:hAnsi="宋体" w:cs="宋体"/>
          <w:bCs/>
          <w:color w:val="auto"/>
          <w:sz w:val="24"/>
          <w:highlight w:val="none"/>
        </w:rPr>
      </w:pPr>
      <w:r>
        <w:rPr>
          <w:rFonts w:hint="eastAsia" w:ascii="宋体" w:hAnsi="宋体" w:cs="宋体"/>
          <w:bCs/>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4BD4E251">
                            <w:pPr>
                              <w:jc w:val="center"/>
                              <w:rPr>
                                <w:rFonts w:hint="eastAsia" w:ascii="黑体" w:eastAsia="黑体"/>
                                <w:sz w:val="32"/>
                                <w:szCs w:val="32"/>
                              </w:rPr>
                            </w:pPr>
                          </w:p>
                          <w:p w14:paraId="64E41BA5"/>
                        </w:txbxContent>
                      </wps:txbx>
                      <wps:bodyPr wrap="square" upright="1"/>
                    </wps:wsp>
                  </a:graphicData>
                </a:graphic>
              </wp:anchor>
            </w:drawing>
          </mc:Choice>
          <mc:Fallback>
            <w:pict>
              <v:shape id="_x0000_s1026" o:spid="_x0000_s1026" o:spt="202" type="#_x0000_t202" style="position:absolute;left:0pt;margin-left:252pt;margin-top:1.05pt;height:124.8pt;width:225.75pt;z-index:251660288;mso-width-relative:page;mso-height-relative:page;" fillcolor="#FFFFFF" filled="t" stroked="t" coordsize="21600,21600" o:gfxdata="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dcfVE2AAAAAkBAAAPAAAA&#10;AAAAAAEAIAAAACIAAABkcnMvZG93bnJldi54bWxQSwECFAAUAAAACACHTuJAZx1/1dwBAAC9AwAA&#10;DgAAAAAAAAABACAAAAAnAQAAZHJzL2Uyb0RvYy54bWxQSwUGAAAAAAYABgBZAQAAdQUAAAAA&#10;">
                <v:fill on="t" focussize="0,0"/>
                <v:stroke color="#000000" joinstyle="round"/>
                <v:imagedata o:title=""/>
                <o:lock v:ext="edit" aspectratio="f"/>
                <v:textbox>
                  <w:txbxContent>
                    <w:p w14:paraId="4BD4E251">
                      <w:pPr>
                        <w:jc w:val="center"/>
                        <w:rPr>
                          <w:rFonts w:hint="eastAsia" w:ascii="黑体" w:eastAsia="黑体"/>
                          <w:sz w:val="32"/>
                          <w:szCs w:val="32"/>
                        </w:rPr>
                      </w:pPr>
                    </w:p>
                    <w:p w14:paraId="64E41BA5"/>
                  </w:txbxContent>
                </v:textbox>
              </v:shape>
            </w:pict>
          </mc:Fallback>
        </mc:AlternateContent>
      </w:r>
      <w:r>
        <w:rPr>
          <w:rFonts w:hint="eastAsia" w:ascii="宋体" w:hAnsi="宋体" w:cs="宋体"/>
          <w:bCs/>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rgbClr val="000000"/>
                          </a:solidFill>
                        </a:ln>
                      </wps:spPr>
                      <wps:txbx>
                        <w:txbxContent>
                          <w:p w14:paraId="2DC99FF0">
                            <w:pPr>
                              <w:rPr>
                                <w:rFonts w:hint="eastAsia" w:ascii="黑体" w:eastAsia="黑体"/>
                                <w:sz w:val="32"/>
                                <w:szCs w:val="32"/>
                              </w:rPr>
                            </w:pPr>
                          </w:p>
                          <w:p w14:paraId="501C8597">
                            <w:pPr>
                              <w:jc w:val="center"/>
                              <w:rPr>
                                <w:rFonts w:hint="eastAsia" w:ascii="黑体" w:eastAsia="黑体"/>
                                <w:sz w:val="32"/>
                                <w:szCs w:val="32"/>
                              </w:rPr>
                            </w:pPr>
                          </w:p>
                          <w:p w14:paraId="22442727">
                            <w:pPr>
                              <w:jc w:val="center"/>
                              <w:rPr>
                                <w:rFonts w:hint="eastAsia" w:ascii="黑体" w:eastAsia="黑体"/>
                                <w:sz w:val="32"/>
                                <w:szCs w:val="32"/>
                              </w:rPr>
                            </w:pPr>
                          </w:p>
                          <w:p w14:paraId="703EB8F7">
                            <w:pPr>
                              <w:jc w:val="center"/>
                              <w:rPr>
                                <w:rFonts w:hint="eastAsia" w:ascii="黑体" w:eastAsia="黑体"/>
                                <w:sz w:val="32"/>
                                <w:szCs w:val="32"/>
                              </w:rPr>
                            </w:pPr>
                          </w:p>
                          <w:p w14:paraId="77DA4EF9">
                            <w:pPr>
                              <w:jc w:val="center"/>
                              <w:rPr>
                                <w:rFonts w:hint="eastAsia" w:ascii="黑体" w:eastAsia="黑体"/>
                                <w:sz w:val="32"/>
                                <w:szCs w:val="32"/>
                              </w:rPr>
                            </w:pPr>
                          </w:p>
                          <w:p w14:paraId="1E5A03F4">
                            <w:pPr>
                              <w:jc w:val="center"/>
                              <w:rPr>
                                <w:rFonts w:hint="eastAsia" w:ascii="黑体" w:eastAsia="黑体"/>
                                <w:sz w:val="32"/>
                                <w:szCs w:val="32"/>
                              </w:rPr>
                            </w:pPr>
                          </w:p>
                          <w:p w14:paraId="2AD6B77F">
                            <w:pPr>
                              <w:jc w:val="center"/>
                              <w:rPr>
                                <w:rFonts w:hint="eastAsia" w:ascii="黑体" w:eastAsia="黑体"/>
                                <w:sz w:val="32"/>
                                <w:szCs w:val="32"/>
                              </w:rPr>
                            </w:pPr>
                          </w:p>
                          <w:p w14:paraId="5E67ED40">
                            <w:pPr>
                              <w:jc w:val="center"/>
                              <w:rPr>
                                <w:rFonts w:hint="eastAsia" w:ascii="黑体" w:eastAsia="黑体"/>
                                <w:sz w:val="32"/>
                                <w:szCs w:val="32"/>
                              </w:rPr>
                            </w:pPr>
                          </w:p>
                          <w:p w14:paraId="073F8246">
                            <w:pPr>
                              <w:jc w:val="center"/>
                              <w:rPr>
                                <w:rFonts w:hint="eastAsia" w:ascii="黑体" w:eastAsia="黑体"/>
                                <w:sz w:val="32"/>
                                <w:szCs w:val="32"/>
                              </w:rPr>
                            </w:pPr>
                          </w:p>
                          <w:p w14:paraId="5D7126B2">
                            <w:pPr>
                              <w:jc w:val="center"/>
                              <w:rPr>
                                <w:rFonts w:hint="eastAsia" w:ascii="黑体" w:eastAsia="黑体"/>
                                <w:sz w:val="32"/>
                                <w:szCs w:val="32"/>
                              </w:rPr>
                            </w:pPr>
                          </w:p>
                          <w:p w14:paraId="26C805AF">
                            <w:pPr>
                              <w:jc w:val="center"/>
                              <w:rPr>
                                <w:rFonts w:hint="eastAsia" w:ascii="黑体" w:eastAsia="黑体"/>
                                <w:sz w:val="32"/>
                                <w:szCs w:val="32"/>
                              </w:rPr>
                            </w:pPr>
                          </w:p>
                          <w:p w14:paraId="4DCAC3B8">
                            <w:pPr>
                              <w:jc w:val="center"/>
                              <w:rPr>
                                <w:rFonts w:hint="eastAsia" w:ascii="黑体" w:eastAsia="黑体"/>
                                <w:sz w:val="32"/>
                                <w:szCs w:val="32"/>
                              </w:rPr>
                            </w:pPr>
                          </w:p>
                          <w:p w14:paraId="72A478FF">
                            <w:pPr>
                              <w:jc w:val="center"/>
                              <w:rPr>
                                <w:rFonts w:hint="eastAsia" w:ascii="黑体" w:eastAsia="黑体"/>
                                <w:sz w:val="32"/>
                                <w:szCs w:val="32"/>
                              </w:rPr>
                            </w:pPr>
                          </w:p>
                          <w:p w14:paraId="4299B2D3">
                            <w:pPr>
                              <w:jc w:val="center"/>
                              <w:rPr>
                                <w:rFonts w:hint="eastAsia" w:ascii="黑体" w:eastAsia="黑体"/>
                                <w:sz w:val="32"/>
                                <w:szCs w:val="32"/>
                              </w:rPr>
                            </w:pPr>
                          </w:p>
                          <w:p w14:paraId="5BD7CC8E"/>
                        </w:txbxContent>
                      </wps:txbx>
                      <wps:bodyPr wrap="square" upright="1"/>
                    </wps:wsp>
                  </a:graphicData>
                </a:graphic>
              </wp:anchor>
            </w:drawing>
          </mc:Choice>
          <mc:Fallback>
            <w:pict>
              <v:shape id="_x0000_s1026" o:spid="_x0000_s1026" o:spt="202" type="#_x0000_t202" style="position:absolute;left:0pt;margin-left:-5.2pt;margin-top:5.15pt;height:124.8pt;width:225.75pt;z-index:251659264;mso-width-relative:page;mso-height-relative:page;" fillcolor="#FFFFFF" filled="t" stroked="t" coordsize="21600,21600" o:gfxdata="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emkZ5NkAAAAKAQAADwAA&#10;AAAAAAABACAAAAAiAAAAZHJzL2Rvd25yZXYueG1sUEsBAhQAFAAAAAgAh07iQLqqswLcAQAAvQMA&#10;AA4AAAAAAAAAAQAgAAAAKAEAAGRycy9lMm9Eb2MueG1sUEsFBgAAAAAGAAYAWQEAAHYFAAAAAA==&#10;">
                <v:fill on="t" focussize="0,0"/>
                <v:stroke color="#000000" joinstyle="round"/>
                <v:imagedata o:title=""/>
                <o:lock v:ext="edit" aspectratio="f"/>
                <v:textbox>
                  <w:txbxContent>
                    <w:p w14:paraId="2DC99FF0">
                      <w:pPr>
                        <w:rPr>
                          <w:rFonts w:hint="eastAsia" w:ascii="黑体" w:eastAsia="黑体"/>
                          <w:sz w:val="32"/>
                          <w:szCs w:val="32"/>
                        </w:rPr>
                      </w:pPr>
                    </w:p>
                    <w:p w14:paraId="501C8597">
                      <w:pPr>
                        <w:jc w:val="center"/>
                        <w:rPr>
                          <w:rFonts w:hint="eastAsia" w:ascii="黑体" w:eastAsia="黑体"/>
                          <w:sz w:val="32"/>
                          <w:szCs w:val="32"/>
                        </w:rPr>
                      </w:pPr>
                    </w:p>
                    <w:p w14:paraId="22442727">
                      <w:pPr>
                        <w:jc w:val="center"/>
                        <w:rPr>
                          <w:rFonts w:hint="eastAsia" w:ascii="黑体" w:eastAsia="黑体"/>
                          <w:sz w:val="32"/>
                          <w:szCs w:val="32"/>
                        </w:rPr>
                      </w:pPr>
                    </w:p>
                    <w:p w14:paraId="703EB8F7">
                      <w:pPr>
                        <w:jc w:val="center"/>
                        <w:rPr>
                          <w:rFonts w:hint="eastAsia" w:ascii="黑体" w:eastAsia="黑体"/>
                          <w:sz w:val="32"/>
                          <w:szCs w:val="32"/>
                        </w:rPr>
                      </w:pPr>
                    </w:p>
                    <w:p w14:paraId="77DA4EF9">
                      <w:pPr>
                        <w:jc w:val="center"/>
                        <w:rPr>
                          <w:rFonts w:hint="eastAsia" w:ascii="黑体" w:eastAsia="黑体"/>
                          <w:sz w:val="32"/>
                          <w:szCs w:val="32"/>
                        </w:rPr>
                      </w:pPr>
                    </w:p>
                    <w:p w14:paraId="1E5A03F4">
                      <w:pPr>
                        <w:jc w:val="center"/>
                        <w:rPr>
                          <w:rFonts w:hint="eastAsia" w:ascii="黑体" w:eastAsia="黑体"/>
                          <w:sz w:val="32"/>
                          <w:szCs w:val="32"/>
                        </w:rPr>
                      </w:pPr>
                    </w:p>
                    <w:p w14:paraId="2AD6B77F">
                      <w:pPr>
                        <w:jc w:val="center"/>
                        <w:rPr>
                          <w:rFonts w:hint="eastAsia" w:ascii="黑体" w:eastAsia="黑体"/>
                          <w:sz w:val="32"/>
                          <w:szCs w:val="32"/>
                        </w:rPr>
                      </w:pPr>
                    </w:p>
                    <w:p w14:paraId="5E67ED40">
                      <w:pPr>
                        <w:jc w:val="center"/>
                        <w:rPr>
                          <w:rFonts w:hint="eastAsia" w:ascii="黑体" w:eastAsia="黑体"/>
                          <w:sz w:val="32"/>
                          <w:szCs w:val="32"/>
                        </w:rPr>
                      </w:pPr>
                    </w:p>
                    <w:p w14:paraId="073F8246">
                      <w:pPr>
                        <w:jc w:val="center"/>
                        <w:rPr>
                          <w:rFonts w:hint="eastAsia" w:ascii="黑体" w:eastAsia="黑体"/>
                          <w:sz w:val="32"/>
                          <w:szCs w:val="32"/>
                        </w:rPr>
                      </w:pPr>
                    </w:p>
                    <w:p w14:paraId="5D7126B2">
                      <w:pPr>
                        <w:jc w:val="center"/>
                        <w:rPr>
                          <w:rFonts w:hint="eastAsia" w:ascii="黑体" w:eastAsia="黑体"/>
                          <w:sz w:val="32"/>
                          <w:szCs w:val="32"/>
                        </w:rPr>
                      </w:pPr>
                    </w:p>
                    <w:p w14:paraId="26C805AF">
                      <w:pPr>
                        <w:jc w:val="center"/>
                        <w:rPr>
                          <w:rFonts w:hint="eastAsia" w:ascii="黑体" w:eastAsia="黑体"/>
                          <w:sz w:val="32"/>
                          <w:szCs w:val="32"/>
                        </w:rPr>
                      </w:pPr>
                    </w:p>
                    <w:p w14:paraId="4DCAC3B8">
                      <w:pPr>
                        <w:jc w:val="center"/>
                        <w:rPr>
                          <w:rFonts w:hint="eastAsia" w:ascii="黑体" w:eastAsia="黑体"/>
                          <w:sz w:val="32"/>
                          <w:szCs w:val="32"/>
                        </w:rPr>
                      </w:pPr>
                    </w:p>
                    <w:p w14:paraId="72A478FF">
                      <w:pPr>
                        <w:jc w:val="center"/>
                        <w:rPr>
                          <w:rFonts w:hint="eastAsia" w:ascii="黑体" w:eastAsia="黑体"/>
                          <w:sz w:val="32"/>
                          <w:szCs w:val="32"/>
                        </w:rPr>
                      </w:pPr>
                    </w:p>
                    <w:p w14:paraId="4299B2D3">
                      <w:pPr>
                        <w:jc w:val="center"/>
                        <w:rPr>
                          <w:rFonts w:hint="eastAsia" w:ascii="黑体" w:eastAsia="黑体"/>
                          <w:sz w:val="32"/>
                          <w:szCs w:val="32"/>
                        </w:rPr>
                      </w:pPr>
                    </w:p>
                    <w:p w14:paraId="5BD7CC8E"/>
                  </w:txbxContent>
                </v:textbox>
              </v:shape>
            </w:pict>
          </mc:Fallback>
        </mc:AlternateContent>
      </w:r>
    </w:p>
    <w:p w14:paraId="2DF6A703">
      <w:pPr>
        <w:spacing w:line="400" w:lineRule="exact"/>
        <w:rPr>
          <w:rFonts w:hint="eastAsia" w:ascii="宋体" w:hAnsi="宋体" w:cs="宋体"/>
          <w:bCs/>
          <w:color w:val="auto"/>
          <w:sz w:val="24"/>
          <w:highlight w:val="none"/>
        </w:rPr>
      </w:pPr>
      <w:bookmarkStart w:id="2" w:name="_Toc245033583"/>
    </w:p>
    <w:p w14:paraId="197469D9">
      <w:pPr>
        <w:spacing w:line="400" w:lineRule="exact"/>
        <w:rPr>
          <w:rFonts w:hint="eastAsia" w:ascii="宋体" w:hAnsi="宋体" w:cs="宋体"/>
          <w:bCs/>
          <w:color w:val="auto"/>
          <w:sz w:val="24"/>
          <w:highlight w:val="none"/>
        </w:rPr>
      </w:pPr>
    </w:p>
    <w:p w14:paraId="1B90BFEE">
      <w:pPr>
        <w:spacing w:line="400" w:lineRule="exact"/>
        <w:rPr>
          <w:rFonts w:hint="eastAsia" w:ascii="宋体" w:hAnsi="宋体" w:cs="宋体"/>
          <w:bCs/>
          <w:color w:val="auto"/>
          <w:sz w:val="24"/>
          <w:highlight w:val="none"/>
        </w:rPr>
      </w:pPr>
    </w:p>
    <w:p w14:paraId="5C47DA2E">
      <w:pPr>
        <w:keepNext w:val="0"/>
        <w:keepLines w:val="0"/>
        <w:pageBreakBefore w:val="0"/>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lang w:eastAsia="zh-CN"/>
        </w:rPr>
        <w:t>（七）</w:t>
      </w:r>
      <w:r>
        <w:rPr>
          <w:rFonts w:hint="eastAsia" w:ascii="黑体" w:eastAsia="黑体"/>
          <w:bCs/>
          <w:color w:val="auto"/>
          <w:sz w:val="28"/>
          <w:szCs w:val="28"/>
          <w:highlight w:val="none"/>
        </w:rPr>
        <w:t>投标偏离表</w:t>
      </w:r>
    </w:p>
    <w:p w14:paraId="17B847E7">
      <w:pPr>
        <w:ind w:firstLine="490"/>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一）</w:t>
      </w:r>
      <w:r>
        <w:rPr>
          <w:rFonts w:hint="eastAsia" w:ascii="宋体" w:hAnsi="宋体" w:cs="宋体"/>
          <w:bCs/>
          <w:color w:val="auto"/>
          <w:sz w:val="28"/>
          <w:szCs w:val="28"/>
          <w:highlight w:val="none"/>
        </w:rPr>
        <w:t>投标商务部分偏离表</w:t>
      </w:r>
    </w:p>
    <w:p w14:paraId="71B013F0">
      <w:pPr>
        <w:spacing w:line="400" w:lineRule="exact"/>
        <w:jc w:val="center"/>
        <w:outlineLvl w:val="0"/>
        <w:rPr>
          <w:rFonts w:ascii="宋体" w:hAnsi="宋体" w:cs="宋体"/>
          <w:bCs/>
          <w:color w:val="auto"/>
          <w:sz w:val="28"/>
          <w:szCs w:val="28"/>
          <w:highlight w:val="none"/>
        </w:rPr>
      </w:pPr>
    </w:p>
    <w:p w14:paraId="33F5C4CE">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项目编号： </w:t>
      </w:r>
    </w:p>
    <w:tbl>
      <w:tblPr>
        <w:tblStyle w:val="29"/>
        <w:tblW w:w="9885" w:type="dxa"/>
        <w:jc w:val="center"/>
        <w:tblLayout w:type="fixed"/>
        <w:tblCellMar>
          <w:top w:w="15" w:type="dxa"/>
          <w:left w:w="15" w:type="dxa"/>
          <w:bottom w:w="0" w:type="dxa"/>
          <w:right w:w="15" w:type="dxa"/>
        </w:tblCellMar>
      </w:tblPr>
      <w:tblGrid>
        <w:gridCol w:w="1905"/>
        <w:gridCol w:w="2835"/>
        <w:gridCol w:w="2835"/>
        <w:gridCol w:w="2310"/>
      </w:tblGrid>
      <w:tr w14:paraId="0BE407AF">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3DB162DA">
            <w:pPr>
              <w:jc w:val="center"/>
              <w:rPr>
                <w:rFonts w:ascii="宋体" w:hAnsi="宋体" w:cs="宋体"/>
                <w:b/>
                <w:bCs/>
                <w:color w:val="auto"/>
                <w:sz w:val="24"/>
                <w:highlight w:val="none"/>
              </w:rPr>
            </w:pPr>
            <w:r>
              <w:rPr>
                <w:rFonts w:hint="eastAsia" w:ascii="宋体" w:hAnsi="宋体" w:cs="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BFBE142">
            <w:pPr>
              <w:jc w:val="center"/>
              <w:rPr>
                <w:rFonts w:ascii="宋体" w:hAnsi="宋体" w:cs="宋体"/>
                <w:b/>
                <w:bCs/>
                <w:color w:val="auto"/>
                <w:sz w:val="24"/>
                <w:highlight w:val="none"/>
              </w:rPr>
            </w:pPr>
            <w:r>
              <w:rPr>
                <w:rFonts w:hint="eastAsia" w:ascii="宋体" w:hAnsi="宋体" w:cs="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8C0F4D0">
            <w:pPr>
              <w:jc w:val="center"/>
              <w:rPr>
                <w:rFonts w:ascii="宋体" w:hAnsi="宋体" w:cs="宋体"/>
                <w:b/>
                <w:bCs/>
                <w:color w:val="auto"/>
                <w:sz w:val="24"/>
                <w:highlight w:val="none"/>
              </w:rPr>
            </w:pPr>
            <w:r>
              <w:rPr>
                <w:rFonts w:hint="eastAsia" w:ascii="宋体" w:hAnsi="宋体" w:cs="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57B696A">
            <w:pPr>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104FFA14">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val="0"/>
            <w:tcMar>
              <w:top w:w="15" w:type="dxa"/>
              <w:left w:w="15" w:type="dxa"/>
              <w:bottom w:w="0" w:type="dxa"/>
              <w:right w:w="15" w:type="dxa"/>
            </w:tcMar>
            <w:vAlign w:val="center"/>
          </w:tcPr>
          <w:p w14:paraId="5D444745">
            <w:pPr>
              <w:jc w:val="center"/>
              <w:rPr>
                <w:rFonts w:ascii="宋体" w:hAnsi="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65F2184">
            <w:pPr>
              <w:rPr>
                <w:rFonts w:ascii="宋体" w:hAnsi="宋体" w:cs="宋体"/>
                <w:bCs/>
                <w:color w:val="auto"/>
                <w:sz w:val="20"/>
                <w:szCs w:val="20"/>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1665532">
            <w:pPr>
              <w:jc w:val="center"/>
              <w:rPr>
                <w:rFonts w:ascii="宋体" w:hAnsi="宋体" w:cs="宋体"/>
                <w:bCs/>
                <w:color w:val="auto"/>
                <w:sz w:val="20"/>
                <w:szCs w:val="20"/>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50D84CB">
            <w:pPr>
              <w:jc w:val="center"/>
              <w:rPr>
                <w:rFonts w:ascii="宋体" w:hAnsi="宋体" w:cs="宋体"/>
                <w:bCs/>
                <w:color w:val="auto"/>
                <w:sz w:val="20"/>
                <w:szCs w:val="20"/>
                <w:highlight w:val="none"/>
              </w:rPr>
            </w:pPr>
          </w:p>
        </w:tc>
      </w:tr>
    </w:tbl>
    <w:p w14:paraId="68CF8117">
      <w:pPr>
        <w:rPr>
          <w:rFonts w:ascii="宋体" w:hAnsi="宋体" w:cs="宋体"/>
          <w:b/>
          <w:color w:val="auto"/>
          <w:sz w:val="24"/>
          <w:highlight w:val="none"/>
        </w:rPr>
      </w:pPr>
      <w:r>
        <w:rPr>
          <w:rFonts w:hint="eastAsia" w:ascii="宋体" w:hAnsi="宋体" w:cs="宋体"/>
          <w:bCs/>
          <w:color w:val="auto"/>
          <w:sz w:val="24"/>
          <w:highlight w:val="none"/>
        </w:rPr>
        <w:t>投标人名称（盖章）：</w:t>
      </w:r>
    </w:p>
    <w:p w14:paraId="01CFC608">
      <w:pPr>
        <w:outlineLvl w:val="0"/>
        <w:rPr>
          <w:rFonts w:ascii="宋体" w:hAnsi="宋体" w:cs="宋体"/>
          <w:bCs/>
          <w:i/>
          <w:color w:val="auto"/>
          <w:sz w:val="24"/>
          <w:highlight w:val="none"/>
        </w:rPr>
      </w:pPr>
    </w:p>
    <w:p w14:paraId="3E0C30CA">
      <w:pPr>
        <w:ind w:firstLine="420"/>
        <w:outlineLvl w:val="0"/>
        <w:rPr>
          <w:rFonts w:ascii="宋体" w:hAnsi="宋体" w:cs="宋体"/>
          <w:bCs/>
          <w:color w:val="auto"/>
          <w:sz w:val="24"/>
          <w:highlight w:val="none"/>
        </w:rPr>
      </w:pPr>
      <w:r>
        <w:rPr>
          <w:rFonts w:hint="eastAsia" w:ascii="宋体" w:hAnsi="宋体" w:cs="宋体"/>
          <w:bCs/>
          <w:color w:val="auto"/>
          <w:sz w:val="24"/>
          <w:highlight w:val="none"/>
        </w:rPr>
        <w:t>注：（1）本表不得删除；</w:t>
      </w:r>
    </w:p>
    <w:p w14:paraId="57F64603">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（2）如无任何偏离，请于本表 “偏离说明”中注明“无偏离”；</w:t>
      </w:r>
    </w:p>
    <w:p w14:paraId="7F48C94B">
      <w:pPr>
        <w:ind w:firstLine="420"/>
        <w:outlineLvl w:val="0"/>
        <w:rPr>
          <w:rFonts w:ascii="宋体" w:hAnsi="宋体" w:cs="宋体"/>
          <w:bCs/>
          <w:color w:val="auto"/>
          <w:sz w:val="24"/>
          <w:highlight w:val="none"/>
        </w:rPr>
      </w:pPr>
      <w:r>
        <w:rPr>
          <w:rFonts w:hint="eastAsia" w:ascii="宋体" w:hAnsi="宋体" w:cs="宋体"/>
          <w:bCs/>
          <w:color w:val="auto"/>
          <w:sz w:val="24"/>
          <w:highlight w:val="none"/>
        </w:rPr>
        <w:t xml:space="preserve">   （3）如有偏离项，请于本表中列明偏离内容，如需要可自行延长，其余无偏离内容不须赘述。</w:t>
      </w:r>
    </w:p>
    <w:p w14:paraId="532BD397">
      <w:pPr>
        <w:keepNext w:val="0"/>
        <w:keepLines w:val="0"/>
        <w:pageBreakBefore w:val="0"/>
        <w:spacing w:line="400" w:lineRule="exact"/>
        <w:jc w:val="center"/>
        <w:outlineLvl w:val="0"/>
        <w:rPr>
          <w:rFonts w:ascii="黑体" w:eastAsia="黑体"/>
          <w:bCs/>
          <w:color w:val="auto"/>
          <w:sz w:val="28"/>
          <w:szCs w:val="28"/>
          <w:highlight w:val="none"/>
        </w:rPr>
      </w:pPr>
    </w:p>
    <w:p w14:paraId="717F1240">
      <w:pPr>
        <w:keepNext w:val="0"/>
        <w:keepLines w:val="0"/>
        <w:pageBreakBefore w:val="0"/>
        <w:spacing w:line="400" w:lineRule="exact"/>
        <w:jc w:val="center"/>
        <w:outlineLvl w:val="0"/>
        <w:rPr>
          <w:rFonts w:ascii="黑体" w:eastAsia="黑体"/>
          <w:bCs/>
          <w:color w:val="auto"/>
          <w:sz w:val="28"/>
          <w:szCs w:val="28"/>
          <w:highlight w:val="none"/>
        </w:rPr>
      </w:pPr>
    </w:p>
    <w:p w14:paraId="583C8992">
      <w:pPr>
        <w:keepNext w:val="0"/>
        <w:keepLines w:val="0"/>
        <w:pageBreakBefore w:val="0"/>
        <w:spacing w:line="400" w:lineRule="exact"/>
        <w:jc w:val="center"/>
        <w:outlineLvl w:val="0"/>
        <w:rPr>
          <w:rFonts w:ascii="黑体" w:eastAsia="黑体"/>
          <w:bCs/>
          <w:color w:val="auto"/>
          <w:sz w:val="28"/>
          <w:szCs w:val="28"/>
          <w:highlight w:val="none"/>
        </w:rPr>
      </w:pPr>
    </w:p>
    <w:p w14:paraId="3E1C28FC">
      <w:pPr>
        <w:keepNext w:val="0"/>
        <w:keepLines w:val="0"/>
        <w:pageBreakBefore w:val="0"/>
        <w:spacing w:line="400" w:lineRule="exact"/>
        <w:jc w:val="center"/>
        <w:outlineLvl w:val="0"/>
        <w:rPr>
          <w:rFonts w:ascii="黑体" w:eastAsia="黑体"/>
          <w:bCs/>
          <w:color w:val="auto"/>
          <w:sz w:val="28"/>
          <w:szCs w:val="28"/>
          <w:highlight w:val="none"/>
        </w:rPr>
      </w:pPr>
    </w:p>
    <w:p w14:paraId="0D72A493">
      <w:pPr>
        <w:keepNext w:val="0"/>
        <w:keepLines w:val="0"/>
        <w:pageBreakBefore w:val="0"/>
        <w:spacing w:line="400" w:lineRule="exact"/>
        <w:jc w:val="center"/>
        <w:outlineLvl w:val="0"/>
        <w:rPr>
          <w:rFonts w:ascii="黑体" w:eastAsia="黑体"/>
          <w:bCs/>
          <w:color w:val="auto"/>
          <w:sz w:val="28"/>
          <w:szCs w:val="28"/>
          <w:highlight w:val="none"/>
        </w:rPr>
      </w:pPr>
    </w:p>
    <w:p w14:paraId="5BC99AB4">
      <w:pPr>
        <w:keepNext w:val="0"/>
        <w:keepLines w:val="0"/>
        <w:pageBreakBefore w:val="0"/>
        <w:spacing w:line="400" w:lineRule="exact"/>
        <w:jc w:val="center"/>
        <w:outlineLvl w:val="0"/>
        <w:rPr>
          <w:rFonts w:ascii="黑体" w:eastAsia="黑体"/>
          <w:bCs/>
          <w:color w:val="auto"/>
          <w:sz w:val="28"/>
          <w:szCs w:val="28"/>
          <w:highlight w:val="none"/>
        </w:rPr>
      </w:pPr>
    </w:p>
    <w:p w14:paraId="0089BE46">
      <w:pPr>
        <w:keepNext w:val="0"/>
        <w:keepLines w:val="0"/>
        <w:pageBreakBefore w:val="0"/>
        <w:spacing w:line="400" w:lineRule="exact"/>
        <w:jc w:val="center"/>
        <w:outlineLvl w:val="0"/>
        <w:rPr>
          <w:rFonts w:ascii="黑体" w:eastAsia="黑体"/>
          <w:bCs/>
          <w:color w:val="auto"/>
          <w:sz w:val="28"/>
          <w:szCs w:val="28"/>
          <w:highlight w:val="none"/>
        </w:rPr>
      </w:pPr>
    </w:p>
    <w:p w14:paraId="3D46CAAA">
      <w:pPr>
        <w:keepNext w:val="0"/>
        <w:keepLines w:val="0"/>
        <w:pageBreakBefore w:val="0"/>
        <w:spacing w:line="400" w:lineRule="exact"/>
        <w:jc w:val="center"/>
        <w:outlineLvl w:val="0"/>
        <w:rPr>
          <w:rFonts w:ascii="黑体" w:eastAsia="黑体"/>
          <w:bCs/>
          <w:color w:val="auto"/>
          <w:sz w:val="28"/>
          <w:szCs w:val="28"/>
          <w:highlight w:val="none"/>
        </w:rPr>
      </w:pPr>
    </w:p>
    <w:p w14:paraId="51934438">
      <w:pPr>
        <w:keepNext w:val="0"/>
        <w:keepLines w:val="0"/>
        <w:pageBreakBefore w:val="0"/>
        <w:spacing w:line="400" w:lineRule="exact"/>
        <w:jc w:val="center"/>
        <w:outlineLvl w:val="0"/>
        <w:rPr>
          <w:rFonts w:ascii="黑体" w:eastAsia="黑体"/>
          <w:bCs/>
          <w:color w:val="auto"/>
          <w:sz w:val="28"/>
          <w:szCs w:val="28"/>
          <w:highlight w:val="none"/>
        </w:rPr>
      </w:pPr>
    </w:p>
    <w:p w14:paraId="3047B06E">
      <w:pPr>
        <w:keepNext w:val="0"/>
        <w:keepLines w:val="0"/>
        <w:pageBreakBefore w:val="0"/>
        <w:spacing w:line="400" w:lineRule="exact"/>
        <w:jc w:val="center"/>
        <w:outlineLvl w:val="0"/>
        <w:rPr>
          <w:rFonts w:ascii="黑体" w:eastAsia="黑体"/>
          <w:bCs/>
          <w:color w:val="auto"/>
          <w:sz w:val="28"/>
          <w:szCs w:val="28"/>
          <w:highlight w:val="none"/>
        </w:rPr>
      </w:pPr>
    </w:p>
    <w:p w14:paraId="3EDD9B48">
      <w:pPr>
        <w:keepNext w:val="0"/>
        <w:keepLines w:val="0"/>
        <w:pageBreakBefore w:val="0"/>
        <w:spacing w:line="400" w:lineRule="exact"/>
        <w:jc w:val="center"/>
        <w:outlineLvl w:val="0"/>
        <w:rPr>
          <w:rFonts w:ascii="黑体" w:eastAsia="黑体"/>
          <w:bCs/>
          <w:color w:val="auto"/>
          <w:sz w:val="28"/>
          <w:szCs w:val="28"/>
          <w:highlight w:val="none"/>
        </w:rPr>
      </w:pPr>
    </w:p>
    <w:p w14:paraId="1F16BAD4">
      <w:pPr>
        <w:keepNext w:val="0"/>
        <w:keepLines w:val="0"/>
        <w:pageBreakBefore w:val="0"/>
        <w:spacing w:line="400" w:lineRule="exact"/>
        <w:jc w:val="center"/>
        <w:outlineLvl w:val="0"/>
        <w:rPr>
          <w:rFonts w:ascii="黑体" w:eastAsia="黑体"/>
          <w:bCs/>
          <w:color w:val="auto"/>
          <w:sz w:val="28"/>
          <w:szCs w:val="28"/>
          <w:highlight w:val="none"/>
        </w:rPr>
      </w:pPr>
    </w:p>
    <w:p w14:paraId="43B9B2C3">
      <w:pPr>
        <w:keepNext w:val="0"/>
        <w:keepLines w:val="0"/>
        <w:pageBreakBefore w:val="0"/>
        <w:spacing w:line="400" w:lineRule="exact"/>
        <w:jc w:val="center"/>
        <w:outlineLvl w:val="0"/>
        <w:rPr>
          <w:rFonts w:ascii="黑体" w:eastAsia="黑体"/>
          <w:bCs/>
          <w:color w:val="auto"/>
          <w:sz w:val="28"/>
          <w:szCs w:val="28"/>
          <w:highlight w:val="none"/>
        </w:rPr>
      </w:pPr>
    </w:p>
    <w:p w14:paraId="58E93152">
      <w:pPr>
        <w:keepNext w:val="0"/>
        <w:keepLines w:val="0"/>
        <w:pageBreakBefore w:val="0"/>
        <w:spacing w:line="400" w:lineRule="exact"/>
        <w:jc w:val="center"/>
        <w:outlineLvl w:val="0"/>
        <w:rPr>
          <w:rFonts w:ascii="黑体" w:eastAsia="黑体"/>
          <w:bCs/>
          <w:color w:val="auto"/>
          <w:sz w:val="28"/>
          <w:szCs w:val="28"/>
          <w:highlight w:val="none"/>
        </w:rPr>
      </w:pPr>
    </w:p>
    <w:p w14:paraId="3366F159">
      <w:pPr>
        <w:keepNext w:val="0"/>
        <w:keepLines w:val="0"/>
        <w:pageBreakBefore w:val="0"/>
        <w:spacing w:line="400" w:lineRule="exact"/>
        <w:jc w:val="center"/>
        <w:outlineLvl w:val="0"/>
        <w:rPr>
          <w:rFonts w:ascii="黑体" w:eastAsia="黑体"/>
          <w:bCs/>
          <w:color w:val="auto"/>
          <w:sz w:val="28"/>
          <w:szCs w:val="28"/>
          <w:highlight w:val="none"/>
        </w:rPr>
      </w:pPr>
    </w:p>
    <w:p w14:paraId="0091EC2C">
      <w:pPr>
        <w:keepNext w:val="0"/>
        <w:keepLines w:val="0"/>
        <w:pageBreakBefore w:val="0"/>
        <w:spacing w:line="400" w:lineRule="exact"/>
        <w:jc w:val="center"/>
        <w:outlineLvl w:val="0"/>
        <w:rPr>
          <w:rFonts w:ascii="黑体" w:eastAsia="黑体"/>
          <w:bCs/>
          <w:color w:val="auto"/>
          <w:sz w:val="28"/>
          <w:szCs w:val="28"/>
          <w:highlight w:val="none"/>
        </w:rPr>
      </w:pPr>
    </w:p>
    <w:p w14:paraId="33FEE09B">
      <w:pPr>
        <w:keepNext w:val="0"/>
        <w:keepLines w:val="0"/>
        <w:pageBreakBefore w:val="0"/>
        <w:spacing w:line="400" w:lineRule="exact"/>
        <w:jc w:val="center"/>
        <w:outlineLvl w:val="0"/>
        <w:rPr>
          <w:rFonts w:ascii="黑体" w:eastAsia="黑体"/>
          <w:bCs/>
          <w:color w:val="auto"/>
          <w:sz w:val="28"/>
          <w:szCs w:val="28"/>
          <w:highlight w:val="none"/>
        </w:rPr>
      </w:pPr>
    </w:p>
    <w:p w14:paraId="6F61456B">
      <w:pPr>
        <w:keepNext w:val="0"/>
        <w:keepLines w:val="0"/>
        <w:pageBreakBefore w:val="0"/>
        <w:spacing w:line="400" w:lineRule="exact"/>
        <w:jc w:val="center"/>
        <w:outlineLvl w:val="0"/>
        <w:rPr>
          <w:rFonts w:ascii="黑体" w:eastAsia="黑体"/>
          <w:bCs/>
          <w:color w:val="auto"/>
          <w:sz w:val="28"/>
          <w:szCs w:val="28"/>
          <w:highlight w:val="none"/>
        </w:rPr>
      </w:pPr>
    </w:p>
    <w:p w14:paraId="45659A9C">
      <w:pPr>
        <w:keepNext w:val="0"/>
        <w:keepLines w:val="0"/>
        <w:pageBreakBefore w:val="0"/>
        <w:spacing w:line="400" w:lineRule="exact"/>
        <w:jc w:val="center"/>
        <w:outlineLvl w:val="0"/>
        <w:rPr>
          <w:rFonts w:ascii="黑体" w:eastAsia="黑体"/>
          <w:bCs/>
          <w:color w:val="auto"/>
          <w:sz w:val="28"/>
          <w:szCs w:val="28"/>
          <w:highlight w:val="none"/>
        </w:rPr>
      </w:pPr>
    </w:p>
    <w:p w14:paraId="3A23687B">
      <w:pPr>
        <w:keepNext w:val="0"/>
        <w:keepLines w:val="0"/>
        <w:pageBreakBefore w:val="0"/>
        <w:spacing w:line="400" w:lineRule="exact"/>
        <w:jc w:val="center"/>
        <w:outlineLvl w:val="0"/>
        <w:rPr>
          <w:rFonts w:ascii="黑体" w:eastAsia="黑体"/>
          <w:bCs/>
          <w:color w:val="auto"/>
          <w:sz w:val="28"/>
          <w:szCs w:val="28"/>
          <w:highlight w:val="none"/>
        </w:rPr>
      </w:pPr>
    </w:p>
    <w:p w14:paraId="76914B03">
      <w:pPr>
        <w:keepNext w:val="0"/>
        <w:keepLines w:val="0"/>
        <w:pageBreakBefore w:val="0"/>
        <w:spacing w:line="400" w:lineRule="exact"/>
        <w:jc w:val="center"/>
        <w:outlineLvl w:val="0"/>
        <w:rPr>
          <w:rFonts w:ascii="黑体" w:eastAsia="黑体"/>
          <w:bCs/>
          <w:color w:val="auto"/>
          <w:sz w:val="28"/>
          <w:szCs w:val="28"/>
          <w:highlight w:val="none"/>
        </w:rPr>
      </w:pPr>
    </w:p>
    <w:p w14:paraId="1A36CC60">
      <w:pPr>
        <w:keepNext w:val="0"/>
        <w:keepLines w:val="0"/>
        <w:pageBreakBefore w:val="0"/>
        <w:spacing w:line="400" w:lineRule="exact"/>
        <w:jc w:val="center"/>
        <w:outlineLvl w:val="0"/>
        <w:rPr>
          <w:rFonts w:ascii="黑体" w:eastAsia="黑体"/>
          <w:bCs/>
          <w:color w:val="auto"/>
          <w:sz w:val="28"/>
          <w:szCs w:val="28"/>
          <w:highlight w:val="none"/>
        </w:rPr>
      </w:pPr>
    </w:p>
    <w:p w14:paraId="234E8C1F">
      <w:pPr>
        <w:keepNext w:val="0"/>
        <w:keepLines w:val="0"/>
        <w:pageBreakBefore w:val="0"/>
        <w:spacing w:line="400" w:lineRule="exact"/>
        <w:jc w:val="center"/>
        <w:outlineLvl w:val="0"/>
        <w:rPr>
          <w:rFonts w:ascii="黑体" w:eastAsia="黑体"/>
          <w:bCs/>
          <w:color w:val="auto"/>
          <w:sz w:val="28"/>
          <w:szCs w:val="28"/>
          <w:highlight w:val="none"/>
        </w:rPr>
      </w:pPr>
    </w:p>
    <w:p w14:paraId="6E719F23">
      <w:pPr>
        <w:keepNext w:val="0"/>
        <w:keepLines w:val="0"/>
        <w:pageBreakBefore w:val="0"/>
        <w:spacing w:line="400" w:lineRule="exact"/>
        <w:jc w:val="center"/>
        <w:outlineLvl w:val="0"/>
        <w:rPr>
          <w:rFonts w:ascii="黑体" w:eastAsia="黑体"/>
          <w:bCs/>
          <w:color w:val="auto"/>
          <w:sz w:val="28"/>
          <w:szCs w:val="28"/>
          <w:highlight w:val="none"/>
        </w:rPr>
      </w:pPr>
    </w:p>
    <w:p w14:paraId="58ABCA80">
      <w:pPr>
        <w:ind w:firstLine="490"/>
        <w:jc w:val="center"/>
        <w:outlineLvl w:val="0"/>
        <w:rPr>
          <w:rFonts w:ascii="宋体" w:hAnsi="宋体" w:cs="宋体"/>
          <w:bCs/>
          <w:color w:val="auto"/>
          <w:sz w:val="28"/>
          <w:szCs w:val="28"/>
          <w:highlight w:val="none"/>
        </w:rPr>
      </w:pPr>
      <w:r>
        <w:rPr>
          <w:rFonts w:hint="eastAsia" w:ascii="宋体" w:hAnsi="宋体" w:cs="宋体"/>
          <w:bCs/>
          <w:color w:val="auto"/>
          <w:sz w:val="28"/>
          <w:szCs w:val="28"/>
          <w:highlight w:val="none"/>
          <w:lang w:eastAsia="zh-CN"/>
        </w:rPr>
        <w:t>二）</w:t>
      </w:r>
      <w:r>
        <w:rPr>
          <w:rFonts w:hint="eastAsia" w:ascii="宋体" w:hAnsi="宋体" w:cs="宋体"/>
          <w:bCs/>
          <w:color w:val="auto"/>
          <w:sz w:val="28"/>
          <w:szCs w:val="28"/>
          <w:highlight w:val="none"/>
        </w:rPr>
        <w:t>投标</w:t>
      </w:r>
      <w:r>
        <w:rPr>
          <w:rFonts w:hint="eastAsia" w:ascii="宋体" w:hAnsi="宋体" w:cs="宋体"/>
          <w:bCs/>
          <w:color w:val="auto"/>
          <w:sz w:val="28"/>
          <w:szCs w:val="28"/>
          <w:highlight w:val="none"/>
          <w:lang w:eastAsia="zh-CN"/>
        </w:rPr>
        <w:t>技术</w:t>
      </w:r>
      <w:r>
        <w:rPr>
          <w:rFonts w:hint="eastAsia" w:ascii="宋体" w:hAnsi="宋体" w:cs="宋体"/>
          <w:bCs/>
          <w:color w:val="auto"/>
          <w:sz w:val="28"/>
          <w:szCs w:val="28"/>
          <w:highlight w:val="none"/>
        </w:rPr>
        <w:t>部分偏离表</w:t>
      </w:r>
    </w:p>
    <w:p w14:paraId="15BEE988">
      <w:pPr>
        <w:keepNext w:val="0"/>
        <w:keepLines w:val="0"/>
        <w:pageBreakBefore w:val="0"/>
        <w:spacing w:line="400" w:lineRule="exact"/>
        <w:rPr>
          <w:rFonts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r>
        <w:rPr>
          <w:rFonts w:hint="eastAsia" w:ascii="黑体" w:eastAsia="黑体"/>
          <w:bCs/>
          <w:color w:val="auto"/>
          <w:sz w:val="24"/>
          <w:szCs w:val="24"/>
          <w:highlight w:val="none"/>
          <w:lang w:val="en-US" w:eastAsia="zh-CN"/>
        </w:rPr>
        <w:t xml:space="preserve"> </w:t>
      </w:r>
    </w:p>
    <w:tbl>
      <w:tblPr>
        <w:tblStyle w:val="29"/>
        <w:tblW w:w="9885" w:type="dxa"/>
        <w:jc w:val="center"/>
        <w:tblLayout w:type="fixed"/>
        <w:tblCellMar>
          <w:top w:w="15" w:type="dxa"/>
          <w:left w:w="15" w:type="dxa"/>
          <w:bottom w:w="0" w:type="dxa"/>
          <w:right w:w="15" w:type="dxa"/>
        </w:tblCellMar>
      </w:tblPr>
      <w:tblGrid>
        <w:gridCol w:w="1905"/>
        <w:gridCol w:w="2835"/>
        <w:gridCol w:w="2835"/>
        <w:gridCol w:w="2310"/>
      </w:tblGrid>
      <w:tr w14:paraId="0A3D2937">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978749">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5233694">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60BB75F">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03B9C24">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EA12C9F">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2598D7C">
            <w:pPr>
              <w:keepNext w:val="0"/>
              <w:keepLines w:val="0"/>
              <w:pageBreakBefore w:val="0"/>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FAFA538">
            <w:pPr>
              <w:keepNext w:val="0"/>
              <w:keepLines w:val="0"/>
              <w:pageBreakBefore w:val="0"/>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0348987">
            <w:pPr>
              <w:keepNext w:val="0"/>
              <w:keepLines w:val="0"/>
              <w:pageBreakBefore w:val="0"/>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0E582BC">
            <w:pPr>
              <w:keepNext w:val="0"/>
              <w:keepLines w:val="0"/>
              <w:pageBreakBefore w:val="0"/>
              <w:jc w:val="left"/>
              <w:rPr>
                <w:rFonts w:ascii="宋体"/>
                <w:color w:val="auto"/>
                <w:highlight w:val="none"/>
              </w:rPr>
            </w:pPr>
          </w:p>
        </w:tc>
      </w:tr>
    </w:tbl>
    <w:p w14:paraId="6727B63F">
      <w:pPr>
        <w:keepNext w:val="0"/>
        <w:keepLines w:val="0"/>
        <w:pageBreakBefore w:val="0"/>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24CFADC1">
      <w:pPr>
        <w:keepNext w:val="0"/>
        <w:keepLines w:val="0"/>
        <w:pageBreakBefore w:val="0"/>
        <w:rPr>
          <w:rFonts w:ascii="宋体"/>
          <w:bCs/>
          <w:color w:val="auto"/>
          <w:sz w:val="30"/>
          <w:highlight w:val="none"/>
        </w:rPr>
      </w:pPr>
    </w:p>
    <w:p w14:paraId="241C3ECE">
      <w:pPr>
        <w:keepNext w:val="0"/>
        <w:keepLines w:val="0"/>
        <w:pageBreakBefore w:val="0"/>
        <w:outlineLvl w:val="0"/>
        <w:rPr>
          <w:rFonts w:hint="eastAsia"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361BA84B">
      <w:pPr>
        <w:keepNext w:val="0"/>
        <w:keepLines w:val="0"/>
        <w:pageBreakBefore w:val="0"/>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）如无任何技术偏离，请于本表“偏离说明”中注明“无偏离”；</w:t>
      </w:r>
    </w:p>
    <w:p w14:paraId="7495F524">
      <w:pPr>
        <w:keepNext w:val="0"/>
        <w:keepLines w:val="0"/>
        <w:pageBreakBefore w:val="0"/>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（3）如有技术偏离项，请于本表中列明偏离内容；</w:t>
      </w:r>
    </w:p>
    <w:p w14:paraId="0CFE7F46">
      <w:pPr>
        <w:keepNext w:val="0"/>
        <w:keepLines w:val="0"/>
        <w:pageBreakBefore w:val="0"/>
        <w:ind w:firstLine="480"/>
        <w:outlineLvl w:val="0"/>
        <w:rPr>
          <w:rFonts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投标人应当根据“采购需求”的内容在上表中逐条填写。</w:t>
      </w:r>
    </w:p>
    <w:p w14:paraId="27AC31F2">
      <w:pPr>
        <w:rPr>
          <w:rFonts w:hint="eastAsia" w:ascii="宋体" w:hAnsi="宋体" w:cs="宋体"/>
          <w:bCs/>
          <w:color w:val="auto"/>
          <w:highlight w:val="none"/>
        </w:rPr>
      </w:pPr>
    </w:p>
    <w:p w14:paraId="408155F4">
      <w:pPr>
        <w:rPr>
          <w:rFonts w:hint="eastAsia" w:ascii="宋体" w:hAnsi="宋体" w:cs="宋体"/>
          <w:bCs/>
          <w:color w:val="auto"/>
          <w:highlight w:val="none"/>
        </w:rPr>
      </w:pPr>
    </w:p>
    <w:p w14:paraId="530CB948">
      <w:pPr>
        <w:rPr>
          <w:rFonts w:hint="eastAsia" w:ascii="宋体" w:hAnsi="宋体" w:cs="宋体"/>
          <w:bCs/>
          <w:color w:val="auto"/>
          <w:highlight w:val="none"/>
        </w:rPr>
      </w:pPr>
    </w:p>
    <w:p w14:paraId="117CE423">
      <w:pPr>
        <w:rPr>
          <w:rFonts w:hint="eastAsia" w:ascii="宋体" w:hAnsi="宋体" w:cs="宋体"/>
          <w:bCs/>
          <w:color w:val="auto"/>
          <w:highlight w:val="none"/>
        </w:rPr>
      </w:pPr>
    </w:p>
    <w:p w14:paraId="13EE4FEE">
      <w:pPr>
        <w:rPr>
          <w:rFonts w:hint="eastAsia" w:ascii="宋体" w:hAnsi="宋体" w:cs="宋体"/>
          <w:bCs/>
          <w:color w:val="auto"/>
          <w:highlight w:val="none"/>
        </w:rPr>
      </w:pPr>
    </w:p>
    <w:p w14:paraId="3A5F0D40">
      <w:pPr>
        <w:rPr>
          <w:rFonts w:hint="eastAsia" w:ascii="宋体" w:hAnsi="宋体" w:cs="宋体"/>
          <w:bCs/>
          <w:color w:val="auto"/>
          <w:highlight w:val="none"/>
        </w:rPr>
      </w:pPr>
    </w:p>
    <w:p w14:paraId="20C26E4A">
      <w:pPr>
        <w:rPr>
          <w:rFonts w:hint="eastAsia" w:ascii="宋体" w:hAnsi="宋体" w:cs="宋体"/>
          <w:bCs/>
          <w:color w:val="auto"/>
          <w:highlight w:val="none"/>
        </w:rPr>
      </w:pPr>
    </w:p>
    <w:p w14:paraId="3EA5EA87">
      <w:pPr>
        <w:rPr>
          <w:rFonts w:hint="eastAsia" w:ascii="宋体" w:hAnsi="宋体" w:cs="宋体"/>
          <w:bCs/>
          <w:color w:val="auto"/>
          <w:highlight w:val="none"/>
        </w:rPr>
      </w:pPr>
    </w:p>
    <w:p w14:paraId="4FD612EF">
      <w:pPr>
        <w:rPr>
          <w:rFonts w:hint="eastAsia" w:ascii="宋体" w:hAnsi="宋体" w:cs="宋体"/>
          <w:bCs/>
          <w:color w:val="auto"/>
          <w:highlight w:val="none"/>
        </w:rPr>
      </w:pPr>
    </w:p>
    <w:p w14:paraId="218D08BA">
      <w:pPr>
        <w:rPr>
          <w:rFonts w:hint="eastAsia" w:ascii="宋体" w:hAnsi="宋体" w:cs="宋体"/>
          <w:bCs/>
          <w:color w:val="auto"/>
          <w:highlight w:val="none"/>
        </w:rPr>
      </w:pPr>
    </w:p>
    <w:p w14:paraId="4315350F">
      <w:pPr>
        <w:rPr>
          <w:rFonts w:hint="eastAsia" w:ascii="宋体" w:hAnsi="宋体" w:cs="宋体"/>
          <w:bCs/>
          <w:color w:val="auto"/>
          <w:highlight w:val="none"/>
        </w:rPr>
      </w:pPr>
    </w:p>
    <w:p w14:paraId="728F1BF2">
      <w:pPr>
        <w:rPr>
          <w:rFonts w:hint="eastAsia" w:ascii="宋体" w:hAnsi="宋体" w:cs="宋体"/>
          <w:bCs/>
          <w:color w:val="auto"/>
          <w:highlight w:val="none"/>
        </w:rPr>
      </w:pPr>
    </w:p>
    <w:p w14:paraId="05AC8773">
      <w:pPr>
        <w:rPr>
          <w:rFonts w:hint="eastAsia" w:ascii="宋体" w:hAnsi="宋体" w:cs="宋体"/>
          <w:bCs/>
          <w:color w:val="auto"/>
          <w:highlight w:val="none"/>
        </w:rPr>
      </w:pPr>
    </w:p>
    <w:p w14:paraId="5A64FE3E">
      <w:pPr>
        <w:rPr>
          <w:rFonts w:hint="eastAsia" w:ascii="宋体" w:hAnsi="宋体" w:cs="宋体"/>
          <w:bCs/>
          <w:color w:val="auto"/>
          <w:highlight w:val="none"/>
        </w:rPr>
      </w:pPr>
    </w:p>
    <w:p w14:paraId="57AF3BFE">
      <w:pPr>
        <w:rPr>
          <w:rFonts w:hint="eastAsia" w:ascii="宋体" w:hAnsi="宋体" w:cs="宋体"/>
          <w:bCs/>
          <w:color w:val="auto"/>
          <w:highlight w:val="none"/>
        </w:rPr>
      </w:pPr>
    </w:p>
    <w:p w14:paraId="63B53326">
      <w:pPr>
        <w:rPr>
          <w:rFonts w:hint="eastAsia" w:ascii="宋体" w:hAnsi="宋体" w:cs="宋体"/>
          <w:bCs/>
          <w:color w:val="auto"/>
          <w:highlight w:val="none"/>
        </w:rPr>
      </w:pPr>
    </w:p>
    <w:p w14:paraId="2B5DE10A">
      <w:pPr>
        <w:rPr>
          <w:rFonts w:hint="eastAsia" w:ascii="宋体" w:hAnsi="宋体" w:cs="宋体"/>
          <w:bCs/>
          <w:color w:val="auto"/>
          <w:highlight w:val="none"/>
        </w:rPr>
      </w:pPr>
    </w:p>
    <w:p w14:paraId="0F68B204">
      <w:pPr>
        <w:rPr>
          <w:rFonts w:hint="eastAsia" w:ascii="宋体" w:hAnsi="宋体" w:cs="宋体"/>
          <w:bCs/>
          <w:color w:val="auto"/>
          <w:highlight w:val="none"/>
        </w:rPr>
      </w:pPr>
    </w:p>
    <w:p w14:paraId="14B84EBD">
      <w:pPr>
        <w:rPr>
          <w:rFonts w:hint="eastAsia" w:ascii="宋体" w:hAnsi="宋体" w:cs="宋体"/>
          <w:bCs/>
          <w:color w:val="auto"/>
          <w:highlight w:val="none"/>
        </w:rPr>
      </w:pPr>
    </w:p>
    <w:p w14:paraId="0430235C">
      <w:pPr>
        <w:rPr>
          <w:rFonts w:hint="eastAsia" w:ascii="宋体" w:hAnsi="宋体" w:cs="宋体"/>
          <w:bCs/>
          <w:color w:val="auto"/>
          <w:highlight w:val="none"/>
        </w:rPr>
      </w:pPr>
    </w:p>
    <w:p w14:paraId="3B416DD9">
      <w:pPr>
        <w:rPr>
          <w:rFonts w:hint="eastAsia" w:ascii="宋体" w:hAnsi="宋体" w:cs="宋体"/>
          <w:bCs/>
          <w:color w:val="auto"/>
          <w:highlight w:val="none"/>
        </w:rPr>
      </w:pPr>
    </w:p>
    <w:p w14:paraId="677694FE">
      <w:pPr>
        <w:rPr>
          <w:rFonts w:hint="eastAsia" w:ascii="宋体" w:hAnsi="宋体" w:cs="宋体"/>
          <w:bCs/>
          <w:color w:val="auto"/>
          <w:highlight w:val="none"/>
        </w:rPr>
      </w:pPr>
    </w:p>
    <w:p w14:paraId="18D7B4B6">
      <w:pPr>
        <w:rPr>
          <w:rFonts w:hint="eastAsia" w:ascii="宋体" w:hAnsi="宋体" w:cs="宋体"/>
          <w:bCs/>
          <w:color w:val="auto"/>
          <w:highlight w:val="none"/>
        </w:rPr>
      </w:pPr>
    </w:p>
    <w:p w14:paraId="4F156046">
      <w:pPr>
        <w:rPr>
          <w:rFonts w:hint="eastAsia" w:ascii="宋体" w:hAnsi="宋体" w:cs="宋体"/>
          <w:bCs/>
          <w:color w:val="auto"/>
          <w:highlight w:val="none"/>
        </w:rPr>
      </w:pPr>
    </w:p>
    <w:p w14:paraId="3BB51D0C">
      <w:pPr>
        <w:rPr>
          <w:rFonts w:hint="eastAsia" w:ascii="宋体" w:hAnsi="宋体" w:cs="宋体"/>
          <w:bCs/>
          <w:color w:val="auto"/>
          <w:highlight w:val="none"/>
        </w:rPr>
      </w:pPr>
    </w:p>
    <w:p w14:paraId="27454F6A">
      <w:pPr>
        <w:rPr>
          <w:rFonts w:hint="eastAsia" w:ascii="宋体" w:hAnsi="宋体" w:cs="宋体"/>
          <w:bCs/>
          <w:color w:val="auto"/>
          <w:highlight w:val="none"/>
        </w:rPr>
      </w:pPr>
    </w:p>
    <w:p w14:paraId="3F1DA288">
      <w:pPr>
        <w:rPr>
          <w:rFonts w:hint="eastAsia" w:ascii="宋体" w:hAnsi="宋体" w:cs="宋体"/>
          <w:bCs/>
          <w:color w:val="auto"/>
          <w:highlight w:val="none"/>
        </w:rPr>
      </w:pPr>
    </w:p>
    <w:p w14:paraId="027B3440">
      <w:pPr>
        <w:rPr>
          <w:rFonts w:hint="eastAsia" w:ascii="宋体" w:hAnsi="宋体" w:cs="宋体"/>
          <w:bCs/>
          <w:color w:val="auto"/>
          <w:highlight w:val="none"/>
        </w:rPr>
      </w:pPr>
    </w:p>
    <w:p w14:paraId="5F2D217E">
      <w:pPr>
        <w:rPr>
          <w:rFonts w:hint="eastAsia" w:ascii="宋体" w:hAnsi="宋体" w:cs="宋体"/>
          <w:bCs/>
          <w:color w:val="auto"/>
          <w:highlight w:val="none"/>
        </w:rPr>
      </w:pPr>
    </w:p>
    <w:p w14:paraId="23A0FCD5">
      <w:pPr>
        <w:rPr>
          <w:rFonts w:hint="eastAsia" w:ascii="宋体" w:hAnsi="宋体" w:cs="宋体"/>
          <w:bCs/>
          <w:color w:val="auto"/>
          <w:highlight w:val="none"/>
        </w:rPr>
      </w:pPr>
    </w:p>
    <w:p w14:paraId="04D1269D">
      <w:pPr>
        <w:rPr>
          <w:rFonts w:hint="eastAsia" w:ascii="宋体" w:hAnsi="宋体" w:cs="宋体"/>
          <w:bCs/>
          <w:color w:val="auto"/>
          <w:highlight w:val="none"/>
        </w:rPr>
      </w:pPr>
    </w:p>
    <w:p w14:paraId="5D01ED7F">
      <w:pPr>
        <w:rPr>
          <w:rFonts w:hint="eastAsia" w:ascii="宋体" w:hAnsi="宋体" w:cs="宋体"/>
          <w:bCs/>
          <w:color w:val="auto"/>
          <w:highlight w:val="none"/>
        </w:rPr>
      </w:pPr>
    </w:p>
    <w:p w14:paraId="3EAD5238">
      <w:pPr>
        <w:rPr>
          <w:rFonts w:hint="eastAsia" w:ascii="宋体" w:hAnsi="宋体" w:cs="宋体"/>
          <w:bCs/>
          <w:color w:val="auto"/>
          <w:highlight w:val="none"/>
        </w:rPr>
      </w:pPr>
    </w:p>
    <w:p w14:paraId="001FED3D">
      <w:pPr>
        <w:rPr>
          <w:rFonts w:hint="eastAsia" w:ascii="宋体" w:hAnsi="宋体" w:cs="宋体"/>
          <w:bCs/>
          <w:color w:val="auto"/>
          <w:highlight w:val="none"/>
        </w:rPr>
      </w:pPr>
    </w:p>
    <w:p w14:paraId="534AD353">
      <w:pPr>
        <w:rPr>
          <w:rFonts w:hint="eastAsia" w:ascii="宋体" w:hAnsi="宋体" w:cs="宋体"/>
          <w:bCs/>
          <w:color w:val="auto"/>
          <w:highlight w:val="none"/>
        </w:rPr>
      </w:pPr>
    </w:p>
    <w:bookmarkEnd w:id="2"/>
    <w:p w14:paraId="672EF0A7">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八</w:t>
      </w:r>
      <w:r>
        <w:rPr>
          <w:rFonts w:hint="eastAsia" w:ascii="宋体" w:hAnsi="宋体" w:cs="宋体"/>
          <w:bCs/>
          <w:color w:val="auto"/>
          <w:sz w:val="24"/>
          <w:highlight w:val="none"/>
        </w:rPr>
        <w:t>）中小企业声明函（格式）：</w:t>
      </w:r>
    </w:p>
    <w:p w14:paraId="729C7193">
      <w:pPr>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中小企业声明函（货物）</w:t>
      </w:r>
    </w:p>
    <w:p w14:paraId="1DC996D9">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 号）的规定，本公司 （联合体）参加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采购活动，提供的货物全部由符合政策要求的中小企业制造。相关企业 （含联合体中的中小企业、签订分包意向协议的中小企业）的具体情况如下：</w:t>
      </w:r>
    </w:p>
    <w:p w14:paraId="6D28A8D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 型企业、微型企业）</w:t>
      </w:r>
      <w:r>
        <w:rPr>
          <w:rFonts w:ascii="宋体" w:hAnsi="宋体"/>
          <w:bCs/>
          <w:color w:val="auto"/>
          <w:sz w:val="24"/>
          <w:szCs w:val="24"/>
          <w:highlight w:val="none"/>
        </w:rPr>
        <w:t>；</w:t>
      </w:r>
    </w:p>
    <w:p w14:paraId="277B9A78">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 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 型企业、微型企业）</w:t>
      </w:r>
      <w:r>
        <w:rPr>
          <w:rFonts w:ascii="宋体" w:hAnsi="宋体"/>
          <w:bCs/>
          <w:color w:val="auto"/>
          <w:sz w:val="24"/>
          <w:szCs w:val="24"/>
          <w:highlight w:val="none"/>
        </w:rPr>
        <w:t>；</w:t>
      </w:r>
    </w:p>
    <w:p w14:paraId="45781CEC">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w:t>
      </w:r>
    </w:p>
    <w:p w14:paraId="0719A6F2">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p>
    <w:p w14:paraId="42C7787C">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00443342">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14:paraId="3F494AFA">
      <w:pPr>
        <w:spacing w:line="360" w:lineRule="auto"/>
        <w:ind w:firstLine="420"/>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6FE2F263">
      <w:pPr>
        <w:spacing w:line="360" w:lineRule="auto"/>
        <w:ind w:firstLine="420"/>
        <w:rPr>
          <w:color w:val="auto"/>
          <w:highlight w:val="none"/>
        </w:rPr>
      </w:pPr>
      <w:r>
        <w:rPr>
          <w:rFonts w:hint="eastAsia"/>
          <w:color w:val="auto"/>
          <w:highlight w:val="none"/>
        </w:rPr>
        <w:t>（2）从业人员、营业收入、资产总额填报上一年度数据，无上一年度数据的新成立企业可不填报。</w:t>
      </w:r>
    </w:p>
    <w:p w14:paraId="57066AFD">
      <w:pPr>
        <w:spacing w:line="360" w:lineRule="auto"/>
        <w:ind w:firstLine="420"/>
        <w:rPr>
          <w:color w:val="auto"/>
          <w:highlight w:val="none"/>
        </w:rPr>
      </w:pPr>
      <w:r>
        <w:rPr>
          <w:rFonts w:hint="eastAsia"/>
          <w:color w:val="auto"/>
          <w:highlight w:val="none"/>
        </w:rPr>
        <w:t>（3）在货物采购项目中，供应商提供的货物既有中小企业制造货物，也有大型企业制造货物的，不享受本办法规定的中小企业扶持政策。</w:t>
      </w:r>
    </w:p>
    <w:p w14:paraId="3A464171">
      <w:pPr>
        <w:spacing w:line="360" w:lineRule="auto"/>
        <w:ind w:firstLine="420"/>
        <w:rPr>
          <w:color w:val="auto"/>
          <w:highlight w:val="none"/>
        </w:rPr>
      </w:pPr>
      <w:r>
        <w:rPr>
          <w:rFonts w:hint="eastAsia"/>
          <w:color w:val="auto"/>
          <w:highlight w:val="none"/>
        </w:rPr>
        <w:t>（4）中标供应商的《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》将随中标公告进行公示。供应商按照本办法规定提供声明函内容不实的，属于提供虚假材料谋取中标、成交，依照《中华人民共和国政府采购法》等国家有关规定追究相应责任。</w:t>
      </w:r>
    </w:p>
    <w:p w14:paraId="3916BF38">
      <w:pPr>
        <w:spacing w:line="440" w:lineRule="exact"/>
        <w:jc w:val="center"/>
        <w:rPr>
          <w:rFonts w:hint="eastAsia" w:ascii="黑体" w:eastAsia="黑体"/>
          <w:bCs/>
          <w:color w:val="auto"/>
          <w:sz w:val="28"/>
          <w:szCs w:val="28"/>
          <w:highlight w:val="none"/>
        </w:rPr>
      </w:pPr>
      <w:r>
        <w:rPr>
          <w:color w:val="auto"/>
          <w:highlight w:val="none"/>
        </w:rPr>
        <w:br w:type="page" w:clear="all"/>
      </w:r>
      <w:r>
        <w:rPr>
          <w:rFonts w:hint="eastAsia" w:ascii="黑体" w:eastAsia="黑体"/>
          <w:bCs/>
          <w:color w:val="auto"/>
          <w:sz w:val="28"/>
          <w:szCs w:val="28"/>
          <w:highlight w:val="none"/>
        </w:rPr>
        <w:t>关于符合本国产品标准的声明函</w:t>
      </w:r>
    </w:p>
    <w:p w14:paraId="6F59E022">
      <w:pPr>
        <w:spacing w:line="360" w:lineRule="auto"/>
        <w:ind w:firstLine="420"/>
        <w:rPr>
          <w:color w:val="auto"/>
          <w:highlight w:val="none"/>
        </w:rPr>
      </w:pPr>
      <w:r>
        <w:rPr>
          <w:color w:val="auto"/>
          <w:highlight w:val="none"/>
        </w:rPr>
        <w:t xml:space="preserve"> </w:t>
      </w:r>
    </w:p>
    <w:p w14:paraId="0564EAD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C239E4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2828BEF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20AF362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4CED8F2E">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104E5C26">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5A2017FA">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5C62A0C3">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20266558">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5E0D8F7F">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5331F246">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47450DCA">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5F55CC6B">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377644D5">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028E995A">
      <w:pPr>
        <w:widowControl/>
        <w:shd w:val="clear" w:color="auto" w:fill="FFFFFF"/>
        <w:spacing w:line="360" w:lineRule="auto"/>
        <w:ind w:firstLine="482"/>
        <w:jc w:val="left"/>
        <w:rPr>
          <w:rFonts w:hint="eastAsia" w:ascii="宋体" w:hAnsi="宋体" w:cs="宋体"/>
          <w:b/>
          <w:color w:val="auto"/>
          <w:sz w:val="18"/>
          <w:szCs w:val="18"/>
          <w:highlight w:val="none"/>
        </w:rPr>
      </w:pPr>
      <w:r>
        <w:rPr>
          <w:rFonts w:hint="eastAsia" w:ascii="宋体" w:hAnsi="宋体" w:cs="宋体"/>
          <w:b/>
          <w:color w:val="auto"/>
          <w:sz w:val="18"/>
          <w:szCs w:val="18"/>
          <w:highlight w:val="none"/>
        </w:rPr>
        <w:t>注：划删除线的地方无需填写。</w:t>
      </w:r>
    </w:p>
    <w:p w14:paraId="0616397B">
      <w:pPr>
        <w:spacing w:line="440" w:lineRule="exact"/>
        <w:rPr>
          <w:color w:val="auto"/>
          <w:highlight w:val="none"/>
        </w:rPr>
      </w:pPr>
    </w:p>
    <w:p w14:paraId="0A030136">
      <w:pPr>
        <w:widowControl/>
        <w:spacing w:before="4" w:line="360" w:lineRule="auto"/>
        <w:rPr>
          <w:rFonts w:hint="eastAsia" w:ascii="宋体" w:hAnsi="宋体" w:cs="宋体"/>
          <w:bCs/>
          <w:color w:val="auto"/>
          <w:sz w:val="24"/>
          <w:highlight w:val="none"/>
        </w:rPr>
      </w:pPr>
    </w:p>
    <w:p w14:paraId="705880C4">
      <w:pPr>
        <w:widowControl/>
        <w:spacing w:before="4" w:line="360" w:lineRule="auto"/>
        <w:rPr>
          <w:rFonts w:hint="eastAsia" w:ascii="宋体" w:hAnsi="宋体" w:cs="宋体"/>
          <w:bCs/>
          <w:color w:val="auto"/>
          <w:sz w:val="24"/>
          <w:highlight w:val="none"/>
        </w:rPr>
      </w:pPr>
    </w:p>
    <w:p w14:paraId="699CBF92">
      <w:pPr>
        <w:widowControl/>
        <w:spacing w:before="4" w:line="360" w:lineRule="auto"/>
        <w:rPr>
          <w:rFonts w:hint="eastAsia" w:ascii="宋体" w:hAnsi="宋体" w:cs="宋体"/>
          <w:bCs/>
          <w:color w:val="auto"/>
          <w:sz w:val="24"/>
          <w:highlight w:val="none"/>
        </w:rPr>
      </w:pPr>
    </w:p>
    <w:p w14:paraId="363DFA9D">
      <w:pPr>
        <w:widowControl/>
        <w:spacing w:before="4" w:line="360" w:lineRule="auto"/>
        <w:rPr>
          <w:rFonts w:hint="eastAsia" w:ascii="宋体" w:hAnsi="宋体" w:cs="宋体"/>
          <w:bCs/>
          <w:color w:val="auto"/>
          <w:sz w:val="24"/>
          <w:highlight w:val="none"/>
        </w:rPr>
      </w:pPr>
    </w:p>
    <w:p w14:paraId="5BD3A06B">
      <w:pPr>
        <w:widowControl/>
        <w:spacing w:before="4" w:line="360" w:lineRule="auto"/>
        <w:rPr>
          <w:rFonts w:hint="eastAsia" w:ascii="宋体" w:hAnsi="宋体" w:cs="宋体"/>
          <w:bCs/>
          <w:color w:val="auto"/>
          <w:sz w:val="24"/>
          <w:highlight w:val="none"/>
        </w:rPr>
      </w:pPr>
    </w:p>
    <w:p w14:paraId="7948079E">
      <w:pPr>
        <w:widowControl/>
        <w:spacing w:before="4" w:line="360" w:lineRule="auto"/>
        <w:rPr>
          <w:rFonts w:hint="eastAsia" w:ascii="宋体" w:hAnsi="宋体" w:cs="宋体"/>
          <w:bCs/>
          <w:color w:val="auto"/>
          <w:sz w:val="24"/>
          <w:highlight w:val="none"/>
        </w:rPr>
      </w:pPr>
    </w:p>
    <w:p w14:paraId="2A126463">
      <w:pPr>
        <w:widowControl/>
        <w:spacing w:before="4" w:line="360" w:lineRule="auto"/>
        <w:rPr>
          <w:rFonts w:hint="eastAsia" w:ascii="宋体" w:hAnsi="宋体" w:cs="宋体"/>
          <w:bCs/>
          <w:color w:val="auto"/>
          <w:sz w:val="24"/>
          <w:highlight w:val="none"/>
        </w:rPr>
      </w:pPr>
    </w:p>
    <w:p w14:paraId="5637BBD7">
      <w:pPr>
        <w:widowControl/>
        <w:spacing w:before="4" w:line="360" w:lineRule="auto"/>
        <w:rPr>
          <w:rFonts w:hint="eastAsia" w:ascii="宋体" w:hAnsi="宋体" w:cs="宋体"/>
          <w:bCs/>
          <w:color w:val="auto"/>
          <w:sz w:val="24"/>
          <w:highlight w:val="none"/>
        </w:rPr>
      </w:pPr>
    </w:p>
    <w:p w14:paraId="1616001C">
      <w:pPr>
        <w:spacing w:line="400" w:lineRule="exact"/>
        <w:jc w:val="center"/>
        <w:rPr>
          <w:rFonts w:hint="eastAsia" w:ascii="宋体" w:hAnsi="宋体" w:cs="宋体"/>
          <w:bCs/>
          <w:color w:val="auto"/>
          <w:sz w:val="24"/>
          <w:highlight w:val="none"/>
        </w:rPr>
      </w:pPr>
      <w:r>
        <w:rPr>
          <w:rFonts w:hint="eastAsia" w:ascii="宋体" w:hAnsi="宋体" w:cs="宋体"/>
          <w:bCs/>
          <w:color w:val="auto"/>
          <w:sz w:val="24"/>
          <w:highlight w:val="none"/>
        </w:rPr>
        <w:t>（</w:t>
      </w:r>
      <w:r>
        <w:rPr>
          <w:rFonts w:hint="eastAsia" w:ascii="宋体" w:hAnsi="宋体" w:cs="宋体"/>
          <w:bCs/>
          <w:color w:val="auto"/>
          <w:sz w:val="24"/>
          <w:highlight w:val="none"/>
          <w:lang w:eastAsia="zh-CN"/>
        </w:rPr>
        <w:t>九</w:t>
      </w:r>
      <w:r>
        <w:rPr>
          <w:rFonts w:hint="eastAsia" w:ascii="宋体" w:hAnsi="宋体" w:cs="宋体"/>
          <w:bCs/>
          <w:color w:val="auto"/>
          <w:sz w:val="24"/>
          <w:highlight w:val="none"/>
        </w:rPr>
        <w:t>）残疾人福利性单位声明函</w:t>
      </w:r>
    </w:p>
    <w:p w14:paraId="6AEA0D3D">
      <w:pPr>
        <w:spacing w:line="480" w:lineRule="auto"/>
        <w:ind w:firstLine="504"/>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p>
    <w:p w14:paraId="6FBF176B">
      <w:pPr>
        <w:spacing w:line="480" w:lineRule="auto"/>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本单位对上述声明的真实性负责。如有虚假，将依法承担相应责任。</w:t>
      </w:r>
    </w:p>
    <w:p w14:paraId="67837710">
      <w:pPr>
        <w:spacing w:line="480" w:lineRule="auto"/>
        <w:rPr>
          <w:rFonts w:hint="eastAsia" w:ascii="宋体" w:hAnsi="宋体" w:cs="宋体"/>
          <w:bCs/>
          <w:color w:val="auto"/>
          <w:spacing w:val="6"/>
          <w:sz w:val="24"/>
          <w:highlight w:val="none"/>
        </w:rPr>
      </w:pPr>
    </w:p>
    <w:p w14:paraId="7C28CA0E">
      <w:pPr>
        <w:spacing w:line="480" w:lineRule="auto"/>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                  企业名称（盖章）：</w:t>
      </w:r>
    </w:p>
    <w:p w14:paraId="72BB038F">
      <w:pPr>
        <w:spacing w:line="480" w:lineRule="auto"/>
        <w:rPr>
          <w:rFonts w:hint="eastAsia" w:ascii="宋体" w:hAnsi="宋体" w:cs="宋体"/>
          <w:bCs/>
          <w:color w:val="auto"/>
          <w:spacing w:val="6"/>
          <w:sz w:val="24"/>
          <w:highlight w:val="none"/>
        </w:rPr>
      </w:pPr>
      <w:r>
        <w:rPr>
          <w:rFonts w:hint="eastAsia" w:ascii="宋体" w:hAnsi="宋体" w:cs="宋体"/>
          <w:bCs/>
          <w:color w:val="auto"/>
          <w:spacing w:val="6"/>
          <w:sz w:val="24"/>
          <w:highlight w:val="none"/>
        </w:rPr>
        <w:t xml:space="preserve">                                日     期： </w:t>
      </w:r>
    </w:p>
    <w:sectPr>
      <w:pgSz w:w="11906" w:h="16838"/>
      <w:pgMar w:top="1440" w:right="1440" w:bottom="1440" w:left="128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D63296BE-B017-44B6-AA64-3CDA1D30076F}"/>
  </w:font>
  <w:font w:name="黑体">
    <w:panose1 w:val="02010609060101010101"/>
    <w:charset w:val="86"/>
    <w:family w:val="auto"/>
    <w:pitch w:val="default"/>
    <w:sig w:usb0="800002BF" w:usb1="38CF7CFA" w:usb2="00000016" w:usb3="00000000" w:csb0="00040001" w:csb1="00000000"/>
    <w:embedRegular r:id="rId2" w:fontKey="{5CF9DF72-59B0-4075-82B7-DFDC634ACE0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embedRegular r:id="rId3" w:fontKey="{5FE29A0F-9C9C-4E77-9837-BA74A1115EB5}"/>
  </w:font>
  <w:font w:name="Calibri">
    <w:panose1 w:val="020F0502020204030204"/>
    <w:charset w:val="00"/>
    <w:family w:val="swiss"/>
    <w:pitch w:val="default"/>
    <w:sig w:usb0="E10002FF" w:usb1="4000ACFF" w:usb2="00000009"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4" w:fontKey="{68F17853-FF16-4B06-8884-98D4B7FDCDFF}"/>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Cambria">
    <w:panose1 w:val="02040503050406030204"/>
    <w:charset w:val="00"/>
    <w:family w:val="auto"/>
    <w:pitch w:val="default"/>
    <w:sig w:usb0="E00002FF" w:usb1="400004FF" w:usb2="00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embedRegular r:id="rId5" w:fontKey="{609F3DAC-6256-4B78-9BB2-CCA5B814DA9A}"/>
  </w:font>
  <w:font w:name="隶书">
    <w:altName w:val="微软雅黑"/>
    <w:panose1 w:val="02010509060101010101"/>
    <w:charset w:val="86"/>
    <w:family w:val="auto"/>
    <w:pitch w:val="default"/>
    <w:sig w:usb0="00000000" w:usb1="00000000" w:usb2="00000000" w:usb3="00000000" w:csb0="00040000" w:csb1="00000000"/>
  </w:font>
  <w:font w:name="Times New Roman PSMT">
    <w:altName w:val="Times New Roman"/>
    <w:panose1 w:val="020206030504050203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Verdana">
    <w:panose1 w:val="020B0604030504040204"/>
    <w:charset w:val="00"/>
    <w:family w:val="auto"/>
    <w:pitch w:val="default"/>
    <w:sig w:usb0="A10006FF" w:usb1="4000205B" w:usb2="00000010" w:usb3="00000000" w:csb0="2000019F" w:csb1="00000000"/>
  </w:font>
  <w:font w:name="文鼎CS中宋">
    <w:altName w:val="宋体"/>
    <w:panose1 w:val="020B0503020202020204"/>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6" w:fontKey="{F1102D2F-245B-479E-B1B4-B46FE0C597AD}"/>
  </w:font>
  <w:font w:name="方正小标宋简体">
    <w:altName w:val="黑体"/>
    <w:panose1 w:val="02010601030101010101"/>
    <w:charset w:val="86"/>
    <w:family w:val="auto"/>
    <w:pitch w:val="default"/>
    <w:sig w:usb0="00000000" w:usb1="00000000" w:usb2="00000000" w:usb3="00000000" w:csb0="00040000" w:csb1="00000000"/>
    <w:embedRegular r:id="rId7" w:fontKey="{2869EF66-0F0B-494F-BFB2-026CE94A6C0F}"/>
  </w:font>
  <w:font w:name="inherit">
    <w:altName w:val="DejaVu Math TeX Gyre"/>
    <w:panose1 w:val="020B0503020202020204"/>
    <w:charset w:val="00"/>
    <w:family w:val="auto"/>
    <w:pitch w:val="default"/>
    <w:sig w:usb0="00000000" w:usb1="00000000" w:usb2="00000000" w:usb3="00000000" w:csb0="00000000" w:csb1="00000000"/>
    <w:embedRegular r:id="rId8" w:fontKey="{B0AE4771-7D74-460B-ABF2-F6B10BD59CEE}"/>
  </w:font>
  <w:font w:name="WPSEMBED2">
    <w:panose1 w:val="02010600040101010101"/>
    <w:charset w:val="86"/>
    <w:family w:val="auto"/>
    <w:pitch w:val="default"/>
    <w:sig w:usb0="00000287" w:usb1="080F0000" w:usb2="00000000" w:usb3="00000000" w:csb0="0004009F" w:csb1="DFD70000"/>
  </w:font>
  <w:font w:name="WPSEMBED1">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280D5">
    <w:pPr>
      <w:pStyle w:val="240"/>
      <w:jc w:val="center"/>
    </w:pPr>
    <w:r>
      <w:rPr>
        <w:rStyle w:val="274"/>
        <w:szCs w:val="21"/>
      </w:rPr>
      <w:t xml:space="preserve">- </w:t>
    </w:r>
    <w:r>
      <w:rPr>
        <w:szCs w:val="21"/>
      </w:rPr>
      <w:fldChar w:fldCharType="begin"/>
    </w:r>
    <w:r>
      <w:rPr>
        <w:rStyle w:val="274"/>
        <w:szCs w:val="21"/>
      </w:rPr>
      <w:instrText xml:space="preserve"> PAGE </w:instrText>
    </w:r>
    <w:r>
      <w:rPr>
        <w:szCs w:val="21"/>
      </w:rPr>
      <w:fldChar w:fldCharType="separate"/>
    </w:r>
    <w:r>
      <w:rPr>
        <w:rStyle w:val="274"/>
        <w:szCs w:val="21"/>
      </w:rPr>
      <w:t>22</w:t>
    </w:r>
    <w:r>
      <w:rPr>
        <w:szCs w:val="21"/>
      </w:rPr>
      <w:fldChar w:fldCharType="end"/>
    </w:r>
    <w:r>
      <w:rPr>
        <w:rStyle w:val="274"/>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F6674C">
    <w:pPr>
      <w:pStyle w:val="240"/>
      <w:framePr w:wrap="around" w:vAnchor="text" w:hAnchor="margin" w:xAlign="center" w:y="1"/>
      <w:rPr>
        <w:rStyle w:val="274"/>
      </w:rPr>
    </w:pPr>
    <w:r>
      <w:fldChar w:fldCharType="begin"/>
    </w:r>
    <w:r>
      <w:rPr>
        <w:rStyle w:val="274"/>
      </w:rPr>
      <w:instrText xml:space="preserve">PAGE  </w:instrText>
    </w:r>
    <w:r>
      <w:fldChar w:fldCharType="separate"/>
    </w:r>
    <w:r>
      <w:fldChar w:fldCharType="end"/>
    </w:r>
  </w:p>
  <w:p w14:paraId="4BB8C3FB">
    <w:pPr>
      <w:pStyle w:val="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6F875">
    <w:pPr>
      <w:pStyle w:val="240"/>
      <w:jc w:val="center"/>
    </w:pPr>
    <w:r>
      <w:rPr>
        <w:rFonts w:hint="eastAsia"/>
      </w:rPr>
      <w:t>-</w:t>
    </w:r>
    <w:r>
      <w:fldChar w:fldCharType="begin"/>
    </w:r>
    <w:r>
      <w:instrText xml:space="preserve">PAGE   \* MERGEFORMAT</w:instrText>
    </w:r>
    <w:r>
      <w:fldChar w:fldCharType="separate"/>
    </w:r>
    <w:r>
      <w:rPr>
        <w:lang w:val="zh-CN"/>
      </w:rPr>
      <w:t>23</w:t>
    </w:r>
    <w:r>
      <w:fldChar w:fldCharType="end"/>
    </w:r>
    <w:r>
      <w:rPr>
        <w:rFonts w:hint="eastAsia"/>
      </w:rPr>
      <w:t>-</w:t>
    </w:r>
  </w:p>
  <w:p w14:paraId="56170A81">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7F3BDA">
    <w:pPr>
      <w:spacing w:line="360" w:lineRule="auto"/>
      <w:rPr>
        <w:rFonts w:hint="eastAsia"/>
        <w:sz w:val="18"/>
        <w:szCs w:val="18"/>
        <w:u w:val="single"/>
      </w:rPr>
    </w:pPr>
    <w:r>
      <w:rPr>
        <w:rFonts w:hint="eastAsia"/>
        <w:sz w:val="18"/>
        <w:szCs w:val="18"/>
        <w:u w:val="single"/>
      </w:rPr>
      <w:t xml:space="preserve">                        </w:t>
    </w:r>
    <w:r>
      <w:rPr>
        <w:rFonts w:hint="eastAsia"/>
        <w:u w:val="single"/>
      </w:rPr>
      <w:t xml:space="preserve">                  </w:t>
    </w:r>
    <w:r>
      <w:rPr>
        <w:rFonts w:hint="eastAsia"/>
        <w:sz w:val="18"/>
        <w:szCs w:val="18"/>
        <w:u w:val="single"/>
      </w:rPr>
      <w:t xml:space="preserve">    </w:t>
    </w:r>
    <w:r>
      <w:rPr>
        <w:rFonts w:hint="eastAsia"/>
        <w:sz w:val="18"/>
        <w:szCs w:val="18"/>
        <w:u w:val="single"/>
        <w:lang w:eastAsia="zh-CN"/>
      </w:rPr>
      <w:t>2026年新吴区疾控中心检验检测设备采购项目</w:t>
    </w:r>
    <w:r>
      <w:rPr>
        <w:rFonts w:hint="eastAsia"/>
        <w:sz w:val="18"/>
        <w:szCs w:val="18"/>
        <w:u w:val="single"/>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315"/>
        </w:tabs>
        <w:ind w:left="315" w:hanging="315"/>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3"/>
      <w:numFmt w:val="decimal"/>
      <w:lvlText w:val="%1"/>
      <w:lvlJc w:val="left"/>
      <w:pPr>
        <w:ind w:left="360" w:hanging="360"/>
      </w:pPr>
    </w:lvl>
    <w:lvl w:ilvl="1" w:tentative="0">
      <w:start w:val="1"/>
      <w:numFmt w:val="decimal"/>
      <w:pStyle w:val="387"/>
      <w:lvlText w:val="%1.%2"/>
      <w:lvlJc w:val="left"/>
      <w:pPr>
        <w:ind w:left="644" w:hanging="360"/>
      </w:pPr>
      <w:rPr>
        <w:rFonts w:ascii="Times New Roman" w:hAnsi="Times New Roman" w:cs="Times New Roman"/>
        <w:b w:val="0"/>
      </w:rPr>
    </w:lvl>
    <w:lvl w:ilvl="2" w:tentative="0">
      <w:start w:val="1"/>
      <w:numFmt w:val="decimal"/>
      <w:pStyle w:val="353"/>
      <w:lvlText w:val="%1.%2.%3"/>
      <w:lvlJc w:val="left"/>
      <w:pPr>
        <w:ind w:left="720" w:hanging="720"/>
      </w:pPr>
      <w:rPr>
        <w:b w:val="0"/>
      </w:r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080" w:hanging="1080"/>
      </w:pPr>
    </w:lvl>
    <w:lvl w:ilvl="7" w:tentative="0">
      <w:start w:val="1"/>
      <w:numFmt w:val="decimal"/>
      <w:lvlText w:val="%1.%2.%3.%4.%5.%6.%7.%8"/>
      <w:lvlJc w:val="left"/>
      <w:pPr>
        <w:ind w:left="1440" w:hanging="1440"/>
      </w:pPr>
    </w:lvl>
    <w:lvl w:ilvl="8" w:tentative="0">
      <w:start w:val="1"/>
      <w:numFmt w:val="decimal"/>
      <w:lvlText w:val="%1.%2.%3.%4.%5.%6.%7.%8.%9"/>
      <w:lvlJc w:val="left"/>
      <w:pPr>
        <w:ind w:left="1440" w:hanging="1440"/>
      </w:pPr>
    </w:lvl>
  </w:abstractNum>
  <w:abstractNum w:abstractNumId="3">
    <w:nsid w:val="CF092B84"/>
    <w:multiLevelType w:val="multilevel"/>
    <w:tmpl w:val="CF092B84"/>
    <w:lvl w:ilvl="0" w:tentative="0">
      <w:start w:val="1"/>
      <w:numFmt w:val="lowerLetter"/>
      <w:pStyle w:val="393"/>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4">
    <w:nsid w:val="0053208E"/>
    <w:multiLevelType w:val="multilevel"/>
    <w:tmpl w:val="0053208E"/>
    <w:lvl w:ilvl="0" w:tentative="0">
      <w:start w:val="1"/>
      <w:numFmt w:val="chineseCountingThousand"/>
      <w:pStyle w:val="36"/>
      <w:lvlText w:val="第%1部分"/>
      <w:lvlJc w:val="left"/>
      <w:pPr>
        <w:tabs>
          <w:tab w:val="left" w:pos="1800"/>
        </w:tabs>
        <w:ind w:left="425" w:hanging="425"/>
      </w:pPr>
      <w:rPr>
        <w:rFonts w:hint="eastAsia"/>
      </w:rPr>
    </w:lvl>
    <w:lvl w:ilvl="1" w:tentative="0">
      <w:start w:val="1"/>
      <w:numFmt w:val="decimal"/>
      <w:pStyle w:val="184"/>
      <w:lvlText w:val="%1.%2"/>
      <w:lvlJc w:val="left"/>
      <w:pPr>
        <w:tabs>
          <w:tab w:val="left" w:pos="567"/>
        </w:tabs>
        <w:ind w:left="567" w:hanging="567"/>
      </w:pPr>
      <w:rPr>
        <w:rFonts w:hint="eastAsia"/>
      </w:rPr>
    </w:lvl>
    <w:lvl w:ilvl="2" w:tentative="0">
      <w:start w:val="1"/>
      <w:numFmt w:val="decimal"/>
      <w:pStyle w:val="436"/>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186"/>
      <w:lvlText w:val="%1.%2.%3.%4.%5"/>
      <w:lvlJc w:val="left"/>
      <w:pPr>
        <w:tabs>
          <w:tab w:val="left" w:pos="1080"/>
        </w:tabs>
        <w:ind w:left="992" w:hanging="992"/>
      </w:pPr>
      <w:rPr>
        <w:rFonts w:hint="eastAsia"/>
      </w:rPr>
    </w:lvl>
    <w:lvl w:ilvl="5" w:tentative="0">
      <w:start w:val="1"/>
      <w:numFmt w:val="decimal"/>
      <w:pStyle w:val="187"/>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248C179"/>
    <w:multiLevelType w:val="multilevel"/>
    <w:tmpl w:val="0248C179"/>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3D62ECE"/>
    <w:multiLevelType w:val="multilevel"/>
    <w:tmpl w:val="03D62EC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5B654F3"/>
    <w:multiLevelType w:val="multilevel"/>
    <w:tmpl w:val="25B654F3"/>
    <w:lvl w:ilvl="0" w:tentative="0">
      <w:start w:val="1"/>
      <w:numFmt w:val="japaneseCounting"/>
      <w:lvlText w:val="（%1）"/>
      <w:lvlJc w:val="left"/>
      <w:pPr>
        <w:tabs>
          <w:tab w:val="left" w:pos="1080"/>
        </w:tabs>
        <w:ind w:left="1080" w:hanging="1080"/>
      </w:pPr>
      <w:rPr>
        <w:rFonts w:cs="Times New Roman"/>
      </w:rPr>
    </w:lvl>
    <w:lvl w:ilvl="1" w:tentative="0">
      <w:start w:val="1"/>
      <w:numFmt w:val="decimal"/>
      <w:lvlText w:val="%2."/>
      <w:lvlJc w:val="left"/>
      <w:pPr>
        <w:tabs>
          <w:tab w:val="left" w:pos="780"/>
        </w:tabs>
        <w:ind w:left="780" w:hanging="360"/>
      </w:pPr>
      <w:rPr>
        <w:rFonts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59ADCABA"/>
    <w:multiLevelType w:val="multilevel"/>
    <w:tmpl w:val="59ADCABA"/>
    <w:lvl w:ilvl="0" w:tentative="0">
      <w:start w:val="0"/>
      <w:numFmt w:val="decimal"/>
      <w:pStyle w:val="396"/>
      <w:lvlText w:val=""/>
      <w:lvlJc w:val="left"/>
      <w:pPr>
        <w:tabs>
          <w:tab w:val="left" w:pos="360"/>
        </w:tabs>
      </w:pPr>
    </w:lvl>
    <w:lvl w:ilvl="1" w:tentative="0">
      <w:start w:val="1"/>
      <w:numFmt w:val="bullet"/>
      <w:pStyle w:val="385"/>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2183CF9"/>
    <w:multiLevelType w:val="multilevel"/>
    <w:tmpl w:val="72183CF9"/>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5568C"/>
    <w:rsid w:val="009E6A44"/>
    <w:rsid w:val="014B7C8C"/>
    <w:rsid w:val="0179546C"/>
    <w:rsid w:val="019B1886"/>
    <w:rsid w:val="032D29B2"/>
    <w:rsid w:val="03EF3054"/>
    <w:rsid w:val="044E1748"/>
    <w:rsid w:val="05CB22BB"/>
    <w:rsid w:val="06B22DB6"/>
    <w:rsid w:val="07450F80"/>
    <w:rsid w:val="07AC06CE"/>
    <w:rsid w:val="08144141"/>
    <w:rsid w:val="08E43B13"/>
    <w:rsid w:val="09746495"/>
    <w:rsid w:val="0E470868"/>
    <w:rsid w:val="0E576B35"/>
    <w:rsid w:val="0E903981"/>
    <w:rsid w:val="0EB83A78"/>
    <w:rsid w:val="0EB86442"/>
    <w:rsid w:val="0F1263B3"/>
    <w:rsid w:val="0FC71A98"/>
    <w:rsid w:val="106519DD"/>
    <w:rsid w:val="119B2DB4"/>
    <w:rsid w:val="125A6BF4"/>
    <w:rsid w:val="126A32DB"/>
    <w:rsid w:val="127952CC"/>
    <w:rsid w:val="13F50E66"/>
    <w:rsid w:val="13FC61B5"/>
    <w:rsid w:val="14647DD5"/>
    <w:rsid w:val="15653949"/>
    <w:rsid w:val="15C50828"/>
    <w:rsid w:val="168D3A3C"/>
    <w:rsid w:val="17076D19"/>
    <w:rsid w:val="18562BF8"/>
    <w:rsid w:val="18BC088E"/>
    <w:rsid w:val="19575C3B"/>
    <w:rsid w:val="1C9A2088"/>
    <w:rsid w:val="1D84721B"/>
    <w:rsid w:val="1D951428"/>
    <w:rsid w:val="1DD7559C"/>
    <w:rsid w:val="1EAA5C4D"/>
    <w:rsid w:val="1EE81A0E"/>
    <w:rsid w:val="1EFF2FFD"/>
    <w:rsid w:val="1F996FAD"/>
    <w:rsid w:val="203A744D"/>
    <w:rsid w:val="21CB18BC"/>
    <w:rsid w:val="233A2855"/>
    <w:rsid w:val="23775858"/>
    <w:rsid w:val="23FC5D5D"/>
    <w:rsid w:val="25311A36"/>
    <w:rsid w:val="2624159B"/>
    <w:rsid w:val="26B61130"/>
    <w:rsid w:val="27766813"/>
    <w:rsid w:val="28497537"/>
    <w:rsid w:val="288527C5"/>
    <w:rsid w:val="28A864B3"/>
    <w:rsid w:val="2A201958"/>
    <w:rsid w:val="2A5D507B"/>
    <w:rsid w:val="2A6D3510"/>
    <w:rsid w:val="2ACA0963"/>
    <w:rsid w:val="2BF9406A"/>
    <w:rsid w:val="2C5324EA"/>
    <w:rsid w:val="2C755463"/>
    <w:rsid w:val="2C954B7F"/>
    <w:rsid w:val="2E24482E"/>
    <w:rsid w:val="2E565510"/>
    <w:rsid w:val="2F9257C7"/>
    <w:rsid w:val="2FBE036A"/>
    <w:rsid w:val="30875B6C"/>
    <w:rsid w:val="308A47E2"/>
    <w:rsid w:val="30BA3228"/>
    <w:rsid w:val="30C85944"/>
    <w:rsid w:val="313F64AB"/>
    <w:rsid w:val="32786EF6"/>
    <w:rsid w:val="33355846"/>
    <w:rsid w:val="33AA2C70"/>
    <w:rsid w:val="33C37CFF"/>
    <w:rsid w:val="342A3817"/>
    <w:rsid w:val="349B6ECC"/>
    <w:rsid w:val="34A47DA7"/>
    <w:rsid w:val="350902DA"/>
    <w:rsid w:val="367573BE"/>
    <w:rsid w:val="37590D17"/>
    <w:rsid w:val="37FE7E9E"/>
    <w:rsid w:val="39C57900"/>
    <w:rsid w:val="39E44E71"/>
    <w:rsid w:val="3A5A5133"/>
    <w:rsid w:val="3A8B526A"/>
    <w:rsid w:val="3B1B329B"/>
    <w:rsid w:val="3EEC20FA"/>
    <w:rsid w:val="3F4C7741"/>
    <w:rsid w:val="400B1FA5"/>
    <w:rsid w:val="40445934"/>
    <w:rsid w:val="4080278D"/>
    <w:rsid w:val="40A84193"/>
    <w:rsid w:val="411A0A6F"/>
    <w:rsid w:val="41A25D3E"/>
    <w:rsid w:val="41A73354"/>
    <w:rsid w:val="41DD0B24"/>
    <w:rsid w:val="429A6A15"/>
    <w:rsid w:val="43CD4BC8"/>
    <w:rsid w:val="440B48F8"/>
    <w:rsid w:val="441E4BDC"/>
    <w:rsid w:val="445175A7"/>
    <w:rsid w:val="462C68A2"/>
    <w:rsid w:val="46FA13A3"/>
    <w:rsid w:val="470434E4"/>
    <w:rsid w:val="47BC2D40"/>
    <w:rsid w:val="47D209FF"/>
    <w:rsid w:val="48345216"/>
    <w:rsid w:val="483A0DD5"/>
    <w:rsid w:val="48B02852"/>
    <w:rsid w:val="48CC18F2"/>
    <w:rsid w:val="490E5A67"/>
    <w:rsid w:val="49957F36"/>
    <w:rsid w:val="49C8030C"/>
    <w:rsid w:val="4A6C6EE9"/>
    <w:rsid w:val="4AF018C8"/>
    <w:rsid w:val="4B0E61F2"/>
    <w:rsid w:val="4CF237DA"/>
    <w:rsid w:val="4ECD1F20"/>
    <w:rsid w:val="4EF83441"/>
    <w:rsid w:val="50110907"/>
    <w:rsid w:val="52416EAD"/>
    <w:rsid w:val="52642B9B"/>
    <w:rsid w:val="53310CD0"/>
    <w:rsid w:val="554D549C"/>
    <w:rsid w:val="555A48B0"/>
    <w:rsid w:val="5563713A"/>
    <w:rsid w:val="56066443"/>
    <w:rsid w:val="561623FF"/>
    <w:rsid w:val="56424FA2"/>
    <w:rsid w:val="57F624E8"/>
    <w:rsid w:val="59205A6E"/>
    <w:rsid w:val="598C4331"/>
    <w:rsid w:val="5BEF690A"/>
    <w:rsid w:val="5BFF63FF"/>
    <w:rsid w:val="5F5244A8"/>
    <w:rsid w:val="60EC6236"/>
    <w:rsid w:val="634E49C4"/>
    <w:rsid w:val="63C94F54"/>
    <w:rsid w:val="64840B78"/>
    <w:rsid w:val="652A1A23"/>
    <w:rsid w:val="65705687"/>
    <w:rsid w:val="65895087"/>
    <w:rsid w:val="66900307"/>
    <w:rsid w:val="67580AC9"/>
    <w:rsid w:val="69B01BC2"/>
    <w:rsid w:val="69F95045"/>
    <w:rsid w:val="6BD5099E"/>
    <w:rsid w:val="6E376F24"/>
    <w:rsid w:val="6E587EF0"/>
    <w:rsid w:val="70983CE4"/>
    <w:rsid w:val="70F353BF"/>
    <w:rsid w:val="71972D4F"/>
    <w:rsid w:val="72213E66"/>
    <w:rsid w:val="73740A39"/>
    <w:rsid w:val="738474BF"/>
    <w:rsid w:val="749F3F6B"/>
    <w:rsid w:val="752477A4"/>
    <w:rsid w:val="7746449A"/>
    <w:rsid w:val="78D930EC"/>
    <w:rsid w:val="79924C46"/>
    <w:rsid w:val="7D0D233E"/>
    <w:rsid w:val="7D5A4208"/>
    <w:rsid w:val="7E244E09"/>
    <w:rsid w:val="7F030EC3"/>
    <w:rsid w:val="7F9D5CC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7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2"/>
    <w:semiHidden/>
    <w:unhideWhenUsed/>
    <w:qFormat/>
    <w:uiPriority w:val="99"/>
    <w:pPr>
      <w:spacing w:after="0" w:line="240" w:lineRule="auto"/>
    </w:pPr>
    <w:rPr>
      <w:sz w:val="20"/>
    </w:rPr>
  </w:style>
  <w:style w:type="paragraph" w:styleId="17">
    <w:name w:val="footer"/>
    <w:basedOn w:val="1"/>
    <w:link w:val="55"/>
    <w:unhideWhenUsed/>
    <w:qFormat/>
    <w:uiPriority w:val="99"/>
    <w:pPr>
      <w:tabs>
        <w:tab w:val="center" w:pos="7143"/>
        <w:tab w:val="right" w:pos="14287"/>
      </w:tabs>
      <w:spacing w:after="0" w:line="240" w:lineRule="auto"/>
    </w:pPr>
  </w:style>
  <w:style w:type="paragraph" w:styleId="18">
    <w:name w:val="header"/>
    <w:basedOn w:val="1"/>
    <w:link w:val="53"/>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8"/>
    <w:qFormat/>
    <w:uiPriority w:val="11"/>
    <w:pPr>
      <w:spacing w:before="200" w:after="200"/>
    </w:pPr>
    <w:rPr>
      <w:sz w:val="24"/>
      <w:szCs w:val="24"/>
    </w:rPr>
  </w:style>
  <w:style w:type="paragraph" w:styleId="22">
    <w:name w:val="footnote text"/>
    <w:basedOn w:val="1"/>
    <w:link w:val="181"/>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Normal (Web)"/>
    <w:basedOn w:val="1"/>
    <w:qFormat/>
    <w:uiPriority w:val="0"/>
    <w:pPr>
      <w:widowControl/>
      <w:jc w:val="left"/>
    </w:pPr>
    <w:rPr>
      <w:rFonts w:ascii="宋体" w:hAnsi="宋体" w:cs="宋体"/>
      <w:sz w:val="24"/>
      <w:szCs w:val="24"/>
    </w:rPr>
  </w:style>
  <w:style w:type="paragraph" w:styleId="28">
    <w:name w:val="Title"/>
    <w:basedOn w:val="1"/>
    <w:next w:val="1"/>
    <w:link w:val="47"/>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标题 1 字符"/>
    <w:link w:val="36"/>
    <w:qFormat/>
    <w:uiPriority w:val="0"/>
    <w:rPr>
      <w:rFonts w:ascii="黑体" w:eastAsia="黑体"/>
      <w:b/>
      <w:bCs/>
      <w:sz w:val="44"/>
      <w:szCs w:val="44"/>
    </w:rPr>
  </w:style>
  <w:style w:type="paragraph" w:customStyle="1" w:styleId="36">
    <w:name w:val="标题 11"/>
    <w:basedOn w:val="1"/>
    <w:next w:val="1"/>
    <w:link w:val="35"/>
    <w:qFormat/>
    <w:uiPriority w:val="0"/>
    <w:pPr>
      <w:keepNext/>
      <w:keepLines/>
      <w:numPr>
        <w:ilvl w:val="0"/>
        <w:numId w:val="1"/>
      </w:numPr>
      <w:spacing w:before="340" w:after="330" w:line="578" w:lineRule="auto"/>
      <w:jc w:val="center"/>
      <w:outlineLvl w:val="0"/>
    </w:pPr>
    <w:rPr>
      <w:rFonts w:ascii="黑体" w:eastAsia="黑体"/>
      <w:b/>
      <w:bCs/>
      <w:sz w:val="44"/>
      <w:szCs w:val="44"/>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qFormat/>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8"/>
    <w:qFormat/>
    <w:uiPriority w:val="10"/>
    <w:rPr>
      <w:sz w:val="48"/>
      <w:szCs w:val="48"/>
    </w:rPr>
  </w:style>
  <w:style w:type="character" w:customStyle="1" w:styleId="48">
    <w:name w:val="Subtitle Char"/>
    <w:link w:val="21"/>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8"/>
    <w:qFormat/>
    <w:uiPriority w:val="99"/>
  </w:style>
  <w:style w:type="character" w:customStyle="1" w:styleId="54">
    <w:name w:val="Footer Char"/>
    <w:link w:val="17"/>
    <w:qFormat/>
    <w:uiPriority w:val="99"/>
  </w:style>
  <w:style w:type="character" w:customStyle="1" w:styleId="55">
    <w:name w:val="Caption Char"/>
    <w:link w:val="17"/>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2"/>
    <w:qFormat/>
    <w:uiPriority w:val="99"/>
    <w:rPr>
      <w:sz w:val="18"/>
    </w:rPr>
  </w:style>
  <w:style w:type="character" w:customStyle="1" w:styleId="182">
    <w:name w:val="Endnote Text Char"/>
    <w:link w:val="16"/>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21"/>
    <w:basedOn w:val="1"/>
    <w:next w:val="1"/>
    <w:link w:val="19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customStyle="1" w:styleId="185">
    <w:name w:val="标题 31"/>
    <w:basedOn w:val="1"/>
    <w:next w:val="1"/>
    <w:link w:val="195"/>
    <w:qFormat/>
    <w:uiPriority w:val="0"/>
    <w:pPr>
      <w:keepNext/>
      <w:keepLines/>
      <w:spacing w:before="260" w:after="260" w:line="416" w:lineRule="auto"/>
      <w:outlineLvl w:val="2"/>
    </w:pPr>
    <w:rPr>
      <w:rFonts w:ascii="黑体" w:eastAsia="黑体"/>
      <w:b/>
      <w:bCs/>
      <w:sz w:val="32"/>
      <w:szCs w:val="32"/>
    </w:rPr>
  </w:style>
  <w:style w:type="paragraph" w:customStyle="1" w:styleId="186">
    <w:name w:val="标题 41"/>
    <w:basedOn w:val="1"/>
    <w:next w:val="1"/>
    <w:link w:val="19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187">
    <w:name w:val="标题 51"/>
    <w:basedOn w:val="1"/>
    <w:next w:val="1"/>
    <w:link w:val="197"/>
    <w:qFormat/>
    <w:uiPriority w:val="0"/>
    <w:pPr>
      <w:keepNext/>
      <w:keepLines/>
      <w:numPr>
        <w:ilvl w:val="5"/>
        <w:numId w:val="1"/>
      </w:numPr>
      <w:spacing w:before="280" w:after="290" w:line="376" w:lineRule="auto"/>
      <w:outlineLvl w:val="4"/>
    </w:pPr>
    <w:rPr>
      <w:rFonts w:ascii="黑体" w:eastAsia="黑体"/>
      <w:b/>
      <w:bCs/>
      <w:sz w:val="28"/>
      <w:szCs w:val="28"/>
    </w:rPr>
  </w:style>
  <w:style w:type="paragraph" w:customStyle="1" w:styleId="188">
    <w:name w:val="标题 61"/>
    <w:basedOn w:val="1"/>
    <w:next w:val="1"/>
    <w:link w:val="19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189">
    <w:name w:val="标题 71"/>
    <w:basedOn w:val="1"/>
    <w:next w:val="1"/>
    <w:link w:val="199"/>
    <w:qFormat/>
    <w:uiPriority w:val="0"/>
    <w:pPr>
      <w:keepNext/>
      <w:keepLines/>
      <w:tabs>
        <w:tab w:val="left" w:pos="1296"/>
      </w:tabs>
      <w:spacing w:before="240" w:after="64" w:line="320" w:lineRule="atLeast"/>
      <w:ind w:left="1296" w:hanging="1296"/>
      <w:outlineLvl w:val="6"/>
    </w:pPr>
    <w:rPr>
      <w:b/>
      <w:sz w:val="24"/>
    </w:rPr>
  </w:style>
  <w:style w:type="paragraph" w:customStyle="1" w:styleId="190">
    <w:name w:val="标题 81"/>
    <w:basedOn w:val="1"/>
    <w:next w:val="1"/>
    <w:link w:val="20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191">
    <w:name w:val="标题 91"/>
    <w:basedOn w:val="1"/>
    <w:next w:val="1"/>
    <w:link w:val="20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192">
    <w:name w:val="默认段落字体1"/>
    <w:link w:val="1"/>
    <w:unhideWhenUsed/>
    <w:qFormat/>
    <w:uiPriority w:val="1"/>
  </w:style>
  <w:style w:type="table" w:customStyle="1" w:styleId="193">
    <w:name w:val="普通表格1"/>
    <w:semiHidden/>
    <w:qFormat/>
    <w:uiPriority w:val="0"/>
  </w:style>
  <w:style w:type="character" w:customStyle="1" w:styleId="194">
    <w:name w:val="标题 2 字符"/>
    <w:link w:val="184"/>
    <w:qFormat/>
    <w:uiPriority w:val="0"/>
    <w:rPr>
      <w:rFonts w:ascii="Arial" w:hAnsi="Arial" w:eastAsia="黑体"/>
      <w:b/>
      <w:bCs/>
      <w:sz w:val="32"/>
      <w:szCs w:val="32"/>
    </w:rPr>
  </w:style>
  <w:style w:type="character" w:customStyle="1" w:styleId="195">
    <w:name w:val="标题 3 字符"/>
    <w:link w:val="185"/>
    <w:qFormat/>
    <w:uiPriority w:val="0"/>
    <w:rPr>
      <w:rFonts w:ascii="黑体" w:eastAsia="黑体"/>
      <w:b/>
      <w:bCs/>
      <w:sz w:val="32"/>
      <w:szCs w:val="32"/>
    </w:rPr>
  </w:style>
  <w:style w:type="character" w:customStyle="1" w:styleId="196">
    <w:name w:val="标题 4 字符"/>
    <w:link w:val="186"/>
    <w:qFormat/>
    <w:uiPriority w:val="0"/>
    <w:rPr>
      <w:rFonts w:ascii="Arial" w:hAnsi="Arial" w:eastAsia="黑体"/>
      <w:b/>
      <w:bCs/>
      <w:sz w:val="28"/>
      <w:szCs w:val="28"/>
    </w:rPr>
  </w:style>
  <w:style w:type="character" w:customStyle="1" w:styleId="197">
    <w:name w:val="标题 5 字符"/>
    <w:link w:val="187"/>
    <w:qFormat/>
    <w:uiPriority w:val="0"/>
    <w:rPr>
      <w:rFonts w:ascii="黑体" w:eastAsia="黑体"/>
      <w:b/>
      <w:bCs/>
      <w:sz w:val="28"/>
      <w:szCs w:val="28"/>
    </w:rPr>
  </w:style>
  <w:style w:type="character" w:customStyle="1" w:styleId="198">
    <w:name w:val="标题 6 字符"/>
    <w:link w:val="188"/>
    <w:qFormat/>
    <w:uiPriority w:val="0"/>
    <w:rPr>
      <w:rFonts w:ascii="Arial" w:hAnsi="Arial" w:eastAsia="黑体"/>
      <w:b/>
      <w:sz w:val="24"/>
      <w:szCs w:val="24"/>
    </w:rPr>
  </w:style>
  <w:style w:type="character" w:customStyle="1" w:styleId="199">
    <w:name w:val="标题 7 字符"/>
    <w:link w:val="189"/>
    <w:qFormat/>
    <w:uiPriority w:val="0"/>
    <w:rPr>
      <w:b/>
      <w:sz w:val="24"/>
      <w:szCs w:val="24"/>
    </w:rPr>
  </w:style>
  <w:style w:type="character" w:customStyle="1" w:styleId="200">
    <w:name w:val="标题 8 字符"/>
    <w:link w:val="190"/>
    <w:qFormat/>
    <w:uiPriority w:val="0"/>
    <w:rPr>
      <w:rFonts w:ascii="Arial" w:hAnsi="Arial" w:eastAsia="黑体"/>
      <w:sz w:val="24"/>
      <w:szCs w:val="24"/>
    </w:rPr>
  </w:style>
  <w:style w:type="character" w:customStyle="1" w:styleId="201">
    <w:name w:val="标题 9 字符"/>
    <w:link w:val="191"/>
    <w:qFormat/>
    <w:uiPriority w:val="0"/>
    <w:rPr>
      <w:rFonts w:ascii="Arial" w:hAnsi="Arial" w:eastAsia="黑体"/>
      <w:sz w:val="21"/>
      <w:szCs w:val="24"/>
    </w:rPr>
  </w:style>
  <w:style w:type="paragraph" w:customStyle="1" w:styleId="202">
    <w:name w:val="目录 71"/>
    <w:basedOn w:val="1"/>
    <w:next w:val="1"/>
    <w:qFormat/>
    <w:uiPriority w:val="39"/>
    <w:pPr>
      <w:spacing w:line="288" w:lineRule="auto"/>
      <w:ind w:left="1260" w:firstLine="420"/>
      <w:jc w:val="left"/>
    </w:pPr>
    <w:rPr>
      <w:sz w:val="18"/>
      <w:szCs w:val="18"/>
    </w:rPr>
  </w:style>
  <w:style w:type="paragraph" w:customStyle="1" w:styleId="203">
    <w:name w:val="索引 81"/>
    <w:basedOn w:val="1"/>
    <w:next w:val="1"/>
    <w:qFormat/>
    <w:uiPriority w:val="0"/>
    <w:pPr>
      <w:ind w:left="1400"/>
    </w:pPr>
    <w:rPr>
      <w:szCs w:val="20"/>
    </w:rPr>
  </w:style>
  <w:style w:type="paragraph" w:customStyle="1" w:styleId="204">
    <w:name w:val="正文缩进11"/>
    <w:basedOn w:val="1"/>
    <w:link w:val="205"/>
    <w:qFormat/>
    <w:uiPriority w:val="0"/>
    <w:pPr>
      <w:widowControl/>
      <w:ind w:firstLine="420"/>
      <w:jc w:val="left"/>
    </w:pPr>
    <w:rPr>
      <w:sz w:val="20"/>
      <w:szCs w:val="20"/>
    </w:rPr>
  </w:style>
  <w:style w:type="character" w:customStyle="1" w:styleId="205">
    <w:name w:val="正文缩进 字符"/>
    <w:link w:val="204"/>
    <w:qFormat/>
    <w:uiPriority w:val="0"/>
  </w:style>
  <w:style w:type="paragraph" w:customStyle="1" w:styleId="206">
    <w:name w:val="题注1"/>
    <w:basedOn w:val="1"/>
    <w:next w:val="1"/>
    <w:qFormat/>
    <w:uiPriority w:val="0"/>
    <w:rPr>
      <w:rFonts w:ascii="Arial" w:hAnsi="Arial" w:eastAsia="黑体" w:cs="Arial"/>
      <w:sz w:val="20"/>
      <w:szCs w:val="20"/>
    </w:rPr>
  </w:style>
  <w:style w:type="paragraph" w:customStyle="1" w:styleId="207">
    <w:name w:val="索引 51"/>
    <w:basedOn w:val="1"/>
    <w:next w:val="1"/>
    <w:qFormat/>
    <w:uiPriority w:val="0"/>
    <w:pPr>
      <w:ind w:left="800"/>
    </w:pPr>
    <w:rPr>
      <w:szCs w:val="20"/>
    </w:rPr>
  </w:style>
  <w:style w:type="paragraph" w:customStyle="1" w:styleId="208">
    <w:name w:val="文档结构图1"/>
    <w:basedOn w:val="1"/>
    <w:link w:val="209"/>
    <w:qFormat/>
    <w:uiPriority w:val="0"/>
    <w:pPr>
      <w:shd w:val="clear" w:color="auto" w:fill="000080"/>
    </w:pPr>
  </w:style>
  <w:style w:type="character" w:customStyle="1" w:styleId="209">
    <w:name w:val="文档结构图 字符"/>
    <w:link w:val="208"/>
    <w:qFormat/>
    <w:uiPriority w:val="0"/>
    <w:rPr>
      <w:sz w:val="21"/>
      <w:szCs w:val="24"/>
      <w:shd w:val="clear" w:color="auto" w:fill="000080"/>
    </w:rPr>
  </w:style>
  <w:style w:type="paragraph" w:customStyle="1" w:styleId="210">
    <w:name w:val="批注文字1"/>
    <w:basedOn w:val="1"/>
    <w:link w:val="211"/>
    <w:qFormat/>
    <w:uiPriority w:val="0"/>
    <w:pPr>
      <w:jc w:val="left"/>
    </w:pPr>
  </w:style>
  <w:style w:type="character" w:customStyle="1" w:styleId="211">
    <w:name w:val="批注文字 字符"/>
    <w:link w:val="210"/>
    <w:qFormat/>
    <w:uiPriority w:val="0"/>
    <w:rPr>
      <w:sz w:val="21"/>
      <w:szCs w:val="24"/>
    </w:rPr>
  </w:style>
  <w:style w:type="paragraph" w:customStyle="1" w:styleId="212">
    <w:name w:val="索引 61"/>
    <w:basedOn w:val="1"/>
    <w:next w:val="1"/>
    <w:qFormat/>
    <w:uiPriority w:val="0"/>
    <w:pPr>
      <w:ind w:left="1000"/>
    </w:pPr>
    <w:rPr>
      <w:szCs w:val="20"/>
    </w:rPr>
  </w:style>
  <w:style w:type="paragraph" w:customStyle="1" w:styleId="213">
    <w:name w:val="称呼1"/>
    <w:basedOn w:val="1"/>
    <w:next w:val="1"/>
    <w:link w:val="214"/>
    <w:qFormat/>
    <w:uiPriority w:val="0"/>
    <w:pPr>
      <w:spacing w:after="20" w:line="288" w:lineRule="auto"/>
      <w:ind w:firstLine="420"/>
    </w:pPr>
    <w:rPr>
      <w:sz w:val="28"/>
    </w:rPr>
  </w:style>
  <w:style w:type="character" w:customStyle="1" w:styleId="214">
    <w:name w:val="称呼 字符"/>
    <w:link w:val="213"/>
    <w:qFormat/>
    <w:uiPriority w:val="0"/>
    <w:rPr>
      <w:sz w:val="28"/>
      <w:szCs w:val="24"/>
    </w:rPr>
  </w:style>
  <w:style w:type="paragraph" w:customStyle="1" w:styleId="215">
    <w:name w:val="正文文本 31"/>
    <w:basedOn w:val="1"/>
    <w:link w:val="216"/>
    <w:qFormat/>
    <w:uiPriority w:val="0"/>
    <w:pPr>
      <w:spacing w:after="20" w:line="288" w:lineRule="auto"/>
      <w:jc w:val="center"/>
    </w:pPr>
    <w:rPr>
      <w:b/>
      <w:bCs/>
      <w:sz w:val="24"/>
    </w:rPr>
  </w:style>
  <w:style w:type="character" w:customStyle="1" w:styleId="216">
    <w:name w:val="正文文本 3 字符"/>
    <w:link w:val="215"/>
    <w:qFormat/>
    <w:uiPriority w:val="0"/>
    <w:rPr>
      <w:b/>
      <w:bCs/>
      <w:sz w:val="24"/>
      <w:szCs w:val="24"/>
    </w:rPr>
  </w:style>
  <w:style w:type="paragraph" w:customStyle="1" w:styleId="217">
    <w:name w:val="结束语1"/>
    <w:basedOn w:val="1"/>
    <w:link w:val="218"/>
    <w:qFormat/>
    <w:uiPriority w:val="0"/>
    <w:pPr>
      <w:spacing w:after="20" w:line="288" w:lineRule="auto"/>
      <w:ind w:left="100" w:firstLine="420"/>
    </w:pPr>
    <w:rPr>
      <w:sz w:val="28"/>
    </w:rPr>
  </w:style>
  <w:style w:type="character" w:customStyle="1" w:styleId="218">
    <w:name w:val="结束语 字符"/>
    <w:link w:val="217"/>
    <w:qFormat/>
    <w:uiPriority w:val="0"/>
    <w:rPr>
      <w:sz w:val="28"/>
      <w:szCs w:val="24"/>
    </w:rPr>
  </w:style>
  <w:style w:type="paragraph" w:customStyle="1" w:styleId="219">
    <w:name w:val="列表项目符号 31"/>
    <w:basedOn w:val="1"/>
    <w:qFormat/>
    <w:uiPriority w:val="0"/>
    <w:pPr>
      <w:numPr>
        <w:ilvl w:val="0"/>
        <w:numId w:val="2"/>
      </w:numPr>
    </w:pPr>
  </w:style>
  <w:style w:type="paragraph" w:customStyle="1" w:styleId="220">
    <w:name w:val="正文文本1"/>
    <w:basedOn w:val="1"/>
    <w:next w:val="1"/>
    <w:link w:val="221"/>
    <w:qFormat/>
    <w:uiPriority w:val="0"/>
    <w:rPr>
      <w:rFonts w:ascii="仿宋_GB2312" w:eastAsia="仿宋_GB2312"/>
      <w:sz w:val="28"/>
      <w:szCs w:val="20"/>
    </w:rPr>
  </w:style>
  <w:style w:type="character" w:customStyle="1" w:styleId="221">
    <w:name w:val="正文文本 字符"/>
    <w:link w:val="220"/>
    <w:qFormat/>
    <w:uiPriority w:val="0"/>
    <w:rPr>
      <w:rFonts w:ascii="仿宋_GB2312" w:eastAsia="仿宋_GB2312"/>
      <w:sz w:val="28"/>
    </w:rPr>
  </w:style>
  <w:style w:type="paragraph" w:customStyle="1" w:styleId="222">
    <w:name w:val="正文文本缩进1"/>
    <w:basedOn w:val="1"/>
    <w:link w:val="223"/>
    <w:qFormat/>
    <w:uiPriority w:val="0"/>
    <w:pPr>
      <w:widowControl/>
      <w:spacing w:line="300" w:lineRule="auto"/>
      <w:ind w:left="156"/>
    </w:pPr>
    <w:rPr>
      <w:rFonts w:ascii="仿宋_GB2312" w:eastAsia="仿宋_GB2312"/>
      <w:sz w:val="28"/>
      <w:szCs w:val="20"/>
    </w:rPr>
  </w:style>
  <w:style w:type="character" w:customStyle="1" w:styleId="223">
    <w:name w:val="正文文本缩进 字符"/>
    <w:link w:val="222"/>
    <w:qFormat/>
    <w:uiPriority w:val="0"/>
    <w:rPr>
      <w:rFonts w:ascii="仿宋_GB2312" w:eastAsia="仿宋_GB2312"/>
      <w:sz w:val="28"/>
    </w:rPr>
  </w:style>
  <w:style w:type="paragraph" w:customStyle="1" w:styleId="224">
    <w:name w:val="文本块1"/>
    <w:basedOn w:val="1"/>
    <w:qFormat/>
    <w:uiPriority w:val="0"/>
    <w:pPr>
      <w:ind w:left="420" w:right="33"/>
      <w:jc w:val="left"/>
    </w:pPr>
    <w:rPr>
      <w:sz w:val="24"/>
      <w:szCs w:val="20"/>
    </w:rPr>
  </w:style>
  <w:style w:type="paragraph" w:customStyle="1" w:styleId="225">
    <w:name w:val="列表项目符号 21"/>
    <w:basedOn w:val="1"/>
    <w:qFormat/>
    <w:uiPriority w:val="0"/>
    <w:pPr>
      <w:numPr>
        <w:ilvl w:val="0"/>
        <w:numId w:val="3"/>
      </w:numPr>
      <w:tabs>
        <w:tab w:val="left" w:pos="780"/>
      </w:tabs>
      <w:ind w:left="780"/>
    </w:pPr>
  </w:style>
  <w:style w:type="paragraph" w:customStyle="1" w:styleId="226">
    <w:name w:val="索引 41"/>
    <w:basedOn w:val="1"/>
    <w:next w:val="1"/>
    <w:qFormat/>
    <w:uiPriority w:val="0"/>
    <w:pPr>
      <w:ind w:left="600"/>
    </w:pPr>
    <w:rPr>
      <w:szCs w:val="20"/>
    </w:rPr>
  </w:style>
  <w:style w:type="paragraph" w:customStyle="1" w:styleId="227">
    <w:name w:val="目录 51"/>
    <w:basedOn w:val="1"/>
    <w:next w:val="1"/>
    <w:qFormat/>
    <w:uiPriority w:val="39"/>
    <w:pPr>
      <w:spacing w:line="288" w:lineRule="auto"/>
      <w:ind w:left="840" w:firstLine="420"/>
      <w:jc w:val="left"/>
    </w:pPr>
    <w:rPr>
      <w:sz w:val="18"/>
      <w:szCs w:val="18"/>
    </w:rPr>
  </w:style>
  <w:style w:type="paragraph" w:customStyle="1" w:styleId="228">
    <w:name w:val="目录 31"/>
    <w:basedOn w:val="1"/>
    <w:next w:val="1"/>
    <w:qFormat/>
    <w:uiPriority w:val="39"/>
    <w:pPr>
      <w:spacing w:line="288" w:lineRule="auto"/>
      <w:ind w:left="420" w:firstLine="420"/>
      <w:jc w:val="left"/>
    </w:pPr>
    <w:rPr>
      <w:iCs/>
      <w:sz w:val="20"/>
      <w:szCs w:val="20"/>
    </w:rPr>
  </w:style>
  <w:style w:type="paragraph" w:customStyle="1" w:styleId="229">
    <w:name w:val="纯文本1"/>
    <w:basedOn w:val="1"/>
    <w:link w:val="230"/>
    <w:qFormat/>
    <w:uiPriority w:val="0"/>
    <w:rPr>
      <w:rFonts w:ascii="宋体" w:hAnsi="Courier New"/>
      <w:szCs w:val="21"/>
    </w:rPr>
  </w:style>
  <w:style w:type="character" w:customStyle="1" w:styleId="230">
    <w:name w:val="纯文本 字符"/>
    <w:link w:val="229"/>
    <w:qFormat/>
    <w:uiPriority w:val="0"/>
    <w:rPr>
      <w:rFonts w:ascii="宋体" w:hAnsi="Courier New"/>
      <w:sz w:val="21"/>
      <w:szCs w:val="21"/>
    </w:rPr>
  </w:style>
  <w:style w:type="paragraph" w:customStyle="1" w:styleId="231">
    <w:name w:val="列表项目符号 51"/>
    <w:basedOn w:val="1"/>
    <w:qFormat/>
    <w:uiPriority w:val="0"/>
    <w:pPr>
      <w:widowControl/>
      <w:numPr>
        <w:ilvl w:val="0"/>
        <w:numId w:val="3"/>
      </w:numPr>
      <w:tabs>
        <w:tab w:val="left" w:pos="2040"/>
      </w:tabs>
      <w:spacing w:line="360" w:lineRule="exact"/>
    </w:pPr>
    <w:rPr>
      <w:rFonts w:eastAsia="楷体_GB2312"/>
      <w:sz w:val="24"/>
      <w:szCs w:val="20"/>
    </w:rPr>
  </w:style>
  <w:style w:type="paragraph" w:customStyle="1" w:styleId="232">
    <w:name w:val="目录 81"/>
    <w:basedOn w:val="1"/>
    <w:next w:val="1"/>
    <w:qFormat/>
    <w:uiPriority w:val="39"/>
    <w:pPr>
      <w:spacing w:line="288" w:lineRule="auto"/>
      <w:ind w:left="1470" w:firstLine="420"/>
      <w:jc w:val="left"/>
    </w:pPr>
    <w:rPr>
      <w:sz w:val="18"/>
      <w:szCs w:val="18"/>
    </w:rPr>
  </w:style>
  <w:style w:type="paragraph" w:customStyle="1" w:styleId="233">
    <w:name w:val="索引 31"/>
    <w:basedOn w:val="1"/>
    <w:next w:val="1"/>
    <w:qFormat/>
    <w:uiPriority w:val="0"/>
    <w:pPr>
      <w:ind w:left="400"/>
    </w:pPr>
    <w:rPr>
      <w:szCs w:val="20"/>
    </w:rPr>
  </w:style>
  <w:style w:type="paragraph" w:customStyle="1" w:styleId="234">
    <w:name w:val="日期1"/>
    <w:basedOn w:val="1"/>
    <w:next w:val="1"/>
    <w:link w:val="235"/>
    <w:qFormat/>
    <w:uiPriority w:val="0"/>
    <w:pPr>
      <w:ind w:left="100"/>
    </w:pPr>
    <w:rPr>
      <w:rFonts w:ascii="楷体_GB2312" w:eastAsia="楷体_GB2312"/>
      <w:b/>
      <w:sz w:val="28"/>
    </w:rPr>
  </w:style>
  <w:style w:type="character" w:customStyle="1" w:styleId="235">
    <w:name w:val="日期 字符"/>
    <w:link w:val="234"/>
    <w:qFormat/>
    <w:uiPriority w:val="0"/>
    <w:rPr>
      <w:rFonts w:ascii="楷体_GB2312" w:eastAsia="楷体_GB2312"/>
      <w:b/>
      <w:sz w:val="28"/>
      <w:szCs w:val="24"/>
    </w:rPr>
  </w:style>
  <w:style w:type="paragraph" w:customStyle="1" w:styleId="236">
    <w:name w:val="正文文本缩进 21"/>
    <w:basedOn w:val="1"/>
    <w:link w:val="237"/>
    <w:qFormat/>
    <w:uiPriority w:val="0"/>
    <w:pPr>
      <w:tabs>
        <w:tab w:val="left" w:pos="0"/>
        <w:tab w:val="left" w:pos="1134"/>
      </w:tabs>
      <w:spacing w:line="400" w:lineRule="exact"/>
      <w:ind w:firstLine="559"/>
    </w:pPr>
    <w:rPr>
      <w:rFonts w:ascii="楷体_GB2312" w:eastAsia="楷体_GB2312"/>
      <w:sz w:val="24"/>
    </w:rPr>
  </w:style>
  <w:style w:type="character" w:customStyle="1" w:styleId="237">
    <w:name w:val="正文文本缩进 2 字符"/>
    <w:link w:val="236"/>
    <w:qFormat/>
    <w:uiPriority w:val="0"/>
    <w:rPr>
      <w:rFonts w:ascii="楷体_GB2312" w:eastAsia="楷体_GB2312"/>
      <w:sz w:val="24"/>
      <w:szCs w:val="24"/>
    </w:rPr>
  </w:style>
  <w:style w:type="paragraph" w:customStyle="1" w:styleId="238">
    <w:name w:val="批注框文本1"/>
    <w:basedOn w:val="1"/>
    <w:link w:val="239"/>
    <w:qFormat/>
    <w:uiPriority w:val="0"/>
    <w:rPr>
      <w:sz w:val="18"/>
      <w:szCs w:val="18"/>
    </w:rPr>
  </w:style>
  <w:style w:type="character" w:customStyle="1" w:styleId="239">
    <w:name w:val="批注框文本 字符"/>
    <w:link w:val="238"/>
    <w:qFormat/>
    <w:uiPriority w:val="0"/>
    <w:rPr>
      <w:sz w:val="18"/>
      <w:szCs w:val="18"/>
    </w:rPr>
  </w:style>
  <w:style w:type="paragraph" w:customStyle="1" w:styleId="240">
    <w:name w:val="页脚1"/>
    <w:basedOn w:val="1"/>
    <w:link w:val="241"/>
    <w:qFormat/>
    <w:uiPriority w:val="99"/>
    <w:pPr>
      <w:tabs>
        <w:tab w:val="center" w:pos="4153"/>
        <w:tab w:val="right" w:pos="8306"/>
      </w:tabs>
      <w:jc w:val="left"/>
    </w:pPr>
    <w:rPr>
      <w:sz w:val="18"/>
      <w:szCs w:val="18"/>
    </w:rPr>
  </w:style>
  <w:style w:type="character" w:customStyle="1" w:styleId="241">
    <w:name w:val="页脚 字符"/>
    <w:link w:val="240"/>
    <w:qFormat/>
    <w:uiPriority w:val="99"/>
    <w:rPr>
      <w:sz w:val="18"/>
      <w:szCs w:val="18"/>
    </w:rPr>
  </w:style>
  <w:style w:type="paragraph" w:customStyle="1" w:styleId="242">
    <w:name w:val="页眉11"/>
    <w:basedOn w:val="1"/>
    <w:link w:val="243"/>
    <w:qFormat/>
    <w:uiPriority w:val="0"/>
    <w:pPr>
      <w:pBdr>
        <w:bottom w:val="single" w:color="000000" w:sz="6" w:space="1"/>
      </w:pBdr>
      <w:tabs>
        <w:tab w:val="center" w:pos="4153"/>
        <w:tab w:val="right" w:pos="8306"/>
      </w:tabs>
      <w:jc w:val="center"/>
    </w:pPr>
    <w:rPr>
      <w:sz w:val="18"/>
      <w:szCs w:val="18"/>
    </w:rPr>
  </w:style>
  <w:style w:type="character" w:customStyle="1" w:styleId="243">
    <w:name w:val="页眉 字符"/>
    <w:link w:val="242"/>
    <w:qFormat/>
    <w:uiPriority w:val="0"/>
    <w:rPr>
      <w:sz w:val="18"/>
      <w:szCs w:val="18"/>
    </w:rPr>
  </w:style>
  <w:style w:type="paragraph" w:customStyle="1" w:styleId="244">
    <w:name w:val="目录 1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customStyle="1" w:styleId="245">
    <w:name w:val="目录 41"/>
    <w:basedOn w:val="1"/>
    <w:next w:val="1"/>
    <w:qFormat/>
    <w:uiPriority w:val="39"/>
    <w:pPr>
      <w:spacing w:line="288" w:lineRule="auto"/>
      <w:ind w:left="630" w:firstLine="420"/>
      <w:jc w:val="left"/>
    </w:pPr>
    <w:rPr>
      <w:sz w:val="18"/>
      <w:szCs w:val="18"/>
    </w:rPr>
  </w:style>
  <w:style w:type="paragraph" w:customStyle="1" w:styleId="246">
    <w:name w:val="副标题1"/>
    <w:basedOn w:val="1"/>
    <w:next w:val="1"/>
    <w:link w:val="247"/>
    <w:qFormat/>
    <w:uiPriority w:val="0"/>
    <w:pPr>
      <w:spacing w:before="240" w:after="60" w:line="312" w:lineRule="auto"/>
      <w:jc w:val="center"/>
      <w:outlineLvl w:val="1"/>
    </w:pPr>
    <w:rPr>
      <w:rFonts w:ascii="幼圆" w:hAnsi="幼圆"/>
      <w:b/>
      <w:bCs/>
      <w:sz w:val="32"/>
      <w:szCs w:val="32"/>
    </w:rPr>
  </w:style>
  <w:style w:type="character" w:customStyle="1" w:styleId="247">
    <w:name w:val="副标题 字符"/>
    <w:link w:val="246"/>
    <w:qFormat/>
    <w:uiPriority w:val="0"/>
    <w:rPr>
      <w:rFonts w:ascii="幼圆" w:hAnsi="幼圆"/>
      <w:b/>
      <w:bCs/>
      <w:sz w:val="32"/>
      <w:szCs w:val="32"/>
    </w:rPr>
  </w:style>
  <w:style w:type="paragraph" w:customStyle="1" w:styleId="248">
    <w:name w:val="列表1"/>
    <w:basedOn w:val="1"/>
    <w:qFormat/>
    <w:uiPriority w:val="0"/>
    <w:pPr>
      <w:numPr>
        <w:ilvl w:val="0"/>
        <w:numId w:val="3"/>
      </w:numPr>
      <w:tabs>
        <w:tab w:val="left" w:pos="420"/>
      </w:tabs>
      <w:spacing w:after="20" w:line="288" w:lineRule="auto"/>
    </w:pPr>
    <w:rPr>
      <w:szCs w:val="20"/>
      <w:lang w:val="en-GB"/>
    </w:rPr>
  </w:style>
  <w:style w:type="paragraph" w:customStyle="1" w:styleId="249">
    <w:name w:val="脚注文本1"/>
    <w:basedOn w:val="1"/>
    <w:link w:val="250"/>
    <w:qFormat/>
    <w:uiPriority w:val="0"/>
    <w:pPr>
      <w:spacing w:after="60" w:line="360" w:lineRule="exact"/>
      <w:ind w:firstLine="425"/>
      <w:jc w:val="left"/>
    </w:pPr>
    <w:rPr>
      <w:sz w:val="18"/>
      <w:szCs w:val="18"/>
    </w:rPr>
  </w:style>
  <w:style w:type="character" w:customStyle="1" w:styleId="250">
    <w:name w:val="脚注文本 字符"/>
    <w:link w:val="249"/>
    <w:qFormat/>
    <w:uiPriority w:val="0"/>
    <w:rPr>
      <w:sz w:val="18"/>
      <w:szCs w:val="18"/>
    </w:rPr>
  </w:style>
  <w:style w:type="paragraph" w:customStyle="1" w:styleId="251">
    <w:name w:val="目录 61"/>
    <w:basedOn w:val="1"/>
    <w:next w:val="1"/>
    <w:qFormat/>
    <w:uiPriority w:val="39"/>
    <w:pPr>
      <w:spacing w:line="288" w:lineRule="auto"/>
      <w:ind w:left="1050" w:firstLine="420"/>
      <w:jc w:val="left"/>
    </w:pPr>
    <w:rPr>
      <w:sz w:val="18"/>
      <w:szCs w:val="18"/>
    </w:rPr>
  </w:style>
  <w:style w:type="paragraph" w:customStyle="1" w:styleId="252">
    <w:name w:val="正文文本缩进 31"/>
    <w:basedOn w:val="1"/>
    <w:link w:val="253"/>
    <w:qFormat/>
    <w:uiPriority w:val="0"/>
    <w:pPr>
      <w:spacing w:line="360" w:lineRule="auto"/>
      <w:ind w:firstLine="698"/>
      <w:jc w:val="left"/>
    </w:pPr>
    <w:rPr>
      <w:rFonts w:ascii="仿宋_GB2312" w:eastAsia="仿宋_GB2312"/>
      <w:sz w:val="32"/>
      <w:szCs w:val="20"/>
    </w:rPr>
  </w:style>
  <w:style w:type="character" w:customStyle="1" w:styleId="253">
    <w:name w:val="正文文本缩进 3 字符"/>
    <w:link w:val="252"/>
    <w:qFormat/>
    <w:uiPriority w:val="0"/>
    <w:rPr>
      <w:rFonts w:ascii="仿宋_GB2312" w:eastAsia="仿宋_GB2312"/>
      <w:sz w:val="32"/>
    </w:rPr>
  </w:style>
  <w:style w:type="paragraph" w:customStyle="1" w:styleId="254">
    <w:name w:val="索引 71"/>
    <w:basedOn w:val="1"/>
    <w:next w:val="1"/>
    <w:qFormat/>
    <w:uiPriority w:val="0"/>
    <w:pPr>
      <w:ind w:left="1200"/>
    </w:pPr>
    <w:rPr>
      <w:szCs w:val="20"/>
    </w:rPr>
  </w:style>
  <w:style w:type="paragraph" w:customStyle="1" w:styleId="255">
    <w:name w:val="索引 91"/>
    <w:basedOn w:val="1"/>
    <w:next w:val="1"/>
    <w:qFormat/>
    <w:uiPriority w:val="0"/>
    <w:pPr>
      <w:ind w:left="1600"/>
    </w:pPr>
    <w:rPr>
      <w:szCs w:val="20"/>
    </w:rPr>
  </w:style>
  <w:style w:type="paragraph" w:customStyle="1" w:styleId="256">
    <w:name w:val="目录 21"/>
    <w:basedOn w:val="1"/>
    <w:next w:val="1"/>
    <w:qFormat/>
    <w:uiPriority w:val="39"/>
    <w:pPr>
      <w:spacing w:line="288" w:lineRule="auto"/>
      <w:ind w:left="210" w:firstLine="420"/>
      <w:jc w:val="left"/>
    </w:pPr>
    <w:rPr>
      <w:smallCaps/>
      <w:sz w:val="20"/>
      <w:szCs w:val="20"/>
    </w:rPr>
  </w:style>
  <w:style w:type="paragraph" w:customStyle="1" w:styleId="257">
    <w:name w:val="目录 91"/>
    <w:basedOn w:val="1"/>
    <w:next w:val="1"/>
    <w:qFormat/>
    <w:uiPriority w:val="39"/>
    <w:pPr>
      <w:spacing w:line="288" w:lineRule="auto"/>
      <w:ind w:left="1680" w:firstLine="420"/>
      <w:jc w:val="left"/>
    </w:pPr>
    <w:rPr>
      <w:sz w:val="18"/>
      <w:szCs w:val="18"/>
    </w:rPr>
  </w:style>
  <w:style w:type="paragraph" w:customStyle="1" w:styleId="258">
    <w:name w:val="正文文本 21"/>
    <w:basedOn w:val="1"/>
    <w:link w:val="259"/>
    <w:qFormat/>
    <w:uiPriority w:val="0"/>
    <w:pPr>
      <w:spacing w:after="20" w:line="720" w:lineRule="auto"/>
      <w:ind w:firstLine="420"/>
    </w:pPr>
    <w:rPr>
      <w:sz w:val="30"/>
    </w:rPr>
  </w:style>
  <w:style w:type="character" w:customStyle="1" w:styleId="259">
    <w:name w:val="正文文本 2 字符"/>
    <w:link w:val="258"/>
    <w:qFormat/>
    <w:uiPriority w:val="0"/>
    <w:rPr>
      <w:sz w:val="30"/>
      <w:szCs w:val="24"/>
    </w:rPr>
  </w:style>
  <w:style w:type="paragraph" w:customStyle="1" w:styleId="260">
    <w:name w:val="HTML 预设格式1"/>
    <w:basedOn w:val="1"/>
    <w:link w:val="26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61">
    <w:name w:val="HTML 预设格式 字符"/>
    <w:link w:val="260"/>
    <w:qFormat/>
    <w:uiPriority w:val="0"/>
    <w:rPr>
      <w:rFonts w:ascii="黑体" w:hAnsi="Courier New" w:eastAsia="黑体"/>
    </w:rPr>
  </w:style>
  <w:style w:type="paragraph" w:customStyle="1" w:styleId="262">
    <w:name w:val="普通(网站)1"/>
    <w:basedOn w:val="1"/>
    <w:link w:val="263"/>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63">
    <w:name w:val="普通(网站) 字符"/>
    <w:link w:val="262"/>
    <w:qFormat/>
    <w:uiPriority w:val="0"/>
    <w:rPr>
      <w:rFonts w:ascii="宋体" w:hAnsi="宋体"/>
      <w:sz w:val="24"/>
      <w:szCs w:val="24"/>
    </w:rPr>
  </w:style>
  <w:style w:type="paragraph" w:customStyle="1" w:styleId="264">
    <w:name w:val="索引 11"/>
    <w:basedOn w:val="1"/>
    <w:next w:val="1"/>
    <w:qFormat/>
    <w:uiPriority w:val="0"/>
    <w:rPr>
      <w:szCs w:val="20"/>
    </w:rPr>
  </w:style>
  <w:style w:type="paragraph" w:customStyle="1" w:styleId="265">
    <w:name w:val="索引 21"/>
    <w:basedOn w:val="1"/>
    <w:next w:val="1"/>
    <w:qFormat/>
    <w:uiPriority w:val="0"/>
    <w:pPr>
      <w:ind w:left="200"/>
    </w:pPr>
    <w:rPr>
      <w:szCs w:val="20"/>
    </w:rPr>
  </w:style>
  <w:style w:type="paragraph" w:customStyle="1" w:styleId="266">
    <w:name w:val="标题1"/>
    <w:basedOn w:val="1"/>
    <w:link w:val="267"/>
    <w:qFormat/>
    <w:uiPriority w:val="0"/>
    <w:pPr>
      <w:spacing w:before="240" w:after="60" w:line="288" w:lineRule="auto"/>
      <w:ind w:firstLine="420"/>
      <w:jc w:val="center"/>
      <w:outlineLvl w:val="0"/>
    </w:pPr>
    <w:rPr>
      <w:rFonts w:ascii="Arial" w:hAnsi="Arial"/>
      <w:b/>
      <w:bCs/>
      <w:sz w:val="32"/>
      <w:szCs w:val="32"/>
    </w:rPr>
  </w:style>
  <w:style w:type="character" w:customStyle="1" w:styleId="267">
    <w:name w:val="标题 字符"/>
    <w:link w:val="266"/>
    <w:qFormat/>
    <w:uiPriority w:val="0"/>
    <w:rPr>
      <w:rFonts w:ascii="Arial" w:hAnsi="Arial" w:cs="Arial"/>
      <w:b/>
      <w:bCs/>
      <w:sz w:val="32"/>
      <w:szCs w:val="32"/>
    </w:rPr>
  </w:style>
  <w:style w:type="paragraph" w:customStyle="1" w:styleId="268">
    <w:name w:val="批注主题1"/>
    <w:basedOn w:val="210"/>
    <w:next w:val="210"/>
    <w:link w:val="269"/>
    <w:qFormat/>
    <w:uiPriority w:val="0"/>
    <w:rPr>
      <w:b/>
      <w:bCs/>
    </w:rPr>
  </w:style>
  <w:style w:type="character" w:customStyle="1" w:styleId="269">
    <w:name w:val="批注主题 字符"/>
    <w:link w:val="268"/>
    <w:qFormat/>
    <w:uiPriority w:val="0"/>
    <w:rPr>
      <w:b/>
      <w:bCs/>
      <w:sz w:val="21"/>
      <w:szCs w:val="24"/>
    </w:rPr>
  </w:style>
  <w:style w:type="paragraph" w:customStyle="1" w:styleId="270">
    <w:name w:val="正文首行缩进 21"/>
    <w:basedOn w:val="222"/>
    <w:link w:val="271"/>
    <w:qFormat/>
    <w:uiPriority w:val="0"/>
    <w:pPr>
      <w:widowControl w:val="0"/>
      <w:spacing w:after="120" w:line="240" w:lineRule="auto"/>
      <w:ind w:left="420" w:firstLine="420"/>
    </w:pPr>
    <w:rPr>
      <w:rFonts w:ascii="Cambria" w:hAnsi="Cambria" w:eastAsia="华文细黑"/>
      <w:sz w:val="21"/>
    </w:rPr>
  </w:style>
  <w:style w:type="character" w:customStyle="1" w:styleId="271">
    <w:name w:val="正文文本首行缩进 2 字符"/>
    <w:link w:val="270"/>
    <w:qFormat/>
    <w:uiPriority w:val="0"/>
    <w:rPr>
      <w:rFonts w:ascii="Cambria" w:hAnsi="Cambria" w:eastAsia="华文细黑" w:cs="Cambria"/>
      <w:sz w:val="21"/>
    </w:rPr>
  </w:style>
  <w:style w:type="table" w:customStyle="1" w:styleId="272">
    <w:name w:val="网格型1"/>
    <w:basedOn w:val="193"/>
    <w:qFormat/>
    <w:uiPriority w:val="0"/>
    <w:pPr>
      <w:widowControl w:val="0"/>
      <w:jc w:val="both"/>
    </w:pPr>
  </w:style>
  <w:style w:type="character" w:customStyle="1" w:styleId="273">
    <w:name w:val="要点1"/>
    <w:basedOn w:val="192"/>
    <w:link w:val="1"/>
    <w:qFormat/>
    <w:uiPriority w:val="22"/>
    <w:rPr>
      <w:b/>
      <w:bCs/>
    </w:rPr>
  </w:style>
  <w:style w:type="character" w:customStyle="1" w:styleId="274">
    <w:name w:val="页码2"/>
    <w:link w:val="1"/>
    <w:qFormat/>
    <w:uiPriority w:val="0"/>
  </w:style>
  <w:style w:type="character" w:customStyle="1" w:styleId="275">
    <w:name w:val="已访问的超链接1"/>
    <w:link w:val="1"/>
    <w:qFormat/>
    <w:uiPriority w:val="0"/>
    <w:rPr>
      <w:color w:val="800080"/>
      <w:u w:val="single"/>
    </w:rPr>
  </w:style>
  <w:style w:type="character" w:customStyle="1" w:styleId="276">
    <w:name w:val="强调1"/>
    <w:link w:val="1"/>
    <w:qFormat/>
    <w:uiPriority w:val="0"/>
    <w:rPr>
      <w:i/>
    </w:rPr>
  </w:style>
  <w:style w:type="character" w:customStyle="1" w:styleId="277">
    <w:name w:val="HTML 打字机11"/>
    <w:link w:val="1"/>
    <w:unhideWhenUsed/>
    <w:qFormat/>
    <w:uiPriority w:val="0"/>
    <w:rPr>
      <w:rFonts w:ascii="宋体" w:hAnsi="宋体" w:eastAsia="宋体" w:cs="宋体"/>
      <w:sz w:val="24"/>
      <w:szCs w:val="24"/>
    </w:rPr>
  </w:style>
  <w:style w:type="character" w:customStyle="1" w:styleId="278">
    <w:name w:val="超链接1"/>
    <w:link w:val="1"/>
    <w:qFormat/>
    <w:uiPriority w:val="99"/>
    <w:rPr>
      <w:color w:val="0000FF"/>
      <w:u w:val="single"/>
    </w:rPr>
  </w:style>
  <w:style w:type="character" w:customStyle="1" w:styleId="279">
    <w:name w:val="批注引用1"/>
    <w:link w:val="1"/>
    <w:qFormat/>
    <w:uiPriority w:val="0"/>
    <w:rPr>
      <w:sz w:val="21"/>
      <w:szCs w:val="21"/>
    </w:rPr>
  </w:style>
  <w:style w:type="character" w:customStyle="1" w:styleId="280">
    <w:name w:val="脚注引用1"/>
    <w:link w:val="1"/>
    <w:qFormat/>
    <w:uiPriority w:val="0"/>
    <w:rPr>
      <w:rFonts w:ascii="宋体" w:hAnsi="宋体" w:eastAsia="宋体"/>
      <w:vertAlign w:val="superscript"/>
    </w:rPr>
  </w:style>
  <w:style w:type="paragraph" w:customStyle="1" w:styleId="281">
    <w:name w:val="TOC Heading1"/>
    <w:next w:val="1"/>
    <w:unhideWhenUsed/>
    <w:qFormat/>
    <w:uiPriority w:val="0"/>
    <w:rPr>
      <w:rFonts w:hint="eastAsia" w:ascii="Times New Roman" w:hAnsi="Times New Roman" w:eastAsia="Times New Roman" w:cs="Times New Roman"/>
      <w:sz w:val="32"/>
      <w:szCs w:val="24"/>
      <w:lang w:val="en-US" w:eastAsia="zh-CN" w:bidi="ar-SA"/>
    </w:rPr>
  </w:style>
  <w:style w:type="character" w:customStyle="1" w:styleId="282">
    <w:name w:val="批注主题 Char1"/>
    <w:link w:val="1"/>
    <w:qFormat/>
    <w:uiPriority w:val="0"/>
    <w:rPr>
      <w:b/>
      <w:bCs/>
      <w:sz w:val="21"/>
      <w:szCs w:val="22"/>
    </w:rPr>
  </w:style>
  <w:style w:type="character" w:customStyle="1" w:styleId="283">
    <w:name w:val="正文文本缩进 Char"/>
    <w:link w:val="1"/>
    <w:qFormat/>
    <w:uiPriority w:val="0"/>
    <w:rPr>
      <w:rFonts w:ascii="Cambria" w:hAnsi="Cambria" w:eastAsia="华文细黑" w:cs="Cambria"/>
      <w:sz w:val="21"/>
      <w:szCs w:val="24"/>
    </w:rPr>
  </w:style>
  <w:style w:type="character" w:customStyle="1" w:styleId="284">
    <w:name w:val="Comment"/>
    <w:link w:val="1"/>
    <w:qFormat/>
    <w:uiPriority w:val="0"/>
    <w:rPr>
      <w:vanish/>
    </w:rPr>
  </w:style>
  <w:style w:type="character" w:customStyle="1" w:styleId="285">
    <w:name w:val="font61"/>
    <w:link w:val="1"/>
    <w:qFormat/>
    <w:uiPriority w:val="0"/>
    <w:rPr>
      <w:rFonts w:ascii="Arial" w:hAnsi="Arial" w:cs="Arial"/>
      <w:color w:val="000000"/>
      <w:sz w:val="20"/>
      <w:szCs w:val="20"/>
      <w:u w:val="none"/>
    </w:rPr>
  </w:style>
  <w:style w:type="character" w:customStyle="1" w:styleId="286">
    <w:name w:val="不明显强调"/>
    <w:link w:val="1"/>
    <w:qFormat/>
    <w:uiPriority w:val="0"/>
    <w:rPr>
      <w:i/>
      <w:iCs/>
      <w:color w:val="808080"/>
    </w:rPr>
  </w:style>
  <w:style w:type="character" w:customStyle="1" w:styleId="287">
    <w:name w:val="正文文本 Char1"/>
    <w:link w:val="1"/>
    <w:qFormat/>
    <w:uiPriority w:val="0"/>
    <w:rPr>
      <w:sz w:val="21"/>
      <w:szCs w:val="22"/>
    </w:rPr>
  </w:style>
  <w:style w:type="character" w:customStyle="1" w:styleId="288">
    <w:name w:val="font71"/>
    <w:link w:val="1"/>
    <w:qFormat/>
    <w:uiPriority w:val="0"/>
    <w:rPr>
      <w:rFonts w:ascii="Arial" w:hAnsi="Arial" w:cs="Arial"/>
      <w:b/>
      <w:bCs/>
      <w:color w:val="000000"/>
      <w:sz w:val="20"/>
      <w:szCs w:val="20"/>
      <w:u w:val="none"/>
    </w:rPr>
  </w:style>
  <w:style w:type="character" w:customStyle="1" w:styleId="289">
    <w:name w:val=" Char Char3"/>
    <w:link w:val="1"/>
    <w:qFormat/>
    <w:uiPriority w:val="0"/>
    <w:rPr>
      <w:rFonts w:ascii="幼圆" w:hAnsi="华文细黑" w:eastAsia="幼圆" w:cs="Tahoma"/>
      <w:b/>
      <w:bCs/>
      <w:sz w:val="24"/>
      <w:szCs w:val="24"/>
      <w:lang w:val="en-US" w:eastAsia="zh-CN" w:bidi="ar-SA"/>
    </w:rPr>
  </w:style>
  <w:style w:type="character" w:customStyle="1" w:styleId="290">
    <w:name w:val="Char Char"/>
    <w:link w:val="1"/>
    <w:qFormat/>
    <w:uiPriority w:val="0"/>
    <w:rPr>
      <w:rFonts w:eastAsia="宋体"/>
      <w:b/>
      <w:bCs/>
      <w:sz w:val="32"/>
      <w:szCs w:val="44"/>
      <w:lang w:val="en-US" w:eastAsia="zh-CN" w:bidi="ar-SA"/>
    </w:rPr>
  </w:style>
  <w:style w:type="character" w:customStyle="1" w:styleId="291">
    <w:name w:val="正文缩进 Char1"/>
    <w:link w:val="1"/>
    <w:qFormat/>
    <w:uiPriority w:val="0"/>
    <w:rPr>
      <w:rFonts w:eastAsia="宋体"/>
      <w:lang w:val="en-US" w:eastAsia="zh-CN" w:bidi="ar-SA"/>
    </w:rPr>
  </w:style>
  <w:style w:type="character" w:customStyle="1" w:styleId="292">
    <w:name w:val=" Char Char2"/>
    <w:link w:val="1"/>
    <w:semiHidden/>
    <w:qFormat/>
    <w:uiPriority w:val="0"/>
    <w:rPr>
      <w:rFonts w:eastAsia="华文细黑"/>
      <w:sz w:val="21"/>
      <w:szCs w:val="24"/>
      <w:lang w:val="en-US" w:eastAsia="zh-CN" w:bidi="ar-SA"/>
    </w:rPr>
  </w:style>
  <w:style w:type="character" w:customStyle="1" w:styleId="293">
    <w:name w:val="Definition"/>
    <w:link w:val="1"/>
    <w:qFormat/>
    <w:uiPriority w:val="0"/>
    <w:rPr>
      <w:i/>
    </w:rPr>
  </w:style>
  <w:style w:type="character" w:customStyle="1" w:styleId="294">
    <w:name w:val=" Char Char4"/>
    <w:link w:val="1"/>
    <w:qFormat/>
    <w:uiPriority w:val="0"/>
    <w:rPr>
      <w:rFonts w:ascii="华文细黑" w:hAnsi="华文细黑" w:eastAsia="幼圆" w:cs="Tahoma"/>
      <w:b/>
      <w:sz w:val="28"/>
      <w:szCs w:val="32"/>
      <w:lang w:val="en-US" w:eastAsia="zh-CN" w:bidi="ar-SA"/>
    </w:rPr>
  </w:style>
  <w:style w:type="character" w:customStyle="1" w:styleId="295">
    <w:name w:val="Para head"/>
    <w:link w:val="1"/>
    <w:qFormat/>
    <w:uiPriority w:val="0"/>
    <w:rPr>
      <w:rFonts w:ascii="Arial" w:hAnsi="Arial" w:eastAsia="Times New Roman"/>
      <w:sz w:val="20"/>
    </w:rPr>
  </w:style>
  <w:style w:type="character" w:customStyle="1" w:styleId="296">
    <w:name w:val="标题 311"/>
    <w:link w:val="1"/>
    <w:qFormat/>
    <w:uiPriority w:val="0"/>
    <w:rPr>
      <w:rFonts w:hint="eastAsia" w:ascii="黑体" w:hAnsi="ˎ̥" w:eastAsia="黑体"/>
      <w:sz w:val="28"/>
    </w:rPr>
  </w:style>
  <w:style w:type="character" w:customStyle="1" w:styleId="297">
    <w:name w:val=" Char Char Char"/>
    <w:link w:val="1"/>
    <w:qFormat/>
    <w:uiPriority w:val="0"/>
    <w:rPr>
      <w:rFonts w:ascii="宋体" w:hAnsi="宋体" w:eastAsia="宋体"/>
      <w:b/>
      <w:sz w:val="24"/>
      <w:lang w:val="en-US" w:eastAsia="zh-CN" w:bidi="ar-SA"/>
    </w:rPr>
  </w:style>
  <w:style w:type="character" w:customStyle="1" w:styleId="298">
    <w:name w:val=" Char Char"/>
    <w:link w:val="1"/>
    <w:qFormat/>
    <w:uiPriority w:val="0"/>
    <w:rPr>
      <w:rFonts w:eastAsia="华文细黑"/>
      <w:b/>
      <w:bCs/>
      <w:sz w:val="21"/>
      <w:szCs w:val="24"/>
      <w:lang w:val="en-US" w:eastAsia="zh-CN" w:bidi="ar-SA"/>
    </w:rPr>
  </w:style>
  <w:style w:type="character" w:customStyle="1" w:styleId="299">
    <w:name w:val="font21"/>
    <w:link w:val="1"/>
    <w:qFormat/>
    <w:uiPriority w:val="0"/>
    <w:rPr>
      <w:rFonts w:ascii="等线" w:hAnsi="等线" w:eastAsia="等线" w:cs="等线"/>
      <w:color w:val="000000"/>
      <w:sz w:val="24"/>
      <w:szCs w:val="24"/>
      <w:u w:val="none"/>
    </w:rPr>
  </w:style>
  <w:style w:type="character" w:customStyle="1" w:styleId="300">
    <w:name w:val="称呼 Char1"/>
    <w:link w:val="1"/>
    <w:qFormat/>
    <w:uiPriority w:val="0"/>
    <w:rPr>
      <w:sz w:val="21"/>
      <w:szCs w:val="24"/>
    </w:rPr>
  </w:style>
  <w:style w:type="character" w:customStyle="1" w:styleId="301">
    <w:name w:val="日期 Char1"/>
    <w:link w:val="1"/>
    <w:qFormat/>
    <w:uiPriority w:val="0"/>
    <w:rPr>
      <w:sz w:val="21"/>
      <w:szCs w:val="22"/>
    </w:rPr>
  </w:style>
  <w:style w:type="character" w:customStyle="1" w:styleId="302">
    <w:name w:val="文档结构图 Char1"/>
    <w:link w:val="1"/>
    <w:qFormat/>
    <w:uiPriority w:val="0"/>
    <w:rPr>
      <w:rFonts w:ascii="华文细黑"/>
      <w:sz w:val="18"/>
      <w:szCs w:val="18"/>
    </w:rPr>
  </w:style>
  <w:style w:type="character" w:customStyle="1" w:styleId="303">
    <w:name w:val="CITE"/>
    <w:link w:val="1"/>
    <w:qFormat/>
    <w:uiPriority w:val="0"/>
    <w:rPr>
      <w:i/>
    </w:rPr>
  </w:style>
  <w:style w:type="character" w:customStyle="1" w:styleId="304">
    <w:name w:val="明显强调"/>
    <w:link w:val="1"/>
    <w:qFormat/>
    <w:uiPriority w:val="0"/>
    <w:rPr>
      <w:b/>
      <w:bCs/>
      <w:i/>
      <w:iCs/>
      <w:color w:val="4F81BD"/>
    </w:rPr>
  </w:style>
  <w:style w:type="character" w:customStyle="1" w:styleId="305">
    <w:name w:val="页眉 Char1"/>
    <w:link w:val="1"/>
    <w:qFormat/>
    <w:uiPriority w:val="0"/>
    <w:rPr>
      <w:rFonts w:eastAsia="宋体"/>
      <w:sz w:val="18"/>
      <w:szCs w:val="18"/>
      <w:lang w:val="en-US" w:eastAsia="zh-CN" w:bidi="ar-SA"/>
    </w:rPr>
  </w:style>
  <w:style w:type="character" w:customStyle="1" w:styleId="306">
    <w:name w:val="CODE"/>
    <w:link w:val="1"/>
    <w:qFormat/>
    <w:uiPriority w:val="0"/>
    <w:rPr>
      <w:rFonts w:ascii="华文细黑" w:hAnsi="华文细黑"/>
      <w:sz w:val="20"/>
    </w:rPr>
  </w:style>
  <w:style w:type="character" w:customStyle="1" w:styleId="307">
    <w:name w:val=" Char Char1"/>
    <w:link w:val="1"/>
    <w:qFormat/>
    <w:uiPriority w:val="0"/>
    <w:rPr>
      <w:rFonts w:ascii="幼圆" w:hAnsi="Tahoma" w:eastAsia="幼圆" w:cs="Tahoma"/>
      <w:b/>
      <w:bCs/>
      <w:sz w:val="32"/>
      <w:szCs w:val="32"/>
      <w:lang w:val="en-US" w:eastAsia="zh-CN" w:bidi="ar-SA"/>
    </w:rPr>
  </w:style>
  <w:style w:type="character" w:customStyle="1" w:styleId="308">
    <w:name w:val="脚注文本 Char1"/>
    <w:link w:val="1"/>
    <w:qFormat/>
    <w:uiPriority w:val="0"/>
    <w:rPr>
      <w:sz w:val="18"/>
      <w:szCs w:val="18"/>
    </w:rPr>
  </w:style>
  <w:style w:type="character" w:customStyle="1" w:styleId="309">
    <w:name w:val="明显引用 字符"/>
    <w:link w:val="310"/>
    <w:qFormat/>
    <w:uiPriority w:val="0"/>
    <w:rPr>
      <w:b/>
      <w:bCs/>
      <w:i/>
      <w:iCs/>
      <w:color w:val="4F81BD"/>
      <w:sz w:val="21"/>
      <w:szCs w:val="22"/>
    </w:rPr>
  </w:style>
  <w:style w:type="paragraph" w:customStyle="1" w:styleId="310">
    <w:name w:val="明显引用"/>
    <w:basedOn w:val="1"/>
    <w:next w:val="1"/>
    <w:link w:val="309"/>
    <w:qFormat/>
    <w:uiPriority w:val="0"/>
    <w:pPr>
      <w:pBdr>
        <w:bottom w:val="single" w:color="4F81BD" w:sz="4" w:space="4"/>
      </w:pBdr>
      <w:spacing w:before="200" w:after="280"/>
      <w:ind w:left="936" w:right="936"/>
    </w:pPr>
    <w:rPr>
      <w:b/>
      <w:bCs/>
      <w:i/>
      <w:iCs/>
      <w:color w:val="4F81BD"/>
      <w:szCs w:val="22"/>
    </w:rPr>
  </w:style>
  <w:style w:type="character" w:customStyle="1" w:styleId="311">
    <w:name w:val="text_list1"/>
    <w:link w:val="1"/>
    <w:qFormat/>
    <w:uiPriority w:val="0"/>
    <w:rPr>
      <w:rFonts w:ascii="Arial" w:hAnsi="Arial" w:cs="Arial"/>
      <w:color w:val="000000"/>
      <w:spacing w:val="272"/>
      <w:sz w:val="16"/>
      <w:szCs w:val="16"/>
    </w:rPr>
  </w:style>
  <w:style w:type="character" w:customStyle="1" w:styleId="312">
    <w:name w:val="批注框文本 Char1"/>
    <w:link w:val="1"/>
    <w:qFormat/>
    <w:uiPriority w:val="0"/>
    <w:rPr>
      <w:sz w:val="18"/>
      <w:szCs w:val="18"/>
    </w:rPr>
  </w:style>
  <w:style w:type="character" w:customStyle="1" w:styleId="313">
    <w:name w:val="不明显参考"/>
    <w:link w:val="1"/>
    <w:qFormat/>
    <w:uiPriority w:val="0"/>
    <w:rPr>
      <w:smallCaps/>
      <w:color w:val="C0504D"/>
      <w:u w:val="single"/>
    </w:rPr>
  </w:style>
  <w:style w:type="character" w:customStyle="1" w:styleId="314">
    <w:name w:val="Typewriter"/>
    <w:link w:val="1"/>
    <w:qFormat/>
    <w:uiPriority w:val="0"/>
    <w:rPr>
      <w:rFonts w:ascii="华文细黑" w:hAnsi="华文细黑"/>
      <w:sz w:val="20"/>
    </w:rPr>
  </w:style>
  <w:style w:type="character" w:customStyle="1" w:styleId="315">
    <w:name w:val="结束语 Char1"/>
    <w:link w:val="1"/>
    <w:qFormat/>
    <w:uiPriority w:val="0"/>
    <w:rPr>
      <w:sz w:val="21"/>
      <w:szCs w:val="24"/>
    </w:rPr>
  </w:style>
  <w:style w:type="character" w:customStyle="1" w:styleId="316">
    <w:name w:val="font51"/>
    <w:link w:val="1"/>
    <w:qFormat/>
    <w:uiPriority w:val="0"/>
    <w:rPr>
      <w:rFonts w:hint="eastAsia" w:ascii="宋体" w:hAnsi="宋体" w:eastAsia="宋体" w:cs="宋体"/>
      <w:color w:val="000000"/>
      <w:sz w:val="20"/>
      <w:szCs w:val="20"/>
      <w:u w:val="none"/>
    </w:rPr>
  </w:style>
  <w:style w:type="character" w:customStyle="1" w:styleId="317">
    <w:name w:val="标题5 Char Char"/>
    <w:link w:val="318"/>
    <w:qFormat/>
    <w:uiPriority w:val="0"/>
    <w:rPr>
      <w:rFonts w:ascii="Tahoma" w:hAnsi="Tahoma"/>
      <w:b/>
      <w:bCs/>
      <w:sz w:val="24"/>
      <w:szCs w:val="32"/>
    </w:rPr>
  </w:style>
  <w:style w:type="paragraph" w:customStyle="1" w:styleId="318">
    <w:name w:val="标题5"/>
    <w:basedOn w:val="185"/>
    <w:link w:val="317"/>
    <w:qFormat/>
    <w:uiPriority w:val="0"/>
    <w:pPr>
      <w:spacing w:line="413" w:lineRule="auto"/>
    </w:pPr>
    <w:rPr>
      <w:rFonts w:ascii="Tahoma" w:hAnsi="Tahoma" w:eastAsia="宋体"/>
      <w:sz w:val="24"/>
    </w:rPr>
  </w:style>
  <w:style w:type="character" w:customStyle="1" w:styleId="319">
    <w:name w:val="副标题 Char1"/>
    <w:link w:val="1"/>
    <w:qFormat/>
    <w:uiPriority w:val="0"/>
    <w:rPr>
      <w:rFonts w:ascii="Cambria" w:hAnsi="Cambria" w:cs="Times New Roman"/>
      <w:b/>
      <w:bCs/>
      <w:sz w:val="32"/>
      <w:szCs w:val="32"/>
    </w:rPr>
  </w:style>
  <w:style w:type="character" w:customStyle="1" w:styleId="320">
    <w:name w:val="表格正文 Char"/>
    <w:link w:val="321"/>
    <w:qFormat/>
    <w:uiPriority w:val="0"/>
    <w:rPr>
      <w:sz w:val="21"/>
      <w:szCs w:val="24"/>
    </w:rPr>
  </w:style>
  <w:style w:type="paragraph" w:customStyle="1" w:styleId="321">
    <w:name w:val="表格正文"/>
    <w:basedOn w:val="1"/>
    <w:link w:val="320"/>
    <w:qFormat/>
    <w:uiPriority w:val="0"/>
  </w:style>
  <w:style w:type="character" w:customStyle="1" w:styleId="322">
    <w:name w:val="Variable"/>
    <w:link w:val="1"/>
    <w:qFormat/>
    <w:uiPriority w:val="0"/>
    <w:rPr>
      <w:i/>
    </w:rPr>
  </w:style>
  <w:style w:type="character" w:customStyle="1" w:styleId="323">
    <w:name w:val="引用 字符"/>
    <w:link w:val="324"/>
    <w:qFormat/>
    <w:uiPriority w:val="0"/>
    <w:rPr>
      <w:i/>
      <w:iCs/>
      <w:color w:val="000000"/>
      <w:sz w:val="21"/>
      <w:szCs w:val="22"/>
    </w:rPr>
  </w:style>
  <w:style w:type="paragraph" w:customStyle="1" w:styleId="324">
    <w:name w:val="引用"/>
    <w:basedOn w:val="1"/>
    <w:next w:val="1"/>
    <w:link w:val="323"/>
    <w:qFormat/>
    <w:uiPriority w:val="0"/>
    <w:rPr>
      <w:i/>
      <w:iCs/>
      <w:color w:val="000000"/>
      <w:szCs w:val="22"/>
    </w:rPr>
  </w:style>
  <w:style w:type="character" w:customStyle="1" w:styleId="325">
    <w:name w:val="明显引用 Char1"/>
    <w:link w:val="1"/>
    <w:qFormat/>
    <w:uiPriority w:val="30"/>
    <w:rPr>
      <w:b/>
      <w:bCs/>
      <w:i/>
      <w:iCs/>
      <w:color w:val="4F81BD"/>
      <w:sz w:val="21"/>
      <w:szCs w:val="24"/>
    </w:rPr>
  </w:style>
  <w:style w:type="character" w:customStyle="1" w:styleId="326">
    <w:name w:val="样式 标题 3 + (中文) 黑体 小四 非加粗 段前: 7.8 磅 段后: 0 磅 行距: 固定值 20 磅 Char"/>
    <w:link w:val="1"/>
    <w:qFormat/>
    <w:uiPriority w:val="0"/>
    <w:rPr>
      <w:rFonts w:ascii="幼圆" w:hAnsi="华文细黑" w:eastAsia="幼圆" w:cs="华文细黑"/>
      <w:b/>
      <w:bCs/>
      <w:sz w:val="24"/>
      <w:lang w:val="en-US" w:eastAsia="zh-CN" w:bidi="ar-SA"/>
    </w:rPr>
  </w:style>
  <w:style w:type="character" w:customStyle="1" w:styleId="327">
    <w:name w:val="HTML Markup"/>
    <w:link w:val="1"/>
    <w:qFormat/>
    <w:uiPriority w:val="0"/>
    <w:rPr>
      <w:vanish/>
      <w:color w:val="FF0000"/>
    </w:rPr>
  </w:style>
  <w:style w:type="character" w:customStyle="1" w:styleId="328">
    <w:name w:val="批注文字 Char Char"/>
    <w:link w:val="1"/>
    <w:qFormat/>
    <w:uiPriority w:val="0"/>
    <w:rPr>
      <w:rFonts w:ascii="华文细黑" w:hAnsi="Cambria" w:eastAsia="华文细黑" w:cs="Cambria"/>
      <w:sz w:val="28"/>
      <w:szCs w:val="20"/>
    </w:rPr>
  </w:style>
  <w:style w:type="character" w:customStyle="1" w:styleId="329">
    <w:name w:val="font01"/>
    <w:link w:val="1"/>
    <w:qFormat/>
    <w:uiPriority w:val="0"/>
    <w:rPr>
      <w:rFonts w:hint="eastAsia" w:ascii="宋体" w:hAnsi="宋体" w:eastAsia="宋体" w:cs="宋体"/>
      <w:b/>
      <w:bCs/>
      <w:color w:val="000000"/>
      <w:sz w:val="20"/>
      <w:szCs w:val="20"/>
      <w:u w:val="none"/>
    </w:rPr>
  </w:style>
  <w:style w:type="character" w:customStyle="1" w:styleId="330">
    <w:name w:val="NormalCharacter1"/>
    <w:link w:val="331"/>
    <w:qFormat/>
    <w:uiPriority w:val="99"/>
  </w:style>
  <w:style w:type="paragraph" w:customStyle="1" w:styleId="331">
    <w:name w:val="UserStyle_4"/>
    <w:basedOn w:val="1"/>
    <w:link w:val="330"/>
    <w:qFormat/>
    <w:uiPriority w:val="99"/>
  </w:style>
  <w:style w:type="character" w:customStyle="1" w:styleId="332">
    <w:name w:val="书籍标题"/>
    <w:link w:val="1"/>
    <w:qFormat/>
    <w:uiPriority w:val="0"/>
    <w:rPr>
      <w:b/>
      <w:bCs/>
      <w:smallCaps/>
      <w:spacing w:val="5"/>
    </w:rPr>
  </w:style>
  <w:style w:type="character" w:customStyle="1" w:styleId="333">
    <w:name w:val="引用 Char1"/>
    <w:link w:val="1"/>
    <w:qFormat/>
    <w:uiPriority w:val="29"/>
    <w:rPr>
      <w:i/>
      <w:iCs/>
      <w:color w:val="000000"/>
      <w:sz w:val="21"/>
      <w:szCs w:val="24"/>
    </w:rPr>
  </w:style>
  <w:style w:type="character" w:customStyle="1" w:styleId="334">
    <w:name w:val="HTML 预设格式 Char1"/>
    <w:link w:val="1"/>
    <w:qFormat/>
    <w:uiPriority w:val="0"/>
    <w:rPr>
      <w:rFonts w:ascii="Courier New" w:hAnsi="Courier New" w:cs="Courier New"/>
    </w:rPr>
  </w:style>
  <w:style w:type="character" w:customStyle="1" w:styleId="335">
    <w:name w:val="itm1"/>
    <w:link w:val="1"/>
    <w:qFormat/>
    <w:uiPriority w:val="0"/>
    <w:rPr>
      <w:rFonts w:hint="eastAsia" w:ascii="宋体" w:hAnsi="宋体" w:eastAsia="宋体"/>
      <w:sz w:val="21"/>
      <w:szCs w:val="21"/>
    </w:rPr>
  </w:style>
  <w:style w:type="character" w:customStyle="1" w:styleId="336">
    <w:name w:val="Sample"/>
    <w:link w:val="1"/>
    <w:qFormat/>
    <w:uiPriority w:val="0"/>
    <w:rPr>
      <w:rFonts w:ascii="华文细黑" w:hAnsi="华文细黑"/>
    </w:rPr>
  </w:style>
  <w:style w:type="character" w:customStyle="1" w:styleId="337">
    <w:name w:val="chword"/>
    <w:link w:val="1"/>
    <w:qFormat/>
    <w:uiPriority w:val="0"/>
  </w:style>
  <w:style w:type="character" w:customStyle="1" w:styleId="338">
    <w:name w:val="textcontents"/>
    <w:link w:val="1"/>
    <w:qFormat/>
    <w:uiPriority w:val="0"/>
    <w:rPr>
      <w:rFonts w:cs="Cambria"/>
    </w:rPr>
  </w:style>
  <w:style w:type="character" w:customStyle="1" w:styleId="339">
    <w:name w:val="Keyboard"/>
    <w:link w:val="1"/>
    <w:qFormat/>
    <w:uiPriority w:val="0"/>
    <w:rPr>
      <w:rFonts w:ascii="华文细黑" w:hAnsi="华文细黑"/>
      <w:b/>
      <w:sz w:val="20"/>
    </w:rPr>
  </w:style>
  <w:style w:type="character" w:customStyle="1" w:styleId="340">
    <w:name w:val="明显参考"/>
    <w:link w:val="1"/>
    <w:qFormat/>
    <w:uiPriority w:val="0"/>
    <w:rPr>
      <w:b/>
      <w:bCs/>
      <w:smallCaps/>
      <w:color w:val="C0504D"/>
      <w:spacing w:val="5"/>
      <w:u w:val="single"/>
    </w:rPr>
  </w:style>
  <w:style w:type="paragraph" w:customStyle="1" w:styleId="341">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42">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43">
    <w:name w:val="H3"/>
    <w:basedOn w:val="1"/>
    <w:next w:val="1"/>
    <w:qFormat/>
    <w:uiPriority w:val="0"/>
    <w:pPr>
      <w:keepNext/>
      <w:spacing w:before="100" w:after="100"/>
      <w:jc w:val="left"/>
      <w:outlineLvl w:val="3"/>
    </w:pPr>
    <w:rPr>
      <w:b/>
      <w:sz w:val="28"/>
      <w:szCs w:val="20"/>
    </w:rPr>
  </w:style>
  <w:style w:type="paragraph" w:customStyle="1" w:styleId="344">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45">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6">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47">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48">
    <w:name w:val="TOC 标题"/>
    <w:basedOn w:val="36"/>
    <w:next w:val="1"/>
    <w:qFormat/>
    <w:uiPriority w:val="0"/>
    <w:pPr>
      <w:numPr>
        <w:ilvl w:val="0"/>
        <w:numId w:val="0"/>
      </w:numPr>
      <w:jc w:val="both"/>
      <w:outlineLvl w:val="9"/>
    </w:pPr>
    <w:rPr>
      <w:rFonts w:ascii="Cambria" w:hAnsi="Cambria" w:eastAsia="华文细黑" w:cs="Cambria"/>
    </w:rPr>
  </w:style>
  <w:style w:type="paragraph" w:customStyle="1" w:styleId="349">
    <w:name w:val="无间隔"/>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350">
    <w:name w:val="列表段落"/>
    <w:basedOn w:val="1"/>
    <w:qFormat/>
    <w:uiPriority w:val="0"/>
    <w:pPr>
      <w:ind w:firstLine="420"/>
    </w:pPr>
    <w:rPr>
      <w:rFonts w:ascii="Calibri" w:hAnsi="Calibri"/>
      <w:szCs w:val="22"/>
    </w:rPr>
  </w:style>
  <w:style w:type="paragraph" w:customStyle="1" w:styleId="351">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52">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53">
    <w:name w:val="head 1.1.1"/>
    <w:basedOn w:val="1"/>
    <w:qFormat/>
    <w:uiPriority w:val="0"/>
    <w:pPr>
      <w:widowControl/>
      <w:numPr>
        <w:ilvl w:val="2"/>
        <w:numId w:val="4"/>
      </w:numPr>
      <w:ind w:firstLine="0"/>
      <w:contextualSpacing/>
      <w:jc w:val="left"/>
    </w:pPr>
    <w:rPr>
      <w:rFonts w:ascii="Calibri" w:hAnsi="Calibri" w:cs="宋体"/>
      <w:bCs/>
      <w:sz w:val="24"/>
      <w:lang w:val="zh-CN" w:eastAsia="en-US"/>
    </w:rPr>
  </w:style>
  <w:style w:type="paragraph" w:customStyle="1" w:styleId="354">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55">
    <w:name w:val="Address"/>
    <w:basedOn w:val="1"/>
    <w:next w:val="1"/>
    <w:qFormat/>
    <w:uiPriority w:val="0"/>
    <w:pPr>
      <w:jc w:val="left"/>
    </w:pPr>
    <w:rPr>
      <w:rFonts w:ascii="Cambria" w:hAnsi="Cambria" w:eastAsia="华文细黑" w:cs="Cambria"/>
      <w:i/>
      <w:sz w:val="24"/>
      <w:szCs w:val="20"/>
    </w:rPr>
  </w:style>
  <w:style w:type="paragraph" w:customStyle="1" w:styleId="356">
    <w:name w:val="图形"/>
    <w:basedOn w:val="1"/>
    <w:qFormat/>
    <w:uiPriority w:val="0"/>
    <w:pPr>
      <w:spacing w:after="20" w:line="288" w:lineRule="auto"/>
      <w:ind w:firstLine="420"/>
      <w:jc w:val="center"/>
    </w:pPr>
  </w:style>
  <w:style w:type="paragraph" w:customStyle="1" w:styleId="357">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58">
    <w:name w:val="TOC 标题1"/>
    <w:basedOn w:val="36"/>
    <w:next w:val="1"/>
    <w:unhideWhenUsed/>
    <w:qFormat/>
    <w:uiPriority w:val="39"/>
    <w:pPr>
      <w:widowControl/>
      <w:numPr>
        <w:ilvl w:val="0"/>
        <w:numId w:val="3"/>
      </w:numPr>
      <w:tabs>
        <w:tab w:val="left" w:pos="988"/>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359">
    <w:name w:val="正文(缩进)"/>
    <w:basedOn w:val="1"/>
    <w:qFormat/>
    <w:uiPriority w:val="0"/>
    <w:pPr>
      <w:widowControl/>
      <w:spacing w:line="360" w:lineRule="auto"/>
      <w:ind w:firstLine="200"/>
    </w:pPr>
    <w:rPr>
      <w:rFonts w:eastAsia="仿宋_GB2312"/>
      <w:sz w:val="24"/>
      <w:szCs w:val="20"/>
    </w:rPr>
  </w:style>
  <w:style w:type="paragraph" w:customStyle="1" w:styleId="360">
    <w:name w:val="表格文字"/>
    <w:basedOn w:val="1"/>
    <w:qFormat/>
    <w:uiPriority w:val="0"/>
    <w:pPr>
      <w:spacing w:line="288" w:lineRule="auto"/>
      <w:jc w:val="left"/>
    </w:pPr>
    <w:rPr>
      <w:szCs w:val="20"/>
    </w:rPr>
  </w:style>
  <w:style w:type="paragraph" w:customStyle="1" w:styleId="361">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62">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63">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36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365">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366">
    <w:name w:val="H2"/>
    <w:basedOn w:val="1"/>
    <w:next w:val="1"/>
    <w:qFormat/>
    <w:uiPriority w:val="0"/>
    <w:pPr>
      <w:keepNext/>
      <w:spacing w:before="100" w:after="100"/>
      <w:jc w:val="left"/>
      <w:outlineLvl w:val="2"/>
    </w:pPr>
    <w:rPr>
      <w:b/>
      <w:sz w:val="36"/>
      <w:szCs w:val="20"/>
    </w:rPr>
  </w:style>
  <w:style w:type="paragraph" w:customStyle="1" w:styleId="367">
    <w:name w:val="CM4"/>
    <w:basedOn w:val="368"/>
    <w:next w:val="368"/>
    <w:qFormat/>
    <w:uiPriority w:val="99"/>
    <w:pPr>
      <w:spacing w:line="468" w:lineRule="atLeast"/>
    </w:pPr>
    <w:rPr>
      <w:rFonts w:ascii="Times New Roman PSMT" w:hAnsi="Times New Roman" w:eastAsia="Times New Roman PSMT" w:cs="Times New Roman PSMT"/>
      <w:color w:val="000000"/>
    </w:rPr>
  </w:style>
  <w:style w:type="paragraph" w:customStyle="1" w:styleId="368">
    <w:name w:val="Default"/>
    <w:qFormat/>
    <w:uiPriority w:val="0"/>
    <w:pPr>
      <w:widowControl w:val="0"/>
    </w:pPr>
    <w:rPr>
      <w:rFonts w:hint="default" w:ascii="宋体" w:hAnsi="宋体" w:eastAsia="华文细黑" w:cs="宋体"/>
      <w:color w:val="000000"/>
      <w:sz w:val="24"/>
      <w:szCs w:val="24"/>
      <w:lang w:val="en-US" w:eastAsia="zh-CN" w:bidi="ar-SA"/>
    </w:rPr>
  </w:style>
  <w:style w:type="paragraph" w:customStyle="1" w:styleId="369">
    <w:name w:val="菲页1"/>
    <w:basedOn w:val="184"/>
    <w:qFormat/>
    <w:uiPriority w:val="0"/>
    <w:pPr>
      <w:widowControl/>
      <w:numPr>
        <w:ilvl w:val="1"/>
        <w:numId w:val="0"/>
      </w:numPr>
      <w:jc w:val="center"/>
    </w:pPr>
    <w:rPr>
      <w:rFonts w:ascii="黑体" w:hAnsi="宋体"/>
      <w:b w:val="0"/>
      <w:bCs w:val="0"/>
      <w:sz w:val="52"/>
      <w:szCs w:val="20"/>
    </w:rPr>
  </w:style>
  <w:style w:type="paragraph" w:customStyle="1" w:styleId="370">
    <w:name w:val="名词解释"/>
    <w:basedOn w:val="1"/>
    <w:qFormat/>
    <w:uiPriority w:val="0"/>
    <w:pPr>
      <w:spacing w:after="20" w:line="288" w:lineRule="auto"/>
      <w:ind w:left="2325" w:hanging="2325"/>
    </w:pPr>
    <w:rPr>
      <w:szCs w:val="20"/>
    </w:rPr>
  </w:style>
  <w:style w:type="paragraph" w:customStyle="1" w:styleId="371">
    <w:name w:val="Definition List"/>
    <w:basedOn w:val="1"/>
    <w:next w:val="372"/>
    <w:qFormat/>
    <w:uiPriority w:val="0"/>
    <w:pPr>
      <w:ind w:left="360"/>
      <w:jc w:val="left"/>
    </w:pPr>
    <w:rPr>
      <w:rFonts w:ascii="Cambria" w:hAnsi="Cambria" w:eastAsia="华文细黑" w:cs="Cambria"/>
      <w:sz w:val="24"/>
      <w:szCs w:val="20"/>
    </w:rPr>
  </w:style>
  <w:style w:type="paragraph" w:customStyle="1" w:styleId="372">
    <w:name w:val="Definition Term"/>
    <w:basedOn w:val="1"/>
    <w:next w:val="371"/>
    <w:qFormat/>
    <w:uiPriority w:val="0"/>
    <w:pPr>
      <w:jc w:val="left"/>
    </w:pPr>
    <w:rPr>
      <w:rFonts w:ascii="Cambria" w:hAnsi="Cambria" w:eastAsia="华文细黑" w:cs="Cambria"/>
      <w:sz w:val="24"/>
      <w:szCs w:val="20"/>
    </w:rPr>
  </w:style>
  <w:style w:type="paragraph" w:customStyle="1" w:styleId="373">
    <w:name w:val="1"/>
    <w:basedOn w:val="1"/>
    <w:qFormat/>
    <w:uiPriority w:val="0"/>
    <w:pPr>
      <w:spacing w:line="360" w:lineRule="auto"/>
      <w:ind w:firstLine="200"/>
    </w:pPr>
    <w:rPr>
      <w:rFonts w:ascii="华文细黑" w:hAnsi="华文细黑" w:eastAsia="华文细黑" w:cs="华文细黑"/>
      <w:sz w:val="24"/>
    </w:rPr>
  </w:style>
  <w:style w:type="paragraph" w:customStyle="1" w:styleId="374">
    <w:name w:val="样式 标题 2 + Times New Roman 四号 非加粗 段前: 5 磅 段后: 0 磅 行距: 固定值 20..."/>
    <w:basedOn w:val="184"/>
    <w:qFormat/>
    <w:uiPriority w:val="0"/>
    <w:pPr>
      <w:numPr>
        <w:ilvl w:val="1"/>
        <w:numId w:val="0"/>
      </w:numPr>
      <w:spacing w:before="100" w:after="0" w:line="400" w:lineRule="exact"/>
    </w:pPr>
    <w:rPr>
      <w:rFonts w:ascii="Cambria" w:hAnsi="Cambria" w:eastAsia="幼圆" w:cs="华文细黑"/>
      <w:b w:val="0"/>
      <w:bCs w:val="0"/>
      <w:color w:val="FF0000"/>
      <w:sz w:val="30"/>
      <w:szCs w:val="20"/>
    </w:rPr>
  </w:style>
  <w:style w:type="paragraph" w:customStyle="1" w:styleId="375">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76">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377">
    <w:name w:val="正文 A"/>
    <w:qFormat/>
    <w:uiPriority w:val="0"/>
    <w:pPr>
      <w:framePr w:wrap="around" w:vAnchor="margin" w:hAnchor="text" w:y="1"/>
      <w:widowControl w:val="0"/>
      <w:jc w:val="both"/>
    </w:pPr>
    <w:rPr>
      <w:rFonts w:hint="eastAsia" w:ascii="Arial Unicode MS" w:hAnsi="Arial Unicode MS" w:eastAsia="Arial Unicode MS" w:cs="Arial Unicode MS"/>
      <w:color w:val="000000"/>
      <w:sz w:val="21"/>
      <w:szCs w:val="21"/>
      <w:lang w:val="en-US" w:eastAsia="zh-CN" w:bidi="ar-SA"/>
    </w:rPr>
  </w:style>
  <w:style w:type="paragraph" w:customStyle="1" w:styleId="378">
    <w:name w:val="章标题"/>
    <w:next w:val="1"/>
    <w:qFormat/>
    <w:uiPriority w:val="0"/>
    <w:pPr>
      <w:numPr>
        <w:ilvl w:val="1"/>
        <w:numId w:val="3"/>
      </w:numPr>
      <w:tabs>
        <w:tab w:val="left" w:pos="360"/>
      </w:tabs>
      <w:spacing w:before="156" w:after="156"/>
      <w:jc w:val="both"/>
      <w:outlineLvl w:val="1"/>
    </w:pPr>
    <w:rPr>
      <w:rFonts w:hint="default" w:ascii="黑体" w:hAnsi="Times New Roman" w:eastAsia="黑体" w:cs="Times New Roman"/>
      <w:sz w:val="21"/>
      <w:lang w:val="en-US" w:eastAsia="zh-CN" w:bidi="ar-SA"/>
    </w:rPr>
  </w:style>
  <w:style w:type="paragraph" w:customStyle="1" w:styleId="379">
    <w:name w:val="样式 标题 3 + (中文) 黑体 小四 非加粗 段前: 7.8 磅 段后: 0 磅 行距: 固定值 20 磅"/>
    <w:basedOn w:val="185"/>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380">
    <w:name w:val="Char1"/>
    <w:basedOn w:val="1"/>
    <w:qFormat/>
    <w:uiPriority w:val="0"/>
    <w:rPr>
      <w:rFonts w:ascii="仿宋_GB2312" w:eastAsia="仿宋_GB2312"/>
      <w:b/>
      <w:sz w:val="32"/>
      <w:szCs w:val="32"/>
    </w:rPr>
  </w:style>
  <w:style w:type="paragraph" w:customStyle="1" w:styleId="381">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82">
    <w:name w:val="p0"/>
    <w:basedOn w:val="1"/>
    <w:qFormat/>
    <w:uiPriority w:val="0"/>
    <w:pPr>
      <w:widowControl/>
    </w:pPr>
    <w:rPr>
      <w:szCs w:val="21"/>
    </w:rPr>
  </w:style>
  <w:style w:type="paragraph" w:customStyle="1" w:styleId="383">
    <w:name w:val="Char Char Char Char Char Char Char Char Char Char"/>
    <w:basedOn w:val="1"/>
    <w:qFormat/>
    <w:uiPriority w:val="0"/>
    <w:pPr>
      <w:tabs>
        <w:tab w:val="left" w:pos="360"/>
      </w:tabs>
    </w:pPr>
  </w:style>
  <w:style w:type="paragraph" w:customStyle="1" w:styleId="384">
    <w:name w:val="空半行"/>
    <w:basedOn w:val="1"/>
    <w:qFormat/>
    <w:uiPriority w:val="0"/>
    <w:pPr>
      <w:spacing w:line="120" w:lineRule="exact"/>
    </w:pPr>
    <w:rPr>
      <w:rFonts w:ascii="Cambria" w:hAnsi="Cambria" w:eastAsia="Tahoma" w:cs="Cambria"/>
      <w:color w:val="FFFFFF"/>
      <w:sz w:val="30"/>
      <w:szCs w:val="20"/>
    </w:rPr>
  </w:style>
  <w:style w:type="paragraph" w:customStyle="1" w:styleId="385">
    <w:name w:val="项目符号1"/>
    <w:basedOn w:val="1"/>
    <w:qFormat/>
    <w:uiPriority w:val="0"/>
    <w:pPr>
      <w:numPr>
        <w:ilvl w:val="1"/>
        <w:numId w:val="3"/>
      </w:numPr>
      <w:tabs>
        <w:tab w:val="left" w:pos="360"/>
      </w:tabs>
    </w:pPr>
    <w:rPr>
      <w:szCs w:val="20"/>
    </w:rPr>
  </w:style>
  <w:style w:type="paragraph" w:customStyle="1" w:styleId="386">
    <w:name w:val=" Char Char Char Char"/>
    <w:basedOn w:val="1"/>
    <w:qFormat/>
    <w:uiPriority w:val="0"/>
    <w:pPr>
      <w:widowControl/>
      <w:numPr>
        <w:ilvl w:val="0"/>
        <w:numId w:val="3"/>
      </w:numPr>
      <w:spacing w:after="120" w:line="360" w:lineRule="auto"/>
      <w:ind w:left="560" w:firstLine="480"/>
      <w:jc w:val="left"/>
    </w:pPr>
    <w:rPr>
      <w:rFonts w:ascii="Verdana" w:hAnsi="Verdana"/>
      <w:sz w:val="24"/>
    </w:rPr>
  </w:style>
  <w:style w:type="paragraph" w:customStyle="1" w:styleId="387">
    <w:name w:val="head 1.1"/>
    <w:basedOn w:val="1"/>
    <w:qFormat/>
    <w:uiPriority w:val="0"/>
    <w:pPr>
      <w:widowControl/>
      <w:numPr>
        <w:ilvl w:val="1"/>
        <w:numId w:val="4"/>
      </w:numPr>
      <w:spacing w:before="260" w:after="260"/>
      <w:contextualSpacing/>
      <w:jc w:val="left"/>
    </w:pPr>
    <w:rPr>
      <w:rFonts w:ascii="宋体" w:hAnsi="宋体" w:cs="宋体"/>
      <w:bCs/>
      <w:sz w:val="24"/>
      <w:lang w:val="zh-CN" w:eastAsia="en-US"/>
    </w:rPr>
  </w:style>
  <w:style w:type="paragraph" w:customStyle="1" w:styleId="388">
    <w:name w:val="Normal1"/>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389">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90">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1">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styleId="392">
    <w:name w:val="List Paragraph"/>
    <w:basedOn w:val="1"/>
    <w:qFormat/>
    <w:uiPriority w:val="34"/>
    <w:pPr>
      <w:ind w:firstLine="420"/>
    </w:pPr>
    <w:rPr>
      <w:rFonts w:ascii="Calibri" w:hAnsi="Calibri"/>
      <w:szCs w:val="22"/>
    </w:rPr>
  </w:style>
  <w:style w:type="paragraph" w:customStyle="1" w:styleId="393">
    <w:name w:val=" Char Char Char Char Char Char Char Char Char Char"/>
    <w:basedOn w:val="1"/>
    <w:qFormat/>
    <w:uiPriority w:val="0"/>
    <w:pPr>
      <w:numPr>
        <w:ilvl w:val="0"/>
        <w:numId w:val="2"/>
      </w:numPr>
    </w:pPr>
    <w:rPr>
      <w:sz w:val="24"/>
    </w:rPr>
  </w:style>
  <w:style w:type="paragraph" w:customStyle="1" w:styleId="394">
    <w:name w:val="样式 标题 1 + 黑体 三号 非加粗 居中 段前: 6 磅 段后: 6 磅 行距: 固定值 20 磅"/>
    <w:basedOn w:val="36"/>
    <w:qFormat/>
    <w:uiPriority w:val="0"/>
    <w:pPr>
      <w:numPr>
        <w:ilvl w:val="0"/>
        <w:numId w:val="0"/>
      </w:numPr>
      <w:spacing w:before="120" w:after="120" w:line="400" w:lineRule="exact"/>
    </w:pPr>
    <w:rPr>
      <w:rFonts w:ascii="幼圆" w:hAnsi="幼圆" w:eastAsia="幼圆" w:cs="华文细黑"/>
      <w:b w:val="0"/>
      <w:bCs w:val="0"/>
      <w:sz w:val="32"/>
      <w:szCs w:val="20"/>
    </w:rPr>
  </w:style>
  <w:style w:type="paragraph" w:customStyle="1" w:styleId="395">
    <w:name w:val="默认段落字体 Para Char Char Char1 Char"/>
    <w:basedOn w:val="1"/>
    <w:qFormat/>
    <w:uiPriority w:val="0"/>
    <w:pPr>
      <w:spacing w:line="360" w:lineRule="auto"/>
      <w:ind w:left="420" w:firstLine="420"/>
    </w:pPr>
    <w:rPr>
      <w:sz w:val="24"/>
      <w:szCs w:val="21"/>
    </w:rPr>
  </w:style>
  <w:style w:type="paragraph" w:customStyle="1" w:styleId="396">
    <w:name w:val="简介正文"/>
    <w:basedOn w:val="1"/>
    <w:qFormat/>
    <w:uiPriority w:val="0"/>
    <w:pPr>
      <w:numPr>
        <w:ilvl w:val="0"/>
        <w:numId w:val="3"/>
      </w:numPr>
      <w:spacing w:after="20" w:line="520" w:lineRule="exact"/>
      <w:ind w:left="1701" w:hanging="1701"/>
    </w:pPr>
    <w:rPr>
      <w:sz w:val="24"/>
      <w:szCs w:val="20"/>
    </w:rPr>
  </w:style>
  <w:style w:type="paragraph" w:customStyle="1" w:styleId="397">
    <w:name w:val="Char Char Char Char Char Char Char Char Char Char Char Char Char Char Char Char"/>
    <w:basedOn w:val="1"/>
    <w:qFormat/>
    <w:uiPriority w:val="0"/>
    <w:pPr>
      <w:tabs>
        <w:tab w:val="left" w:pos="360"/>
      </w:tabs>
    </w:pPr>
    <w:rPr>
      <w:sz w:val="24"/>
    </w:rPr>
  </w:style>
  <w:style w:type="paragraph" w:customStyle="1" w:styleId="398">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99">
    <w:name w:val="菲页(卷)"/>
    <w:basedOn w:val="36"/>
    <w:next w:val="388"/>
    <w:qFormat/>
    <w:uiPriority w:val="0"/>
    <w:pPr>
      <w:keepLines w:val="0"/>
      <w:widowControl/>
      <w:spacing w:before="0" w:after="0" w:line="240" w:lineRule="auto"/>
      <w:ind w:left="780" w:hanging="360"/>
      <w:outlineLvl w:val="1"/>
    </w:pPr>
    <w:rPr>
      <w:b w:val="0"/>
      <w:bCs w:val="0"/>
      <w:sz w:val="52"/>
      <w:szCs w:val="20"/>
    </w:rPr>
  </w:style>
  <w:style w:type="paragraph" w:customStyle="1" w:styleId="40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01">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02">
    <w:name w:val="yyn"/>
    <w:basedOn w:val="1"/>
    <w:qFormat/>
    <w:uiPriority w:val="0"/>
    <w:pPr>
      <w:keepNext/>
      <w:widowControl/>
      <w:spacing w:line="360" w:lineRule="auto"/>
      <w:ind w:right="562" w:firstLine="576"/>
    </w:pPr>
    <w:rPr>
      <w:rFonts w:ascii="宋体"/>
      <w:sz w:val="28"/>
      <w:szCs w:val="20"/>
    </w:rPr>
  </w:style>
  <w:style w:type="paragraph" w:customStyle="1" w:styleId="403">
    <w:name w:val="BodyTextIndent1"/>
    <w:basedOn w:val="1"/>
    <w:qFormat/>
    <w:uiPriority w:val="0"/>
    <w:pPr>
      <w:widowControl/>
      <w:spacing w:line="360" w:lineRule="auto"/>
      <w:ind w:firstLine="480"/>
    </w:pPr>
    <w:rPr>
      <w:rFonts w:ascii="宋体" w:hAnsi="宋体" w:eastAsia="宋体" w:cs="Times New Roman"/>
      <w:sz w:val="24"/>
      <w:szCs w:val="20"/>
    </w:rPr>
  </w:style>
  <w:style w:type="paragraph" w:customStyle="1" w:styleId="404">
    <w:name w:val="菲页2"/>
    <w:basedOn w:val="185"/>
    <w:qFormat/>
    <w:uiPriority w:val="0"/>
    <w:pPr>
      <w:widowControl/>
      <w:spacing w:before="120" w:after="120" w:line="360" w:lineRule="auto"/>
      <w:ind w:left="6233" w:hanging="420"/>
      <w:jc w:val="center"/>
    </w:pPr>
    <w:rPr>
      <w:rFonts w:hAnsi="宋体"/>
      <w:b w:val="0"/>
      <w:bCs w:val="0"/>
      <w:sz w:val="44"/>
      <w:szCs w:val="20"/>
      <w:lang w:val="en-US" w:eastAsia="zh-CN"/>
    </w:rPr>
  </w:style>
  <w:style w:type="paragraph" w:customStyle="1" w:styleId="405">
    <w:name w:val="_Style 1"/>
    <w:basedOn w:val="1"/>
    <w:qFormat/>
    <w:uiPriority w:val="34"/>
    <w:pPr>
      <w:ind w:firstLine="420"/>
    </w:pPr>
    <w:rPr>
      <w:rFonts w:ascii="Calibri" w:hAnsi="Calibri"/>
      <w:szCs w:val="22"/>
    </w:rPr>
  </w:style>
  <w:style w:type="paragraph" w:customStyle="1" w:styleId="406">
    <w:name w:val="Javis"/>
    <w:basedOn w:val="1"/>
    <w:qFormat/>
    <w:uiPriority w:val="0"/>
    <w:pPr>
      <w:ind w:right="210"/>
    </w:pPr>
    <w:rPr>
      <w:rFonts w:cs="宋体"/>
      <w:sz w:val="24"/>
      <w:szCs w:val="20"/>
    </w:rPr>
  </w:style>
  <w:style w:type="paragraph" w:customStyle="1" w:styleId="407">
    <w:name w:val="表头"/>
    <w:basedOn w:val="1"/>
    <w:qFormat/>
    <w:uiPriority w:val="0"/>
    <w:pPr>
      <w:spacing w:line="320" w:lineRule="atLeast"/>
      <w:jc w:val="center"/>
    </w:pPr>
    <w:rPr>
      <w:rFonts w:eastAsia="黑体"/>
      <w:spacing w:val="-10"/>
      <w:szCs w:val="20"/>
    </w:rPr>
  </w:style>
  <w:style w:type="paragraph" w:customStyle="1" w:styleId="408">
    <w:name w:val="标准文字"/>
    <w:basedOn w:val="1"/>
    <w:qFormat/>
    <w:uiPriority w:val="0"/>
    <w:pPr>
      <w:spacing w:after="20" w:line="360" w:lineRule="auto"/>
      <w:ind w:firstLine="420"/>
    </w:pPr>
  </w:style>
  <w:style w:type="paragraph" w:customStyle="1" w:styleId="409">
    <w:name w:val=" Char Char Char Char Char Char Char Char Char Char1"/>
    <w:basedOn w:val="1"/>
    <w:qFormat/>
    <w:uiPriority w:val="0"/>
    <w:pPr>
      <w:tabs>
        <w:tab w:val="left" w:pos="425"/>
      </w:tabs>
      <w:ind w:left="425" w:hanging="425"/>
    </w:pPr>
    <w:rPr>
      <w:sz w:val="28"/>
      <w:szCs w:val="20"/>
    </w:rPr>
  </w:style>
  <w:style w:type="paragraph" w:customStyle="1" w:styleId="410">
    <w:name w:val="a2"/>
    <w:basedOn w:val="1"/>
    <w:qFormat/>
    <w:uiPriority w:val="0"/>
    <w:pPr>
      <w:widowControl/>
      <w:spacing w:before="100" w:beforeAutospacing="1" w:after="100" w:afterAutospacing="1"/>
      <w:jc w:val="left"/>
    </w:pPr>
    <w:rPr>
      <w:rFonts w:ascii="宋体" w:hAnsi="宋体" w:cs="宋体"/>
      <w:sz w:val="24"/>
    </w:rPr>
  </w:style>
  <w:style w:type="paragraph" w:customStyle="1" w:styleId="411">
    <w:name w:val="默认段落字体 Para Char Char Char"/>
    <w:basedOn w:val="1"/>
    <w:qFormat/>
    <w:uiPriority w:val="0"/>
  </w:style>
  <w:style w:type="paragraph" w:customStyle="1" w:styleId="412">
    <w:name w:val="H4"/>
    <w:basedOn w:val="1"/>
    <w:next w:val="1"/>
    <w:qFormat/>
    <w:uiPriority w:val="0"/>
    <w:pPr>
      <w:keepNext/>
      <w:spacing w:before="100" w:after="100"/>
      <w:jc w:val="left"/>
      <w:outlineLvl w:val="4"/>
    </w:pPr>
    <w:rPr>
      <w:b/>
      <w:sz w:val="24"/>
      <w:szCs w:val="20"/>
    </w:rPr>
  </w:style>
  <w:style w:type="paragraph" w:customStyle="1" w:styleId="413">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14">
    <w:name w:val="样式 纯文本 + 楷体_GB2312 小四 行距: 固定值 20 磅1"/>
    <w:basedOn w:val="229"/>
    <w:qFormat/>
    <w:uiPriority w:val="0"/>
    <w:pPr>
      <w:spacing w:line="400" w:lineRule="exact"/>
      <w:ind w:firstLine="200"/>
    </w:pPr>
    <w:rPr>
      <w:rFonts w:ascii="楷体_GB2312" w:eastAsia="楷体_GB2312"/>
      <w:sz w:val="24"/>
      <w:szCs w:val="20"/>
    </w:rPr>
  </w:style>
  <w:style w:type="paragraph" w:customStyle="1" w:styleId="415">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6">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17">
    <w:name w:val="ZDY正文"/>
    <w:basedOn w:val="1"/>
    <w:qFormat/>
    <w:uiPriority w:val="0"/>
    <w:pPr>
      <w:spacing w:before="156" w:line="360" w:lineRule="auto"/>
      <w:ind w:firstLine="200"/>
      <w:jc w:val="left"/>
    </w:pPr>
    <w:rPr>
      <w:rFonts w:ascii="宋体" w:hAnsi="宋体"/>
      <w:sz w:val="24"/>
    </w:rPr>
  </w:style>
  <w:style w:type="paragraph" w:customStyle="1" w:styleId="418">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19">
    <w:name w:val="表格标题"/>
    <w:basedOn w:val="1"/>
    <w:qFormat/>
    <w:uiPriority w:val="0"/>
    <w:pPr>
      <w:spacing w:before="120" w:line="400" w:lineRule="exact"/>
      <w:jc w:val="center"/>
    </w:pPr>
    <w:rPr>
      <w:rFonts w:eastAsia="文鼎CS中宋"/>
      <w:spacing w:val="8"/>
      <w:sz w:val="24"/>
      <w:szCs w:val="20"/>
    </w:rPr>
  </w:style>
  <w:style w:type="paragraph" w:customStyle="1" w:styleId="420">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21">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22">
    <w:name w:val="目录"/>
    <w:basedOn w:val="1"/>
    <w:next w:val="1"/>
    <w:qFormat/>
    <w:uiPriority w:val="0"/>
    <w:pPr>
      <w:spacing w:before="360" w:after="360" w:line="360" w:lineRule="auto"/>
      <w:ind w:firstLine="420"/>
      <w:jc w:val="center"/>
    </w:pPr>
    <w:rPr>
      <w:b/>
      <w:spacing w:val="200"/>
      <w:sz w:val="36"/>
      <w:szCs w:val="20"/>
    </w:rPr>
  </w:style>
  <w:style w:type="paragraph" w:customStyle="1" w:styleId="423">
    <w:name w:val="CM41"/>
    <w:basedOn w:val="368"/>
    <w:next w:val="368"/>
    <w:qFormat/>
    <w:uiPriority w:val="99"/>
    <w:pPr>
      <w:spacing w:after="478"/>
    </w:pPr>
    <w:rPr>
      <w:rFonts w:ascii="Times New Roman PSMT" w:hAnsi="Times New Roman" w:eastAsia="Times New Roman PSMT" w:cs="Times New Roman PSMT"/>
      <w:color w:val="000000"/>
    </w:rPr>
  </w:style>
  <w:style w:type="paragraph" w:customStyle="1" w:styleId="424">
    <w:name w:val="表蕊"/>
    <w:basedOn w:val="1"/>
    <w:qFormat/>
    <w:uiPriority w:val="0"/>
    <w:pPr>
      <w:spacing w:line="320" w:lineRule="atLeast"/>
      <w:jc w:val="left"/>
    </w:pPr>
    <w:rPr>
      <w:rFonts w:eastAsia="楷体_GB2312"/>
      <w:spacing w:val="-10"/>
      <w:szCs w:val="20"/>
    </w:rPr>
  </w:style>
  <w:style w:type="paragraph" w:customStyle="1" w:styleId="425">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26">
    <w:name w:val="重点"/>
    <w:basedOn w:val="1"/>
    <w:qFormat/>
    <w:uiPriority w:val="0"/>
    <w:pPr>
      <w:shd w:val="pct10" w:color="auto" w:fill="auto"/>
      <w:spacing w:after="20" w:line="288" w:lineRule="auto"/>
      <w:ind w:firstLine="420"/>
    </w:pPr>
    <w:rPr>
      <w:rFonts w:eastAsia="黑体"/>
      <w:b/>
    </w:rPr>
  </w:style>
  <w:style w:type="paragraph" w:customStyle="1" w:styleId="427">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42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9">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30">
    <w:name w:val="修订"/>
    <w:qFormat/>
    <w:uiPriority w:val="0"/>
    <w:rPr>
      <w:rFonts w:hint="default" w:ascii="Cambria" w:hAnsi="Cambria" w:eastAsia="华文细黑" w:cs="Cambria"/>
      <w:sz w:val="21"/>
      <w:szCs w:val="24"/>
      <w:lang w:val="en-US" w:eastAsia="zh-CN" w:bidi="ar-SA"/>
    </w:rPr>
  </w:style>
  <w:style w:type="paragraph" w:customStyle="1" w:styleId="431">
    <w:name w:val="Char Char Char Char"/>
    <w:basedOn w:val="1"/>
    <w:qFormat/>
    <w:uiPriority w:val="0"/>
    <w:rPr>
      <w:rFonts w:ascii="Tahoma" w:hAnsi="Tahoma"/>
      <w:sz w:val="24"/>
      <w:szCs w:val="20"/>
    </w:rPr>
  </w:style>
  <w:style w:type="paragraph" w:customStyle="1" w:styleId="432">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33">
    <w:name w:val="Char Char Char1 Char Char Char"/>
    <w:basedOn w:val="1"/>
    <w:qFormat/>
    <w:uiPriority w:val="0"/>
    <w:pPr>
      <w:ind w:firstLine="200"/>
    </w:pPr>
    <w:rPr>
      <w:rFonts w:ascii="Tahoma" w:hAnsi="Tahoma"/>
      <w:sz w:val="24"/>
      <w:szCs w:val="20"/>
    </w:rPr>
  </w:style>
  <w:style w:type="paragraph" w:customStyle="1" w:styleId="434">
    <w:name w:val="函数注释1"/>
    <w:basedOn w:val="1"/>
    <w:qFormat/>
    <w:uiPriority w:val="0"/>
    <w:pPr>
      <w:spacing w:after="20" w:line="320" w:lineRule="exact"/>
      <w:ind w:left="1678" w:right="210" w:hanging="1049"/>
      <w:jc w:val="left"/>
    </w:pPr>
    <w:rPr>
      <w:szCs w:val="20"/>
    </w:rPr>
  </w:style>
  <w:style w:type="paragraph" w:customStyle="1" w:styleId="435">
    <w:name w:val="H1"/>
    <w:basedOn w:val="1"/>
    <w:next w:val="1"/>
    <w:qFormat/>
    <w:uiPriority w:val="0"/>
    <w:pPr>
      <w:keepNext/>
      <w:spacing w:before="100" w:after="100"/>
      <w:jc w:val="left"/>
      <w:outlineLvl w:val="1"/>
    </w:pPr>
    <w:rPr>
      <w:b/>
      <w:sz w:val="48"/>
      <w:szCs w:val="20"/>
    </w:rPr>
  </w:style>
  <w:style w:type="paragraph" w:customStyle="1" w:styleId="43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437">
    <w:name w:val="H5"/>
    <w:basedOn w:val="1"/>
    <w:next w:val="1"/>
    <w:qFormat/>
    <w:uiPriority w:val="0"/>
    <w:pPr>
      <w:keepNext/>
      <w:spacing w:before="100" w:after="100"/>
      <w:jc w:val="left"/>
      <w:outlineLvl w:val="5"/>
    </w:pPr>
    <w:rPr>
      <w:b/>
      <w:sz w:val="20"/>
      <w:szCs w:val="20"/>
    </w:rPr>
  </w:style>
  <w:style w:type="paragraph" w:customStyle="1" w:styleId="438">
    <w:name w:val="样式1"/>
    <w:basedOn w:val="1"/>
    <w:qFormat/>
    <w:uiPriority w:val="0"/>
    <w:pPr>
      <w:spacing w:before="120" w:after="120" w:line="300" w:lineRule="auto"/>
    </w:pPr>
    <w:rPr>
      <w:rFonts w:ascii="宋体" w:hAnsi="宋体"/>
      <w:b/>
      <w:sz w:val="24"/>
      <w:szCs w:val="20"/>
    </w:rPr>
  </w:style>
  <w:style w:type="paragraph" w:customStyle="1" w:styleId="439">
    <w:name w:val="z-Top of Form"/>
    <w:next w:val="1"/>
    <w:qFormat/>
    <w:uiPriority w:val="0"/>
    <w:pPr>
      <w:widowControl w:val="0"/>
      <w:pBdr>
        <w:bottom w:val="single" w:color="000000" w:sz="2" w:space="0"/>
      </w:pBdr>
      <w:jc w:val="center"/>
    </w:pPr>
    <w:rPr>
      <w:rFonts w:hint="default" w:ascii="Tahoma" w:hAnsi="Tahoma" w:eastAsia="华文细黑" w:cs="Cambria"/>
      <w:vanish/>
      <w:sz w:val="16"/>
      <w:lang w:val="en-US" w:eastAsia="zh-CN" w:bidi="ar-SA"/>
    </w:rPr>
  </w:style>
  <w:style w:type="paragraph" w:customStyle="1" w:styleId="440">
    <w:name w:val="Char"/>
    <w:basedOn w:val="1"/>
    <w:qFormat/>
    <w:uiPriority w:val="0"/>
    <w:pPr>
      <w:spacing w:line="240" w:lineRule="atLeast"/>
      <w:ind w:left="420" w:firstLine="420"/>
    </w:pPr>
    <w:rPr>
      <w:szCs w:val="21"/>
    </w:rPr>
  </w:style>
  <w:style w:type="paragraph" w:customStyle="1" w:styleId="441">
    <w:name w:val="Table Paragraph"/>
    <w:basedOn w:val="1"/>
    <w:unhideWhenUsed/>
    <w:qFormat/>
    <w:uiPriority w:val="1"/>
    <w:pPr>
      <w:spacing w:before="144"/>
      <w:ind w:left="390" w:right="384"/>
      <w:jc w:val="center"/>
    </w:pPr>
    <w:rPr>
      <w:rFonts w:hint="eastAsia"/>
      <w:sz w:val="24"/>
    </w:rPr>
  </w:style>
  <w:style w:type="paragraph" w:customStyle="1" w:styleId="44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3">
    <w:name w:val="名词解释11"/>
    <w:basedOn w:val="370"/>
    <w:qFormat/>
    <w:uiPriority w:val="0"/>
    <w:pPr>
      <w:spacing w:after="0"/>
      <w:ind w:firstLine="0"/>
    </w:pPr>
  </w:style>
  <w:style w:type="paragraph" w:customStyle="1" w:styleId="444">
    <w:name w:val="目录文字"/>
    <w:basedOn w:val="1"/>
    <w:qFormat/>
    <w:uiPriority w:val="0"/>
    <w:pPr>
      <w:widowControl/>
      <w:spacing w:line="480" w:lineRule="auto"/>
      <w:jc w:val="left"/>
    </w:pPr>
    <w:rPr>
      <w:rFonts w:ascii="宋体" w:hAnsi="宋体"/>
      <w:sz w:val="24"/>
      <w:szCs w:val="20"/>
    </w:rPr>
  </w:style>
  <w:style w:type="paragraph" w:customStyle="1" w:styleId="445">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46">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7">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8">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49">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5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1">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52">
    <w:name w:val="列出段落1"/>
    <w:basedOn w:val="1"/>
    <w:qFormat/>
    <w:uiPriority w:val="34"/>
    <w:pPr>
      <w:spacing w:before="120" w:after="120" w:line="360" w:lineRule="auto"/>
      <w:ind w:firstLine="420"/>
    </w:pPr>
    <w:rPr>
      <w:rFonts w:ascii="Calibri" w:hAnsi="Calibri"/>
      <w:sz w:val="24"/>
      <w:szCs w:val="22"/>
    </w:rPr>
  </w:style>
  <w:style w:type="paragraph" w:customStyle="1" w:styleId="453">
    <w:name w:val="标准式样"/>
    <w:basedOn w:val="256"/>
    <w:qFormat/>
    <w:uiPriority w:val="0"/>
  </w:style>
  <w:style w:type="paragraph" w:customStyle="1" w:styleId="454">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55">
    <w:name w:val="Char11"/>
    <w:basedOn w:val="1"/>
    <w:qFormat/>
    <w:uiPriority w:val="0"/>
    <w:rPr>
      <w:rFonts w:ascii="仿宋_GB2312" w:eastAsia="仿宋_GB2312"/>
      <w:b/>
      <w:sz w:val="32"/>
      <w:szCs w:val="32"/>
    </w:rPr>
  </w:style>
  <w:style w:type="paragraph" w:customStyle="1" w:styleId="45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57">
    <w:name w:val="表格"/>
    <w:basedOn w:val="1"/>
    <w:qFormat/>
    <w:uiPriority w:val="0"/>
    <w:pPr>
      <w:jc w:val="center"/>
    </w:pPr>
    <w:rPr>
      <w:szCs w:val="21"/>
    </w:rPr>
  </w:style>
  <w:style w:type="paragraph" w:customStyle="1" w:styleId="45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59">
    <w:name w:val=" Char"/>
    <w:basedOn w:val="1"/>
    <w:qFormat/>
    <w:uiPriority w:val="0"/>
    <w:pPr>
      <w:spacing w:line="360" w:lineRule="auto"/>
      <w:ind w:firstLine="200"/>
    </w:pPr>
    <w:rPr>
      <w:rFonts w:ascii="宋体" w:hAnsi="宋体" w:cs="宋体"/>
      <w:sz w:val="24"/>
    </w:rPr>
  </w:style>
  <w:style w:type="paragraph" w:customStyle="1" w:styleId="460">
    <w:name w:val="程序代码"/>
    <w:basedOn w:val="1"/>
    <w:qFormat/>
    <w:uiPriority w:val="0"/>
    <w:pPr>
      <w:spacing w:after="20" w:line="288" w:lineRule="auto"/>
      <w:ind w:left="839" w:firstLine="420"/>
    </w:pPr>
    <w:rPr>
      <w:rFonts w:eastAsia="仿宋_GB2312"/>
    </w:rPr>
  </w:style>
  <w:style w:type="paragraph" w:customStyle="1" w:styleId="461">
    <w:name w:val="标题0"/>
    <w:basedOn w:val="266"/>
    <w:next w:val="266"/>
    <w:qFormat/>
    <w:uiPriority w:val="0"/>
    <w:rPr>
      <w:sz w:val="52"/>
    </w:rPr>
  </w:style>
  <w:style w:type="paragraph" w:customStyle="1" w:styleId="462">
    <w:name w:val="z-Bottom of Form"/>
    <w:next w:val="1"/>
    <w:qFormat/>
    <w:uiPriority w:val="0"/>
    <w:pPr>
      <w:widowControl w:val="0"/>
      <w:pBdr>
        <w:top w:val="single" w:color="000000" w:sz="2" w:space="0"/>
      </w:pBdr>
      <w:jc w:val="center"/>
    </w:pPr>
    <w:rPr>
      <w:rFonts w:hint="default" w:ascii="Tahoma" w:hAnsi="Tahoma" w:eastAsia="华文细黑" w:cs="Cambria"/>
      <w:vanish/>
      <w:sz w:val="16"/>
      <w:lang w:val="en-US" w:eastAsia="zh-CN" w:bidi="ar-SA"/>
    </w:rPr>
  </w:style>
  <w:style w:type="paragraph" w:customStyle="1" w:styleId="463">
    <w:name w:val="默认段落字体 Para Char Char Char Char Char Char Char"/>
    <w:basedOn w:val="1"/>
    <w:qFormat/>
    <w:uiPriority w:val="0"/>
    <w:rPr>
      <w:rFonts w:eastAsia="华文细黑" w:cs="Cambria"/>
      <w:sz w:val="24"/>
      <w:szCs w:val="20"/>
    </w:rPr>
  </w:style>
  <w:style w:type="paragraph" w:customStyle="1" w:styleId="464">
    <w:name w:val="列表2"/>
    <w:basedOn w:val="1"/>
    <w:qFormat/>
    <w:uiPriority w:val="0"/>
    <w:pPr>
      <w:tabs>
        <w:tab w:val="left" w:pos="1470"/>
      </w:tabs>
      <w:spacing w:after="20" w:line="288" w:lineRule="auto"/>
      <w:ind w:left="1469" w:hanging="420"/>
    </w:pPr>
  </w:style>
  <w:style w:type="paragraph" w:customStyle="1" w:styleId="465">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466">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67">
    <w:name w:val="无间隔1"/>
    <w:qFormat/>
    <w:uiPriority w:val="1"/>
    <w:pPr>
      <w:widowControl w:val="0"/>
      <w:jc w:val="both"/>
    </w:pPr>
    <w:rPr>
      <w:rFonts w:hint="default" w:ascii="Calibri" w:hAnsi="Calibri" w:eastAsia="宋体" w:cs="Times New Roman"/>
      <w:sz w:val="21"/>
      <w:szCs w:val="22"/>
      <w:lang w:val="en-US" w:eastAsia="zh-CN" w:bidi="ar-SA"/>
    </w:rPr>
  </w:style>
  <w:style w:type="paragraph" w:customStyle="1" w:styleId="468">
    <w:name w:val="函数注释2"/>
    <w:basedOn w:val="1"/>
    <w:qFormat/>
    <w:uiPriority w:val="0"/>
    <w:pPr>
      <w:spacing w:after="20" w:line="288" w:lineRule="auto"/>
      <w:ind w:left="1680" w:firstLine="420"/>
    </w:pPr>
  </w:style>
  <w:style w:type="paragraph" w:customStyle="1" w:styleId="469">
    <w:name w:val="H6"/>
    <w:basedOn w:val="1"/>
    <w:next w:val="1"/>
    <w:qFormat/>
    <w:uiPriority w:val="0"/>
    <w:pPr>
      <w:keepNext/>
      <w:spacing w:before="100" w:after="100"/>
      <w:jc w:val="left"/>
      <w:outlineLvl w:val="6"/>
    </w:pPr>
    <w:rPr>
      <w:b/>
      <w:sz w:val="16"/>
      <w:szCs w:val="20"/>
    </w:rPr>
  </w:style>
  <w:style w:type="paragraph" w:customStyle="1" w:styleId="470">
    <w:name w:val="Default Paragraph Font Para Char"/>
    <w:basedOn w:val="1"/>
    <w:qFormat/>
    <w:uiPriority w:val="0"/>
    <w:pPr>
      <w:widowControl/>
      <w:spacing w:after="160" w:line="240" w:lineRule="exact"/>
      <w:jc w:val="left"/>
    </w:pPr>
  </w:style>
  <w:style w:type="paragraph" w:customStyle="1" w:styleId="471">
    <w:name w:val="列表_名词"/>
    <w:basedOn w:val="443"/>
    <w:qFormat/>
    <w:uiPriority w:val="0"/>
    <w:pPr>
      <w:tabs>
        <w:tab w:val="left" w:pos="2745"/>
      </w:tabs>
      <w:ind w:left="2745" w:hanging="420"/>
    </w:pPr>
  </w:style>
  <w:style w:type="paragraph" w:customStyle="1" w:styleId="472">
    <w:name w:val="普通文字"/>
    <w:basedOn w:val="1"/>
    <w:next w:val="1"/>
    <w:qFormat/>
    <w:uiPriority w:val="0"/>
    <w:rPr>
      <w:rFonts w:ascii="宋体"/>
      <w:sz w:val="24"/>
      <w:szCs w:val="20"/>
    </w:rPr>
  </w:style>
  <w:style w:type="paragraph" w:customStyle="1" w:styleId="473">
    <w:name w:val="普通正文"/>
    <w:basedOn w:val="1"/>
    <w:qFormat/>
    <w:uiPriority w:val="0"/>
    <w:pPr>
      <w:spacing w:before="120" w:after="120" w:line="360" w:lineRule="auto"/>
      <w:ind w:firstLine="480"/>
      <w:jc w:val="left"/>
    </w:pPr>
    <w:rPr>
      <w:rFonts w:ascii="Arial" w:hAnsi="Arial"/>
      <w:sz w:val="24"/>
      <w:szCs w:val="24"/>
    </w:rPr>
  </w:style>
  <w:style w:type="character" w:customStyle="1" w:styleId="474">
    <w:name w:val="HTML 打字机1"/>
    <w:link w:val="1"/>
    <w:qFormat/>
    <w:uiPriority w:val="99"/>
    <w:rPr>
      <w:rFonts w:ascii="宋体" w:hAnsi="宋体" w:eastAsia="宋体" w:cs="宋体"/>
      <w:sz w:val="24"/>
      <w:szCs w:val="24"/>
    </w:rPr>
  </w:style>
  <w:style w:type="table" w:customStyle="1" w:styleId="475">
    <w:name w:val="Table Normal"/>
    <w:unhideWhenUsed/>
    <w:qFormat/>
    <w:uiPriority w:val="2"/>
    <w:pPr>
      <w:widowControl w:val="0"/>
    </w:pPr>
    <w:rPr>
      <w:sz w:val="22"/>
      <w:lang w:eastAsia="en-US"/>
    </w:rPr>
  </w:style>
  <w:style w:type="paragraph" w:customStyle="1" w:styleId="476">
    <w:name w:val="正文缩进1"/>
    <w:basedOn w:val="1"/>
    <w:qFormat/>
    <w:uiPriority w:val="0"/>
    <w:pPr>
      <w:widowControl/>
      <w:ind w:firstLine="420"/>
      <w:jc w:val="left"/>
    </w:pPr>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Company>
  <Pages>57</Pages>
  <Words>29057</Words>
  <Characters>30754</Characters>
  <TotalTime>1</TotalTime>
  <ScaleCrop>false</ScaleCrop>
  <LinksUpToDate>false</LinksUpToDate>
  <CharactersWithSpaces>31770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2022-12-06T08:14:00Z</dcterms:created>
  <dc:creator>l</dc:creator>
  <cp:lastModifiedBy>king</cp:lastModifiedBy>
  <cp:lastPrinted>2026-09-14T05:31:00Z</cp:lastPrinted>
  <dcterms:modified xsi:type="dcterms:W3CDTF">2026-09-17T07:20:02Z</dcterms:modified>
  <dc:title>竞争性谈判</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eyJoZGlkIjoiMWFmNDRhNzgzMmZmMzU4M2YzZjk4ZWU1ZjViMDlkOTQiLCJ1c2VySWQiOiIxMjY4OTQ1NzM3In0=</vt:lpwstr>
  </property>
  <property fmtid="{D5CDD505-2E9C-101B-9397-08002B2CF9AE}" pid="3" name="KSOProductBuildVer">
    <vt:lpwstr>2052-12.1.0.28505</vt:lpwstr>
  </property>
  <property fmtid="{D5CDD505-2E9C-101B-9397-08002B2CF9AE}" pid="4" name="ICV">
    <vt:lpwstr>B50B473912E642F4B24878196C9F8A28_12</vt:lpwstr>
  </property>
</Properties>
</file>