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95"/>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95"/>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95"/>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895"/>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895"/>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highlight w:val="yellow"/>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highlight w:val="none"/>
          <w:lang w:eastAsia="zh-CN"/>
        </w:rPr>
        <w:t xml:space="preserve">JSZC-320322-JSZP-G2026-0004</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区域养老服务中心医养结合提升项目（一期）医疗、康复等相关运营设备采购</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徐州市铜山区民政局（机关）</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42"/>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4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cs="宋体"/>
          <w:color w:val="000000"/>
          <w:sz w:val="32"/>
          <w:szCs w:val="32"/>
          <w:lang w:eastAsia="zh-CN"/>
        </w:rPr>
        <w:t xml:space="preserve">江苏中沛工程造价咨询有限公司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八</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第一章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投标邀请</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第二章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投标人须知</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第三章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投标资料表</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第四章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评标标准</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第五章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拟签订的合同文本</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第六章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采购需求</w:t>
      </w:r>
      <w:r>
        <w:rPr>
          <w:rStyle w:val="941"/>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41"/>
          <w:rFonts w:hint="eastAsia" w:ascii="宋体" w:hAnsi="宋体" w:eastAsia="宋体" w:cs="宋体"/>
          <w:color w:val="000000"/>
          <w:sz w:val="30"/>
          <w:szCs w:val="30"/>
        </w:rPr>
        <w:t xml:space="preserve">第七章</w:t>
      </w:r>
      <w:r>
        <w:rPr>
          <w:rStyle w:val="941"/>
          <w:rFonts w:hint="eastAsia" w:ascii="宋体" w:hAnsi="宋体" w:eastAsia="宋体" w:cs="宋体"/>
          <w:color w:val="000000"/>
          <w:sz w:val="30"/>
          <w:szCs w:val="30"/>
          <w:lang w:val="en-US" w:eastAsia="zh-CN"/>
        </w:rPr>
        <w:t xml:space="preserve"> </w:t>
      </w:r>
      <w:r>
        <w:rPr>
          <w:rStyle w:val="941"/>
          <w:rFonts w:hint="eastAsia" w:ascii="宋体" w:hAnsi="宋体" w:eastAsia="宋体" w:cs="宋体"/>
          <w:color w:val="000000"/>
          <w:sz w:val="30"/>
          <w:szCs w:val="30"/>
        </w:rPr>
        <w:t xml:space="preserve">投标文件相关格式</w:t>
      </w:r>
      <w:r>
        <w:rPr>
          <w:rStyle w:val="941"/>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徐州市铜山区民政局（机关）</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区域养老服务中心医养结合提升项目（一期）医疗、康复等相关运营设备采购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single"/>
          <w:lang w:eastAsia="zh-CN"/>
        </w:rPr>
        <w:t xml:space="preserve">江苏中沛工程造价咨询有限公司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区域养老服务中心医养结合提升项目（一期）医疗、康复等相关运营设备采购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区域养老服务中心医养结合提升项目（一期）医疗、康复等相关运营设备采购</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JSZC-320322-JSZP-G2026-0004</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highlight w:val="none"/>
          <w:u w:val="single"/>
          <w:lang w:eastAsia="zh-CN"/>
        </w:rPr>
        <w:t xml:space="preserve">2026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eastAsia="zh-CN"/>
        </w:rPr>
        <w:t xml:space="preserve"> 9月 1 日</w:t>
      </w:r>
      <w:r>
        <w:rPr>
          <w:rFonts w:hint="eastAsia" w:ascii="宋体" w:hAnsi="宋体" w:cs="宋体"/>
          <w:b/>
          <w:color w:val="000000"/>
          <w:sz w:val="24"/>
          <w:szCs w:val="24"/>
          <w:highlight w:val="none"/>
        </w:rPr>
        <w:t xml:space="preserve">北京时间</w:t>
      </w:r>
      <w:r>
        <w:rPr>
          <w:rFonts w:hint="eastAsia" w:ascii="宋体" w:hAnsi="宋体" w:cs="宋体"/>
          <w:b/>
          <w:color w:val="000000"/>
          <w:sz w:val="24"/>
          <w:szCs w:val="24"/>
          <w:highlight w:val="none"/>
          <w:lang w:val="en-US" w:eastAsia="zh-CN"/>
        </w:rPr>
        <w:t xml:space="preserve">10</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u w:val="single"/>
          <w:lang w:eastAsia="zh-CN"/>
        </w:rPr>
        <w:t xml:space="preserve">2026</w:t>
      </w:r>
      <w:r>
        <w:rPr>
          <w:rFonts w:hint="eastAsia" w:ascii="宋体" w:hAnsi="宋体" w:cs="宋体"/>
          <w:b/>
          <w:color w:val="000000"/>
          <w:sz w:val="24"/>
          <w:szCs w:val="24"/>
          <w:u w:val="single"/>
        </w:rPr>
        <w:t xml:space="preserve">年</w:t>
      </w:r>
      <w:r>
        <w:rPr>
          <w:rFonts w:hint="eastAsia" w:ascii="宋体" w:hAnsi="宋体" w:cs="宋体"/>
          <w:b/>
          <w:color w:val="000000"/>
          <w:sz w:val="24"/>
          <w:szCs w:val="24"/>
          <w:u w:val="single"/>
          <w:lang w:eastAsia="zh-CN"/>
        </w:rPr>
        <w:t xml:space="preserve"> 9 月 1 日</w:t>
      </w:r>
      <w:r>
        <w:rPr>
          <w:rFonts w:hint="eastAsia" w:ascii="宋体" w:hAnsi="宋体" w:cs="宋体"/>
          <w:b/>
          <w:color w:val="000000"/>
          <w:sz w:val="24"/>
          <w:szCs w:val="24"/>
        </w:rPr>
        <w:t xml:space="preserve">北京时间</w:t>
      </w:r>
      <w:r>
        <w:rPr>
          <w:rFonts w:hint="eastAsia" w:ascii="宋体" w:hAnsi="宋体" w:cs="宋体"/>
          <w:b/>
          <w:color w:val="000000"/>
          <w:sz w:val="24"/>
          <w:szCs w:val="24"/>
          <w:lang w:val="en-US" w:eastAsia="zh-CN"/>
        </w:rPr>
        <w:t xml:space="preserve">10</w:t>
      </w: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徐州市铜山区民政局（机关）</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徐州市铜山区珠江西路47号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陈志强</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13776777703</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cs="宋体"/>
          <w:color w:val="000000"/>
          <w:sz w:val="24"/>
          <w:szCs w:val="24"/>
          <w:lang w:eastAsia="zh-CN"/>
        </w:rPr>
        <w:t xml:space="preserve">江苏中沛工程造价咨询有限公司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cs="宋体"/>
          <w:color w:val="000000"/>
          <w:sz w:val="24"/>
          <w:szCs w:val="24"/>
          <w:lang w:eastAsia="zh-CN"/>
        </w:rPr>
        <w:t xml:space="preserve">江苏省徐州市沛县经济开发区沛公路北侧、汉润路东侧（矿大科技产业园C4号楼130室）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王欣</w:t>
      </w:r>
      <w:r/>
    </w:p>
    <w:p>
      <w:pPr>
        <w:keepLines w:val="0"/>
        <w:keepNext w:val="0"/>
        <w:pageBreakBefore w:val="0"/>
        <w:spacing w:line="360" w:lineRule="auto"/>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0516-89952028、</w:t>
      </w:r>
      <w:r>
        <w:rPr>
          <w:rFonts w:hint="eastAsia" w:ascii="宋体" w:hAnsi="宋体" w:cs="宋体"/>
          <w:color w:val="000000"/>
          <w:sz w:val="24"/>
          <w:szCs w:val="24"/>
          <w:lang w:val="en-US" w:eastAsia="zh-CN"/>
        </w:rPr>
        <w:t xml:space="preserve">18052162000</w:t>
      </w:r>
      <w:r/>
    </w:p>
    <w:p>
      <w:pPr>
        <w:ind w:firstLine="600"/>
        <w:spacing w:line="36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41"/>
          <w:rFonts w:hint="eastAsia" w:ascii="宋体" w:hAnsi="宋体" w:eastAsia="宋体" w:cs="宋体"/>
          <w:color w:val="000000"/>
          <w:sz w:val="24"/>
          <w:szCs w:val="24"/>
          <w:u w:val="none"/>
        </w:rPr>
        <w:t xml:space="preserve">政府采购</w:t>
      </w:r>
      <w:r>
        <w:rPr>
          <w:rStyle w:val="941"/>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41"/>
          <w:rFonts w:hint="eastAsia" w:ascii="宋体" w:hAnsi="宋体" w:eastAsia="宋体" w:cs="宋体"/>
          <w:color w:val="000000"/>
          <w:sz w:val="24"/>
          <w:szCs w:val="24"/>
          <w:u w:val="none"/>
        </w:rPr>
        <w:t xml:space="preserve">最低评标价法</w:t>
      </w:r>
      <w:r>
        <w:rPr>
          <w:rStyle w:val="941"/>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41"/>
          <w:rFonts w:hint="eastAsia" w:ascii="宋体" w:hAnsi="宋体" w:eastAsia="宋体" w:cs="宋体"/>
          <w:color w:val="000000"/>
          <w:sz w:val="24"/>
          <w:szCs w:val="24"/>
          <w:u w:val="none"/>
        </w:rPr>
        <w:t xml:space="preserve">综合评分法</w:t>
      </w:r>
      <w:r>
        <w:rPr>
          <w:rStyle w:val="941"/>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31"/>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cs="宋体"/>
                <w:color w:val="000000"/>
                <w:sz w:val="24"/>
                <w:szCs w:val="24"/>
                <w:highlight w:val="none"/>
                <w:lang w:eastAsia="zh-CN"/>
              </w:rPr>
              <w:t xml:space="preserve">徐州市铜山区民政局（机关）</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采购人确定的采购项目属性：</w:t>
            </w:r>
            <w:r>
              <w:rPr>
                <w:rFonts w:hint="eastAsia" w:ascii="宋体" w:hAnsi="宋体" w:eastAsia="宋体" w:cs="宋体"/>
                <w:b w:val="0"/>
                <w:bCs w:val="0"/>
                <w:color w:val="000000"/>
                <w:sz w:val="24"/>
                <w:szCs w:val="24"/>
                <w:highlight w:val="none"/>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w:t>
            </w:r>
            <w:r>
              <w:rPr>
                <w:rFonts w:hint="eastAsia" w:ascii="宋体" w:hAnsi="宋体" w:cs="宋体"/>
                <w:color w:val="000000"/>
                <w:sz w:val="24"/>
                <w:szCs w:val="24"/>
                <w:highlight w:val="none"/>
                <w:lang w:eastAsia="zh-CN"/>
              </w:rPr>
              <w:t xml:space="preserve">江苏中沛工程造价咨询有限公司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1、符合《中华人民共和国政府采购法》第二十二条的规定；</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2、此项目不属于专门面向中小微企业采购的项目；</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3、本项目的特定资格要求：具备医疗器械经营企业许可证或医疗器械经营备案凭证或生产许可资格。</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pStyle w:val="962"/>
              <w:ind w:firstLine="482"/>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1、本项目不接受联合体参与采购活动。</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2、单位负责人为同一人或者存在直接控股、管理关系的不同供应商，不得参加同一合同项下的政府采购活动。</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3、为本采购项目提供整体设计、规范编制或者项目管理、监理、检测等服务的供应商，不得再参加本采购项目的采购活动。</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4、查询及使用投标人（以联合体形式投标的，含所有联合体成员）信用记录：</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（1）由采购人查询信用信息。</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（2）查询渠道包括：</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①“信用中国”网（</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"http://www.creditchina.gov.cn/"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www.creditchina.gov.cn</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②中国政府采购网（</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"http://www.ccgp.gov.cn/"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www.ccgp.gov.cn</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③“信用江苏”网（http://credit.jiangsu.gov.cn）；</w:t>
            </w:r>
            <w:r/>
          </w:p>
          <w:p>
            <w:pPr>
              <w:pStyle w:val="96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④“信用中国（江苏徐州）”网（</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"http://www.xuzhoucredit.gov.cn/"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http://www.xuzhoucredit.gov.cn</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w:t>
            </w:r>
            <w:r/>
          </w:p>
          <w:p>
            <w:pPr>
              <w:pStyle w:val="962"/>
              <w:numPr>
                <w:ilvl w:val="0"/>
                <w:numId w:val="2"/>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截止时点（查询环节）：开标后资格审查结束前。</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（4）信用信息查询记录和证据留存的具体方式：网页截屏打印，与其他采购文件一并保存。</w:t>
            </w:r>
            <w:r/>
          </w:p>
          <w:p>
            <w:pPr>
              <w:pStyle w:val="96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（5）信用信息的使用规则：</w:t>
            </w:r>
            <w:r/>
          </w:p>
          <w:p>
            <w:pPr>
              <w:pStyle w:val="9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7730" w:type="dxa"/>
            <w:vAlign w:val="top"/>
            <w:textDirection w:val="lrTb"/>
            <w:noWrap w:val="false"/>
          </w:tcPr>
          <w:p>
            <w:pPr>
              <w:ind w:firstLine="480"/>
              <w:spacing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不安排现场勘察。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2、所投产品的环境标志产品认证证书原件的扫描件（如有）。</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3、所投产品的节能产品认证证书原件的扫描件（如有）。</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）投标人合法有效的法人的营业执照（或事业单位法人证书）或其他组织应提供合法证明文件的原件扫描件（加盖电子签章）;</w:t>
            </w:r>
            <w:r/>
          </w:p>
          <w:p>
            <w:pPr>
              <w:spacing w:line="36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spacing w:line="36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eastAsia="zh-CN"/>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36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）具备履行合同所必需的设备和专业技术能力的证明材料（即提供具备医疗器械经营企业许可证或医疗器械经营备案凭证或生产许可资格。加盖电子签章，格式见招标文件第七章《投标文件相关格式》）；</w:t>
            </w:r>
            <w:r/>
          </w:p>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六</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八</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投标人信用信息（要求见本章条款项号“(六)”中“4、”内容）。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四、综合评审评分项</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（一）技术部分</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1.所投产品的技术规格（要求见招标文件第六章《采购需求》）；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2.所投产品性能与质量评价（要求见招标文件第六章《采购需求》）；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3.项目实施方案（要求见招标文件第六章《采购需求》）；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4.质保期（要求见招标文件第六章《采购需求》）；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5.售后服务方案（要求见招标文件第六章《采购需求》）；</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6.培训方案（要求见招标文件第六章《采购需求》）；</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投标人其它证明文件及材料扫描件。</w:t>
            </w:r>
            <w:r/>
          </w:p>
          <w:p>
            <w:pPr>
              <w:pStyle w:val="834"/>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lang w:val="en-US" w:eastAsia="zh-CN" w:bidi="ar-SA"/>
              </w:rPr>
              <w:t xml:space="preserve">（三）其他</w:t>
            </w:r>
            <w:r/>
          </w:p>
          <w:p>
            <w:pPr>
              <w:pStyle w:val="834"/>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lang w:val="en-US" w:eastAsia="zh-CN" w:bidi="ar-SA"/>
              </w:rPr>
              <w:t xml:space="preserve">1.所投产品为“环境标志产品”（要求见招标文件第四章《评标标准》）；</w:t>
            </w:r>
            <w:r/>
          </w:p>
          <w:p>
            <w:pPr>
              <w:pStyle w:val="834"/>
              <w:rPr>
                <w:rFonts w:hint="eastAsia" w:ascii="宋体" w:hAnsi="宋体" w:eastAsia="宋体" w:cs="宋体"/>
                <w:b/>
                <w:bCs/>
                <w:color w:val="000000"/>
                <w:sz w:val="24"/>
                <w:szCs w:val="24"/>
                <w:highlight w:val="none"/>
              </w:rPr>
            </w:pPr>
            <w:r>
              <w:rPr>
                <w:rFonts w:hint="eastAsia" w:ascii="宋体" w:hAnsi="宋体" w:eastAsia="宋体" w:cs="宋体"/>
                <w:b/>
                <w:bCs/>
                <w:caps w:val="0"/>
                <w:color w:val="000000"/>
                <w:sz w:val="24"/>
                <w:szCs w:val="24"/>
                <w:highlight w:val="none"/>
                <w:lang w:val="en-US" w:eastAsia="zh-CN" w:bidi="ar-SA"/>
              </w:rPr>
              <w:t xml:space="preserve">2.所投产品为“节能产品”（要求见招标文件第四章《评标标准》）。</w:t>
            </w:r>
            <w:r/>
          </w:p>
          <w:p>
            <w:pPr>
              <w:spacing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投标人提供的货物全部由符合政策要求的中小企业制造</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 </w:t>
            </w:r>
            <w:r>
              <w:rPr>
                <w:rFonts w:hint="eastAsia" w:ascii="宋体" w:hAnsi="宋体" w:cs="宋体"/>
                <w:b w:val="0"/>
                <w:bCs w:val="0"/>
                <w:color w:val="000000"/>
                <w:sz w:val="24"/>
                <w:szCs w:val="24"/>
                <w:highlight w:val="none"/>
                <w:lang w:val="en-US" w:eastAsia="zh-CN"/>
              </w:rPr>
              <w:t xml:space="preserve">如不填写完整或未按要求填写的，视为无效</w:t>
            </w:r>
            <w:r>
              <w:rPr>
                <w:rFonts w:hint="eastAsia" w:ascii="宋体" w:hAnsi="宋体" w:eastAsia="宋体" w:cs="宋体"/>
                <w:b w:val="0"/>
                <w:bCs w:val="0"/>
                <w:color w:val="000000"/>
                <w:sz w:val="24"/>
                <w:szCs w:val="24"/>
                <w:highlight w:val="none"/>
                <w:lang w:eastAsia="zh-CN"/>
              </w:rPr>
              <w:t xml:space="preserve">。</w:t>
            </w:r>
            <w:r/>
          </w:p>
          <w:p>
            <w:pPr>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本项目不接受超过人民币682.46万元（人民币）（项目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Style w:val="941"/>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41"/>
                <w:rFonts w:hint="eastAsia" w:ascii="宋体" w:hAnsi="宋体" w:eastAsia="宋体" w:cs="宋体"/>
                <w:color w:val="000000"/>
                <w:sz w:val="24"/>
                <w:szCs w:val="24"/>
                <w:highlight w:val="none"/>
              </w:rPr>
              <w:fldChar w:fldCharType="end"/>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投标文件的提交与接收：</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cs="宋体"/>
                <w:b/>
                <w:bCs/>
                <w:color w:val="000000"/>
                <w:sz w:val="24"/>
                <w:szCs w:val="24"/>
                <w:highlight w:val="none"/>
                <w:u w:val="single"/>
                <w:lang w:eastAsia="zh-CN"/>
              </w:rPr>
              <w:t xml:space="preserve"> 9月 1 日</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0前。</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2、投标文件提交与接收地点：</w:t>
            </w: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30"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30"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年</w:t>
            </w:r>
            <w:r>
              <w:rPr>
                <w:rFonts w:hint="eastAsia" w:ascii="宋体" w:hAnsi="宋体" w:cs="宋体"/>
                <w:b/>
                <w:color w:val="000000"/>
                <w:sz w:val="24"/>
                <w:szCs w:val="24"/>
                <w:highlight w:val="none"/>
                <w:u w:val="single"/>
                <w:lang w:eastAsia="zh-CN"/>
              </w:rPr>
              <w:t xml:space="preserve"> 9 月 1 日</w:t>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00</w:t>
            </w:r>
            <w:r>
              <w:rPr>
                <w:rFonts w:hint="eastAsia" w:ascii="宋体" w:hAnsi="宋体" w:eastAsia="宋体" w:cs="宋体"/>
                <w:b/>
                <w:color w:val="000000"/>
                <w:sz w:val="24"/>
                <w:szCs w:val="24"/>
                <w:highlight w:val="none"/>
              </w:rPr>
              <w:t xml:space="preserve">（标准时间）</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eastAsia="宋体" w:cs="宋体"/>
                <w:color w:val="000000"/>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7730" w:type="dxa"/>
            <w:vAlign w:val="top"/>
            <w:textDirection w:val="lrTb"/>
            <w:noWrap w:val="false"/>
          </w:tcPr>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方案得分顺序排列。</w:t>
            </w:r>
            <w:r/>
          </w:p>
          <w:p>
            <w:pPr>
              <w:jc w:val="left"/>
              <w:spacing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6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spacing w:line="360" w:lineRule="auto"/>
              <w:rPr>
                <w:rFonts w:ascii="宋体" w:hAnsi="宋体" w:cs="宋体"/>
                <w:color w:val="000000"/>
                <w:sz w:val="24"/>
                <w:highlight w:val="none"/>
              </w:rPr>
            </w:pPr>
            <w:r/>
            <w:bookmarkStart w:id="0" w:name="OLE_LINK4"/>
            <w:r/>
            <w:bookmarkStart w:id="1"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spacing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王欣</w:t>
            </w:r>
            <w:r>
              <w:rPr>
                <w:rFonts w:hint="eastAsia" w:ascii="宋体" w:hAnsi="宋体" w:eastAsia="宋体" w:cs="宋体"/>
                <w:color w:val="000000"/>
                <w:sz w:val="24"/>
                <w:szCs w:val="24"/>
                <w:highlight w:val="none"/>
              </w:rPr>
              <w:t xml:space="preserve">      联系电话：</w:t>
            </w:r>
            <w:r>
              <w:rPr>
                <w:rFonts w:hint="eastAsia" w:ascii="宋体" w:hAnsi="宋体" w:cs="宋体"/>
                <w:color w:val="000000"/>
                <w:sz w:val="24"/>
                <w:szCs w:val="24"/>
                <w:highlight w:val="none"/>
                <w:lang w:eastAsia="zh-CN"/>
              </w:rPr>
              <w:t xml:space="preserve">0516-89952028</w:t>
            </w:r>
            <w:r/>
          </w:p>
          <w:p>
            <w:pPr>
              <w:spacing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ascii="宋体" w:hAnsi="宋体" w:eastAsia="宋体" w:cs="宋体"/>
                <w:sz w:val="24"/>
                <w:szCs w:val="24"/>
                <w:highlight w:val="none"/>
              </w:rPr>
              <w:t xml:space="preserve">江苏省徐州市沛县经济开发区沛公路北侧、汉润路东侧（矿大科技产业园C4号楼130室）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邮箱：</w:t>
            </w:r>
            <w:r>
              <w:rPr>
                <w:rFonts w:hint="eastAsia" w:ascii="宋体" w:hAnsi="宋体" w:cs="宋体"/>
                <w:color w:val="000000"/>
                <w:sz w:val="24"/>
                <w:szCs w:val="24"/>
                <w:highlight w:val="none"/>
                <w:lang w:val="en-US" w:eastAsia="zh-CN"/>
              </w:rPr>
              <w:t xml:space="preserve">3965268486@qq</w:t>
            </w:r>
            <w:r>
              <w:rPr>
                <w:rFonts w:hint="eastAsia" w:ascii="宋体" w:hAnsi="宋体" w:cs="宋体"/>
                <w:color w:val="000000"/>
                <w:sz w:val="24"/>
                <w:szCs w:val="24"/>
                <w:highlight w:val="none"/>
                <w:lang w:eastAsia="zh-CN"/>
              </w:rPr>
              <w:t xml:space="preserv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31"/>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default" w:ascii="宋体" w:hAnsi="宋体" w:eastAsia="宋体" w:cs="宋体"/>
          <w:color w:val="auto"/>
          <w:spacing w:val="-2"/>
          <w:sz w:val="24"/>
          <w:szCs w:val="24"/>
          <w:highlight w:val="none"/>
          <w:lang w:val="en-US" w:eastAsia="zh-CN" w:bidi="ar-SA"/>
        </w:rPr>
        <w:t xml:space="preserve">一个项目</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w:t>
      </w:r>
      <w:r>
        <w:rPr>
          <w:rFonts w:hint="eastAsia" w:ascii="宋体" w:hAnsi="宋体" w:cs="宋体"/>
          <w:b w:val="0"/>
          <w:bCs/>
          <w:color w:val="000000"/>
          <w:sz w:val="24"/>
          <w:szCs w:val="24"/>
          <w:highlight w:val="none"/>
          <w:lang w:eastAsia="zh-CN"/>
        </w:rPr>
        <w:t xml:space="preserve">江苏中沛工程造价咨询有限公司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w:t>
      </w:r>
      <w:r>
        <w:rPr>
          <w:rFonts w:hint="eastAsia" w:ascii="宋体" w:hAnsi="宋体" w:eastAsia="宋体" w:cs="宋体"/>
          <w:b w:val="0"/>
          <w:bCs/>
          <w:color w:val="000000"/>
          <w:sz w:val="24"/>
          <w:szCs w:val="24"/>
          <w:highlight w:val="none"/>
          <w:lang w:val="en-US" w:eastAsia="zh-CN"/>
        </w:rPr>
        <w:t xml:space="preserve">中国建设银行股份有限公司沛县汉城北路支行</w:t>
      </w:r>
      <w:r/>
    </w:p>
    <w:p>
      <w:pPr>
        <w:spacing w:line="400" w:lineRule="exact"/>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w:t>
      </w:r>
      <w:r>
        <w:rPr>
          <w:rFonts w:hint="eastAsia" w:ascii="宋体" w:hAnsi="宋体" w:eastAsia="宋体" w:cs="宋体"/>
          <w:b w:val="0"/>
          <w:bCs/>
          <w:color w:val="000000"/>
          <w:sz w:val="24"/>
          <w:szCs w:val="24"/>
          <w:lang w:val="en-US" w:eastAsia="zh-CN"/>
        </w:rPr>
        <w:t xml:space="preserve">32050171724000000872</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3"/>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33"/>
        <w:tblW w:w="96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5"/>
        <w:gridCol w:w="8292"/>
      </w:tblGrid>
      <w:tr>
        <w:trPr>
          <w:jc w:val="center"/>
          <w:trHeight w:val="872"/>
        </w:trPr>
        <w:tc>
          <w:tcPr>
            <w:tcW w:w="14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评审因素及分值</w:t>
            </w:r>
            <w:r/>
          </w:p>
        </w:tc>
        <w:tc>
          <w:tcPr>
            <w:tcW w:w="82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评审因素细化和量化</w:t>
            </w:r>
            <w:r/>
          </w:p>
        </w:tc>
      </w:tr>
      <w:tr>
        <w:trPr>
          <w:jc w:val="center"/>
        </w:trPr>
        <w:tc>
          <w:tcPr>
            <w:tcW w:w="1405" w:type="dxa"/>
            <w:vAlign w:val="center"/>
            <w:textDirection w:val="lrTb"/>
            <w:noWrap w:val="false"/>
          </w:tcPr>
          <w:p>
            <w:pPr>
              <w:ind w:firstLine="200"/>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价格（30分）</w:t>
            </w:r>
            <w:r/>
          </w:p>
        </w:tc>
        <w:tc>
          <w:tcPr>
            <w:tcW w:w="829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价格分采用低价优先法计算，即满足招标文件要求且投标价格最低的投标报价为评标基准价，其价格分为满分30分。其他投标人的价格分按照下列公式计算：</w:t>
            </w:r>
            <w:r/>
          </w:p>
          <w:p>
            <w:pPr>
              <w:rPr>
                <w:rFonts w:hint="eastAsia" w:ascii="宋体" w:hAnsi="宋体" w:eastAsia="宋体" w:cs="宋体"/>
                <w:bCs/>
                <w:sz w:val="24"/>
                <w:szCs w:val="24"/>
              </w:rPr>
            </w:pPr>
            <w:r>
              <w:rPr>
                <w:rFonts w:hint="eastAsia" w:ascii="宋体" w:hAnsi="宋体" w:eastAsia="宋体" w:cs="宋体"/>
                <w:sz w:val="24"/>
                <w:szCs w:val="24"/>
              </w:rPr>
              <w:t xml:space="preserve">投标报价得分=（评标基准价／各投标人评审价格）×30（分值计算结果保留两位小数）。</w:t>
            </w:r>
            <w:r/>
          </w:p>
        </w:tc>
      </w:tr>
      <w:tr>
        <w:trPr>
          <w:jc w:val="center"/>
          <w:trHeight w:val="2873"/>
        </w:trPr>
        <w:tc>
          <w:tcPr>
            <w:tcW w:w="1405" w:type="dxa"/>
            <w:vAlign w:val="center"/>
            <w:textDirection w:val="lrTb"/>
            <w:noWrap w:val="false"/>
          </w:tcPr>
          <w:p>
            <w:pPr>
              <w:ind w:firstLine="200"/>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业绩(4分)</w:t>
            </w:r>
            <w:r/>
          </w:p>
        </w:tc>
        <w:tc>
          <w:tcPr>
            <w:tcW w:w="829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投标文件中提供投标人自202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1日以来（时间以合同签订时间为准），合同内容为与本次采购项目相同或类似的合同，每项得2分，最高得4分。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注：投标文件中同时提供合同原件扫描件并加盖电子签章，业绩合同中主要内容、总金额等清晰可见，缺失主要页或提供内容模糊不清和不提供的得0分。</w:t>
            </w:r>
            <w:r/>
          </w:p>
        </w:tc>
      </w:tr>
      <w:tr>
        <w:trPr>
          <w:jc w:val="center"/>
          <w:trHeight w:val="2395"/>
        </w:trPr>
        <w:tc>
          <w:tcPr>
            <w:tcW w:w="1405" w:type="dxa"/>
            <w:vAlign w:val="center"/>
            <w:textDirection w:val="lrTb"/>
            <w:noWrap w:val="false"/>
          </w:tcPr>
          <w:p>
            <w:pPr>
              <w:ind w:firstLine="200"/>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所投产品的技术规格 (</w:t>
            </w:r>
            <w:r>
              <w:rPr>
                <w:rFonts w:hint="eastAsia" w:ascii="宋体" w:hAnsi="宋体" w:eastAsia="宋体" w:cs="宋体"/>
                <w:bCs/>
                <w:sz w:val="24"/>
                <w:szCs w:val="24"/>
                <w:lang w:val="en-US" w:eastAsia="zh-CN"/>
              </w:rPr>
              <w:t xml:space="preserve">2</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完全满足招标文件《 采购需求》中“技术规格要求”得24分。招标文件《 采购需求》中“技术规格要求”中加“▲”项，每一项不满足或负偏离减</w:t>
            </w:r>
            <w:r>
              <w:rPr>
                <w:rFonts w:hint="eastAsia" w:ascii="宋体" w:hAnsi="宋体" w:cs="宋体"/>
                <w:bCs/>
                <w:sz w:val="24"/>
                <w:szCs w:val="24"/>
                <w:lang w:val="en-US" w:eastAsia="zh-CN"/>
              </w:rPr>
              <w:t xml:space="preserve">0.25</w:t>
            </w:r>
            <w:r>
              <w:rPr>
                <w:rFonts w:hint="eastAsia" w:ascii="宋体" w:hAnsi="宋体" w:eastAsia="宋体" w:cs="宋体"/>
                <w:bCs/>
                <w:sz w:val="24"/>
                <w:szCs w:val="24"/>
              </w:rPr>
              <w:t xml:space="preserve">分；非加“▲”项每一项不满足或负偏离减分0.</w:t>
            </w:r>
            <w:r>
              <w:rPr>
                <w:rFonts w:hint="eastAsia" w:ascii="宋体" w:hAnsi="宋体" w:cs="宋体"/>
                <w:bCs/>
                <w:sz w:val="24"/>
                <w:szCs w:val="24"/>
                <w:lang w:val="en-US" w:eastAsia="zh-CN"/>
              </w:rPr>
              <w:t xml:space="preserve">03434</w:t>
            </w:r>
            <w:r>
              <w:rPr>
                <w:rFonts w:hint="eastAsia" w:ascii="宋体" w:hAnsi="宋体" w:eastAsia="宋体" w:cs="宋体"/>
                <w:bCs/>
                <w:sz w:val="24"/>
                <w:szCs w:val="24"/>
              </w:rPr>
              <w:t xml:space="preserve">分，扣完为止，本项最低得0分。 </w:t>
            </w:r>
            <w:r/>
          </w:p>
          <w:p>
            <w:pPr>
              <w:rPr>
                <w:rFonts w:hint="eastAsia" w:ascii="宋体" w:hAnsi="宋体" w:eastAsia="宋体" w:cs="宋体"/>
                <w:sz w:val="24"/>
                <w:szCs w:val="24"/>
              </w:rPr>
            </w:pPr>
            <w:r>
              <w:rPr>
                <w:rFonts w:hint="eastAsia" w:ascii="宋体" w:hAnsi="宋体" w:eastAsia="宋体" w:cs="宋体"/>
                <w:bCs/>
                <w:sz w:val="24"/>
                <w:szCs w:val="24"/>
              </w:rPr>
              <w:t xml:space="preserve">投标人需详尽真实的提供投标产品的技术响应偏差表，具体由评标委员会根据技术要求细则，对各投标单位投标产品的技术响应情况进行打分，提供设备制造商的产品彩页或第三方检测报告等证明材料，并在投标文件技术响应偏差表中清楚标注每一证明材料对应项页码，以便评委审核，未提供或提供不符合招标文件技术要求的或未标注证明材料对应页码的，视为负偏离。 注：（分值计算结果四舍五入保留小数点后两位）以上须提供证明资料的原件扫描件加盖投标人电子签章。</w:t>
            </w:r>
            <w:r/>
          </w:p>
        </w:tc>
      </w:tr>
      <w:tr>
        <w:trPr>
          <w:jc w:val="center"/>
          <w:trHeight w:val="813"/>
        </w:trPr>
        <w:tc>
          <w:tcPr>
            <w:tcW w:w="14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所投产品性能稳定性评价（</w:t>
            </w: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根据投标人投标文件中提供的偏离表内容以及所投产品的产品手册、产品实样照片、配置清单等，对产品性能稳定性、配置合理性等方面进行评价。</w:t>
            </w:r>
            <w:r/>
          </w:p>
          <w:p>
            <w:pPr>
              <w:rPr>
                <w:rFonts w:hint="eastAsia" w:ascii="宋体" w:hAnsi="宋体" w:eastAsia="宋体" w:cs="宋体"/>
                <w:bCs/>
                <w:sz w:val="24"/>
                <w:szCs w:val="24"/>
              </w:rPr>
            </w:pPr>
            <w:r>
              <w:rPr>
                <w:rFonts w:hint="eastAsia" w:ascii="宋体" w:hAnsi="宋体" w:eastAsia="宋体" w:cs="宋体"/>
                <w:bCs/>
                <w:sz w:val="24"/>
                <w:szCs w:val="24"/>
              </w:rPr>
              <w:t xml:space="preserve">性能稳定性高、配置合理的得</w:t>
            </w: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分；性能稳定性较高、配置较合理的得</w:t>
            </w: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分；性能稳定性和配置一般的得</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rPr>
                <w:rFonts w:ascii="宋体" w:hAnsi="宋体" w:eastAsia="宋体" w:cs="宋体"/>
                <w:sz w:val="24"/>
                <w:szCs w:val="24"/>
              </w:rPr>
              <w:t xml:space="preserve">性能稳定性和配置偏弱、存在明显短板的得 3 分</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性能稳定性和配置较差的得1分；未提供的得0分。</w:t>
            </w:r>
            <w:r/>
          </w:p>
        </w:tc>
      </w:tr>
      <w:tr>
        <w:trPr>
          <w:jc w:val="center"/>
          <w:trHeight w:val="813"/>
        </w:trPr>
        <w:tc>
          <w:tcPr>
            <w:tcW w:w="14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所投产品质量可靠性评价（</w:t>
            </w: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根据投标人投标文件中提供的偏离表内容以及所投产品的产品手册、产品实样照片、配置清单等，对产品质量可靠性方面进行评价。</w:t>
            </w:r>
            <w:r/>
          </w:p>
          <w:p>
            <w:pPr>
              <w:pStyle w:val="834"/>
              <w:rPr>
                <w:rFonts w:hint="eastAsia" w:ascii="宋体" w:hAnsi="宋体" w:eastAsia="宋体" w:cs="宋体"/>
                <w:sz w:val="18"/>
                <w:szCs w:val="18"/>
              </w:rPr>
            </w:pPr>
            <w:r>
              <w:rPr>
                <w:rFonts w:hint="eastAsia" w:ascii="宋体" w:hAnsi="宋体" w:eastAsia="宋体" w:cs="宋体"/>
                <w:b w:val="0"/>
                <w:bCs/>
                <w:caps w:val="0"/>
                <w:sz w:val="24"/>
                <w:szCs w:val="24"/>
                <w:lang w:val="en-US" w:eastAsia="zh-CN" w:bidi="ar-SA"/>
              </w:rPr>
              <w:t xml:space="preserve">质量可靠性高的得9分；产品质量可靠性较高的得7分；质量可靠性程度一般的得5分；质量可靠性偏弱，存在一定缺陷的得 3 分；质量可靠性程度较差的得1分；未提供的得0分。</w:t>
            </w:r>
            <w:r/>
          </w:p>
        </w:tc>
      </w:tr>
      <w:tr>
        <w:trPr>
          <w:jc w:val="center"/>
          <w:trHeight w:val="813"/>
        </w:trPr>
        <w:tc>
          <w:tcPr>
            <w:tcW w:w="14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所投产品技术先进性评价（</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根据投标人投标文件中提供的偏离表内容以及所投产品的产品手册、产品实样照片、配置清单等，对产品技术先进性方面进行评价。</w:t>
            </w:r>
            <w:r/>
          </w:p>
          <w:p>
            <w:pPr>
              <w:rPr>
                <w:rFonts w:hint="eastAsia" w:ascii="宋体" w:hAnsi="宋体" w:eastAsia="宋体" w:cs="宋体"/>
                <w:bCs/>
                <w:sz w:val="24"/>
                <w:szCs w:val="24"/>
              </w:rPr>
            </w:pPr>
            <w:r>
              <w:rPr>
                <w:rFonts w:hint="eastAsia" w:ascii="宋体" w:hAnsi="宋体" w:cs="宋体"/>
                <w:bCs/>
                <w:sz w:val="24"/>
                <w:szCs w:val="24"/>
                <w:lang w:val="en-US" w:eastAsia="zh-CN"/>
              </w:rPr>
              <w:t xml:space="preserve">技术先进性强的得9分，</w:t>
            </w:r>
            <w:r>
              <w:rPr>
                <w:rFonts w:hint="eastAsia" w:ascii="宋体" w:hAnsi="宋体" w:eastAsia="宋体" w:cs="宋体"/>
                <w:bCs/>
                <w:sz w:val="24"/>
                <w:szCs w:val="24"/>
              </w:rPr>
              <w:t xml:space="preserve">技术先进的得</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分；技术</w:t>
            </w:r>
            <w:r>
              <w:rPr>
                <w:rFonts w:hint="eastAsia" w:ascii="宋体" w:hAnsi="宋体" w:eastAsia="宋体" w:cs="宋体"/>
                <w:bCs/>
                <w:sz w:val="24"/>
                <w:szCs w:val="24"/>
                <w:lang w:val="en-US" w:eastAsia="zh-CN"/>
              </w:rPr>
              <w:t xml:space="preserve">较先进</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分；技术先进</w:t>
            </w:r>
            <w:r>
              <w:rPr>
                <w:rFonts w:hint="eastAsia" w:ascii="宋体" w:hAnsi="宋体" w:eastAsia="宋体" w:cs="宋体"/>
                <w:bCs/>
                <w:sz w:val="24"/>
                <w:szCs w:val="24"/>
                <w:lang w:val="en-US" w:eastAsia="zh-CN"/>
              </w:rPr>
              <w:t xml:space="preserve">性一般</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分；技术较落后的得1分；未提供的得0分。</w:t>
            </w:r>
            <w:r/>
          </w:p>
        </w:tc>
      </w:tr>
      <w:tr>
        <w:trPr>
          <w:jc w:val="center"/>
          <w:trHeight w:val="461"/>
        </w:trPr>
        <w:tc>
          <w:tcPr>
            <w:tcW w:w="1405" w:type="dxa"/>
            <w:vAlign w:val="center"/>
            <w:textDirection w:val="lrTb"/>
            <w:noWrap w:val="false"/>
          </w:tcPr>
          <w:p>
            <w:pPr>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项目实施方案（</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根据投标人投标文件中提供的项目实施方案，内容包含但不限于质量保障措施、实施人员配备、配送计划、实施组织计划、进度计划、安装调试等，对内容的全面性、针对性、可行性进行评价。</w:t>
            </w:r>
            <w:r/>
          </w:p>
          <w:p>
            <w:pPr>
              <w:rPr>
                <w:rFonts w:hint="eastAsia" w:ascii="宋体" w:hAnsi="宋体" w:eastAsia="宋体" w:cs="宋体"/>
                <w:bCs/>
                <w:sz w:val="24"/>
                <w:szCs w:val="24"/>
              </w:rPr>
            </w:pPr>
            <w:r>
              <w:rPr>
                <w:rFonts w:hint="eastAsia" w:ascii="宋体" w:hAnsi="宋体" w:eastAsia="宋体" w:cs="宋体"/>
                <w:bCs/>
                <w:sz w:val="24"/>
                <w:szCs w:val="24"/>
              </w:rPr>
              <w:t xml:space="preserve">全面性（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分）：全面具体详实得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分；较全面得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分；不太全面得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rPr>
                <w:rFonts w:hint="eastAsia" w:ascii="宋体" w:hAnsi="宋体" w:eastAsia="宋体" w:cs="宋体"/>
                <w:bCs/>
                <w:sz w:val="24"/>
                <w:szCs w:val="24"/>
              </w:rPr>
            </w:pPr>
            <w:r>
              <w:rPr>
                <w:rFonts w:hint="eastAsia" w:ascii="宋体" w:hAnsi="宋体" w:eastAsia="宋体" w:cs="宋体"/>
                <w:bCs/>
                <w:sz w:val="24"/>
                <w:szCs w:val="24"/>
              </w:rPr>
              <w:t xml:space="preserve">针对性(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分)：针对性强得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分；针对性较强得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分；针对性不强得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rPr>
                <w:rFonts w:hint="eastAsia" w:ascii="宋体" w:hAnsi="宋体" w:eastAsia="宋体" w:cs="宋体"/>
                <w:bCs/>
                <w:sz w:val="24"/>
                <w:szCs w:val="24"/>
              </w:rPr>
            </w:pPr>
            <w:r>
              <w:rPr>
                <w:rFonts w:hint="eastAsia" w:ascii="宋体" w:hAnsi="宋体" w:eastAsia="宋体" w:cs="宋体"/>
                <w:bCs/>
                <w:sz w:val="24"/>
                <w:szCs w:val="24"/>
              </w:rPr>
              <w:t xml:space="preserve">可行性（2分)：符合实际切实可行得2分；较切实可行得1分;可行性欠缺得0.5分；</w:t>
            </w:r>
            <w:r/>
          </w:p>
          <w:p>
            <w:pPr>
              <w:rPr>
                <w:rFonts w:hint="eastAsia" w:ascii="宋体" w:hAnsi="宋体" w:eastAsia="宋体" w:cs="宋体"/>
                <w:bCs/>
                <w:sz w:val="24"/>
                <w:szCs w:val="24"/>
              </w:rPr>
            </w:pPr>
            <w:r>
              <w:rPr>
                <w:rFonts w:hint="eastAsia" w:ascii="宋体" w:hAnsi="宋体" w:eastAsia="宋体" w:cs="宋体"/>
                <w:bCs/>
                <w:sz w:val="24"/>
                <w:szCs w:val="24"/>
              </w:rPr>
              <w:t xml:space="preserve">未提供不得分，本项最高得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分，最低得0分。</w:t>
            </w:r>
            <w:r/>
          </w:p>
        </w:tc>
      </w:tr>
      <w:tr>
        <w:trPr>
          <w:jc w:val="center"/>
          <w:trHeight w:val="2629"/>
        </w:trPr>
        <w:tc>
          <w:tcPr>
            <w:tcW w:w="1405" w:type="dxa"/>
            <w:vAlign w:val="center"/>
            <w:vMerge w:val="restart"/>
            <w:textDirection w:val="lrTb"/>
            <w:noWrap w:val="false"/>
          </w:tcPr>
          <w:p>
            <w:pPr>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1、依据投标文件中的售后服务方案（包含但不限于售后服务体系、售后服务组织及技术保障措施、响应时间的迅速、售后服务所包含内容的优惠性程度、备品备件供应方案等），从内容的全面性、针对性、可行性进行评价。（</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p>
          <w:p>
            <w:pPr>
              <w:rPr>
                <w:rFonts w:hint="eastAsia" w:ascii="宋体" w:hAnsi="宋体" w:eastAsia="宋体" w:cs="宋体"/>
                <w:bCs/>
                <w:sz w:val="24"/>
                <w:szCs w:val="24"/>
              </w:rPr>
            </w:pPr>
            <w:r>
              <w:rPr>
                <w:rFonts w:hint="eastAsia" w:ascii="宋体" w:hAnsi="宋体" w:eastAsia="宋体" w:cs="宋体"/>
                <w:bCs/>
                <w:sz w:val="24"/>
                <w:szCs w:val="24"/>
              </w:rPr>
              <w:t xml:space="preserve">对内容的全面性、针对性、可行性进行评价。</w:t>
            </w:r>
            <w:r/>
          </w:p>
          <w:p>
            <w:pPr>
              <w:rPr>
                <w:rFonts w:hint="eastAsia" w:ascii="宋体" w:hAnsi="宋体" w:eastAsia="宋体" w:cs="宋体"/>
                <w:bCs/>
                <w:sz w:val="24"/>
                <w:szCs w:val="24"/>
              </w:rPr>
            </w:pPr>
            <w:r>
              <w:rPr>
                <w:rFonts w:hint="eastAsia" w:ascii="宋体" w:hAnsi="宋体" w:eastAsia="宋体" w:cs="宋体"/>
                <w:bCs/>
                <w:sz w:val="24"/>
                <w:szCs w:val="24"/>
              </w:rPr>
              <w:t xml:space="preserve">全面性（</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分）：全面具体详实得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分，不太全面得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rPr>
                <w:rFonts w:hint="eastAsia" w:ascii="宋体" w:hAnsi="宋体" w:eastAsia="宋体" w:cs="宋体"/>
                <w:bCs/>
                <w:sz w:val="24"/>
                <w:szCs w:val="24"/>
              </w:rPr>
            </w:pPr>
            <w:r>
              <w:rPr>
                <w:rFonts w:hint="eastAsia" w:ascii="宋体" w:hAnsi="宋体" w:eastAsia="宋体" w:cs="宋体"/>
                <w:bCs/>
                <w:sz w:val="24"/>
                <w:szCs w:val="24"/>
              </w:rPr>
              <w:t xml:space="preserve">针对性(</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分)：针对性强得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分，针对性不强得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rPr>
                <w:rFonts w:hint="eastAsia" w:ascii="宋体" w:hAnsi="宋体" w:eastAsia="宋体" w:cs="宋体"/>
                <w:bCs/>
                <w:sz w:val="24"/>
                <w:szCs w:val="24"/>
              </w:rPr>
            </w:pPr>
            <w:r>
              <w:rPr>
                <w:rFonts w:hint="eastAsia" w:ascii="宋体" w:hAnsi="宋体" w:eastAsia="宋体" w:cs="宋体"/>
                <w:bCs/>
                <w:sz w:val="24"/>
                <w:szCs w:val="24"/>
              </w:rPr>
              <w:t xml:space="preserve">可行性（1分)：符合实际切实可行得1分，可行性欠缺得0.5分；</w:t>
            </w:r>
            <w:r/>
          </w:p>
          <w:p>
            <w:pPr>
              <w:rPr>
                <w:rFonts w:hint="eastAsia" w:ascii="宋体" w:hAnsi="宋体" w:eastAsia="宋体" w:cs="宋体"/>
                <w:bCs/>
                <w:sz w:val="24"/>
                <w:szCs w:val="24"/>
              </w:rPr>
            </w:pPr>
            <w:r>
              <w:rPr>
                <w:rFonts w:hint="eastAsia" w:ascii="宋体" w:hAnsi="宋体" w:eastAsia="宋体" w:cs="宋体"/>
                <w:bCs/>
                <w:sz w:val="24"/>
                <w:szCs w:val="24"/>
              </w:rPr>
              <w:t xml:space="preserve">未提供不得分，本项最高得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分，最低得0分。</w:t>
            </w:r>
            <w:r/>
          </w:p>
        </w:tc>
      </w:tr>
      <w:tr>
        <w:trPr>
          <w:jc w:val="center"/>
          <w:trHeight w:val="461"/>
        </w:trPr>
        <w:tc>
          <w:tcPr>
            <w:tcW w:w="1405" w:type="dxa"/>
            <w:vAlign w:val="center"/>
            <w:vMerge w:val="continue"/>
            <w:textDirection w:val="lrTb"/>
            <w:noWrap w:val="false"/>
          </w:tcPr>
          <w:p>
            <w:pPr>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8292"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2、在满足招标文件质保期要求（3年）的基础上，每免费延长一年质保的得1分，本项最高得2分。</w:t>
            </w:r>
            <w:r/>
          </w:p>
          <w:p>
            <w:pPr>
              <w:rPr>
                <w:rFonts w:hint="eastAsia" w:ascii="宋体" w:hAnsi="宋体" w:eastAsia="宋体" w:cs="宋体"/>
                <w:bCs/>
                <w:sz w:val="24"/>
                <w:szCs w:val="24"/>
              </w:rPr>
            </w:pPr>
            <w:r>
              <w:rPr>
                <w:rFonts w:hint="eastAsia" w:ascii="宋体" w:hAnsi="宋体" w:eastAsia="宋体" w:cs="宋体"/>
                <w:bCs/>
                <w:sz w:val="24"/>
                <w:szCs w:val="24"/>
              </w:rPr>
              <w:t xml:space="preserve">投标文件中提供承诺函并加盖电子签章，否则不得分。</w:t>
            </w:r>
            <w:r/>
          </w:p>
        </w:tc>
      </w:tr>
    </w:tbl>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本章说明：</w:t>
      </w:r>
      <w:r/>
    </w:p>
    <w:p>
      <w:pPr>
        <w:ind w:firstLine="5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（一）本项目采用综合评分法。</w:t>
      </w:r>
      <w:r/>
    </w:p>
    <w:p>
      <w:pPr>
        <w:ind w:firstLine="5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519" w:lineRule="atLeas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2"/>
          <w:szCs w:val="22"/>
          <w:highlight w:val="none"/>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项目编号：</w:t>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采购包：</w:t>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采购单位（甲方）：</w:t>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中标供应商（乙方）：</w:t>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    年   月   日</w:t>
      </w:r>
      <w:r/>
    </w:p>
    <w:p>
      <w:pPr>
        <w:spacing w:line="24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45"/>
        <w:ind w:left="0" w:right="0"/>
        <w:spacing w:after="0" w:line="240" w:lineRule="auto"/>
        <w:rPr>
          <w:rFonts w:ascii="仿宋" w:hAnsi="仿宋" w:eastAsia="仿宋" w:cs="仿宋"/>
          <w:b/>
          <w:color w:val="auto"/>
          <w:sz w:val="24"/>
          <w:highlight w:val="none"/>
        </w:rPr>
      </w:pPr>
      <w:r>
        <w:rPr>
          <w:rFonts w:ascii="仿宋" w:hAnsi="仿宋" w:eastAsia="仿宋" w:cs="仿宋"/>
          <w:b/>
          <w:color w:val="auto"/>
          <w:sz w:val="24"/>
          <w:highlight w:val="none"/>
        </w:rPr>
      </w:r>
      <w:r/>
    </w:p>
    <w:p>
      <w:pPr>
        <w:pStyle w:val="845"/>
        <w:ind w:left="0" w:right="0"/>
        <w:spacing w:after="0"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友情提醒：采购人与中标、成交供应商应当在中标通知书发出之日起三十日内，按照采购文件确定的事项签订政府采购合同。</w:t>
      </w:r>
      <w:r/>
    </w:p>
    <w:p>
      <w:pPr>
        <w:pStyle w:val="845"/>
        <w:ind w:left="0" w:right="0"/>
        <w:spacing w:after="0" w:line="24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240" w:lineRule="auto"/>
        <w:rPr>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none"/>
        </w:rPr>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第一条    定义</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第二条    合同范围</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第三条    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第四条    支付</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交货</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第六条    包装和标记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第七条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第八条    安装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第九条    验收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第十条    售后服务和技术培训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第十一条  索赔</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第十二条  不可抗力</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第十三条  合同的终止</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第十四条  争议的解决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第十五条  适用法律</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第十六条  权利保证</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第十七条  保密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第十八条  合同生效及其他</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834"/>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834"/>
        <w:rPr>
          <w:rFonts w:ascii="仿宋" w:hAnsi="仿宋" w:eastAsia="仿宋" w:cs="仿宋"/>
          <w:color w:val="auto"/>
          <w:sz w:val="24"/>
          <w:highlight w:val="none"/>
        </w:rPr>
      </w:pPr>
      <w:r>
        <w:rPr>
          <w:rFonts w:ascii="仿宋" w:hAnsi="仿宋" w:eastAsia="仿宋" w:cs="仿宋"/>
          <w:color w:val="auto"/>
          <w:sz w:val="24"/>
          <w:highlight w:val="none"/>
        </w:rPr>
      </w:r>
      <w:r/>
    </w:p>
    <w:p>
      <w:r/>
      <w:r/>
    </w:p>
    <w:p>
      <w:pPr>
        <w:ind w:firstLine="64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第一条  定义</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除本合同上下文中另有规定外，下列各词语定义如下：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1.1“买方”见《合同专用条款》。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1.2“卖方”见《合同专用条款》。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1.3“工作现场”见《合同专用条款》。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1.4“合同标的”见合同附件4。</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1.5“技术资料”是指与合同标的的安装、试运行、验收、操作以及维修有关的技术指标、规格、图纸和文件。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1.6“技术培训”是指在合同标的的安装、试运行、验收、操作、维修以及其他方面卖方给予买方的培训。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1.7“安装”是指有关合同标的、备件和材料的安装工作。</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1.8“试运行”是指为验明合同标的的技术性能，在安装完毕后对合同标的进行的测试。</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1.10“合同货币”见《合同专用条款》。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1.11“合同价格”见合同附件4。</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1.12“合同生效日”见《合同协议书》（合同附件1）第5 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1.13“日”是指日历天数。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1.14“月”是指日历月数。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1.15“采购需求” 见合同附件6。</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第二条 合同范围</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2.1买方同意从卖方购买、卖方同意向买方出售和提供的合同标的以及相关售后服务、技术培训和技术资料。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2.2数量：见招标文件第六章《采购需求》中“三、数量要求”。</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第三条 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合同总价见《合同专用条款》。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 合同总价是固定价格。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第四条 支付（采购资金的支付方式、时间、条件）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4.2卖方有义务根据合同的规定向买方支付违约金和/或赔偿金时，买方有权从任何一笔应付款中予以扣除。</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交货（货物、服务提供的时间、地点、方式）</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5.1交货期限、批次和交货条件见《合同专用条款》。</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5.2交货地点见《合同专用条款》。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5.3在《合同专用条款》规定的期限内，卖方应将合同号、合同标的的名称、数量、金额、包装件数以及交货的时间以书面方式通知买方。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5.4卖方应按下列规定交付合同标的：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5.4.1卖方负责将合同标的送至《合同专用条款》规定的交货地点。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5.4.2买方出具的收据日期是合同标的的实际交货日期。</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5.5如果卖方未能按照合同规定的交货期限交货，卖方应按《合同专用条款》的规定支付违约金或提供其他救济。</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第六条 包装与标记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6.1除非合同中另有规定，合同标的应保持产品制造企业原包装完好。</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6.2在合同标的的每件包装中都应附有下列单据：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A. 装箱明细单；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B. 质量合格证；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C.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第七条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技术资料交付的期限和方式见《合同专用条款》。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第八条 安装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合同标的的安装期限见《合同专用条款》。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项目实施方案见合同附件7。</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第九条 验收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9.1合同标的的试运行、验收见《合同专用条款》。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9.2如果合同附件2 所规定的所有技术性能在验收中都已经达到，双方应在验收合格后5 日内签署验收书。</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9.3验收标准（验收要求、验收标准和程序）：见合同附件5。</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第十条 售后服务和技术培训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10.1售后服务和技术培训见合同附件3。</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第十一条 索赔</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 卖方替换不符合合同规定的合同标的。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 按质量低劣的程度、买方受损害的程度及损失的数额对合同标的进行降价。</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 拒收合同标的。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D. 赔偿由卖方违约引起的其他损失。</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第十二条 不可抗力</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第十三条 合同的终止</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 卖方在合同规定的交货期限后未能按《合同专用条款》中规定的最终期限交付合同标的和/或技术资料；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 合同标的未能达到合同附件2 规定的技术性能；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13.3如果买方认定卖方在投标或执行合同中有腐败或欺诈行为,买方有权在任何时候发出书面通知终止合同。</w:t>
      </w:r>
      <w:r/>
    </w:p>
    <w:p>
      <w:pPr>
        <w:ind w:left="1"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A.“腐败行为”系指在招标、采购和合同执行等过程中，为谋求利益、影响相关人员而提供、给予、接受或索取任何有价物的行为。</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13.4 在买方全部或部分终止合同的情况下，卖方应按《合同专用条款》的规定对买方给予补偿。</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第十四条 争议的解决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第十五条 适用法律</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本合同的执行和争议的解决适用中华人民共和国的法律并按中华人民共和国的法律进行解释。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第十六条  权利保证</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第十七条  保密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17.2上述秘密，卖方只能用于本合同，而且只能由卖方相应的人员使用；没有必要接触的卖方人员，不得接触。</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17.3卖方应当采取适当有效的方式保护所获取的上述秘密。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第十八条 合同生效及其他</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本合同在合同协议书（合同附件1）规定的条件全部满足后生效。</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合同双方各自承担与本合同有关的应负税费。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18.5对本合同的任何补充、增添或修改以书面方式进行。</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18.6没有另一方的事先书面同意，合同任何一方不得将合同项下的任何权利和义务转让给第三方。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18.8合同条款中的标题和边注仅供参考使用，不应视为合同的一部分，也不影响本文的解释。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rPr>
          <w:color w:val="auto"/>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color w:val="auto"/>
          <w:highlight w:val="none"/>
        </w:rPr>
      </w:r>
      <w:r/>
    </w:p>
    <w:p>
      <w:pPr>
        <w:ind w:firstLine="600"/>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合同专用条款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甲方（买方）：</w:t>
      </w:r>
      <w:r>
        <w:rPr>
          <w:rFonts w:hint="eastAsia" w:ascii="仿宋" w:hAnsi="仿宋" w:eastAsia="仿宋" w:cs="仿宋"/>
          <w:color w:val="auto"/>
          <w:sz w:val="28"/>
          <w:szCs w:val="28"/>
          <w:highlight w:val="none"/>
          <w:u w:val="single"/>
        </w:rPr>
        <w:t xml:space="preserve">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乙方（卖方）：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仿宋" w:hAnsi="仿宋" w:eastAsia="仿宋" w:cs="仿宋"/>
          <w:color w:val="auto"/>
          <w:sz w:val="28"/>
          <w:szCs w:val="28"/>
          <w:highlight w:val="none"/>
        </w:rPr>
        <w:t xml:space="preserve">的权利、义务，确保合同双方共同执行。</w:t>
      </w:r>
      <w:r/>
    </w:p>
    <w:p>
      <w:pPr>
        <w:numPr>
          <w:ilvl w:val="0"/>
          <w:numId w:val="4"/>
        </w:numPr>
        <w:spacing w:line="3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合同标的</w:t>
      </w:r>
      <w:r/>
    </w:p>
    <w:p>
      <w:pPr>
        <w:ind w:left="426"/>
        <w:spacing w:line="360" w:lineRule="exact"/>
        <w:rPr>
          <w:rFonts w:ascii="仿宋" w:hAnsi="仿宋" w:eastAsia="仿宋" w:cs="仿宋"/>
          <w:color w:val="auto"/>
          <w:sz w:val="28"/>
          <w:szCs w:val="28"/>
          <w:highlight w:val="none"/>
        </w:rPr>
      </w:pPr>
      <w:r>
        <w:rPr>
          <w:rStyle w:val="948"/>
          <w:rFonts w:hint="eastAsia" w:ascii="仿宋" w:hAnsi="仿宋" w:eastAsia="仿宋" w:cs="仿宋"/>
          <w:color w:val="auto"/>
          <w:sz w:val="28"/>
          <w:szCs w:val="28"/>
          <w:highlight w:val="none"/>
        </w:rPr>
        <w:t xml:space="preserve">1.1产品名称、型号、规格、数量及价款</w:t>
      </w:r>
      <w:r/>
    </w:p>
    <w:tbl>
      <w:tblPr>
        <w:tblStyle w:val="83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产品名称</w:t>
            </w:r>
            <w:r/>
          </w:p>
        </w:tc>
        <w:tc>
          <w:tcPr>
            <w:tcW w:w="1273"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型号</w:t>
            </w:r>
            <w:r/>
          </w:p>
        </w:tc>
        <w:tc>
          <w:tcPr>
            <w:tcW w:w="1101"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单价（元）</w:t>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单位</w:t>
            </w:r>
            <w:r/>
          </w:p>
        </w:tc>
        <w:tc>
          <w:tcPr>
            <w:tcW w:w="918"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数量</w:t>
            </w:r>
            <w:r/>
          </w:p>
        </w:tc>
        <w:tc>
          <w:tcPr>
            <w:tcW w:w="1075"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金额（元）</w:t>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w:t>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37"/>
        </w:trPr>
        <w:tc>
          <w:tcPr>
            <w:gridSpan w:val="7"/>
            <w:tcW w:w="8678" w:type="dxa"/>
            <w:vAlign w:val="center"/>
            <w:textDirection w:val="lrTb"/>
            <w:noWrap w:val="false"/>
          </w:tcPr>
          <w:p>
            <w:pPr>
              <w:jc w:val="left"/>
              <w:rPr>
                <w:rFonts w:ascii="仿宋" w:hAnsi="仿宋" w:eastAsia="仿宋" w:cs="仿宋"/>
                <w:color w:val="auto"/>
                <w:sz w:val="28"/>
                <w:szCs w:val="28"/>
                <w:highlight w:val="none"/>
                <w:lang w:bidi="ar"/>
              </w:rPr>
            </w:pPr>
            <w:r>
              <w:rPr>
                <w:rFonts w:hint="eastAsia" w:ascii="仿宋" w:hAnsi="仿宋" w:eastAsia="仿宋" w:cs="仿宋"/>
                <w:b/>
                <w:color w:val="auto"/>
                <w:sz w:val="28"/>
                <w:szCs w:val="28"/>
                <w:highlight w:val="none"/>
                <w:lang w:bidi="ar"/>
              </w:rPr>
              <w:t xml:space="preserve">合计（大写）：人民币</w:t>
            </w:r>
            <w:r>
              <w:rPr>
                <w:rFonts w:hint="eastAsia" w:ascii="仿宋" w:hAnsi="仿宋" w:eastAsia="仿宋" w:cs="仿宋"/>
                <w:b/>
                <w:color w:val="auto"/>
                <w:sz w:val="28"/>
                <w:szCs w:val="28"/>
                <w:highlight w:val="none"/>
                <w:u w:val="single"/>
                <w:lang w:bidi="ar"/>
              </w:rPr>
              <w:t xml:space="preserve">       </w:t>
            </w:r>
            <w:r>
              <w:rPr>
                <w:rFonts w:hint="eastAsia" w:ascii="仿宋" w:hAnsi="仿宋" w:eastAsia="仿宋" w:cs="仿宋"/>
                <w:b/>
                <w:color w:val="auto"/>
                <w:sz w:val="28"/>
                <w:szCs w:val="28"/>
                <w:highlight w:val="none"/>
                <w:lang w:bidi="ar"/>
              </w:rPr>
              <w:t xml:space="preserve">元整 </w:t>
            </w:r>
            <w:r>
              <w:rPr>
                <w:rFonts w:hint="eastAsia" w:ascii="仿宋" w:hAnsi="仿宋" w:eastAsia="仿宋" w:cs="仿宋"/>
                <w:b/>
                <w:color w:val="auto"/>
                <w:sz w:val="28"/>
                <w:szCs w:val="28"/>
                <w:highlight w:val="none"/>
                <w:u w:val="single"/>
                <w:lang w:bidi="ar"/>
              </w:rPr>
              <w:t xml:space="preserve">       </w:t>
            </w:r>
            <w:r>
              <w:rPr>
                <w:rFonts w:hint="eastAsia" w:ascii="仿宋" w:hAnsi="仿宋" w:eastAsia="仿宋" w:cs="仿宋"/>
                <w:b/>
                <w:color w:val="auto"/>
                <w:sz w:val="28"/>
                <w:szCs w:val="28"/>
                <w:highlight w:val="none"/>
                <w:lang w:bidi="ar"/>
              </w:rPr>
              <w:t xml:space="preserve">（含税含运费）</w:t>
            </w:r>
            <w:r/>
          </w:p>
        </w:tc>
      </w:tr>
    </w:tbl>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乙方所提供的产品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1.5本项目所有设备应包含所有有关互连所需的相关配件，保证其能正常运行，甲方不再为此另行支付任何费用。</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2.交货方法、交货期限、到货地点及风险转移</w:t>
      </w:r>
      <w:r/>
    </w:p>
    <w:p>
      <w:pPr>
        <w:pStyle w:val="1143"/>
        <w:ind w:left="0"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2.1交货期：自本合同签订生效之日起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日内送达甲方指定地点，并安装调试完毕并投入使用。</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2.2</w:t>
      </w:r>
      <w:r>
        <w:rPr>
          <w:rFonts w:hint="eastAsia" w:ascii="仿宋" w:hAnsi="仿宋" w:eastAsia="仿宋" w:cs="仿宋"/>
          <w:color w:val="auto"/>
          <w:sz w:val="28"/>
          <w:szCs w:val="28"/>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2.3</w:t>
      </w:r>
      <w:r>
        <w:rPr>
          <w:rFonts w:hint="eastAsia" w:ascii="仿宋" w:hAnsi="仿宋" w:eastAsia="仿宋" w:cs="仿宋"/>
          <w:color w:val="auto"/>
          <w:sz w:val="28"/>
          <w:szCs w:val="28"/>
          <w:highlight w:val="none"/>
        </w:rPr>
        <w:t xml:space="preserve">甲方指定的到货地点。</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2.4</w:t>
      </w:r>
      <w:r>
        <w:rPr>
          <w:rFonts w:hint="eastAsia" w:ascii="仿宋" w:hAnsi="仿宋" w:eastAsia="仿宋" w:cs="仿宋"/>
          <w:color w:val="auto"/>
          <w:sz w:val="28"/>
          <w:szCs w:val="28"/>
          <w:highlight w:val="none"/>
        </w:rPr>
        <w:t xml:space="preserve">在乙方将货物交付甲方指定的交货地点和人员前，货物的毁损、灭失风险完全由乙方承担。</w:t>
      </w:r>
      <w:r/>
    </w:p>
    <w:p>
      <w:pPr>
        <w:ind w:firstLine="482"/>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3. 货物包装及质量保证</w:t>
      </w:r>
      <w:r/>
    </w:p>
    <w:p>
      <w:pPr>
        <w:ind w:left="0" w:right="0" w:firstLine="482"/>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3.4乙方应保证本合同货物和服务或其任何一部分享有合法专利权、版权、商标权和工业设计权等知识产权，或经第三方合法授权。一旦出现侵权，由乙方负全部责任。</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3.6乙方保证所提供设备的技术规格符合甲方采购需求，符合国家有关部门最新颁布的标准及规范。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4.</w:t>
      </w:r>
      <w:r>
        <w:rPr>
          <w:rFonts w:ascii="仿宋" w:hAnsi="仿宋" w:eastAsia="仿宋" w:cs="仿宋"/>
          <w:b/>
          <w:color w:val="000000"/>
          <w:sz w:val="28"/>
        </w:rPr>
        <w:t xml:space="preserve">验收</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4.1、验收时间</w:t>
      </w:r>
      <w:r>
        <w:rPr>
          <w:rFonts w:ascii="仿宋" w:hAnsi="仿宋" w:eastAsia="仿宋" w:cs="仿宋"/>
          <w:b/>
          <w:bCs/>
          <w:color w:val="000000"/>
          <w:sz w:val="28"/>
          <w:szCs w:val="28"/>
          <w:highlight w:val="none"/>
        </w:rPr>
        <w:t xml:space="preserve">：合同标的约在</w:t>
      </w:r>
      <w:r>
        <w:rPr>
          <w:rFonts w:hint="eastAsia" w:ascii="仿宋" w:hAnsi="仿宋" w:eastAsia="仿宋" w:cs="仿宋"/>
          <w:b/>
          <w:bCs/>
          <w:color w:val="000000"/>
          <w:sz w:val="28"/>
          <w:szCs w:val="28"/>
          <w:highlight w:val="none"/>
          <w:lang w:val="en-US" w:eastAsia="zh-CN"/>
        </w:rPr>
        <w:t xml:space="preserve">2026年10</w:t>
      </w:r>
      <w:r>
        <w:rPr>
          <w:rFonts w:ascii="仿宋" w:hAnsi="仿宋" w:eastAsia="仿宋" w:cs="仿宋"/>
          <w:b/>
          <w:bCs/>
          <w:color w:val="000000"/>
          <w:sz w:val="28"/>
          <w:szCs w:val="28"/>
          <w:highlight w:val="none"/>
        </w:rPr>
        <w:t xml:space="preserve">月10日全部交付并安装完毕后，卖方可向买</w:t>
      </w:r>
      <w:r>
        <w:rPr>
          <w:rFonts w:ascii="仿宋" w:hAnsi="仿宋" w:eastAsia="仿宋" w:cs="仿宋"/>
          <w:b/>
          <w:bCs/>
          <w:color w:val="000000"/>
          <w:sz w:val="28"/>
          <w:szCs w:val="28"/>
        </w:rPr>
        <w:t xml:space="preserve">方书面提出试运行、验收要求，买方在接到书面要求后10日内进行试运行、验收。</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4.2、验收地点：何桥、张集、刘集、利国4家区域养老服务中心。</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4.3、验收主体：</w:t>
      </w:r>
      <w:r>
        <w:rPr>
          <w:rFonts w:ascii="仿宋" w:hAnsi="仿宋" w:eastAsia="仿宋" w:cs="仿宋"/>
          <w:b/>
          <w:bCs/>
          <w:color w:val="000000"/>
          <w:sz w:val="28"/>
        </w:rPr>
        <w:t xml:space="preserve">徐州市铜山区民政局。</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highlight w:val="none"/>
        </w:rPr>
        <w:t xml:space="preserve">4.4、验收方式：</w:t>
      </w:r>
      <w:r>
        <w:rPr>
          <w:rFonts w:ascii="仿宋" w:hAnsi="仿宋" w:eastAsia="仿宋" w:cs="仿宋"/>
          <w:b/>
          <w:bCs/>
          <w:color w:val="000000"/>
          <w:sz w:val="28"/>
        </w:rPr>
        <w:t xml:space="preserve">由徐州市铜山区民政局、各区域养老中心运营方（属地卫生院）、代理机构共同组成验收小组，负责合同标的履约验收具体工作，对采购货物进行联合验收。</w:t>
      </w:r>
      <w:r/>
    </w:p>
    <w:p>
      <w:pPr>
        <w:ind w:left="0" w:right="0" w:firstLine="480"/>
        <w:jc w:val="both"/>
        <w:spacing w:before="0" w:after="0" w:line="360" w:lineRule="auto"/>
        <w:rPr>
          <w:rFonts w:ascii="仿宋" w:hAnsi="仿宋" w:eastAsia="仿宋" w:cs="仿宋"/>
          <w:b/>
          <w:bCs/>
          <w:color w:val="000000"/>
          <w:sz w:val="28"/>
          <w:szCs w:val="28"/>
          <w:highlight w:val="none"/>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4.5、验收内容：</w:t>
      </w:r>
      <w:r>
        <w:rPr>
          <w:rFonts w:ascii="仿宋" w:hAnsi="仿宋" w:eastAsia="仿宋" w:cs="仿宋"/>
          <w:b/>
          <w:bCs/>
          <w:color w:val="000000"/>
          <w:sz w:val="28"/>
        </w:rPr>
        <w:t xml:space="preserve">①货物清单；②品牌、型号、规格、数量及外观质量等；③技术、性能指标；④运行状况及安装调试；⑤质量证明文件；⑥售后服务承诺；⑦安全标准；⑧合同履约时间、地点、方式</w:t>
      </w:r>
      <w:r>
        <w:rPr>
          <w:rFonts w:ascii="仿宋" w:hAnsi="仿宋" w:eastAsia="仿宋" w:cs="仿宋"/>
          <w:b/>
          <w:bCs/>
          <w:color w:val="000000"/>
          <w:sz w:val="28"/>
          <w:szCs w:val="28"/>
        </w:rPr>
        <w:t xml:space="preserve">。以上内容是否能满足招标文件要求。</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4.6、验收标准：根据《医疗器械监督管理条例》、《医疗器械使用质量监督管理办法》等相关国家标准和投标文件内容（需符合招标文件要求）。</w:t>
      </w:r>
      <w:r/>
    </w:p>
    <w:p>
      <w:pPr>
        <w:ind w:left="0" w:right="0" w:firstLine="480"/>
        <w:jc w:val="both"/>
        <w:spacing w:before="0" w:after="0" w:line="360" w:lineRule="auto"/>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4.7、双方在验收中，如果发现货物清单内容或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4.8、如甲方未按规定期限提出书面异议的，视为所交货物符合合同规定，但货物存在隐蔽瑕疵或者对质量保证期另有规定的除外。</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4.9乙方在接到甲方书面异议后，应在三日内提出处理意见，否则，即视为默认甲方提出的异议和处理意见，乙方应照此执行。</w:t>
      </w:r>
      <w:r/>
    </w:p>
    <w:p>
      <w:pPr>
        <w:pStyle w:val="1144"/>
        <w:ind w:left="480"/>
        <w:spacing w:before="0" w:beforeAutospacing="0" w:after="0" w:afterAutospacing="0"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5. 安装、调试</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w:t>
      </w:r>
      <w:r>
        <w:rPr>
          <w:rFonts w:ascii="仿宋" w:hAnsi="仿宋" w:eastAsia="仿宋" w:cs="仿宋"/>
          <w:color w:val="000000"/>
          <w:sz w:val="28"/>
        </w:rPr>
        <w:t xml:space="preserve">1设备到货验收后，乙方3日内派具备符合国家规定的具备相应资质的人员到达现场负责设备的免费安装和调试。设备安装时，乙方必须事先与甲方联系，并邀请各养老机构运营方共同参与，否则引起的一切责任由乙方承担。</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5.2乙方提供设备安装和维修所需的专用工具和辅助材料。</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5.7乙方免费提供全套技术资料（产品使用手册、维修说明书、操作说明书等），如技术资料不全，甲方有权不支付货款。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5.8 如乙方提供的设备设有维修软件密码，乙方应保证无条件地为甲方永久免费打开。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5.10乙方所供设备如验收不合格，根据甲方的要求，乙方必须无条件换货或退货，由此引起的一切损失由乙方承担。</w:t>
      </w:r>
      <w:r/>
    </w:p>
    <w:p>
      <w:pPr>
        <w:ind w:firstLine="482"/>
        <w:spacing w:line="360" w:lineRule="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 付款方式</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6.1本合同总金额为人民币大写金额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元（小写金额：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w:t>
      </w:r>
      <w:r/>
    </w:p>
    <w:p>
      <w:pPr>
        <w:ind w:firstLine="54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6.2经双方协商一致，选择以下第</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种付款方式：</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付款方式一：提交预付款保函的</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合同总价的百分之五十(50%)即￥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元整，在双方签订合同后15个工作日内，卖方向买方出具等额预付款保函后，由买方办理政府采购资金结算手续，经审核后支付给卖方。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合同总价的百分之五十(50%)即￥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元整，合同标的全部交付并安装完毕验收合格后15个工作日内，由买方办理政府采购资金结算手续，经审核后支付给卖方。</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付款方式二：不提交预付款保函的</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元整，在双方签订合同后15个工作日内，由买方办理政府采购资金结算手续，经审核后支付给卖方。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w:t>
      </w: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元整，合同标的全部交付并安装完毕验收合格后15个工作日内，由买方办理政府采购资金结算手续，经审核后支付给卖方。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乙方需提交的申请支付文件包括：</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（1）乙方出具的全额正式发票；</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（2）甲方出具的验收合格证明</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6.4  合同约定的乙方收款账户：</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银行帐号：</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7.质量保证期及售后服务</w:t>
      </w:r>
      <w:r/>
    </w:p>
    <w:p>
      <w:pPr>
        <w:pStyle w:val="1147"/>
        <w:ind w:firstLine="482"/>
        <w:spacing w:before="0" w:after="0" w:line="360" w:lineRule="auto"/>
        <w:shd w:val="clear" w:color="auto" w:fill="auto"/>
        <w:tabs>
          <w:tab w:val="left" w:pos="1009" w:leader="none"/>
        </w:tabs>
        <w:rPr>
          <w:rFonts w:ascii="仿宋" w:hAnsi="仿宋" w:eastAsia="仿宋" w:cs="仿宋"/>
          <w:bCs/>
          <w:color w:val="auto"/>
          <w:spacing w:val="0"/>
          <w:sz w:val="28"/>
          <w:szCs w:val="28"/>
          <w:highlight w:val="none"/>
        </w:rPr>
      </w:pPr>
      <w:r>
        <w:rPr>
          <w:rFonts w:hint="eastAsia" w:ascii="仿宋" w:hAnsi="仿宋" w:eastAsia="仿宋" w:cs="仿宋"/>
          <w:b/>
          <w:color w:val="auto"/>
          <w:spacing w:val="0"/>
          <w:sz w:val="28"/>
          <w:szCs w:val="28"/>
          <w:highlight w:val="none"/>
        </w:rPr>
        <w:t xml:space="preserve">7.1质量保证期：提供</w:t>
      </w:r>
      <w:r>
        <w:rPr>
          <w:rFonts w:hint="eastAsia" w:ascii="仿宋" w:hAnsi="仿宋" w:eastAsia="仿宋" w:cs="仿宋"/>
          <w:b/>
          <w:color w:val="auto"/>
          <w:spacing w:val="0"/>
          <w:sz w:val="28"/>
          <w:szCs w:val="28"/>
          <w:highlight w:val="none"/>
          <w:u w:val="single"/>
          <w:lang w:val="en-US" w:eastAsia="zh-CN"/>
        </w:rPr>
        <w:t xml:space="preserve">   </w:t>
      </w:r>
      <w:r>
        <w:rPr>
          <w:rFonts w:hint="eastAsia" w:ascii="仿宋" w:hAnsi="仿宋" w:eastAsia="仿宋" w:cs="仿宋"/>
          <w:b/>
          <w:color w:val="auto"/>
          <w:spacing w:val="0"/>
          <w:sz w:val="28"/>
          <w:szCs w:val="28"/>
          <w:highlight w:val="none"/>
        </w:rPr>
        <w:t xml:space="preserve">年原厂质保，从验收合格之日的次日算起，终身维护。</w:t>
      </w:r>
      <w:r/>
    </w:p>
    <w:p>
      <w:pPr>
        <w:pStyle w:val="1147"/>
        <w:ind w:firstLine="520"/>
        <w:spacing w:before="0" w:after="0" w:line="360" w:lineRule="auto"/>
        <w:shd w:val="clear" w:color="auto" w:fill="auto"/>
        <w:tabs>
          <w:tab w:val="left" w:pos="1008"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bidi="zh-CN"/>
        </w:rPr>
        <w:t xml:space="preserve">7.2质保期内免费上门维修，质保期外免收维修费，仅收配件费；</w:t>
      </w:r>
      <w:r/>
    </w:p>
    <w:p>
      <w:pPr>
        <w:pStyle w:val="1147"/>
        <w:ind w:firstLine="520"/>
        <w:spacing w:before="0" w:after="0" w:line="360" w:lineRule="auto"/>
        <w:shd w:val="clear" w:color="auto" w:fill="auto"/>
        <w:tabs>
          <w:tab w:val="left" w:pos="1028" w:leader="none"/>
        </w:tabs>
        <w:rPr>
          <w:rFonts w:ascii="仿宋" w:hAnsi="仿宋" w:eastAsia="仿宋" w:cs="仿宋"/>
          <w:b/>
          <w:color w:val="auto"/>
          <w:spacing w:val="0"/>
          <w:sz w:val="28"/>
          <w:szCs w:val="28"/>
          <w:highlight w:val="none"/>
        </w:rPr>
      </w:pPr>
      <w:r>
        <w:rPr>
          <w:rFonts w:hint="eastAsia" w:ascii="仿宋" w:hAnsi="仿宋" w:eastAsia="仿宋" w:cs="仿宋"/>
          <w:color w:val="auto"/>
          <w:sz w:val="28"/>
          <w:szCs w:val="28"/>
          <w:highlight w:val="none"/>
          <w:lang w:bidi="zh-CN"/>
        </w:rPr>
        <w:t xml:space="preserve">7.3</w:t>
      </w:r>
      <w:r>
        <w:rPr>
          <w:rFonts w:hint="eastAsia" w:ascii="仿宋" w:hAnsi="仿宋" w:eastAsia="仿宋" w:cs="仿宋"/>
          <w:color w:val="auto"/>
          <w:sz w:val="28"/>
          <w:szCs w:val="28"/>
          <w:highlight w:val="none"/>
          <w:lang w:val="zh-CN" w:bidi="zh-CN"/>
        </w:rPr>
        <w:t xml:space="preserve">乙方应按照国家有关法律法规规章和“三包”规定以及合同约定提供售后服务</w:t>
      </w:r>
      <w:r>
        <w:rPr>
          <w:rFonts w:hint="eastAsia" w:ascii="仿宋" w:hAnsi="仿宋" w:eastAsia="仿宋" w:cs="仿宋"/>
          <w:b/>
          <w:color w:val="auto"/>
          <w:spacing w:val="0"/>
          <w:sz w:val="28"/>
          <w:szCs w:val="28"/>
          <w:highlight w:val="none"/>
          <w:lang w:val="zh-CN" w:bidi="zh-CN"/>
        </w:rPr>
        <w:t xml:space="preserve">。在保修期内出现任何故障或者损坏，由乙方免费更换或修理（人为故意损坏除外）。</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7.4如设备发生故障，乙方在接到甲方报修电话后2小时内予以响应，24小时内到达现场解决问题。如有特殊情况，乙方应立即电话通知甲方不能响应的原因，在获得甲方同意后，才可推迟响应时间。</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7.5质保期内，设备如因故障维修超过2天，按1:2延长质保期（具体时间，按天数算）。</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7.6无论在质保期内还是质保期外，乙方必须上门维修。乙方未尽到维修质保义务的，甲方可以委托第三方维修，由此产生的费用甲方有权向乙方追偿。</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8. 技术培训</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安装过程中或安装结束后，乙方工程师或有关人员有义务对甲方工程师人员进行设备的基本结构、性能、主要部件的构造及处理，日常操作使用、日常维护和保养方法、常见故障的排除、安全注意事项及紧急情况的处理等内容的培训，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9．知识产权 </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9.2本合同价包含所有应向所有权人支付的专利权、商标权或其它知识产权的一切相关费用。</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42"/>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10.违约责任</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10.1乙方的违约责任：</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10.1.2如果乙方未能按照合同规定的交货期限交货，乙方应按每天迟交合同标的金额的百分之一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10.1.7合同规定应该偿付的违约金、赔偿金和各种经济损失，应当在明确责任后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内付清，逾期按应支付金额的日万分之五计收利息。依据本合同乙方应向甲方支付前述款项的，甲方有权自行从应付合同总价款中扣除充抵。</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10.2甲方违约责任：</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10.2.1甲方逾期支付资金的，每逾期（10）天，甲方向乙方支付合同总价的（0.1）%的违约金，但违约金的总数不超过合同总金额的（1）%。</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11.不可抗力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44"/>
        <w:ind w:firstLine="472"/>
        <w:spacing w:before="0" w:beforeAutospacing="0" w:after="0" w:afterAutospacing="0"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t xml:space="preserve">12.</w:t>
      </w:r>
      <w:r>
        <w:rPr>
          <w:rFonts w:hint="eastAsia" w:ascii="仿宋" w:hAnsi="仿宋" w:eastAsia="仿宋" w:cs="仿宋"/>
          <w:b/>
          <w:color w:val="auto"/>
          <w:sz w:val="28"/>
          <w:szCs w:val="28"/>
          <w:highlight w:val="none"/>
        </w:rPr>
        <w:t xml:space="preserve">争议解决方法</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甲、乙双方因履行本合同发生争议时，应友好协商；协商不成时，向甲方所在地人民法院提出诉讼。</w:t>
      </w:r>
      <w:r/>
    </w:p>
    <w:p>
      <w:pPr>
        <w:ind w:firstLine="48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13.其它</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13.2本合同壹式</w:t>
      </w:r>
      <w:r>
        <w:rPr>
          <w:rFonts w:hint="eastAsia" w:ascii="仿宋" w:hAnsi="仿宋" w:eastAsia="仿宋" w:cs="仿宋"/>
          <w:color w:val="auto"/>
          <w:sz w:val="28"/>
          <w:szCs w:val="28"/>
          <w:highlight w:val="none"/>
          <w:u w:val="single"/>
        </w:rPr>
        <w:t xml:space="preserve">4</w:t>
      </w:r>
      <w:r>
        <w:rPr>
          <w:rFonts w:hint="eastAsia" w:ascii="仿宋" w:hAnsi="仿宋" w:eastAsia="仿宋" w:cs="仿宋"/>
          <w:color w:val="auto"/>
          <w:sz w:val="28"/>
          <w:szCs w:val="28"/>
          <w:highlight w:val="none"/>
        </w:rPr>
        <w:t xml:space="preserve">份，甲方执</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rPr>
        <w:t xml:space="preserve">份，乙方执</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rPr>
        <w:t xml:space="preserve">份，备案1份。</w:t>
      </w:r>
      <w:r/>
    </w:p>
    <w:p>
      <w:pPr>
        <w:spacing w:line="360" w:lineRule="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28"/>
          <w:szCs w:val="28"/>
          <w:highlight w:val="none"/>
        </w:rPr>
        <w:t xml:space="preserve">  14.合同附件</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（下页为合同签署页）</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法定代表人：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                         委托代理人: </w:t>
      </w:r>
      <w:r/>
    </w:p>
    <w:p>
      <w:pPr>
        <w:ind w:left="6000" w:hanging="6000"/>
        <w:jc w:val="left"/>
        <w:spacing w:line="360" w:lineRule="auto"/>
        <w:tabs>
          <w:tab w:val="left" w:pos="4671"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电 话：</w:t>
      </w:r>
      <w:r/>
    </w:p>
    <w:p>
      <w:pPr>
        <w:ind w:left="4556" w:hanging="31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开 户 行：</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账 号：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28"/>
          <w:szCs w:val="28"/>
          <w:highlight w:val="none"/>
        </w:rPr>
        <w:t xml:space="preserve">签订日期：                           签订日期： </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32"/>
          <w:szCs w:val="32"/>
          <w:highlight w:val="none"/>
        </w:rPr>
        <w:t xml:space="preserve">合同附件</w:t>
      </w:r>
      <w:r/>
    </w:p>
    <w:p>
      <w:pPr>
        <w:jc w:val="left"/>
        <w:spacing w:line="360" w:lineRule="auto"/>
        <w:tabs>
          <w:tab w:val="left" w:pos="7506" w:leader="none"/>
        </w:tabs>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目录</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合同附件1：合同协议书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合同附件2：技术规格和技术性能</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(要求见招标文件第六章《采购需求》；</w:t>
      </w:r>
      <w:r>
        <w:rPr>
          <w:rFonts w:hint="eastAsia" w:ascii="仿宋" w:hAnsi="仿宋" w:eastAsia="仿宋" w:cs="仿宋"/>
          <w:b/>
          <w:bCs/>
          <w:color w:val="auto"/>
          <w:sz w:val="28"/>
          <w:szCs w:val="28"/>
          <w:highlight w:val="none"/>
        </w:rPr>
        <w:t xml:space="preserve">合同见卖方投标文件中《技术规格说明》。)</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合同附件3：售后服务和技术培训</w:t>
      </w:r>
      <w:r/>
    </w:p>
    <w:p>
      <w:pPr>
        <w:spacing w:line="360" w:lineRule="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(要求见招标文件第六章《采购需求》；合同见卖方投标文件中</w:t>
      </w:r>
      <w:r>
        <w:rPr>
          <w:rFonts w:hint="eastAsia" w:ascii="仿宋" w:hAnsi="仿宋" w:eastAsia="仿宋" w:cs="仿宋"/>
          <w:b/>
          <w:bCs/>
          <w:color w:val="auto"/>
          <w:sz w:val="28"/>
          <w:szCs w:val="28"/>
          <w:highlight w:val="none"/>
        </w:rPr>
        <w:t xml:space="preserve">《售后服务方案》和《培训方案》。)</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合同附件4：供货范围和价格清单</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(要求见招标文件第七章《投标文件相关格式》中《开标一览表》和《分项价格表》；合同见卖方投标文件中《开标一览表》和《分项价格表》。)</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合同附件5：</w:t>
      </w:r>
      <w:r>
        <w:rPr>
          <w:rFonts w:ascii="仿宋" w:hAnsi="仿宋" w:eastAsia="仿宋" w:cs="仿宋"/>
          <w:color w:val="000000"/>
          <w:sz w:val="28"/>
        </w:rPr>
        <w:t xml:space="preserve">验收通知单和履约验收书</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合同附件6：采购需求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(见招标文件第六章《采购需求》。)</w:t>
      </w:r>
      <w:r/>
    </w:p>
    <w:p>
      <w:pPr>
        <w:pStyle w:val="83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4"/>
      </w:pPr>
      <w:r/>
      <w:r/>
    </w:p>
    <w:p>
      <w:pP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合同附件1：</w:t>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合同协议书</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合同编号:____________ </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签字日期:____________ </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签字地点:____________ </w:t>
      </w:r>
      <w:r/>
    </w:p>
    <w:p>
      <w:pPr>
        <w:ind w:firstLine="359"/>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）的投标。买方和卖方共同达成如下协议。</w:t>
      </w:r>
      <w:r/>
    </w:p>
    <w:p>
      <w:pPr>
        <w:numPr>
          <w:ilvl w:val="0"/>
          <w:numId w:val="5"/>
        </w:num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本合同协议书中的词语和术语的含义与合同条款中定义的相同。</w:t>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以下文件应构成买方和卖方之间达成的合同，若各文件之间存在含糊不清或互相冲突之处，优先顺序应按下列文件顺序解释。</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合同协议书</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中标通知书</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合同专用条款</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合同通用条款</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除合同附件1外的合同附件</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其他文件</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考虑到卖方将按合同规定提供合同标的、技术资料、售后服务及技术培训，买方在此保证按照合同规定的时间和方式向卖方支付合同价款。</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本合同在下列条件全部满足后生效，生效日期以下列条件全部满足的最晚日期为准： </w:t>
      </w:r>
      <w:r/>
    </w:p>
    <w:p>
      <w:pPr>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（1）双方加盖公章或合同专用章； </w:t>
      </w:r>
      <w:r/>
    </w:p>
    <w:p>
      <w:pPr>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收到乙方交纳的人民币___元的履约保证金（合同金额的10%），以支票、汇票、本票或者金融机构、担保机构出具的保函等非现金形式缴纳。履约保证金在中标供应商按合同履约完成、试运行满12个月后无质量问题后无息退还。</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合同一式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份，具有同等法律效力，买方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份，卖方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7.本合同其他未尽事宜及与采购文件有矛盾之处，以采购文件[项目编号：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]为准。</w:t>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买方和卖方由其正式授权代表于上述所写日期和地点签订本合同。</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买方（签章）：____________________________________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法定代表人或授权代表(签名)： 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卖方（签章）： ____________________________________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法定代表人或授权代表(签名)： ____________________ </w:t>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34"/>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34"/>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34"/>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rPr>
      </w:pPr>
      <w:r>
        <w:rPr>
          <w:rFonts w:hint="eastAsia"/>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Style w:val="1108"/>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2" w:name="_Toc324452802"/>
      <w:r/>
      <w:bookmarkEnd w:id="2"/>
      <w:r/>
      <w:bookmarkStart w:id="3" w:name="_Toc322457054"/>
      <w:r/>
      <w:bookmarkEnd w:id="3"/>
      <w:r/>
      <w:r/>
    </w:p>
    <w:p>
      <w:pPr>
        <w:ind w:firstLine="482"/>
        <w:spacing w:after="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一、说明</w:t>
      </w:r>
      <w:r/>
    </w:p>
    <w:p>
      <w:pPr>
        <w:ind w:firstLine="482"/>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（一）采购人：徐州市铜山区民政局（机关）（机关）</w:t>
      </w:r>
      <w:r/>
    </w:p>
    <w:p>
      <w:pPr>
        <w:ind w:firstLine="482"/>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（二）采购项目名称：区域养老服务中心医养结合提升项目（一期）医疗、康复等相关运营设备采购</w:t>
      </w:r>
      <w:r/>
    </w:p>
    <w:p>
      <w:pPr>
        <w:ind w:firstLine="482"/>
        <w:spacing w:after="0" w:line="360" w:lineRule="auto"/>
        <w:rPr>
          <w:rFonts w:hint="eastAsia" w:ascii="宋体" w:hAnsi="宋体" w:eastAsia="宋体" w:cs="宋体"/>
          <w:sz w:val="24"/>
          <w:szCs w:val="24"/>
          <w:lang w:eastAsia="zh-CN"/>
        </w:rPr>
      </w:pPr>
      <w:r>
        <w:rPr>
          <w:rFonts w:hint="eastAsia" w:ascii="宋体" w:hAnsi="宋体" w:eastAsia="宋体" w:cs="宋体"/>
          <w:b/>
          <w:bCs/>
          <w:color w:val="auto"/>
          <w:sz w:val="24"/>
          <w:szCs w:val="24"/>
          <w:lang w:val="en-US" w:eastAsia="zh-CN"/>
        </w:rPr>
        <w:t xml:space="preserve">二、采购清单及采购项目预算金额</w:t>
      </w:r>
      <w:r/>
    </w:p>
    <w:tbl>
      <w:tblPr>
        <w:tblStyle w:val="833"/>
        <w:tblpPr w:horzAnchor="page" w:tblpX="1342" w:vertAnchor="text" w:tblpY="639" w:leftFromText="180" w:topFromText="0" w:rightFromText="180" w:bottomFromText="0"/>
        <w:tblW w:w="9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5"/>
        <w:gridCol w:w="2860"/>
        <w:gridCol w:w="870"/>
        <w:gridCol w:w="930"/>
        <w:gridCol w:w="960"/>
        <w:gridCol w:w="960"/>
        <w:gridCol w:w="855"/>
        <w:gridCol w:w="1755"/>
      </w:tblGrid>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gridSpan w:val="5"/>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采购预算单价(万元)</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86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何桥</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利国</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除颤监护仪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污水处理设备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移动紫外线消毒灯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心电监护仪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治疗车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抢救车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药柜</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血细胞分析仪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尿分析仪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担架车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床边可移动升降餐桌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助浴椅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助浴床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医用制氧机10升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0.63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烘干机(50kg)</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半导体治疗仪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电脑中频治疗仪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经皮神经电刺激仪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超声波治疗仪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磁振热治疗仪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立体动态干扰电治疗仪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微波治疗仪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红外光灸疗机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颈腰椎多功能牵引床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多关节主被动训练仪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OT综合治疗桌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PT训练床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多体位医用诊疗床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电针治疗仪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电动多体位医用诊疗床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深层肌肉刺激仪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磁疗康复仪（带激光）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饮用水设备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床单元(床上用品)</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护理床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无创呼吸机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关节康复器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适老无障碍化餐桌椅（可供 10 人就餐）</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洗衣机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静脉穿刺定位仪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0.11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全自动护理床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心电图工作站</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电子血压计</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医疗废弃物推车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电视机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洗澡间适老扶手</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热水器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超声脉冲电导治疗仪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中医定向透药治疗仪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熏蒸治疗机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w:t>
            </w:r>
            <w:r/>
          </w:p>
        </w:tc>
      </w:tr>
    </w:tbl>
    <w:p>
      <w:pPr>
        <w:ind w:firstLine="480"/>
        <w:jc w:val="both"/>
        <w:keepLines w:val="0"/>
        <w:keepNext w:val="0"/>
        <w:pageBreakBefore w:val="0"/>
        <w:spacing w:after="0" w:line="400" w:lineRule="exact"/>
        <w:widowControl w:val="off"/>
        <w:rPr>
          <w:rFonts w:hint="eastAsia" w:ascii="宋体" w:hAnsi="宋体" w:eastAsia="宋体" w:cs="宋体"/>
          <w:sz w:val="24"/>
          <w:szCs w:val="24"/>
          <w:lang w:val="en-US" w:eastAsia="en-US" w:bidi="ar-SA"/>
        </w:rPr>
      </w:pPr>
      <w:r>
        <w:rPr>
          <w:rFonts w:hint="eastAsia" w:ascii="宋体" w:hAnsi="宋体" w:cs="宋体"/>
          <w:sz w:val="24"/>
          <w:szCs w:val="24"/>
          <w:highlight w:val="none"/>
          <w:lang w:val="en-US" w:eastAsia="zh-CN" w:bidi="ar-SA"/>
        </w:rPr>
        <w:t xml:space="preserve">注：</w:t>
      </w:r>
      <w:r>
        <w:rPr>
          <w:rFonts w:hint="eastAsia" w:ascii="宋体" w:hAnsi="宋体" w:eastAsia="宋体" w:cs="宋体"/>
          <w:sz w:val="24"/>
          <w:szCs w:val="24"/>
          <w:highlight w:val="none"/>
          <w:lang w:val="en-US" w:eastAsia="en-US" w:bidi="ar-SA"/>
        </w:rPr>
        <w:t xml:space="preserve">本次采购的为非进口产品。本项目不接受超过</w:t>
      </w:r>
      <w:r>
        <w:rPr>
          <w:rFonts w:hint="eastAsia" w:ascii="宋体" w:hAnsi="宋体" w:eastAsia="宋体" w:cs="宋体"/>
          <w:b/>
          <w:bCs/>
          <w:sz w:val="24"/>
          <w:szCs w:val="24"/>
          <w:highlight w:val="none"/>
          <w:lang w:val="en-US" w:eastAsia="en-US" w:bidi="ar-SA"/>
        </w:rPr>
        <w:t xml:space="preserve">682.46万元</w:t>
      </w:r>
      <w:r>
        <w:rPr>
          <w:rFonts w:hint="eastAsia" w:ascii="宋体" w:hAnsi="宋体" w:eastAsia="宋体" w:cs="宋体"/>
          <w:sz w:val="24"/>
          <w:szCs w:val="24"/>
          <w:highlight w:val="none"/>
          <w:lang w:val="en-US" w:eastAsia="en-US" w:bidi="ar-SA"/>
        </w:rPr>
        <w:t xml:space="preserve">（采购项</w:t>
      </w:r>
      <w:r>
        <w:rPr>
          <w:rFonts w:hint="eastAsia" w:ascii="宋体" w:hAnsi="宋体" w:eastAsia="宋体" w:cs="宋体"/>
          <w:sz w:val="24"/>
          <w:szCs w:val="24"/>
          <w:lang w:val="en-US" w:eastAsia="en-US" w:bidi="ar-SA"/>
        </w:rPr>
        <w:t xml:space="preserve">目预算金额）的投标报价。</w:t>
      </w:r>
      <w:r>
        <w:rPr>
          <w:rFonts w:hint="eastAsia" w:ascii="宋体" w:hAnsi="宋体" w:eastAsia="宋体" w:cs="宋体"/>
          <w:b/>
          <w:bCs/>
          <w:color w:val="auto"/>
          <w:sz w:val="24"/>
          <w:szCs w:val="24"/>
          <w:highlight w:val="none"/>
          <w:lang w:val="en-US" w:eastAsia="zh-CN" w:bidi="ar-SA"/>
        </w:rPr>
        <w:t xml:space="preserve">每种设备报价不得超过其对应采购预算单价金额，否则投标无效。</w:t>
      </w:r>
      <w:r>
        <w:rPr>
          <w:rFonts w:hint="eastAsia" w:ascii="宋体" w:hAnsi="宋体" w:eastAsia="宋体" w:cs="宋体"/>
          <w:sz w:val="24"/>
          <w:szCs w:val="24"/>
          <w:lang w:val="en-US" w:eastAsia="en-US" w:bidi="ar-SA"/>
        </w:rPr>
        <w:t xml:space="preserve">报价包括产品价、税金、运费、安装调试、检验、保险、验收等全部费用。保修期内若发生故障免费更换所有有问题的零部件；所更换的零部件必须为新的原厂同型号匹配备件；所有的配件、人工、差旅、搬运、快递、安装调试及系统软件升级、相关技术支持及培训费用等全部费用包含在本次报价中，采购人不再额外支付任何费用。</w:t>
      </w:r>
      <w:r/>
    </w:p>
    <w:p>
      <w:pPr>
        <w:ind w:firstLine="720"/>
        <w:jc w:val="both"/>
        <w:keepLines w:val="0"/>
        <w:keepNext w:val="0"/>
        <w:pageBreakBefore w:val="0"/>
        <w:spacing w:after="0" w:line="4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sz w:val="24"/>
          <w:szCs w:val="24"/>
          <w:highlight w:val="none"/>
          <w:lang w:val="en-US" w:eastAsia="zh-CN" w:bidi="ar-SA"/>
        </w:rPr>
        <w:t xml:space="preserve">供货期限：签订采购合同后30日历天内完成供货。</w:t>
      </w:r>
      <w:r/>
    </w:p>
    <w:p>
      <w:pPr>
        <w:numPr>
          <w:ilvl w:val="0"/>
          <w:numId w:val="6"/>
        </w:numPr>
        <w:ind w:left="0" w:firstLine="482"/>
        <w:keepLines w:val="0"/>
        <w:keepNext w:val="0"/>
        <w:pageBreakBefore w:val="0"/>
        <w:spacing w:after="0" w:line="360" w:lineRule="auto"/>
        <w:tabs>
          <w:tab w:val="left" w:pos="39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技术规格要求</w:t>
      </w:r>
      <w:r/>
    </w:p>
    <w:p>
      <w:pPr>
        <w:jc w:val="left"/>
        <w:spacing w:after="200"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、除颤监护仪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1.标配手动除颤、心电监护功能</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2.体外除颤电极板手柄支持充电、放电、能量选择，具备充电完成指示灯。成人、小儿一体化电极板</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3.病人阻抗范围：25～200Ω</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4.显示屏≥5英寸, 分辨率≥640×480</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en-US"/>
        </w:rPr>
        <w:t xml:space="preserve">可显示≥3道监护参数波形。具备ECG波形同步储存功能，可记录数据</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关机状态下设备可自动运行自检，手动检测支持大能量自检、屏幕、按键检测。具备中文语音提示功能</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仪器使用年限≥5</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en-US"/>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带电时间：监护模式下≥4小时，单次满电下可支持≥30次除颤。</w:t>
      </w:r>
      <w:r/>
    </w:p>
    <w:p>
      <w:pPr>
        <w:jc w:val="left"/>
        <w:keepLines w:val="0"/>
        <w:keepNext w:val="0"/>
        <w:pageBreakBefore w:val="0"/>
        <w:spacing w:after="0" w:line="360" w:lineRule="auto"/>
        <w:widowControl/>
        <w:tabs>
          <w:tab w:val="left" w:pos="396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（二）、污水处理设备</w:t>
      </w:r>
      <w:r/>
    </w:p>
    <w:tbl>
      <w:tblPr>
        <w:tblStyle w:val="833"/>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395"/>
        <w:gridCol w:w="1860"/>
        <w:gridCol w:w="780"/>
        <w:gridCol w:w="716"/>
        <w:gridCol w:w="1200"/>
        <w:gridCol w:w="2528"/>
      </w:tblGrid>
      <w:tr>
        <w:trPr>
          <w:jc w:val="center"/>
          <w:trHeight w:val="510"/>
        </w:trPr>
        <w:tc>
          <w:tcPr>
            <w:shd w:val="clear" w:color="auto" w:fill="a8d08d"/>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序号</w:t>
            </w:r>
            <w:r/>
          </w:p>
        </w:tc>
        <w:tc>
          <w:tcPr>
            <w:shd w:val="clear" w:color="auto" w:fill="a8d08d"/>
            <w:tcW w:w="1395" w:type="dxa"/>
            <w:vAlign w:val="center"/>
            <w:textDirection w:val="lrTb"/>
            <w:noWrap w:val="false"/>
          </w:tcPr>
          <w:p>
            <w:pPr>
              <w:ind w:firstLine="280"/>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名称</w:t>
            </w:r>
            <w:r/>
          </w:p>
        </w:tc>
        <w:tc>
          <w:tcPr>
            <w:shd w:val="clear" w:color="auto" w:fill="a8d08d"/>
            <w:tcW w:w="186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规格型号</w:t>
            </w:r>
            <w:r/>
          </w:p>
        </w:tc>
        <w:tc>
          <w:tcPr>
            <w:shd w:val="clear" w:color="auto" w:fill="a8d08d"/>
            <w:tcW w:w="78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数量</w:t>
            </w:r>
            <w:r/>
          </w:p>
        </w:tc>
        <w:tc>
          <w:tcPr>
            <w:shd w:val="clear" w:color="auto" w:fill="a8d08d"/>
            <w:tcW w:w="716"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单位</w:t>
            </w:r>
            <w:r/>
          </w:p>
        </w:tc>
        <w:tc>
          <w:tcPr>
            <w:shd w:val="clear" w:color="auto" w:fill="a8d08d"/>
            <w:tcW w:w="120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材质</w:t>
            </w:r>
            <w:r/>
          </w:p>
        </w:tc>
        <w:tc>
          <w:tcPr>
            <w:shd w:val="clear" w:color="auto" w:fill="a8d08d"/>
            <w:tcW w:w="2528" w:type="dxa"/>
            <w:vAlign w:val="center"/>
            <w:textDirection w:val="lrTb"/>
            <w:noWrap w:val="false"/>
          </w:tcPr>
          <w:p>
            <w:pPr>
              <w:ind w:firstLine="893"/>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备注</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调节池（碳钢防腐）</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741"/>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调节池（含格栅池）</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尺寸：3000x2000x2500mm</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(含检查孔）</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碳钢防腐钢板5个厚</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1171"/>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污水提升泵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污水提升，实现自动化及进水量稳定</w:t>
            </w:r>
            <w:r/>
          </w:p>
        </w:tc>
      </w:tr>
      <w:tr>
        <w:trPr>
          <w:jc w:val="center"/>
          <w:trHeight w:val="1083"/>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液位控制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浮球液位控制器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浮球式液位计，开关量型号输出</w:t>
            </w:r>
            <w:r/>
          </w:p>
        </w:tc>
      </w:tr>
      <w:tr>
        <w:trPr>
          <w:jc w:val="center"/>
          <w:trHeight w:val="76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人工格栅</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500x500x500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不锈钢</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提篮格栅，定期清理污水中杂物</w:t>
            </w:r>
            <w:r/>
          </w:p>
        </w:tc>
      </w:tr>
      <w:tr>
        <w:trPr>
          <w:jc w:val="center"/>
          <w:trHeight w:val="103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流量计</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电磁流量计</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精确测量流量，实现流量控制与调节</w:t>
            </w:r>
            <w:r/>
          </w:p>
        </w:tc>
      </w:tr>
      <w:tr>
        <w:trPr>
          <w:jc w:val="center"/>
          <w:trHeight w:val="12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一体化污水处理设备</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Q235碳钢材质，内外环氧沥青防腐；</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主体尺寸：6000×2000×2000mm</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105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设备人孔</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500x500x500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①</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缺氧池（一体化设备内部）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ф150，聚乙烯材质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聚乙烯材质</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配套填料支架</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填料支架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组合件,环氧沥青防腐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45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布水器</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Ф50，PVC</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44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ind w:firstLine="482"/>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47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②</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接触氧化池（一体化设备内部）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ф150，聚乙烯材质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聚乙烯材质</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配套填料支架</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填料支架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组合件,环氧沥青防腐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膜片曝气器</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BQ-215-0.3 Φ215</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服务面积：0.3 m2/套， ABS材质。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ABS</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提供氧气，搅拌混合，防止污泥沉降，提高传质效率</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曝气管道</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DN  40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ABS</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配套曝气管道</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③</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二沉池（一体化设备内部）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污泥回流泵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钢丝软管连接，潜污泵</w:t>
            </w:r>
            <w:r/>
          </w:p>
        </w:tc>
      </w:tr>
      <w:tr>
        <w:trPr>
          <w:jc w:val="center"/>
          <w:trHeight w:val="407"/>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剩余污泥泵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钢丝软管连接，潜污泵</w:t>
            </w:r>
            <w:r/>
          </w:p>
        </w:tc>
      </w:tr>
      <w:tr>
        <w:trPr>
          <w:jc w:val="center"/>
          <w:trHeight w:val="3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溢流堰</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齿形溢流堰</w:t>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中心稳流管</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DN100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中心导流筒配套型材</w:t>
            </w:r>
            <w:r/>
          </w:p>
        </w:tc>
      </w:tr>
      <w:tr>
        <w:trPr>
          <w:jc w:val="center"/>
          <w:trHeight w:val="3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中心导流筒配套型材</w:t>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反射板</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配套中心导流筒</w:t>
            </w:r>
            <w:r/>
          </w:p>
        </w:tc>
      </w:tr>
      <w:tr>
        <w:trPr>
          <w:jc w:val="center"/>
          <w:trHeight w:val="45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④</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消毒池（一体化设内部）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消毒管道</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保证消毒药剂接触时间</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三</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污泥池（碳钢防腐）</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759"/>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污泥池</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尺寸：2500x2000x2500mm</w:t>
            </w:r>
            <w:r>
              <w:rPr>
                <w:rFonts w:hint="eastAsia" w:ascii="宋体" w:hAnsi="宋体" w:eastAsia="宋体" w:cs="宋体"/>
                <w:b w:val="0"/>
                <w:bCs w:val="0"/>
                <w:color w:val="auto"/>
                <w:sz w:val="24"/>
                <w:szCs w:val="24"/>
                <w:lang w:val="en-US" w:eastAsia="zh-CN"/>
              </w:rPr>
              <w:br/>
            </w:r>
            <w:r>
              <w:rPr>
                <w:rFonts w:hint="eastAsia" w:ascii="宋体" w:hAnsi="宋体" w:eastAsia="宋体" w:cs="宋体"/>
                <w:b w:val="0"/>
                <w:bCs w:val="0"/>
                <w:color w:val="auto"/>
                <w:sz w:val="24"/>
                <w:szCs w:val="24"/>
                <w:lang w:val="en-US" w:eastAsia="zh-CN"/>
              </w:rPr>
              <w:t xml:space="preserve">（含检查孔）</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座</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514"/>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四</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设备间（地上砖混）</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1107"/>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电控箱</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手自动控制箱</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碳钢喷塑</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启动与停止控制；保护功能</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回转风机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HC40S</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供气系统配套</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消毒设备</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二氧化氯消毒</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UPVC</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消毒池配套</w:t>
            </w:r>
            <w:r/>
          </w:p>
        </w:tc>
      </w:tr>
    </w:tbl>
    <w:p>
      <w:pPr>
        <w:ind w:firstLine="482"/>
        <w:jc w:val="left"/>
        <w:keepLines w:val="0"/>
        <w:keepNext w:val="0"/>
        <w:pageBreakBefore w:val="0"/>
        <w:spacing w:after="0" w:line="360" w:lineRule="auto"/>
        <w:widowControl/>
        <w:tabs>
          <w:tab w:val="left" w:pos="3960" w:leader="none"/>
        </w:tabs>
        <w:rPr>
          <w:rFonts w:hint="eastAsia" w:ascii="宋体" w:hAnsi="宋体" w:eastAsia="宋体" w:cs="宋体"/>
          <w:sz w:val="24"/>
          <w:szCs w:val="24"/>
          <w:lang w:eastAsia="en-US"/>
        </w:rPr>
      </w:pPr>
      <w:r>
        <w:rPr>
          <w:rFonts w:hint="eastAsia" w:ascii="宋体" w:hAnsi="宋体" w:eastAsia="宋体" w:cs="宋体"/>
          <w:b w:val="0"/>
          <w:bCs w:val="0"/>
          <w:color w:val="auto"/>
          <w:sz w:val="24"/>
          <w:szCs w:val="24"/>
          <w:lang w:val="en-US" w:eastAsia="zh-CN"/>
        </w:rPr>
        <w:t xml:space="preserve">▲注：安装事宜可委托具备环保工程专业承包叁级及以上资质的企业负责，其安装企业的项目负责人具备机电工程贰级及以上注册建造师资格，技术负责人具备环保类中级及以上职称（项目负责人与技术负责人可为同一人），投标文件须提供以上证书扫描件。</w:t>
      </w:r>
      <w:r/>
    </w:p>
    <w:p>
      <w:pPr>
        <w:jc w:val="left"/>
        <w:spacing w:after="200"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、移动紫外线消毒灯</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1、灯管功率：30W*2</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2、灯管可调节角度0-180度</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3、自控消毒时间0-120分钟</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4、万向轮</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lang w:eastAsia="en-US"/>
        </w:rPr>
        <w:t xml:space="preserve">5、灯车高度≧100CM</w:t>
      </w:r>
      <w:r>
        <w:rPr>
          <w:rFonts w:hint="eastAsia" w:ascii="宋体" w:hAnsi="宋体" w:eastAsia="宋体" w:cs="宋体"/>
          <w:sz w:val="24"/>
          <w:szCs w:val="24"/>
          <w:lang w:eastAsia="zh-CN"/>
        </w:rPr>
        <w:t xml:space="preserve">。</w:t>
      </w:r>
      <w:r/>
    </w:p>
    <w:p>
      <w:pPr>
        <w:numPr>
          <w:ilvl w:val="0"/>
          <w:numId w:val="0"/>
        </w:numPr>
        <w:jc w:val="left"/>
        <w:spacing w:after="200" w:line="360" w:lineRule="auto"/>
        <w:widowControl/>
        <w:rPr>
          <w:rFonts w:hint="eastAsia" w:ascii="宋体" w:hAnsi="宋体" w:eastAsia="宋体" w:cs="宋体"/>
          <w:b/>
          <w:bCs/>
          <w:sz w:val="24"/>
          <w:szCs w:val="24"/>
          <w:highlight w:val="yellow"/>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highlight w:val="none"/>
          <w:lang w:eastAsia="zh-CN"/>
        </w:rPr>
        <w:t xml:space="preserve">心电图</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1.心电采集</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1.1信号输入：12导联同步采集、同步打印</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1.2输入电路：浮地输入，具有抗除颤电击防护功能</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1.3耐极化电压：±550mV</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1.4时间常数：≥3.2s</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1.5输入阻抗：≥2.5MΩ</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▲1.6频率响应：0.05Hz～250Hz，高记录精度，更适合采集儿童心电波形</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1.7噪声电平：≤15μv（峰峰值）</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1.8增益类型：1.25mm/mv、2.5mm/mv、5mm/mv、10mm/mv、20mm/mv自动增益</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1.9输入回路电流：≤0.1μA</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1.10患者漏电流：＜10μA</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1.11共模抑制比：&gt;89dB</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1.12采样率：8000Hz</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1.13标准灵敏度：10 mm/mV±2%</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1.14灵敏阈：≤20μv（峰峰值）</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1.15定标电压：1 mV±5%</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1.16A/D转换：24位</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1.17滤波功能：具有交流、肌电和基线漂移滤波功能</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2.心电诊断及分析</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2.1 超长时间电影回放，支持300秒钟波形冻结、全息电影回放，方便异常心电波形扑捉</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▲2.2 特有观察模式，特有手动/自动心率不齐检查，可自动检测并打印心率不齐波形</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▲2.3成人\儿童专用分析算法、明尼苏达码编码系统，分析更准确</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2.4支持心率不齐检查、起搏检测、R-R分析、Cabrera等多种测量、分析方式</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2.5心电波形测量参数：心率，PR 间期，QRS 时限，QT/QTC 间期，P/QRS/T 轴，RV5/SV1 电压，RV5+SV1电压</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▲2.6节律记录时间：采集30~300秒波形用于节律分析</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▲2.7特有HRV记录功能，更加细致地进行心率变异性分析</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3.心电记录</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3.1记录方式：热点阵印字系统</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3.2记录格式：3×4，3×4+1R，3×4+3R，6×2，6×2+1R，6×2+3R，12×1</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▲3.3记录模式：省纸、自动、手动、周期、自动触发</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3.4记录速度：5 mm/s，6.25 mm/s，10 mm/s，12.5 mm/s，25 mm/s，50 mm/s误差±3%</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3.5记录纸规格：210 mm×140 mm×20 m 折叠纸</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4.输入输出</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▲4.1支持HL7接口协议，方便联网共享</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4.2多种数据存储方式，内部存储≥5000（ECG格式）病历，并支持大容量SD卡、U盘</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4.3快捷功能键输入，支持外接扫描枪，轻轻一扫，完成条码等输入</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▲4.4高亮度7英寸液晶显示器0~80°可调，预留键盘接口</w:t>
      </w:r>
      <w:r/>
    </w:p>
    <w:p>
      <w:pPr>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5.资质认证</w:t>
      </w:r>
      <w:r/>
    </w:p>
    <w:p>
      <w:pPr>
        <w:jc w:val="lef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vertAlign w:val="baseline"/>
          <w:lang w:val="en-US" w:eastAsia="zh-CN"/>
        </w:rPr>
        <w:t xml:space="preserve">5.1通过CE认证，通过FDA（510k）审核，取得CMD医疗器械产品认证</w:t>
      </w:r>
      <w:r/>
    </w:p>
    <w:p>
      <w:pPr>
        <w:numPr>
          <w:ilvl w:val="0"/>
          <w:numId w:val="0"/>
        </w:numPr>
        <w:jc w:val="left"/>
        <w:spacing w:after="200"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zh-CN"/>
        </w:rPr>
        <w:t xml:space="preserve">心电监护仪</w:t>
      </w:r>
      <w:r/>
    </w:p>
    <w:p>
      <w:pPr>
        <w:jc w:val="left"/>
        <w:rPr>
          <w:rFonts w:ascii="宋体" w:hAnsi="宋体" w:cs="Arial"/>
          <w:b/>
          <w:sz w:val="24"/>
          <w:szCs w:val="24"/>
          <w:highlight w:val="none"/>
        </w:rPr>
      </w:pPr>
      <w:r>
        <w:rPr>
          <w:rFonts w:hint="eastAsia" w:ascii="宋体" w:hAnsi="宋体" w:cs="Arial"/>
          <w:b/>
          <w:sz w:val="24"/>
          <w:szCs w:val="24"/>
          <w:highlight w:val="none"/>
          <w:lang w:val="en-US" w:eastAsia="zh-CN"/>
        </w:rPr>
        <w:t xml:space="preserve">1.</w:t>
      </w:r>
      <w:r>
        <w:rPr>
          <w:rFonts w:ascii="宋体" w:hAnsi="宋体" w:cs="Arial"/>
          <w:b/>
          <w:sz w:val="24"/>
          <w:szCs w:val="24"/>
          <w:highlight w:val="none"/>
        </w:rPr>
        <w:t xml:space="preserve">产品设计</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一体式监护仪,可用于监护成人、儿童、新生儿患者</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具有配件收纳箱，便于配件的收纳管理，提供更大空间</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屏幕显示</w:t>
      </w:r>
      <w:r/>
    </w:p>
    <w:p>
      <w:pPr>
        <w:numPr>
          <w:ilvl w:val="1"/>
          <w:numId w:val="7"/>
        </w:numPr>
        <w:rPr>
          <w:rFonts w:ascii="宋体" w:hAnsi="宋体" w:cs="Arial"/>
          <w:sz w:val="24"/>
          <w:szCs w:val="24"/>
          <w:highlight w:val="none"/>
        </w:rPr>
      </w:pPr>
      <w:r>
        <w:rPr>
          <w:rFonts w:hint="eastAsia" w:ascii="宋体" w:hAnsi="宋体" w:cs="宋体"/>
          <w:sz w:val="24"/>
          <w:szCs w:val="24"/>
          <w:highlight w:val="none"/>
          <w:lang w:val="en-US" w:eastAsia="zh-CN"/>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0英寸</w:t>
      </w:r>
      <w:r>
        <w:rPr>
          <w:rFonts w:hint="eastAsia" w:ascii="宋体" w:hAnsi="宋体" w:cs="宋体"/>
          <w:sz w:val="24"/>
          <w:szCs w:val="24"/>
          <w:highlight w:val="none"/>
        </w:rPr>
        <w:t xml:space="preserve">电容式触摸屏，分辨率</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800*600</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智能背光自动调节，在各种光线环境下都能观察清晰</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监测功能</w:t>
      </w:r>
      <w:r/>
    </w:p>
    <w:p>
      <w:pPr>
        <w:numPr>
          <w:ilvl w:val="1"/>
          <w:numId w:val="7"/>
        </w:numPr>
        <w:ind w:left="851" w:hanging="426"/>
        <w:rPr>
          <w:rFonts w:hint="eastAsia" w:ascii="宋体" w:hAnsi="宋体" w:cs="Arial"/>
          <w:sz w:val="24"/>
          <w:szCs w:val="24"/>
          <w:highlight w:val="none"/>
        </w:rPr>
      </w:pPr>
      <w:r>
        <w:rPr>
          <w:rFonts w:ascii="宋体" w:hAnsi="宋体" w:cs="Arial"/>
          <w:sz w:val="24"/>
          <w:szCs w:val="24"/>
          <w:highlight w:val="none"/>
        </w:rPr>
        <w:t xml:space="preserve">标配功能：心电、呼吸、血氧饱和度、无创血压、脉搏、体温</w:t>
      </w:r>
      <w:r>
        <w:rPr>
          <w:rFonts w:hint="eastAsia" w:ascii="宋体" w:hAnsi="宋体" w:cs="Arial"/>
          <w:sz w:val="24"/>
          <w:szCs w:val="24"/>
          <w:highlight w:val="none"/>
        </w:rPr>
        <w:t xml:space="preserve">（双通道）</w:t>
      </w:r>
      <w:r/>
    </w:p>
    <w:p>
      <w:pPr>
        <w:numPr>
          <w:ilvl w:val="1"/>
          <w:numId w:val="7"/>
        </w:numPr>
        <w:ind w:left="851" w:hanging="426"/>
        <w:rPr>
          <w:rFonts w:hint="eastAsia" w:ascii="宋体" w:hAnsi="宋体" w:cs="Arial"/>
          <w:sz w:val="24"/>
          <w:szCs w:val="24"/>
          <w:highlight w:val="none"/>
        </w:rPr>
      </w:pPr>
      <w:r>
        <w:rPr>
          <w:rFonts w:hint="default"/>
          <w:highlight w:val="none"/>
          <w:vertAlign w:val="baseline"/>
          <w:lang w:val="en-US" w:eastAsia="zh-CN"/>
        </w:rPr>
        <w:t xml:space="preserve">▲</w:t>
      </w:r>
      <w:r>
        <w:rPr>
          <w:rFonts w:ascii="宋体" w:hAnsi="宋体" w:cs="Arial"/>
          <w:sz w:val="24"/>
          <w:szCs w:val="24"/>
          <w:highlight w:val="none"/>
        </w:rPr>
        <w:t xml:space="preserve">选配功能：</w:t>
      </w:r>
      <w:r>
        <w:rPr>
          <w:rFonts w:hint="eastAsia" w:ascii="宋体" w:hAnsi="宋体" w:cs="Arial"/>
          <w:sz w:val="24"/>
          <w:szCs w:val="24"/>
          <w:highlight w:val="none"/>
        </w:rPr>
        <w:t xml:space="preserve">智能输液模块，有创血压（双通道），呼气末二氧化碳（主流、旁流、微流）</w:t>
      </w:r>
      <w:r>
        <w:rPr>
          <w:rFonts w:hint="eastAsia" w:ascii="宋体" w:hAnsi="宋体" w:cs="Arial"/>
          <w:sz w:val="24"/>
          <w:szCs w:val="24"/>
          <w:highlight w:val="none"/>
          <w:lang w:eastAsia="zh-CN"/>
        </w:rPr>
        <w:t xml:space="preserve">、</w:t>
      </w:r>
      <w:r>
        <w:rPr>
          <w:rFonts w:hint="eastAsia" w:ascii="宋体" w:hAnsi="宋体" w:cs="Arial"/>
          <w:sz w:val="24"/>
          <w:szCs w:val="24"/>
          <w:highlight w:val="none"/>
          <w:lang w:val="en-US" w:eastAsia="zh-CN"/>
        </w:rPr>
        <w:t xml:space="preserve">有创心输出量（C.O.）</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心电规格</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具备3导、5导、6导心电导联切换功能，可升级12导心电</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w:t>
      </w:r>
      <w:r>
        <w:rPr>
          <w:rFonts w:hint="eastAsia" w:ascii="宋体" w:hAnsi="宋体" w:cs="Arial"/>
          <w:sz w:val="24"/>
          <w:szCs w:val="24"/>
          <w:highlight w:val="none"/>
        </w:rPr>
        <w:t xml:space="preserve">扩展、</w:t>
      </w:r>
      <w:r>
        <w:rPr>
          <w:rFonts w:ascii="宋体" w:hAnsi="宋体" w:cs="Arial"/>
          <w:sz w:val="24"/>
          <w:szCs w:val="24"/>
          <w:highlight w:val="none"/>
        </w:rPr>
        <w:t xml:space="preserve">监护、手术、</w:t>
      </w:r>
      <w:r>
        <w:rPr>
          <w:rFonts w:hint="eastAsia" w:ascii="宋体" w:hAnsi="宋体" w:cs="Arial"/>
          <w:sz w:val="24"/>
          <w:szCs w:val="24"/>
          <w:highlight w:val="none"/>
        </w:rPr>
        <w:t xml:space="preserve">ST</w:t>
      </w:r>
      <w:r>
        <w:rPr>
          <w:rFonts w:ascii="宋体" w:hAnsi="宋体" w:cs="Arial"/>
          <w:sz w:val="24"/>
          <w:szCs w:val="24"/>
          <w:highlight w:val="none"/>
        </w:rPr>
        <w:t xml:space="preserve">模式</w:t>
      </w:r>
      <w:r/>
    </w:p>
    <w:p>
      <w:pPr>
        <w:numPr>
          <w:ilvl w:val="1"/>
          <w:numId w:val="7"/>
        </w:numPr>
        <w:rPr>
          <w:rFonts w:hint="eastAsia" w:ascii="宋体" w:hAnsi="宋体" w:cs="Arial"/>
          <w:sz w:val="24"/>
          <w:szCs w:val="24"/>
          <w:highlight w:val="none"/>
        </w:rPr>
      </w:pPr>
      <w:r>
        <w:rPr>
          <w:rFonts w:ascii="宋体" w:hAnsi="宋体" w:cs="Arial"/>
          <w:sz w:val="24"/>
          <w:szCs w:val="24"/>
          <w:highlight w:val="none"/>
        </w:rPr>
        <w:t xml:space="preserve">心率测量范围：成人：10bpm～300bpm；儿童和新生儿：10bpm～350bpm</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心率测量精度：±1%或±1bpm</w:t>
      </w:r>
      <w:r/>
    </w:p>
    <w:p>
      <w:pPr>
        <w:numPr>
          <w:ilvl w:val="1"/>
          <w:numId w:val="7"/>
        </w:numPr>
        <w:rPr>
          <w:rFonts w:ascii="宋体" w:hAnsi="宋体" w:cs="Arial"/>
          <w:sz w:val="24"/>
          <w:szCs w:val="24"/>
          <w:highlight w:val="none"/>
        </w:rPr>
      </w:pPr>
      <w:r>
        <w:rPr>
          <w:rFonts w:hint="default"/>
          <w:highlight w:val="none"/>
          <w:vertAlign w:val="baseline"/>
          <w:lang w:val="en-US" w:eastAsia="zh-CN"/>
        </w:rPr>
        <w:t xml:space="preserve">▲</w:t>
      </w:r>
      <w:r>
        <w:rPr>
          <w:rFonts w:ascii="宋体" w:hAnsi="宋体" w:cs="Arial"/>
          <w:sz w:val="24"/>
          <w:szCs w:val="24"/>
          <w:highlight w:val="none"/>
        </w:rPr>
        <w:t xml:space="preserve">心律失常分析</w:t>
      </w:r>
      <w:r>
        <w:rPr>
          <w:rFonts w:hint="eastAsia" w:ascii="宋体" w:hAnsi="宋体" w:cs="Arial"/>
          <w:sz w:val="24"/>
          <w:szCs w:val="24"/>
          <w:highlight w:val="none"/>
        </w:rPr>
        <w:t xml:space="preserve">2</w:t>
      </w:r>
      <w:r>
        <w:rPr>
          <w:rFonts w:hint="eastAsia" w:ascii="宋体" w:hAnsi="宋体" w:cs="Arial"/>
          <w:sz w:val="24"/>
          <w:szCs w:val="24"/>
          <w:highlight w:val="none"/>
          <w:lang w:val="en-US" w:eastAsia="zh-CN"/>
        </w:rPr>
        <w:t xml:space="preserve">7</w:t>
      </w:r>
      <w:r>
        <w:rPr>
          <w:rFonts w:ascii="宋体" w:hAnsi="宋体" w:cs="Arial"/>
          <w:sz w:val="24"/>
          <w:szCs w:val="24"/>
          <w:highlight w:val="none"/>
        </w:rPr>
        <w:t xml:space="preserve">种</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具备ECG多导同步分析功能，同时分析多个心电导联，个别导联干扰情况下仍能准确监测，具备智能导联脱落监测功能</w:t>
      </w:r>
      <w:r/>
    </w:p>
    <w:p>
      <w:pPr>
        <w:numPr>
          <w:ilvl w:val="0"/>
          <w:numId w:val="7"/>
        </w:numPr>
        <w:rPr>
          <w:rFonts w:ascii="宋体" w:hAnsi="宋体" w:cs="Arial"/>
          <w:b/>
          <w:bCs/>
          <w:sz w:val="24"/>
          <w:szCs w:val="24"/>
          <w:highlight w:val="none"/>
        </w:rPr>
      </w:pPr>
      <w:r>
        <w:rPr>
          <w:rFonts w:hint="eastAsia" w:ascii="宋体" w:hAnsi="宋体" w:cs="Arial"/>
          <w:b/>
          <w:bCs/>
          <w:sz w:val="24"/>
          <w:szCs w:val="24"/>
          <w:highlight w:val="none"/>
        </w:rPr>
        <w:t xml:space="preserve">S</w:t>
      </w:r>
      <w:r>
        <w:rPr>
          <w:rFonts w:ascii="宋体" w:hAnsi="宋体" w:cs="Arial"/>
          <w:b/>
          <w:bCs/>
          <w:sz w:val="24"/>
          <w:szCs w:val="24"/>
          <w:highlight w:val="none"/>
        </w:rPr>
        <w:t xml:space="preserve">T</w:t>
      </w:r>
      <w:r>
        <w:rPr>
          <w:rFonts w:hint="eastAsia" w:ascii="宋体" w:hAnsi="宋体" w:cs="Arial"/>
          <w:b/>
          <w:bCs/>
          <w:sz w:val="24"/>
          <w:szCs w:val="24"/>
          <w:highlight w:val="none"/>
        </w:rPr>
        <w:t xml:space="preserve">段分析规格</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具有ST段分析功能，</w:t>
      </w:r>
      <w:r>
        <w:rPr>
          <w:rFonts w:hint="eastAsia" w:ascii="宋体" w:hAnsi="宋体" w:cs="Arial"/>
          <w:sz w:val="24"/>
          <w:szCs w:val="24"/>
          <w:highlight w:val="none"/>
          <w:lang w:val="en-US" w:eastAsia="zh-CN"/>
        </w:rPr>
        <w:t xml:space="preserve">12</w:t>
      </w:r>
      <w:r>
        <w:rPr>
          <w:rFonts w:ascii="宋体" w:hAnsi="宋体" w:cs="Arial"/>
          <w:sz w:val="24"/>
          <w:szCs w:val="24"/>
          <w:highlight w:val="none"/>
        </w:rPr>
        <w:t xml:space="preserve">通道</w:t>
      </w:r>
      <w:r/>
    </w:p>
    <w:p>
      <w:pPr>
        <w:numPr>
          <w:ilvl w:val="1"/>
          <w:numId w:val="7"/>
        </w:numPr>
        <w:rPr>
          <w:rFonts w:hint="eastAsia" w:ascii="宋体" w:hAnsi="宋体" w:cs="Arial"/>
          <w:sz w:val="24"/>
          <w:szCs w:val="24"/>
          <w:highlight w:val="none"/>
        </w:rPr>
      </w:pPr>
      <w:r>
        <w:rPr>
          <w:rFonts w:ascii="宋体" w:hAnsi="宋体"/>
          <w:sz w:val="24"/>
          <w:szCs w:val="24"/>
          <w:highlight w:val="none"/>
        </w:rPr>
        <w:t xml:space="preserve">可同时显示12导ST段数值，支持STgraphic显示</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S</w:t>
      </w:r>
      <w:r>
        <w:rPr>
          <w:rFonts w:ascii="宋体" w:hAnsi="宋体" w:cs="Arial"/>
          <w:sz w:val="24"/>
          <w:szCs w:val="24"/>
          <w:highlight w:val="none"/>
        </w:rPr>
        <w:t xml:space="preserve">T</w:t>
      </w:r>
      <w:r>
        <w:rPr>
          <w:rFonts w:hint="eastAsia" w:ascii="宋体" w:hAnsi="宋体" w:cs="Arial"/>
          <w:sz w:val="24"/>
          <w:szCs w:val="24"/>
          <w:highlight w:val="none"/>
        </w:rPr>
        <w:t xml:space="preserve">段测量范围：-</w:t>
      </w:r>
      <w:r>
        <w:rPr>
          <w:rFonts w:ascii="宋体" w:hAnsi="宋体" w:cs="Arial"/>
          <w:sz w:val="24"/>
          <w:szCs w:val="24"/>
          <w:highlight w:val="none"/>
        </w:rPr>
        <w:t xml:space="preserve">2.0Mv～2.0mV</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ST</w:t>
      </w:r>
      <w:r>
        <w:rPr>
          <w:rFonts w:hint="eastAsia" w:ascii="宋体" w:hAnsi="宋体" w:cs="Arial"/>
          <w:sz w:val="24"/>
          <w:szCs w:val="24"/>
          <w:highlight w:val="none"/>
        </w:rPr>
        <w:t xml:space="preserve">段分析分辨率：</w:t>
      </w:r>
      <w:r>
        <w:rPr>
          <w:rFonts w:ascii="宋体" w:hAnsi="宋体"/>
          <w:sz w:val="24"/>
          <w:szCs w:val="24"/>
          <w:highlight w:val="none"/>
        </w:rPr>
        <w:t xml:space="preserve">±0.01mV</w:t>
      </w:r>
      <w:r/>
    </w:p>
    <w:p>
      <w:pPr>
        <w:numPr>
          <w:ilvl w:val="1"/>
          <w:numId w:val="7"/>
        </w:numPr>
        <w:rPr>
          <w:rFonts w:hint="eastAsia" w:ascii="宋体" w:hAnsi="宋体" w:cs="Arial"/>
          <w:sz w:val="24"/>
          <w:szCs w:val="24"/>
          <w:highlight w:val="none"/>
        </w:rPr>
      </w:pPr>
      <w:r>
        <w:rPr>
          <w:rFonts w:ascii="宋体" w:hAnsi="宋体" w:cs="Arial"/>
          <w:sz w:val="24"/>
          <w:szCs w:val="24"/>
          <w:highlight w:val="none"/>
        </w:rPr>
        <w:t xml:space="preserve">ST</w:t>
      </w:r>
      <w:r>
        <w:rPr>
          <w:rFonts w:hint="eastAsia" w:ascii="宋体" w:hAnsi="宋体" w:cs="Arial"/>
          <w:sz w:val="24"/>
          <w:szCs w:val="24"/>
          <w:highlight w:val="none"/>
        </w:rPr>
        <w:t xml:space="preserve">段分析测量准确度：</w:t>
      </w:r>
      <w:r>
        <w:rPr>
          <w:rFonts w:ascii="宋体" w:hAnsi="宋体"/>
          <w:sz w:val="24"/>
          <w:szCs w:val="24"/>
          <w:highlight w:val="none"/>
        </w:rPr>
        <w:t xml:space="preserve">-0.8mV～0.8mV：±0.02mV或</w:t>
      </w:r>
      <w:r>
        <w:rPr>
          <w:rFonts w:hint="eastAsia" w:ascii="宋体" w:hAnsi="宋体"/>
          <w:sz w:val="24"/>
          <w:szCs w:val="24"/>
          <w:highlight w:val="none"/>
        </w:rPr>
        <w:t xml:space="preserve">测量值的</w:t>
      </w:r>
      <w:r>
        <w:rPr>
          <w:rFonts w:ascii="宋体" w:hAnsi="宋体"/>
          <w:sz w:val="24"/>
          <w:szCs w:val="24"/>
          <w:highlight w:val="none"/>
        </w:rPr>
        <w:t xml:space="preserve">±10%</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呼吸规格</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监测方法：胸阻抗法</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呼吸率监测范围：0～150bpm</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呼吸率测量精度：±2rpm或±2%</w:t>
      </w:r>
      <w:r/>
    </w:p>
    <w:p>
      <w:pPr>
        <w:numPr>
          <w:ilvl w:val="1"/>
          <w:numId w:val="7"/>
        </w:numPr>
        <w:rPr>
          <w:rFonts w:ascii="宋体" w:hAnsi="宋体" w:cs="Arial"/>
          <w:b/>
          <w:bCs/>
          <w:sz w:val="24"/>
          <w:szCs w:val="24"/>
          <w:highlight w:val="none"/>
        </w:rPr>
      </w:pPr>
      <w:r>
        <w:rPr>
          <w:rFonts w:hint="eastAsia" w:ascii="宋体" w:hAnsi="宋体" w:cs="Arial"/>
          <w:sz w:val="24"/>
          <w:szCs w:val="24"/>
          <w:highlight w:val="none"/>
        </w:rPr>
        <w:t xml:space="preserve">呼吸率及呼吸波形可通过脉搏波监测，适用更多人群，无须耗材，降低成本</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血氧饱和度规格</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测量采用连续、无创伤的脉动血氧定量法</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可监测灌注指数PI，测量范围0.05-20%，准确度</w:t>
      </w:r>
      <w:r>
        <w:rPr>
          <w:rFonts w:ascii="宋体" w:hAnsi="宋体"/>
          <w:sz w:val="24"/>
          <w:szCs w:val="24"/>
          <w:highlight w:val="none"/>
        </w:rPr>
        <w:t xml:space="preserve">±0.1</w:t>
      </w:r>
      <w:r>
        <w:rPr>
          <w:rFonts w:hint="eastAsia" w:ascii="宋体" w:hAnsi="宋体"/>
          <w:sz w:val="24"/>
          <w:szCs w:val="24"/>
          <w:highlight w:val="none"/>
        </w:rPr>
        <w:t xml:space="preserve">0</w:t>
      </w:r>
      <w:r>
        <w:rPr>
          <w:rFonts w:ascii="宋体" w:hAnsi="宋体"/>
          <w:sz w:val="24"/>
          <w:szCs w:val="24"/>
          <w:highlight w:val="none"/>
        </w:rPr>
        <w:t xml:space="preserve">%或读数的±10%</w:t>
      </w:r>
      <w:r>
        <w:rPr>
          <w:rFonts w:hint="eastAsia" w:ascii="宋体" w:hAnsi="宋体"/>
          <w:sz w:val="24"/>
          <w:szCs w:val="24"/>
          <w:highlight w:val="none"/>
        </w:rPr>
        <w:t xml:space="preserve">，分辨率0</w:t>
      </w:r>
      <w:r>
        <w:rPr>
          <w:rFonts w:ascii="宋体" w:hAnsi="宋体"/>
          <w:sz w:val="24"/>
          <w:szCs w:val="24"/>
          <w:highlight w:val="none"/>
        </w:rPr>
        <w:t xml:space="preserve">.01%</w:t>
      </w:r>
      <w:r>
        <w:rPr>
          <w:rFonts w:hint="eastAsia" w:ascii="宋体" w:hAnsi="宋体"/>
          <w:sz w:val="24"/>
          <w:szCs w:val="24"/>
          <w:highlight w:val="none"/>
          <w:lang w:eastAsia="zh-CN"/>
        </w:rPr>
        <w:t xml:space="preserve">，</w:t>
      </w:r>
      <w:r>
        <w:rPr>
          <w:rFonts w:hint="eastAsia" w:ascii="宋体" w:hAnsi="宋体" w:cs="宋体"/>
          <w:sz w:val="24"/>
          <w:szCs w:val="24"/>
          <w:highlight w:val="none"/>
        </w:rPr>
        <w:t xml:space="preserve">能有效反应末梢循环的功能状态</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具有脉搏调制音功能</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血氧饱和度测量范围：0～100%</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脉搏规格</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脉率测量范围：25bpm～</w:t>
      </w:r>
      <w:r>
        <w:rPr>
          <w:rFonts w:hint="eastAsia" w:ascii="宋体" w:hAnsi="宋体" w:cs="Arial"/>
          <w:sz w:val="24"/>
          <w:szCs w:val="24"/>
          <w:highlight w:val="none"/>
        </w:rPr>
        <w:t xml:space="preserve">300</w:t>
      </w:r>
      <w:r>
        <w:rPr>
          <w:rFonts w:ascii="宋体" w:hAnsi="宋体" w:cs="Arial"/>
          <w:sz w:val="24"/>
          <w:szCs w:val="24"/>
          <w:highlight w:val="none"/>
        </w:rPr>
        <w:t xml:space="preserve">bpm</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脉率测量精度：±1%或±1bpm,</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无创血压规格</w:t>
      </w:r>
      <w:r/>
    </w:p>
    <w:p>
      <w:pPr>
        <w:numPr>
          <w:ilvl w:val="1"/>
          <w:numId w:val="7"/>
        </w:numPr>
        <w:rPr>
          <w:rFonts w:hint="eastAsia" w:ascii="等线" w:hAnsi="等线" w:eastAsia="等线" w:cs="等线"/>
          <w:sz w:val="24"/>
          <w:szCs w:val="24"/>
          <w:highlight w:val="none"/>
        </w:rPr>
      </w:pPr>
      <w:r>
        <w:rPr>
          <w:rFonts w:ascii="宋体" w:hAnsi="宋体" w:cs="Arial"/>
          <w:sz w:val="24"/>
          <w:szCs w:val="24"/>
          <w:highlight w:val="none"/>
        </w:rPr>
        <w:t xml:space="preserve">测量范围：</w:t>
      </w:r>
      <w:r>
        <w:rPr>
          <w:rFonts w:hint="eastAsia" w:ascii="宋体" w:hAnsi="宋体" w:cs="宋体"/>
          <w:sz w:val="24"/>
          <w:szCs w:val="24"/>
          <w:highlight w:val="none"/>
        </w:rPr>
        <w:t xml:space="preserve">成人-收缩压：30-270mmHg，舒张压：10-220mmHg，平均压：20-235mmHg；小儿-收缩压：30-235mmHg，舒张压：10-220mmHg，平均压：20-225mmHg；新生儿-收缩压：30-135mmHg，舒张压：10-110mmHg，平均压：20-125mmHg。</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具有成人、小儿、新生儿分段过压保护功能</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无创血压具有</w:t>
      </w:r>
      <w:r>
        <w:rPr>
          <w:rFonts w:ascii="宋体" w:hAnsi="宋体" w:cs="Arial"/>
          <w:sz w:val="24"/>
          <w:szCs w:val="24"/>
          <w:highlight w:val="none"/>
        </w:rPr>
        <w:t xml:space="preserve">手动、周期、快速、序列测量方式</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具有辅助静脉穿刺压力功能</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体温规格</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双通道体温监测，具有温差显示</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测量范围：0～50℃</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精度：±0.1℃</w:t>
      </w:r>
      <w:r/>
    </w:p>
    <w:p>
      <w:pPr>
        <w:numPr>
          <w:ilvl w:val="0"/>
          <w:numId w:val="7"/>
        </w:numPr>
        <w:rPr>
          <w:rFonts w:ascii="宋体" w:hAnsi="宋体" w:cs="Arial"/>
          <w:b/>
          <w:bCs/>
          <w:sz w:val="24"/>
          <w:szCs w:val="24"/>
          <w:highlight w:val="none"/>
        </w:rPr>
      </w:pPr>
      <w:r>
        <w:rPr>
          <w:rFonts w:hint="default"/>
          <w:highlight w:val="none"/>
          <w:vertAlign w:val="baseline"/>
          <w:lang w:val="en-US" w:eastAsia="zh-CN"/>
        </w:rPr>
        <w:t xml:space="preserve">▲</w:t>
      </w:r>
      <w:r>
        <w:rPr>
          <w:rFonts w:hint="eastAsia" w:ascii="宋体" w:hAnsi="宋体" w:cs="Arial"/>
          <w:b/>
          <w:bCs/>
          <w:sz w:val="24"/>
          <w:szCs w:val="24"/>
          <w:highlight w:val="none"/>
        </w:rPr>
        <w:t xml:space="preserve">有创血压</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静态压力测量范围：</w:t>
      </w:r>
      <w:r>
        <w:rPr>
          <w:rFonts w:ascii="宋体" w:hAnsi="宋体" w:cs="Arial"/>
          <w:sz w:val="24"/>
          <w:szCs w:val="24"/>
          <w:highlight w:val="none"/>
        </w:rPr>
        <w:t xml:space="preserve">-</w:t>
      </w:r>
      <w:r>
        <w:rPr>
          <w:rFonts w:hint="eastAsia" w:ascii="宋体" w:hAnsi="宋体" w:cs="Arial"/>
          <w:sz w:val="24"/>
          <w:szCs w:val="24"/>
          <w:highlight w:val="none"/>
        </w:rPr>
        <w:t xml:space="preserve">6.7</w:t>
      </w:r>
      <w:r>
        <w:rPr>
          <w:rFonts w:ascii="宋体" w:hAnsi="宋体" w:cs="Arial"/>
          <w:sz w:val="24"/>
          <w:szCs w:val="24"/>
          <w:highlight w:val="none"/>
        </w:rPr>
        <w:t xml:space="preserve">kPa～＋4</w:t>
      </w:r>
      <w:r>
        <w:rPr>
          <w:rFonts w:hint="eastAsia" w:ascii="宋体" w:hAnsi="宋体" w:cs="Arial"/>
          <w:sz w:val="24"/>
          <w:szCs w:val="24"/>
          <w:highlight w:val="none"/>
        </w:rPr>
        <w:t xml:space="preserve">8.0</w:t>
      </w:r>
      <w:r>
        <w:rPr>
          <w:rFonts w:ascii="宋体" w:hAnsi="宋体" w:cs="Arial"/>
          <w:sz w:val="24"/>
          <w:szCs w:val="24"/>
          <w:highlight w:val="none"/>
        </w:rPr>
        <w:t xml:space="preserve">kPa(-50mmHg～＋360mmHg)</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静态压力测量精准度：</w:t>
      </w:r>
      <w:r>
        <w:rPr>
          <w:rFonts w:ascii="宋体" w:hAnsi="宋体" w:cs="Arial"/>
          <w:sz w:val="24"/>
          <w:szCs w:val="24"/>
          <w:highlight w:val="none"/>
        </w:rPr>
        <w:t xml:space="preserve">±0.</w:t>
      </w:r>
      <w:r>
        <w:rPr>
          <w:rFonts w:hint="eastAsia" w:ascii="宋体" w:hAnsi="宋体" w:cs="Arial"/>
          <w:sz w:val="24"/>
          <w:szCs w:val="24"/>
          <w:highlight w:val="none"/>
        </w:rPr>
        <w:t xml:space="preserve">3</w:t>
      </w:r>
      <w:r>
        <w:rPr>
          <w:rFonts w:ascii="宋体" w:hAnsi="宋体" w:cs="Arial"/>
          <w:sz w:val="24"/>
          <w:szCs w:val="24"/>
          <w:highlight w:val="none"/>
        </w:rPr>
        <w:t xml:space="preserve">kPa(±2mmHg)或测量值的±2%，（不含传感器）</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静态压力分辨率：</w:t>
      </w:r>
      <w:r>
        <w:rPr>
          <w:rFonts w:ascii="宋体" w:hAnsi="宋体" w:cs="Arial"/>
          <w:sz w:val="24"/>
          <w:szCs w:val="24"/>
          <w:highlight w:val="none"/>
        </w:rPr>
        <w:t xml:space="preserve">0.1kPa或1mmHg</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动态压力测量范围：-6.7kPa～＋48.0kPa(-50mmHg～＋360mmHg)</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动态压力测量准确度：±0.3kPa(±2mmHg)或测量值的±2%，（不含传感器）</w:t>
      </w:r>
      <w:r/>
    </w:p>
    <w:p>
      <w:pPr>
        <w:numPr>
          <w:ilvl w:val="0"/>
          <w:numId w:val="7"/>
        </w:numPr>
        <w:rPr>
          <w:rFonts w:ascii="宋体" w:hAnsi="宋体" w:cs="Arial"/>
          <w:b/>
          <w:bCs/>
          <w:sz w:val="24"/>
          <w:szCs w:val="24"/>
          <w:highlight w:val="none"/>
        </w:rPr>
      </w:pPr>
      <w:r>
        <w:rPr>
          <w:rFonts w:hint="default"/>
          <w:highlight w:val="none"/>
          <w:vertAlign w:val="baseline"/>
          <w:lang w:val="en-US" w:eastAsia="zh-CN"/>
        </w:rPr>
        <w:t xml:space="preserve">▲</w:t>
      </w:r>
      <w:r>
        <w:rPr>
          <w:rFonts w:hint="eastAsia" w:ascii="宋体" w:hAnsi="宋体" w:cs="Arial"/>
          <w:b/>
          <w:bCs/>
          <w:sz w:val="24"/>
          <w:szCs w:val="24"/>
          <w:highlight w:val="none"/>
        </w:rPr>
        <w:t xml:space="preserve">智能输液监护模块</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滴速异常、输液完成时报警并止液</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滴速测量范围：5～200滴/分（常规管1mL=20滴）</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滴速精度：±2与±2%</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操作方式</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触摸</w:t>
      </w:r>
      <w:r>
        <w:rPr>
          <w:rFonts w:hint="eastAsia" w:ascii="宋体" w:hAnsi="宋体" w:cs="Arial"/>
          <w:sz w:val="24"/>
          <w:szCs w:val="24"/>
          <w:highlight w:val="none"/>
        </w:rPr>
        <w:t xml:space="preserve">屏</w:t>
      </w:r>
      <w:r>
        <w:rPr>
          <w:rFonts w:ascii="宋体" w:hAnsi="宋体" w:cs="Arial"/>
          <w:sz w:val="24"/>
          <w:szCs w:val="24"/>
          <w:highlight w:val="none"/>
        </w:rPr>
        <w:t xml:space="preserve">操作，支持鼠标、键盘操作</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支持中文输入</w:t>
      </w:r>
      <w:r/>
    </w:p>
    <w:p>
      <w:pPr>
        <w:numPr>
          <w:ilvl w:val="1"/>
          <w:numId w:val="7"/>
        </w:numPr>
        <w:rPr>
          <w:rFonts w:ascii="宋体" w:hAnsi="宋体" w:cs="Arial"/>
          <w:b/>
          <w:bCs/>
          <w:sz w:val="24"/>
          <w:szCs w:val="24"/>
          <w:highlight w:val="none"/>
        </w:rPr>
      </w:pPr>
      <w:r>
        <w:rPr>
          <w:rFonts w:hint="default"/>
          <w:highlight w:val="none"/>
          <w:vertAlign w:val="baseline"/>
          <w:lang w:val="en-US" w:eastAsia="zh-CN"/>
        </w:rPr>
        <w:t xml:space="preserve">▲</w:t>
      </w:r>
      <w:r>
        <w:rPr>
          <w:rFonts w:hint="eastAsia" w:ascii="宋体" w:hAnsi="宋体" w:cs="宋体"/>
          <w:sz w:val="24"/>
          <w:szCs w:val="24"/>
          <w:highlight w:val="none"/>
        </w:rPr>
        <w:t xml:space="preserve">具备人工智能语音助手，能快速响应操作语音指令，减轻工作量</w:t>
      </w:r>
      <w:r>
        <w:rPr>
          <w:rFonts w:hint="eastAsia" w:ascii="宋体" w:hAnsi="宋体"/>
          <w:sz w:val="24"/>
          <w:szCs w:val="24"/>
          <w:highlight w:val="none"/>
        </w:rPr>
        <w:t xml:space="preserve">具有人工智能语音助手，能快速响应操作语音指令“测量血压”、“大字符屏”、“冻</w:t>
      </w:r>
      <w:r>
        <w:rPr>
          <w:rFonts w:hint="eastAsia" w:ascii="宋体" w:hAnsi="宋体"/>
          <w:sz w:val="24"/>
          <w:szCs w:val="24"/>
          <w:highlight w:val="none"/>
        </w:rPr>
        <w:tab/>
      </w:r>
      <w:r>
        <w:rPr>
          <w:rFonts w:hint="eastAsia" w:ascii="宋体" w:hAnsi="宋体"/>
          <w:sz w:val="24"/>
          <w:szCs w:val="24"/>
          <w:highlight w:val="none"/>
        </w:rPr>
        <w:t xml:space="preserve">结波形”、“关闭报警”等，减轻医护人员工作量</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报警</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具有三级声光报警，参数报警级别可调，具备报警集中设置功能</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独立的生理报警和技术报警指示</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具有护士呼叫功能</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数据存储</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具备1800小时</w:t>
      </w:r>
      <w:r>
        <w:rPr>
          <w:rFonts w:hint="eastAsia" w:ascii="宋体" w:hAnsi="宋体" w:cs="Arial"/>
          <w:sz w:val="24"/>
          <w:szCs w:val="24"/>
          <w:highlight w:val="none"/>
        </w:rPr>
        <w:t xml:space="preserve">长</w:t>
      </w:r>
      <w:r>
        <w:rPr>
          <w:rFonts w:ascii="宋体" w:hAnsi="宋体" w:cs="Arial"/>
          <w:sz w:val="24"/>
          <w:szCs w:val="24"/>
          <w:highlight w:val="none"/>
        </w:rPr>
        <w:t xml:space="preserve">趋势图表存储与回顾功能</w:t>
      </w:r>
      <w:r>
        <w:rPr>
          <w:rFonts w:hint="eastAsia" w:ascii="宋体" w:hAnsi="宋体" w:cs="Arial"/>
          <w:sz w:val="24"/>
          <w:szCs w:val="24"/>
          <w:highlight w:val="none"/>
        </w:rPr>
        <w:t xml:space="preserve">（最小分辨率为1</w:t>
      </w:r>
      <w:r>
        <w:rPr>
          <w:rFonts w:ascii="宋体" w:hAnsi="宋体" w:cs="Arial"/>
          <w:sz w:val="24"/>
          <w:szCs w:val="24"/>
          <w:highlight w:val="none"/>
        </w:rPr>
        <w:t xml:space="preserve">0</w:t>
      </w:r>
      <w:r>
        <w:rPr>
          <w:rFonts w:hint="eastAsia" w:ascii="宋体" w:hAnsi="宋体" w:cs="Arial"/>
          <w:sz w:val="24"/>
          <w:szCs w:val="24"/>
          <w:highlight w:val="none"/>
        </w:rPr>
        <w:t xml:space="preserve">分钟）</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具备180小时</w:t>
      </w:r>
      <w:r>
        <w:rPr>
          <w:rFonts w:hint="eastAsia" w:ascii="宋体" w:hAnsi="宋体" w:cs="Arial"/>
          <w:sz w:val="24"/>
          <w:szCs w:val="24"/>
          <w:highlight w:val="none"/>
        </w:rPr>
        <w:t xml:space="preserve">中</w:t>
      </w:r>
      <w:r>
        <w:rPr>
          <w:rFonts w:ascii="宋体" w:hAnsi="宋体" w:cs="Arial"/>
          <w:sz w:val="24"/>
          <w:szCs w:val="24"/>
          <w:highlight w:val="none"/>
        </w:rPr>
        <w:t xml:space="preserve">趋势图表存储与回顾功能</w:t>
      </w:r>
      <w:r>
        <w:rPr>
          <w:rFonts w:hint="eastAsia" w:ascii="宋体" w:hAnsi="宋体" w:cs="Arial"/>
          <w:sz w:val="24"/>
          <w:szCs w:val="24"/>
          <w:highlight w:val="none"/>
        </w:rPr>
        <w:t xml:space="preserve">（最小分辨率为1分钟）</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具备6小时</w:t>
      </w:r>
      <w:r>
        <w:rPr>
          <w:rFonts w:hint="eastAsia" w:ascii="宋体" w:hAnsi="宋体" w:cs="Arial"/>
          <w:sz w:val="24"/>
          <w:szCs w:val="24"/>
          <w:highlight w:val="none"/>
        </w:rPr>
        <w:t xml:space="preserve">短</w:t>
      </w:r>
      <w:r>
        <w:rPr>
          <w:rFonts w:ascii="宋体" w:hAnsi="宋体" w:cs="Arial"/>
          <w:sz w:val="24"/>
          <w:szCs w:val="24"/>
          <w:highlight w:val="none"/>
        </w:rPr>
        <w:t xml:space="preserve">趋势图表存储与回顾功能</w:t>
      </w:r>
      <w:r>
        <w:rPr>
          <w:rFonts w:hint="eastAsia" w:ascii="宋体" w:hAnsi="宋体" w:cs="Arial"/>
          <w:sz w:val="24"/>
          <w:szCs w:val="24"/>
          <w:highlight w:val="none"/>
        </w:rPr>
        <w:t xml:space="preserve">（最小分辨率为</w:t>
      </w:r>
      <w:r>
        <w:rPr>
          <w:rFonts w:ascii="宋体" w:hAnsi="宋体" w:cs="Arial"/>
          <w:sz w:val="24"/>
          <w:szCs w:val="24"/>
          <w:highlight w:val="none"/>
        </w:rPr>
        <w:t xml:space="preserve">5</w:t>
      </w:r>
      <w:r>
        <w:rPr>
          <w:rFonts w:hint="eastAsia" w:ascii="宋体" w:hAnsi="宋体" w:cs="Arial"/>
          <w:sz w:val="24"/>
          <w:szCs w:val="24"/>
          <w:highlight w:val="none"/>
        </w:rPr>
        <w:t xml:space="preserve">秒钟）</w:t>
      </w:r>
      <w:r/>
    </w:p>
    <w:p>
      <w:pPr>
        <w:numPr>
          <w:ilvl w:val="1"/>
          <w:numId w:val="7"/>
        </w:numPr>
        <w:rPr>
          <w:rFonts w:hint="eastAsia" w:ascii="宋体" w:hAnsi="宋体" w:cs="Arial"/>
          <w:sz w:val="24"/>
          <w:szCs w:val="24"/>
          <w:highlight w:val="none"/>
        </w:rPr>
      </w:pPr>
      <w:r>
        <w:rPr>
          <w:rFonts w:ascii="宋体" w:hAnsi="宋体" w:cs="Arial"/>
          <w:sz w:val="24"/>
          <w:szCs w:val="24"/>
          <w:highlight w:val="none"/>
        </w:rPr>
        <w:t xml:space="preserve">3000个参数报警事件</w:t>
      </w:r>
      <w:r/>
    </w:p>
    <w:p>
      <w:pPr>
        <w:numPr>
          <w:ilvl w:val="1"/>
          <w:numId w:val="7"/>
        </w:numPr>
        <w:rPr>
          <w:rFonts w:ascii="宋体" w:hAnsi="宋体" w:cs="Arial"/>
          <w:sz w:val="24"/>
          <w:szCs w:val="24"/>
          <w:highlight w:val="none"/>
        </w:rPr>
      </w:pPr>
      <w:r>
        <w:rPr>
          <w:rFonts w:ascii="宋体" w:hAnsi="宋体" w:cs="Arial"/>
          <w:sz w:val="24"/>
          <w:szCs w:val="24"/>
          <w:highlight w:val="none"/>
        </w:rPr>
        <w:t xml:space="preserve">2400组NIBP测量结果存储</w:t>
      </w:r>
      <w:r/>
    </w:p>
    <w:p>
      <w:pPr>
        <w:numPr>
          <w:ilvl w:val="1"/>
          <w:numId w:val="7"/>
        </w:numPr>
        <w:rPr>
          <w:rFonts w:ascii="宋体" w:hAnsi="宋体" w:cs="Arial"/>
          <w:sz w:val="24"/>
          <w:szCs w:val="24"/>
          <w:highlight w:val="none"/>
        </w:rPr>
      </w:pPr>
      <w:r>
        <w:rPr>
          <w:rFonts w:hint="eastAsia" w:ascii="宋体" w:hAnsi="宋体" w:cs="Arial"/>
          <w:sz w:val="24"/>
          <w:szCs w:val="24"/>
          <w:highlight w:val="none"/>
        </w:rPr>
        <w:t xml:space="preserve">3000个ARR事件，以及事件发生时刻相关的参数波形。</w:t>
      </w:r>
      <w:r/>
    </w:p>
    <w:p>
      <w:pPr>
        <w:numPr>
          <w:ilvl w:val="0"/>
          <w:numId w:val="7"/>
        </w:numPr>
        <w:rPr>
          <w:rFonts w:ascii="宋体" w:hAnsi="宋体" w:cs="Arial"/>
          <w:sz w:val="24"/>
          <w:szCs w:val="24"/>
          <w:highlight w:val="none"/>
        </w:rPr>
      </w:pPr>
      <w:r>
        <w:rPr>
          <w:rFonts w:ascii="宋体" w:hAnsi="宋体" w:cs="Arial"/>
          <w:b/>
          <w:sz w:val="24"/>
          <w:szCs w:val="24"/>
          <w:highlight w:val="none"/>
        </w:rPr>
        <w:t xml:space="preserve">联网功能</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具有有线、无线等联网功能，与中央监护系统站或医院信息系统联网</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lang w:val="en-US" w:eastAsia="zh-CN"/>
        </w:rPr>
        <w:t xml:space="preserve">它</w:t>
      </w:r>
      <w:r>
        <w:rPr>
          <w:rFonts w:hint="eastAsia" w:ascii="宋体" w:hAnsi="宋体" w:cs="Arial"/>
          <w:sz w:val="24"/>
          <w:szCs w:val="24"/>
          <w:highlight w:val="none"/>
        </w:rPr>
        <w:t xml:space="preserve">床观察可支持1</w:t>
      </w:r>
      <w:r>
        <w:rPr>
          <w:rFonts w:hint="eastAsia" w:ascii="宋体" w:hAnsi="宋体" w:cs="Arial"/>
          <w:sz w:val="24"/>
          <w:szCs w:val="24"/>
          <w:highlight w:val="none"/>
          <w:lang w:val="en-US" w:eastAsia="zh-CN"/>
        </w:rPr>
        <w:t xml:space="preserve">6台</w:t>
      </w:r>
      <w:r>
        <w:rPr>
          <w:rFonts w:hint="eastAsia" w:ascii="宋体" w:hAnsi="宋体" w:cs="Arial"/>
          <w:sz w:val="24"/>
          <w:szCs w:val="24"/>
          <w:highlight w:val="none"/>
        </w:rPr>
        <w:t xml:space="preserve">床边机</w:t>
      </w:r>
      <w:r/>
    </w:p>
    <w:p>
      <w:pPr>
        <w:numPr>
          <w:ilvl w:val="0"/>
          <w:numId w:val="7"/>
        </w:numPr>
        <w:rPr>
          <w:rFonts w:hint="eastAsia" w:ascii="宋体" w:hAnsi="宋体" w:cs="Arial"/>
          <w:b/>
          <w:bCs/>
          <w:sz w:val="24"/>
          <w:szCs w:val="24"/>
          <w:highlight w:val="none"/>
        </w:rPr>
      </w:pPr>
      <w:r>
        <w:rPr>
          <w:rFonts w:hint="eastAsia" w:ascii="宋体" w:hAnsi="宋体" w:cs="Arial"/>
          <w:b/>
          <w:bCs/>
          <w:sz w:val="24"/>
          <w:szCs w:val="24"/>
          <w:highlight w:val="none"/>
        </w:rPr>
        <w:t xml:space="preserve">物联网功能</w:t>
      </w:r>
      <w:r/>
    </w:p>
    <w:p>
      <w:pPr>
        <w:numPr>
          <w:ilvl w:val="1"/>
          <w:numId w:val="7"/>
        </w:numPr>
        <w:ind w:left="987"/>
        <w:rPr>
          <w:rFonts w:hint="eastAsia" w:ascii="宋体" w:hAnsi="宋体" w:cs="宋体"/>
          <w:sz w:val="24"/>
          <w:szCs w:val="24"/>
          <w:highlight w:val="none"/>
        </w:rPr>
      </w:pPr>
      <w:r>
        <w:rPr>
          <w:rFonts w:hint="eastAsia" w:ascii="宋体" w:hAnsi="宋体" w:cs="宋体"/>
          <w:sz w:val="24"/>
          <w:szCs w:val="24"/>
          <w:highlight w:val="none"/>
        </w:rPr>
        <w:t xml:space="preserve">监护仪设备具有物联卡，提供物联网软件及账号给到科室管理设备，方便远程查看设备的具体定位科室（提供账号）实时显示设备的工作状态、故障分析、使用时长和效益分析； </w:t>
      </w:r>
      <w:r/>
    </w:p>
    <w:p>
      <w:pPr>
        <w:numPr>
          <w:ilvl w:val="1"/>
          <w:numId w:val="7"/>
        </w:numPr>
        <w:ind w:left="987"/>
        <w:rPr>
          <w:rFonts w:hint="eastAsia" w:ascii="宋体" w:hAnsi="宋体" w:cs="宋体"/>
          <w:sz w:val="24"/>
          <w:szCs w:val="24"/>
          <w:highlight w:val="none"/>
        </w:rPr>
      </w:pPr>
      <w:r>
        <w:rPr>
          <w:rFonts w:hint="eastAsia" w:ascii="宋体" w:hAnsi="宋体" w:cs="宋体"/>
          <w:sz w:val="24"/>
          <w:szCs w:val="24"/>
          <w:highlight w:val="none"/>
        </w:rPr>
        <w:t xml:space="preserve">可实时显示设备的工作状态、故障分析、使用时长和效益分析，科学管理监护仪，提高设备利用率</w:t>
      </w:r>
      <w:r/>
    </w:p>
    <w:p>
      <w:pPr>
        <w:numPr>
          <w:ilvl w:val="1"/>
          <w:numId w:val="7"/>
        </w:numPr>
        <w:ind w:left="987"/>
        <w:rPr>
          <w:rFonts w:hint="eastAsia" w:ascii="宋体" w:hAnsi="宋体" w:cs="宋体"/>
          <w:sz w:val="24"/>
          <w:szCs w:val="24"/>
          <w:highlight w:val="none"/>
        </w:rPr>
      </w:pPr>
      <w:r>
        <w:rPr>
          <w:rFonts w:hint="eastAsia" w:ascii="宋体" w:hAnsi="宋体" w:cs="宋体"/>
          <w:sz w:val="24"/>
          <w:szCs w:val="24"/>
          <w:highlight w:val="none"/>
        </w:rPr>
        <w:t xml:space="preserve">可定期输出院内设备管理、保养、异常等报告，报告种类3种</w:t>
      </w:r>
      <w:r/>
    </w:p>
    <w:p>
      <w:pPr>
        <w:numPr>
          <w:ilvl w:val="1"/>
          <w:numId w:val="7"/>
        </w:numPr>
        <w:ind w:left="987"/>
        <w:rPr>
          <w:sz w:val="24"/>
          <w:szCs w:val="24"/>
          <w:highlight w:val="none"/>
        </w:rPr>
      </w:pPr>
      <w:r>
        <w:rPr>
          <w:rFonts w:hint="eastAsia" w:ascii="宋体" w:hAnsi="宋体" w:cs="宋体"/>
          <w:sz w:val="24"/>
          <w:szCs w:val="24"/>
          <w:highlight w:val="none"/>
        </w:rPr>
        <w:t xml:space="preserve">可生成4种界面显示：可视化统计图、效益分析图、设备信息管理/设备保养记录、设备异常报告等</w:t>
      </w:r>
      <w:r/>
    </w:p>
    <w:p>
      <w:pPr>
        <w:numPr>
          <w:ilvl w:val="1"/>
          <w:numId w:val="7"/>
        </w:numPr>
        <w:ind w:left="987"/>
        <w:rPr>
          <w:sz w:val="24"/>
          <w:szCs w:val="24"/>
          <w:highlight w:val="none"/>
        </w:rPr>
      </w:pPr>
      <w:r>
        <w:rPr>
          <w:rFonts w:hint="eastAsia" w:ascii="宋体" w:hAnsi="宋体" w:cs="宋体"/>
          <w:sz w:val="24"/>
          <w:szCs w:val="24"/>
          <w:highlight w:val="none"/>
        </w:rPr>
        <w:t xml:space="preserve">支持院内设备使用分析报告输出同时，院方可根据数据情况自定义补充数据说明，并支持打印机打印和PDF格式等2种格式以上输出</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电池</w:t>
      </w:r>
      <w:r/>
    </w:p>
    <w:p>
      <w:pPr>
        <w:numPr>
          <w:ilvl w:val="1"/>
          <w:numId w:val="7"/>
        </w:numPr>
        <w:rPr>
          <w:rFonts w:ascii="宋体" w:hAnsi="宋体" w:cs="Arial"/>
          <w:sz w:val="24"/>
          <w:szCs w:val="24"/>
          <w:highlight w:val="none"/>
        </w:rPr>
      </w:pPr>
      <w:r>
        <w:rPr>
          <w:rFonts w:hint="eastAsia" w:ascii="宋体" w:hAnsi="宋体" w:cs="宋体"/>
          <w:sz w:val="24"/>
          <w:szCs w:val="24"/>
          <w:highlight w:val="none"/>
        </w:rPr>
        <w:t xml:space="preserve">标配锂电池，工作时间可达</w:t>
      </w:r>
      <w:r>
        <w:rPr>
          <w:rFonts w:ascii="宋体" w:hAnsi="宋体" w:cs="宋体"/>
          <w:sz w:val="24"/>
          <w:szCs w:val="24"/>
          <w:highlight w:val="none"/>
        </w:rPr>
        <w:t xml:space="preserve">4</w:t>
      </w:r>
      <w:r>
        <w:rPr>
          <w:rFonts w:hint="eastAsia" w:ascii="宋体" w:hAnsi="宋体" w:cs="宋体"/>
          <w:sz w:val="24"/>
          <w:szCs w:val="24"/>
          <w:highlight w:val="none"/>
        </w:rPr>
        <w:t xml:space="preserve">小时以上，升级可达8小时以上</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记录仪</w:t>
      </w:r>
      <w:r/>
    </w:p>
    <w:p>
      <w:pPr>
        <w:numPr>
          <w:ilvl w:val="1"/>
          <w:numId w:val="7"/>
        </w:numPr>
        <w:rPr>
          <w:rFonts w:hint="eastAsia" w:ascii="宋体" w:hAnsi="宋体" w:cs="Arial"/>
          <w:sz w:val="24"/>
          <w:szCs w:val="24"/>
          <w:highlight w:val="none"/>
        </w:rPr>
      </w:pPr>
      <w:r>
        <w:rPr>
          <w:rFonts w:hint="eastAsia" w:ascii="宋体" w:hAnsi="宋体" w:cs="Arial"/>
          <w:sz w:val="24"/>
          <w:szCs w:val="24"/>
          <w:highlight w:val="none"/>
        </w:rPr>
        <w:t xml:space="preserve">可选配3通道记录仪，实现热敏打印</w:t>
      </w:r>
      <w:r/>
    </w:p>
    <w:p>
      <w:pPr>
        <w:numPr>
          <w:ilvl w:val="1"/>
          <w:numId w:val="7"/>
        </w:numPr>
        <w:rPr>
          <w:rFonts w:hint="eastAsia" w:ascii="宋体" w:hAnsi="宋体" w:cs="Arial"/>
          <w:sz w:val="24"/>
          <w:szCs w:val="24"/>
          <w:highlight w:val="none"/>
        </w:rPr>
      </w:pPr>
      <w:r>
        <w:rPr>
          <w:rFonts w:ascii="宋体" w:hAnsi="宋体" w:cs="Arial"/>
          <w:sz w:val="24"/>
          <w:szCs w:val="24"/>
          <w:highlight w:val="none"/>
        </w:rPr>
        <w:t xml:space="preserve">三通道记录，三档走纸速度可选</w:t>
      </w:r>
      <w:r/>
    </w:p>
    <w:p>
      <w:pPr>
        <w:numPr>
          <w:ilvl w:val="0"/>
          <w:numId w:val="7"/>
        </w:numPr>
        <w:rPr>
          <w:rFonts w:ascii="宋体" w:hAnsi="宋体" w:cs="Arial"/>
          <w:b/>
          <w:sz w:val="24"/>
          <w:szCs w:val="24"/>
          <w:highlight w:val="none"/>
        </w:rPr>
      </w:pPr>
      <w:r>
        <w:rPr>
          <w:rFonts w:ascii="宋体" w:hAnsi="宋体" w:cs="Arial"/>
          <w:b/>
          <w:sz w:val="24"/>
          <w:szCs w:val="24"/>
          <w:highlight w:val="none"/>
        </w:rPr>
        <w:t xml:space="preserve">计算功能</w:t>
      </w:r>
      <w:r/>
    </w:p>
    <w:p>
      <w:pPr>
        <w:numPr>
          <w:ilvl w:val="1"/>
          <w:numId w:val="7"/>
        </w:numPr>
        <w:rPr>
          <w:rFonts w:hint="eastAsia" w:ascii="宋体" w:hAnsi="宋体" w:eastAsia="宋体" w:cs="宋体"/>
          <w:sz w:val="24"/>
          <w:szCs w:val="24"/>
          <w:lang w:val="en-US" w:eastAsia="zh-CN" w:bidi="ar-SA"/>
        </w:rPr>
      </w:pPr>
      <w:r>
        <w:rPr>
          <w:rFonts w:hint="eastAsia" w:ascii="宋体" w:hAnsi="宋体" w:cs="Arial"/>
          <w:sz w:val="24"/>
          <w:szCs w:val="24"/>
          <w:highlight w:val="none"/>
        </w:rPr>
        <w:t xml:space="preserve">具备血液动力学、氧合计算、通气计算、药物计算、肾功能计算功能</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（六）、治疗车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1.采用304钢材质；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2.尺寸：66cm*44cm*86cm(±4cm）；</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3.ABS豪华静音车轮；</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（七）、抢救车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1、具备除颤平台；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2、配置输液架；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3、采用304不锈钢护栏；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4、采用静音脚轮；</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5、配置利器盒、垃圾桶。</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（八）、吸引器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电机功率：≥120VA；</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抽气速率≥32L/min；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极限负压值≥0.09Mpa；</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负压调节范围0.02Mpa至极限负压值。</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（九）、药柜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1、尺寸：高1800*宽900*深500MM；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2、材质：大于等于201不锈钢；</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3、层数、门数大于等于4层，双门。</w:t>
      </w:r>
      <w:r/>
    </w:p>
    <w:p>
      <w:pPr>
        <w:jc w:val="left"/>
        <w:spacing w:after="200" w:line="360" w:lineRule="auto"/>
        <w:widowControl/>
        <w:rPr>
          <w:rFonts w:hint="eastAsia" w:ascii="宋体" w:hAnsi="宋体"/>
          <w:b/>
          <w:bCs/>
          <w:sz w:val="24"/>
          <w:szCs w:val="24"/>
          <w:highlight w:val="none"/>
        </w:rPr>
      </w:pPr>
      <w:r>
        <w:rPr>
          <w:rFonts w:hint="eastAsia" w:ascii="宋体" w:hAnsi="宋体" w:eastAsia="宋体" w:cs="宋体"/>
          <w:b/>
          <w:bCs/>
          <w:sz w:val="24"/>
          <w:szCs w:val="24"/>
          <w:highlight w:val="none"/>
          <w:lang w:eastAsia="zh-CN"/>
        </w:rPr>
        <w:t xml:space="preserve">（十）、血细胞分析仪</w:t>
      </w:r>
      <w:r/>
    </w:p>
    <w:p>
      <w:pPr>
        <w:numPr>
          <w:ilvl w:val="0"/>
          <w:numId w:val="8"/>
        </w:numPr>
        <w:ind w:left="425" w:hanging="425"/>
        <w:spacing w:line="400" w:lineRule="exact"/>
        <w:rPr>
          <w:rFonts w:hint="eastAsia" w:ascii="宋体" w:hAnsi="宋体"/>
          <w:sz w:val="24"/>
          <w:szCs w:val="24"/>
          <w:highlight w:val="none"/>
        </w:rPr>
      </w:pPr>
      <w:r/>
      <w:bookmarkStart w:id="4" w:name="_Hlk140619044"/>
      <w:r>
        <w:rPr>
          <w:rFonts w:ascii="宋体" w:hAnsi="宋体"/>
          <w:sz w:val="24"/>
          <w:szCs w:val="24"/>
          <w:highlight w:val="none"/>
        </w:rPr>
        <w:t xml:space="preserve">▲</w:t>
      </w:r>
      <w:r>
        <w:rPr>
          <w:rFonts w:hint="eastAsia" w:ascii="宋体" w:hAnsi="宋体"/>
          <w:sz w:val="24"/>
          <w:szCs w:val="24"/>
          <w:highlight w:val="none"/>
        </w:rPr>
        <w:t xml:space="preserve">检测功能：通过一管血一次进样可实现五分类+</w:t>
      </w:r>
      <w:r>
        <w:rPr>
          <w:rFonts w:ascii="宋体" w:hAnsi="宋体"/>
          <w:sz w:val="24"/>
          <w:szCs w:val="24"/>
          <w:highlight w:val="none"/>
        </w:rPr>
        <w:t xml:space="preserve">CRP+SAA</w:t>
      </w:r>
      <w:r>
        <w:rPr>
          <w:rFonts w:hint="eastAsia" w:ascii="宋体" w:hAnsi="宋体"/>
          <w:sz w:val="24"/>
          <w:szCs w:val="24"/>
          <w:highlight w:val="none"/>
        </w:rPr>
        <w:t xml:space="preserve">联检。</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五分类检测原理：采用三角度激光散射技术，通过双通道实现白细胞五分类检测。</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特定蛋白检测原理：采用免疫散射比浊法检测C</w:t>
      </w:r>
      <w:r>
        <w:rPr>
          <w:rFonts w:ascii="宋体" w:hAnsi="宋体"/>
          <w:sz w:val="24"/>
          <w:szCs w:val="24"/>
          <w:highlight w:val="none"/>
        </w:rPr>
        <w:t xml:space="preserve">RP</w:t>
      </w:r>
      <w:r>
        <w:rPr>
          <w:rFonts w:hint="eastAsia" w:ascii="宋体" w:hAnsi="宋体"/>
          <w:sz w:val="24"/>
          <w:szCs w:val="24"/>
          <w:highlight w:val="none"/>
        </w:rPr>
        <w:t xml:space="preserve">和S</w:t>
      </w:r>
      <w:r>
        <w:rPr>
          <w:rFonts w:ascii="宋体" w:hAnsi="宋体"/>
          <w:sz w:val="24"/>
          <w:szCs w:val="24"/>
          <w:highlight w:val="none"/>
        </w:rPr>
        <w:t xml:space="preserve">AA</w:t>
      </w:r>
      <w:r>
        <w:rPr>
          <w:rFonts w:hint="eastAsia" w:ascii="宋体" w:hAnsi="宋体"/>
          <w:sz w:val="24"/>
          <w:szCs w:val="24"/>
          <w:highlight w:val="none"/>
        </w:rPr>
        <w:t xml:space="preserve">。</w:t>
      </w:r>
      <w:bookmarkEnd w:id="4"/>
      <w:r/>
      <w:r/>
    </w:p>
    <w:p>
      <w:pPr>
        <w:numPr>
          <w:ilvl w:val="0"/>
          <w:numId w:val="8"/>
        </w:numPr>
        <w:ind w:left="425" w:hanging="425"/>
        <w:spacing w:line="44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检测参数：报告参数≥2</w:t>
      </w:r>
      <w:r>
        <w:rPr>
          <w:rFonts w:ascii="宋体" w:hAnsi="宋体"/>
          <w:sz w:val="24"/>
          <w:szCs w:val="24"/>
          <w:highlight w:val="none"/>
        </w:rPr>
        <w:t xml:space="preserve">7</w:t>
      </w:r>
      <w:r>
        <w:rPr>
          <w:rFonts w:hint="eastAsia" w:ascii="宋体" w:hAnsi="宋体"/>
          <w:sz w:val="24"/>
          <w:szCs w:val="24"/>
          <w:highlight w:val="none"/>
        </w:rPr>
        <w:t xml:space="preserve">项（不含直方图及散点图）。</w:t>
      </w:r>
      <w:r/>
    </w:p>
    <w:p>
      <w:pPr>
        <w:numPr>
          <w:ilvl w:val="0"/>
          <w:numId w:val="8"/>
        </w:numPr>
        <w:ind w:left="425" w:hanging="425"/>
        <w:spacing w:line="440" w:lineRule="exact"/>
        <w:rPr>
          <w:rFonts w:hint="eastAsia" w:ascii="宋体" w:hAnsi="宋体"/>
          <w:sz w:val="24"/>
          <w:szCs w:val="24"/>
          <w:highlight w:val="none"/>
        </w:rPr>
      </w:pPr>
      <w:r>
        <w:rPr>
          <w:rFonts w:hint="eastAsia" w:ascii="宋体" w:hAnsi="宋体"/>
          <w:sz w:val="24"/>
          <w:szCs w:val="24"/>
          <w:highlight w:val="none"/>
        </w:rPr>
        <w:t xml:space="preserve">研究参数：≥</w:t>
      </w:r>
      <w:r>
        <w:rPr>
          <w:rFonts w:ascii="宋体" w:hAnsi="宋体"/>
          <w:sz w:val="24"/>
          <w:szCs w:val="24"/>
          <w:highlight w:val="none"/>
        </w:rPr>
        <w:t xml:space="preserve">6</w:t>
      </w:r>
      <w:r>
        <w:rPr>
          <w:rFonts w:hint="eastAsia" w:ascii="宋体" w:hAnsi="宋体"/>
          <w:sz w:val="24"/>
          <w:szCs w:val="24"/>
          <w:highlight w:val="none"/>
        </w:rPr>
        <w:t xml:space="preserve">项，含异常淋巴细胞、巨大未成熟细胞和有核红细胞研究参数。</w:t>
      </w:r>
      <w:r/>
    </w:p>
    <w:p>
      <w:pPr>
        <w:numPr>
          <w:ilvl w:val="0"/>
          <w:numId w:val="8"/>
        </w:numPr>
        <w:ind w:left="425" w:hanging="425"/>
        <w:spacing w:line="440" w:lineRule="exact"/>
        <w:rPr>
          <w:rFonts w:hint="eastAsia" w:ascii="宋体" w:hAnsi="宋体"/>
          <w:sz w:val="24"/>
          <w:szCs w:val="24"/>
          <w:highlight w:val="none"/>
        </w:rPr>
      </w:pPr>
      <w:r>
        <w:rPr>
          <w:rFonts w:hint="eastAsia" w:ascii="宋体" w:hAnsi="宋体"/>
          <w:sz w:val="24"/>
          <w:szCs w:val="24"/>
          <w:highlight w:val="none"/>
        </w:rPr>
        <w:t xml:space="preserve">检测图形：散点图≥</w:t>
      </w:r>
      <w:r>
        <w:rPr>
          <w:rFonts w:ascii="宋体" w:hAnsi="宋体"/>
          <w:sz w:val="24"/>
          <w:szCs w:val="24"/>
          <w:highlight w:val="none"/>
        </w:rPr>
        <w:t xml:space="preserve">4</w:t>
      </w:r>
      <w:r>
        <w:rPr>
          <w:rFonts w:hint="eastAsia" w:ascii="宋体" w:hAnsi="宋体"/>
          <w:sz w:val="24"/>
          <w:szCs w:val="24"/>
          <w:highlight w:val="none"/>
        </w:rPr>
        <w:t xml:space="preserve">个</w:t>
      </w:r>
      <w:bookmarkStart w:id="5" w:name="_Hlk184201700"/>
      <w:r>
        <w:rPr>
          <w:rFonts w:hint="eastAsia" w:ascii="宋体" w:hAnsi="宋体"/>
          <w:sz w:val="24"/>
          <w:szCs w:val="24"/>
          <w:highlight w:val="none"/>
        </w:rPr>
        <w:t xml:space="preserve">，具有可旋转三维</w:t>
      </w:r>
      <w:r>
        <w:rPr>
          <w:rFonts w:ascii="宋体" w:hAnsi="宋体"/>
          <w:sz w:val="24"/>
          <w:szCs w:val="24"/>
          <w:highlight w:val="none"/>
        </w:rPr>
        <w:t xml:space="preserve">立体</w:t>
      </w:r>
      <w:r>
        <w:rPr>
          <w:rFonts w:hint="eastAsia" w:ascii="宋体" w:hAnsi="宋体"/>
          <w:sz w:val="24"/>
          <w:szCs w:val="24"/>
          <w:highlight w:val="none"/>
        </w:rPr>
        <w:t xml:space="preserve">散点图</w:t>
      </w:r>
      <w:bookmarkEnd w:id="5"/>
      <w:r>
        <w:rPr>
          <w:rFonts w:hint="eastAsia" w:ascii="宋体" w:hAnsi="宋体"/>
          <w:sz w:val="24"/>
          <w:szCs w:val="24"/>
          <w:highlight w:val="none"/>
        </w:rPr>
        <w:t xml:space="preserve">。</w:t>
      </w:r>
      <w:r/>
    </w:p>
    <w:p>
      <w:pPr>
        <w:numPr>
          <w:ilvl w:val="0"/>
          <w:numId w:val="8"/>
        </w:numPr>
        <w:ind w:left="425" w:hanging="425"/>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检测模式：至少具有CBC+DIFF+CRP、CBC+DIFF+SAA、CRP+SAA、CBC+DIFF+CRP+SAA等全血联检模式。</w:t>
      </w:r>
      <w:r/>
    </w:p>
    <w:p>
      <w:pPr>
        <w:numPr>
          <w:ilvl w:val="0"/>
          <w:numId w:val="8"/>
        </w:numPr>
        <w:ind w:left="425" w:hanging="425"/>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样本用量：自动静脉全血五分类</w:t>
      </w:r>
      <w:r>
        <w:rPr>
          <w:rFonts w:ascii="宋体" w:hAnsi="宋体"/>
          <w:sz w:val="24"/>
          <w:szCs w:val="24"/>
          <w:highlight w:val="none"/>
        </w:rPr>
        <w:t xml:space="preserve">+CRP</w:t>
      </w:r>
      <w:r>
        <w:rPr>
          <w:rFonts w:hint="eastAsia" w:ascii="宋体" w:hAnsi="宋体"/>
          <w:sz w:val="24"/>
          <w:szCs w:val="24"/>
          <w:highlight w:val="none"/>
        </w:rPr>
        <w:t xml:space="preserve">≤</w:t>
      </w:r>
      <w:r>
        <w:rPr>
          <w:rFonts w:ascii="宋体" w:hAnsi="宋体"/>
          <w:sz w:val="24"/>
          <w:szCs w:val="24"/>
          <w:highlight w:val="none"/>
        </w:rPr>
        <w:t xml:space="preserve">30</w:t>
      </w:r>
      <w:r>
        <w:rPr>
          <w:rFonts w:hint="eastAsia" w:ascii="宋体" w:hAnsi="宋体"/>
          <w:sz w:val="24"/>
          <w:szCs w:val="24"/>
          <w:highlight w:val="none"/>
        </w:rPr>
        <w:t xml:space="preserve">μL、五分类</w:t>
      </w:r>
      <w:r>
        <w:rPr>
          <w:rFonts w:ascii="宋体" w:hAnsi="宋体"/>
          <w:sz w:val="24"/>
          <w:szCs w:val="24"/>
          <w:highlight w:val="none"/>
        </w:rPr>
        <w:t xml:space="preserve">+CRP+SAA</w:t>
      </w:r>
      <w:r>
        <w:rPr>
          <w:rFonts w:hint="eastAsia" w:ascii="宋体" w:hAnsi="宋体"/>
          <w:sz w:val="24"/>
          <w:szCs w:val="24"/>
          <w:highlight w:val="none"/>
        </w:rPr>
        <w:t xml:space="preserve">模式≤</w:t>
      </w:r>
      <w:r>
        <w:rPr>
          <w:rFonts w:ascii="宋体" w:hAnsi="宋体"/>
          <w:sz w:val="24"/>
          <w:szCs w:val="24"/>
          <w:highlight w:val="none"/>
        </w:rPr>
        <w:t xml:space="preserve">35</w:t>
      </w:r>
      <w:r>
        <w:rPr>
          <w:rFonts w:hint="eastAsia" w:ascii="宋体" w:hAnsi="宋体"/>
          <w:sz w:val="24"/>
          <w:szCs w:val="24"/>
          <w:highlight w:val="none"/>
        </w:rPr>
        <w:t xml:space="preserve">μL。</w:t>
      </w:r>
      <w:r/>
    </w:p>
    <w:p>
      <w:pPr>
        <w:numPr>
          <w:ilvl w:val="0"/>
          <w:numId w:val="8"/>
        </w:numPr>
        <w:ind w:left="425" w:hanging="425"/>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进样器容量：</w:t>
      </w:r>
      <w:r>
        <w:rPr>
          <w:rFonts w:ascii="宋体" w:hAnsi="宋体"/>
          <w:sz w:val="24"/>
          <w:szCs w:val="24"/>
          <w:highlight w:val="none"/>
        </w:rPr>
        <w:t xml:space="preserve">一次</w:t>
      </w:r>
      <w:r>
        <w:rPr>
          <w:rFonts w:hint="eastAsia" w:ascii="宋体" w:hAnsi="宋体"/>
          <w:sz w:val="24"/>
          <w:szCs w:val="24"/>
          <w:highlight w:val="none"/>
        </w:rPr>
        <w:t xml:space="preserve">可同时装载</w:t>
      </w:r>
      <w:bookmarkStart w:id="6" w:name="_Hlk144114534"/>
      <w:r>
        <w:rPr>
          <w:rFonts w:hint="eastAsia" w:ascii="宋体" w:hAnsi="宋体"/>
          <w:sz w:val="24"/>
          <w:szCs w:val="24"/>
          <w:highlight w:val="none"/>
        </w:rPr>
        <w:t xml:space="preserve">≥</w:t>
      </w:r>
      <w:bookmarkEnd w:id="6"/>
      <w:r>
        <w:rPr>
          <w:rFonts w:hint="eastAsia" w:ascii="宋体" w:hAnsi="宋体"/>
          <w:sz w:val="24"/>
          <w:szCs w:val="24"/>
          <w:highlight w:val="none"/>
        </w:rPr>
        <w:t xml:space="preserve">60个样本。</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检测速度：≥90样本/小时。</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血样模式：支持静脉全血、末梢全血、预稀释模式等。</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进样方式：具有自动封闭进样和开放进样方式。</w:t>
      </w:r>
      <w:r/>
    </w:p>
    <w:p>
      <w:pPr>
        <w:numPr>
          <w:ilvl w:val="0"/>
          <w:numId w:val="8"/>
        </w:numPr>
        <w:ind w:left="425" w:hanging="425"/>
        <w:spacing w:line="400" w:lineRule="exact"/>
        <w:rPr>
          <w:rFonts w:hint="eastAsia" w:ascii="宋体" w:hAnsi="宋体"/>
          <w:sz w:val="24"/>
          <w:szCs w:val="24"/>
          <w:highlight w:val="none"/>
        </w:rPr>
      </w:pPr>
      <w:r/>
      <w:bookmarkStart w:id="7" w:name="_Hlk140621605"/>
      <w:r>
        <w:rPr>
          <w:rFonts w:ascii="宋体" w:hAnsi="宋体"/>
          <w:sz w:val="24"/>
          <w:szCs w:val="24"/>
          <w:highlight w:val="none"/>
        </w:rPr>
        <w:t xml:space="preserve">▲</w:t>
      </w:r>
      <w:r>
        <w:rPr>
          <w:rFonts w:hint="eastAsia" w:ascii="宋体" w:hAnsi="宋体"/>
          <w:sz w:val="24"/>
          <w:szCs w:val="24"/>
          <w:highlight w:val="none"/>
        </w:rPr>
        <w:t xml:space="preserve">末梢血检测：可选配全自动末梢血批量进样功能，仪器自动混匀末梢血样本。</w:t>
      </w:r>
      <w:bookmarkEnd w:id="7"/>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携带污染率： CRP≤0.5%。</w:t>
      </w:r>
      <w:r/>
    </w:p>
    <w:p>
      <w:pPr>
        <w:numPr>
          <w:ilvl w:val="0"/>
          <w:numId w:val="8"/>
        </w:numPr>
        <w:ind w:left="425" w:hanging="425"/>
        <w:spacing w:line="400" w:lineRule="exact"/>
        <w:rPr>
          <w:rFonts w:hint="eastAsia" w:ascii="宋体" w:hAnsi="宋体"/>
          <w:sz w:val="24"/>
          <w:szCs w:val="24"/>
          <w:highlight w:val="none"/>
        </w:rPr>
      </w:pPr>
      <w:r/>
      <w:bookmarkStart w:id="8" w:name="_Hlk140618568"/>
      <w:r>
        <w:rPr>
          <w:rFonts w:ascii="宋体" w:hAnsi="宋体"/>
          <w:sz w:val="24"/>
          <w:szCs w:val="24"/>
          <w:highlight w:val="none"/>
        </w:rPr>
        <w:t xml:space="preserve">▲</w:t>
      </w:r>
      <w:r>
        <w:rPr>
          <w:rFonts w:hint="eastAsia" w:ascii="宋体" w:hAnsi="宋体"/>
          <w:sz w:val="24"/>
          <w:szCs w:val="24"/>
          <w:highlight w:val="none"/>
        </w:rPr>
        <w:t xml:space="preserve">空白计数：</w:t>
      </w:r>
      <w:r>
        <w:rPr>
          <w:rFonts w:hint="eastAsia" w:asciiTheme="minorEastAsia" w:hAnsiTheme="minorEastAsia" w:eastAsiaTheme="minorEastAsia" w:cstheme="minorEastAsia"/>
          <w:sz w:val="24"/>
          <w:szCs w:val="24"/>
          <w:highlight w:val="none"/>
        </w:rPr>
        <w:t xml:space="preserve">PLT</w:t>
      </w:r>
      <w:r>
        <w:rPr>
          <w:rFonts w:hint="eastAsia" w:ascii="宋体" w:hAnsi="宋体"/>
          <w:sz w:val="24"/>
          <w:szCs w:val="24"/>
          <w:highlight w:val="none"/>
        </w:rPr>
        <w:t xml:space="preserve">≤</w:t>
      </w:r>
      <w:r>
        <w:rPr>
          <w:rFonts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rPr>
        <w:t xml:space="preserve">×10^9/L、H</w:t>
      </w:r>
      <w:r>
        <w:rPr>
          <w:rFonts w:asciiTheme="minorEastAsia" w:hAnsiTheme="minorEastAsia" w:eastAsiaTheme="minorEastAsia" w:cstheme="minorEastAsia"/>
          <w:sz w:val="24"/>
          <w:szCs w:val="24"/>
          <w:highlight w:val="none"/>
        </w:rPr>
        <w:t xml:space="preserve">CT</w:t>
      </w:r>
      <w:r>
        <w:rPr>
          <w:rFonts w:hint="eastAsia" w:ascii="宋体" w:hAnsi="宋体"/>
          <w:sz w:val="24"/>
          <w:szCs w:val="24"/>
          <w:highlight w:val="none"/>
        </w:rPr>
        <w:t xml:space="preserve">≤0</w:t>
      </w:r>
      <w:r>
        <w:rPr>
          <w:rFonts w:ascii="宋体" w:hAnsi="宋体"/>
          <w:sz w:val="24"/>
          <w:szCs w:val="24"/>
          <w:highlight w:val="none"/>
        </w:rPr>
        <w:t xml:space="preserve">.5</w:t>
      </w:r>
      <w:r>
        <w:rPr>
          <w:rFonts w:asciiTheme="minorEastAsia" w:hAnsiTheme="minorEastAsia" w:eastAsiaTheme="minorEastAsia" w:cstheme="minorEastAsia"/>
          <w:sz w:val="24"/>
          <w:szCs w:val="24"/>
          <w:highlight w:val="none"/>
        </w:rPr>
        <w:t xml:space="preserve">%</w:t>
      </w:r>
      <w:r>
        <w:rPr>
          <w:rFonts w:hint="eastAsia"/>
          <w:sz w:val="24"/>
          <w:szCs w:val="24"/>
          <w:highlight w:val="none"/>
        </w:rPr>
        <w:t xml:space="preserve">。</w:t>
      </w:r>
      <w:bookmarkEnd w:id="8"/>
      <w:r/>
      <w:r/>
    </w:p>
    <w:p>
      <w:pPr>
        <w:numPr>
          <w:ilvl w:val="0"/>
          <w:numId w:val="8"/>
        </w:numPr>
        <w:ind w:left="425" w:hanging="425"/>
        <w:spacing w:line="400" w:lineRule="exact"/>
        <w:rPr>
          <w:rFonts w:hint="eastAsia" w:ascii="宋体" w:hAnsi="宋体"/>
          <w:sz w:val="24"/>
          <w:szCs w:val="24"/>
          <w:highlight w:val="none"/>
        </w:rPr>
      </w:pPr>
      <w:r>
        <w:rPr>
          <w:rFonts w:hint="eastAsia"/>
          <w:sz w:val="24"/>
          <w:szCs w:val="24"/>
          <w:highlight w:val="none"/>
        </w:rPr>
        <w:t xml:space="preserve">血细胞线性范围：</w:t>
      </w:r>
      <w:r>
        <w:rPr>
          <w:rFonts w:hint="eastAsia" w:asciiTheme="minorEastAsia" w:hAnsiTheme="minorEastAsia" w:eastAsiaTheme="minorEastAsia" w:cstheme="minorEastAsia"/>
          <w:sz w:val="24"/>
          <w:szCs w:val="24"/>
          <w:highlight w:val="none"/>
        </w:rPr>
        <w:t xml:space="preserve">WBC：</w:t>
      </w:r>
      <w:r>
        <w:rPr>
          <w:rFonts w:asciiTheme="minorEastAsia" w:hAnsiTheme="minorEastAsia" w:eastAsiaTheme="minorEastAsia" w:cstheme="minorEastAsia"/>
          <w:sz w:val="24"/>
          <w:szCs w:val="24"/>
          <w:highlight w:val="none"/>
        </w:rPr>
        <w:t xml:space="preserve">0</w:t>
      </w:r>
      <w:r>
        <w:rPr>
          <w:rFonts w:hint="eastAsia" w:asciiTheme="minorEastAsia" w:hAnsiTheme="minorEastAsia" w:eastAsiaTheme="minorEastAsia" w:cstheme="minorEastAsia"/>
          <w:sz w:val="24"/>
          <w:szCs w:val="24"/>
          <w:highlight w:val="none"/>
        </w:rPr>
        <w:t xml:space="preserve">-</w:t>
      </w:r>
      <w:r>
        <w:rPr>
          <w:rFonts w:asciiTheme="minorEastAsia" w:hAnsiTheme="minorEastAsia" w:eastAsiaTheme="minorEastAsia" w:cstheme="minorEastAsia"/>
          <w:sz w:val="24"/>
          <w:szCs w:val="24"/>
          <w:highlight w:val="none"/>
        </w:rPr>
        <w:t xml:space="preserve">500.0</w:t>
      </w:r>
      <w:r>
        <w:rPr>
          <w:rFonts w:hint="eastAsia" w:asciiTheme="minorEastAsia" w:hAnsiTheme="minorEastAsia" w:eastAsiaTheme="minorEastAsia" w:cstheme="minorEastAsia"/>
          <w:sz w:val="24"/>
          <w:szCs w:val="24"/>
          <w:highlight w:val="none"/>
        </w:rPr>
        <w:t xml:space="preserve">×10^9/L，RBC：0-8.5×10^12/L，PLT：</w:t>
      </w:r>
      <w:r>
        <w:rPr>
          <w:rFonts w:asciiTheme="minorEastAsia" w:hAnsiTheme="minorEastAsia" w:eastAsiaTheme="minorEastAsia" w:cstheme="minorEastAsia"/>
          <w:sz w:val="24"/>
          <w:szCs w:val="24"/>
          <w:highlight w:val="none"/>
        </w:rPr>
        <w:t xml:space="preserve">0-5000</w:t>
      </w:r>
      <w:r>
        <w:rPr>
          <w:rFonts w:hint="eastAsia" w:asciiTheme="minorEastAsia" w:hAnsiTheme="minorEastAsia" w:eastAsiaTheme="minorEastAsia" w:cstheme="minorEastAsia"/>
          <w:sz w:val="24"/>
          <w:szCs w:val="24"/>
          <w:highlight w:val="none"/>
        </w:rPr>
        <w:t xml:space="preserve">×10^9/L</w:t>
      </w:r>
      <w:r>
        <w:rPr>
          <w:rFonts w:hint="eastAsia"/>
          <w:sz w:val="24"/>
          <w:szCs w:val="24"/>
          <w:highlight w:val="none"/>
        </w:rPr>
        <w:t xml:space="preserve">。</w:t>
      </w:r>
      <w:r/>
    </w:p>
    <w:p>
      <w:pPr>
        <w:numPr>
          <w:ilvl w:val="0"/>
          <w:numId w:val="8"/>
        </w:numPr>
        <w:ind w:left="425" w:hanging="425"/>
        <w:spacing w:line="400" w:lineRule="exact"/>
        <w:rPr>
          <w:rFonts w:hint="eastAsia" w:ascii="宋体" w:hAnsi="宋体"/>
          <w:sz w:val="24"/>
          <w:szCs w:val="24"/>
          <w:highlight w:val="none"/>
        </w:rPr>
      </w:pPr>
      <w:r>
        <w:rPr>
          <w:rFonts w:hint="eastAsia" w:ascii="宋体" w:hAnsi="宋体"/>
          <w:sz w:val="24"/>
          <w:szCs w:val="24"/>
          <w:highlight w:val="none"/>
        </w:rPr>
        <w:t xml:space="preserve">CRP线性范围：0.</w:t>
      </w:r>
      <w:r>
        <w:rPr>
          <w:rFonts w:ascii="宋体" w:hAnsi="宋体"/>
          <w:sz w:val="24"/>
          <w:szCs w:val="24"/>
          <w:highlight w:val="none"/>
        </w:rPr>
        <w:t xml:space="preserve">2</w:t>
      </w:r>
      <w:r>
        <w:rPr>
          <w:rFonts w:hint="eastAsia" w:ascii="宋体" w:hAnsi="宋体"/>
          <w:sz w:val="24"/>
          <w:szCs w:val="24"/>
          <w:highlight w:val="none"/>
        </w:rPr>
        <w:t xml:space="preserve">-3</w:t>
      </w:r>
      <w:r>
        <w:rPr>
          <w:rFonts w:ascii="宋体" w:hAnsi="宋体"/>
          <w:sz w:val="24"/>
          <w:szCs w:val="24"/>
          <w:highlight w:val="none"/>
        </w:rPr>
        <w:t xml:space="preserve">20</w:t>
      </w:r>
      <w:r>
        <w:rPr>
          <w:rFonts w:hint="eastAsia" w:ascii="宋体" w:hAnsi="宋体"/>
          <w:sz w:val="24"/>
          <w:szCs w:val="24"/>
          <w:highlight w:val="none"/>
        </w:rPr>
        <w:t xml:space="preserve">mg/L。</w:t>
      </w:r>
      <w:r/>
    </w:p>
    <w:p>
      <w:pPr>
        <w:numPr>
          <w:ilvl w:val="0"/>
          <w:numId w:val="8"/>
        </w:numPr>
        <w:ind w:left="425" w:hanging="425"/>
        <w:spacing w:line="440" w:lineRule="exact"/>
        <w:rPr>
          <w:rFonts w:hint="eastAsia" w:ascii="宋体" w:hAnsi="宋体"/>
          <w:sz w:val="24"/>
          <w:szCs w:val="24"/>
          <w:highlight w:val="none"/>
        </w:rPr>
      </w:pPr>
      <w:r>
        <w:rPr>
          <w:rFonts w:hint="eastAsia" w:ascii="宋体" w:hAnsi="宋体"/>
          <w:sz w:val="24"/>
          <w:szCs w:val="24"/>
          <w:highlight w:val="none"/>
        </w:rPr>
        <w:t xml:space="preserve">试剂存储：主机内置CRP及SAA抗体试剂冷藏装置，关机后保持制冷。</w:t>
      </w:r>
      <w:r/>
    </w:p>
    <w:p>
      <w:pPr>
        <w:numPr>
          <w:ilvl w:val="0"/>
          <w:numId w:val="8"/>
        </w:numPr>
        <w:ind w:left="425" w:hanging="425"/>
        <w:spacing w:line="440" w:lineRule="exact"/>
        <w:rPr>
          <w:rFonts w:hint="eastAsia" w:ascii="宋体" w:hAnsi="宋体"/>
          <w:sz w:val="24"/>
          <w:szCs w:val="24"/>
          <w:highlight w:val="none"/>
        </w:rPr>
      </w:pPr>
      <w:r>
        <w:rPr>
          <w:rFonts w:hint="eastAsia" w:ascii="宋体" w:hAnsi="宋体"/>
          <w:sz w:val="24"/>
          <w:szCs w:val="24"/>
          <w:highlight w:val="none"/>
        </w:rPr>
        <w:t xml:space="preserve">工作量的统计功能</w:t>
      </w:r>
      <w:r>
        <w:rPr>
          <w:rFonts w:ascii="宋体" w:hAnsi="宋体"/>
          <w:sz w:val="24"/>
          <w:szCs w:val="24"/>
          <w:highlight w:val="none"/>
        </w:rPr>
        <w:t xml:space="preserve">:</w:t>
      </w:r>
      <w:r>
        <w:rPr>
          <w:rFonts w:hint="eastAsia" w:ascii="宋体" w:hAnsi="宋体"/>
          <w:sz w:val="24"/>
          <w:szCs w:val="24"/>
          <w:highlight w:val="none"/>
        </w:rPr>
        <w:t xml:space="preserve">可根据科室、审核者、样本类型、病人类型及收费类型等条件对日常检测工作量进行统计。</w:t>
      </w:r>
      <w:r/>
    </w:p>
    <w:p>
      <w:pPr>
        <w:numPr>
          <w:ilvl w:val="0"/>
          <w:numId w:val="8"/>
        </w:numPr>
        <w:ind w:left="425" w:hanging="425"/>
        <w:spacing w:line="440" w:lineRule="exact"/>
        <w:rPr>
          <w:rFonts w:hint="eastAsia" w:ascii="宋体" w:hAnsi="宋体"/>
          <w:sz w:val="24"/>
          <w:szCs w:val="24"/>
          <w:highlight w:val="none"/>
        </w:rPr>
      </w:pPr>
      <w:r/>
      <w:bookmarkStart w:id="9" w:name="_Hlk140619471"/>
      <w:r>
        <w:rPr>
          <w:rFonts w:hint="eastAsia" w:ascii="宋体" w:hAnsi="宋体"/>
          <w:sz w:val="24"/>
          <w:szCs w:val="24"/>
          <w:highlight w:val="none"/>
        </w:rPr>
        <w:t xml:space="preserve">质控管理：具有L-J 、X-B浮动均值质控方式，每个批号的L-J质控文件至少可保存500个质控结果。</w:t>
      </w:r>
      <w:bookmarkEnd w:id="9"/>
      <w:r/>
      <w:r/>
    </w:p>
    <w:p>
      <w:pPr>
        <w:numPr>
          <w:ilvl w:val="0"/>
          <w:numId w:val="8"/>
        </w:numPr>
        <w:ind w:left="425" w:hanging="425"/>
        <w:spacing w:line="440" w:lineRule="exact"/>
        <w:rPr>
          <w:rFonts w:hint="eastAsia" w:ascii="宋体" w:hAnsi="宋体"/>
          <w:sz w:val="24"/>
          <w:szCs w:val="24"/>
          <w:highlight w:val="none"/>
        </w:rPr>
      </w:pPr>
      <w:r>
        <w:rPr>
          <w:rFonts w:hint="eastAsia" w:ascii="宋体" w:hAnsi="宋体"/>
          <w:sz w:val="24"/>
          <w:szCs w:val="24"/>
          <w:highlight w:val="none"/>
        </w:rPr>
        <w:t xml:space="preserve">检测通道清洗：具有专用清洗液，特定蛋白项目检测过程中自动对检测通道进行清洗。</w:t>
      </w:r>
      <w:r/>
    </w:p>
    <w:p>
      <w:pPr>
        <w:numPr>
          <w:ilvl w:val="0"/>
          <w:numId w:val="8"/>
        </w:numPr>
        <w:ind w:left="426" w:hanging="426"/>
        <w:spacing w:line="440" w:lineRule="exact"/>
        <w:rPr>
          <w:rFonts w:hint="eastAsia" w:ascii="宋体" w:hAnsi="宋体"/>
          <w:sz w:val="24"/>
          <w:szCs w:val="24"/>
          <w:highlight w:val="none"/>
        </w:rPr>
      </w:pPr>
      <w:r>
        <w:rPr>
          <w:rFonts w:hint="eastAsia" w:ascii="宋体" w:hAnsi="宋体"/>
          <w:sz w:val="24"/>
          <w:szCs w:val="24"/>
          <w:highlight w:val="none"/>
        </w:rPr>
        <w:t xml:space="preserve">具有原厂生产的试剂、校准品和质控品，可提供溯源体系报告。</w:t>
      </w:r>
      <w:r/>
    </w:p>
    <w:p>
      <w:pPr>
        <w:numPr>
          <w:ilvl w:val="0"/>
          <w:numId w:val="8"/>
        </w:numPr>
        <w:ind w:left="426" w:hanging="426"/>
        <w:spacing w:line="440" w:lineRule="exact"/>
        <w:rPr>
          <w:rFonts w:hint="eastAsia" w:ascii="宋体" w:hAnsi="宋体" w:eastAsia="宋体" w:cs="宋体"/>
          <w:sz w:val="24"/>
          <w:szCs w:val="24"/>
          <w:lang w:val="en-US" w:eastAsia="zh-CN" w:bidi="ar-SA"/>
        </w:rPr>
      </w:pPr>
      <w:r>
        <w:rPr>
          <w:rFonts w:ascii="宋体" w:hAnsi="宋体"/>
          <w:sz w:val="24"/>
          <w:szCs w:val="24"/>
          <w:highlight w:val="none"/>
        </w:rPr>
        <w:t xml:space="preserve">▲</w:t>
      </w:r>
      <w:r>
        <w:rPr>
          <w:rFonts w:hint="eastAsia" w:ascii="宋体" w:hAnsi="宋体"/>
          <w:sz w:val="24"/>
          <w:szCs w:val="24"/>
          <w:highlight w:val="none"/>
        </w:rPr>
        <w:t xml:space="preserve">厂家具有CNAS认可的标准化血细胞参考测量实验室，保证结果准确具有溯源性。（提供CNAS证书证明）。</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（十一）、尿分析仪</w:t>
      </w:r>
      <w:r/>
    </w:p>
    <w:p>
      <w:pPr>
        <w:jc w:val="left"/>
        <w:spacing w:after="2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1.≥1000条数据存储功能，数据可追溯；</w:t>
      </w:r>
      <w:r/>
    </w:p>
    <w:p>
      <w:pPr>
        <w:jc w:val="left"/>
        <w:spacing w:after="2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2.每台尿机可处理样本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440</w:t>
      </w:r>
      <w:r>
        <w:rPr>
          <w:rFonts w:hint="eastAsia" w:ascii="宋体" w:hAnsi="宋体" w:eastAsia="宋体" w:cs="宋体"/>
          <w:color w:val="auto"/>
          <w:sz w:val="24"/>
          <w:szCs w:val="24"/>
          <w:lang w:eastAsia="zh-CN"/>
        </w:rPr>
        <w:t xml:space="preserve">T/小时；</w:t>
      </w:r>
      <w:r/>
    </w:p>
    <w:p>
      <w:pPr>
        <w:jc w:val="left"/>
        <w:spacing w:after="2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3.自动感应样本，自动控制进样，样本异常提醒功能；</w:t>
      </w:r>
      <w:r/>
    </w:p>
    <w:p>
      <w:pPr>
        <w:jc w:val="left"/>
        <w:spacing w:after="2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4.试纸条满足：11项、14项等测试项目；</w:t>
      </w:r>
      <w:r/>
    </w:p>
    <w:p>
      <w:pPr>
        <w:jc w:val="left"/>
        <w:spacing w:after="20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5.测试原理：反射率及色品分析。</w:t>
      </w:r>
      <w:r/>
    </w:p>
    <w:p>
      <w:pPr>
        <w:jc w:val="left"/>
        <w:spacing w:after="200"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（十二）、彩超</w:t>
      </w:r>
      <w:r/>
    </w:p>
    <w:p>
      <w:pPr>
        <w:pStyle w:val="1127"/>
        <w:numPr>
          <w:ilvl w:val="0"/>
          <w:numId w:val="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设备名称：高档全数字化彩色多普勒超声诊断系统</w:t>
      </w:r>
      <w:r/>
    </w:p>
    <w:p>
      <w:pPr>
        <w:pStyle w:val="1127"/>
        <w:numPr>
          <w:ilvl w:val="0"/>
          <w:numId w:val="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设备用途说明：全身应用型彩色多普勒超声诊断仪，用于腹部、泌尿、妇产、成人心脏、胎儿心脏、新生儿及小儿，外周血管，小器官、肌肉骨骼、神经等方面的临床诊断和科研教学工作，具备持续现场和远程更新升级能力，能满足临床开展新技术应用的需求</w:t>
      </w:r>
      <w:r/>
    </w:p>
    <w:p>
      <w:pPr>
        <w:pStyle w:val="1127"/>
        <w:numPr>
          <w:ilvl w:val="0"/>
          <w:numId w:val="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投标机型要求采用最新的软硬件版本</w:t>
      </w:r>
      <w:r>
        <w:rPr>
          <w:rFonts w:hint="eastAsia" w:asciiTheme="majorEastAsia" w:hAnsiTheme="majorEastAsia" w:eastAsiaTheme="majorEastAsia" w:cstheme="majorEastAsia"/>
          <w:sz w:val="22"/>
          <w:szCs w:val="22"/>
          <w:lang w:eastAsia="zh-CN"/>
        </w:rPr>
        <w:t xml:space="preserve">。</w:t>
      </w:r>
      <w:r/>
    </w:p>
    <w:p>
      <w:pPr>
        <w:pStyle w:val="1127"/>
        <w:numPr>
          <w:ilvl w:val="0"/>
          <w:numId w:val="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主要规格及系统概述：</w:t>
      </w:r>
      <w:r/>
    </w:p>
    <w:p>
      <w:pPr>
        <w:pStyle w:val="1127"/>
        <w:numPr>
          <w:ilvl w:val="0"/>
          <w:numId w:val="10"/>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sz w:val="22"/>
          <w:szCs w:val="22"/>
        </w:rPr>
        <w:t xml:space="preserve">彩色</w:t>
      </w:r>
      <w:r>
        <w:rPr>
          <w:rFonts w:hint="eastAsia" w:asciiTheme="majorEastAsia" w:hAnsiTheme="majorEastAsia" w:eastAsiaTheme="majorEastAsia" w:cstheme="majorEastAsia"/>
          <w:color w:val="auto"/>
          <w:sz w:val="22"/>
          <w:szCs w:val="22"/>
        </w:rPr>
        <w:t xml:space="preserve">多普勒超声诊断系统包括：</w:t>
      </w:r>
      <w:r/>
    </w:p>
    <w:p>
      <w:pPr>
        <w:pStyle w:val="1127"/>
        <w:numPr>
          <w:ilvl w:val="0"/>
          <w:numId w:val="11"/>
        </w:numPr>
        <w:spacing w:line="240" w:lineRule="auto"/>
        <w:tabs>
          <w:tab w:val="left" w:pos="420" w:leader="none"/>
        </w:tabs>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w:t>
      </w:r>
      <w:bookmarkStart w:id="10" w:name="OLE_LINK5"/>
      <w:r>
        <w:rPr>
          <w:rFonts w:hint="eastAsia" w:asciiTheme="majorEastAsia" w:hAnsiTheme="majorEastAsia" w:eastAsiaTheme="majorEastAsia" w:cstheme="majorEastAsia"/>
          <w:color w:val="auto"/>
          <w:sz w:val="22"/>
          <w:szCs w:val="22"/>
        </w:rPr>
        <w:t xml:space="preserve">21.5英寸</w:t>
      </w:r>
      <w:r>
        <w:rPr>
          <w:rFonts w:hint="eastAsia" w:asciiTheme="majorEastAsia" w:hAnsiTheme="majorEastAsia" w:eastAsiaTheme="majorEastAsia" w:cstheme="majorEastAsia"/>
          <w:color w:val="auto"/>
          <w:sz w:val="22"/>
          <w:szCs w:val="22"/>
        </w:rPr>
        <w:t xml:space="preserve">高分辨率监视器，无闪烁，不间断逐行扫描，宽视野、高对比，清晰动态显示图像，可倾斜、旋转和可折叠</w:t>
      </w:r>
      <w:bookmarkEnd w:id="10"/>
      <w:r/>
      <w:r/>
    </w:p>
    <w:p>
      <w:pPr>
        <w:pStyle w:val="1127"/>
        <w:numPr>
          <w:ilvl w:val="0"/>
          <w:numId w:val="11"/>
        </w:numPr>
        <w:spacing w:line="240" w:lineRule="auto"/>
        <w:tabs>
          <w:tab w:val="left" w:pos="420" w:leader="none"/>
        </w:tabs>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液晶触摸屏≥15英寸，可通过手指任意位置滑动触摸屏进行翻页，触摸屏的菜单支持用户自定义，可带手套操作触摸屏，触摸屏角度</w:t>
      </w:r>
      <w:r>
        <w:rPr>
          <w:rFonts w:hint="eastAsia" w:asciiTheme="majorEastAsia" w:hAnsiTheme="majorEastAsia" w:eastAsiaTheme="majorEastAsia" w:cstheme="majorEastAsia"/>
          <w:color w:val="auto"/>
          <w:sz w:val="22"/>
          <w:szCs w:val="22"/>
          <w:lang w:val="en-US" w:eastAsia="zh-CN"/>
        </w:rPr>
        <w:t xml:space="preserve">可</w:t>
      </w:r>
      <w:r>
        <w:rPr>
          <w:rFonts w:hint="eastAsia" w:asciiTheme="majorEastAsia" w:hAnsiTheme="majorEastAsia" w:eastAsiaTheme="majorEastAsia" w:cstheme="majorEastAsia"/>
          <w:color w:val="auto"/>
          <w:sz w:val="22"/>
          <w:szCs w:val="22"/>
        </w:rPr>
        <w:t xml:space="preserve">调节</w:t>
      </w:r>
      <w:r/>
    </w:p>
    <w:p>
      <w:pPr>
        <w:pStyle w:val="1127"/>
        <w:numPr>
          <w:ilvl w:val="0"/>
          <w:numId w:val="11"/>
        </w:numPr>
        <w:spacing w:line="240" w:lineRule="auto"/>
        <w:tabs>
          <w:tab w:val="left" w:pos="420" w:leader="none"/>
        </w:tabs>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触摸屏能进行患者档案管理、图像预览和图像输出操作等</w:t>
      </w:r>
      <w:r/>
    </w:p>
    <w:p>
      <w:pPr>
        <w:pStyle w:val="1127"/>
        <w:numPr>
          <w:ilvl w:val="0"/>
          <w:numId w:val="11"/>
        </w:numPr>
        <w:spacing w:line="240" w:lineRule="auto"/>
        <w:tabs>
          <w:tab w:val="left" w:pos="420" w:leader="none"/>
        </w:tabs>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触摸屏能与主显示器同步显示相同超声图像</w:t>
      </w:r>
      <w:r/>
    </w:p>
    <w:p>
      <w:pPr>
        <w:pStyle w:val="1127"/>
        <w:numPr>
          <w:ilvl w:val="0"/>
          <w:numId w:val="11"/>
        </w:numPr>
        <w:spacing w:line="240" w:lineRule="auto"/>
        <w:tabs>
          <w:tab w:val="left" w:pos="420" w:leader="none"/>
        </w:tabs>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智能程序化操作流程编辑功能，如：自动注释、体标等，提高扫查效率</w:t>
      </w:r>
      <w:r/>
    </w:p>
    <w:p>
      <w:pPr>
        <w:pStyle w:val="1127"/>
        <w:numPr>
          <w:ilvl w:val="0"/>
          <w:numId w:val="11"/>
        </w:numPr>
        <w:spacing w:line="240" w:lineRule="auto"/>
        <w:tabs>
          <w:tab w:val="left" w:pos="420" w:leader="none"/>
        </w:tabs>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自动工作流，可根据医生习惯自定义检查规范，减少重复操作</w:t>
      </w:r>
      <w:r/>
    </w:p>
    <w:p>
      <w:pPr>
        <w:pStyle w:val="1127"/>
        <w:numPr>
          <w:ilvl w:val="0"/>
          <w:numId w:val="11"/>
        </w:numPr>
        <w:spacing w:line="240" w:lineRule="auto"/>
        <w:tabs>
          <w:tab w:val="left" w:pos="420" w:leader="none"/>
        </w:tabs>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主机测量结果自动传输至超声工作站，节约出报告的时间</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数字化二维灰阶成像单元及M型显像单元</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数字化频谱多普勒显示和分析单元数字化频谱多普勒显示和分析单元（包括PW、CW和HPRF）</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彩色多普勒成像：彩色多普勒速度图，彩色多普勒能量图，方向多普勒能量图</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全数字化多波束形成器</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组织谐波成像技术</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立体血流成像技术，CF模式</w:t>
      </w:r>
      <w:r>
        <w:rPr>
          <w:rFonts w:hint="eastAsia" w:asciiTheme="majorEastAsia" w:hAnsiTheme="majorEastAsia" w:eastAsiaTheme="majorEastAsia" w:cstheme="majorEastAsia"/>
          <w:sz w:val="22"/>
          <w:szCs w:val="22"/>
          <w:lang w:eastAsia="zh-CN"/>
        </w:rPr>
        <w:t xml:space="preserve">、能量多普勒模式</w:t>
      </w:r>
      <w:r>
        <w:rPr>
          <w:rFonts w:hint="eastAsia" w:asciiTheme="majorEastAsia" w:hAnsiTheme="majorEastAsia" w:eastAsiaTheme="majorEastAsia" w:cstheme="majorEastAsia"/>
          <w:sz w:val="22"/>
          <w:szCs w:val="22"/>
        </w:rPr>
        <w:t xml:space="preserve">下</w:t>
      </w:r>
      <w:r>
        <w:rPr>
          <w:rFonts w:hint="eastAsia" w:asciiTheme="majorEastAsia" w:hAnsiTheme="majorEastAsia" w:eastAsiaTheme="majorEastAsia" w:cstheme="majorEastAsia"/>
          <w:sz w:val="22"/>
          <w:szCs w:val="22"/>
          <w:lang w:eastAsia="zh-CN"/>
        </w:rPr>
        <w:t xml:space="preserve">支持</w:t>
      </w:r>
      <w:r>
        <w:rPr>
          <w:rFonts w:hint="eastAsia" w:asciiTheme="majorEastAsia" w:hAnsiTheme="majorEastAsia" w:eastAsiaTheme="majorEastAsia" w:cstheme="majorEastAsia"/>
          <w:sz w:val="22"/>
          <w:szCs w:val="22"/>
        </w:rPr>
        <w:t xml:space="preserve">立体血流</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标配探头均支持彩色模式的彩色立体血流显示</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空间复合成像技术，提升图像的细节分辨率和穿透力，加强边界显示 </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高清晰斑点噪音抑制技术，智能的消除图像固有斑点噪音提高图像的清晰度</w:t>
      </w:r>
      <w:r>
        <w:rPr>
          <w:rFonts w:hint="eastAsia" w:asciiTheme="majorEastAsia" w:hAnsiTheme="majorEastAsia" w:eastAsiaTheme="majorEastAsia" w:cstheme="majorEastAsia"/>
          <w:sz w:val="22"/>
          <w:szCs w:val="22"/>
          <w:lang w:val="en-US" w:eastAsia="zh-CN"/>
        </w:rPr>
        <w:t xml:space="preserve">多</w:t>
      </w:r>
      <w:r>
        <w:rPr>
          <w:rFonts w:hint="eastAsia" w:asciiTheme="majorEastAsia" w:hAnsiTheme="majorEastAsia" w:eastAsiaTheme="majorEastAsia" w:cstheme="majorEastAsia"/>
          <w:sz w:val="22"/>
          <w:szCs w:val="22"/>
        </w:rPr>
        <w:t xml:space="preserve">级调节</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宽频、多频可变频成像，二维基波和谐波、彩色、频谱多普勒分别独立变频，所有模式频率可视可调，并可于屏幕上显示具体数值（非频率段显示）；</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bCs/>
          <w:sz w:val="22"/>
          <w:szCs w:val="22"/>
        </w:rPr>
        <w:t xml:space="preserve">数字化全程动态聚焦，数字化可变孔径及动态变迹技术</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双幅实时动态显示功能，同屏显示二维及彩色血流的实时图像，自动提高线密度，不降低帧频，保证获得高质量图像</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侧向增益调节功能，可迅速校正侧向增益补偿，提高图像整体均一性</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梯形拓展成像功能，扩大扫查视野</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二维声束偏转技术，改变声束偏转方向，优化神经、血管扫描</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智能一键优化技术，单键操作瞬间优化增益、多谱勒速度、基线等参数，适用于所有成像探头</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屏幕显示最大可视可调动态范围≥280dB，可逐级 2dB 可视调节</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声束自适应技术：通过调整声速并匹配当前图像，优化对肥胖、困难病人条件的超声扫查提高组织细节及边界，触屏单键操作</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压力式弹性成像，压力曲线提示图标等分析工具</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曲线解剖M型，取样线可放置于扫查切面内任意一段心肌，任意方向、任意形状，从而获得线段上所有心肌节段实时运动信息</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支持胎儿生长指标和软指标的半自动测量</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支持自动颈项透明层测量。</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支持心功能自动测量软件，无需手动描记</w:t>
      </w:r>
      <w:r/>
    </w:p>
    <w:p>
      <w:pPr>
        <w:pStyle w:val="1127"/>
        <w:numPr>
          <w:ilvl w:val="0"/>
          <w:numId w:val="11"/>
        </w:numPr>
        <w:spacing w:line="240" w:lineRule="auto"/>
        <w:rPr>
          <w:rFonts w:hint="eastAsia"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机器内置甲状腺扫查规范化工具，在图像实时扫查过程中，可自动识别并保存标准切面</w:t>
      </w:r>
      <w:r>
        <w:rPr>
          <w:rFonts w:hint="eastAsia" w:asciiTheme="majorEastAsia" w:hAnsiTheme="majorEastAsia" w:eastAsiaTheme="majorEastAsia" w:cstheme="majorEastAsia"/>
          <w:sz w:val="22"/>
          <w:szCs w:val="22"/>
          <w:lang w:val="en-US" w:eastAsia="zh-CN"/>
        </w:rPr>
        <w:t xml:space="preserve">并给予评分分类</w:t>
      </w:r>
      <w:r/>
    </w:p>
    <w:p>
      <w:pPr>
        <w:pStyle w:val="1127"/>
        <w:numPr>
          <w:ilvl w:val="0"/>
          <w:numId w:val="11"/>
        </w:numPr>
        <w:spacing w:line="240" w:lineRule="auto"/>
        <w:rPr>
          <w:rFonts w:hint="eastAsia" w:asciiTheme="majorEastAsia" w:hAnsiTheme="majorEastAsia" w:eastAsiaTheme="majorEastAsia" w:cstheme="majorEastAsia"/>
          <w:sz w:val="22"/>
          <w:szCs w:val="22"/>
        </w:rPr>
      </w:pPr>
      <w:r/>
      <w:bookmarkStart w:id="11" w:name="OLE_LINK2"/>
      <w:r>
        <w:rPr>
          <w:rFonts w:hint="eastAsia" w:asciiTheme="majorEastAsia" w:hAnsiTheme="majorEastAsia" w:eastAsiaTheme="majorEastAsia" w:cstheme="majorEastAsia"/>
          <w:sz w:val="22"/>
          <w:szCs w:val="22"/>
        </w:rPr>
        <w:t xml:space="preserve">全屏放大显示功能</w:t>
      </w:r>
      <w:r/>
    </w:p>
    <w:p>
      <w:pPr>
        <w:pStyle w:val="1127"/>
        <w:numPr>
          <w:ilvl w:val="0"/>
          <w:numId w:val="11"/>
        </w:numPr>
        <w:spacing w:line="240" w:lineRule="auto"/>
        <w:rPr>
          <w:rFonts w:hint="eastAsia"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穿刺引导功能：支持单线、双线和容差线区间引导三种方式，可调节角度穿刺引导设置 </w:t>
      </w:r>
      <w:r/>
    </w:p>
    <w:p>
      <w:pPr>
        <w:pStyle w:val="1127"/>
        <w:numPr>
          <w:ilvl w:val="0"/>
          <w:numId w:val="11"/>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教学助手：提供腹部、浅表和肌骨关节等超声操作步骤语音解读、探头放置切面和手法技巧介绍以及超声组织结构与3D组织解剖结构的实时动态对照图，帮助临床医生或初级超声医生更快适应超声图像的识别，支持医生对超声扫查的自学和训练，实现标准化</w:t>
      </w:r>
      <w:bookmarkEnd w:id="11"/>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4.2  </w:t>
      </w:r>
      <w:r>
        <w:rPr>
          <w:rFonts w:hint="eastAsia" w:asciiTheme="majorEastAsia" w:hAnsiTheme="majorEastAsia" w:eastAsiaTheme="majorEastAsia" w:cstheme="majorEastAsia"/>
          <w:sz w:val="22"/>
          <w:szCs w:val="22"/>
        </w:rPr>
        <w:t xml:space="preserve">输入/输出信号：</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4.2.1 </w:t>
      </w:r>
      <w:r>
        <w:rPr>
          <w:rFonts w:hint="eastAsia" w:asciiTheme="majorEastAsia" w:hAnsiTheme="majorEastAsia" w:eastAsiaTheme="majorEastAsia" w:cstheme="majorEastAsia"/>
          <w:sz w:val="22"/>
          <w:szCs w:val="22"/>
        </w:rPr>
        <w:t xml:space="preserve">输入：音频</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4.2.2 </w:t>
      </w:r>
      <w:r>
        <w:rPr>
          <w:rFonts w:hint="eastAsia" w:asciiTheme="majorEastAsia" w:hAnsiTheme="majorEastAsia" w:eastAsiaTheme="majorEastAsia" w:cstheme="majorEastAsia"/>
          <w:sz w:val="22"/>
          <w:szCs w:val="22"/>
        </w:rPr>
        <w:t xml:space="preserve">输出：DVI、音频</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4.3</w:t>
      </w:r>
      <w:r>
        <w:rPr>
          <w:rFonts w:hint="eastAsia" w:asciiTheme="majorEastAsia" w:hAnsiTheme="majorEastAsia" w:eastAsiaTheme="majorEastAsia" w:cstheme="majorEastAsia"/>
          <w:sz w:val="22"/>
          <w:szCs w:val="22"/>
        </w:rPr>
        <w:t xml:space="preserve">图像管理与记录装置：</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4.3.1 </w:t>
      </w:r>
      <w:r>
        <w:rPr>
          <w:rFonts w:hint="eastAsia" w:asciiTheme="majorEastAsia" w:hAnsiTheme="majorEastAsia" w:eastAsiaTheme="majorEastAsia" w:cstheme="majorEastAsia"/>
          <w:sz w:val="22"/>
          <w:szCs w:val="22"/>
        </w:rPr>
        <w:t xml:space="preserve">超声图像存档与病案管理系统</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4.3.2</w:t>
      </w:r>
      <w:r>
        <w:rPr>
          <w:rFonts w:hint="eastAsia" w:asciiTheme="majorEastAsia" w:hAnsiTheme="majorEastAsia" w:eastAsiaTheme="majorEastAsia" w:cstheme="majorEastAsia"/>
          <w:sz w:val="22"/>
          <w:szCs w:val="22"/>
        </w:rPr>
        <w:t xml:space="preserve">触摸屏可快速浏览患者不同时间、不同部位的检查信息和已存储图像</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4.3.3 </w:t>
      </w:r>
      <w:r>
        <w:rPr>
          <w:rFonts w:hint="eastAsia" w:asciiTheme="majorEastAsia" w:hAnsiTheme="majorEastAsia" w:eastAsiaTheme="majorEastAsia" w:cstheme="majorEastAsia"/>
          <w:sz w:val="22"/>
          <w:szCs w:val="22"/>
        </w:rPr>
        <w:t xml:space="preserve">系统</w:t>
      </w:r>
      <w:r>
        <w:rPr>
          <w:rFonts w:hint="eastAsia" w:asciiTheme="majorEastAsia" w:hAnsiTheme="majorEastAsia" w:eastAsiaTheme="majorEastAsia" w:cstheme="majorEastAsia"/>
          <w:sz w:val="22"/>
          <w:szCs w:val="22"/>
        </w:rPr>
        <w:t xml:space="preserve">硬盘≥</w:t>
      </w:r>
      <w:r>
        <w:rPr>
          <w:rFonts w:hint="eastAsia" w:asciiTheme="majorEastAsia" w:hAnsiTheme="majorEastAsia" w:eastAsiaTheme="majorEastAsia" w:cstheme="majorEastAsia"/>
          <w:sz w:val="22"/>
          <w:szCs w:val="22"/>
          <w:lang w:val="en-US" w:eastAsia="zh-CN"/>
        </w:rPr>
        <w:t xml:space="preserve">5</w:t>
      </w:r>
      <w:r>
        <w:rPr>
          <w:rFonts w:hint="eastAsia" w:asciiTheme="majorEastAsia" w:hAnsiTheme="majorEastAsia" w:eastAsiaTheme="majorEastAsia" w:cstheme="majorEastAsia"/>
          <w:sz w:val="22"/>
          <w:szCs w:val="22"/>
        </w:rPr>
        <w:t xml:space="preserve">00GB，可永久存储动、静态图像，触摸屏可显示硬盘容量数据信息，保证系统运行速度</w:t>
      </w:r>
      <w:r/>
    </w:p>
    <w:p>
      <w:pPr>
        <w:pStyle w:val="1127"/>
        <w:numPr>
          <w:ilvl w:val="0"/>
          <w:numId w:val="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en-US" w:eastAsia="zh-CN"/>
        </w:rPr>
        <w:t xml:space="preserve">4.3.4</w:t>
      </w:r>
      <w:r>
        <w:rPr>
          <w:rFonts w:hint="eastAsia" w:asciiTheme="majorEastAsia" w:hAnsiTheme="majorEastAsia" w:eastAsiaTheme="majorEastAsia" w:cstheme="majorEastAsia"/>
          <w:sz w:val="22"/>
          <w:szCs w:val="22"/>
        </w:rPr>
        <w:t xml:space="preserve">一键快速将图象存储至USB或移动硬盘，无需进入后台进入操作，PC直接可读取</w:t>
      </w:r>
      <w:r/>
    </w:p>
    <w:p>
      <w:pPr>
        <w:pStyle w:val="1127"/>
        <w:ind w:firstLine="0"/>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五、技术参数及要求：</w:t>
      </w:r>
      <w:r/>
    </w:p>
    <w:p>
      <w:pPr>
        <w:pStyle w:val="1127"/>
        <w:numPr>
          <w:ilvl w:val="0"/>
          <w:numId w:val="12"/>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sz w:val="22"/>
          <w:szCs w:val="22"/>
        </w:rPr>
        <w:t xml:space="preserve">系</w:t>
      </w:r>
      <w:r>
        <w:rPr>
          <w:rFonts w:hint="eastAsia" w:asciiTheme="majorEastAsia" w:hAnsiTheme="majorEastAsia" w:eastAsiaTheme="majorEastAsia" w:cstheme="majorEastAsia"/>
          <w:color w:val="auto"/>
          <w:sz w:val="22"/>
          <w:szCs w:val="22"/>
        </w:rPr>
        <w:t xml:space="preserve">统通用功能：</w:t>
      </w:r>
      <w:r/>
    </w:p>
    <w:p>
      <w:pPr>
        <w:pStyle w:val="1127"/>
        <w:numPr>
          <w:ilvl w:val="0"/>
          <w:numId w:val="13"/>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监视器：≥21.5英寸高分辨率医用液晶监视器</w:t>
      </w:r>
      <w:r/>
    </w:p>
    <w:p>
      <w:pPr>
        <w:pStyle w:val="1127"/>
        <w:numPr>
          <w:ilvl w:val="0"/>
          <w:numId w:val="13"/>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≥15英寸电容触摸屏，并支持触屏任意位置手势滑屏翻页</w:t>
      </w:r>
      <w:r/>
    </w:p>
    <w:p>
      <w:pPr>
        <w:pStyle w:val="1127"/>
        <w:numPr>
          <w:ilvl w:val="0"/>
          <w:numId w:val="13"/>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支持触摸屏参数、功能布局界面专属定制</w:t>
      </w:r>
      <w:r/>
    </w:p>
    <w:p>
      <w:pPr>
        <w:pStyle w:val="1127"/>
        <w:numPr>
          <w:ilvl w:val="0"/>
          <w:numId w:val="13"/>
        </w:numPr>
        <w:spacing w:line="240" w:lineRule="auto"/>
        <w:rPr>
          <w:rFonts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rPr>
        <w:t xml:space="preserve">扫描方式：逐行扫描，高分辨率，全方位关节臂旋转</w:t>
      </w:r>
      <w:r/>
    </w:p>
    <w:p>
      <w:pPr>
        <w:pStyle w:val="1127"/>
        <w:numPr>
          <w:ilvl w:val="0"/>
          <w:numId w:val="13"/>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color w:val="auto"/>
          <w:sz w:val="22"/>
          <w:szCs w:val="22"/>
        </w:rPr>
        <w:t xml:space="preserve">探头接口：可支持≥ 4个无针接口</w:t>
      </w:r>
      <w:r>
        <w:rPr>
          <w:rFonts w:hint="eastAsia" w:asciiTheme="majorEastAsia" w:hAnsiTheme="majorEastAsia" w:eastAsiaTheme="majorEastAsia" w:cstheme="majorEastAsia"/>
          <w:color w:val="auto"/>
          <w:sz w:val="22"/>
          <w:szCs w:val="22"/>
          <w:lang w:eastAsia="zh-CN"/>
        </w:rPr>
        <w:t xml:space="preserve">，</w:t>
      </w:r>
      <w:r>
        <w:rPr>
          <w:rFonts w:hint="eastAsia" w:asciiTheme="majorEastAsia" w:hAnsiTheme="majorEastAsia" w:eastAsiaTheme="majorEastAsia" w:cstheme="majorEastAsia"/>
          <w:sz w:val="22"/>
          <w:szCs w:val="22"/>
        </w:rPr>
        <w:t xml:space="preserve">可随意互换使用</w:t>
      </w:r>
      <w:r/>
    </w:p>
    <w:p>
      <w:pPr>
        <w:pStyle w:val="1127"/>
        <w:numPr>
          <w:ilvl w:val="0"/>
          <w:numId w:val="13"/>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lang w:val="zh-CN"/>
        </w:rPr>
        <w:t xml:space="preserve">频率范围:超宽频带探头技术支持不同探头变频1 MHz 到2</w:t>
      </w:r>
      <w:r>
        <w:rPr>
          <w:rFonts w:hint="eastAsia" w:asciiTheme="majorEastAsia" w:hAnsiTheme="majorEastAsia" w:eastAsiaTheme="majorEastAsia" w:cstheme="majorEastAsia"/>
          <w:sz w:val="22"/>
          <w:szCs w:val="22"/>
        </w:rPr>
        <w:t xml:space="preserve">2</w:t>
      </w:r>
      <w:r>
        <w:rPr>
          <w:rFonts w:hint="eastAsia" w:asciiTheme="majorEastAsia" w:hAnsiTheme="majorEastAsia" w:eastAsiaTheme="majorEastAsia" w:cstheme="majorEastAsia"/>
          <w:sz w:val="22"/>
          <w:szCs w:val="22"/>
          <w:lang w:val="zh-CN"/>
        </w:rPr>
        <w:t xml:space="preserve">MHz之间选择，显示频率最高</w:t>
      </w:r>
      <w:r>
        <w:rPr>
          <w:rFonts w:hint="eastAsia" w:asciiTheme="majorEastAsia" w:hAnsiTheme="majorEastAsia" w:eastAsiaTheme="majorEastAsia" w:cstheme="majorEastAsia"/>
          <w:sz w:val="22"/>
          <w:szCs w:val="22"/>
        </w:rPr>
        <w:t xml:space="preserve">22MHz，以满足科室未来发展需求</w:t>
      </w:r>
      <w:r/>
    </w:p>
    <w:p>
      <w:pPr>
        <w:pStyle w:val="1127"/>
        <w:numPr>
          <w:ilvl w:val="0"/>
          <w:numId w:val="13"/>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探头配置数量及要求</w:t>
      </w:r>
      <w:r/>
    </w:p>
    <w:p>
      <w:pPr>
        <w:ind w:firstLine="1430"/>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腹部凸阵探头1个：超声频率2-6MHz</w:t>
      </w:r>
      <w:r/>
    </w:p>
    <w:p>
      <w:pPr>
        <w:pStyle w:val="1127"/>
        <w:ind w:firstLine="1430"/>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浅表线阵探头1个：超声频率6-16MHz</w:t>
      </w:r>
      <w:r/>
    </w:p>
    <w:p>
      <w:pPr>
        <w:pStyle w:val="1127"/>
        <w:ind w:firstLine="1430"/>
        <w:spacing w:line="240" w:lineRule="auto"/>
        <w:rPr>
          <w:rFonts w:hint="eastAsia" w:asciiTheme="majorEastAsia" w:hAnsiTheme="majorEastAsia" w:eastAsiaTheme="majorEastAsia" w:cstheme="majorEastAsia"/>
          <w:sz w:val="22"/>
          <w:szCs w:val="22"/>
          <w:lang w:val="en-US" w:eastAsia="zh-CN" w:bidi="ar-SA"/>
        </w:rPr>
      </w:pPr>
      <w:r>
        <w:rPr>
          <w:rFonts w:hint="eastAsia" w:asciiTheme="majorEastAsia" w:hAnsiTheme="majorEastAsia" w:eastAsiaTheme="majorEastAsia" w:cstheme="majorEastAsia"/>
          <w:sz w:val="22"/>
          <w:szCs w:val="22"/>
          <w:lang w:val="en-US" w:eastAsia="zh-CN" w:bidi="ar-SA"/>
        </w:rPr>
        <w:t xml:space="preserve">心脏相控阵探头1个：超声频率2-5MHz</w:t>
      </w:r>
      <w:r/>
    </w:p>
    <w:p>
      <w:pPr>
        <w:pStyle w:val="1127"/>
        <w:ind w:firstLine="1430"/>
        <w:spacing w:line="240" w:lineRule="auto"/>
        <w:rPr>
          <w:rFonts w:hint="eastAsia" w:asciiTheme="majorEastAsia" w:hAnsiTheme="majorEastAsia" w:eastAsiaTheme="majorEastAsia" w:cstheme="majorEastAsia"/>
          <w:sz w:val="22"/>
          <w:szCs w:val="22"/>
          <w:lang w:val="en-US" w:eastAsia="zh-CN" w:bidi="ar-SA"/>
        </w:rPr>
      </w:pPr>
      <w:r>
        <w:rPr>
          <w:rFonts w:hint="eastAsia" w:asciiTheme="majorEastAsia" w:hAnsiTheme="majorEastAsia" w:eastAsiaTheme="majorEastAsia" w:cstheme="majorEastAsia"/>
          <w:sz w:val="22"/>
          <w:szCs w:val="22"/>
          <w:lang w:val="en-US" w:eastAsia="zh-CN" w:bidi="ar-SA"/>
        </w:rPr>
        <w:t xml:space="preserve">腔内探头探头1个：超声频率5-11MHz</w:t>
      </w:r>
      <w:r/>
    </w:p>
    <w:p>
      <w:pPr>
        <w:pStyle w:val="1127"/>
        <w:numPr>
          <w:ilvl w:val="0"/>
          <w:numId w:val="14"/>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二维灰阶显像主要参数：</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扫描速率：</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凸阵探头，全视野，18cm深度时，帧速率≥40帧/秒</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接收方式：多倍信号并行处理</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数字式声束形成器：数字式全程动态连续聚焦，数字式可变孔径及动态变迹，A/D≥1</w:t>
      </w:r>
      <w:r>
        <w:rPr>
          <w:rFonts w:hint="eastAsia" w:asciiTheme="majorEastAsia" w:hAnsiTheme="majorEastAsia" w:eastAsiaTheme="majorEastAsia" w:cstheme="majorEastAsia"/>
          <w:sz w:val="22"/>
          <w:szCs w:val="22"/>
          <w:lang w:val="en-US" w:eastAsia="zh-CN"/>
        </w:rPr>
        <w:t xml:space="preserve">2</w:t>
      </w:r>
      <w:r>
        <w:rPr>
          <w:rFonts w:hint="eastAsia" w:asciiTheme="majorEastAsia" w:hAnsiTheme="majorEastAsia" w:eastAsiaTheme="majorEastAsia" w:cstheme="majorEastAsia"/>
          <w:sz w:val="22"/>
          <w:szCs w:val="22"/>
        </w:rPr>
        <w:t xml:space="preserve">bit</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回放时间预设≥1400秒</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预设条件：针对不同的检查脏器，预置最佳化图像的检查条件，减少操作时的调节，并以脏器图形化直观显示并配有部位名称，而非单独的中文或英文显示</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增益调节：B/M可独立调节，TGC≥8段，SGC≥8段</w:t>
      </w:r>
      <w:r/>
    </w:p>
    <w:p>
      <w:pPr>
        <w:pStyle w:val="1127"/>
        <w:numPr>
          <w:ilvl w:val="0"/>
          <w:numId w:val="15"/>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最大扫查深度≥38cm</w:t>
      </w:r>
      <w:r/>
    </w:p>
    <w:p>
      <w:pPr>
        <w:pStyle w:val="1127"/>
        <w:numPr>
          <w:ilvl w:val="1"/>
          <w:numId w:val="16"/>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频谱多普勒：</w:t>
      </w:r>
      <w:r/>
    </w:p>
    <w:p>
      <w:pPr>
        <w:pStyle w:val="1127"/>
        <w:numPr>
          <w:ilvl w:val="0"/>
          <w:numId w:val="17"/>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方式：脉冲波多普勒：PWD，高脉冲重复频率：HPRF，连续多普勒：CW</w:t>
      </w:r>
      <w:r/>
    </w:p>
    <w:p>
      <w:pPr>
        <w:pStyle w:val="1127"/>
        <w:numPr>
          <w:ilvl w:val="0"/>
          <w:numId w:val="17"/>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最大测量速度：</w:t>
      </w:r>
      <w:r/>
    </w:p>
    <w:p>
      <w:pPr>
        <w:ind w:firstLine="880"/>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PWD：零角度，血流速度最大9m/s</w:t>
      </w:r>
      <w:r/>
    </w:p>
    <w:p>
      <w:pPr>
        <w:ind w:firstLine="880"/>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CWD：零角度，血流速度最大30m/s</w:t>
      </w:r>
      <w:r/>
    </w:p>
    <w:p>
      <w:pPr>
        <w:pStyle w:val="1127"/>
        <w:numPr>
          <w:ilvl w:val="0"/>
          <w:numId w:val="17"/>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最低测量速度：≤1mm/s(非噪声信号)</w:t>
      </w:r>
      <w:r/>
    </w:p>
    <w:p>
      <w:pPr>
        <w:pStyle w:val="1127"/>
        <w:numPr>
          <w:ilvl w:val="0"/>
          <w:numId w:val="17"/>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取样容积大小范围：宽度0.7mm至25mm；分级可调</w:t>
      </w:r>
      <w:r/>
    </w:p>
    <w:p>
      <w:pPr>
        <w:pStyle w:val="1127"/>
        <w:numPr>
          <w:ilvl w:val="0"/>
          <w:numId w:val="18"/>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彩色多普勒</w:t>
      </w:r>
      <w:r/>
    </w:p>
    <w:p>
      <w:pPr>
        <w:pStyle w:val="1127"/>
        <w:numPr>
          <w:ilvl w:val="0"/>
          <w:numId w:val="1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显示方式：速度方差显示、能量显示，速度显示、方差显示、</w:t>
      </w:r>
      <w:r/>
    </w:p>
    <w:p>
      <w:pPr>
        <w:pStyle w:val="1127"/>
        <w:numPr>
          <w:ilvl w:val="0"/>
          <w:numId w:val="1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彩色显示帧频：</w:t>
      </w:r>
      <w:r/>
    </w:p>
    <w:p>
      <w:pPr>
        <w:numPr>
          <w:ilvl w:val="0"/>
          <w:numId w:val="1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凸阵探头、最大角度，18cm深时，彩色显示帧频≥10帧/秒</w:t>
      </w:r>
      <w:r/>
    </w:p>
    <w:p>
      <w:pPr>
        <w:pStyle w:val="1127"/>
        <w:numPr>
          <w:ilvl w:val="0"/>
          <w:numId w:val="19"/>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彩色显示速度：最低平均血流显示速度≤1cm/s（非噪声信号）</w:t>
      </w:r>
      <w:r/>
    </w:p>
    <w:p>
      <w:pPr>
        <w:pStyle w:val="1127"/>
        <w:numPr>
          <w:ilvl w:val="0"/>
          <w:numId w:val="20"/>
        </w:numPr>
        <w:spacing w:line="240" w:lineRule="auto"/>
        <w:rPr>
          <w:rFonts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超声功率输出调节：B/M、PWD、CWD、Color Doppler 输出功率可调</w:t>
      </w:r>
      <w:r/>
    </w:p>
    <w:p>
      <w:pPr>
        <w:jc w:val="left"/>
        <w:spacing w:after="10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（十三）、担架车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1、采用加厚不锈钢管焊接，承重强；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2、采用舒适架面；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3、可调节升降输液杆；</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4、可充气后置轮胎，加大承重随时充气。</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（十四）、床边可移动升降餐桌</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1、可翻折、可移动、可升降；</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2、总高度：75-105cm；</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3、环保材质，万向静音轮，可刹车。</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（十五）、助浴椅</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1、材质：椅架采用高强度铝合金；</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2、座板和靠背材质采用高密度PE材质，扶手材质采用加强尼龙；</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3、脚垫采用防霉防滑TPE材质；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4、座板高度不低于五档调节；</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5、产品承重100kg以上。</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（十六）、助浴床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1、尺寸（参考）：长1</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0cm，宽60cm，高64cm；（</w:t>
      </w:r>
      <w:r>
        <w:rPr>
          <w:rFonts w:hint="eastAsia" w:ascii="宋体" w:hAnsi="宋体" w:cs="宋体"/>
          <w:sz w:val="24"/>
          <w:szCs w:val="24"/>
          <w:lang w:val="en-US" w:eastAsia="zh-CN"/>
        </w:rPr>
        <w:t xml:space="preserve">偏差+</w:t>
      </w:r>
      <w:r>
        <w:rPr>
          <w:rFonts w:hint="eastAsia" w:ascii="宋体" w:hAnsi="宋体" w:eastAsia="宋体" w:cs="宋体"/>
          <w:sz w:val="24"/>
          <w:szCs w:val="24"/>
          <w:lang w:eastAsia="zh-CN"/>
        </w:rPr>
        <w:t xml:space="preserve">15cm）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2、带轮子可移动，带刹车；</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3、环保材质，防滑。</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（十七）、轮椅</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1、可承重≥100KG；</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2、可一键折叠，节省空间；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3、采用护理手刹和肘节式两种刹车；</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4、材质采用高品质金属合金，耐腐蚀。</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（十八）、医用制氧机10升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1、流量（L/min）:0-10(可调)；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2、浓度（V/V）：93%±3%；</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3、出口压力（Mpa）：0.04-0.07；</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4、噪音（dB）:≤55；</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5、功率（W）</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550。</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（十九）、烘干机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1、采用优质散热器，优质不锈钢内胆；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2、具备烘干功能，采用自动控制装置，只需通过控制面板调节好时间，即可自动完成整个烘干过程；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3、内胆采用304不锈钢材质；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4、最大容量≥50Kg。</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（二十）、半导体治疗仪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1、激光媒介：半导体激光；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2、输出模式：连续 或 间歇；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3、定时功能：1-90分钟；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4、设备类型：可移动式；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5、激光输出方式：多激光器阵列；</w:t>
      </w:r>
      <w:r/>
    </w:p>
    <w:p>
      <w:pPr>
        <w:jc w:val="left"/>
        <w:spacing w:after="200" w:line="360" w:lineRule="auto"/>
        <w:widowControl/>
        <w:rPr>
          <w:rFonts w:hint="eastAsia" w:ascii="宋体" w:hAnsi="宋体" w:eastAsia="宋体" w:cs="宋体"/>
          <w:color w:val="auto"/>
          <w:sz w:val="24"/>
          <w:szCs w:val="24"/>
          <w:lang w:eastAsia="zh-CN"/>
        </w:rPr>
      </w:pPr>
      <w:r>
        <w:rPr>
          <w:rFonts w:hint="eastAsia" w:ascii="宋体" w:hAnsi="宋体" w:eastAsia="宋体" w:cs="宋体"/>
          <w:sz w:val="24"/>
          <w:szCs w:val="24"/>
          <w:lang w:eastAsia="zh-CN"/>
        </w:rPr>
        <w:t xml:space="preserve">6、操    作</w:t>
      </w:r>
      <w:r>
        <w:rPr>
          <w:rFonts w:hint="eastAsia" w:ascii="宋体" w:hAnsi="宋体" w:eastAsia="宋体" w:cs="宋体"/>
          <w:color w:val="auto"/>
          <w:sz w:val="24"/>
          <w:szCs w:val="24"/>
          <w:lang w:eastAsia="zh-CN"/>
        </w:rPr>
        <w:t xml:space="preserve">：不低于6.</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 英寸触摸屏可随意触摸操作；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7、激光器数量：面照治疗头激光管不少于36个，点照射治疗头激光管不少于6个；</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8、工作方式：不少于双路输出、独立控制、非接触式、体表垂直照射等4种工作方式。</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（二十一）、电脑中频治疗仪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1.产品结构形式：台面款式，轻巧便捷；</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2.输出通道：四通道配置；四路可独立控制；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3.输出电流强度：50mA可调；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4.不少于99种治疗处方，不少于5种治疗模式（低频调制中频、音频模式、正弦调制、脉冲调制、干扰模式）可选；</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5.具有电极加热功能。</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（二十二）、经皮神经电刺激仪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1.≥双通道，各个通道的参数能单独调节；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2.输出波形：双向不对称方波；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3.≥三种输出模式：各个模式输出波形可实时显示；</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4.治疗时间：5min～30min分档可调，允差±5%。</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（二十三）、超声波治疗仪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1.便携式机型，配置≥3.5寸彩色液晶显示屏；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2.仪器配有一个手持移动式1MHz探头；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.额定输出有效声强：≤3.0W/cm²；</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.治疗时间：0分钟～30分钟；</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.输出模式：不少于8档脉冲模式和1档连续模式。</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（二十四）、磁振热治疗仪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1.≥双通道输出，交变磁场、生物磁振、温热疗法三功合一；</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2.≥4种不同类型治疗导子可供选配；</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3.振动频率：50Hz±1Hz；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4.加热模式：≥四档可调；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5.具有超温保护装置；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6.治疗时间：1～60min；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7.不低于6寸彩色液晶显示屏；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8.不少于六种工作模式；</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9.四通道柜式机型，配不低于四种适用不同部位的治疗导子。</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（二十五）、立体动态干扰电治疗仪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1.具有双路（两维）干扰输出、立体（三维）干扰输出两种输出模式；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2.≥6路电极；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3.过流、开路、短路时提示警报，保证患者使用安全；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4.调制方式：间歇调制、连续调制；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5.具有可自定义参数的程序模式；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6.治疗时间：1～99分钟连续可调；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.具有不低于三组负压电极输出；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t xml:space="preserve">.工作频率：2000Hz-6000Hz；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eastAsia="zh-CN"/>
        </w:rPr>
        <w:t xml:space="preserve">.不少于9种干扰输出模式；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eastAsia="zh-CN"/>
        </w:rPr>
        <w:t xml:space="preserve">.顶盘加热功能：可单独开启及关闭，最高温度为40℃，±3℃；</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.负压吸引功能：输出负压0kPa～25kPa连续可调。</w:t>
      </w:r>
      <w:r/>
    </w:p>
    <w:p>
      <w:pPr>
        <w:jc w:val="left"/>
        <w:spacing w:after="200" w:line="360" w:lineRule="auto"/>
        <w:widowControl/>
        <w:rPr>
          <w:rFonts w:hint="eastAsia" w:ascii="宋体" w:eastAsia="宋体" w:cs="宋体"/>
          <w:b/>
          <w:bCs/>
          <w:sz w:val="24"/>
          <w:szCs w:val="24"/>
          <w:highlight w:val="none"/>
          <w:lang w:eastAsia="zh-CN"/>
        </w:rPr>
      </w:pPr>
      <w:r>
        <w:rPr>
          <w:rFonts w:hint="eastAsia" w:ascii="宋体" w:eastAsia="宋体" w:cs="宋体"/>
          <w:b/>
          <w:bCs/>
          <w:sz w:val="24"/>
          <w:szCs w:val="24"/>
          <w:highlight w:val="none"/>
          <w:lang w:eastAsia="zh-CN"/>
        </w:rPr>
        <w:t xml:space="preserve">（二十六）、微波治疗仪</w:t>
      </w:r>
      <w:r/>
    </w:p>
    <w:p>
      <w:pPr>
        <w:jc w:val="left"/>
        <w:spacing w:after="200" w:line="360" w:lineRule="auto"/>
        <w:widowControl/>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1.微波频率：2450±30MHz；</w:t>
      </w:r>
      <w:r/>
    </w:p>
    <w:p>
      <w:pPr>
        <w:jc w:val="left"/>
        <w:spacing w:after="200" w:line="360" w:lineRule="auto"/>
        <w:widowControl/>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2.输出功率：0～80W连续可调，步长可调；</w:t>
      </w:r>
      <w:r/>
    </w:p>
    <w:p>
      <w:pPr>
        <w:jc w:val="left"/>
        <w:spacing w:after="200" w:line="360" w:lineRule="auto"/>
        <w:widowControl/>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3.辐射器电压驻波比：≤2.5；</w:t>
      </w:r>
      <w:r/>
    </w:p>
    <w:p>
      <w:pPr>
        <w:jc w:val="left"/>
        <w:spacing w:after="200" w:line="360" w:lineRule="auto"/>
        <w:widowControl/>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4.治疗时间： 1-30分钟；</w:t>
      </w:r>
      <w:r/>
    </w:p>
    <w:p>
      <w:pPr>
        <w:jc w:val="left"/>
        <w:spacing w:after="200" w:line="360" w:lineRule="auto"/>
        <w:widowControl/>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5.专用磁控管，输出更稳定，使用寿命更长；</w:t>
      </w:r>
      <w:r/>
    </w:p>
    <w:p>
      <w:pPr>
        <w:pStyle w:val="834"/>
        <w:rPr>
          <w:rFonts w:hint="eastAsia"/>
          <w:highlight w:val="none"/>
          <w:lang w:eastAsia="zh-CN"/>
        </w:rPr>
      </w:pPr>
      <w:r>
        <w:rPr>
          <w:rFonts w:hint="eastAsia" w:ascii="宋体" w:hAnsi="Times New Roman" w:eastAsia="宋体" w:cs="宋体"/>
          <w:sz w:val="24"/>
          <w:szCs w:val="24"/>
          <w:highlight w:val="none"/>
          <w:lang w:val="en-US" w:eastAsia="zh-CN" w:bidi="ar-SA"/>
        </w:rPr>
        <w:t xml:space="preserve">6</w:t>
      </w:r>
      <w:r>
        <w:rPr>
          <w:rFonts w:hint="eastAsia" w:ascii="宋体" w:hAnsi="Times New Roman" w:cs="宋体"/>
          <w:sz w:val="24"/>
          <w:szCs w:val="24"/>
          <w:highlight w:val="none"/>
          <w:lang w:val="en-US" w:eastAsia="zh-CN" w:bidi="ar-SA"/>
        </w:rPr>
        <w:t xml:space="preserve">.</w:t>
      </w: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不少于</w:t>
      </w:r>
      <w:r>
        <w:rPr>
          <w:rFonts w:hint="eastAsia" w:asciiTheme="minorEastAsia" w:hAnsiTheme="minorEastAsia" w:cstheme="minorEastAsia"/>
          <w:color w:val="000000" w:themeColor="text1"/>
          <w:sz w:val="24"/>
          <w:highlight w:val="none"/>
          <w14:textFill>
            <w14:solidFill>
              <w14:schemeClr w14:val="tx1"/>
            </w14:solidFill>
          </w14:textFill>
        </w:rPr>
        <w:t xml:space="preserve">三种输出方式：连续式、间歇脉冲式、间歇集束式；</w:t>
      </w:r>
      <w:r/>
    </w:p>
    <w:p>
      <w:pPr>
        <w:pStyle w:val="834"/>
        <w:rPr>
          <w:rFonts w:hint="eastAsia"/>
          <w:highlight w:val="none"/>
          <w:lang w:eastAsia="zh-CN"/>
        </w:rPr>
      </w:pPr>
      <w:r>
        <w:rPr>
          <w:rFonts w:hint="eastAsia"/>
          <w:highlight w:val="none"/>
          <w:lang w:val="en-US" w:eastAsia="zh-CN"/>
        </w:rPr>
        <w:t xml:space="preserve">7.</w:t>
      </w:r>
      <w:r>
        <w:rPr>
          <w:rFonts w:hint="eastAsia"/>
          <w:highlight w:val="none"/>
          <w:lang w:eastAsia="zh-CN"/>
        </w:rPr>
        <w:t xml:space="preserve">▲液晶触摸屏，微电脑控制，输出功率稳定；</w:t>
      </w:r>
      <w:r/>
    </w:p>
    <w:p>
      <w:pPr>
        <w:pStyle w:val="834"/>
        <w:rPr>
          <w:rFonts w:hint="eastAsia" w:ascii="宋体" w:hAnsi="宋体" w:eastAsia="宋体" w:cs="宋体"/>
          <w:sz w:val="24"/>
          <w:szCs w:val="24"/>
          <w:highlight w:val="none"/>
          <w:lang w:val="en-US" w:eastAsia="zh-CN" w:bidi="ar-SA"/>
        </w:rPr>
      </w:pPr>
      <w:r>
        <w:rPr>
          <w:rFonts w:hint="eastAsia"/>
          <w:highlight w:val="none"/>
          <w:lang w:val="en-US" w:eastAsia="zh-CN"/>
        </w:rPr>
        <w:t xml:space="preserve">8.</w:t>
      </w:r>
      <w:r>
        <w:rPr>
          <w:rFonts w:hint="eastAsia"/>
          <w:highlight w:val="none"/>
          <w:lang w:eastAsia="zh-CN"/>
        </w:rPr>
        <w:t xml:space="preserve">▲</w:t>
      </w:r>
      <w:r>
        <w:rPr>
          <w:rFonts w:hint="eastAsia" w:ascii="宋体" w:hAnsi="Times New Roman" w:eastAsia="宋体" w:cs="宋体"/>
          <w:sz w:val="24"/>
          <w:szCs w:val="24"/>
          <w:highlight w:val="none"/>
          <w:lang w:val="en-US" w:eastAsia="zh-CN" w:bidi="ar-SA"/>
        </w:rPr>
        <w:t xml:space="preserve">可以</w:t>
      </w:r>
      <w:r>
        <w:rPr>
          <w:rFonts w:hint="eastAsia"/>
          <w:highlight w:val="none"/>
          <w:lang w:eastAsia="zh-CN"/>
        </w:rPr>
        <w:t xml:space="preserve">选择配置Wi-Fi无线网络接口，用于数据传输；</w:t>
      </w:r>
      <w:r/>
    </w:p>
    <w:p>
      <w:pPr>
        <w:jc w:val="left"/>
        <w:spacing w:after="200"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（二十七）、红外光灸疗机</w:t>
      </w:r>
      <w:r/>
    </w:p>
    <w:p>
      <w:pPr>
        <w:jc w:val="left"/>
        <w:spacing w:after="20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1.柜式一体机型；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.时间设定:1~60min；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.红外光波长范围 760nm~1000nm;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.双通道：具有双头双通道，可同时输出治疗两人或两个部位;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.具有红外光与艾灸治疗可单独或同时输出；</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.具备防倾倒保护功能，自动断电功能。</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（二十八）、颈腰椎多功能牵引床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1.内置不少于8种牵引模式；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2.颈椎牵引力可调范围：0～300N；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3.腰椎牵引力可调范围：0～980N；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4.治疗时间可调范围：0～99min，步长为1min；</w:t>
      </w:r>
      <w:r/>
    </w:p>
    <w:p>
      <w:pPr>
        <w:jc w:val="left"/>
        <w:spacing w:after="200" w:line="360" w:lineRule="auto"/>
        <w:widowControl/>
        <w:rPr>
          <w:rFonts w:hint="eastAsia" w:ascii="宋体" w:hAnsi="宋体" w:eastAsia="宋体" w:cs="宋体"/>
          <w:sz w:val="24"/>
          <w:szCs w:val="24"/>
          <w:highlight w:val="yellow"/>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t xml:space="preserve">具备四维牵引功能；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.设备具有紧急保护措施。在牵引治疗过程中，按下急退按键，可使牵引力松弛至初始状态；</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.设备具有加热功能，加热功能可单独开启或关闭。</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（二十九）、多关节主被动训练仪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1.适用于对患者肢体或关节进行主/被动康复训练；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2.设备应具有主动训练，被动训练，主被动训练，助力训练；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3.能够智能探测痉挛并自动缓解痉挛；</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4.痉挛灵敏度分别可调；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5.具有训练方向改变功能；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6.具有训练定时设置功能；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7.康复器的阻力扭矩可调节范围</w:t>
      </w:r>
      <w:r>
        <w:rPr>
          <w:rFonts w:hint="eastAsia" w:ascii="宋体" w:hAnsi="宋体" w:cs="宋体"/>
          <w:sz w:val="24"/>
          <w:szCs w:val="24"/>
          <w:lang w:val="en-US" w:eastAsia="zh-CN"/>
        </w:rPr>
        <w:t xml:space="preserve">不低于</w:t>
      </w:r>
      <w:r>
        <w:rPr>
          <w:rFonts w:hint="eastAsia" w:ascii="宋体" w:hAnsi="宋体" w:eastAsia="宋体" w:cs="宋体"/>
          <w:sz w:val="24"/>
          <w:szCs w:val="24"/>
          <w:lang w:eastAsia="zh-CN"/>
        </w:rPr>
        <w:t xml:space="preserve">18档，分别对应相应的阻力扭矩值；</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8.康复器训练时间可调节范围1～99min；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.监测到痉挛发生时，康复器作出保护动作，在6s之内停止运转，并自动转入反向低速运转。该功能默认为开启状态，可在参数设置时关闭功能；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.采用不小于7英寸的彩色触摸屏操作显示；</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.训练结束会显示主动训练时间和被动训练时间。</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（三十）、OT综合治疗桌</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1.左右操作面板：（参考）4</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×3</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（长×宽）</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2cm</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2.后操作面板：（参考）9</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35</w:t>
      </w:r>
      <w:r>
        <w:rPr>
          <w:rFonts w:hint="eastAsia" w:ascii="宋体" w:hAnsi="宋体" w:eastAsia="宋体" w:cs="宋体"/>
          <w:sz w:val="24"/>
          <w:szCs w:val="24"/>
          <w:lang w:eastAsia="zh-CN"/>
        </w:rPr>
        <w:t xml:space="preserve">（长×宽）cm</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2cm</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3.材质：多层板、橡胶脚轮；</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4.训练组件：立式套圈、木棍插板、几何图形插板、弧形分指板、上肢协调功能器（手指）、上螺丝、上螺母、动物图形插板、模拟工具、卧式套圈共十件组成。</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（三十一）、PT训练床</w:t>
      </w:r>
      <w:r/>
    </w:p>
    <w:p>
      <w:pPr>
        <w:jc w:val="left"/>
        <w:spacing w:after="20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1、外形尺</w:t>
      </w:r>
      <w:r>
        <w:rPr>
          <w:rFonts w:hint="eastAsia" w:ascii="宋体" w:hAnsi="宋体" w:eastAsia="宋体" w:cs="宋体"/>
          <w:sz w:val="24"/>
          <w:szCs w:val="24"/>
          <w:highlight w:val="none"/>
          <w:lang w:eastAsia="zh-CN"/>
        </w:rPr>
        <w:t xml:space="preserve">寸（长×宽×高）：195cm×12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cm×50cm,</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5cm</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2、床面高度：</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 </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2cm</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3、床面额定承载: 不低于2000N；</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4、产品用途：用作PT受训者在床上进行各类康复训练活动。</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（三十二）、多体位医用诊疗床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1、用途：按摩师对患者按摩时用床；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2、床面尺寸(长×宽)cm：（参考）190×60</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5cm</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3、床面高度cm：（参考）65</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2cm</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4、额定载荷：≥1700N。</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（三十三）、电针治疗仪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1.输出波型：多种波形；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2.输出通道：≥4路通道输出；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3.工作频率：2Hz、10Hz等多种频率；</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4.治疗时间：定时功能。</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（三十四）、电动多体位医用诊疗床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1、产品结构：3折3段；（3折：头板、背板、臀腿板；3段：头板分段、背板分段、臀腿板分段）；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2、治疗床最大升降行程不小于300mm；</w:t>
      </w:r>
      <w:r/>
    </w:p>
    <w:p>
      <w:pPr>
        <w:jc w:val="left"/>
        <w:spacing w:after="20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3、床板水平上升速度不高于15mm/s,水平下降速度不高于</w:t>
      </w:r>
      <w:r>
        <w:rPr>
          <w:rFonts w:hint="eastAsia" w:ascii="宋体" w:hAnsi="宋体" w:eastAsia="宋体" w:cs="宋体"/>
          <w:sz w:val="24"/>
          <w:szCs w:val="24"/>
          <w:highlight w:val="none"/>
          <w:lang w:eastAsia="zh-CN"/>
        </w:rPr>
        <w:t xml:space="preserve">17mm/s，允差±2mm/s；</w:t>
      </w:r>
      <w:r/>
    </w:p>
    <w:p>
      <w:pPr>
        <w:jc w:val="left"/>
        <w:spacing w:after="20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4、各段位具备角度调节功能。</w:t>
      </w:r>
      <w:r/>
    </w:p>
    <w:p>
      <w:pPr>
        <w:jc w:val="left"/>
        <w:spacing w:after="200"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（三十五）、深层肌肉刺激仪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1、主机尺寸：长宽高1</w:t>
      </w:r>
      <w:r>
        <w:rPr>
          <w:rFonts w:hint="eastAsia" w:ascii="宋体" w:hAnsi="宋体" w:cs="宋体"/>
          <w:sz w:val="24"/>
          <w:szCs w:val="24"/>
          <w:lang w:val="en-US" w:eastAsia="zh-CN"/>
        </w:rPr>
        <w:t xml:space="preserve">20</w:t>
      </w:r>
      <w:r>
        <w:rPr>
          <w:rFonts w:hint="eastAsia" w:ascii="宋体" w:hAnsi="宋体" w:eastAsia="宋体" w:cs="宋体"/>
          <w:sz w:val="24"/>
          <w:szCs w:val="24"/>
          <w:lang w:eastAsia="zh-CN"/>
        </w:rPr>
        <w:t xml:space="preserve">mm×6</w:t>
      </w:r>
      <w:r>
        <w:rPr>
          <w:rFonts w:hint="eastAsia" w:ascii="宋体" w:hAnsi="宋体" w:cs="宋体"/>
          <w:sz w:val="24"/>
          <w:szCs w:val="24"/>
          <w:lang w:val="en-US" w:eastAsia="zh-CN"/>
        </w:rPr>
        <w:t xml:space="preserve">0</w:t>
      </w:r>
      <w:r>
        <w:rPr>
          <w:rFonts w:hint="eastAsia" w:ascii="宋体" w:hAnsi="宋体" w:eastAsia="宋体" w:cs="宋体"/>
          <w:sz w:val="24"/>
          <w:szCs w:val="24"/>
          <w:lang w:eastAsia="zh-CN"/>
        </w:rPr>
        <w:t xml:space="preserve">mm×3</w:t>
      </w:r>
      <w:r>
        <w:rPr>
          <w:rFonts w:hint="eastAsia" w:ascii="宋体" w:hAnsi="宋体" w:cs="宋体"/>
          <w:sz w:val="24"/>
          <w:szCs w:val="24"/>
          <w:lang w:val="en-US" w:eastAsia="zh-CN"/>
        </w:rPr>
        <w:t xml:space="preserve">30</w:t>
      </w:r>
      <w:r>
        <w:rPr>
          <w:rFonts w:hint="eastAsia" w:ascii="宋体" w:hAnsi="宋体" w:eastAsia="宋体" w:cs="宋体"/>
          <w:sz w:val="24"/>
          <w:szCs w:val="24"/>
          <w:lang w:eastAsia="zh-CN"/>
        </w:rPr>
        <w:t xml:space="preserve">mm，允差：±20mm。</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2、转速：400rpm～3200rpm可调，允差±5%。</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3、振动幅度：≥6mm。</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4、工作时间：10min，允差±5%。</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5、最高振动频率：≥75Hz。</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6、噪声：≤60dB（A）。</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7、电源：内部直流电源，d.c.24V，允差±10%。</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8、电池容量：6</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Wh，允差±10%。</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9、充电接口：DC插口。</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10、显示方式：液晶显示。</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▲11、按摩头：≥13个。</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▲12、提供医疗器械注册证证明材料。</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（三十六）、磁疗康复仪（带激光）</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1.柜式一体机，具有磁疗和激光两种功能，配有一个激光磁治疗头；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2.最大磁感应强度：≥4000mT±20%，强度设置≥0%-100%可调，步长为1%；</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3.输出波形：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3.1工作频率：≥90Hz，步长为1Hz；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4.激光波长：≥600nm，误差为±20%；</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5.单个激光输出强度：≥3.5mW；</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6.治疗头具有≥3个激光输出头；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7.定时：≥60min可调，步长为1min；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8.≥3种输出模式：可灵活切换；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9、治疗模式：自动模式、手动模式；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10.冷却系统：具有专业的液态循环冷却系统，保障设备使用寿命；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11.发生故障时，有声音提示并停止磁场输出；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12.显示方式：≥7英寸彩色触摸显示屏显示；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13.操作方式：触摸点控及一键飞梭操作；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14.治疗头移动方式：可手持，可机械臂固定，机械臂可多段多角度调节；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15.仪器具有治疗头温度显示功能，超温报警；</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16.磁疗头具有冷却装置。</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（三十七）、饮用水设备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1、热水胆容量：</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18L；</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2、功率：220V/2KW；</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3、过滤系统：具备反渗透过滤模式；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4、出水口：1开1常温；</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5、控制方式：触屏控制。</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（三十八）、床单元（床上用品）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1、床单尺寸：155*230</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，采用涤棉材质；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2、床褥尺寸：90*200</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，可水洗丝绵；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3、被芯尺寸：150*200</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，可水洗丝绵；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4、被罩尺寸：155*210</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，采用涤棉材质；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5、枕芯尺寸：40*60</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，可水洗丝绵；</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6、枕套尺寸：45*65</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，采用涤棉材质。</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（三十九）、护理床</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双摇床参数：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1、外径尺寸：2000*1000*450mm；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2、床架：采用优质型40*80矩铁管焊接成型，厚度≥1.0mm，表面静电喷塑，牢固耐用，美观大方，床体整体承重240KG以上；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3、床板：采用宽条式优质带钢冲压、折边成型，材料厚度≥0.7mm，表面静电喷塑，防腐蚀、易清洁；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4、床面连接全部使用钢件，受压力强，转动无噪音，且外形美观；连接件厚度达3mm；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木质床头护板：颗粒板（免喷漆板）床头带软包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6、床脚立柱采用40*40方管，厚度≥1.0mm；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7、配置</w:t>
      </w:r>
      <w:r>
        <w:rPr>
          <w:rFonts w:hint="eastAsia" w:ascii="宋体" w:hAnsi="宋体" w:cs="宋体"/>
          <w:sz w:val="24"/>
          <w:szCs w:val="24"/>
          <w:lang w:val="en-US" w:eastAsia="zh-CN"/>
        </w:rPr>
        <w:t xml:space="preserve">配套床垫，厚度</w:t>
      </w:r>
      <w:r>
        <w:rPr>
          <w:rFonts w:hint="eastAsia" w:ascii="宋体" w:hAnsi="宋体" w:eastAsia="宋体" w:cs="宋体"/>
          <w:sz w:val="24"/>
          <w:szCs w:val="24"/>
          <w:lang w:eastAsia="zh-CN"/>
        </w:rPr>
        <w:t xml:space="preserve"> 4 </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棕+2</w:t>
      </w:r>
      <w:r>
        <w:rPr>
          <w:rFonts w:hint="eastAsia" w:ascii="宋体" w:hAnsi="宋体" w:cs="宋体"/>
          <w:sz w:val="24"/>
          <w:szCs w:val="24"/>
          <w:lang w:val="en-US" w:eastAsia="zh-CN"/>
        </w:rPr>
        <w:t xml:space="preserve">cm</w:t>
      </w:r>
      <w:r>
        <w:rPr>
          <w:rFonts w:hint="eastAsia" w:ascii="宋体" w:hAnsi="宋体" w:eastAsia="宋体" w:cs="宋体"/>
          <w:sz w:val="24"/>
          <w:szCs w:val="24"/>
          <w:lang w:eastAsia="zh-CN"/>
        </w:rPr>
        <w:t xml:space="preserve">海绵棉布床垫（透气性好），外套可拆洗；</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8、背段升降采用独立支架支撑，结构简易牢固，材料厚度达3mm；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9、升降丝杆采用</w:t>
      </w:r>
      <w:r>
        <w:rPr>
          <w:rFonts w:hint="eastAsia" w:ascii="宋体" w:hAnsi="宋体" w:cs="宋体"/>
          <w:sz w:val="24"/>
          <w:szCs w:val="24"/>
          <w:lang w:val="en-US" w:eastAsia="zh-CN"/>
        </w:rPr>
        <w:t xml:space="preserve">不低于</w:t>
      </w:r>
      <w:r>
        <w:rPr>
          <w:rFonts w:hint="eastAsia" w:ascii="宋体" w:hAnsi="宋体" w:eastAsia="宋体" w:cs="宋体"/>
          <w:sz w:val="24"/>
          <w:szCs w:val="24"/>
          <w:lang w:eastAsia="zh-CN"/>
        </w:rPr>
        <w:t xml:space="preserve">45#钢挤压成型，丝杆外表光滑耐用，摇杆采用万向联轴节结构，并有防护装置不积尘，钢制摇柄隐形于床体，可折叠，使用方便且结构牢固；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10、铝合金防夹手护栏，专用铝型材料；护栏自锁机构隐藏式压铸枪把，五个不锈钢立柱，可收缩平放，坚固耐用，装饰自如；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11、床体背部升降角度0～70° ，承载力≥50kg，腿部升降角度0～ 30°，承载力≥50kg。</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12、脚轮：静音万向脚轮，有刹车功能，静音耐磨，防水、防尘、防异物卷入；</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hint="eastAsia" w:ascii="宋体" w:hAnsi="宋体" w:eastAsia="宋体" w:cs="宋体"/>
          <w:sz w:val="24"/>
          <w:szCs w:val="24"/>
          <w:lang w:val="en-US" w:eastAsia="zh-CN"/>
        </w:rPr>
        <w:t xml:space="preserve">配</w:t>
      </w:r>
      <w:r>
        <w:rPr>
          <w:rFonts w:hint="eastAsia" w:ascii="宋体" w:hAnsi="宋体" w:eastAsia="宋体" w:cs="宋体"/>
          <w:sz w:val="24"/>
          <w:szCs w:val="24"/>
          <w:lang w:eastAsia="zh-CN"/>
        </w:rPr>
        <w:t xml:space="preserve">可移动餐桌板：                                                                                                                                                                               14、</w:t>
      </w:r>
      <w:r>
        <w:rPr>
          <w:rFonts w:hint="eastAsia" w:ascii="宋体" w:hAnsi="宋体" w:eastAsia="宋体" w:cs="宋体"/>
          <w:sz w:val="24"/>
          <w:szCs w:val="24"/>
          <w:lang w:val="en-US" w:eastAsia="zh-CN"/>
        </w:rPr>
        <w:t xml:space="preserve">可移动伸缩</w:t>
      </w:r>
      <w:r>
        <w:rPr>
          <w:rFonts w:hint="eastAsia" w:ascii="宋体" w:hAnsi="宋体" w:eastAsia="宋体" w:cs="宋体"/>
          <w:sz w:val="24"/>
          <w:szCs w:val="24"/>
          <w:lang w:eastAsia="zh-CN"/>
        </w:rPr>
        <w:t xml:space="preserve">输液架。</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 床头柜参数：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1、基材：面板厚度</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18mm。采用国家E0级环保免漆板，边角处采用倒圆工艺，板材的封边，优质工艺的封边细腻、光滑、手感好，封线平直光滑，接头精细。专业厂用直线激光封边机器一次完成工序，涂胶均匀，压力稳定；</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2、封边条：全部采用2厘</w:t>
      </w:r>
      <w:r>
        <w:rPr>
          <w:rFonts w:hint="eastAsia" w:ascii="宋体" w:hAnsi="宋体" w:eastAsia="宋体" w:cs="宋体"/>
          <w:sz w:val="24"/>
          <w:szCs w:val="24"/>
          <w:lang w:val="en-US" w:eastAsia="zh-CN"/>
        </w:rPr>
        <w:t xml:space="preserve">米</w:t>
      </w:r>
      <w:r>
        <w:rPr>
          <w:rFonts w:hint="eastAsia" w:ascii="宋体" w:hAnsi="宋体" w:eastAsia="宋体" w:cs="宋体"/>
          <w:sz w:val="24"/>
          <w:szCs w:val="24"/>
          <w:lang w:eastAsia="zh-CN"/>
        </w:rPr>
        <w:t xml:space="preserve">近色PVC封边条；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3、拉手：实木材质，表面细腻、圆润；</w:t>
      </w:r>
      <w:r/>
    </w:p>
    <w:p>
      <w:pPr>
        <w:jc w:val="left"/>
        <w:spacing w:after="2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4、五金：优质五金配件。</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（四十）、无创呼吸机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1、工作模式：CPAP，S，T，ST；</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2、通气参数：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2.1初始压力：4-25 cmH2O（间隔0.5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吸气压力：4-30 cmH2O（间隔0.5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治疗压力：4-20 cmH2O（CPAP模式下，间隔0.5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 延时升压：0-45分钟（间隔5分钟）；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 呼吸频率：3-40次/分；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2.6潮气量：50-1500ml；</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3、监测设定参数的可显示： 呼吸波形可显示；使用模式，吸气压力，呼气压力，呼吸频率，吸呼比，潮气量。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（四十一）、关节康复器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1、可以实现多个关节康复康复训练；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2、伸展角度和屈角角度可调，角速度多档且连续可调；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3、微电脑控制程序；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4、可定时；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5、仪器组成：主机（含控制部分）、关节固定机构、支撑机构、调节杆、手持操作器组成；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6、输入功率：≤80VA；</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7、角度范围及误差：≥120°，膝关节屈曲动作角度≥120°；髋关节屈曲动作角度≥80°；踝关节屈曲动作角度≥60°；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8、痉挛保护：≥3个等级；</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9、调节杆长度可调；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10、不少于3种工作模式。</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（四十二）、适老无障碍化餐桌椅（可供 10 人就餐）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1、适老化桌应稳固，桌边角处采用倒圆工艺，无锐角，底部应方便轮椅进入；</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2、方便老年人坐下起身就餐；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3、配置适老化椅</w:t>
      </w:r>
      <w:r>
        <w:rPr>
          <w:rFonts w:hint="eastAsia" w:ascii="宋体" w:hAnsi="宋体" w:cs="宋体"/>
          <w:sz w:val="24"/>
          <w:szCs w:val="24"/>
          <w:lang w:val="en-US" w:eastAsia="zh-CN" w:bidi="ar-SA"/>
        </w:rPr>
        <w:t xml:space="preserve">（10把）</w:t>
      </w:r>
      <w:r>
        <w:rPr>
          <w:rFonts w:hint="eastAsia" w:ascii="宋体" w:hAnsi="宋体" w:eastAsia="宋体" w:cs="宋体"/>
          <w:sz w:val="24"/>
          <w:szCs w:val="24"/>
          <w:lang w:val="en-US" w:eastAsia="zh-CN" w:bidi="ar-SA"/>
        </w:rPr>
        <w:t xml:space="preserve">；</w:t>
      </w:r>
      <w:r/>
    </w:p>
    <w:p>
      <w:pPr>
        <w:jc w:val="left"/>
        <w:spacing w:after="100" w:line="360" w:lineRule="auto"/>
        <w:widowControl/>
        <w:rPr>
          <w:rFonts w:hint="eastAsia" w:ascii="宋体" w:hAnsi="宋体" w:cs="宋体"/>
          <w:sz w:val="24"/>
          <w:szCs w:val="24"/>
          <w:lang w:val="en-US" w:eastAsia="zh-CN" w:bidi="ar-SA"/>
        </w:rPr>
      </w:pPr>
      <w:r>
        <w:rPr>
          <w:rFonts w:hint="eastAsia" w:ascii="宋体" w:hAnsi="宋体" w:eastAsia="宋体" w:cs="宋体"/>
          <w:sz w:val="24"/>
          <w:szCs w:val="24"/>
          <w:lang w:val="en-US" w:eastAsia="zh-CN" w:bidi="ar-SA"/>
        </w:rPr>
        <w:t xml:space="preserve">4、采用木质材质</w:t>
      </w:r>
      <w:r>
        <w:rPr>
          <w:rFonts w:hint="eastAsia" w:ascii="宋体" w:hAnsi="宋体" w:cs="宋体"/>
          <w:sz w:val="24"/>
          <w:szCs w:val="24"/>
          <w:lang w:val="en-US" w:eastAsia="zh-CN" w:bidi="ar-SA"/>
        </w:rPr>
        <w:t xml:space="preserve">；</w:t>
      </w:r>
      <w:r/>
    </w:p>
    <w:p>
      <w:pPr>
        <w:pStyle w:val="834"/>
        <w:rPr>
          <w:rFonts w:hint="eastAsia" w:ascii="宋体" w:hAnsi="宋体" w:eastAsia="宋体" w:cs="宋体"/>
          <w:sz w:val="24"/>
          <w:szCs w:val="24"/>
          <w:lang w:eastAsia="zh-CN"/>
        </w:rPr>
      </w:pPr>
      <w:r>
        <w:rPr>
          <w:rFonts w:hint="eastAsia" w:ascii="宋体" w:hAnsi="宋体" w:cs="宋体"/>
          <w:sz w:val="24"/>
          <w:szCs w:val="24"/>
          <w:lang w:val="en-US" w:eastAsia="zh-CN" w:bidi="ar-SA"/>
        </w:rPr>
        <w:t xml:space="preserve">5、尺寸≥500cm*120cm。</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（四十三）、洗衣机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1、滚筒式，额定洗涤容量：10Kg，脱水容量10Kg；</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2、洗涤噪音：小于等于60dB，脱水噪音：小于等于75dB；</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3、能效等级：1级。</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（四十四）、静脉穿刺定位仪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1、机身尺寸：190*24*35mm±5mm;</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2、内置锂电：650MA；</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3、采用红外线精准定位；</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4、便携式设计，方便医护在各种环境下使用；</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5、实时血管显影，清晰显示血管位置，提高穿刺成功率。</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（四十五）、全自动护理床</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1、床体尺寸：长210cm*宽9</w:t>
      </w:r>
      <w:r>
        <w:rPr>
          <w:rFonts w:hint="eastAsia" w:ascii="宋体" w:hAnsi="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t xml:space="preserve">cm*高50cm（⼟5cm)；</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2、床体承重不小于140KG；</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3、具备洗浴功能； </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4、具备透气转身功能；</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5、具备护理功能；</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6、具备背部运动功能； </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7、具备腿部运动功能； </w:t>
      </w:r>
      <w:r/>
    </w:p>
    <w:p>
      <w:pPr>
        <w:jc w:val="left"/>
        <w:spacing w:after="100" w:line="36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bidi="ar-SA"/>
        </w:rPr>
        <w:t xml:space="preserve">8、具备起背抬腿功能。</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（四十六）、心电图工作站</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1、病人管理功能：包括新建、删除、修改和搜索病人；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2、报告管理功能：包括导入、导出、删除、浏览、修改、打印病人报告；</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3、数据管理功能：包括数据的存储管理、备份、还原、统计；</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4、系统设置功能：包括基础设置、打印设置、导出设置、数据维护；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5、软件支持Windows/Android系统；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6、支持PDF、JPG等文件输出格式，多种心电图报告打印格式，可彩色打印；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7、自动识别各种异常心搏和异常心律；</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8、支持多导同步心电采集，适用于多种心脏疾病的诊断，帮助医生进行更准确的分析；</w:t>
      </w:r>
      <w:r/>
    </w:p>
    <w:p>
      <w:pPr>
        <w:jc w:val="left"/>
        <w:spacing w:after="200" w:line="276" w:lineRule="auto"/>
        <w:widowControl/>
        <w:rPr>
          <w:rFonts w:hint="default" w:ascii="Calibri" w:hAnsi="Calibri" w:eastAsia="宋体" w:cs="Times New Roman"/>
          <w:sz w:val="22"/>
          <w:szCs w:val="22"/>
          <w:lang w:val="en-US" w:eastAsia="zh-CN"/>
        </w:rPr>
      </w:pPr>
      <w:r>
        <w:rPr>
          <w:rFonts w:hint="eastAsia" w:ascii="宋体" w:hAnsi="宋体" w:eastAsia="宋体" w:cs="宋体"/>
          <w:sz w:val="24"/>
          <w:szCs w:val="24"/>
          <w:lang w:val="en-US" w:eastAsia="zh-CN"/>
        </w:rPr>
        <w:t xml:space="preserve">9、配备适应打印机；</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10、产品使用寿命≥5年。</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（四十七）、电子血压计</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1、显示方式：LCD液晶数字显示；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2、测量范围：0mmHg--280mmHg（0KPa--37.5KPa）；</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3、测量精度：压力±3mmHg(±0.4KPa)。</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（四十八）、医疗废弃物推车</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1、产品尺寸：长1350mm*宽</w:t>
      </w:r>
      <w:r>
        <w:rPr>
          <w:rFonts w:hint="eastAsia" w:ascii="宋体" w:hAnsi="宋体" w:cs="宋体"/>
          <w:sz w:val="24"/>
          <w:szCs w:val="24"/>
          <w:lang w:val="en-US" w:eastAsia="zh-CN" w:bidi="ar-SA"/>
        </w:rPr>
        <w:t xml:space="preserve">80</w:t>
      </w:r>
      <w:r>
        <w:rPr>
          <w:rFonts w:hint="eastAsia" w:ascii="宋体" w:hAnsi="宋体" w:eastAsia="宋体" w:cs="宋体"/>
          <w:sz w:val="24"/>
          <w:szCs w:val="24"/>
          <w:lang w:val="en-US" w:eastAsia="zh-CN" w:bidi="ar-SA"/>
        </w:rPr>
        <w:t xml:space="preserve">0mm*高12</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0mm</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50mm</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2、材质：ABS</w:t>
      </w:r>
      <w:r>
        <w:rPr>
          <w:rFonts w:hint="eastAsia" w:ascii="宋体" w:hAnsi="宋体" w:cs="宋体"/>
          <w:sz w:val="24"/>
          <w:szCs w:val="24"/>
          <w:lang w:val="en-US" w:eastAsia="zh-CN" w:bidi="ar-SA"/>
        </w:rPr>
        <w:t xml:space="preserve">/不锈钢</w:t>
      </w:r>
      <w:r>
        <w:rPr>
          <w:rFonts w:hint="eastAsia" w:ascii="宋体" w:hAnsi="宋体" w:eastAsia="宋体" w:cs="宋体"/>
          <w:sz w:val="24"/>
          <w:szCs w:val="24"/>
          <w:lang w:val="en-US" w:eastAsia="zh-CN" w:bidi="ar-SA"/>
        </w:rPr>
        <w:t xml:space="preserve">。</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（四十九）、电视机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1.屏幕尺寸：55寸；</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2.屏幕分辨率：超高清4K；</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3.亮度：200-300尼特；</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4.存储内存：</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32GB；</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5.USB2.0接口数：2个，HDMI2.0接口数：2个；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6.待机功率：</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0.5W，工作电压220V；</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7.连接方式：无线/有线。</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（五十）、洗澡间适老扶手</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1、采用尼龙＋不锈钢管；</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2、尺寸：600*1</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0mm</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10mm</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（五十一）、热水器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1、加热功率：</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8500W；</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2、类型：即热式电热水器；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3、外观设计：超薄型；</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4、操控方式：触控式。</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（五十二）、超声脉冲电导治疗仪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1.≥6.5寸彩色触摸屏，中文操作界面微电脑控制；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2.≥2道输出，每通道独立控制；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3.电致孔输出、超声波输出、中频输出三种功能融为一体定向定量定速精准快速直达组织；</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4.定时功能≥30分钟任意选择，治疗结束有声音提示并关闭输出；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5.超声输出声工作频率≥1MHz,允差±10%；超声输出有效声强：额定输出功率标称值下最大有效声强≥0.1W/cm², 允差±30%；超声输出有效辐射面积≥3.8cm²，允差±20%；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6.中频输出；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方波脉冲频率：≥2kHz±10%；</w:t>
      </w:r>
      <w:r/>
    </w:p>
    <w:p>
      <w:pPr>
        <w:jc w:val="left"/>
        <w:spacing w:after="1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低频调制中频的调幅度：≥100%，允差±5%。</w:t>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（五十三）、中医定向透药治疗仪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1、输出通道：≥2通道（同时治疗2名患者）；</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2、治疗处方：≥15个治疗处方；</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3、治疗电流：非对称低中频电流；</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4、液晶显示，便于快速操作；</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5、≥4种治疗模式；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6、中频载波频率：2000 Hz -4000 Hz；</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7、低频调制频率：≥150 Hz；</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8、低频调制波形：</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5种；</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9、电极保温档位：≥6级调节；</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10、输出强度控制：≥90级步进可调；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11、定时时间控制：≥60分钟；</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12、主机使用期限：≥5年。</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（五十四）、熏蒸治疗机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1、通道数：≥2通道（二个喷头），微电脑独立控制；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2、预热及治疗功率≥4档可调；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3、具有预热温度设置功能，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4、药液从常温加热到95℃时间≤15分钟；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5、治疗时间≥30分钟可调；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6、具有低液位报警及温度保护开关功能；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7、设备具有保温功能，保温温度70-90℃可调；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8、按键操作、治疗结束、预热达到设定温度及缺液时具有声音提示；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9、当熏蒸机加热容器中气压≥0.08MPa时，减压阀排气减压；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10、喷杆关节四轴旋转可调，喷头动作角度万向，确保临床患者坐姿卧姿不同体位的熏蒸需求；</w:t>
      </w:r>
      <w:r/>
    </w:p>
    <w:p>
      <w:pPr>
        <w:jc w:val="left"/>
        <w:spacing w:after="200" w:line="36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eastAsia="zh-CN"/>
        </w:rPr>
        <w:t xml:space="preserve">11、额定装药最大容量：≥3.5L。</w:t>
      </w:r>
      <w:r/>
    </w:p>
    <w:p>
      <w:pPr>
        <w:ind w:firstLine="482"/>
        <w:jc w:val="left"/>
        <w:keepLines w:val="0"/>
        <w:keepNext w:val="0"/>
        <w:pageBreakBefore w:val="0"/>
        <w:spacing w:after="0" w:line="360" w:lineRule="auto"/>
        <w:widowControl/>
        <w:tabs>
          <w:tab w:val="left" w:pos="3960" w:leader="none"/>
        </w:tabs>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w:t>
      </w:r>
      <w:r>
        <w:rPr>
          <w:rFonts w:hint="default" w:ascii="宋体" w:hAnsi="宋体" w:eastAsia="宋体" w:cs="宋体"/>
          <w:b/>
          <w:bCs/>
          <w:color w:val="auto"/>
          <w:sz w:val="24"/>
          <w:szCs w:val="24"/>
          <w:lang w:val="en-US" w:eastAsia="zh-CN"/>
        </w:rPr>
        <w:t xml:space="preserve">、项目实施要求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（一）安装调试要求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中标人应委派具有相应资质且经验丰富的技术人员，在了解采购人关于安装进度要求的前提下，负责完成以下工作：</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1、中标人负责设备的安装和调试，并保证安装稳固，如因仪器倾倒掉落导致安全事故，中标人负责处理，并由中标人承担相应的赔偿责任。</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2、调试过程中需使用的工具、设备、耗材、运输和劳务等所有费用均由中标人承担。</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3、所有设备安装完成后，应按国家有关规范标准（国家无验收规范标准的按双方合同规定的要求）进行调试、验收。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4、所有设备拆箱、通电、调试等各项工作由中标人负责完成。具体实施前，应先经采购人同意且在其指定人员的参与下方可进行。调试的原始记录须经各方签字后留作验收文件。     </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（二）设备材料要求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1、中标人提供的设备必须是制造厂商原装的、全新的产品，生产（出厂）日期为本项目</w:t>
      </w:r>
      <w:r>
        <w:rPr>
          <w:rFonts w:hint="eastAsia" w:ascii="宋体" w:hAnsi="宋体" w:cs="宋体"/>
          <w:color w:val="auto"/>
          <w:sz w:val="24"/>
          <w:szCs w:val="24"/>
          <w:lang w:val="en-US" w:eastAsia="zh-CN" w:bidi="ar-SA"/>
        </w:rPr>
        <w:t xml:space="preserve">合同签订</w:t>
      </w:r>
      <w:r>
        <w:rPr>
          <w:rFonts w:hint="eastAsia" w:ascii="宋体" w:hAnsi="宋体" w:eastAsia="宋体" w:cs="宋体"/>
          <w:color w:val="auto"/>
          <w:sz w:val="24"/>
          <w:szCs w:val="24"/>
          <w:lang w:val="en-US" w:eastAsia="zh-CN" w:bidi="ar-SA"/>
        </w:rPr>
        <w:t xml:space="preserve">前6个月内，否则招标人有权拒绝签收，并有权取消其中标资格；给招标人造成的损失的，中标人还应当予以赔偿。该损失包括但不限于重新招标费用、成交价格高于本次招标价格部分、实现赔偿的诉讼费、律师费等费用。其性能及指标参数应符合国家及招标文件提出的有关技术、质量、安全标准。</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2、中标人应确保提供的设备在开箱检验时完好，无破损，箱内配置与装箱清单相符。数量、质量及性能不得低于招标文件中的相关要求。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3、中标人提供的设备应外观整洁，设备型号、规格、制造厂商、生产（出厂）日期须准确清晰。铭牌、使用指示和警告指示均应以中、英文和通俗易懂的符号表示。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4、对于影响设备正常工作的重要零配件，无论在技术规范中指出与否，中标人都应及时提供并在投标文件中明确列出。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5、供货时所有设备应具有出厂合格证等相关证明文件。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6、所有设备配件和耗材在现场安装使用前，采购人将进行随机抽验。</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（三）交货时间、地点</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采购合同签订后按采购人要求开始供货安装，20日内完成全部设备的安装调试并通过验收。</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bidi="ar-SA"/>
        </w:rPr>
        <w:t xml:space="preserve">2、由中标人免费将全套设备运送至各指定地点并安装调试到位，</w:t>
      </w:r>
      <w:r>
        <w:rPr>
          <w:rFonts w:hint="eastAsia" w:ascii="宋体" w:hAnsi="宋体" w:eastAsia="宋体" w:cs="Times New Roman"/>
          <w:color w:val="auto"/>
          <w:sz w:val="24"/>
          <w:szCs w:val="24"/>
          <w:highlight w:val="none"/>
          <w:lang w:val="en-US" w:eastAsia="zh-CN"/>
        </w:rPr>
        <w:t xml:space="preserve">设备需要的电源插座及网络设施由中标人负责安装到位。</w:t>
      </w:r>
      <w:r>
        <w:rPr>
          <w:rFonts w:hint="eastAsia" w:ascii="宋体" w:hAnsi="宋体" w:eastAsia="宋体" w:cs="宋体"/>
          <w:color w:val="auto"/>
          <w:sz w:val="24"/>
          <w:szCs w:val="24"/>
          <w:highlight w:val="none"/>
          <w:lang w:val="en-US" w:eastAsia="zh-CN" w:bidi="ar-SA"/>
        </w:rPr>
        <w:t xml:space="preserve">安装人员应具备相应资质，安装标准须符合国家有关安全技术规范和技术标准。</w:t>
      </w:r>
      <w:r/>
    </w:p>
    <w:p>
      <w:pPr>
        <w:contextualSpacing/>
        <w:ind w:right="220" w:firstLine="482"/>
        <w:jc w:val="left"/>
        <w:keepLines w:val="0"/>
        <w:keepNext w:val="0"/>
        <w:pageBreakBefore w:val="0"/>
        <w:spacing w:before="100" w:after="100" w:line="360" w:lineRule="auto"/>
        <w:widowControl/>
        <w:tabs>
          <w:tab w:val="left" w:pos="94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五、质保期及售后服务要求</w:t>
      </w:r>
      <w:r/>
    </w:p>
    <w:p>
      <w:pPr>
        <w:ind w:firstLine="480"/>
        <w:jc w:val="left"/>
        <w:keepLines w:val="0"/>
        <w:keepNext w:val="0"/>
        <w:pageBreakBefore w:val="0"/>
        <w:spacing w:after="200" w:line="360" w:lineRule="auto"/>
        <w:widowControl/>
        <w:rPr>
          <w:rFonts w:hint="default" w:ascii="宋体" w:hAnsi="宋体" w:eastAsia="宋体" w:cs="宋体"/>
          <w:bCs/>
          <w:color w:val="auto"/>
          <w:sz w:val="21"/>
          <w:szCs w:val="21"/>
          <w:lang w:val="en-US" w:eastAsia="en-US"/>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）质保期：</w:t>
      </w:r>
      <w:r>
        <w:rPr>
          <w:rFonts w:hint="eastAsia" w:ascii="宋体" w:hAnsi="宋体" w:eastAsia="宋体" w:cs="Times New Roman"/>
          <w:color w:val="auto"/>
          <w:sz w:val="24"/>
          <w:szCs w:val="24"/>
          <w:highlight w:val="none"/>
          <w:lang w:val="en-US" w:eastAsia="zh-CN"/>
        </w:rPr>
        <w:t xml:space="preserve">质量保证期至少3年。（需供应商根据招标文件要求出具质保及售后服务承诺书）。</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（二）售后服务</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1、中标人必须有严格的售后服务保障体系，能提供正常的技术支持和备件供应服务。设备发生故障或异常时2小时内做出响应，</w:t>
      </w:r>
      <w:r>
        <w:rPr>
          <w:rFonts w:hint="eastAsia" w:ascii="宋体" w:hAnsi="宋体" w:eastAsia="宋体" w:cs="Times New Roman"/>
          <w:color w:val="auto"/>
          <w:sz w:val="24"/>
          <w:szCs w:val="24"/>
          <w:highlight w:val="none"/>
          <w:lang w:val="en-US" w:eastAsia="zh-CN"/>
        </w:rPr>
        <w:t xml:space="preserve">4小时内到达现场，24小时内解决故障，24小时内不能解决故障的，</w:t>
      </w:r>
      <w:r>
        <w:rPr>
          <w:rFonts w:hint="eastAsia" w:ascii="宋体" w:hAnsi="宋体" w:eastAsia="宋体" w:cs="宋体"/>
          <w:color w:val="auto"/>
          <w:sz w:val="24"/>
          <w:szCs w:val="24"/>
          <w:lang w:val="en-US" w:eastAsia="zh-CN" w:bidi="ar-SA"/>
        </w:rPr>
        <w:t xml:space="preserve">应提供备用机、备件替代。若超时未完成故障排除，且不能及时提供备用机、备件替代的，中标人对因故障所造成的损失后果负责。所发生的一切费用均由中标人自行承担。</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2、中标人在质保期内安装的任何零配件，必须是设备原制造厂商生产的，所有的替代零配件必须是新的未使用和未经修复的。</w:t>
      </w:r>
      <w:r/>
    </w:p>
    <w:p>
      <w:pPr>
        <w:ind w:firstLine="480"/>
        <w:jc w:val="left"/>
        <w:keepLines w:val="0"/>
        <w:keepNext w:val="0"/>
        <w:pageBreakBefore w:val="0"/>
        <w:spacing w:before="20" w:after="20" w:line="360" w:lineRule="auto"/>
        <w:widowControl/>
        <w:rPr>
          <w:rFonts w:hint="default"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bidi="ar-SA"/>
        </w:rPr>
        <w:t xml:space="preserve">3、质保期内免费上门维修，质保期外免收维修费，仅收配件费。在保修期内出现任何故障或损坏，投标人须免费负责更换或修理（人为故意损坏除外</w:t>
      </w:r>
      <w:r>
        <w:rPr>
          <w:rFonts w:hint="eastAsia" w:ascii="宋体" w:hAnsi="宋体" w:eastAsia="宋体" w:cs="宋体"/>
          <w:color w:val="auto"/>
          <w:sz w:val="24"/>
          <w:szCs w:val="24"/>
          <w:lang w:val="en-US" w:eastAsia="zh-CN" w:bidi="ar-SA"/>
        </w:rPr>
        <w:t xml:space="preserve">）。质保期外供应商及设备生产厂家对本设备终身负责维修服务和技术支持。供应商须提供最优惠的维修价格（出厂价零配件费、其他材料费等）进行相关服务，在设备寿命期内，供应商应能保证采购人更换到原厂零部件，保证维修配件的供应和及时维修，维修价格保持不变（政策调整因素除外）。供应商须提供仪器零配件和维修备品备件的价格，以及供应保障和维保期满后维保收费及维保方案，保修期外每年的设备维修保养费用：请在投标文件中注明保修期外购买保修服务所需费用（税后），3年—5年一般不超过设备原值的4%，5年以上一般不超过设备原值的5%。。</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4、应免费开放数据接口，以便采购人将该设备与相关信息系统连接。如连接需发生软件（含接口费）及硬件费用，其费用应含在投标报价内。</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（三）技术培训</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中标人应根据采购人的要求，上门对相关人员进行产品技术免费培训，并制定与投标文件相应的培训方案。培训对象、时间、地点由采购人确定。</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（四）后期维护</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Times New Roman"/>
          <w:color w:val="auto"/>
          <w:sz w:val="24"/>
          <w:szCs w:val="24"/>
          <w:highlight w:val="none"/>
          <w:lang w:val="en-US" w:eastAsia="zh-CN"/>
        </w:rPr>
        <w:t xml:space="preserve">设备每年免费设备维护和现场巡检至少2次。因中标人设计安装原因而出现故障，则质保期从故障修复之日起重新开始计算。同步延长设备免费维护。对于质保及产品售后服务，需要生产厂家和供应商共同根据招标文件要求出具质保及售后服务承诺书。</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（五）服务要求</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1、中标人提供的设备，其品牌、型号和技术参数等必须符合招投标文件的相关要求和承诺事项。如有不符，采购人可无条件退货，由此所造成的损失由中标人承担。</w:t>
      </w:r>
      <w:r/>
    </w:p>
    <w:p>
      <w:pPr>
        <w:ind w:firstLine="480"/>
        <w:jc w:val="left"/>
        <w:pageBreakBefore w:val="0"/>
        <w:spacing w:after="0"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4"/>
          <w:szCs w:val="24"/>
          <w:lang w:val="en-US" w:eastAsia="zh-CN" w:bidi="ar-SA"/>
        </w:rPr>
        <w:t xml:space="preserve">2、中标人应向采购人提供完整的技术资料壹套中、英文手册（技术说明书、使用说明书、维修手册、安装维修手册、操作手册、常用易消耗品单价等）、中华人民共和国医疗器械注册证等，各项指标和参数应符合验收标准，采购人有权委托中国有资格单位或机构对设备性能、精度进行校核。</w:t>
      </w:r>
      <w:r/>
    </w:p>
    <w:p>
      <w:pPr>
        <w:ind w:firstLine="482"/>
        <w:jc w:val="left"/>
        <w:pageBreakBefore w:val="0"/>
        <w:spacing w:after="0" w:line="360" w:lineRule="auto"/>
        <w:widowControl/>
        <w:rPr>
          <w:rFonts w:hint="default"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en-US"/>
        </w:rPr>
        <w:t xml:space="preserve">、</w:t>
      </w:r>
      <w:r>
        <w:rPr>
          <w:rFonts w:hint="eastAsia" w:ascii="宋体" w:hAnsi="宋体" w:eastAsia="宋体" w:cs="宋体"/>
          <w:b/>
          <w:bCs/>
          <w:color w:val="auto"/>
          <w:sz w:val="24"/>
          <w:szCs w:val="24"/>
          <w:highlight w:val="none"/>
          <w:lang w:val="en-US" w:eastAsia="zh-CN"/>
        </w:rPr>
        <w:t xml:space="preserve">质量保证要求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1、产品技术要求：中标人所供产品，必须是全新的，未经使用过的正品。必须符合采购人所需的规格、性能和技术指标，并符合产品出厂质量标准、国家强制标准或行业强制标准，属计量器具的要符合国家计量检定标准，并承担验收合格后的首次计量费用。</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2、产品配置必须原厂出厂时全部自带，所有设备外包装箱（盒）不得自行拆封，包装箱（盒）上所有标签等不得涂改或撕毁，否则采购单位有权拒绝验收。</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3、货物到达现场（采购人指定地点）后，</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rPr>
        <w:t xml:space="preserve">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4、采购人在验收中发现产品达不到验收标准或合同规定的性能指标，中标人必须更换，并且赔偿由此给采购人造成的损失。验货合格后，双方共同签署验收合格证明。</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5、合同签订前，</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rPr>
        <w:t xml:space="preserve">对所投产品进行逐条功能演示，如与验收标准要求不符，则采购人有权拒签合同。</w:t>
      </w:r>
      <w:r/>
    </w:p>
    <w:p>
      <w:pPr>
        <w:ind w:firstLine="482"/>
        <w:jc w:val="left"/>
        <w:pageBreakBefore w:val="0"/>
        <w:spacing w:after="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七、验收标准（验收要求、验收标准和程序）要求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1.履约验收的时间、方式、程序要求：见招标文件第五章《拟签订的合同文本》。</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验收程序要求：合同标的全部交付并安装完毕后，乙方（中标人）可向甲方（采购人）书面提出验收要求，甲方（采购人）在接到书面要求后3日进行验收。合同乙方（中标人）需向甲方（采购人）提交合同标的的相关资料、文件、说明书等。</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4.商品包装验收标准：见招标文件第五章《拟签订的合同文本》中商品（合同标的）包装具体要求。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5.快递包装验收标准：见招标文件第五章《拟签订的合同文本》中快递包装具体要求。</w:t>
      </w:r>
      <w:r/>
    </w:p>
    <w:p>
      <w:pPr>
        <w:ind w:firstLine="482"/>
        <w:jc w:val="left"/>
        <w:pageBreakBefore w:val="0"/>
        <w:spacing w:after="0" w:line="360" w:lineRule="auto"/>
        <w:widowControl/>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、其他要求</w:t>
      </w:r>
      <w:r/>
    </w:p>
    <w:p>
      <w:pPr>
        <w:jc w:val="left"/>
        <w:spacing w:after="200" w:line="276" w:lineRule="auto"/>
        <w:widowControl/>
        <w:rPr>
          <w:rFonts w:ascii="Calibri" w:hAnsi="Calibri" w:eastAsia="宋体" w:cs="Times New Roman"/>
          <w:sz w:val="22"/>
          <w:szCs w:val="22"/>
          <w:lang w:eastAsia="en-US"/>
        </w:rPr>
      </w:pPr>
      <w:r>
        <w:rPr>
          <w:rFonts w:hint="eastAsia" w:ascii="宋体" w:hAnsi="宋体" w:eastAsia="宋体" w:cs="宋体"/>
          <w:color w:val="auto"/>
          <w:sz w:val="24"/>
          <w:szCs w:val="24"/>
          <w:highlight w:val="none"/>
          <w:lang w:eastAsia="zh-CN"/>
        </w:rPr>
        <w:t xml:space="preserve">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pStyle w:val="834"/>
        <w:rPr>
          <w:rFonts w:hint="eastAsia"/>
        </w:rPr>
      </w:pPr>
      <w:r>
        <w:rPr>
          <w:rFonts w:hint="eastAsia"/>
        </w:rPr>
      </w:r>
      <w:r/>
    </w:p>
    <w:p>
      <w:pPr>
        <w:pStyle w:val="834"/>
        <w:rPr>
          <w:rFonts w:hint="eastAsia"/>
        </w:rPr>
      </w:pPr>
      <w:r>
        <w:rPr>
          <w:rFonts w:hint="eastAsia"/>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徐州市铜山区民政局（机关）</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3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3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职务：</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统一社会信用代码：</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        性别：男（女）</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年龄：  岁      民族：  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职务：</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身份证号：</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兹委托（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）全权代表我企业（公司）参与（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）的招、投标活动及签订合同。（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）无转委托权。</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委托期限自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日止。</w:t>
      </w:r>
      <w:r/>
    </w:p>
    <w:p>
      <w:pPr>
        <w:ind w:firstLine="63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特此授权委托。</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firstLine="60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委托人（电子签章）：</w:t>
      </w:r>
      <w:r/>
    </w:p>
    <w:p>
      <w:pPr>
        <w:ind w:firstLine="60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法定代表人（签字或盖章）： </w:t>
      </w:r>
      <w:r/>
    </w:p>
    <w:p>
      <w:pPr>
        <w:ind w:firstLine="60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受托人（签字或盖章）：</w:t>
      </w:r>
      <w:r/>
    </w:p>
    <w:p>
      <w:pPr>
        <w:pStyle w:val="845"/>
        <w:ind w:left="0" w:firstLine="602"/>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受托人联系方式：</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邮箱：</w:t>
      </w:r>
      <w:r/>
    </w:p>
    <w:p>
      <w:pPr>
        <w:ind w:right="600" w:firstLine="615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  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有效的</w:t>
      </w:r>
      <w:r>
        <w:rPr>
          <w:rFonts w:hint="eastAsia" w:ascii="宋体" w:hAnsi="宋体" w:eastAsia="宋体" w:cs="宋体"/>
          <w:b/>
          <w:bCs/>
          <w:color w:val="000000"/>
          <w:sz w:val="24"/>
          <w:szCs w:val="24"/>
        </w:rPr>
        <w:t xml:space="preserve">受托人身份证扫描件附后)</w:t>
      </w:r>
      <w:r/>
    </w:p>
    <w:p>
      <w:pPr>
        <w:jc w:val="center"/>
        <w:spacing w:before="100" w:after="100" w:line="479"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before="100" w:after="1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u w:val="single"/>
          <w:lang w:eastAsia="zh-CN"/>
        </w:rPr>
        <w:t xml:space="preserve">徐州市铜山区民政局（机关）</w:t>
      </w:r>
      <w:r>
        <w:rPr>
          <w:rFonts w:hint="eastAsia" w:ascii="宋体" w:hAnsi="宋体" w:eastAsia="宋体" w:cs="宋体"/>
          <w:color w:val="000000"/>
          <w:sz w:val="24"/>
          <w:szCs w:val="24"/>
        </w:rPr>
        <w:t xml:space="preserve">）的（</w:t>
      </w:r>
      <w:r>
        <w:rPr>
          <w:rFonts w:hint="eastAsia" w:ascii="宋体" w:hAnsi="宋体" w:cs="宋体"/>
          <w:color w:val="000000"/>
          <w:sz w:val="24"/>
          <w:szCs w:val="24"/>
          <w:u w:val="single"/>
          <w:lang w:eastAsia="zh-CN"/>
        </w:rPr>
        <w:t xml:space="preserve">区域养老服务中心医养结合提升项目（一期）医疗、康复等相关运营设备采购</w:t>
      </w:r>
      <w:r>
        <w:rPr>
          <w:rFonts w:hint="eastAsia" w:ascii="宋体" w:hAnsi="宋体" w:eastAsia="宋体" w:cs="宋体"/>
          <w:color w:val="000000"/>
          <w:sz w:val="24"/>
          <w:szCs w:val="24"/>
        </w:rPr>
        <w:t xml:space="preserve">）采购活动，提供的货物全部由符合政策要求的中小企业制造。相关企业的具体情况如下：</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u w:val="single"/>
          <w:lang w:val="en-US" w:eastAsia="zh-CN"/>
        </w:rPr>
        <w:t xml:space="preserve">除颤监护仪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污水处理设备</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；承建（承接）企业为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移动紫外线消毒灯</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心电图</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心电监护仪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治疗车</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抢救车</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吸引器</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药柜</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血细胞分析仪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尿分析仪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彩超</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担架车</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床边可移动升降餐桌</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助浴椅</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助浴床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轮椅</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医用制氧机10升</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烘干机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半导体治疗仪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电脑中频治疗仪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经皮神经电刺激仪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超声波治疗仪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磁振热治疗仪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立体动态干扰电治疗仪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微波治疗仪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红外光灸疗机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颈腰椎多功能牵引床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多关节主被动训练仪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OT综合治疗桌</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PT训练床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多体位医用诊疗床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电针治疗仪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电动多体位医用诊疗床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深层肌肉刺激仪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磁疗康复仪（带激光）</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饮用水设备</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床单元(床上用品)</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护理床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无创呼吸机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关节康复器</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适老无障碍化餐桌椅（可供 10 人就餐）</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洗衣机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静脉穿刺定位仪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全自动护理床</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心电图工作站</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电子血压计</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医疗废弃物推车</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电视机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洗澡间适老扶手</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热水器</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超声脉冲电导治疗仪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中医定向透药治疗仪</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1128"/>
        <w:ind w:left="0" w:firstLine="5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熏蒸治疗机</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工业（制造业）</w:t>
      </w:r>
      <w:r>
        <w:rPr>
          <w:rFonts w:hint="eastAsia" w:ascii="仿宋" w:hAnsi="仿宋" w:eastAsia="仿宋" w:cs="仿宋"/>
          <w:color w:val="auto"/>
          <w:sz w:val="24"/>
          <w:szCs w:val="24"/>
          <w:highlight w:val="none"/>
          <w:lang w:eastAsia="zh-CN"/>
        </w:rPr>
        <w:t xml:space="preserve">；制造商为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w:t>
      </w:r>
      <w:r>
        <w:rPr>
          <w:rFonts w:hint="eastAsia" w:ascii="仿宋" w:hAnsi="仿宋" w:eastAsia="仿宋" w:cs="仿宋"/>
          <w:color w:val="auto"/>
          <w:sz w:val="24"/>
          <w:szCs w:val="24"/>
          <w:highlight w:val="none"/>
          <w:u w:val="single"/>
          <w:lang w:eastAsia="zh-CN"/>
        </w:rPr>
        <w:t xml:space="preserve">（</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中型企业、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小型企业、</w:t>
      </w:r>
      <w:r>
        <w:rPr>
          <w:rFonts w:hint="default" w:ascii="Wingdings 2" w:hAnsi="Wingdings 2" w:eastAsia="Wingdings 2" w:cs="Wingdings 2"/>
          <w:color w:val="auto"/>
          <w:sz w:val="22"/>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微型企业）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pStyle w:val="851"/>
        <w:ind w:left="0" w:firstLine="56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851"/>
        <w:ind w:left="0" w:firstLine="56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w:t>
      </w:r>
      <w:r>
        <w:rPr>
          <w:rFonts w:hint="eastAsia" w:ascii="宋体" w:hAnsi="宋体" w:cs="宋体"/>
          <w:color w:val="000000"/>
          <w:sz w:val="24"/>
          <w:szCs w:val="24"/>
          <w:highlight w:val="none"/>
          <w:lang w:val="en-US" w:eastAsia="zh-CN"/>
        </w:rPr>
        <w:t xml:space="preserve">中小微</w:t>
      </w:r>
      <w:r>
        <w:rPr>
          <w:rFonts w:hint="eastAsia" w:ascii="宋体" w:hAnsi="宋体" w:eastAsia="宋体" w:cs="宋体"/>
          <w:color w:val="000000"/>
          <w:sz w:val="24"/>
          <w:szCs w:val="24"/>
          <w:highlight w:val="none"/>
        </w:rPr>
        <w:t xml:space="preserve">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851"/>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51"/>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企业名称（电子签章）：</w:t>
      </w:r>
      <w:r/>
    </w:p>
    <w:p>
      <w:pPr>
        <w:pStyle w:val="851"/>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日期：  年  月  日</w:t>
      </w:r>
      <w:r/>
    </w:p>
    <w:p>
      <w:pPr>
        <w:pStyle w:val="851"/>
        <w:ind w:left="0"/>
        <w:jc w:val="left"/>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注：本项目采购的货物属于工业（制造业）。</w:t>
      </w:r>
      <w:r/>
    </w:p>
    <w:p>
      <w:pPr>
        <w:pStyle w:val="851"/>
        <w:ind w:left="0"/>
        <w:jc w:val="left"/>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51"/>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851"/>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1"/>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851"/>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851"/>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851"/>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95"/>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5"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7"/>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4pt;height:189.8pt;mso-wrap-distance-left:0.0pt;mso-wrap-distance-top:0.0pt;mso-wrap-distance-right:0.0pt;mso-wrap-distance-bottom:0.0pt;" stroked="f">
                <v:path textboxrect="0,0,0,0"/>
                <v:imagedata r:id="rId17"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项目编号：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项目名称：</w:t>
      </w:r>
      <w:r/>
    </w:p>
    <w:p>
      <w:pPr>
        <w:ind w:firstLine="624"/>
        <w:spacing w:line="360" w:lineRule="auto"/>
        <w:rPr>
          <w:rFonts w:hint="eastAsia"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r>
      <w:r/>
    </w:p>
    <w:p>
      <w:pPr>
        <w:ind w:firstLine="624"/>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 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 </w:t>
      </w:r>
      <w:r/>
    </w:p>
    <w:p>
      <w:pPr>
        <w:ind w:firstLine="624"/>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（电子签章）</w:t>
      </w:r>
      <w:r/>
    </w:p>
    <w:p>
      <w:pPr>
        <w:ind w:firstLine="45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4500"/>
        <w:spacing w:line="479" w:lineRule="atLeast"/>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ind w:firstLine="600"/>
        <w:spacing w:line="479" w:lineRule="atLeast"/>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我单位在参加</w:t>
      </w:r>
      <w:r>
        <w:rPr>
          <w:rFonts w:hint="eastAsia" w:ascii="宋体" w:hAnsi="宋体" w:cs="宋体"/>
          <w:color w:val="000000"/>
          <w:sz w:val="24"/>
          <w:szCs w:val="24"/>
          <w:u w:val="single"/>
          <w:lang w:eastAsia="zh-CN"/>
        </w:rPr>
        <w:t xml:space="preserve">区域养老服务中心医养结合提升项目（一期）医疗、康复等相关运营设备采购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u w:val="single"/>
          <w:lang w:val="en-US" w:eastAsia="zh-CN"/>
        </w:rPr>
        <w:t xml:space="preserve">JSZC-320322-JSZP-G2026-0004</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我单位对上述声明的真实性负责。如有虚假，将依法承担相应责任。</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（电子签章）</w:t>
      </w:r>
      <w:r/>
    </w:p>
    <w:p>
      <w:pPr>
        <w:ind w:firstLine="45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ind w:firstLine="560"/>
        <w:jc w:val="center"/>
        <w:spacing w:line="360" w:lineRule="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32"/>
          <w:szCs w:val="32"/>
          <w:highlight w:val="none"/>
          <w:lang w:val="en-US" w:eastAsia="zh-CN"/>
        </w:rPr>
        <w:t xml:space="preserve">九、</w:t>
      </w:r>
      <w:r>
        <w:rPr>
          <w:rFonts w:hint="eastAsia" w:ascii="宋体" w:hAnsi="宋体" w:eastAsia="宋体" w:cs="宋体"/>
          <w:b/>
          <w:bCs/>
          <w:color w:val="auto"/>
          <w:sz w:val="32"/>
          <w:szCs w:val="32"/>
          <w:highlight w:val="none"/>
        </w:rPr>
        <w:t xml:space="preserve">具备履行合同所必需的设备和专业技术能力的书面</w:t>
      </w:r>
      <w:r>
        <w:rPr>
          <w:rFonts w:hint="eastAsia" w:ascii="宋体" w:hAnsi="宋体" w:eastAsia="宋体" w:cs="宋体"/>
          <w:b/>
          <w:bCs/>
          <w:color w:val="auto"/>
          <w:sz w:val="28"/>
          <w:szCs w:val="28"/>
          <w:highlight w:val="none"/>
        </w:rPr>
        <w:t xml:space="preserve">声明</w:t>
      </w:r>
      <w:r/>
    </w:p>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（附证明材料</w:t>
      </w:r>
      <w:r>
        <w:rPr>
          <w:rFonts w:hint="eastAsia" w:ascii="宋体" w:hAnsi="宋体" w:eastAsia="宋体" w:cs="宋体"/>
          <w:color w:val="auto"/>
          <w:sz w:val="24"/>
          <w:szCs w:val="24"/>
          <w:highlight w:val="none"/>
        </w:rPr>
        <w:t xml:space="preserve">原件的扫描件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区域养老服务中心医养结合提升项目（一期）医疗、康复等相关运营设备采购</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JSZC-320322-JSZP-G2026-000</w:t>
      </w:r>
      <w:r>
        <w:rPr>
          <w:rFonts w:hint="eastAsia" w:ascii="宋体" w:hAnsi="宋体" w:cs="宋体"/>
          <w:color w:val="auto"/>
          <w:sz w:val="24"/>
          <w:szCs w:val="24"/>
          <w:highlight w:val="none"/>
          <w:lang w:val="en-US" w:eastAsia="zh-CN"/>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区域养老服务中心医养结合提升项目（一期）医疗、康复等相关运营设备采购</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JSZC-320322-JSZP-G2026-000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）所必需的设备和专业技术能力，具体为：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3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3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rPr>
      </w:pPr>
      <w:r>
        <w:rPr>
          <w:rFonts w:hint="eastAsia"/>
        </w:rPr>
      </w:r>
      <w:r/>
    </w:p>
    <w:p>
      <w:pPr>
        <w:ind w:firstLine="56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投标人相关承诺</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区域养老服务中心医养结合提升项目（一期）医疗、康复等相关运营设备采购</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JSZC-320322-JSZP-G2026-000</w:t>
      </w:r>
      <w:r>
        <w:rPr>
          <w:rFonts w:hint="eastAsia" w:ascii="宋体" w:hAnsi="宋体" w:cs="宋体"/>
          <w:color w:val="auto"/>
          <w:sz w:val="24"/>
          <w:szCs w:val="24"/>
          <w:highlight w:val="none"/>
          <w:lang w:val="en-US" w:eastAsia="zh-CN"/>
        </w:rPr>
        <w:t xml:space="preserve">4</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十一</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投标人书面声明</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504"/>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lang w:eastAsia="zh-CN"/>
        </w:rPr>
        <w:t xml:space="preserve">区域养老服务中心医养结合提升项目（一期）医疗、康复等相关运营设备采购</w:t>
      </w:r>
      <w:r/>
    </w:p>
    <w:p>
      <w:pPr>
        <w:ind w:firstLine="504"/>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lang w:eastAsia="zh-CN"/>
        </w:rPr>
        <w:t xml:space="preserve">JSZC-320322-JSZP-G2026-000</w:t>
      </w:r>
      <w:r>
        <w:rPr>
          <w:rFonts w:hint="eastAsia" w:ascii="宋体" w:hAnsi="宋体" w:eastAsia="宋体" w:cs="宋体"/>
          <w:color w:val="auto"/>
          <w:spacing w:val="6"/>
          <w:sz w:val="24"/>
          <w:szCs w:val="24"/>
          <w:highlight w:val="none"/>
          <w:lang w:val="en-US" w:eastAsia="zh-CN"/>
        </w:rPr>
        <w:t xml:space="preserve">4</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我单位不是为本采购项目提供整体设计、规范编制或者项目管理、监理、检测等服务的供应商。</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投标人：（电子签章） </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日期：   年  月  日</w:t>
      </w:r>
      <w:r/>
    </w:p>
    <w:p>
      <w:pPr>
        <w:pStyle w:val="85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3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34"/>
        <w:rPr>
          <w:rFonts w:hint="eastAsia"/>
        </w:rPr>
      </w:pPr>
      <w:r>
        <w:rPr>
          <w:rFonts w:hint="eastAsia"/>
        </w:rPr>
      </w:r>
      <w:r/>
    </w:p>
    <w:p>
      <w:pPr>
        <w:pStyle w:val="839"/>
        <w:ind w:firstLine="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4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34"/>
        <w:rPr>
          <w:rFonts w:hint="eastAsia"/>
        </w:rPr>
      </w:pPr>
      <w:r>
        <w:rPr>
          <w:rFonts w:hint="eastAsia"/>
        </w:rPr>
      </w:r>
      <w:r/>
    </w:p>
    <w:p>
      <w:pPr>
        <w:pStyle w:val="868"/>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39"/>
        <w:ind w:firstLine="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62"/>
        <w:ind w:firstLine="48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十二</w:t>
      </w:r>
      <w:r>
        <w:rPr>
          <w:rFonts w:hint="eastAsia"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rPr>
        <w:t xml:space="preserve">预付款保函支付条款模板</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符合条件一：提交预付款保函的</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（1）合同签订且乙方向甲方出具预付款保函后个工作日内，甲方应支付合同价款的百分之</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XX（</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XX%），小写￥</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大写：</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人民币。</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乙方需提交的支付文件：乙方出具的全额正式发票。</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（2）验收合格后个工作日内，甲方应支付合同价款的百分之XX（    XX%），小写￥大写：人民币。</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符合条件二：不提交预付款保函的</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（1）合同签订后  个工作日内，甲方应支付合同价款的百分之XX（    XX%），小写￥大写：人民币。</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乙方需提交的支付文件：乙方出具的全额正式发票。</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（2）验收合格后个工作日内，甲方应支付合同价款的百分之XX（    XX%），小写￥大写：人民币。</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1、付款条件一中，出具预付款保函后支付的合同款应当与保函金额一致。</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2、付款条件二中，预付款比例设定应符合《关于做好政府采购支持企业发展有关事项的通知》(苏财购〔2020〕52号)要求。</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MingLiU">
    <w:panose1 w:val="02020500000000000000"/>
  </w:font>
  <w:font w:name="Tahoma">
    <w:panose1 w:val="020B0604030504040204"/>
  </w:font>
  <w:font w:name="Courier New">
    <w:panose1 w:val="02070309020205020404"/>
  </w:font>
  <w:font w:name="Calibri Light">
    <w:panose1 w:val="020F0302020204030204"/>
  </w:font>
  <w:font w:name="新宋体">
    <w:panose1 w:val="02010609030101010101"/>
  </w:font>
  <w:font w:name="Symbol">
    <w:panose1 w:val="05050102010706020507"/>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single" w:color="000000" w:sz="4" w:space="0"/>
      </w:pBdr>
    </w:pPr>
    <w:r>
      <w:rPr>
        <w:rFonts w:hint="eastAsia" w:ascii="宋体" w:hAnsi="宋体" w:cs="宋体"/>
        <w:color w:val="000000"/>
        <w:sz w:val="18"/>
        <w:szCs w:val="18"/>
        <w:lang w:eastAsia="zh-CN"/>
      </w:rPr>
      <w:t xml:space="preserve">区域养老服务中心医养结合提升项目（一期）医疗、康复等相关运营设备采购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sz w:val="21"/>
        <w:szCs w:val="21"/>
      </w:rPr>
      <w:pBdr>
        <w:bottom w:val="single" w:color="auto" w:sz="4" w:space="0"/>
      </w:pBdr>
    </w:pPr>
    <w:r>
      <w:rPr>
        <w:rFonts w:hint="eastAsia" w:ascii="仿宋" w:hAnsi="仿宋" w:eastAsia="仿宋" w:cs="仿宋"/>
        <w:sz w:val="21"/>
        <w:szCs w:val="21"/>
        <w:lang w:eastAsia="zh-CN"/>
      </w:rPr>
      <w:t xml:space="preserve">区域养老服务中心医养结合提升项目（一期）医疗、康复等相关运营设备采购</w:t>
    </w:r>
    <w:r>
      <w:rPr>
        <w:rFonts w:hint="eastAsia" w:ascii="仿宋" w:hAnsi="仿宋" w:eastAsia="仿宋" w:cs="仿宋"/>
        <w:sz w:val="21"/>
        <w:szCs w:val="21"/>
      </w:rPr>
      <w:t xml:space="preserve">招标文件</w:t>
    </w:r>
    <w:r/>
  </w:p>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区域养老服务中心医养结合提升项目（一期）医疗、康复等相关运营设备采购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5.4.%1"/>
      <w:lvlJc w:val="left"/>
      <w:pPr>
        <w:ind w:left="425" w:hanging="425"/>
      </w:pPr>
      <w:rPr>
        <w:rFonts w:hint="default" w:ascii="宋体" w:hAnsi="宋体" w:eastAsia="宋体" w:cs="宋体"/>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rPr>
        <w:rFonts w:hint="default" w:ascii="宋体" w:hAnsi="宋体" w:eastAsia="宋体" w:cs="宋体"/>
        <w:b/>
        <w:bCs/>
      </w:rPr>
    </w:lvl>
    <w:lvl w:ilvl="1">
      <w:start w:val="1"/>
      <w:numFmt w:val="decimal"/>
      <w:isLgl w:val="false"/>
      <w:suff w:val="tab"/>
      <w:lvlText w:val="%1.%2"/>
      <w:lvlJc w:val="left"/>
      <w:pPr>
        <w:ind w:left="992" w:hanging="567"/>
      </w:pPr>
      <w:rPr>
        <w:rFonts w:hint="default" w:ascii="宋体" w:hAnsi="宋体" w:eastAsia="宋体" w:cs="宋体"/>
        <w:b w:val="0"/>
        <w:bCs w:val="0"/>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5.%1"/>
      <w:lvlJc w:val="left"/>
      <w:pPr>
        <w:ind w:left="425" w:hanging="425"/>
      </w:pPr>
      <w:rPr>
        <w:rFonts w:hint="default" w:ascii="宋体" w:hAnsi="宋体" w:eastAsia="宋体" w:cs="宋体"/>
      </w:rPr>
    </w:lvl>
    <w:lvl w:ilvl="1">
      <w:start w:val="1"/>
      <w:numFmt w:val="decimal"/>
      <w:isLgl w:val="false"/>
      <w:suff w:val="tab"/>
      <w:lvlText w:val="5.%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isLgl w:val="false"/>
      <w:suff w:val="tab"/>
      <w:lvlText w:val="5.2.%1"/>
      <w:lvlJc w:val="left"/>
      <w:pPr>
        <w:ind w:left="425" w:hanging="425"/>
      </w:pPr>
      <w:rPr>
        <w:rFonts w:hint="default" w:ascii="宋体" w:hAnsi="宋体" w:eastAsia="宋体" w:cs="宋体"/>
      </w:rPr>
    </w:lvl>
    <w:lvl w:ilvl="1">
      <w:start w:val="1"/>
      <w:numFmt w:val="decimal"/>
      <w:isLgl w:val="false"/>
      <w:suff w:val="tab"/>
      <w:lvlText w:val="5.%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japaneseCounting"/>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tab"/>
      <w:lvlText w:val="4.1.%1"/>
      <w:lvlJc w:val="left"/>
      <w:pPr>
        <w:ind w:left="425" w:hanging="425"/>
      </w:pPr>
      <w:rPr>
        <w:rFonts w:hint="default" w:ascii="宋体" w:hAnsi="宋体" w:eastAsia="宋体" w:cs="宋体"/>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none"/>
      <w:isLgl w:val="false"/>
      <w:suff w:val="tab"/>
      <w:lvlText w:val="5.2"/>
      <w:lvlJc w:val="left"/>
      <w:pPr>
        <w:ind w:left="425" w:hanging="425"/>
      </w:pPr>
      <w:rPr>
        <w:rFonts w:hint="default" w:ascii="宋体" w:hAnsi="宋体" w:eastAsia="宋体" w:cs="宋体"/>
      </w:rPr>
    </w:lvl>
    <w:lvl w:ilvl="1">
      <w:start w:val="1"/>
      <w:numFmt w:val="none"/>
      <w:isLgl w:val="false"/>
      <w:suff w:val="tab"/>
      <w:lvlText w:val="5.3"/>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5.3.%1"/>
      <w:lvlJc w:val="left"/>
      <w:pPr>
        <w:ind w:left="425" w:hanging="425"/>
      </w:pPr>
      <w:rPr>
        <w:rFonts w:hint="default" w:ascii="宋体" w:hAnsi="宋体" w:eastAsia="宋体" w:cs="宋体"/>
      </w:rPr>
    </w:lvl>
    <w:lvl w:ilvl="1">
      <w:start w:val="1"/>
      <w:numFmt w:val="none"/>
      <w:isLgl w:val="false"/>
      <w:suff w:val="tab"/>
      <w:lvlText w:val="5.3"/>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decimal"/>
      <w:isLgl w:val="false"/>
      <w:suff w:val="tab"/>
      <w:lvlText w:val="4.%1"/>
      <w:lvlJc w:val="left"/>
      <w:pPr>
        <w:ind w:left="425" w:hanging="425"/>
      </w:pPr>
      <w:rPr>
        <w:rFonts w:hint="default" w:ascii="宋体" w:hAnsi="宋体" w:eastAsia="宋体" w:cs="宋体"/>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6"/>
      <w:numFmt w:val="none"/>
      <w:isLgl w:val="false"/>
      <w:suff w:val="tab"/>
      <w:lvlText w:val="5.5"/>
      <w:lvlJc w:val="left"/>
      <w:pPr>
        <w:ind w:left="425" w:hanging="425"/>
      </w:pPr>
      <w:rPr>
        <w:rFonts w:hint="default" w:ascii="宋体" w:hAnsi="宋体" w:eastAsia="宋体" w:cs="宋体"/>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none"/>
      <w:isLgl w:val="false"/>
      <w:suff w:val="tab"/>
      <w:lvlText w:val="5.2"/>
      <w:lvlJc w:val="left"/>
      <w:pPr>
        <w:ind w:left="425" w:hanging="425"/>
      </w:pPr>
      <w:rPr>
        <w:rFonts w:hint="default" w:ascii="宋体" w:hAnsi="宋体" w:eastAsia="宋体" w:cs="宋体"/>
      </w:rPr>
    </w:lvl>
    <w:lvl w:ilvl="1">
      <w:start w:val="1"/>
      <w:numFmt w:val="decimal"/>
      <w:isLgl w:val="false"/>
      <w:suff w:val="tab"/>
      <w:lvlText w:val="5.%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tab"/>
      <w:lvlText w:val="5.1.%1"/>
      <w:lvlJc w:val="left"/>
      <w:pPr>
        <w:ind w:left="425" w:hanging="425"/>
      </w:pPr>
      <w:rPr>
        <w:rFonts w:hint="default" w:ascii="宋体" w:hAnsi="宋体" w:eastAsia="宋体" w:cs="宋体"/>
      </w:rPr>
    </w:lvl>
    <w:lvl w:ilvl="1">
      <w:start w:val="1"/>
      <w:numFmt w:val="decimal"/>
      <w:isLgl w:val="false"/>
      <w:suff w:val="tab"/>
      <w:lvlText w:val="5.%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none"/>
      <w:isLgl w:val="false"/>
      <w:suff w:val="tab"/>
      <w:lvlText w:val="5.4"/>
      <w:lvlJc w:val="left"/>
      <w:pPr>
        <w:ind w:left="425" w:hanging="425"/>
      </w:pPr>
      <w:rPr>
        <w:rFonts w:hint="default" w:ascii="宋体" w:hAnsi="宋体" w:eastAsia="宋体" w:cs="宋体"/>
      </w:rPr>
    </w:lvl>
    <w:lvl w:ilvl="1">
      <w:start w:val="1"/>
      <w:numFmt w:val="none"/>
      <w:isLgl w:val="false"/>
      <w:suff w:val="tab"/>
      <w:lvlText w:val="5.3"/>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2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16">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7">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81" w:hanging="420"/>
      </w:pPr>
      <w:rPr>
        <w:rFonts w:hint="default"/>
      </w:rPr>
    </w:lvl>
    <w:lvl w:ilvl="1">
      <w:start w:val="1"/>
      <w:numFmt w:val="bullet"/>
      <w:isLgl w:val="false"/>
      <w:suff w:val="tab"/>
      <w:lvlText w:val=""/>
      <w:lvlJc w:val="left"/>
      <w:pPr>
        <w:ind w:left="697" w:hanging="420"/>
      </w:pPr>
      <w:rPr>
        <w:rFonts w:hint="default" w:ascii="Wingdings" w:hAnsi="Wingdings"/>
      </w:rPr>
    </w:lvl>
    <w:lvl w:ilvl="2">
      <w:start w:val="1"/>
      <w:numFmt w:val="decimal"/>
      <w:isLgl w:val="false"/>
      <w:suff w:val="tab"/>
      <w:lvlText w:val="%3."/>
      <w:lvlJc w:val="left"/>
      <w:pPr>
        <w:ind w:left="846" w:hanging="420"/>
      </w:pPr>
      <w:rPr>
        <w:rFonts w:hint="default"/>
      </w:rPr>
    </w:lvl>
    <w:lvl w:ilvl="3">
      <w:start w:val="1"/>
      <w:numFmt w:val="bullet"/>
      <w:isLgl w:val="false"/>
      <w:suff w:val="tab"/>
      <w:lvlText w:val=""/>
      <w:lvlJc w:val="left"/>
      <w:pPr>
        <w:ind w:left="1537" w:hanging="420"/>
      </w:pPr>
      <w:rPr>
        <w:rFonts w:hint="default" w:ascii="Wingdings" w:hAnsi="Wingdings"/>
      </w:rPr>
    </w:lvl>
    <w:lvl w:ilvl="4">
      <w:start w:val="1"/>
      <w:numFmt w:val="bullet"/>
      <w:isLgl w:val="false"/>
      <w:suff w:val="tab"/>
      <w:lvlText w:val=""/>
      <w:lvlJc w:val="left"/>
      <w:pPr>
        <w:ind w:left="1957" w:hanging="420"/>
      </w:pPr>
      <w:rPr>
        <w:rFonts w:hint="default" w:ascii="Wingdings" w:hAnsi="Wingdings"/>
      </w:rPr>
    </w:lvl>
    <w:lvl w:ilvl="5">
      <w:start w:val="1"/>
      <w:numFmt w:val="bullet"/>
      <w:isLgl w:val="false"/>
      <w:suff w:val="tab"/>
      <w:lvlText w:val=""/>
      <w:lvlJc w:val="left"/>
      <w:pPr>
        <w:ind w:left="2377" w:hanging="420"/>
      </w:pPr>
      <w:rPr>
        <w:rFonts w:hint="default" w:ascii="Wingdings" w:hAnsi="Wingdings"/>
      </w:rPr>
    </w:lvl>
    <w:lvl w:ilvl="6">
      <w:start w:val="1"/>
      <w:numFmt w:val="bullet"/>
      <w:isLgl w:val="false"/>
      <w:suff w:val="tab"/>
      <w:lvlText w:val=""/>
      <w:lvlJc w:val="left"/>
      <w:pPr>
        <w:ind w:left="2797" w:hanging="420"/>
      </w:pPr>
      <w:rPr>
        <w:rFonts w:hint="default" w:ascii="Wingdings" w:hAnsi="Wingdings"/>
      </w:rPr>
    </w:lvl>
    <w:lvl w:ilvl="7">
      <w:start w:val="1"/>
      <w:numFmt w:val="bullet"/>
      <w:isLgl w:val="false"/>
      <w:suff w:val="tab"/>
      <w:lvlText w:val=""/>
      <w:lvlJc w:val="left"/>
      <w:pPr>
        <w:ind w:left="3217" w:hanging="420"/>
      </w:pPr>
      <w:rPr>
        <w:rFonts w:hint="default" w:ascii="Wingdings" w:hAnsi="Wingdings"/>
      </w:rPr>
    </w:lvl>
    <w:lvl w:ilvl="8">
      <w:start w:val="1"/>
      <w:numFmt w:val="bullet"/>
      <w:isLgl w:val="false"/>
      <w:suff w:val="tab"/>
      <w:lvlText w:val=""/>
      <w:lvlJc w:val="left"/>
      <w:pPr>
        <w:ind w:left="3637" w:hanging="420"/>
      </w:pPr>
      <w:rPr>
        <w:rFonts w:hint="default" w:ascii="Wingdings" w:hAnsi="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5"/>
  </w:num>
  <w:num w:numId="2">
    <w:abstractNumId w:val="19"/>
  </w:num>
  <w:num w:numId="3">
    <w:abstractNumId w:val="1"/>
  </w:num>
  <w:num w:numId="4">
    <w:abstractNumId w:val="0"/>
  </w:num>
  <w:num w:numId="5">
    <w:abstractNumId w:val="16"/>
  </w:num>
  <w:num w:numId="6">
    <w:abstractNumId w:val="17"/>
  </w:num>
  <w:num w:numId="7">
    <w:abstractNumId w:val="3"/>
  </w:num>
  <w:num w:numId="8">
    <w:abstractNumId w:val="18"/>
  </w:num>
  <w:num w:numId="9">
    <w:abstractNumId w:val="6"/>
  </w:num>
  <w:num w:numId="10">
    <w:abstractNumId w:val="10"/>
  </w:num>
  <w:num w:numId="11">
    <w:abstractNumId w:val="7"/>
  </w:num>
  <w:num w:numId="12">
    <w:abstractNumId w:val="4"/>
  </w:num>
  <w:num w:numId="13">
    <w:abstractNumId w:val="13"/>
  </w:num>
  <w:num w:numId="14">
    <w:abstractNumId w:val="12"/>
  </w:num>
  <w:num w:numId="15">
    <w:abstractNumId w:val="5"/>
  </w:num>
  <w:num w:numId="16">
    <w:abstractNumId w:val="8"/>
  </w:num>
  <w:num w:numId="17">
    <w:abstractNumId w:val="9"/>
  </w:num>
  <w:num w:numId="18">
    <w:abstractNumId w:val="14"/>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link w:val="11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customStyle="1">
    <w:name w:val="目录 11"/>
    <w:basedOn w:val="835"/>
    <w:next w:val="822"/>
    <w:uiPriority w:val="0"/>
    <w:qFormat/>
    <w:pPr>
      <w:jc w:val="left"/>
      <w:spacing w:before="120" w:after="120"/>
      <w:widowControl/>
    </w:pPr>
    <w:rPr>
      <w:rFonts w:ascii="Calibri" w:hAnsi="Calibri" w:cs="Calibri"/>
      <w:b/>
      <w:bCs/>
      <w:caps/>
      <w:sz w:val="20"/>
      <w:szCs w:val="20"/>
    </w:rPr>
  </w:style>
  <w:style w:type="paragraph" w:styleId="835"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name w:val="toc 7"/>
    <w:basedOn w:val="822"/>
    <w:next w:val="822"/>
    <w:uiPriority w:val="39"/>
    <w:unhideWhenUsed/>
    <w:qFormat/>
    <w:pPr>
      <w:ind w:left="1701" w:right="0" w:firstLine="0"/>
      <w:spacing w:after="57"/>
    </w:pPr>
  </w:style>
  <w:style w:type="paragraph" w:styleId="837">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annotation text"/>
    <w:basedOn w:val="822"/>
    <w:uiPriority w:val="0"/>
    <w:semiHidden/>
    <w:unhideWhenUsed/>
    <w:qFormat/>
    <w:pPr>
      <w:jc w:val="left"/>
    </w:pPr>
  </w:style>
  <w:style w:type="paragraph" w:styleId="839">
    <w:name w:val="Body Text"/>
    <w:basedOn w:val="822"/>
    <w:next w:val="840"/>
    <w:uiPriority w:val="0"/>
    <w:qFormat/>
    <w:pPr>
      <w:spacing w:after="120"/>
    </w:pPr>
  </w:style>
  <w:style w:type="paragraph" w:styleId="840" w:customStyle="1">
    <w:name w:val="一级条标题"/>
    <w:basedOn w:val="841"/>
    <w:next w:val="8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8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2" w:customStyle="1">
    <w:name w:val="段"/>
    <w:basedOn w:val="843"/>
    <w:next w:val="822"/>
    <w:uiPriority w:val="0"/>
    <w:qFormat/>
    <w:pPr>
      <w:ind w:firstLine="200"/>
      <w:widowControl/>
    </w:pPr>
    <w:rPr>
      <w:sz w:val="20"/>
    </w:rPr>
  </w:style>
  <w:style w:type="paragraph" w:styleId="843" w:customStyle="1">
    <w:name w:val="正文1"/>
    <w:basedOn w:val="844"/>
    <w:next w:val="845"/>
    <w:uiPriority w:val="0"/>
    <w:qFormat/>
    <w:pPr>
      <w:jc w:val="left"/>
      <w:spacing w:line="360" w:lineRule="atLeast"/>
    </w:pPr>
    <w:rPr>
      <w:rFonts w:ascii="宋体" w:hAnsi="Calibri" w:eastAsia="宋体" w:cs="Times New Roman"/>
      <w:sz w:val="24"/>
      <w:szCs w:val="20"/>
    </w:rPr>
  </w:style>
  <w:style w:type="paragraph" w:styleId="844" w:customStyle="1">
    <w:name w:val="正文111"/>
    <w:next w:val="822"/>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45" w:customStyle="1">
    <w:name w:val="文本块1"/>
    <w:basedOn w:val="822"/>
    <w:next w:val="846"/>
    <w:uiPriority w:val="99"/>
    <w:unhideWhenUsed/>
    <w:qFormat/>
    <w:pPr>
      <w:ind w:left="1440" w:right="1440"/>
      <w:spacing w:after="120"/>
    </w:pPr>
  </w:style>
  <w:style w:type="paragraph" w:styleId="846" w:customStyle="1">
    <w:name w:val="标题 41"/>
    <w:basedOn w:val="847"/>
    <w:next w:val="835"/>
    <w:link w:val="888"/>
    <w:uiPriority w:val="9"/>
    <w:unhideWhenUsed/>
    <w:qFormat/>
    <w:pPr>
      <w:keepLines/>
      <w:keepNext/>
      <w:spacing w:before="320" w:after="200"/>
      <w:outlineLvl w:val="3"/>
    </w:pPr>
    <w:rPr>
      <w:rFonts w:ascii="Arial" w:hAnsi="Arial" w:eastAsia="Arial" w:cs="Arial"/>
      <w:b/>
      <w:bCs/>
      <w:sz w:val="26"/>
      <w:szCs w:val="26"/>
    </w:rPr>
  </w:style>
  <w:style w:type="paragraph" w:styleId="847" w:customStyle="1">
    <w:name w:val="标题1"/>
    <w:basedOn w:val="844"/>
    <w:next w:val="848"/>
    <w:link w:val="927"/>
    <w:uiPriority w:val="10"/>
    <w:qFormat/>
    <w:pPr>
      <w:contextualSpacing/>
      <w:spacing w:before="300" w:after="200"/>
    </w:pPr>
    <w:rPr>
      <w:sz w:val="48"/>
      <w:szCs w:val="48"/>
    </w:rPr>
  </w:style>
  <w:style w:type="paragraph" w:styleId="848" w:customStyle="1">
    <w:name w:val="正文112"/>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1"/>
    <w:basedOn w:val="839"/>
    <w:next w:val="850"/>
    <w:uiPriority w:val="0"/>
    <w:qFormat/>
    <w:pPr>
      <w:ind w:firstLine="420"/>
    </w:pPr>
  </w:style>
  <w:style w:type="paragraph" w:styleId="850" w:customStyle="1">
    <w:name w:val="正文首行缩进 211"/>
    <w:basedOn w:val="851"/>
    <w:next w:val="848"/>
    <w:uiPriority w:val="0"/>
    <w:qFormat/>
    <w:pPr>
      <w:ind w:firstLine="420"/>
    </w:pPr>
    <w:rPr>
      <w:sz w:val="24"/>
    </w:rPr>
  </w:style>
  <w:style w:type="paragraph" w:styleId="851" w:customStyle="1">
    <w:name w:val="正文文本缩进11"/>
    <w:basedOn w:val="822"/>
    <w:next w:val="848"/>
    <w:uiPriority w:val="0"/>
    <w:qFormat/>
    <w:pPr>
      <w:ind w:left="420"/>
      <w:spacing w:after="120"/>
    </w:pPr>
    <w:rPr>
      <w:rFonts w:ascii="Calibri" w:hAnsi="Calibri"/>
    </w:rPr>
  </w:style>
  <w:style w:type="paragraph" w:styleId="852">
    <w:name w:val="Body Text Indent"/>
    <w:basedOn w:val="822"/>
    <w:uiPriority w:val="0"/>
    <w:qFormat/>
    <w:pPr>
      <w:ind w:left="420"/>
      <w:spacing w:after="120"/>
    </w:pPr>
  </w:style>
  <w:style w:type="paragraph" w:styleId="853">
    <w:name w:val="Block Text"/>
    <w:basedOn w:val="822"/>
    <w:uiPriority w:val="6"/>
    <w:qFormat/>
    <w:pPr>
      <w:ind w:left="256" w:right="6" w:firstLine="624"/>
    </w:pPr>
    <w:rPr>
      <w:rFonts w:eastAsia="仿宋"/>
      <w:sz w:val="28"/>
      <w:szCs w:val="20"/>
    </w:rPr>
  </w:style>
  <w:style w:type="paragraph" w:styleId="854">
    <w:name w:val="toc 5"/>
    <w:basedOn w:val="822"/>
    <w:next w:val="822"/>
    <w:uiPriority w:val="39"/>
    <w:unhideWhenUsed/>
    <w:qFormat/>
    <w:pPr>
      <w:ind w:left="1134" w:right="0" w:firstLine="0"/>
      <w:spacing w:after="57"/>
    </w:pPr>
  </w:style>
  <w:style w:type="paragraph" w:styleId="855">
    <w:name w:val="toc 3"/>
    <w:basedOn w:val="822"/>
    <w:next w:val="822"/>
    <w:uiPriority w:val="39"/>
    <w:unhideWhenUsed/>
    <w:qFormat/>
    <w:pPr>
      <w:ind w:left="567" w:right="0" w:firstLine="0"/>
      <w:spacing w:after="57"/>
    </w:pPr>
  </w:style>
  <w:style w:type="paragraph" w:styleId="856">
    <w:name w:val="toc 8"/>
    <w:basedOn w:val="822"/>
    <w:next w:val="822"/>
    <w:uiPriority w:val="39"/>
    <w:unhideWhenUsed/>
    <w:qFormat/>
    <w:pPr>
      <w:ind w:left="1984" w:right="0" w:firstLine="0"/>
      <w:spacing w:after="57"/>
    </w:pPr>
  </w:style>
  <w:style w:type="paragraph" w:styleId="857">
    <w:name w:val="endnote text"/>
    <w:basedOn w:val="822"/>
    <w:uiPriority w:val="99"/>
    <w:semiHidden/>
    <w:unhideWhenUsed/>
    <w:qFormat/>
    <w:pPr>
      <w:spacing w:after="0" w:line="240" w:lineRule="auto"/>
    </w:pPr>
    <w:rPr>
      <w:sz w:val="20"/>
    </w:rPr>
  </w:style>
  <w:style w:type="paragraph" w:styleId="858">
    <w:name w:val="Footer"/>
    <w:basedOn w:val="822"/>
    <w:uiPriority w:val="99"/>
    <w:unhideWhenUsed/>
    <w:qFormat/>
    <w:pPr>
      <w:spacing w:after="0" w:line="240" w:lineRule="auto"/>
      <w:tabs>
        <w:tab w:val="center" w:pos="7143" w:leader="none"/>
        <w:tab w:val="right" w:pos="14287" w:leader="none"/>
      </w:tabs>
    </w:pPr>
  </w:style>
  <w:style w:type="paragraph" w:styleId="859">
    <w:name w:val="Header"/>
    <w:basedOn w:val="822"/>
    <w:uiPriority w:val="99"/>
    <w:unhideWhenUsed/>
    <w:qFormat/>
    <w:pPr>
      <w:spacing w:after="0" w:line="240" w:lineRule="auto"/>
      <w:tabs>
        <w:tab w:val="center" w:pos="7143" w:leader="none"/>
        <w:tab w:val="right" w:pos="14287" w:leader="none"/>
      </w:tabs>
    </w:pPr>
  </w:style>
  <w:style w:type="paragraph" w:styleId="860">
    <w:name w:val="toc 1"/>
    <w:basedOn w:val="822"/>
    <w:next w:val="822"/>
    <w:uiPriority w:val="39"/>
    <w:unhideWhenUsed/>
    <w:qFormat/>
    <w:pPr>
      <w:ind w:left="0" w:right="0" w:firstLine="0"/>
      <w:spacing w:after="57"/>
    </w:pPr>
  </w:style>
  <w:style w:type="paragraph" w:styleId="861">
    <w:name w:val="toc 4"/>
    <w:basedOn w:val="822"/>
    <w:next w:val="822"/>
    <w:uiPriority w:val="39"/>
    <w:unhideWhenUsed/>
    <w:qFormat/>
    <w:pPr>
      <w:ind w:left="850" w:right="0" w:firstLine="0"/>
      <w:spacing w:after="57"/>
    </w:pPr>
  </w:style>
  <w:style w:type="paragraph" w:styleId="862">
    <w:name w:val="Subtitle"/>
    <w:basedOn w:val="822"/>
    <w:next w:val="822"/>
    <w:uiPriority w:val="11"/>
    <w:qFormat/>
    <w:pPr>
      <w:spacing w:before="200" w:after="200"/>
    </w:pPr>
    <w:rPr>
      <w:sz w:val="24"/>
      <w:szCs w:val="24"/>
    </w:rPr>
  </w:style>
  <w:style w:type="paragraph" w:styleId="863">
    <w:name w:val="footnote text"/>
    <w:basedOn w:val="822"/>
    <w:uiPriority w:val="99"/>
    <w:semiHidden/>
    <w:unhideWhenUsed/>
    <w:qFormat/>
    <w:pPr>
      <w:spacing w:after="40" w:line="240" w:lineRule="auto"/>
    </w:pPr>
    <w:rPr>
      <w:sz w:val="18"/>
    </w:rPr>
  </w:style>
  <w:style w:type="paragraph" w:styleId="864">
    <w:name w:val="toc 6"/>
    <w:basedOn w:val="822"/>
    <w:next w:val="822"/>
    <w:uiPriority w:val="39"/>
    <w:unhideWhenUsed/>
    <w:qFormat/>
    <w:pPr>
      <w:ind w:left="1417" w:right="0" w:firstLine="0"/>
      <w:spacing w:after="57"/>
    </w:pPr>
  </w:style>
  <w:style w:type="paragraph" w:styleId="865">
    <w:name w:val="table of figures"/>
    <w:basedOn w:val="822"/>
    <w:next w:val="822"/>
    <w:uiPriority w:val="99"/>
    <w:unhideWhenUsed/>
    <w:qFormat/>
    <w:pPr>
      <w:spacing w:after="0" w:afterAutospacing="0"/>
    </w:pPr>
  </w:style>
  <w:style w:type="paragraph" w:styleId="866">
    <w:name w:val="toc 2"/>
    <w:basedOn w:val="822"/>
    <w:next w:val="822"/>
    <w:uiPriority w:val="39"/>
    <w:unhideWhenUsed/>
    <w:qFormat/>
    <w:pPr>
      <w:ind w:left="283" w:right="0" w:firstLine="0"/>
      <w:spacing w:after="57"/>
    </w:pPr>
  </w:style>
  <w:style w:type="paragraph" w:styleId="867">
    <w:name w:val="toc 9"/>
    <w:basedOn w:val="822"/>
    <w:next w:val="822"/>
    <w:uiPriority w:val="39"/>
    <w:unhideWhenUsed/>
    <w:qFormat/>
    <w:pPr>
      <w:ind w:left="2268" w:right="0" w:firstLine="0"/>
      <w:spacing w:after="57"/>
    </w:pPr>
  </w:style>
  <w:style w:type="paragraph" w:styleId="868">
    <w:name w:val="Body Text 2"/>
    <w:basedOn w:val="822"/>
    <w:next w:val="839"/>
    <w:uiPriority w:val="0"/>
    <w:qFormat/>
    <w:pPr>
      <w:ind w:right="340"/>
      <w:spacing w:line="240" w:lineRule="atLeast"/>
      <w:tabs>
        <w:tab w:val="left" w:pos="705" w:leader="none"/>
        <w:tab w:val="left" w:pos="8280" w:leader="none"/>
      </w:tabs>
    </w:pPr>
    <w:rPr>
      <w:rFonts w:ascii="宋体"/>
      <w:sz w:val="28"/>
    </w:rPr>
  </w:style>
  <w:style w:type="paragraph" w:styleId="869">
    <w:name w:val="Title"/>
    <w:basedOn w:val="822"/>
    <w:next w:val="822"/>
    <w:uiPriority w:val="10"/>
    <w:qFormat/>
    <w:pPr>
      <w:contextualSpacing/>
      <w:spacing w:before="300" w:after="200"/>
    </w:pPr>
    <w:rPr>
      <w:sz w:val="48"/>
      <w:szCs w:val="48"/>
    </w:rPr>
  </w:style>
  <w:style w:type="paragraph" w:styleId="870">
    <w:name w:val="Body Text First Indent 2"/>
    <w:basedOn w:val="852"/>
    <w:uiPriority w:val="0"/>
    <w:qFormat/>
    <w:pPr>
      <w:ind w:firstLine="420"/>
    </w:p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paragraph" w:styleId="875" w:customStyle="1">
    <w:name w:val="标题 11"/>
    <w:basedOn w:val="822"/>
    <w:next w:val="822"/>
    <w:link w:val="885"/>
    <w:uiPriority w:val="0"/>
    <w:qFormat/>
    <w:pPr>
      <w:jc w:val="center"/>
      <w:keepLines/>
      <w:keepNext/>
      <w:spacing w:line="578" w:lineRule="auto"/>
      <w:outlineLvl w:val="0"/>
    </w:pPr>
    <w:rPr>
      <w:rFonts w:eastAsia="新宋体"/>
      <w:b/>
      <w:bCs/>
      <w:sz w:val="30"/>
      <w:szCs w:val="44"/>
    </w:rPr>
  </w:style>
  <w:style w:type="paragraph" w:styleId="876" w:customStyle="1">
    <w:name w:val="标题 211"/>
    <w:basedOn w:val="822"/>
    <w:next w:val="822"/>
    <w:link w:val="886"/>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77" w:customStyle="1">
    <w:name w:val="标题 31"/>
    <w:basedOn w:val="822"/>
    <w:next w:val="822"/>
    <w:link w:val="887"/>
    <w:uiPriority w:val="9"/>
    <w:unhideWhenUsed/>
    <w:qFormat/>
    <w:pPr>
      <w:keepLines/>
      <w:keepNext/>
      <w:spacing w:before="260" w:after="260" w:line="416" w:lineRule="auto"/>
      <w:outlineLvl w:val="2"/>
    </w:pPr>
    <w:rPr>
      <w:b/>
      <w:bCs/>
      <w:sz w:val="32"/>
      <w:szCs w:val="32"/>
    </w:rPr>
  </w:style>
  <w:style w:type="paragraph" w:styleId="878" w:customStyle="1">
    <w:name w:val="标题 51"/>
    <w:basedOn w:val="822"/>
    <w:next w:val="822"/>
    <w:link w:val="889"/>
    <w:uiPriority w:val="9"/>
    <w:unhideWhenUsed/>
    <w:qFormat/>
    <w:pPr>
      <w:keepLines/>
      <w:keepNext/>
      <w:spacing w:before="320" w:after="200"/>
      <w:outlineLvl w:val="4"/>
    </w:pPr>
    <w:rPr>
      <w:rFonts w:ascii="Arial" w:hAnsi="Arial" w:eastAsia="Arial" w:cs="Arial"/>
      <w:b/>
      <w:bCs/>
      <w:sz w:val="24"/>
    </w:rPr>
  </w:style>
  <w:style w:type="paragraph" w:styleId="879" w:customStyle="1">
    <w:name w:val="标题 61"/>
    <w:basedOn w:val="822"/>
    <w:next w:val="822"/>
    <w:link w:val="890"/>
    <w:uiPriority w:val="9"/>
    <w:unhideWhenUsed/>
    <w:qFormat/>
    <w:pPr>
      <w:keepLines/>
      <w:keepNext/>
      <w:spacing w:before="320" w:after="200"/>
      <w:outlineLvl w:val="5"/>
    </w:pPr>
    <w:rPr>
      <w:rFonts w:ascii="Arial" w:hAnsi="Arial" w:eastAsia="Arial" w:cs="Arial"/>
      <w:b/>
      <w:bCs/>
      <w:sz w:val="22"/>
      <w:szCs w:val="22"/>
    </w:rPr>
  </w:style>
  <w:style w:type="paragraph" w:styleId="880" w:customStyle="1">
    <w:name w:val="标题 71"/>
    <w:basedOn w:val="822"/>
    <w:next w:val="822"/>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81" w:customStyle="1">
    <w:name w:val="标题 81"/>
    <w:basedOn w:val="822"/>
    <w:next w:val="822"/>
    <w:link w:val="892"/>
    <w:uiPriority w:val="9"/>
    <w:unhideWhenUsed/>
    <w:qFormat/>
    <w:pPr>
      <w:keepLines/>
      <w:keepNext/>
      <w:spacing w:before="320" w:after="200"/>
      <w:outlineLvl w:val="7"/>
    </w:pPr>
    <w:rPr>
      <w:rFonts w:ascii="Arial" w:hAnsi="Arial" w:eastAsia="Arial" w:cs="Arial"/>
      <w:i/>
      <w:iCs/>
      <w:sz w:val="22"/>
      <w:szCs w:val="22"/>
    </w:rPr>
  </w:style>
  <w:style w:type="paragraph" w:styleId="882" w:customStyle="1">
    <w:name w:val="标题 91"/>
    <w:basedOn w:val="822"/>
    <w:next w:val="822"/>
    <w:link w:val="893"/>
    <w:uiPriority w:val="9"/>
    <w:unhideWhenUsed/>
    <w:qFormat/>
    <w:pPr>
      <w:keepLines/>
      <w:keepNext/>
      <w:spacing w:before="320" w:after="200"/>
      <w:outlineLvl w:val="8"/>
    </w:pPr>
    <w:rPr>
      <w:rFonts w:ascii="Arial" w:hAnsi="Arial" w:eastAsia="Arial" w:cs="Arial"/>
      <w:i/>
      <w:iCs/>
      <w:szCs w:val="21"/>
    </w:rPr>
  </w:style>
  <w:style w:type="character" w:styleId="883" w:customStyle="1">
    <w:name w:val="默认段落字体1"/>
    <w:link w:val="822"/>
    <w:uiPriority w:val="1"/>
    <w:unhideWhenUsed/>
    <w:qFormat/>
  </w:style>
  <w:style w:type="table" w:styleId="884" w:customStyle="1">
    <w:name w:val="普通表格1"/>
    <w:uiPriority w:val="99"/>
    <w:unhideWhenUsed/>
    <w:qFormat/>
    <w:tblPr/>
  </w:style>
  <w:style w:type="character" w:styleId="885" w:customStyle="1">
    <w:name w:val="标题 1 Char"/>
    <w:basedOn w:val="883"/>
    <w:link w:val="875"/>
    <w:uiPriority w:val="0"/>
    <w:qFormat/>
    <w:rPr>
      <w:rFonts w:ascii="Times New Roman" w:hAnsi="Times New Roman" w:eastAsia="新宋体" w:cs="Times New Roman"/>
      <w:b/>
      <w:bCs/>
      <w:sz w:val="30"/>
      <w:szCs w:val="44"/>
    </w:rPr>
  </w:style>
  <w:style w:type="character" w:styleId="886" w:customStyle="1">
    <w:name w:val="标题 2 Char"/>
    <w:basedOn w:val="883"/>
    <w:link w:val="876"/>
    <w:uiPriority w:val="9"/>
    <w:qFormat/>
    <w:rPr>
      <w:rFonts w:ascii="Calibri Light" w:hAnsi="Calibri Light" w:eastAsia="黑体" w:cs="Times New Roman"/>
      <w:b/>
      <w:bCs/>
      <w:sz w:val="32"/>
      <w:szCs w:val="32"/>
    </w:rPr>
  </w:style>
  <w:style w:type="character" w:styleId="887" w:customStyle="1">
    <w:name w:val="标题 3 Char"/>
    <w:basedOn w:val="883"/>
    <w:link w:val="877"/>
    <w:uiPriority w:val="9"/>
    <w:qFormat/>
    <w:rPr>
      <w:rFonts w:ascii="Times New Roman" w:hAnsi="Times New Roman" w:eastAsia="宋体" w:cs="Times New Roman"/>
      <w:b/>
      <w:bCs/>
      <w:sz w:val="32"/>
      <w:szCs w:val="32"/>
    </w:rPr>
  </w:style>
  <w:style w:type="character" w:styleId="888" w:customStyle="1">
    <w:name w:val="标题 4 Char"/>
    <w:basedOn w:val="883"/>
    <w:link w:val="846"/>
    <w:uiPriority w:val="9"/>
    <w:qFormat/>
    <w:rPr>
      <w:rFonts w:ascii="Arial" w:hAnsi="Arial" w:eastAsia="Arial" w:cs="Arial"/>
      <w:b/>
      <w:bCs/>
      <w:sz w:val="26"/>
      <w:szCs w:val="26"/>
    </w:rPr>
  </w:style>
  <w:style w:type="character" w:styleId="889" w:customStyle="1">
    <w:name w:val="标题 5 Char"/>
    <w:basedOn w:val="883"/>
    <w:link w:val="878"/>
    <w:uiPriority w:val="9"/>
    <w:qFormat/>
    <w:rPr>
      <w:rFonts w:ascii="Arial" w:hAnsi="Arial" w:eastAsia="Arial" w:cs="Arial"/>
      <w:b/>
      <w:bCs/>
      <w:sz w:val="24"/>
      <w:szCs w:val="24"/>
    </w:rPr>
  </w:style>
  <w:style w:type="character" w:styleId="890" w:customStyle="1">
    <w:name w:val="标题 6 Char"/>
    <w:basedOn w:val="883"/>
    <w:link w:val="879"/>
    <w:uiPriority w:val="9"/>
    <w:qFormat/>
    <w:rPr>
      <w:rFonts w:ascii="Arial" w:hAnsi="Arial" w:eastAsia="Arial" w:cs="Arial"/>
      <w:b/>
      <w:bCs/>
      <w:sz w:val="22"/>
      <w:szCs w:val="22"/>
    </w:rPr>
  </w:style>
  <w:style w:type="character" w:styleId="891" w:customStyle="1">
    <w:name w:val="标题 7 Char"/>
    <w:basedOn w:val="883"/>
    <w:link w:val="880"/>
    <w:uiPriority w:val="9"/>
    <w:qFormat/>
    <w:rPr>
      <w:rFonts w:ascii="Arial" w:hAnsi="Arial" w:eastAsia="Arial" w:cs="Arial"/>
      <w:b/>
      <w:bCs/>
      <w:i/>
      <w:iCs/>
      <w:sz w:val="22"/>
      <w:szCs w:val="22"/>
    </w:rPr>
  </w:style>
  <w:style w:type="character" w:styleId="892" w:customStyle="1">
    <w:name w:val="标题 8 Char"/>
    <w:basedOn w:val="883"/>
    <w:link w:val="881"/>
    <w:uiPriority w:val="9"/>
    <w:qFormat/>
    <w:rPr>
      <w:rFonts w:ascii="Arial" w:hAnsi="Arial" w:eastAsia="Arial" w:cs="Arial"/>
      <w:i/>
      <w:iCs/>
      <w:sz w:val="22"/>
      <w:szCs w:val="22"/>
    </w:rPr>
  </w:style>
  <w:style w:type="character" w:styleId="893" w:customStyle="1">
    <w:name w:val="标题 9 Char"/>
    <w:basedOn w:val="883"/>
    <w:link w:val="882"/>
    <w:uiPriority w:val="9"/>
    <w:qFormat/>
    <w:rPr>
      <w:rFonts w:ascii="Arial" w:hAnsi="Arial" w:eastAsia="Arial" w:cs="Arial"/>
      <w:i/>
      <w:iCs/>
      <w:sz w:val="21"/>
      <w:szCs w:val="21"/>
    </w:rPr>
  </w:style>
  <w:style w:type="paragraph" w:styleId="894" w:customStyle="1">
    <w:name w:val="目录 71"/>
    <w:basedOn w:val="822"/>
    <w:next w:val="822"/>
    <w:uiPriority w:val="39"/>
    <w:unhideWhenUsed/>
    <w:qFormat/>
    <w:pPr>
      <w:ind w:left="1701"/>
      <w:spacing w:after="57"/>
    </w:pPr>
  </w:style>
  <w:style w:type="paragraph" w:styleId="895" w:customStyle="1">
    <w:name w:val="正文缩进111"/>
    <w:basedOn w:val="822"/>
    <w:uiPriority w:val="0"/>
    <w:qFormat/>
    <w:pPr>
      <w:ind w:firstLine="420"/>
    </w:pPr>
  </w:style>
  <w:style w:type="paragraph" w:styleId="896" w:customStyle="1">
    <w:name w:val="题注1"/>
    <w:basedOn w:val="822"/>
    <w:next w:val="822"/>
    <w:uiPriority w:val="35"/>
    <w:unhideWhenUsed/>
    <w:qFormat/>
    <w:pPr>
      <w:spacing w:line="276" w:lineRule="auto"/>
    </w:pPr>
    <w:rPr>
      <w:b/>
      <w:bCs/>
      <w:color w:val="5b9bd5"/>
      <w:sz w:val="18"/>
      <w:szCs w:val="18"/>
    </w:rPr>
  </w:style>
  <w:style w:type="paragraph" w:styleId="897" w:customStyle="1">
    <w:name w:val="索引 511"/>
    <w:basedOn w:val="822"/>
    <w:next w:val="822"/>
    <w:uiPriority w:val="0"/>
    <w:qFormat/>
    <w:pPr>
      <w:ind w:left="798"/>
      <w:jc w:val="left"/>
    </w:pPr>
    <w:rPr>
      <w:rFonts w:ascii="Calibri" w:hAnsi="Calibri"/>
    </w:rPr>
  </w:style>
  <w:style w:type="paragraph" w:styleId="898" w:customStyle="1">
    <w:name w:val="批注文字1"/>
    <w:basedOn w:val="822"/>
    <w:link w:val="899"/>
    <w:uiPriority w:val="0"/>
    <w:unhideWhenUsed/>
    <w:qFormat/>
    <w:pPr>
      <w:jc w:val="left"/>
    </w:pPr>
  </w:style>
  <w:style w:type="character" w:styleId="899" w:customStyle="1">
    <w:name w:val="批注文字 Char"/>
    <w:basedOn w:val="883"/>
    <w:link w:val="898"/>
    <w:uiPriority w:val="0"/>
    <w:semiHidden/>
    <w:qFormat/>
    <w:rPr>
      <w:rFonts w:ascii="Times New Roman" w:hAnsi="Times New Roman" w:eastAsia="宋体" w:cs="Times New Roman"/>
      <w:sz w:val="21"/>
      <w:szCs w:val="24"/>
    </w:rPr>
  </w:style>
  <w:style w:type="paragraph" w:styleId="900" w:customStyle="1">
    <w:name w:val="正文文本12"/>
    <w:basedOn w:val="822"/>
    <w:next w:val="822"/>
    <w:link w:val="901"/>
    <w:uiPriority w:val="99"/>
    <w:qFormat/>
    <w:pPr>
      <w:spacing w:after="120"/>
    </w:pPr>
    <w:rPr>
      <w:rFonts w:ascii="Calibri" w:hAnsi="Calibri"/>
    </w:rPr>
  </w:style>
  <w:style w:type="character" w:styleId="901" w:customStyle="1">
    <w:name w:val="正文文本 Char"/>
    <w:basedOn w:val="883"/>
    <w:link w:val="900"/>
    <w:uiPriority w:val="99"/>
    <w:qFormat/>
    <w:rPr>
      <w:rFonts w:ascii="Calibri" w:hAnsi="Calibri" w:eastAsia="宋体" w:cs="Times New Roman"/>
      <w:sz w:val="21"/>
      <w:szCs w:val="24"/>
    </w:rPr>
  </w:style>
  <w:style w:type="paragraph" w:styleId="902" w:customStyle="1">
    <w:name w:val="索引 41"/>
    <w:basedOn w:val="822"/>
    <w:next w:val="822"/>
    <w:uiPriority w:val="99"/>
    <w:qFormat/>
    <w:pPr>
      <w:ind w:left="600"/>
    </w:pPr>
    <w:rPr>
      <w:rFonts w:ascii="Calibri" w:hAnsi="Calibri"/>
    </w:rPr>
  </w:style>
  <w:style w:type="paragraph" w:styleId="903" w:customStyle="1">
    <w:name w:val="目录 51"/>
    <w:basedOn w:val="822"/>
    <w:next w:val="822"/>
    <w:uiPriority w:val="39"/>
    <w:unhideWhenUsed/>
    <w:qFormat/>
    <w:pPr>
      <w:ind w:left="1134"/>
      <w:spacing w:after="57"/>
    </w:pPr>
  </w:style>
  <w:style w:type="paragraph" w:styleId="904" w:customStyle="1">
    <w:name w:val="目录 31"/>
    <w:basedOn w:val="822"/>
    <w:next w:val="822"/>
    <w:uiPriority w:val="39"/>
    <w:unhideWhenUsed/>
    <w:qFormat/>
    <w:pPr>
      <w:ind w:left="567"/>
      <w:spacing w:after="57"/>
    </w:pPr>
  </w:style>
  <w:style w:type="paragraph" w:styleId="905" w:customStyle="1">
    <w:name w:val="纯文本12"/>
    <w:basedOn w:val="822"/>
    <w:link w:val="906"/>
    <w:uiPriority w:val="0"/>
    <w:qFormat/>
    <w:rPr>
      <w:rFonts w:ascii="宋体" w:hAnsi="Courier New"/>
      <w:sz w:val="20"/>
      <w:szCs w:val="20"/>
    </w:rPr>
  </w:style>
  <w:style w:type="character" w:styleId="906" w:customStyle="1">
    <w:name w:val="纯文本 Char"/>
    <w:basedOn w:val="883"/>
    <w:link w:val="905"/>
    <w:uiPriority w:val="0"/>
    <w:qFormat/>
    <w:rPr>
      <w:rFonts w:ascii="宋体" w:hAnsi="Courier New"/>
      <w:sz w:val="20"/>
      <w:szCs w:val="20"/>
    </w:rPr>
  </w:style>
  <w:style w:type="paragraph" w:styleId="907" w:customStyle="1">
    <w:name w:val="目录 81"/>
    <w:basedOn w:val="822"/>
    <w:next w:val="822"/>
    <w:uiPriority w:val="39"/>
    <w:unhideWhenUsed/>
    <w:qFormat/>
    <w:pPr>
      <w:ind w:left="1984"/>
      <w:spacing w:after="57"/>
    </w:pPr>
  </w:style>
  <w:style w:type="paragraph" w:styleId="908" w:customStyle="1">
    <w:name w:val="日期1"/>
    <w:basedOn w:val="822"/>
    <w:next w:val="822"/>
    <w:uiPriority w:val="0"/>
    <w:qFormat/>
    <w:rPr>
      <w:rFonts w:eastAsia="仿宋_GB2312"/>
      <w:sz w:val="28"/>
      <w:szCs w:val="20"/>
    </w:rPr>
  </w:style>
  <w:style w:type="paragraph" w:styleId="909" w:customStyle="1">
    <w:name w:val="尾注文本1"/>
    <w:basedOn w:val="822"/>
    <w:link w:val="910"/>
    <w:uiPriority w:val="99"/>
    <w:unhideWhenUsed/>
    <w:qFormat/>
    <w:rPr>
      <w:sz w:val="20"/>
    </w:rPr>
  </w:style>
  <w:style w:type="character" w:styleId="910" w:customStyle="1">
    <w:name w:val="尾注文本 Char"/>
    <w:link w:val="909"/>
    <w:uiPriority w:val="99"/>
    <w:qFormat/>
    <w:rPr>
      <w:sz w:val="20"/>
    </w:rPr>
  </w:style>
  <w:style w:type="paragraph" w:styleId="911" w:customStyle="1">
    <w:name w:val="批注框文本1"/>
    <w:basedOn w:val="822"/>
    <w:link w:val="912"/>
    <w:uiPriority w:val="0"/>
    <w:qFormat/>
    <w:rPr>
      <w:sz w:val="18"/>
      <w:szCs w:val="18"/>
    </w:rPr>
  </w:style>
  <w:style w:type="character" w:styleId="912" w:customStyle="1">
    <w:name w:val="批注框文本 Char"/>
    <w:basedOn w:val="883"/>
    <w:link w:val="911"/>
    <w:uiPriority w:val="0"/>
    <w:qFormat/>
    <w:rPr>
      <w:rFonts w:ascii="Times New Roman" w:hAnsi="Times New Roman" w:eastAsia="宋体" w:cs="Times New Roman"/>
      <w:sz w:val="18"/>
      <w:szCs w:val="18"/>
    </w:rPr>
  </w:style>
  <w:style w:type="paragraph" w:styleId="913" w:customStyle="1">
    <w:name w:val="页脚11"/>
    <w:basedOn w:val="822"/>
    <w:link w:val="914"/>
    <w:uiPriority w:val="99"/>
    <w:qFormat/>
    <w:pPr>
      <w:jc w:val="left"/>
      <w:tabs>
        <w:tab w:val="center" w:pos="4153" w:leader="none"/>
        <w:tab w:val="right" w:pos="8306" w:leader="none"/>
      </w:tabs>
    </w:pPr>
    <w:rPr>
      <w:sz w:val="18"/>
      <w:szCs w:val="18"/>
    </w:rPr>
  </w:style>
  <w:style w:type="character" w:styleId="914" w:customStyle="1">
    <w:name w:val="页脚 Char"/>
    <w:basedOn w:val="883"/>
    <w:link w:val="913"/>
    <w:uiPriority w:val="99"/>
    <w:qFormat/>
    <w:rPr>
      <w:rFonts w:ascii="Times New Roman" w:hAnsi="Times New Roman" w:eastAsia="宋体" w:cs="Times New Roman"/>
      <w:sz w:val="18"/>
      <w:szCs w:val="18"/>
    </w:rPr>
  </w:style>
  <w:style w:type="paragraph" w:styleId="915" w:customStyle="1">
    <w:name w:val="页眉1"/>
    <w:basedOn w:val="822"/>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basedOn w:val="883"/>
    <w:link w:val="915"/>
    <w:uiPriority w:val="99"/>
    <w:qFormat/>
    <w:rPr>
      <w:rFonts w:ascii="Times New Roman" w:hAnsi="Times New Roman" w:eastAsia="宋体" w:cs="Times New Roman"/>
      <w:sz w:val="18"/>
      <w:szCs w:val="18"/>
    </w:rPr>
  </w:style>
  <w:style w:type="paragraph" w:styleId="917" w:customStyle="1">
    <w:name w:val="目录 1111"/>
    <w:basedOn w:val="822"/>
    <w:next w:val="822"/>
    <w:uiPriority w:val="39"/>
    <w:qFormat/>
  </w:style>
  <w:style w:type="paragraph" w:styleId="918" w:customStyle="1">
    <w:name w:val="目录 41"/>
    <w:basedOn w:val="822"/>
    <w:next w:val="822"/>
    <w:uiPriority w:val="39"/>
    <w:unhideWhenUsed/>
    <w:qFormat/>
    <w:pPr>
      <w:ind w:left="850"/>
      <w:spacing w:after="57"/>
    </w:pPr>
  </w:style>
  <w:style w:type="paragraph" w:styleId="919" w:customStyle="1">
    <w:name w:val="副标题1"/>
    <w:basedOn w:val="822"/>
    <w:next w:val="822"/>
    <w:link w:val="920"/>
    <w:uiPriority w:val="11"/>
    <w:qFormat/>
    <w:pPr>
      <w:spacing w:before="200" w:after="200"/>
    </w:pPr>
    <w:rPr>
      <w:sz w:val="24"/>
    </w:rPr>
  </w:style>
  <w:style w:type="character" w:styleId="920" w:customStyle="1">
    <w:name w:val="副标题 Char"/>
    <w:basedOn w:val="883"/>
    <w:link w:val="919"/>
    <w:uiPriority w:val="11"/>
    <w:qFormat/>
    <w:rPr>
      <w:sz w:val="24"/>
      <w:szCs w:val="24"/>
    </w:rPr>
  </w:style>
  <w:style w:type="paragraph" w:styleId="921" w:customStyle="1">
    <w:name w:val="脚注文本11"/>
    <w:basedOn w:val="822"/>
    <w:next w:val="897"/>
    <w:uiPriority w:val="0"/>
    <w:qFormat/>
    <w:pPr>
      <w:jc w:val="left"/>
    </w:pPr>
    <w:rPr>
      <w:rFonts w:ascii="宋体" w:eastAsia="Times New Roman"/>
      <w:sz w:val="18"/>
      <w:szCs w:val="18"/>
    </w:rPr>
  </w:style>
  <w:style w:type="paragraph" w:styleId="922" w:customStyle="1">
    <w:name w:val="目录 61"/>
    <w:basedOn w:val="822"/>
    <w:next w:val="822"/>
    <w:uiPriority w:val="39"/>
    <w:unhideWhenUsed/>
    <w:qFormat/>
    <w:pPr>
      <w:ind w:left="1417"/>
      <w:spacing w:after="57"/>
    </w:pPr>
  </w:style>
  <w:style w:type="paragraph" w:styleId="923" w:customStyle="1">
    <w:name w:val="图表目录1"/>
    <w:basedOn w:val="822"/>
    <w:next w:val="822"/>
    <w:uiPriority w:val="99"/>
    <w:unhideWhenUsed/>
    <w:qFormat/>
  </w:style>
  <w:style w:type="paragraph" w:styleId="924" w:customStyle="1">
    <w:name w:val="目录 21"/>
    <w:basedOn w:val="822"/>
    <w:next w:val="822"/>
    <w:uiPriority w:val="39"/>
    <w:unhideWhenUsed/>
    <w:qFormat/>
    <w:pPr>
      <w:ind w:left="283"/>
      <w:spacing w:after="57"/>
    </w:pPr>
  </w:style>
  <w:style w:type="paragraph" w:styleId="925" w:customStyle="1">
    <w:name w:val="目录 91"/>
    <w:basedOn w:val="822"/>
    <w:next w:val="822"/>
    <w:uiPriority w:val="39"/>
    <w:unhideWhenUsed/>
    <w:qFormat/>
    <w:pPr>
      <w:ind w:left="2268"/>
      <w:spacing w:after="57"/>
    </w:pPr>
  </w:style>
  <w:style w:type="paragraph" w:styleId="926" w:customStyle="1">
    <w:name w:val="普通(网站)11"/>
    <w:basedOn w:val="822"/>
    <w:uiPriority w:val="0"/>
    <w:qFormat/>
    <w:pPr>
      <w:jc w:val="left"/>
      <w:spacing w:before="100" w:beforeAutospacing="1" w:after="100" w:afterAutospacing="1"/>
      <w:widowControl/>
    </w:pPr>
    <w:rPr>
      <w:rFonts w:ascii="宋体" w:hAnsi="宋体" w:cs="宋体"/>
      <w:sz w:val="24"/>
    </w:rPr>
  </w:style>
  <w:style w:type="character" w:styleId="927" w:customStyle="1">
    <w:name w:val="标题 Char"/>
    <w:basedOn w:val="883"/>
    <w:link w:val="847"/>
    <w:uiPriority w:val="10"/>
    <w:qFormat/>
    <w:rPr>
      <w:sz w:val="48"/>
      <w:szCs w:val="48"/>
    </w:rPr>
  </w:style>
  <w:style w:type="paragraph" w:styleId="928" w:customStyle="1">
    <w:name w:val="批注主题1"/>
    <w:basedOn w:val="898"/>
    <w:next w:val="898"/>
    <w:link w:val="929"/>
    <w:uiPriority w:val="0"/>
    <w:unhideWhenUsed/>
    <w:qFormat/>
    <w:rPr>
      <w:b/>
      <w:bCs/>
    </w:rPr>
  </w:style>
  <w:style w:type="character" w:styleId="929" w:customStyle="1">
    <w:name w:val="批注主题 Char"/>
    <w:basedOn w:val="899"/>
    <w:link w:val="928"/>
    <w:uiPriority w:val="0"/>
    <w:semiHidden/>
    <w:qFormat/>
    <w:rPr>
      <w:rFonts w:ascii="Times New Roman" w:hAnsi="Times New Roman" w:eastAsia="宋体" w:cs="Times New Roman"/>
      <w:b/>
      <w:bCs/>
      <w:sz w:val="21"/>
      <w:szCs w:val="24"/>
    </w:rPr>
  </w:style>
  <w:style w:type="paragraph" w:styleId="930" w:customStyle="1">
    <w:name w:val="正文首行缩进 21"/>
    <w:basedOn w:val="851"/>
    <w:next w:val="822"/>
    <w:uiPriority w:val="0"/>
    <w:qFormat/>
    <w:pPr>
      <w:ind w:firstLine="420"/>
      <w:spacing w:line="360" w:lineRule="auto"/>
    </w:pPr>
    <w:rPr>
      <w:color w:val="000000"/>
      <w:sz w:val="20"/>
    </w:rPr>
  </w:style>
  <w:style w:type="table" w:styleId="931" w:customStyle="1">
    <w:name w:val="网格型1"/>
    <w:basedOn w:val="884"/>
    <w:uiPriority w:val="39"/>
    <w:qFormat/>
    <w:tblPr/>
  </w:style>
  <w:style w:type="character" w:styleId="932" w:customStyle="1">
    <w:name w:val="要点1"/>
    <w:basedOn w:val="883"/>
    <w:link w:val="822"/>
    <w:uiPriority w:val="22"/>
    <w:qFormat/>
    <w:rPr>
      <w:b/>
      <w:vanish/>
    </w:rPr>
  </w:style>
  <w:style w:type="character" w:styleId="933" w:customStyle="1">
    <w:name w:val="尾注引用1"/>
    <w:basedOn w:val="883"/>
    <w:link w:val="822"/>
    <w:uiPriority w:val="99"/>
    <w:unhideWhenUsed/>
    <w:qFormat/>
    <w:rPr>
      <w:vertAlign w:val="superscript"/>
    </w:rPr>
  </w:style>
  <w:style w:type="character" w:styleId="934" w:customStyle="1">
    <w:name w:val="页码1"/>
    <w:basedOn w:val="883"/>
    <w:link w:val="822"/>
    <w:uiPriority w:val="0"/>
    <w:qFormat/>
  </w:style>
  <w:style w:type="character" w:styleId="935" w:customStyle="1">
    <w:name w:val="已访问的超链接1"/>
    <w:basedOn w:val="883"/>
    <w:link w:val="822"/>
    <w:uiPriority w:val="99"/>
    <w:unhideWhenUsed/>
    <w:qFormat/>
    <w:rPr>
      <w:color w:val="800080"/>
      <w:u w:val="none"/>
    </w:rPr>
  </w:style>
  <w:style w:type="character" w:styleId="936" w:customStyle="1">
    <w:name w:val="强调1"/>
    <w:basedOn w:val="883"/>
    <w:link w:val="822"/>
    <w:uiPriority w:val="20"/>
    <w:qFormat/>
    <w:rPr>
      <w:b/>
    </w:rPr>
  </w:style>
  <w:style w:type="character" w:styleId="937" w:customStyle="1">
    <w:name w:val="HTML 定义1"/>
    <w:basedOn w:val="883"/>
    <w:link w:val="822"/>
    <w:uiPriority w:val="99"/>
    <w:unhideWhenUsed/>
    <w:qFormat/>
  </w:style>
  <w:style w:type="character" w:styleId="938" w:customStyle="1">
    <w:name w:val="HTML 打字机1"/>
    <w:basedOn w:val="883"/>
    <w:link w:val="822"/>
    <w:uiPriority w:val="99"/>
    <w:unhideWhenUsed/>
    <w:qFormat/>
    <w:rPr>
      <w:rFonts w:ascii="monospace" w:hAnsi="monospace" w:eastAsia="monospace" w:cs="monospace"/>
      <w:sz w:val="20"/>
    </w:rPr>
  </w:style>
  <w:style w:type="character" w:styleId="939" w:customStyle="1">
    <w:name w:val="HTML 缩写1"/>
    <w:basedOn w:val="883"/>
    <w:link w:val="822"/>
    <w:uiPriority w:val="99"/>
    <w:unhideWhenUsed/>
    <w:qFormat/>
  </w:style>
  <w:style w:type="character" w:styleId="940" w:customStyle="1">
    <w:name w:val="HTML 变量1"/>
    <w:basedOn w:val="883"/>
    <w:link w:val="822"/>
    <w:uiPriority w:val="99"/>
    <w:unhideWhenUsed/>
    <w:qFormat/>
  </w:style>
  <w:style w:type="character" w:styleId="941" w:customStyle="1">
    <w:name w:val="超链接1"/>
    <w:basedOn w:val="883"/>
    <w:link w:val="822"/>
    <w:uiPriority w:val="99"/>
    <w:unhideWhenUsed/>
    <w:qFormat/>
    <w:rPr>
      <w:color w:val="0000ff"/>
      <w:u w:val="none"/>
    </w:rPr>
  </w:style>
  <w:style w:type="character" w:styleId="942" w:customStyle="1">
    <w:name w:val="HTML 代码1"/>
    <w:basedOn w:val="883"/>
    <w:link w:val="822"/>
    <w:uiPriority w:val="99"/>
    <w:unhideWhenUsed/>
    <w:qFormat/>
    <w:rPr>
      <w:rFonts w:ascii="monospace" w:hAnsi="monospace" w:eastAsia="monospace" w:cs="monospace"/>
      <w:sz w:val="20"/>
    </w:rPr>
  </w:style>
  <w:style w:type="character" w:styleId="943" w:customStyle="1">
    <w:name w:val="批注引用1"/>
    <w:basedOn w:val="883"/>
    <w:link w:val="822"/>
    <w:uiPriority w:val="0"/>
    <w:unhideWhenUsed/>
    <w:qFormat/>
    <w:rPr>
      <w:sz w:val="21"/>
      <w:szCs w:val="21"/>
    </w:rPr>
  </w:style>
  <w:style w:type="character" w:styleId="944" w:customStyle="1">
    <w:name w:val="HTML 引文1"/>
    <w:basedOn w:val="883"/>
    <w:link w:val="822"/>
    <w:uiPriority w:val="99"/>
    <w:unhideWhenUsed/>
    <w:qFormat/>
  </w:style>
  <w:style w:type="character" w:styleId="945" w:customStyle="1">
    <w:name w:val="脚注引用1"/>
    <w:basedOn w:val="883"/>
    <w:link w:val="822"/>
    <w:uiPriority w:val="99"/>
    <w:unhideWhenUsed/>
    <w:qFormat/>
    <w:rPr>
      <w:vertAlign w:val="superscript"/>
    </w:rPr>
  </w:style>
  <w:style w:type="character" w:styleId="946" w:customStyle="1">
    <w:name w:val="HTML 键盘1"/>
    <w:basedOn w:val="883"/>
    <w:link w:val="822"/>
    <w:uiPriority w:val="99"/>
    <w:unhideWhenUsed/>
    <w:qFormat/>
    <w:rPr>
      <w:rFonts w:ascii="monospace" w:hAnsi="monospace" w:eastAsia="monospace" w:cs="monospace"/>
      <w:sz w:val="20"/>
    </w:rPr>
  </w:style>
  <w:style w:type="character" w:styleId="947" w:customStyle="1">
    <w:name w:val="HTML 样本1"/>
    <w:basedOn w:val="883"/>
    <w:link w:val="822"/>
    <w:uiPriority w:val="99"/>
    <w:unhideWhenUsed/>
    <w:qFormat/>
    <w:rPr>
      <w:rFonts w:ascii="monospace" w:hAnsi="monospace" w:eastAsia="monospace" w:cs="monospace"/>
    </w:rPr>
  </w:style>
  <w:style w:type="character" w:styleId="948" w:customStyle="1">
    <w:name w:val="wyg1"/>
    <w:link w:val="822"/>
    <w:uiPriority w:val="6"/>
    <w:qFormat/>
    <w:rPr>
      <w:rFonts w:ascii="Times New Roman" w:hAnsi="Times New Roman" w:eastAsia="宋体" w:cs="Times New Roman"/>
      <w:sz w:val="21"/>
      <w:szCs w:val="24"/>
      <w:lang w:val="en-US" w:eastAsia="zh-CN" w:bidi="ar-SA"/>
    </w:rPr>
  </w:style>
  <w:style w:type="paragraph" w:styleId="949" w:customStyle="1">
    <w:name w:val="正文缩进1"/>
    <w:basedOn w:val="822"/>
    <w:uiPriority w:val="0"/>
    <w:qFormat/>
    <w:pPr>
      <w:ind w:firstLine="420"/>
    </w:pPr>
  </w:style>
  <w:style w:type="character" w:styleId="950" w:customStyle="1">
    <w:name w:val="Heading 4 Char"/>
    <w:basedOn w:val="883"/>
    <w:link w:val="822"/>
    <w:uiPriority w:val="9"/>
    <w:qFormat/>
    <w:rPr>
      <w:rFonts w:ascii="Arial" w:hAnsi="Arial" w:eastAsia="Arial" w:cs="Arial"/>
      <w:b/>
      <w:bCs/>
      <w:sz w:val="26"/>
      <w:szCs w:val="26"/>
    </w:rPr>
  </w:style>
  <w:style w:type="character" w:styleId="951" w:customStyle="1">
    <w:name w:val="Heading 5 Char"/>
    <w:basedOn w:val="883"/>
    <w:link w:val="822"/>
    <w:uiPriority w:val="9"/>
    <w:qFormat/>
    <w:rPr>
      <w:rFonts w:ascii="Arial" w:hAnsi="Arial" w:eastAsia="Arial" w:cs="Arial"/>
      <w:b/>
      <w:bCs/>
      <w:sz w:val="24"/>
      <w:szCs w:val="24"/>
    </w:rPr>
  </w:style>
  <w:style w:type="character" w:styleId="952" w:customStyle="1">
    <w:name w:val="Heading 6 Char"/>
    <w:basedOn w:val="883"/>
    <w:link w:val="822"/>
    <w:uiPriority w:val="9"/>
    <w:qFormat/>
    <w:rPr>
      <w:rFonts w:ascii="Arial" w:hAnsi="Arial" w:eastAsia="Arial" w:cs="Arial"/>
      <w:b/>
      <w:bCs/>
      <w:sz w:val="22"/>
      <w:szCs w:val="22"/>
    </w:rPr>
  </w:style>
  <w:style w:type="character" w:styleId="953" w:customStyle="1">
    <w:name w:val="Heading 7 Char"/>
    <w:basedOn w:val="883"/>
    <w:link w:val="822"/>
    <w:uiPriority w:val="9"/>
    <w:qFormat/>
    <w:rPr>
      <w:rFonts w:ascii="Arial" w:hAnsi="Arial" w:eastAsia="Arial" w:cs="Arial"/>
      <w:b/>
      <w:bCs/>
      <w:i/>
      <w:iCs/>
      <w:sz w:val="22"/>
      <w:szCs w:val="22"/>
    </w:rPr>
  </w:style>
  <w:style w:type="character" w:styleId="954" w:customStyle="1">
    <w:name w:val="Heading 8 Char"/>
    <w:basedOn w:val="883"/>
    <w:link w:val="822"/>
    <w:uiPriority w:val="9"/>
    <w:qFormat/>
    <w:rPr>
      <w:rFonts w:ascii="Arial" w:hAnsi="Arial" w:eastAsia="Arial" w:cs="Arial"/>
      <w:i/>
      <w:iCs/>
      <w:sz w:val="22"/>
      <w:szCs w:val="22"/>
    </w:rPr>
  </w:style>
  <w:style w:type="character" w:styleId="955" w:customStyle="1">
    <w:name w:val="Heading 9 Char"/>
    <w:basedOn w:val="883"/>
    <w:link w:val="822"/>
    <w:uiPriority w:val="9"/>
    <w:qFormat/>
    <w:rPr>
      <w:rFonts w:ascii="Arial" w:hAnsi="Arial" w:eastAsia="Arial" w:cs="Arial"/>
      <w:i/>
      <w:iCs/>
      <w:sz w:val="21"/>
      <w:szCs w:val="21"/>
    </w:rPr>
  </w:style>
  <w:style w:type="character" w:styleId="956" w:customStyle="1">
    <w:name w:val="Title Char"/>
    <w:basedOn w:val="883"/>
    <w:link w:val="822"/>
    <w:uiPriority w:val="10"/>
    <w:qFormat/>
    <w:rPr>
      <w:sz w:val="48"/>
      <w:szCs w:val="48"/>
    </w:rPr>
  </w:style>
  <w:style w:type="character" w:styleId="957" w:customStyle="1">
    <w:name w:val="Subtitle Char"/>
    <w:basedOn w:val="883"/>
    <w:link w:val="822"/>
    <w:uiPriority w:val="11"/>
    <w:qFormat/>
    <w:rPr>
      <w:sz w:val="24"/>
      <w:szCs w:val="24"/>
    </w:rPr>
  </w:style>
  <w:style w:type="character" w:styleId="958" w:customStyle="1">
    <w:name w:val="Quote Char"/>
    <w:link w:val="822"/>
    <w:uiPriority w:val="29"/>
    <w:qFormat/>
    <w:rPr>
      <w:i/>
    </w:rPr>
  </w:style>
  <w:style w:type="character" w:styleId="959" w:customStyle="1">
    <w:name w:val="Intense Quote Char"/>
    <w:link w:val="822"/>
    <w:uiPriority w:val="30"/>
    <w:qFormat/>
    <w:rPr>
      <w:i/>
    </w:rPr>
  </w:style>
  <w:style w:type="character" w:styleId="960" w:customStyle="1">
    <w:name w:val="Endnote Text Char"/>
    <w:link w:val="822"/>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脚注文本1"/>
    <w:basedOn w:val="843"/>
    <w:next w:val="963"/>
    <w:uiPriority w:val="0"/>
    <w:qFormat/>
    <w:rPr>
      <w:rFonts w:eastAsia="Times New Roman"/>
      <w:sz w:val="18"/>
      <w:szCs w:val="18"/>
    </w:rPr>
  </w:style>
  <w:style w:type="paragraph" w:styleId="963" w:customStyle="1">
    <w:name w:val="正文文本1"/>
    <w:basedOn w:val="843"/>
    <w:next w:val="843"/>
    <w:uiPriority w:val="0"/>
    <w:qFormat/>
    <w:pPr>
      <w:spacing w:after="120"/>
    </w:pPr>
    <w:rPr>
      <w:lang w:eastAsia="en-US"/>
    </w:rPr>
  </w:style>
  <w:style w:type="paragraph" w:styleId="964" w:customStyle="1">
    <w:name w:val="索引 51"/>
    <w:basedOn w:val="843"/>
    <w:next w:val="843"/>
    <w:uiPriority w:val="0"/>
    <w:qFormat/>
    <w:pPr>
      <w:ind w:left="798"/>
    </w:pPr>
    <w:rPr>
      <w:rFonts w:ascii="Calibri" w:hAnsi="Calibri"/>
    </w:rPr>
  </w:style>
  <w:style w:type="paragraph" w:styleId="965" w:customStyle="1">
    <w:name w:val="正文12"/>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正文文本11"/>
    <w:basedOn w:val="848"/>
    <w:next w:val="840"/>
    <w:uiPriority w:val="0"/>
    <w:qFormat/>
    <w:pPr>
      <w:spacing w:after="120"/>
    </w:pPr>
  </w:style>
  <w:style w:type="character" w:styleId="967" w:customStyle="1">
    <w:name w:val="Heading 1 Char"/>
    <w:basedOn w:val="883"/>
    <w:link w:val="822"/>
    <w:uiPriority w:val="9"/>
    <w:qFormat/>
    <w:rPr>
      <w:rFonts w:ascii="Arial" w:hAnsi="Arial" w:eastAsia="Arial" w:cs="Arial"/>
      <w:sz w:val="40"/>
      <w:szCs w:val="40"/>
    </w:rPr>
  </w:style>
  <w:style w:type="character" w:styleId="968" w:customStyle="1">
    <w:name w:val="Heading 2 Char"/>
    <w:basedOn w:val="883"/>
    <w:link w:val="822"/>
    <w:uiPriority w:val="9"/>
    <w:qFormat/>
    <w:rPr>
      <w:rFonts w:ascii="Arial" w:hAnsi="Arial" w:eastAsia="Arial" w:cs="Arial"/>
      <w:sz w:val="34"/>
    </w:rPr>
  </w:style>
  <w:style w:type="character" w:styleId="969" w:customStyle="1">
    <w:name w:val="Heading 3 Char"/>
    <w:basedOn w:val="883"/>
    <w:link w:val="822"/>
    <w:uiPriority w:val="9"/>
    <w:qFormat/>
    <w:rPr>
      <w:rFonts w:ascii="Arial" w:hAnsi="Arial" w:eastAsia="Arial" w:cs="Arial"/>
      <w:sz w:val="30"/>
      <w:szCs w:val="30"/>
    </w:rPr>
  </w:style>
  <w:style w:type="paragraph" w:styleId="970">
    <w:name w:val="No Spacing"/>
    <w:uiPriority w:val="1"/>
    <w:qFormat/>
    <w:rPr>
      <w:rFonts w:hint="default" w:ascii="Times New Roman" w:hAnsi="Times New Roman" w:eastAsia="宋体" w:cs="Times New Roman"/>
      <w:lang w:val="en-US" w:eastAsia="zh-CN" w:bidi="ar-SA"/>
    </w:rPr>
  </w:style>
  <w:style w:type="paragraph" w:styleId="971">
    <w:name w:val="Quote"/>
    <w:basedOn w:val="822"/>
    <w:next w:val="822"/>
    <w:link w:val="972"/>
    <w:uiPriority w:val="29"/>
    <w:qFormat/>
    <w:pPr>
      <w:ind w:left="720" w:right="720"/>
    </w:pPr>
    <w:rPr>
      <w:i/>
    </w:rPr>
  </w:style>
  <w:style w:type="character" w:styleId="972" w:customStyle="1">
    <w:name w:val="引用 Char"/>
    <w:link w:val="971"/>
    <w:uiPriority w:val="29"/>
    <w:qFormat/>
    <w:rPr>
      <w:i/>
    </w:rPr>
  </w:style>
  <w:style w:type="paragraph" w:styleId="973">
    <w:name w:val="Intense Quote"/>
    <w:basedOn w:val="822"/>
    <w:next w:val="822"/>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Char"/>
    <w:link w:val="973"/>
    <w:uiPriority w:val="30"/>
    <w:qFormat/>
    <w:rPr>
      <w:i/>
    </w:rPr>
  </w:style>
  <w:style w:type="character" w:styleId="975" w:customStyle="1">
    <w:name w:val="Header Char"/>
    <w:basedOn w:val="883"/>
    <w:link w:val="822"/>
    <w:uiPriority w:val="99"/>
    <w:qFormat/>
  </w:style>
  <w:style w:type="character" w:styleId="976" w:customStyle="1">
    <w:name w:val="Footer Char"/>
    <w:basedOn w:val="883"/>
    <w:link w:val="822"/>
    <w:uiPriority w:val="99"/>
    <w:qFormat/>
  </w:style>
  <w:style w:type="character" w:styleId="977" w:customStyle="1">
    <w:name w:val="Caption Char"/>
    <w:link w:val="822"/>
    <w:uiPriority w:val="99"/>
    <w:qFormat/>
  </w:style>
  <w:style w:type="table" w:styleId="978" w:customStyle="1">
    <w:name w:val="Table Grid Light"/>
    <w:basedOn w:val="884"/>
    <w:uiPriority w:val="59"/>
    <w:qFormat/>
    <w:tblPr/>
  </w:style>
  <w:style w:type="table" w:styleId="979" w:customStyle="1">
    <w:name w:val="Plain Table 1"/>
    <w:basedOn w:val="884"/>
    <w:uiPriority w:val="59"/>
    <w:qFormat/>
    <w:tblPr/>
  </w:style>
  <w:style w:type="table" w:styleId="980" w:customStyle="1">
    <w:name w:val="Plain Table 2"/>
    <w:basedOn w:val="884"/>
    <w:uiPriority w:val="59"/>
    <w:qFormat/>
    <w:tblPr/>
  </w:style>
  <w:style w:type="table" w:styleId="981" w:customStyle="1">
    <w:name w:val="Plain Table 3"/>
    <w:basedOn w:val="884"/>
    <w:uiPriority w:val="99"/>
    <w:qFormat/>
    <w:tblPr/>
  </w:style>
  <w:style w:type="table" w:styleId="982" w:customStyle="1">
    <w:name w:val="Plain Table 4"/>
    <w:basedOn w:val="884"/>
    <w:uiPriority w:val="99"/>
    <w:qFormat/>
    <w:tblPr/>
  </w:style>
  <w:style w:type="table" w:styleId="983" w:customStyle="1">
    <w:name w:val="Plain Table 5"/>
    <w:basedOn w:val="884"/>
    <w:uiPriority w:val="99"/>
    <w:qFormat/>
    <w:tblPr/>
  </w:style>
  <w:style w:type="table" w:styleId="984" w:customStyle="1">
    <w:name w:val="Grid Table 1 Light"/>
    <w:basedOn w:val="884"/>
    <w:uiPriority w:val="99"/>
    <w:qFormat/>
    <w:tblPr/>
  </w:style>
  <w:style w:type="table" w:styleId="985" w:customStyle="1">
    <w:name w:val="Grid Table 1 Light - Accent 1"/>
    <w:basedOn w:val="884"/>
    <w:uiPriority w:val="99"/>
    <w:qFormat/>
    <w:tblPr/>
  </w:style>
  <w:style w:type="table" w:styleId="986" w:customStyle="1">
    <w:name w:val="Grid Table 1 Light - Accent 2"/>
    <w:basedOn w:val="884"/>
    <w:uiPriority w:val="99"/>
    <w:qFormat/>
    <w:tblPr/>
  </w:style>
  <w:style w:type="table" w:styleId="987" w:customStyle="1">
    <w:name w:val="Grid Table 1 Light - Accent 3"/>
    <w:basedOn w:val="884"/>
    <w:uiPriority w:val="99"/>
    <w:qFormat/>
    <w:tblPr/>
  </w:style>
  <w:style w:type="table" w:styleId="988" w:customStyle="1">
    <w:name w:val="Grid Table 1 Light - Accent 4"/>
    <w:basedOn w:val="884"/>
    <w:uiPriority w:val="99"/>
    <w:qFormat/>
    <w:tblPr/>
  </w:style>
  <w:style w:type="table" w:styleId="989" w:customStyle="1">
    <w:name w:val="Grid Table 1 Light - Accent 5"/>
    <w:basedOn w:val="884"/>
    <w:uiPriority w:val="99"/>
    <w:qFormat/>
    <w:tblPr/>
  </w:style>
  <w:style w:type="table" w:styleId="990" w:customStyle="1">
    <w:name w:val="Grid Table 1 Light - Accent 6"/>
    <w:basedOn w:val="884"/>
    <w:uiPriority w:val="99"/>
    <w:qFormat/>
    <w:tblPr/>
  </w:style>
  <w:style w:type="table" w:styleId="991" w:customStyle="1">
    <w:name w:val="Grid Table 2"/>
    <w:basedOn w:val="884"/>
    <w:uiPriority w:val="99"/>
    <w:qFormat/>
    <w:tblPr/>
  </w:style>
  <w:style w:type="table" w:styleId="992" w:customStyle="1">
    <w:name w:val="Grid Table 2 - Accent 1"/>
    <w:basedOn w:val="884"/>
    <w:uiPriority w:val="99"/>
    <w:qFormat/>
    <w:tblPr/>
  </w:style>
  <w:style w:type="table" w:styleId="993" w:customStyle="1">
    <w:name w:val="Grid Table 2 - Accent 2"/>
    <w:basedOn w:val="884"/>
    <w:uiPriority w:val="99"/>
    <w:qFormat/>
    <w:tblPr/>
  </w:style>
  <w:style w:type="table" w:styleId="994" w:customStyle="1">
    <w:name w:val="Grid Table 2 - Accent 3"/>
    <w:basedOn w:val="884"/>
    <w:uiPriority w:val="99"/>
    <w:qFormat/>
    <w:tblPr/>
  </w:style>
  <w:style w:type="table" w:styleId="995" w:customStyle="1">
    <w:name w:val="Grid Table 2 - Accent 4"/>
    <w:basedOn w:val="884"/>
    <w:uiPriority w:val="99"/>
    <w:qFormat/>
    <w:tblPr/>
  </w:style>
  <w:style w:type="table" w:styleId="996" w:customStyle="1">
    <w:name w:val="Grid Table 2 - Accent 5"/>
    <w:basedOn w:val="884"/>
    <w:uiPriority w:val="99"/>
    <w:qFormat/>
    <w:tblPr/>
  </w:style>
  <w:style w:type="table" w:styleId="997" w:customStyle="1">
    <w:name w:val="Grid Table 2 - Accent 6"/>
    <w:basedOn w:val="884"/>
    <w:uiPriority w:val="99"/>
    <w:qFormat/>
    <w:tblPr/>
  </w:style>
  <w:style w:type="table" w:styleId="998" w:customStyle="1">
    <w:name w:val="Grid Table 3"/>
    <w:basedOn w:val="884"/>
    <w:uiPriority w:val="99"/>
    <w:qFormat/>
    <w:tblPr/>
  </w:style>
  <w:style w:type="table" w:styleId="999" w:customStyle="1">
    <w:name w:val="Grid Table 3 - Accent 1"/>
    <w:basedOn w:val="884"/>
    <w:uiPriority w:val="99"/>
    <w:qFormat/>
    <w:tblPr/>
  </w:style>
  <w:style w:type="table" w:styleId="1000" w:customStyle="1">
    <w:name w:val="Grid Table 3 - Accent 2"/>
    <w:basedOn w:val="884"/>
    <w:uiPriority w:val="99"/>
    <w:qFormat/>
    <w:tblPr/>
  </w:style>
  <w:style w:type="table" w:styleId="1001" w:customStyle="1">
    <w:name w:val="Grid Table 3 - Accent 3"/>
    <w:basedOn w:val="884"/>
    <w:uiPriority w:val="99"/>
    <w:qFormat/>
    <w:tblPr/>
  </w:style>
  <w:style w:type="table" w:styleId="1002" w:customStyle="1">
    <w:name w:val="Grid Table 3 - Accent 4"/>
    <w:basedOn w:val="884"/>
    <w:uiPriority w:val="99"/>
    <w:qFormat/>
    <w:tblPr/>
  </w:style>
  <w:style w:type="table" w:styleId="1003" w:customStyle="1">
    <w:name w:val="Grid Table 3 - Accent 5"/>
    <w:basedOn w:val="884"/>
    <w:uiPriority w:val="99"/>
    <w:qFormat/>
    <w:tblPr/>
  </w:style>
  <w:style w:type="table" w:styleId="1004" w:customStyle="1">
    <w:name w:val="Grid Table 3 - Accent 6"/>
    <w:basedOn w:val="884"/>
    <w:uiPriority w:val="99"/>
    <w:qFormat/>
    <w:tblPr/>
  </w:style>
  <w:style w:type="table" w:styleId="1005" w:customStyle="1">
    <w:name w:val="Grid Table 4"/>
    <w:basedOn w:val="884"/>
    <w:uiPriority w:val="59"/>
    <w:qFormat/>
    <w:tblPr/>
  </w:style>
  <w:style w:type="table" w:styleId="1006" w:customStyle="1">
    <w:name w:val="Grid Table 4 - Accent 1"/>
    <w:basedOn w:val="884"/>
    <w:uiPriority w:val="59"/>
    <w:qFormat/>
    <w:tblPr/>
  </w:style>
  <w:style w:type="table" w:styleId="1007" w:customStyle="1">
    <w:name w:val="Grid Table 4 - Accent 2"/>
    <w:basedOn w:val="884"/>
    <w:uiPriority w:val="59"/>
    <w:qFormat/>
    <w:tblPr/>
  </w:style>
  <w:style w:type="table" w:styleId="1008" w:customStyle="1">
    <w:name w:val="Grid Table 4 - Accent 3"/>
    <w:basedOn w:val="884"/>
    <w:uiPriority w:val="59"/>
    <w:qFormat/>
    <w:tblPr/>
  </w:style>
  <w:style w:type="table" w:styleId="1009" w:customStyle="1">
    <w:name w:val="Grid Table 4 - Accent 4"/>
    <w:basedOn w:val="884"/>
    <w:uiPriority w:val="59"/>
    <w:qFormat/>
    <w:tblPr/>
  </w:style>
  <w:style w:type="table" w:styleId="1010" w:customStyle="1">
    <w:name w:val="Grid Table 4 - Accent 5"/>
    <w:basedOn w:val="884"/>
    <w:uiPriority w:val="59"/>
    <w:qFormat/>
    <w:tblPr/>
  </w:style>
  <w:style w:type="table" w:styleId="1011" w:customStyle="1">
    <w:name w:val="Grid Table 4 - Accent 6"/>
    <w:basedOn w:val="884"/>
    <w:uiPriority w:val="59"/>
    <w:qFormat/>
    <w:tblPr/>
  </w:style>
  <w:style w:type="table" w:styleId="1012" w:customStyle="1">
    <w:name w:val="Grid Table 5 Dark"/>
    <w:basedOn w:val="884"/>
    <w:uiPriority w:val="99"/>
    <w:qFormat/>
    <w:tblPr/>
  </w:style>
  <w:style w:type="table" w:styleId="1013" w:customStyle="1">
    <w:name w:val="Grid Table 5 Dark- Accent 1"/>
    <w:basedOn w:val="884"/>
    <w:uiPriority w:val="99"/>
    <w:qFormat/>
    <w:tblPr/>
  </w:style>
  <w:style w:type="table" w:styleId="1014" w:customStyle="1">
    <w:name w:val="Grid Table 5 Dark - Accent 2"/>
    <w:basedOn w:val="884"/>
    <w:uiPriority w:val="99"/>
    <w:qFormat/>
    <w:tblPr/>
  </w:style>
  <w:style w:type="table" w:styleId="1015" w:customStyle="1">
    <w:name w:val="Grid Table 5 Dark - Accent 3"/>
    <w:basedOn w:val="884"/>
    <w:uiPriority w:val="99"/>
    <w:qFormat/>
    <w:tblPr/>
  </w:style>
  <w:style w:type="table" w:styleId="1016" w:customStyle="1">
    <w:name w:val="Grid Table 5 Dark- Accent 4"/>
    <w:basedOn w:val="884"/>
    <w:uiPriority w:val="99"/>
    <w:qFormat/>
    <w:tblPr/>
  </w:style>
  <w:style w:type="table" w:styleId="1017" w:customStyle="1">
    <w:name w:val="Grid Table 5 Dark - Accent 5"/>
    <w:basedOn w:val="884"/>
    <w:uiPriority w:val="99"/>
    <w:qFormat/>
    <w:tblPr/>
  </w:style>
  <w:style w:type="table" w:styleId="1018" w:customStyle="1">
    <w:name w:val="Grid Table 5 Dark - Accent 6"/>
    <w:basedOn w:val="884"/>
    <w:uiPriority w:val="99"/>
    <w:qFormat/>
    <w:tblPr/>
  </w:style>
  <w:style w:type="table" w:styleId="1019" w:customStyle="1">
    <w:name w:val="Grid Table 6 Colorful"/>
    <w:basedOn w:val="884"/>
    <w:uiPriority w:val="99"/>
    <w:qFormat/>
    <w:tblPr/>
  </w:style>
  <w:style w:type="table" w:styleId="1020" w:customStyle="1">
    <w:name w:val="Grid Table 6 Colorful - Accent 1"/>
    <w:basedOn w:val="884"/>
    <w:uiPriority w:val="99"/>
    <w:qFormat/>
    <w:tblPr/>
  </w:style>
  <w:style w:type="table" w:styleId="1021" w:customStyle="1">
    <w:name w:val="Grid Table 6 Colorful - Accent 2"/>
    <w:basedOn w:val="884"/>
    <w:uiPriority w:val="99"/>
    <w:qFormat/>
    <w:tblPr/>
  </w:style>
  <w:style w:type="table" w:styleId="1022" w:customStyle="1">
    <w:name w:val="Grid Table 6 Colorful - Accent 3"/>
    <w:basedOn w:val="884"/>
    <w:uiPriority w:val="99"/>
    <w:qFormat/>
    <w:tblPr/>
  </w:style>
  <w:style w:type="table" w:styleId="1023" w:customStyle="1">
    <w:name w:val="Grid Table 6 Colorful - Accent 4"/>
    <w:basedOn w:val="884"/>
    <w:uiPriority w:val="99"/>
    <w:qFormat/>
    <w:tblPr/>
  </w:style>
  <w:style w:type="table" w:styleId="1024" w:customStyle="1">
    <w:name w:val="Grid Table 6 Colorful - Accent 5"/>
    <w:basedOn w:val="884"/>
    <w:uiPriority w:val="99"/>
    <w:qFormat/>
    <w:tblPr/>
  </w:style>
  <w:style w:type="table" w:styleId="1025" w:customStyle="1">
    <w:name w:val="Grid Table 6 Colorful - Accent 6"/>
    <w:basedOn w:val="884"/>
    <w:uiPriority w:val="99"/>
    <w:qFormat/>
    <w:tblPr/>
  </w:style>
  <w:style w:type="table" w:styleId="1026" w:customStyle="1">
    <w:name w:val="Grid Table 7 Colorful"/>
    <w:basedOn w:val="884"/>
    <w:uiPriority w:val="99"/>
    <w:qFormat/>
    <w:tblPr/>
  </w:style>
  <w:style w:type="table" w:styleId="1027" w:customStyle="1">
    <w:name w:val="Grid Table 7 Colorful - Accent 1"/>
    <w:basedOn w:val="884"/>
    <w:uiPriority w:val="99"/>
    <w:qFormat/>
    <w:tblPr/>
  </w:style>
  <w:style w:type="table" w:styleId="1028" w:customStyle="1">
    <w:name w:val="Grid Table 7 Colorful - Accent 2"/>
    <w:basedOn w:val="884"/>
    <w:uiPriority w:val="99"/>
    <w:qFormat/>
    <w:tblPr/>
  </w:style>
  <w:style w:type="table" w:styleId="1029" w:customStyle="1">
    <w:name w:val="Grid Table 7 Colorful - Accent 3"/>
    <w:basedOn w:val="884"/>
    <w:uiPriority w:val="99"/>
    <w:qFormat/>
    <w:tblPr/>
  </w:style>
  <w:style w:type="table" w:styleId="1030" w:customStyle="1">
    <w:name w:val="Grid Table 7 Colorful - Accent 4"/>
    <w:basedOn w:val="884"/>
    <w:uiPriority w:val="99"/>
    <w:qFormat/>
    <w:tblPr/>
  </w:style>
  <w:style w:type="table" w:styleId="1031" w:customStyle="1">
    <w:name w:val="Grid Table 7 Colorful - Accent 5"/>
    <w:basedOn w:val="884"/>
    <w:uiPriority w:val="99"/>
    <w:qFormat/>
    <w:tblPr/>
  </w:style>
  <w:style w:type="table" w:styleId="1032" w:customStyle="1">
    <w:name w:val="Grid Table 7 Colorful - Accent 6"/>
    <w:basedOn w:val="884"/>
    <w:uiPriority w:val="99"/>
    <w:qFormat/>
    <w:tblPr/>
  </w:style>
  <w:style w:type="table" w:styleId="1033" w:customStyle="1">
    <w:name w:val="List Table 1 Light"/>
    <w:basedOn w:val="884"/>
    <w:uiPriority w:val="99"/>
    <w:qFormat/>
    <w:tblPr/>
  </w:style>
  <w:style w:type="table" w:styleId="1034" w:customStyle="1">
    <w:name w:val="List Table 1 Light - Accent 1"/>
    <w:basedOn w:val="884"/>
    <w:uiPriority w:val="99"/>
    <w:qFormat/>
    <w:tblPr/>
  </w:style>
  <w:style w:type="table" w:styleId="1035" w:customStyle="1">
    <w:name w:val="List Table 1 Light - Accent 2"/>
    <w:basedOn w:val="884"/>
    <w:uiPriority w:val="99"/>
    <w:qFormat/>
    <w:tblPr/>
  </w:style>
  <w:style w:type="table" w:styleId="1036" w:customStyle="1">
    <w:name w:val="List Table 1 Light - Accent 3"/>
    <w:basedOn w:val="884"/>
    <w:uiPriority w:val="99"/>
    <w:qFormat/>
    <w:tblPr/>
  </w:style>
  <w:style w:type="table" w:styleId="1037" w:customStyle="1">
    <w:name w:val="List Table 1 Light - Accent 4"/>
    <w:basedOn w:val="884"/>
    <w:uiPriority w:val="99"/>
    <w:qFormat/>
    <w:tblPr/>
  </w:style>
  <w:style w:type="table" w:styleId="1038" w:customStyle="1">
    <w:name w:val="List Table 1 Light - Accent 5"/>
    <w:basedOn w:val="884"/>
    <w:uiPriority w:val="99"/>
    <w:qFormat/>
    <w:tblPr/>
  </w:style>
  <w:style w:type="table" w:styleId="1039" w:customStyle="1">
    <w:name w:val="List Table 1 Light - Accent 6"/>
    <w:basedOn w:val="884"/>
    <w:uiPriority w:val="99"/>
    <w:qFormat/>
    <w:tblPr/>
  </w:style>
  <w:style w:type="table" w:styleId="1040" w:customStyle="1">
    <w:name w:val="List Table 2"/>
    <w:basedOn w:val="884"/>
    <w:uiPriority w:val="99"/>
    <w:qFormat/>
    <w:tblPr/>
  </w:style>
  <w:style w:type="table" w:styleId="1041" w:customStyle="1">
    <w:name w:val="List Table 2 - Accent 1"/>
    <w:basedOn w:val="884"/>
    <w:uiPriority w:val="99"/>
    <w:qFormat/>
    <w:tblPr/>
  </w:style>
  <w:style w:type="table" w:styleId="1042" w:customStyle="1">
    <w:name w:val="List Table 2 - Accent 2"/>
    <w:basedOn w:val="884"/>
    <w:uiPriority w:val="99"/>
    <w:qFormat/>
    <w:tblPr/>
  </w:style>
  <w:style w:type="table" w:styleId="1043" w:customStyle="1">
    <w:name w:val="List Table 2 - Accent 3"/>
    <w:basedOn w:val="884"/>
    <w:uiPriority w:val="99"/>
    <w:qFormat/>
    <w:tblPr/>
  </w:style>
  <w:style w:type="table" w:styleId="1044" w:customStyle="1">
    <w:name w:val="List Table 2 - Accent 4"/>
    <w:basedOn w:val="884"/>
    <w:uiPriority w:val="99"/>
    <w:qFormat/>
    <w:tblPr/>
  </w:style>
  <w:style w:type="table" w:styleId="1045" w:customStyle="1">
    <w:name w:val="List Table 2 - Accent 5"/>
    <w:basedOn w:val="884"/>
    <w:uiPriority w:val="99"/>
    <w:qFormat/>
    <w:tblPr/>
  </w:style>
  <w:style w:type="table" w:styleId="1046" w:customStyle="1">
    <w:name w:val="List Table 2 - Accent 6"/>
    <w:basedOn w:val="884"/>
    <w:uiPriority w:val="99"/>
    <w:qFormat/>
    <w:tblPr/>
  </w:style>
  <w:style w:type="table" w:styleId="1047" w:customStyle="1">
    <w:name w:val="List Table 3"/>
    <w:basedOn w:val="884"/>
    <w:uiPriority w:val="99"/>
    <w:qFormat/>
    <w:tblPr/>
  </w:style>
  <w:style w:type="table" w:styleId="1048" w:customStyle="1">
    <w:name w:val="List Table 3 - Accent 1"/>
    <w:basedOn w:val="884"/>
    <w:uiPriority w:val="99"/>
    <w:qFormat/>
    <w:tblPr/>
  </w:style>
  <w:style w:type="table" w:styleId="1049" w:customStyle="1">
    <w:name w:val="List Table 3 - Accent 2"/>
    <w:basedOn w:val="884"/>
    <w:uiPriority w:val="99"/>
    <w:qFormat/>
    <w:tblPr/>
  </w:style>
  <w:style w:type="table" w:styleId="1050" w:customStyle="1">
    <w:name w:val="List Table 3 - Accent 3"/>
    <w:basedOn w:val="884"/>
    <w:uiPriority w:val="99"/>
    <w:qFormat/>
    <w:tblPr/>
  </w:style>
  <w:style w:type="table" w:styleId="1051" w:customStyle="1">
    <w:name w:val="List Table 3 - Accent 4"/>
    <w:basedOn w:val="884"/>
    <w:uiPriority w:val="99"/>
    <w:qFormat/>
    <w:tblPr/>
  </w:style>
  <w:style w:type="table" w:styleId="1052" w:customStyle="1">
    <w:name w:val="List Table 3 - Accent 5"/>
    <w:basedOn w:val="884"/>
    <w:uiPriority w:val="99"/>
    <w:qFormat/>
    <w:tblPr/>
  </w:style>
  <w:style w:type="table" w:styleId="1053" w:customStyle="1">
    <w:name w:val="List Table 3 - Accent 6"/>
    <w:basedOn w:val="884"/>
    <w:uiPriority w:val="99"/>
    <w:qFormat/>
    <w:tblPr/>
  </w:style>
  <w:style w:type="table" w:styleId="1054" w:customStyle="1">
    <w:name w:val="List Table 4"/>
    <w:basedOn w:val="884"/>
    <w:uiPriority w:val="99"/>
    <w:qFormat/>
    <w:tblPr/>
  </w:style>
  <w:style w:type="table" w:styleId="1055" w:customStyle="1">
    <w:name w:val="List Table 4 - Accent 1"/>
    <w:basedOn w:val="884"/>
    <w:uiPriority w:val="99"/>
    <w:qFormat/>
    <w:tblPr/>
  </w:style>
  <w:style w:type="table" w:styleId="1056" w:customStyle="1">
    <w:name w:val="List Table 4 - Accent 2"/>
    <w:basedOn w:val="884"/>
    <w:uiPriority w:val="99"/>
    <w:qFormat/>
    <w:tblPr/>
  </w:style>
  <w:style w:type="table" w:styleId="1057" w:customStyle="1">
    <w:name w:val="List Table 4 - Accent 3"/>
    <w:basedOn w:val="884"/>
    <w:uiPriority w:val="99"/>
    <w:qFormat/>
    <w:tblPr/>
  </w:style>
  <w:style w:type="table" w:styleId="1058" w:customStyle="1">
    <w:name w:val="List Table 4 - Accent 4"/>
    <w:basedOn w:val="884"/>
    <w:uiPriority w:val="99"/>
    <w:qFormat/>
    <w:tblPr/>
  </w:style>
  <w:style w:type="table" w:styleId="1059" w:customStyle="1">
    <w:name w:val="List Table 4 - Accent 5"/>
    <w:basedOn w:val="884"/>
    <w:uiPriority w:val="99"/>
    <w:qFormat/>
    <w:tblPr/>
  </w:style>
  <w:style w:type="table" w:styleId="1060" w:customStyle="1">
    <w:name w:val="List Table 4 - Accent 6"/>
    <w:basedOn w:val="884"/>
    <w:uiPriority w:val="99"/>
    <w:qFormat/>
    <w:tblPr/>
  </w:style>
  <w:style w:type="table" w:styleId="1061" w:customStyle="1">
    <w:name w:val="List Table 5 Dark"/>
    <w:basedOn w:val="884"/>
    <w:uiPriority w:val="99"/>
    <w:qFormat/>
    <w:tblPr/>
  </w:style>
  <w:style w:type="table" w:styleId="1062" w:customStyle="1">
    <w:name w:val="List Table 5 Dark - Accent 1"/>
    <w:basedOn w:val="884"/>
    <w:uiPriority w:val="99"/>
    <w:qFormat/>
    <w:tblPr/>
  </w:style>
  <w:style w:type="table" w:styleId="1063" w:customStyle="1">
    <w:name w:val="List Table 5 Dark - Accent 2"/>
    <w:basedOn w:val="884"/>
    <w:uiPriority w:val="99"/>
    <w:qFormat/>
    <w:tblPr/>
  </w:style>
  <w:style w:type="table" w:styleId="1064" w:customStyle="1">
    <w:name w:val="List Table 5 Dark - Accent 3"/>
    <w:basedOn w:val="884"/>
    <w:uiPriority w:val="99"/>
    <w:qFormat/>
    <w:tblPr/>
  </w:style>
  <w:style w:type="table" w:styleId="1065" w:customStyle="1">
    <w:name w:val="List Table 5 Dark - Accent 4"/>
    <w:basedOn w:val="884"/>
    <w:uiPriority w:val="99"/>
    <w:qFormat/>
    <w:tblPr/>
  </w:style>
  <w:style w:type="table" w:styleId="1066" w:customStyle="1">
    <w:name w:val="List Table 5 Dark - Accent 5"/>
    <w:basedOn w:val="884"/>
    <w:uiPriority w:val="99"/>
    <w:qFormat/>
    <w:tblPr/>
  </w:style>
  <w:style w:type="table" w:styleId="1067" w:customStyle="1">
    <w:name w:val="List Table 5 Dark - Accent 6"/>
    <w:basedOn w:val="884"/>
    <w:uiPriority w:val="99"/>
    <w:qFormat/>
    <w:tblPr/>
  </w:style>
  <w:style w:type="table" w:styleId="1068" w:customStyle="1">
    <w:name w:val="List Table 6 Colorful"/>
    <w:basedOn w:val="884"/>
    <w:uiPriority w:val="99"/>
    <w:qFormat/>
    <w:tblPr/>
  </w:style>
  <w:style w:type="table" w:styleId="1069" w:customStyle="1">
    <w:name w:val="List Table 6 Colorful - Accent 1"/>
    <w:basedOn w:val="884"/>
    <w:uiPriority w:val="99"/>
    <w:qFormat/>
    <w:tblPr/>
  </w:style>
  <w:style w:type="table" w:styleId="1070" w:customStyle="1">
    <w:name w:val="List Table 6 Colorful - Accent 2"/>
    <w:basedOn w:val="884"/>
    <w:uiPriority w:val="99"/>
    <w:qFormat/>
    <w:tblPr/>
  </w:style>
  <w:style w:type="table" w:styleId="1071" w:customStyle="1">
    <w:name w:val="List Table 6 Colorful - Accent 3"/>
    <w:basedOn w:val="884"/>
    <w:uiPriority w:val="99"/>
    <w:qFormat/>
    <w:tblPr/>
  </w:style>
  <w:style w:type="table" w:styleId="1072" w:customStyle="1">
    <w:name w:val="List Table 6 Colorful - Accent 4"/>
    <w:basedOn w:val="884"/>
    <w:uiPriority w:val="99"/>
    <w:qFormat/>
    <w:tblPr/>
  </w:style>
  <w:style w:type="table" w:styleId="1073" w:customStyle="1">
    <w:name w:val="List Table 6 Colorful - Accent 5"/>
    <w:basedOn w:val="884"/>
    <w:uiPriority w:val="99"/>
    <w:qFormat/>
    <w:tblPr/>
  </w:style>
  <w:style w:type="table" w:styleId="1074" w:customStyle="1">
    <w:name w:val="List Table 6 Colorful - Accent 6"/>
    <w:basedOn w:val="884"/>
    <w:uiPriority w:val="99"/>
    <w:qFormat/>
    <w:tblPr/>
  </w:style>
  <w:style w:type="table" w:styleId="1075" w:customStyle="1">
    <w:name w:val="List Table 7 Colorful"/>
    <w:basedOn w:val="884"/>
    <w:uiPriority w:val="99"/>
    <w:qFormat/>
    <w:tblPr/>
  </w:style>
  <w:style w:type="table" w:styleId="1076" w:customStyle="1">
    <w:name w:val="List Table 7 Colorful - Accent 1"/>
    <w:basedOn w:val="884"/>
    <w:uiPriority w:val="99"/>
    <w:qFormat/>
    <w:tblPr/>
  </w:style>
  <w:style w:type="table" w:styleId="1077" w:customStyle="1">
    <w:name w:val="List Table 7 Colorful - Accent 2"/>
    <w:basedOn w:val="884"/>
    <w:uiPriority w:val="99"/>
    <w:qFormat/>
    <w:tblPr/>
  </w:style>
  <w:style w:type="table" w:styleId="1078" w:customStyle="1">
    <w:name w:val="List Table 7 Colorful - Accent 3"/>
    <w:basedOn w:val="884"/>
    <w:uiPriority w:val="99"/>
    <w:qFormat/>
    <w:tblPr/>
  </w:style>
  <w:style w:type="table" w:styleId="1079" w:customStyle="1">
    <w:name w:val="List Table 7 Colorful - Accent 4"/>
    <w:basedOn w:val="884"/>
    <w:uiPriority w:val="99"/>
    <w:qFormat/>
    <w:tblPr/>
  </w:style>
  <w:style w:type="table" w:styleId="1080" w:customStyle="1">
    <w:name w:val="List Table 7 Colorful - Accent 5"/>
    <w:basedOn w:val="884"/>
    <w:uiPriority w:val="99"/>
    <w:qFormat/>
    <w:tblPr/>
  </w:style>
  <w:style w:type="table" w:styleId="1081" w:customStyle="1">
    <w:name w:val="List Table 7 Colorful - Accent 6"/>
    <w:basedOn w:val="884"/>
    <w:uiPriority w:val="99"/>
    <w:qFormat/>
    <w:tblPr/>
  </w:style>
  <w:style w:type="table" w:styleId="1082" w:customStyle="1">
    <w:name w:val="Lined - Accent"/>
    <w:basedOn w:val="884"/>
    <w:uiPriority w:val="99"/>
    <w:qFormat/>
    <w:rPr>
      <w:color w:val="404040"/>
    </w:rPr>
    <w:tblPr/>
  </w:style>
  <w:style w:type="table" w:styleId="1083" w:customStyle="1">
    <w:name w:val="Lined - Accent 1"/>
    <w:basedOn w:val="884"/>
    <w:uiPriority w:val="99"/>
    <w:qFormat/>
    <w:rPr>
      <w:color w:val="404040"/>
    </w:rPr>
    <w:tblPr/>
  </w:style>
  <w:style w:type="table" w:styleId="1084" w:customStyle="1">
    <w:name w:val="Lined - Accent 2"/>
    <w:basedOn w:val="884"/>
    <w:uiPriority w:val="99"/>
    <w:qFormat/>
    <w:rPr>
      <w:color w:val="404040"/>
    </w:rPr>
    <w:tblPr/>
  </w:style>
  <w:style w:type="table" w:styleId="1085" w:customStyle="1">
    <w:name w:val="Lined - Accent 3"/>
    <w:basedOn w:val="884"/>
    <w:uiPriority w:val="99"/>
    <w:qFormat/>
    <w:rPr>
      <w:color w:val="404040"/>
    </w:rPr>
    <w:tblPr/>
  </w:style>
  <w:style w:type="table" w:styleId="1086" w:customStyle="1">
    <w:name w:val="Lined - Accent 4"/>
    <w:basedOn w:val="884"/>
    <w:uiPriority w:val="99"/>
    <w:qFormat/>
    <w:rPr>
      <w:color w:val="404040"/>
    </w:rPr>
    <w:tblPr/>
  </w:style>
  <w:style w:type="table" w:styleId="1087" w:customStyle="1">
    <w:name w:val="Lined - Accent 5"/>
    <w:basedOn w:val="884"/>
    <w:uiPriority w:val="99"/>
    <w:qFormat/>
    <w:rPr>
      <w:color w:val="404040"/>
    </w:rPr>
    <w:tblPr/>
  </w:style>
  <w:style w:type="table" w:styleId="1088" w:customStyle="1">
    <w:name w:val="Lined - Accent 6"/>
    <w:basedOn w:val="884"/>
    <w:uiPriority w:val="99"/>
    <w:qFormat/>
    <w:rPr>
      <w:color w:val="404040"/>
    </w:rPr>
    <w:tblPr/>
  </w:style>
  <w:style w:type="table" w:styleId="1089" w:customStyle="1">
    <w:name w:val="Bordered &amp; Lined - Accent"/>
    <w:basedOn w:val="884"/>
    <w:uiPriority w:val="99"/>
    <w:qFormat/>
    <w:rPr>
      <w:color w:val="404040"/>
    </w:rPr>
    <w:tblPr/>
  </w:style>
  <w:style w:type="table" w:styleId="1090" w:customStyle="1">
    <w:name w:val="Bordered &amp; Lined - Accent 1"/>
    <w:basedOn w:val="884"/>
    <w:uiPriority w:val="99"/>
    <w:qFormat/>
    <w:rPr>
      <w:color w:val="404040"/>
    </w:rPr>
    <w:tblPr/>
  </w:style>
  <w:style w:type="table" w:styleId="1091" w:customStyle="1">
    <w:name w:val="Bordered &amp; Lined - Accent 2"/>
    <w:basedOn w:val="884"/>
    <w:uiPriority w:val="99"/>
    <w:qFormat/>
    <w:rPr>
      <w:color w:val="404040"/>
    </w:rPr>
    <w:tblPr/>
  </w:style>
  <w:style w:type="table" w:styleId="1092" w:customStyle="1">
    <w:name w:val="Bordered &amp; Lined - Accent 3"/>
    <w:basedOn w:val="884"/>
    <w:uiPriority w:val="99"/>
    <w:qFormat/>
    <w:rPr>
      <w:color w:val="404040"/>
    </w:rPr>
    <w:tblPr/>
  </w:style>
  <w:style w:type="table" w:styleId="1093" w:customStyle="1">
    <w:name w:val="Bordered &amp; Lined - Accent 4"/>
    <w:basedOn w:val="884"/>
    <w:uiPriority w:val="99"/>
    <w:qFormat/>
    <w:rPr>
      <w:color w:val="404040"/>
    </w:rPr>
    <w:tblPr/>
  </w:style>
  <w:style w:type="table" w:styleId="1094" w:customStyle="1">
    <w:name w:val="Bordered &amp; Lined - Accent 5"/>
    <w:basedOn w:val="884"/>
    <w:uiPriority w:val="99"/>
    <w:qFormat/>
    <w:rPr>
      <w:color w:val="404040"/>
    </w:rPr>
    <w:tblPr/>
  </w:style>
  <w:style w:type="table" w:styleId="1095" w:customStyle="1">
    <w:name w:val="Bordered &amp; Lined - Accent 6"/>
    <w:basedOn w:val="884"/>
    <w:uiPriority w:val="99"/>
    <w:qFormat/>
    <w:rPr>
      <w:color w:val="404040"/>
    </w:rPr>
    <w:tblPr/>
  </w:style>
  <w:style w:type="table" w:styleId="1096" w:customStyle="1">
    <w:name w:val="Bordered"/>
    <w:basedOn w:val="884"/>
    <w:uiPriority w:val="99"/>
    <w:qFormat/>
    <w:tblPr/>
  </w:style>
  <w:style w:type="table" w:styleId="1097" w:customStyle="1">
    <w:name w:val="Bordered - Accent 1"/>
    <w:basedOn w:val="884"/>
    <w:uiPriority w:val="99"/>
    <w:qFormat/>
    <w:tblPr/>
  </w:style>
  <w:style w:type="table" w:styleId="1098" w:customStyle="1">
    <w:name w:val="Bordered - Accent 2"/>
    <w:basedOn w:val="884"/>
    <w:uiPriority w:val="99"/>
    <w:qFormat/>
    <w:tblPr/>
  </w:style>
  <w:style w:type="table" w:styleId="1099" w:customStyle="1">
    <w:name w:val="Bordered - Accent 3"/>
    <w:basedOn w:val="884"/>
    <w:uiPriority w:val="99"/>
    <w:qFormat/>
    <w:tblPr/>
  </w:style>
  <w:style w:type="table" w:styleId="1100" w:customStyle="1">
    <w:name w:val="Bordered - Accent 4"/>
    <w:basedOn w:val="884"/>
    <w:uiPriority w:val="99"/>
    <w:qFormat/>
    <w:tblPr/>
  </w:style>
  <w:style w:type="table" w:styleId="1101" w:customStyle="1">
    <w:name w:val="Bordered - Accent 5"/>
    <w:basedOn w:val="884"/>
    <w:uiPriority w:val="99"/>
    <w:qFormat/>
    <w:tblPr/>
  </w:style>
  <w:style w:type="table" w:styleId="1102" w:customStyle="1">
    <w:name w:val="Bordered - Accent 6"/>
    <w:basedOn w:val="884"/>
    <w:uiPriority w:val="99"/>
    <w:qFormat/>
    <w:tblPr/>
  </w:style>
  <w:style w:type="character" w:styleId="1103" w:customStyle="1">
    <w:name w:val="Footnote Text Char"/>
    <w:link w:val="822"/>
    <w:uiPriority w:val="99"/>
    <w:qFormat/>
    <w:rPr>
      <w:sz w:val="18"/>
    </w:rPr>
  </w:style>
  <w:style w:type="paragraph" w:styleId="1104" w:customStyle="1">
    <w:name w:val="TOC 标题1"/>
    <w:uiPriority w:val="39"/>
    <w:unhideWhenUsed/>
    <w:qFormat/>
    <w:rPr>
      <w:rFonts w:hint="default" w:ascii="Times New Roman" w:hAnsi="Times New Roman" w:eastAsia="宋体" w:cs="Times New Roman"/>
      <w:lang w:val="en-US" w:eastAsia="zh-CN" w:bidi="ar-SA"/>
    </w:rPr>
  </w:style>
  <w:style w:type="paragraph" w:styleId="1105" w:customStyle="1">
    <w:name w:val="p0"/>
    <w:basedOn w:val="822"/>
    <w:uiPriority w:val="0"/>
    <w:qFormat/>
    <w:pPr>
      <w:widowControl/>
    </w:pPr>
    <w:rPr>
      <w:szCs w:val="21"/>
    </w:rPr>
  </w:style>
  <w:style w:type="paragraph" w:styleId="1106">
    <w:name w:val="List Paragraph"/>
    <w:basedOn w:val="822"/>
    <w:uiPriority w:val="1"/>
    <w:qFormat/>
    <w:pPr>
      <w:ind w:firstLine="420"/>
    </w:pPr>
  </w:style>
  <w:style w:type="paragraph" w:styleId="11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08" w:customStyle="1">
    <w:name w:val="NormalCharacter1"/>
    <w:link w:val="822"/>
    <w:uiPriority w:val="0"/>
    <w:semiHidden/>
    <w:qFormat/>
    <w:rPr>
      <w:sz w:val="28"/>
      <w:lang w:val="en-US" w:eastAsia="zh-CN" w:bidi="ar-SA"/>
    </w:rPr>
  </w:style>
  <w:style w:type="paragraph" w:styleId="1109" w:customStyle="1">
    <w:name w:val="179"/>
    <w:basedOn w:val="822"/>
    <w:uiPriority w:val="0"/>
    <w:qFormat/>
    <w:pPr>
      <w:ind w:firstLine="420"/>
      <w:jc w:val="left"/>
      <w:widowControl/>
    </w:pPr>
    <w:rPr>
      <w:rFonts w:ascii="宋体" w:hAnsi="宋体"/>
      <w:sz w:val="24"/>
    </w:rPr>
  </w:style>
  <w:style w:type="paragraph" w:styleId="111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11" w:customStyle="1">
    <w:name w:val="标准"/>
    <w:basedOn w:val="822"/>
    <w:uiPriority w:val="0"/>
    <w:qFormat/>
    <w:pPr>
      <w:ind w:firstLine="200"/>
      <w:spacing w:line="360" w:lineRule="auto"/>
    </w:pPr>
    <w:rPr>
      <w:rFonts w:cs="宋体"/>
      <w:sz w:val="20"/>
      <w:szCs w:val="20"/>
    </w:rPr>
  </w:style>
  <w:style w:type="paragraph" w:styleId="1112" w:customStyle="1">
    <w:name w:val="_Style 11"/>
    <w:basedOn w:val="822"/>
    <w:next w:val="1106"/>
    <w:uiPriority w:val="34"/>
    <w:qFormat/>
    <w:pPr>
      <w:ind w:firstLine="420"/>
    </w:pPr>
    <w:rPr>
      <w:color w:val="000000"/>
      <w:szCs w:val="21"/>
    </w:rPr>
  </w:style>
  <w:style w:type="paragraph" w:styleId="1113" w:customStyle="1">
    <w:name w:val="BodyText1I21"/>
    <w:basedOn w:val="822"/>
    <w:uiPriority w:val="0"/>
    <w:qFormat/>
    <w:pPr>
      <w:ind w:firstLine="420"/>
      <w:spacing w:line="360" w:lineRule="auto"/>
      <w:widowControl/>
    </w:pPr>
    <w:rPr>
      <w:rFonts w:ascii="宋体" w:hAnsi="宋体" w:cs="Times New Roman"/>
      <w:sz w:val="20"/>
      <w:szCs w:val="20"/>
    </w:rPr>
  </w:style>
  <w:style w:type="paragraph" w:styleId="1114" w:customStyle="1">
    <w:name w:val="UserStyle_133"/>
    <w:basedOn w:val="822"/>
    <w:uiPriority w:val="0"/>
    <w:qFormat/>
    <w:pPr>
      <w:widowControl/>
    </w:pPr>
    <w:rPr>
      <w:rFonts w:ascii="Tahoma" w:hAnsi="Tahoma" w:cs="Times New Roman"/>
      <w:sz w:val="24"/>
    </w:rPr>
  </w:style>
  <w:style w:type="paragraph" w:styleId="1115" w:customStyle="1">
    <w:name w:val="AnnotationText1"/>
    <w:basedOn w:val="822"/>
    <w:link w:val="1116"/>
    <w:uiPriority w:val="0"/>
    <w:qFormat/>
    <w:pPr>
      <w:jc w:val="left"/>
      <w:widowControl/>
    </w:pPr>
    <w:rPr>
      <w:rFonts w:cs="Times New Roman"/>
    </w:rPr>
  </w:style>
  <w:style w:type="character" w:styleId="1116" w:customStyle="1">
    <w:name w:val="UserStyle_12"/>
    <w:link w:val="1115"/>
    <w:uiPriority w:val="0"/>
    <w:qFormat/>
    <w:rPr>
      <w:rFonts w:ascii="Times New Roman" w:hAnsi="Times New Roman" w:eastAsia="宋体"/>
      <w:sz w:val="21"/>
      <w:szCs w:val="24"/>
    </w:rPr>
  </w:style>
  <w:style w:type="paragraph" w:styleId="1117"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18" w:customStyle="1">
    <w:name w:val="*正文-表格"/>
    <w:basedOn w:val="822"/>
    <w:uiPriority w:val="0"/>
    <w:qFormat/>
    <w:rPr>
      <w:sz w:val="24"/>
      <w:szCs w:val="20"/>
    </w:rPr>
  </w:style>
  <w:style w:type="character" w:styleId="1119" w:customStyle="1">
    <w:name w:val="font21"/>
    <w:basedOn w:val="883"/>
    <w:link w:val="822"/>
    <w:uiPriority w:val="0"/>
    <w:qFormat/>
    <w:rPr>
      <w:rFonts w:hint="eastAsia" w:ascii="宋体" w:hAnsi="宋体" w:eastAsia="宋体" w:cs="宋体"/>
      <w:b/>
      <w:bCs/>
      <w:color w:val="000000"/>
      <w:sz w:val="28"/>
      <w:szCs w:val="28"/>
      <w:u w:val="none"/>
    </w:rPr>
  </w:style>
  <w:style w:type="paragraph" w:styleId="1120" w:customStyle="1">
    <w:name w:val="标题 5（有编号）（绿盟科技）"/>
    <w:basedOn w:val="822"/>
    <w:next w:val="112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2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22" w:customStyle="1">
    <w:name w:val="投标文件正文"/>
    <w:basedOn w:val="822"/>
    <w:uiPriority w:val="0"/>
    <w:qFormat/>
    <w:pPr>
      <w:ind w:firstLine="200"/>
      <w:spacing w:before="40" w:after="40" w:line="400" w:lineRule="exact"/>
    </w:pPr>
    <w:rPr>
      <w:sz w:val="24"/>
    </w:rPr>
  </w:style>
  <w:style w:type="paragraph" w:styleId="1123" w:customStyle="1">
    <w:name w:val="标题 21"/>
    <w:basedOn w:val="822"/>
    <w:next w:val="822"/>
    <w:uiPriority w:val="0"/>
    <w:qFormat/>
    <w:pPr>
      <w:jc w:val="left"/>
      <w:keepLines/>
      <w:keepNext/>
      <w:spacing w:before="50"/>
      <w:tabs>
        <w:tab w:val="left" w:pos="0" w:leader="none"/>
      </w:tabs>
    </w:pPr>
    <w:rPr>
      <w:rFonts w:ascii="Arial" w:hAnsi="Arial" w:eastAsia="黑体"/>
      <w:sz w:val="32"/>
      <w:szCs w:val="20"/>
    </w:rPr>
  </w:style>
  <w:style w:type="paragraph" w:styleId="1124" w:customStyle="1">
    <w:name w:val="BodyTextIndent1"/>
    <w:basedOn w:val="822"/>
    <w:next w:val="1125"/>
    <w:uiPriority w:val="0"/>
    <w:qFormat/>
    <w:pPr>
      <w:ind w:left="420"/>
      <w:spacing w:after="120"/>
    </w:pPr>
  </w:style>
  <w:style w:type="paragraph" w:styleId="1125" w:customStyle="1">
    <w:name w:val="EnvelopeReturn1"/>
    <w:basedOn w:val="822"/>
    <w:uiPriority w:val="0"/>
    <w:qFormat/>
    <w:rPr>
      <w:rFonts w:ascii="Arial" w:hAnsi="Arial"/>
    </w:rPr>
  </w:style>
  <w:style w:type="paragraph" w:styleId="1126" w:customStyle="1">
    <w:name w:val="Table Paragraph"/>
    <w:basedOn w:val="822"/>
    <w:uiPriority w:val="1"/>
    <w:qFormat/>
    <w:pPr>
      <w:ind w:left="107"/>
    </w:pPr>
    <w:rPr>
      <w:rFonts w:ascii="宋体" w:hAnsi="宋体" w:cs="宋体"/>
    </w:rPr>
  </w:style>
  <w:style w:type="paragraph" w:styleId="1127" w:customStyle="1">
    <w:name w:val="列出段落1"/>
    <w:basedOn w:val="822"/>
    <w:uiPriority w:val="34"/>
    <w:qFormat/>
    <w:pPr>
      <w:ind w:left="480"/>
      <w:jc w:val="left"/>
    </w:pPr>
    <w:rPr>
      <w:rFonts w:ascii="Calibri" w:hAnsi="Calibri" w:eastAsia="PMingLiU"/>
      <w:sz w:val="24"/>
      <w:szCs w:val="20"/>
      <w:lang w:eastAsia="zh-TW"/>
    </w:rPr>
  </w:style>
  <w:style w:type="paragraph" w:styleId="1128" w:customStyle="1">
    <w:name w:val="正文文本缩进1"/>
    <w:basedOn w:val="96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29" w:customStyle="1">
    <w:name w:val="font51"/>
    <w:basedOn w:val="883"/>
    <w:link w:val="822"/>
    <w:uiPriority w:val="0"/>
    <w:qFormat/>
    <w:rPr>
      <w:rFonts w:hint="eastAsia" w:ascii="微软雅黑" w:hAnsi="微软雅黑" w:eastAsia="微软雅黑" w:cs="微软雅黑"/>
      <w:color w:val="000000"/>
      <w:sz w:val="16"/>
      <w:szCs w:val="16"/>
      <w:u w:val="none"/>
    </w:rPr>
  </w:style>
  <w:style w:type="character" w:styleId="1130" w:customStyle="1">
    <w:name w:val="font01"/>
    <w:basedOn w:val="883"/>
    <w:link w:val="822"/>
    <w:uiPriority w:val="0"/>
    <w:qFormat/>
    <w:rPr>
      <w:rFonts w:hint="eastAsia" w:ascii="微软雅黑" w:hAnsi="微软雅黑" w:eastAsia="微软雅黑" w:cs="微软雅黑"/>
      <w:color w:val="000000"/>
      <w:sz w:val="16"/>
      <w:szCs w:val="16"/>
      <w:u w:val="none"/>
    </w:rPr>
  </w:style>
  <w:style w:type="character" w:styleId="1131" w:customStyle="1">
    <w:name w:val="font31"/>
    <w:basedOn w:val="883"/>
    <w:link w:val="822"/>
    <w:uiPriority w:val="0"/>
    <w:qFormat/>
    <w:rPr>
      <w:rFonts w:hint="eastAsia" w:ascii="微软雅黑" w:hAnsi="微软雅黑" w:eastAsia="微软雅黑" w:cs="微软雅黑"/>
      <w:color w:val="000000"/>
      <w:sz w:val="16"/>
      <w:szCs w:val="16"/>
      <w:u w:val="none"/>
    </w:rPr>
  </w:style>
  <w:style w:type="character" w:styleId="1132" w:customStyle="1">
    <w:name w:val="font41"/>
    <w:basedOn w:val="883"/>
    <w:link w:val="822"/>
    <w:uiPriority w:val="0"/>
    <w:qFormat/>
    <w:rPr>
      <w:rFonts w:hint="eastAsia" w:ascii="宋体" w:hAnsi="宋体" w:eastAsia="宋体" w:cs="宋体"/>
      <w:color w:val="000000"/>
      <w:sz w:val="22"/>
      <w:szCs w:val="22"/>
      <w:u w:val="none"/>
    </w:rPr>
  </w:style>
  <w:style w:type="character" w:styleId="1133" w:customStyle="1">
    <w:name w:val="font61"/>
    <w:basedOn w:val="883"/>
    <w:link w:val="822"/>
    <w:uiPriority w:val="0"/>
    <w:qFormat/>
    <w:rPr>
      <w:rFonts w:hint="eastAsia" w:ascii="宋体" w:hAnsi="宋体" w:eastAsia="宋体" w:cs="宋体"/>
      <w:color w:val="000000"/>
      <w:sz w:val="20"/>
      <w:szCs w:val="20"/>
      <w:u w:val="none"/>
    </w:rPr>
  </w:style>
  <w:style w:type="character" w:styleId="1134" w:customStyle="1">
    <w:name w:val="font11"/>
    <w:basedOn w:val="883"/>
    <w:link w:val="822"/>
    <w:uiPriority w:val="0"/>
    <w:qFormat/>
    <w:rPr>
      <w:rFonts w:hint="eastAsia" w:ascii="宋体" w:hAnsi="宋体" w:eastAsia="宋体" w:cs="宋体"/>
      <w:color w:val="000000"/>
      <w:sz w:val="20"/>
      <w:szCs w:val="20"/>
      <w:u w:val="none"/>
    </w:rPr>
  </w:style>
  <w:style w:type="paragraph" w:styleId="1135" w:customStyle="1">
    <w:name w:val="目录 111"/>
    <w:basedOn w:val="844"/>
    <w:next w:val="844"/>
    <w:uiPriority w:val="0"/>
    <w:qFormat/>
    <w:pPr>
      <w:jc w:val="left"/>
      <w:spacing w:after="100" w:line="259" w:lineRule="auto"/>
      <w:widowControl/>
    </w:pPr>
    <w:rPr>
      <w:rFonts w:ascii="Calibri" w:hAnsi="Calibri"/>
      <w:sz w:val="22"/>
      <w:szCs w:val="22"/>
    </w:rPr>
  </w:style>
  <w:style w:type="character" w:styleId="1136" w:customStyle="1">
    <w:name w:val="NormalCharacter11"/>
    <w:link w:val="822"/>
    <w:uiPriority w:val="0"/>
    <w:semiHidden/>
    <w:qFormat/>
    <w:rPr>
      <w:rFonts w:ascii="Times New Roman" w:hAnsi="Times New Roman" w:eastAsia="宋体" w:cs="Times New Roman"/>
      <w:sz w:val="21"/>
      <w:szCs w:val="24"/>
      <w:lang w:val="en-US" w:eastAsia="zh-CN" w:bidi="ar-SA"/>
    </w:rPr>
  </w:style>
  <w:style w:type="character" w:styleId="1137" w:customStyle="1">
    <w:name w:val="font71"/>
    <w:basedOn w:val="883"/>
    <w:link w:val="822"/>
    <w:uiPriority w:val="0"/>
    <w:qFormat/>
    <w:rPr>
      <w:rFonts w:hint="eastAsia" w:ascii="宋体" w:hAnsi="宋体" w:eastAsia="宋体" w:cs="宋体"/>
      <w:color w:val="000000"/>
      <w:sz w:val="21"/>
      <w:szCs w:val="21"/>
      <w:u w:val="none"/>
    </w:rPr>
  </w:style>
  <w:style w:type="character" w:styleId="1138" w:customStyle="1">
    <w:name w:val="font81"/>
    <w:basedOn w:val="883"/>
    <w:link w:val="822"/>
    <w:uiPriority w:val="0"/>
    <w:qFormat/>
    <w:rPr>
      <w:rFonts w:ascii="Times New Roman" w:hAnsi="Times New Roman" w:cs="Times New Roman"/>
      <w:color w:val="000000"/>
      <w:sz w:val="21"/>
      <w:szCs w:val="21"/>
      <w:u w:val="none"/>
    </w:rPr>
  </w:style>
  <w:style w:type="character" w:styleId="1139" w:customStyle="1">
    <w:name w:val="font91"/>
    <w:basedOn w:val="883"/>
    <w:link w:val="822"/>
    <w:uiPriority w:val="0"/>
    <w:qFormat/>
    <w:rPr>
      <w:rFonts w:hint="eastAsia" w:ascii="宋体" w:hAnsi="宋体" w:eastAsia="宋体" w:cs="宋体"/>
      <w:color w:val="000000"/>
      <w:sz w:val="21"/>
      <w:szCs w:val="21"/>
      <w:u w:val="none"/>
    </w:rPr>
  </w:style>
  <w:style w:type="paragraph" w:styleId="1140" w:customStyle="1">
    <w:name w:val="页脚1"/>
    <w:basedOn w:val="822"/>
    <w:uiPriority w:val="0"/>
    <w:qFormat/>
    <w:pPr>
      <w:jc w:val="left"/>
      <w:tabs>
        <w:tab w:val="center" w:pos="4153" w:leader="none"/>
        <w:tab w:val="right" w:pos="8306" w:leader="none"/>
      </w:tabs>
    </w:pPr>
    <w:rPr>
      <w:sz w:val="18"/>
      <w:szCs w:val="18"/>
    </w:rPr>
  </w:style>
  <w:style w:type="paragraph" w:styleId="1141" w:customStyle="1">
    <w:name w:val="列表段落1"/>
    <w:basedOn w:val="843"/>
    <w:next w:val="822"/>
    <w:uiPriority w:val="99"/>
    <w:qFormat/>
    <w:pPr>
      <w:ind w:firstLine="420"/>
    </w:pPr>
  </w:style>
  <w:style w:type="paragraph" w:styleId="1142" w:customStyle="1">
    <w:name w:val="正文缩进11"/>
    <w:basedOn w:val="822"/>
    <w:uiPriority w:val="0"/>
    <w:unhideWhenUsed/>
    <w:qFormat/>
    <w:pPr>
      <w:ind w:firstLine="420"/>
    </w:pPr>
  </w:style>
  <w:style w:type="paragraph" w:styleId="1143" w:customStyle="1">
    <w:name w:val="列表段落"/>
    <w:basedOn w:val="822"/>
    <w:uiPriority w:val="34"/>
    <w:qFormat/>
    <w:pPr>
      <w:contextualSpacing/>
      <w:ind w:left="720"/>
    </w:pPr>
  </w:style>
  <w:style w:type="paragraph" w:styleId="1144" w:customStyle="1">
    <w:name w:val="普通(网站)1"/>
    <w:basedOn w:val="96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45" w:customStyle="1">
    <w:name w:val="纯文本11"/>
    <w:basedOn w:val="822"/>
    <w:uiPriority w:val="0"/>
    <w:qFormat/>
    <w:rPr>
      <w:rFonts w:ascii="宋体" w:hAnsi="Courier New"/>
      <w:szCs w:val="20"/>
    </w:rPr>
  </w:style>
  <w:style w:type="paragraph" w:styleId="1146" w:customStyle="1">
    <w:name w:val="纯文本1"/>
    <w:basedOn w:val="843"/>
    <w:uiPriority w:val="0"/>
    <w:qFormat/>
    <w:rPr>
      <w:rFonts w:hAnsi="Courier New"/>
      <w:sz w:val="20"/>
    </w:rPr>
  </w:style>
  <w:style w:type="paragraph" w:styleId="1147" w:customStyle="1">
    <w:name w:val="Body text|21"/>
    <w:basedOn w:val="822"/>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吴亚南</cp:lastModifiedBy>
  <cp:revision>39</cp:revision>
  <dcterms:created xsi:type="dcterms:W3CDTF">2021-06-29T14:28:00Z</dcterms:created>
  <dcterms:modified xsi:type="dcterms:W3CDTF">2026-08-11T02:38:37Z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eyJoZGlkIjoiZGI5YTM1OTg2MmQ0MTBjZWMyZjA5NTRiY2YxOGMxNTUiLCJ1c2VySWQiOiIxNDk4Mzc4MTg2In0=</vt:lpwstr>
  </property>
  <property fmtid="{D5CDD505-2E9C-101B-9397-08002B2CF9AE}" pid="3" name="KSOProductBuildVer">
    <vt:lpwstr>2052-12.1.0.28043</vt:lpwstr>
  </property>
  <property fmtid="{D5CDD505-2E9C-101B-9397-08002B2CF9AE}" pid="4" name="ICV">
    <vt:lpwstr>7F89A9BBBA2B4AFB9CFFAA95DC12E251_13</vt:lpwstr>
  </property>
</Properties>
</file>