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4"/>
        <w:ind w:firstLine="0"/>
        <w:jc w:val="both"/>
        <w:rPr>
          <w:rFonts w:eastAsia="黑体"/>
          <w:b/>
          <w:bCs/>
          <w:color w:val="000000"/>
          <w:sz w:val="84"/>
        </w:rPr>
      </w:pPr>
      <w:r>
        <w:rPr>
          <w:rFonts w:eastAsia="黑体"/>
          <w:b/>
          <w:bCs/>
          <w:color w:val="000000"/>
          <w:sz w:val="84"/>
        </w:rPr>
      </w:r>
      <w:r/>
    </w:p>
    <w:p>
      <w:pPr>
        <w:pStyle w:val="1054"/>
        <w:ind w:firstLine="0"/>
        <w:jc w:val="center"/>
        <w:rPr>
          <w:rFonts w:eastAsia="黑体"/>
          <w:b/>
          <w:bCs/>
          <w:color w:val="000000"/>
          <w:sz w:val="84"/>
        </w:rPr>
      </w:pPr>
      <w:r>
        <w:rPr>
          <w:rFonts w:hint="eastAsia" w:eastAsia="黑体"/>
          <w:b/>
          <w:bCs/>
          <w:color w:val="000000"/>
          <w:sz w:val="84"/>
        </w:rPr>
        <w:t xml:space="preserve">招　标　文　件</w:t>
      </w:r>
      <w:r/>
    </w:p>
    <w:p>
      <w:pPr>
        <w:pStyle w:val="1054"/>
        <w:ind w:firstLine="1285"/>
        <w:jc w:val="both"/>
        <w:rPr>
          <w:b/>
          <w:bCs/>
          <w:color w:val="000000"/>
          <w:sz w:val="32"/>
        </w:rPr>
      </w:pPr>
      <w:r>
        <w:rPr>
          <w:b/>
          <w:bCs/>
          <w:color w:val="000000"/>
          <w:sz w:val="32"/>
        </w:rPr>
      </w:r>
      <w:r/>
    </w:p>
    <w:p>
      <w:pPr>
        <w:pStyle w:val="1054"/>
        <w:ind w:firstLine="1285"/>
        <w:jc w:val="both"/>
        <w:rPr>
          <w:b/>
          <w:bCs/>
          <w:color w:val="000000"/>
          <w:sz w:val="32"/>
        </w:rPr>
      </w:pPr>
      <w:r>
        <w:rPr>
          <w:b/>
          <w:bCs/>
          <w:color w:val="000000"/>
          <w:sz w:val="32"/>
        </w:rPr>
      </w:r>
      <w:r/>
    </w:p>
    <w:p>
      <w:pPr>
        <w:pStyle w:val="1054"/>
        <w:ind w:firstLine="1285"/>
        <w:jc w:val="both"/>
        <w:rPr>
          <w:b/>
          <w:bCs/>
          <w:color w:val="000000"/>
          <w:sz w:val="32"/>
        </w:rPr>
      </w:pPr>
      <w:r>
        <w:rPr>
          <w:b/>
          <w:bCs/>
          <w:color w:val="000000"/>
          <w:sz w:val="32"/>
        </w:rPr>
      </w:r>
      <w:r/>
    </w:p>
    <w:p>
      <w:pPr>
        <w:pStyle w:val="1054"/>
        <w:ind w:firstLine="1285"/>
        <w:jc w:val="both"/>
        <w:rPr>
          <w:b/>
          <w:bCs/>
          <w:color w:val="000000"/>
          <w:sz w:val="32"/>
        </w:rPr>
      </w:pPr>
      <w:r>
        <w:rPr>
          <w:b/>
          <w:bCs/>
          <w:color w:val="000000"/>
          <w:sz w:val="32"/>
        </w:rPr>
      </w:r>
      <w:r/>
    </w:p>
    <w:p>
      <w:pPr>
        <w:pStyle w:val="1054"/>
        <w:ind w:firstLine="1285"/>
        <w:jc w:val="both"/>
        <w:rPr>
          <w:b/>
          <w:bCs/>
          <w:color w:val="000000"/>
          <w:sz w:val="32"/>
        </w:rPr>
      </w:pPr>
      <w:r>
        <w:rPr>
          <w:b/>
          <w:bCs/>
          <w:color w:val="000000"/>
          <w:sz w:val="32"/>
        </w:rPr>
      </w:r>
      <w:r/>
    </w:p>
    <w:p>
      <w:pPr>
        <w:pStyle w:val="1054"/>
        <w:ind w:firstLine="1285"/>
        <w:jc w:val="both"/>
        <w:rPr>
          <w:b/>
          <w:bCs/>
          <w:color w:val="000000"/>
          <w:sz w:val="32"/>
        </w:rPr>
      </w:pPr>
      <w:r>
        <w:rPr>
          <w:b/>
          <w:bCs/>
          <w:color w:val="000000"/>
          <w:sz w:val="32"/>
        </w:rPr>
      </w:r>
      <w:r/>
    </w:p>
    <w:p>
      <w:pPr>
        <w:pStyle w:val="1054"/>
        <w:ind w:firstLine="1285"/>
        <w:jc w:val="both"/>
        <w:rPr>
          <w:b/>
          <w:bCs/>
          <w:color w:val="000000"/>
          <w:sz w:val="32"/>
        </w:rPr>
      </w:pPr>
      <w:r>
        <w:rPr>
          <w:rFonts w:hint="eastAsia"/>
          <w:b/>
          <w:bCs/>
          <w:color w:val="000000"/>
          <w:sz w:val="32"/>
        </w:rPr>
        <w:t xml:space="preserve">项目名称：扬州市消防救援支队2026年度火灾风险研判和隐患治理决策辅助系统项目</w:t>
      </w:r>
      <w:r/>
    </w:p>
    <w:p>
      <w:pPr>
        <w:ind w:firstLine="1285"/>
        <w:rPr>
          <w:b/>
          <w:bCs/>
          <w:color w:val="000000"/>
          <w:sz w:val="32"/>
        </w:rPr>
      </w:pPr>
      <w:r>
        <w:rPr>
          <w:rFonts w:hint="eastAsia"/>
          <w:b/>
          <w:bCs/>
          <w:color w:val="000000"/>
          <w:sz w:val="32"/>
        </w:rPr>
        <w:t xml:space="preserve">项目编号：JSZC-321000-JZCG-G2026-0093</w:t>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54"/>
        <w:ind w:firstLine="0"/>
        <w:spacing w:before="0" w:after="0"/>
        <w:rPr>
          <w:rFonts w:ascii="宋体" w:hAnsi="宋体"/>
          <w:color w:val="000000"/>
        </w:rPr>
      </w:pPr>
      <w:r>
        <w:rPr>
          <w:rFonts w:ascii="宋体" w:hAnsi="宋体"/>
          <w:color w:val="000000"/>
        </w:rPr>
      </w:r>
      <w:r/>
    </w:p>
    <w:p>
      <w:pPr>
        <w:pStyle w:val="1054"/>
        <w:ind w:firstLine="0"/>
        <w:spacing w:before="0" w:after="0"/>
        <w:rPr>
          <w:rFonts w:ascii="宋体" w:hAnsi="宋体"/>
          <w:color w:val="000000"/>
        </w:rPr>
      </w:pPr>
      <w:r>
        <w:rPr>
          <w:rFonts w:ascii="宋体" w:hAnsi="宋体"/>
          <w:color w:val="000000"/>
        </w:rPr>
      </w:r>
      <w:r/>
    </w:p>
    <w:p>
      <w:pPr>
        <w:pStyle w:val="1054"/>
        <w:ind w:firstLine="0"/>
        <w:spacing w:before="0" w:after="0"/>
        <w:rPr>
          <w:rFonts w:ascii="宋体" w:hAnsi="宋体"/>
          <w:color w:val="000000"/>
        </w:rPr>
      </w:pPr>
      <w:r>
        <w:rPr>
          <w:rFonts w:ascii="宋体" w:hAnsi="宋体"/>
          <w:color w:val="000000"/>
        </w:rPr>
      </w:r>
      <w:r/>
    </w:p>
    <w:p>
      <w:pPr>
        <w:pStyle w:val="1054"/>
        <w:ind w:firstLine="0"/>
        <w:spacing w:before="0" w:after="0"/>
        <w:rPr>
          <w:rFonts w:ascii="宋体" w:hAnsi="宋体"/>
          <w:color w:val="000000"/>
        </w:rPr>
      </w:pPr>
      <w:r>
        <w:rPr>
          <w:rFonts w:ascii="宋体" w:hAnsi="宋体"/>
          <w:color w:val="000000"/>
        </w:rPr>
      </w:r>
      <w:r/>
    </w:p>
    <w:p>
      <w:pPr>
        <w:pStyle w:val="1054"/>
        <w:ind w:firstLine="0"/>
        <w:jc w:val="center"/>
        <w:rPr>
          <w:b/>
          <w:bCs/>
          <w:color w:val="000000"/>
          <w:sz w:val="32"/>
        </w:rPr>
      </w:pPr>
      <w:r>
        <w:rPr>
          <w:rFonts w:hint="eastAsia"/>
          <w:b/>
          <w:bCs/>
          <w:color w:val="000000"/>
          <w:sz w:val="32"/>
        </w:rPr>
        <w:t xml:space="preserve">扬州市公共资源交易中心</w:t>
      </w:r>
      <w:r/>
    </w:p>
    <w:p>
      <w:pPr>
        <w:pStyle w:val="1054"/>
        <w:ind w:firstLine="0"/>
        <w:jc w:val="center"/>
        <w:rPr>
          <w:b/>
          <w:bCs/>
          <w:color w:val="000000"/>
          <w:sz w:val="32"/>
        </w:rPr>
      </w:pPr>
      <w:r>
        <w:rPr>
          <w:rFonts w:hint="eastAsia"/>
          <w:b/>
          <w:bCs/>
          <w:color w:val="000000"/>
          <w:sz w:val="32"/>
          <w:u w:val="single"/>
        </w:rPr>
        <w:t xml:space="preserve"> 2026 </w:t>
      </w:r>
      <w:r>
        <w:rPr>
          <w:rFonts w:hint="eastAsia"/>
          <w:b/>
          <w:bCs/>
          <w:color w:val="000000"/>
          <w:sz w:val="32"/>
        </w:rPr>
        <w:t xml:space="preserve">年</w:t>
      </w:r>
      <w:r>
        <w:rPr>
          <w:rFonts w:hint="eastAsia"/>
          <w:b/>
          <w:bCs/>
          <w:color w:val="000000"/>
          <w:sz w:val="32"/>
          <w:u w:val="single"/>
        </w:rPr>
        <w:t xml:space="preserve"> 8 </w:t>
      </w:r>
      <w:r>
        <w:rPr>
          <w:rFonts w:hint="eastAsia"/>
          <w:b/>
          <w:bCs/>
          <w:color w:val="000000"/>
          <w:sz w:val="32"/>
        </w:rPr>
        <w:t xml:space="preserve">月</w:t>
      </w:r>
      <w:r/>
    </w:p>
    <w:p>
      <w:pPr>
        <w:pStyle w:val="1054"/>
        <w:ind w:firstLine="0"/>
        <w:jc w:val="center"/>
        <w:rPr>
          <w:rFonts w:ascii="黑体" w:eastAsia="黑体"/>
          <w:b/>
          <w:color w:val="000000"/>
          <w:sz w:val="44"/>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0" w:name="_Toc120614210"/>
      <w:r/>
      <w:bookmarkStart w:id="1" w:name="_Toc513029200"/>
      <w:r/>
      <w:bookmarkStart w:id="2" w:name="_Toc479757206"/>
      <w:r/>
      <w:bookmarkStart w:id="3" w:name="_Toc16938516"/>
      <w:r/>
      <w:bookmarkStart w:id="4" w:name="_Toc523127445"/>
      <w:r/>
      <w:bookmarkStart w:id="5" w:name="_Toc20823272"/>
      <w:r/>
      <w:r/>
    </w:p>
    <w:p>
      <w:pPr>
        <w:pStyle w:val="1054"/>
        <w:ind w:firstLine="0"/>
        <w:jc w:val="center"/>
        <w:rPr>
          <w:rFonts w:ascii="黑体" w:eastAsia="黑体"/>
          <w:b/>
          <w:color w:val="000000"/>
          <w:sz w:val="44"/>
        </w:rPr>
      </w:pPr>
      <w:r>
        <w:rPr>
          <w:rFonts w:hint="eastAsia" w:ascii="黑体"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……………………………………2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………………………………5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……………………………………14</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w:t>
      </w:r>
      <w:r>
        <w:rPr>
          <w:rFonts w:hint="eastAsia" w:ascii="黑体" w:hAnsi="Showcard Gothic" w:eastAsia="黑体"/>
          <w:color w:val="000000"/>
          <w:sz w:val="36"/>
          <w:lang w:val="en-US" w:eastAsia="zh-CN"/>
        </w:rPr>
        <w:t xml:space="preserve">9</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………………………7</w:t>
      </w:r>
      <w:r>
        <w:rPr>
          <w:rFonts w:hint="eastAsia" w:ascii="黑体" w:hAnsi="Showcard Gothic" w:eastAsia="黑体"/>
          <w:color w:val="000000"/>
          <w:sz w:val="36"/>
          <w:lang w:val="en-US" w:eastAsia="zh-CN"/>
        </w:rPr>
        <w:t xml:space="preserve">7</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81</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969"/>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sz w:val="24"/>
          <w:szCs w:val="24"/>
        </w:rPr>
        <w:t xml:space="preserve">[</w:t>
      </w:r>
      <w:r>
        <w:rPr>
          <w:rFonts w:hint="eastAsia" w:ascii="宋体" w:hAnsi="宋体"/>
          <w:sz w:val="24"/>
          <w:szCs w:val="24"/>
          <w:u w:val="single"/>
        </w:rPr>
        <w:t xml:space="preserve">扬州市消防救援支队</w:t>
      </w:r>
      <w:r>
        <w:rPr>
          <w:rFonts w:hint="eastAsia" w:ascii="宋体" w:hAnsi="宋体"/>
          <w:sz w:val="24"/>
          <w:szCs w:val="24"/>
        </w:rPr>
        <w:t xml:space="preserve">]</w:t>
      </w:r>
      <w:r>
        <w:rPr>
          <w:rFonts w:hint="eastAsia" w:ascii="宋体" w:hAnsi="宋体"/>
          <w:color w:val="000000"/>
          <w:sz w:val="24"/>
          <w:szCs w:val="24"/>
        </w:rPr>
        <w:t xml:space="preserve">的委托，扬州市公共资源交易中心就[扬州市消防救援支队2026年度火灾风险研判和隐患治理决策辅助系统项目](JSZC-321000-JZCG-G2026-0093)项目进行公开招标采购，欢迎符合条件的供应商投标。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（扬州市消防救援支队2026年度火灾风险研判和隐患治理决策辅助系统项目）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color w:val="ff0000"/>
          <w:sz w:val="24"/>
          <w:szCs w:val="24"/>
          <w:u w:val="single"/>
        </w:rPr>
        <w:t xml:space="preserve">2026</w:t>
      </w:r>
      <w:r>
        <w:rPr>
          <w:rFonts w:hint="eastAsia" w:ascii="宋体" w:hAnsi="宋体"/>
          <w:bCs/>
          <w:color w:val="ff0000"/>
          <w:sz w:val="24"/>
          <w:szCs w:val="24"/>
          <w:u w:val="single"/>
        </w:rPr>
        <w:t xml:space="preserve">年</w:t>
      </w:r>
      <w:r>
        <w:rPr>
          <w:rFonts w:hint="eastAsia" w:ascii="宋体" w:hAnsi="宋体"/>
          <w:bCs/>
          <w:color w:val="ff0000"/>
          <w:sz w:val="24"/>
          <w:szCs w:val="24"/>
          <w:u w:val="single"/>
          <w:lang w:val="en-US" w:eastAsia="zh-CN"/>
        </w:rPr>
        <w:t xml:space="preserve">9</w:t>
      </w:r>
      <w:r>
        <w:rPr>
          <w:rFonts w:hint="eastAsia" w:ascii="宋体" w:hAnsi="宋体"/>
          <w:bCs/>
          <w:color w:val="ff0000"/>
          <w:sz w:val="24"/>
          <w:szCs w:val="24"/>
          <w:u w:val="single"/>
        </w:rPr>
        <w:t xml:space="preserve">月22日9点30分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72"/>
        <w:ind w:firstLine="498"/>
        <w:spacing w:before="145" w:after="145" w:line="400" w:lineRule="exact"/>
        <w:rPr>
          <w:color w:val="000000"/>
        </w:rPr>
      </w:pPr>
      <w:r/>
      <w:bookmarkStart w:id="6" w:name="_Toc35393621"/>
      <w:r/>
      <w:bookmarkStart w:id="7" w:name="_Toc38985263"/>
      <w:r/>
      <w:bookmarkStart w:id="8" w:name="_Toc35393790"/>
      <w:r/>
      <w:bookmarkStart w:id="9" w:name="_Toc28359079"/>
      <w:r/>
      <w:bookmarkStart w:id="10" w:name="_Toc28359002"/>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1.项目编号：JSZC-321000-JZCG-G2026-0093</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2.项目名称：扬州市消防救援支队2026年度火灾风险研判和隐患治理决策辅助系统项目</w:t>
      </w:r>
      <w:bookmarkEnd w:id="11"/>
      <w:r/>
      <w:r/>
    </w:p>
    <w:p>
      <w:pPr>
        <w:ind w:firstLine="480"/>
        <w:spacing w:line="400" w:lineRule="exact"/>
        <w:rPr>
          <w:rFonts w:ascii="宋体" w:hAnsi="宋体"/>
          <w:color w:val="auto"/>
          <w:sz w:val="24"/>
          <w:szCs w:val="24"/>
        </w:rPr>
      </w:pPr>
      <w:r>
        <w:rPr>
          <w:rFonts w:hint="eastAsia" w:ascii="宋体" w:hAnsi="宋体"/>
          <w:color w:val="auto"/>
          <w:sz w:val="24"/>
          <w:szCs w:val="24"/>
        </w:rPr>
        <w:t xml:space="preserve">3.预算金额：</w:t>
      </w:r>
      <w:r/>
    </w:p>
    <w:tbl>
      <w:tblPr>
        <w:tblStyle w:val="78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采购包号</w:t>
            </w:r>
            <w:r/>
          </w:p>
        </w:tc>
        <w:tc>
          <w:tcPr>
            <w:tcW w:w="3107"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预算</w:t>
            </w:r>
            <w:r>
              <w:rPr>
                <w:rFonts w:ascii="宋体" w:hAnsi="宋体"/>
                <w:color w:val="auto"/>
                <w:sz w:val="24"/>
                <w:szCs w:val="24"/>
              </w:rPr>
              <w:t xml:space="preserve">金额</w:t>
            </w:r>
            <w:r>
              <w:rPr>
                <w:rFonts w:hint="eastAsia" w:ascii="宋体" w:hAnsi="宋体"/>
                <w:color w:val="auto"/>
                <w:sz w:val="24"/>
                <w:szCs w:val="24"/>
              </w:rPr>
              <w:t xml:space="preserve">（人民币</w:t>
            </w:r>
            <w:r>
              <w:rPr>
                <w:rFonts w:ascii="宋体" w:hAnsi="宋体"/>
                <w:color w:val="auto"/>
                <w:sz w:val="24"/>
                <w:szCs w:val="24"/>
              </w:rPr>
              <w:t xml:space="preserve">：万元</w:t>
            </w:r>
            <w:r>
              <w:rPr>
                <w:rFonts w:hint="eastAsia" w:ascii="宋体" w:hAnsi="宋体"/>
                <w:color w:val="auto"/>
                <w:sz w:val="24"/>
                <w:szCs w:val="24"/>
              </w:rPr>
              <w:t xml:space="preserve">）</w:t>
            </w:r>
            <w:r/>
          </w:p>
        </w:tc>
      </w:tr>
      <w:tr>
        <w:trPr/>
        <w:tc>
          <w:tcPr>
            <w:tcW w:w="1315"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3107"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140.9</w:t>
            </w:r>
            <w:r/>
          </w:p>
        </w:tc>
      </w:tr>
    </w:tbl>
    <w:p>
      <w:pPr>
        <w:ind w:firstLine="480"/>
        <w:spacing w:line="400" w:lineRule="exact"/>
        <w:rPr>
          <w:rFonts w:ascii="宋体" w:hAnsi="宋体"/>
          <w:color w:val="auto"/>
          <w:sz w:val="24"/>
          <w:szCs w:val="24"/>
        </w:rPr>
      </w:pPr>
      <w:r>
        <w:rPr>
          <w:rFonts w:hint="eastAsia" w:ascii="宋体" w:hAnsi="宋体"/>
          <w:color w:val="auto"/>
          <w:sz w:val="24"/>
          <w:szCs w:val="24"/>
        </w:rPr>
        <w:t xml:space="preserve">4.最高</w:t>
      </w:r>
      <w:r>
        <w:rPr>
          <w:rFonts w:ascii="宋体" w:hAnsi="宋体"/>
          <w:color w:val="auto"/>
          <w:sz w:val="24"/>
          <w:szCs w:val="24"/>
        </w:rPr>
        <w:t xml:space="preserve">限价</w:t>
      </w:r>
      <w:r>
        <w:rPr>
          <w:rFonts w:hint="eastAsia" w:ascii="宋体" w:hAnsi="宋体"/>
          <w:color w:val="auto"/>
          <w:sz w:val="24"/>
          <w:szCs w:val="24"/>
        </w:rPr>
        <w:t xml:space="preserve">：</w:t>
      </w:r>
      <w:r/>
    </w:p>
    <w:tbl>
      <w:tblPr>
        <w:tblStyle w:val="78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采购包号</w:t>
            </w:r>
            <w:r/>
          </w:p>
        </w:tc>
        <w:tc>
          <w:tcPr>
            <w:tcW w:w="3375"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是否</w:t>
            </w:r>
            <w:r>
              <w:rPr>
                <w:rFonts w:ascii="宋体" w:hAnsi="宋体"/>
                <w:color w:val="auto"/>
                <w:sz w:val="24"/>
                <w:szCs w:val="24"/>
              </w:rPr>
              <w:t xml:space="preserve">设定最高</w:t>
            </w:r>
            <w:r>
              <w:rPr>
                <w:rFonts w:hint="eastAsia" w:ascii="宋体" w:hAnsi="宋体"/>
                <w:color w:val="auto"/>
                <w:sz w:val="24"/>
                <w:szCs w:val="24"/>
              </w:rPr>
              <w:t xml:space="preserve">限价</w:t>
            </w:r>
            <w:r>
              <w:rPr>
                <w:rFonts w:ascii="宋体" w:hAnsi="宋体"/>
                <w:color w:val="auto"/>
                <w:sz w:val="24"/>
                <w:szCs w:val="24"/>
              </w:rPr>
              <w:t xml:space="preserve">（</w:t>
            </w:r>
            <w:r>
              <w:rPr>
                <w:rFonts w:hint="eastAsia" w:ascii="宋体" w:hAnsi="宋体"/>
                <w:color w:val="auto"/>
                <w:sz w:val="24"/>
                <w:szCs w:val="24"/>
              </w:rPr>
              <w:t xml:space="preserve">是/否</w:t>
            </w:r>
            <w:r>
              <w:rPr>
                <w:rFonts w:ascii="宋体" w:hAnsi="宋体"/>
                <w:color w:val="auto"/>
                <w:sz w:val="24"/>
                <w:szCs w:val="24"/>
              </w:rPr>
              <w:t xml:space="preserve">）</w:t>
            </w:r>
            <w:r/>
          </w:p>
        </w:tc>
        <w:tc>
          <w:tcPr>
            <w:tcW w:w="3279"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最高</w:t>
            </w:r>
            <w:r>
              <w:rPr>
                <w:rFonts w:ascii="宋体" w:hAnsi="宋体"/>
                <w:color w:val="auto"/>
                <w:sz w:val="24"/>
                <w:szCs w:val="24"/>
              </w:rPr>
              <w:t xml:space="preserve">限价</w:t>
            </w:r>
            <w:r>
              <w:rPr>
                <w:rFonts w:hint="eastAsia" w:ascii="宋体" w:hAnsi="宋体"/>
                <w:color w:val="auto"/>
                <w:sz w:val="24"/>
                <w:szCs w:val="24"/>
              </w:rPr>
              <w:t xml:space="preserve">（人民币</w:t>
            </w:r>
            <w:r>
              <w:rPr>
                <w:rFonts w:ascii="宋体" w:hAnsi="宋体"/>
                <w:color w:val="auto"/>
                <w:sz w:val="24"/>
                <w:szCs w:val="24"/>
              </w:rPr>
              <w:t xml:space="preserve">：万元</w:t>
            </w:r>
            <w:r>
              <w:rPr>
                <w:rFonts w:hint="eastAsia" w:ascii="宋体" w:hAnsi="宋体"/>
                <w:color w:val="auto"/>
                <w:sz w:val="24"/>
                <w:szCs w:val="24"/>
              </w:rPr>
              <w:t xml:space="preserve">）</w:t>
            </w:r>
            <w:r/>
          </w:p>
        </w:tc>
      </w:tr>
      <w:tr>
        <w:trPr/>
        <w:tc>
          <w:tcPr>
            <w:tcW w:w="1336"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3375"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是</w:t>
            </w:r>
            <w:r/>
          </w:p>
        </w:tc>
        <w:tc>
          <w:tcPr>
            <w:tcW w:w="3279"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140.9</w:t>
            </w:r>
            <w:r/>
          </w:p>
        </w:tc>
      </w:tr>
    </w:tbl>
    <w:p>
      <w:pPr>
        <w:ind w:firstLine="480"/>
        <w:spacing w:line="400" w:lineRule="exact"/>
        <w:rPr>
          <w:rFonts w:ascii="宋体" w:hAnsi="宋体"/>
          <w:color w:val="auto"/>
          <w:sz w:val="24"/>
          <w:szCs w:val="24"/>
        </w:rPr>
      </w:pPr>
      <w:r>
        <w:rPr>
          <w:rFonts w:hint="eastAsia" w:ascii="宋体" w:hAnsi="宋体"/>
          <w:color w:val="auto"/>
          <w:sz w:val="24"/>
          <w:szCs w:val="24"/>
        </w:rPr>
        <w:t xml:space="preserve">采购需求（简介）：扬州市消防救援支队2026年度火灾风险研判和隐患治理决策辅助系统项目，数量1项。本项目主要建设五个子模块：（1）风险智能研判预警模块——构建覆盖事故风险、隐患风险、设施风险、治理能力风险</w:t>
      </w:r>
      <w:r>
        <w:rPr>
          <w:rFonts w:hint="eastAsia" w:ascii="宋体" w:hAnsi="宋体"/>
          <w:color w:val="auto"/>
          <w:sz w:val="24"/>
          <w:szCs w:val="24"/>
        </w:rPr>
        <w:t xml:space="preserve">、暴露风险五大维度的动态指标体系与风险模型库，实现单位/区域/行业多维度风险指数计算、风险趋势分析与可解释分析、动态预警管理与重点对象识别，为差异化精准监管提供数据支撑；（2）隐患治理协同闭环模块——建设覆盖隐患发现、核实、派单、整改、核验、销号、归档全生命周期的闭环管理体系，打通防火与灭火业务壁垒，实现防消联勤数据双向贯通与跨部门协同治理；（3）消防执法助手模块——构建消防法规知识库，提供检查要点智能推送、执法文书自动生成、执法裁量辅助计算等轻量化智能辅助功能；（4）综合态势展示与决策分析模块——基于天地</w:t>
      </w:r>
      <w:r>
        <w:rPr>
          <w:rFonts w:hint="eastAsia" w:ascii="宋体" w:hAnsi="宋体"/>
          <w:color w:val="auto"/>
          <w:sz w:val="24"/>
          <w:szCs w:val="24"/>
        </w:rPr>
        <w:t xml:space="preserve">图·扬州建设全市风险态势总览、隐患治理动态监控、重点监管对象专题图、专项整治指挥看板等可视化分析功能，支持PC端、移动端、大屏多端呈现；（5）行政处罚案卷智能评查辅助模块——建设评查标准库，实现案卷自动解析、多维度自动评查、人工复核修正、评查报告自动生成及案卷质量统计分析。系统采用微服务架构、容器化部署于扬州市政务云，满足等保三级和商用密码应用安全性评估要求，完成信创环境适配，与现有驯火系统、防消联勤信息系统、消防设施联网监测平台、119接处警系统等完成数据对接与业务整合。（详细内容见本招标文件第四章）  </w:t>
      </w:r>
      <w:r/>
    </w:p>
    <w:p>
      <w:pPr>
        <w:pStyle w:val="791"/>
        <w:rPr>
          <w:rFonts w:ascii="宋体" w:hAnsi="宋体"/>
          <w:strike/>
          <w:color w:val="auto"/>
          <w:sz w:val="24"/>
          <w:szCs w:val="24"/>
          <w:u w:val="single"/>
        </w:rPr>
      </w:pPr>
      <w:r>
        <w:rPr>
          <w:rFonts w:hint="eastAsia" w:ascii="宋体" w:hAnsi="宋体"/>
          <w:color w:val="auto"/>
          <w:sz w:val="24"/>
          <w:szCs w:val="24"/>
        </w:rPr>
        <w:t xml:space="preserve">6.合同履行期限：</w:t>
      </w:r>
      <w:r>
        <w:rPr>
          <w:rFonts w:hint="eastAsia" w:ascii="宋体" w:hAnsi="宋体" w:cs="宋体"/>
          <w:color w:val="auto"/>
          <w:sz w:val="24"/>
          <w:szCs w:val="24"/>
        </w:rPr>
        <w:t xml:space="preserve">自合同签订之日起，3个月内完成项目实施并投入试运行，试运行平稳3个月后进行项目验收。</w:t>
      </w:r>
      <w:r/>
    </w:p>
    <w:p>
      <w:pPr>
        <w:pStyle w:val="972"/>
        <w:ind w:firstLine="498"/>
        <w:spacing w:before="145" w:after="145" w:line="400" w:lineRule="exact"/>
        <w:rPr>
          <w:rFonts w:hint="eastAsia" w:eastAsia="宋体"/>
          <w:color w:val="000000"/>
          <w:lang w:eastAsia="zh-CN"/>
        </w:rPr>
      </w:pPr>
      <w:r/>
      <w:bookmarkStart w:id="12" w:name="_Toc28359003"/>
      <w:r/>
      <w:bookmarkStart w:id="13" w:name="_Toc38985264"/>
      <w:r/>
      <w:bookmarkStart w:id="14" w:name="_Toc35393622"/>
      <w:r/>
      <w:bookmarkStart w:id="15" w:name="_Toc28359080"/>
      <w:r/>
      <w:bookmarkStart w:id="16" w:name="_Toc35393791"/>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sz w:val="24"/>
          <w:szCs w:val="24"/>
        </w:rPr>
      </w:pPr>
      <w:r/>
      <w:bookmarkStart w:id="17" w:name="_Toc28359081"/>
      <w:r/>
      <w:bookmarkStart w:id="18" w:name="_Toc35393792"/>
      <w:r/>
      <w:bookmarkStart w:id="19" w:name="_Toc35393623"/>
      <w:r/>
      <w:bookmarkStart w:id="20" w:name="_Toc38985265"/>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3.落实政府采购政策需满足的资格要求：无</w:t>
      </w:r>
      <w:r>
        <w:rPr>
          <w:rFonts w:hint="eastAsia" w:ascii="宋体" w:hAnsi="宋体"/>
          <w:color w:val="000000"/>
          <w:sz w:val="24"/>
          <w:szCs w:val="24"/>
          <w:lang w:eastAsia="zh-CN"/>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88"/>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65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w:t>
            </w:r>
            <w:r/>
          </w:p>
        </w:tc>
      </w:tr>
    </w:tbl>
    <w:p>
      <w:pPr>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5.进口产品投标</w:t>
      </w:r>
      <w:r/>
    </w:p>
    <w:tbl>
      <w:tblPr>
        <w:tblStyle w:val="788"/>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8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581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bookmarkEnd w:id="17"/>
      <w:r/>
      <w:bookmarkEnd w:id="18"/>
      <w:r/>
      <w:bookmarkEnd w:id="19"/>
      <w:r/>
      <w:bookmarkEnd w:id="20"/>
      <w:r/>
      <w:bookmarkEnd w:id="21"/>
      <w:r/>
      <w:r/>
    </w:p>
    <w:p>
      <w:pPr>
        <w:pStyle w:val="972"/>
        <w:ind w:firstLine="498"/>
        <w:spacing w:before="145" w:after="145" w:line="400" w:lineRule="exact"/>
        <w:rPr>
          <w:color w:val="000000"/>
        </w:rPr>
      </w:pPr>
      <w:r/>
      <w:bookmarkStart w:id="22" w:name="_Toc28359082"/>
      <w:r/>
      <w:bookmarkStart w:id="23" w:name="_Toc28359005"/>
      <w:r/>
      <w:bookmarkStart w:id="24" w:name="_Toc38985266"/>
      <w:r/>
      <w:bookmarkStart w:id="25" w:name="_Toc35393793"/>
      <w:r/>
      <w:bookmarkStart w:id="26" w:name="_Toc35393624"/>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ff0000"/>
          <w:sz w:val="24"/>
          <w:szCs w:val="24"/>
          <w:u w:val="single"/>
          <w:lang w:val="en-US" w:eastAsia="zh-CN"/>
        </w:rPr>
        <w:t xml:space="preserve">2026</w:t>
      </w:r>
      <w:r>
        <w:rPr>
          <w:rFonts w:hint="eastAsia" w:ascii="宋体" w:hAnsi="宋体"/>
          <w:bCs/>
          <w:color w:val="ff0000"/>
          <w:sz w:val="24"/>
          <w:szCs w:val="24"/>
          <w:u w:val="single"/>
        </w:rPr>
        <w:t xml:space="preserve">年</w:t>
      </w:r>
      <w:r>
        <w:rPr>
          <w:rFonts w:hint="eastAsia" w:ascii="宋体" w:hAnsi="宋体"/>
          <w:bCs/>
          <w:color w:val="ff0000"/>
          <w:sz w:val="24"/>
          <w:szCs w:val="24"/>
          <w:u w:val="single"/>
          <w:lang w:val="en-US" w:eastAsia="zh-CN"/>
        </w:rPr>
        <w:t xml:space="preserve">9</w:t>
      </w:r>
      <w:r>
        <w:rPr>
          <w:rFonts w:hint="eastAsia" w:ascii="宋体" w:hAnsi="宋体"/>
          <w:bCs/>
          <w:color w:val="ff0000"/>
          <w:sz w:val="24"/>
          <w:szCs w:val="24"/>
          <w:u w:val="single"/>
        </w:rPr>
        <w:t xml:space="preserve">月22日9点30分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794"/>
      <w:r/>
      <w:bookmarkStart w:id="28" w:name="_Toc28359084"/>
      <w:r/>
      <w:bookmarkStart w:id="29" w:name="_Toc28359007"/>
      <w:r/>
      <w:bookmarkStart w:id="30" w:name="_Toc38985267"/>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72"/>
        <w:ind w:firstLine="498"/>
        <w:spacing w:before="145" w:after="145" w:line="400" w:lineRule="exact"/>
        <w:rPr>
          <w:color w:val="000000"/>
        </w:rPr>
      </w:pPr>
      <w:r/>
      <w:bookmarkStart w:id="32" w:name="_Toc35393795"/>
      <w:r/>
      <w:bookmarkStart w:id="33" w:name="_Toc35393626"/>
      <w:r/>
      <w:bookmarkStart w:id="34" w:name="_Toc38985268"/>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72"/>
        <w:ind w:firstLine="498"/>
        <w:spacing w:before="145" w:after="145" w:line="400" w:lineRule="exact"/>
        <w:rPr>
          <w:color w:val="000000"/>
        </w:rPr>
      </w:pPr>
      <w:r/>
      <w:bookmarkStart w:id="35" w:name="_Toc38985269"/>
      <w:r/>
      <w:bookmarkStart w:id="36" w:name="_Toc35393627"/>
      <w:r/>
      <w:bookmarkStart w:id="37" w:name="_Toc35393796"/>
      <w:r/>
      <w:bookmarkStart w:id="38" w:name="_Toc28359008"/>
      <w:r/>
      <w:bookmarkStart w:id="39" w:name="_Toc28359085"/>
      <w:r>
        <w:rPr>
          <w:rFonts w:hint="eastAsia"/>
          <w:color w:val="000000"/>
        </w:rPr>
        <w:t xml:space="preserve">七、本次招标联系方式</w:t>
      </w:r>
      <w:bookmarkEnd w:id="35"/>
      <w:r/>
      <w:bookmarkEnd w:id="36"/>
      <w:r/>
      <w:bookmarkEnd w:id="37"/>
      <w:r/>
      <w:bookmarkEnd w:id="38"/>
      <w:r/>
      <w:bookmarkEnd w:id="39"/>
      <w:r/>
      <w:r/>
    </w:p>
    <w:p>
      <w:pPr>
        <w:ind w:firstLine="480"/>
        <w:jc w:val="left"/>
        <w:keepLines w:val="0"/>
        <w:keepNext w:val="0"/>
        <w:pageBreakBefore w:val="0"/>
        <w:spacing w:line="400" w:lineRule="exact"/>
        <w:widowControl/>
        <w:rPr>
          <w:rFonts w:ascii="宋体" w:hAnsi="宋体"/>
          <w:color w:val="000000"/>
          <w:sz w:val="24"/>
          <w:szCs w:val="24"/>
        </w:rPr>
      </w:pPr>
      <w:r/>
      <w:bookmarkStart w:id="40" w:name="_Toc28359010"/>
      <w:r/>
      <w:bookmarkStart w:id="41" w:name="_Toc28359087"/>
      <w:r>
        <w:rPr>
          <w:rFonts w:hint="eastAsia" w:ascii="宋体" w:hAnsi="宋体" w:cs="宋体"/>
          <w:color w:val="000000"/>
          <w:sz w:val="24"/>
          <w:szCs w:val="24"/>
        </w:rPr>
        <w:t xml:space="preserve">1.采购人信息</w:t>
      </w:r>
      <w:r/>
    </w:p>
    <w:p>
      <w:pPr>
        <w:ind w:firstLine="480"/>
        <w:jc w:val="left"/>
        <w:keepLines w:val="0"/>
        <w:keepNext w:val="0"/>
        <w:pageBreakBefore w:val="0"/>
        <w:spacing w:line="400" w:lineRule="exact"/>
        <w:rPr>
          <w:rFonts w:ascii="宋体" w:hAnsi="宋体"/>
          <w:color w:val="auto"/>
          <w:sz w:val="24"/>
          <w:szCs w:val="24"/>
          <w:u w:val="single"/>
        </w:rPr>
      </w:pPr>
      <w:r/>
      <w:bookmarkStart w:id="42" w:name="_Toc28359009"/>
      <w:r/>
      <w:bookmarkStart w:id="43" w:name="_Toc28359086"/>
      <w:r>
        <w:rPr>
          <w:rFonts w:hint="eastAsia" w:ascii="宋体" w:hAnsi="宋体"/>
          <w:color w:val="auto"/>
          <w:sz w:val="24"/>
          <w:szCs w:val="24"/>
        </w:rPr>
        <w:t xml:space="preserve">名 称：</w:t>
      </w:r>
      <w:r>
        <w:rPr>
          <w:rFonts w:hint="eastAsia" w:ascii="宋体" w:hAnsi="宋体"/>
          <w:color w:val="auto"/>
          <w:sz w:val="24"/>
          <w:szCs w:val="24"/>
          <w:u w:val="single"/>
        </w:rPr>
        <w:t xml:space="preserve">扬州市消防救援支队</w:t>
      </w:r>
      <w:r/>
    </w:p>
    <w:p>
      <w:pPr>
        <w:ind w:firstLine="480"/>
        <w:jc w:val="left"/>
        <w:keepLines w:val="0"/>
        <w:keepNext w:val="0"/>
        <w:pageBreakBefore w:val="0"/>
        <w:spacing w:line="400" w:lineRule="exact"/>
        <w:rPr>
          <w:rFonts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lang w:val="en-US" w:eastAsia="zh-CN"/>
        </w:rPr>
        <w:t xml:space="preserve">扬州市维扬路12号</w:t>
      </w:r>
      <w:r/>
    </w:p>
    <w:p>
      <w:pPr>
        <w:ind w:firstLine="480"/>
        <w:jc w:val="left"/>
        <w:keepLines w:val="0"/>
        <w:keepNext w:val="0"/>
        <w:pageBreakBefore w:val="0"/>
        <w:spacing w:line="400" w:lineRule="exact"/>
        <w:rPr>
          <w:rFonts w:ascii="宋体" w:hAnsi="宋体"/>
          <w:strike/>
          <w:color w:val="auto"/>
          <w:sz w:val="24"/>
          <w:szCs w:val="24"/>
          <w:u w:val="single"/>
        </w:rPr>
      </w:pPr>
      <w:r>
        <w:rPr>
          <w:rFonts w:hint="eastAsia" w:ascii="宋体" w:hAnsi="宋体"/>
          <w:color w:val="auto"/>
          <w:sz w:val="24"/>
          <w:szCs w:val="24"/>
        </w:rPr>
        <w:t xml:space="preserve">联系人：</w:t>
      </w:r>
      <w:r>
        <w:rPr>
          <w:rFonts w:hint="eastAsia" w:ascii="宋体" w:hAnsi="宋体"/>
          <w:color w:val="auto"/>
          <w:sz w:val="24"/>
          <w:szCs w:val="24"/>
          <w:u w:val="single"/>
          <w:lang w:val="en-US" w:eastAsia="zh-CN"/>
        </w:rPr>
        <w:t xml:space="preserve">周娟</w:t>
      </w:r>
      <w:r/>
    </w:p>
    <w:p>
      <w:pPr>
        <w:ind w:firstLine="480"/>
        <w:jc w:val="left"/>
        <w:keepLines w:val="0"/>
        <w:keepNext w:val="0"/>
        <w:pageBreakBefore w:val="0"/>
        <w:spacing w:line="400" w:lineRule="exact"/>
        <w:rPr>
          <w:rFonts w:hint="eastAsia" w:ascii="宋体" w:hAnsi="宋体"/>
          <w:color w:val="auto"/>
          <w:sz w:val="24"/>
          <w:szCs w:val="24"/>
          <w:u w:val="single"/>
          <w:lang w:val="en-US" w:eastAsia="zh-CN"/>
        </w:rPr>
      </w:pPr>
      <w:r>
        <w:rPr>
          <w:rFonts w:hint="eastAsia" w:ascii="宋体" w:hAnsi="宋体"/>
          <w:color w:val="auto"/>
          <w:sz w:val="24"/>
          <w:szCs w:val="24"/>
        </w:rPr>
        <w:t xml:space="preserve">联系方式：</w:t>
      </w:r>
      <w:r>
        <w:rPr>
          <w:rFonts w:hint="eastAsia" w:ascii="宋体" w:hAnsi="宋体"/>
          <w:color w:val="auto"/>
          <w:sz w:val="24"/>
          <w:szCs w:val="24"/>
          <w:u w:val="single"/>
          <w:lang w:val="en-US" w:eastAsia="zh-CN"/>
        </w:rPr>
        <w:t xml:space="preserve">0514-80926015</w:t>
      </w:r>
      <w:r/>
    </w:p>
    <w:p>
      <w:pPr>
        <w:ind w:firstLine="480"/>
        <w:jc w:val="left"/>
        <w:keepLines w:val="0"/>
        <w:keepNext w:val="0"/>
        <w:pageBreakBefore w:val="0"/>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r/>
    </w:p>
    <w:p>
      <w:pPr>
        <w:ind w:firstLine="480"/>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扬州市文昌东路9号广陵新城市民中心1号楼5楼1529室</w:t>
      </w:r>
      <w:r/>
    </w:p>
    <w:p>
      <w:pPr>
        <w:ind w:firstLine="480"/>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张自美</w:t>
      </w:r>
      <w:r/>
    </w:p>
    <w:p>
      <w:pPr>
        <w:ind w:firstLine="480"/>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0514-82087195</w:t>
      </w:r>
      <w:bookmarkEnd w:id="40"/>
      <w:r/>
      <w:bookmarkEnd w:id="41"/>
      <w:r/>
      <w:r/>
    </w:p>
    <w:p>
      <w:pPr>
        <w:pStyle w:val="972"/>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有关本次招标的事项若存在变动或修改，敬请及时关注扬州市公共资源交易中心在“江苏政府采购网”、“扬州市政府采购网”发布的更正公告。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bookmarkEnd w:id="1"/>
      <w:r/>
      <w:bookmarkEnd w:id="2"/>
      <w:r/>
      <w:bookmarkEnd w:id="3"/>
      <w:r/>
      <w:bookmarkEnd w:id="4"/>
      <w:r/>
      <w:bookmarkEnd w:id="5"/>
      <w:r/>
      <w:r/>
    </w:p>
    <w:p>
      <w:pPr>
        <w:pStyle w:val="970"/>
        <w:ind w:firstLine="2426"/>
        <w:jc w:val="both"/>
        <w:spacing w:line="240" w:lineRule="auto"/>
        <w:rPr>
          <w:rFonts w:ascii="黑体" w:eastAsia="黑体"/>
          <w:b w:val="0"/>
          <w:bCs w:val="0"/>
          <w:color w:val="000000"/>
        </w:rPr>
      </w:pPr>
      <w:r/>
      <w:bookmarkStart w:id="44" w:name="_Toc120614211"/>
      <w:r/>
      <w:bookmarkStart w:id="45" w:name="_Toc20823314"/>
      <w:r/>
      <w:bookmarkStart w:id="46" w:name="_Toc120614221"/>
      <w:r/>
      <w:bookmarkStart w:id="47" w:name="_Toc479757207"/>
      <w:r/>
      <w:bookmarkStart w:id="48" w:name="_Toc513029242"/>
      <w:r/>
      <w:bookmarkStart w:id="49" w:name="_Toc16938558"/>
      <w:r>
        <w:rPr>
          <w:rFonts w:hint="eastAsia" w:ascii="黑体" w:eastAsia="黑体"/>
          <w:color w:val="000000"/>
        </w:rPr>
        <w:t xml:space="preserve">第二章  </w:t>
      </w:r>
      <w:bookmarkEnd w:id="44"/>
      <w:r/>
      <w:bookmarkStart w:id="50" w:name="_Toc20823274"/>
      <w:r/>
      <w:bookmarkStart w:id="51" w:name="_Toc513029202"/>
      <w:r/>
      <w:bookmarkStart w:id="52" w:name="_Toc16938518"/>
      <w:r/>
      <w:bookmarkStart w:id="53" w:name="_Toc120614213"/>
      <w:r>
        <w:rPr>
          <w:rFonts w:hint="eastAsia" w:ascii="黑体" w:eastAsia="黑体"/>
          <w:color w:val="000000"/>
        </w:rPr>
        <w:t xml:space="preserve">投标人须知</w:t>
      </w:r>
      <w:bookmarkEnd w:id="50"/>
      <w:r/>
      <w:bookmarkEnd w:id="51"/>
      <w:r/>
      <w:bookmarkEnd w:id="52"/>
      <w:r/>
      <w:bookmarkEnd w:id="53"/>
      <w:r/>
      <w:r/>
    </w:p>
    <w:p>
      <w:pPr>
        <w:pStyle w:val="972"/>
        <w:ind w:firstLine="498"/>
        <w:spacing w:before="145" w:after="145" w:line="400" w:lineRule="exact"/>
        <w:rPr>
          <w:color w:val="000000"/>
        </w:rPr>
      </w:pPr>
      <w:r/>
      <w:bookmarkStart w:id="54" w:name="_Toc16938519"/>
      <w:r/>
      <w:bookmarkStart w:id="55" w:name="_Toc20823275"/>
      <w:r/>
      <w:bookmarkStart w:id="56" w:name="_Toc120614214"/>
      <w:r/>
      <w:bookmarkStart w:id="57" w:name="_Toc513029203"/>
      <w:r>
        <w:rPr>
          <w:rFonts w:hint="eastAsia"/>
          <w:color w:val="000000"/>
        </w:rPr>
        <w:t xml:space="preserve">一、总则</w:t>
      </w:r>
      <w:bookmarkEnd w:id="54"/>
      <w:r/>
      <w:bookmarkEnd w:id="55"/>
      <w:r/>
      <w:bookmarkEnd w:id="56"/>
      <w:r/>
      <w:bookmarkEnd w:id="57"/>
      <w:r/>
      <w:r/>
    </w:p>
    <w:p>
      <w:pPr>
        <w:pStyle w:val="973"/>
        <w:ind w:firstLine="420"/>
        <w:spacing w:before="0" w:after="0" w:line="400" w:lineRule="exact"/>
        <w:rPr>
          <w:b w:val="0"/>
          <w:bCs w:val="0"/>
          <w:color w:val="000000"/>
        </w:rPr>
      </w:pPr>
      <w:r/>
      <w:bookmarkStart w:id="58" w:name="_Hlt16619475"/>
      <w:r/>
      <w:bookmarkEnd w:id="58"/>
      <w:r/>
      <w:bookmarkStart w:id="59" w:name="_Toc458694821"/>
      <w:r/>
      <w:bookmarkStart w:id="60" w:name="_Toc16938520"/>
      <w:r/>
      <w:bookmarkStart w:id="61" w:name="_Toc513029204"/>
      <w:r/>
      <w:bookmarkStart w:id="62" w:name="_Toc20823276"/>
      <w:r>
        <w:rPr>
          <w:rFonts w:hint="eastAsia"/>
          <w:b w:val="0"/>
          <w:bCs w:val="0"/>
          <w:color w:val="000000"/>
        </w:rPr>
        <w:t xml:space="preserve">1</w:t>
      </w:r>
      <w:bookmarkEnd w:id="59"/>
      <w:r>
        <w:rPr>
          <w:rFonts w:hint="eastAsia"/>
          <w:b w:val="0"/>
          <w:bCs w:val="0"/>
          <w:color w:val="000000"/>
        </w:rPr>
        <w:t xml:space="preserve">、招标方式</w:t>
      </w:r>
      <w:bookmarkEnd w:id="60"/>
      <w:r/>
      <w:bookmarkEnd w:id="61"/>
      <w:r/>
      <w:bookmarkEnd w:id="62"/>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73"/>
        <w:ind w:firstLine="420"/>
        <w:spacing w:before="0" w:after="0" w:line="400" w:lineRule="exact"/>
        <w:rPr>
          <w:b w:val="0"/>
          <w:bCs w:val="0"/>
          <w:color w:val="000000"/>
        </w:rPr>
      </w:pPr>
      <w:r/>
      <w:bookmarkStart w:id="63" w:name="_Toc16938521"/>
      <w:r/>
      <w:bookmarkStart w:id="64" w:name="_Toc513029205"/>
      <w:r/>
      <w:bookmarkStart w:id="65" w:name="_Toc20823277"/>
      <w:r>
        <w:rPr>
          <w:rFonts w:hint="eastAsia"/>
          <w:b w:val="0"/>
          <w:bCs w:val="0"/>
          <w:color w:val="000000"/>
        </w:rPr>
        <w:t xml:space="preserve">2、合格的投标人</w:t>
      </w:r>
      <w:bookmarkEnd w:id="63"/>
      <w:r/>
      <w:bookmarkEnd w:id="64"/>
      <w:r/>
      <w:bookmarkEnd w:id="65"/>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973"/>
        <w:ind w:firstLine="420"/>
        <w:spacing w:before="0" w:after="0" w:line="400" w:lineRule="exact"/>
        <w:rPr>
          <w:b w:val="0"/>
          <w:bCs w:val="0"/>
          <w:color w:val="000000"/>
        </w:rPr>
      </w:pPr>
      <w:r/>
      <w:bookmarkStart w:id="66" w:name="_Toc513029206"/>
      <w:r/>
      <w:bookmarkStart w:id="67" w:name="_Toc16938522"/>
      <w:r/>
      <w:bookmarkStart w:id="68" w:name="_Toc20823278"/>
      <w:r>
        <w:rPr>
          <w:rFonts w:hint="eastAsia"/>
          <w:b w:val="0"/>
          <w:bCs w:val="0"/>
          <w:color w:val="000000"/>
        </w:rPr>
        <w:t xml:space="preserve">3、适用法律</w:t>
      </w:r>
      <w:bookmarkEnd w:id="66"/>
      <w:r/>
      <w:bookmarkEnd w:id="67"/>
      <w:r/>
      <w:bookmarkEnd w:id="68"/>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73"/>
        <w:ind w:firstLine="420"/>
        <w:spacing w:before="0" w:after="0" w:line="400" w:lineRule="exact"/>
        <w:rPr>
          <w:b w:val="0"/>
          <w:bCs w:val="0"/>
          <w:color w:val="000000"/>
        </w:rPr>
      </w:pPr>
      <w:r/>
      <w:bookmarkStart w:id="69" w:name="_Toc462564067"/>
      <w:r/>
      <w:bookmarkStart w:id="70" w:name="_Toc16938523"/>
      <w:r/>
      <w:bookmarkStart w:id="71" w:name="_Toc20823279"/>
      <w:r/>
      <w:bookmarkStart w:id="72" w:name="_Toc513029207"/>
      <w:r>
        <w:rPr>
          <w:rFonts w:hint="eastAsia"/>
          <w:b w:val="0"/>
          <w:bCs w:val="0"/>
          <w:color w:val="000000"/>
        </w:rPr>
        <w:t xml:space="preserve">4、投标费用</w:t>
      </w:r>
      <w:bookmarkEnd w:id="69"/>
      <w:r/>
      <w:bookmarkEnd w:id="70"/>
      <w:r/>
      <w:bookmarkEnd w:id="71"/>
      <w:r/>
      <w:bookmarkEnd w:id="72"/>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auto"/>
          <w:sz w:val="24"/>
        </w:rPr>
        <w:t xml:space="preserve">扬州市公共资源交易中心</w:t>
      </w:r>
      <w:r>
        <w:rPr>
          <w:rFonts w:hint="eastAsia" w:ascii="宋体" w:hAnsi="宋体"/>
          <w:color w:val="000000"/>
          <w:sz w:val="24"/>
        </w:rPr>
        <w:t xml:space="preserve">（以下简称交易中心）在任何情况下均无义务和责任承担这些费用。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973"/>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72"/>
        <w:ind w:firstLine="321"/>
        <w:spacing w:before="145" w:after="145" w:line="400" w:lineRule="exact"/>
        <w:rPr>
          <w:color w:val="000000"/>
        </w:rPr>
      </w:pPr>
      <w:r/>
      <w:bookmarkStart w:id="73" w:name="_Toc16938525"/>
      <w:r/>
      <w:bookmarkStart w:id="74" w:name="_Toc513029209"/>
      <w:r/>
      <w:bookmarkStart w:id="75" w:name="_Toc120614215"/>
      <w:r/>
      <w:bookmarkStart w:id="76" w:name="_Toc20823281"/>
      <w:r>
        <w:rPr>
          <w:rFonts w:hint="eastAsia"/>
          <w:color w:val="000000"/>
        </w:rPr>
        <w:t xml:space="preserve">二、招标文件</w:t>
      </w:r>
      <w:bookmarkEnd w:id="73"/>
      <w:r/>
      <w:bookmarkEnd w:id="74"/>
      <w:r/>
      <w:bookmarkEnd w:id="75"/>
      <w:r/>
      <w:bookmarkEnd w:id="76"/>
      <w:r/>
      <w:r/>
    </w:p>
    <w:p>
      <w:pPr>
        <w:pStyle w:val="973"/>
        <w:ind w:firstLine="420"/>
        <w:spacing w:before="0" w:after="0" w:line="400" w:lineRule="exact"/>
        <w:rPr>
          <w:b w:val="0"/>
          <w:bCs w:val="0"/>
          <w:color w:val="000000"/>
        </w:rPr>
      </w:pPr>
      <w:r/>
      <w:bookmarkStart w:id="77" w:name="_Toc16938526"/>
      <w:r/>
      <w:bookmarkStart w:id="78" w:name="_Toc513029210"/>
      <w:r/>
      <w:bookmarkStart w:id="79" w:name="_Toc20823282"/>
      <w:r>
        <w:rPr>
          <w:rFonts w:hint="eastAsia"/>
          <w:b w:val="0"/>
          <w:bCs w:val="0"/>
          <w:color w:val="000000"/>
        </w:rPr>
        <w:t xml:space="preserve">6、招标文件构成</w:t>
      </w:r>
      <w:bookmarkEnd w:id="77"/>
      <w:r/>
      <w:bookmarkEnd w:id="78"/>
      <w:r/>
      <w:bookmarkEnd w:id="79"/>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3"/>
        <w:ind w:firstLine="560"/>
        <w:spacing w:before="0" w:after="0" w:line="400" w:lineRule="exact"/>
        <w:rPr>
          <w:b w:val="0"/>
          <w:bCs w:val="0"/>
          <w:color w:val="000000"/>
        </w:rPr>
      </w:pPr>
      <w:r/>
      <w:bookmarkStart w:id="80" w:name="_Toc16938528"/>
      <w:r/>
      <w:bookmarkStart w:id="81" w:name="_Toc20823284"/>
      <w:r/>
      <w:bookmarkStart w:id="82" w:name="_Toc513029212"/>
      <w:r/>
      <w:bookmarkStart w:id="83" w:name="_Toc462564071"/>
      <w:r>
        <w:rPr>
          <w:b w:val="0"/>
          <w:bCs w:val="0"/>
          <w:color w:val="000000"/>
        </w:rPr>
        <w:t xml:space="preserve">7</w:t>
      </w:r>
      <w:r>
        <w:rPr>
          <w:rFonts w:hint="eastAsia"/>
          <w:b w:val="0"/>
          <w:bCs w:val="0"/>
          <w:color w:val="000000"/>
        </w:rPr>
        <w:t xml:space="preserve">、招标文件的修改</w:t>
      </w:r>
      <w:bookmarkEnd w:id="80"/>
      <w:r/>
      <w:bookmarkEnd w:id="81"/>
      <w:r/>
      <w:bookmarkEnd w:id="82"/>
      <w:r/>
      <w:bookmarkEnd w:id="83"/>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72"/>
        <w:ind w:firstLine="482"/>
        <w:spacing w:before="145" w:after="145" w:line="400" w:lineRule="exact"/>
        <w:rPr>
          <w:color w:val="000000"/>
        </w:rPr>
      </w:pPr>
      <w:r/>
      <w:bookmarkStart w:id="84" w:name="_Toc20823285"/>
      <w:r/>
      <w:bookmarkStart w:id="85" w:name="_Toc120614216"/>
      <w:r/>
      <w:bookmarkStart w:id="86" w:name="_Toc513029213"/>
      <w:r/>
      <w:bookmarkStart w:id="87" w:name="_Toc462564072"/>
      <w:r/>
      <w:bookmarkStart w:id="88" w:name="_Toc16938529"/>
      <w:r>
        <w:rPr>
          <w:rFonts w:hint="eastAsia"/>
          <w:color w:val="000000"/>
        </w:rPr>
        <w:t xml:space="preserve">三、投标文件的编制</w:t>
      </w:r>
      <w:bookmarkEnd w:id="84"/>
      <w:r/>
      <w:bookmarkEnd w:id="85"/>
      <w:r/>
      <w:bookmarkEnd w:id="86"/>
      <w:r/>
      <w:bookmarkEnd w:id="87"/>
      <w:r/>
      <w:bookmarkEnd w:id="88"/>
      <w:r/>
      <w:r/>
    </w:p>
    <w:p>
      <w:pPr>
        <w:pStyle w:val="973"/>
        <w:ind w:firstLine="560"/>
        <w:spacing w:before="0" w:after="0" w:line="400" w:lineRule="exact"/>
        <w:rPr>
          <w:bCs w:val="0"/>
          <w:color w:val="000000"/>
        </w:rPr>
      </w:pPr>
      <w:r/>
      <w:bookmarkStart w:id="89" w:name="_Toc20823286"/>
      <w:r/>
      <w:bookmarkStart w:id="90" w:name="_Toc513029214"/>
      <w:r/>
      <w:bookmarkStart w:id="91" w:name="_Toc16938530"/>
      <w:r/>
      <w:bookmarkStart w:id="92" w:name="_Toc462564073"/>
      <w:r>
        <w:rPr>
          <w:b w:val="0"/>
          <w:bCs w:val="0"/>
          <w:color w:val="000000"/>
        </w:rPr>
        <w:t xml:space="preserve">8</w:t>
      </w:r>
      <w:r>
        <w:rPr>
          <w:rFonts w:hint="eastAsia"/>
          <w:b w:val="0"/>
          <w:bCs w:val="0"/>
          <w:color w:val="000000"/>
        </w:rPr>
        <w:t xml:space="preserve">、投标文件的语言及度量衡单位</w:t>
      </w:r>
      <w:bookmarkEnd w:id="89"/>
      <w:r/>
      <w:bookmarkEnd w:id="90"/>
      <w:r/>
      <w:bookmarkEnd w:id="91"/>
      <w:r/>
      <w:bookmarkEnd w:id="92"/>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73"/>
        <w:ind w:firstLine="420"/>
        <w:spacing w:before="0" w:after="0" w:line="400" w:lineRule="exact"/>
        <w:rPr>
          <w:b w:val="0"/>
          <w:bCs w:val="0"/>
          <w:color w:val="000000"/>
        </w:rPr>
      </w:pPr>
      <w:r/>
      <w:bookmarkStart w:id="93" w:name="_Toc462564074"/>
      <w:r/>
      <w:bookmarkStart w:id="94" w:name="_Toc16938531"/>
      <w:r/>
      <w:bookmarkStart w:id="95" w:name="_Toc513029215"/>
      <w:r/>
      <w:bookmarkStart w:id="96" w:name="_Toc20823287"/>
      <w:r>
        <w:rPr>
          <w:b w:val="0"/>
          <w:bCs w:val="0"/>
          <w:color w:val="000000"/>
        </w:rPr>
        <w:t xml:space="preserve">9</w:t>
      </w:r>
      <w:r>
        <w:rPr>
          <w:rFonts w:hint="eastAsia"/>
          <w:b w:val="0"/>
          <w:bCs w:val="0"/>
          <w:color w:val="000000"/>
        </w:rPr>
        <w:t xml:space="preserve">、投标文件构成</w:t>
      </w:r>
      <w:bookmarkEnd w:id="93"/>
      <w:r/>
      <w:bookmarkEnd w:id="94"/>
      <w:r/>
      <w:bookmarkEnd w:id="95"/>
      <w:r/>
      <w:bookmarkEnd w:id="96"/>
      <w:r/>
      <w:r/>
    </w:p>
    <w:p>
      <w:pPr>
        <w:pStyle w:val="809"/>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如标书制作工具中格式和内容与“江苏政府采购网、扬州市政府采购网”发布的招标文件不一致，请以“江苏政府采购网、扬州市政府采购网”发布的招标文件为准。</w:t>
      </w:r>
      <w:r/>
    </w:p>
    <w:p>
      <w:pPr>
        <w:pStyle w:val="973"/>
        <w:ind w:firstLine="420"/>
        <w:spacing w:before="0" w:after="0" w:line="400" w:lineRule="exact"/>
        <w:rPr>
          <w:b w:val="0"/>
          <w:bCs w:val="0"/>
          <w:color w:val="000000"/>
        </w:rPr>
      </w:pPr>
      <w:r/>
      <w:bookmarkStart w:id="97" w:name="_Hlt26668975"/>
      <w:r/>
      <w:bookmarkEnd w:id="97"/>
      <w:r/>
      <w:bookmarkStart w:id="98" w:name="_Hlt26954838"/>
      <w:r/>
      <w:bookmarkEnd w:id="98"/>
      <w:r/>
      <w:bookmarkStart w:id="99" w:name="_Hlt26670360"/>
      <w:r/>
      <w:bookmarkEnd w:id="99"/>
      <w:r/>
      <w:bookmarkStart w:id="100" w:name="_Toc49090509"/>
      <w:r/>
      <w:bookmarkStart w:id="101" w:name="_Toc14577357"/>
      <w:r/>
      <w:bookmarkStart w:id="102" w:name="_Toc513029219"/>
      <w:r/>
      <w:bookmarkStart w:id="103" w:name="_Toc14577354"/>
      <w:r/>
      <w:bookmarkStart w:id="104" w:name="_Toc513029216"/>
      <w:r/>
      <w:bookmarkStart w:id="105" w:name="_Toc4909050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100"/>
      <w:r/>
      <w:bookmarkEnd w:id="101"/>
      <w:r/>
      <w:bookmarkEnd w:id="102"/>
      <w:r/>
      <w:bookmarkEnd w:id="103"/>
      <w:r/>
      <w:bookmarkEnd w:id="104"/>
      <w:r/>
      <w:bookmarkEnd w:id="105"/>
      <w:r/>
      <w:r/>
    </w:p>
    <w:p>
      <w:pPr>
        <w:spacing w:line="400" w:lineRule="exact"/>
        <w:rPr>
          <w:rFonts w:ascii="宋体" w:hAnsi="宋体"/>
          <w:color w:val="000000"/>
          <w:sz w:val="24"/>
          <w:szCs w:val="24"/>
        </w:rPr>
      </w:pPr>
      <w:r/>
      <w:bookmarkStart w:id="106" w:name="_Toc14577355"/>
      <w:r/>
      <w:bookmarkStart w:id="107"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73"/>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6"/>
      <w:r/>
      <w:bookmarkStart w:id="108" w:name="_Hlt26670373"/>
      <w:r/>
      <w:bookmarkEnd w:id="108"/>
      <w:r>
        <w:rPr>
          <w:rFonts w:hint="eastAsia"/>
          <w:b w:val="0"/>
          <w:bCs w:val="0"/>
          <w:color w:val="000000"/>
        </w:rPr>
        <w:t xml:space="preserve">表</w:t>
      </w:r>
      <w:bookmarkEnd w:id="107"/>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9" w:name="_Hlt26954840"/>
      <w:r/>
      <w:bookmarkEnd w:id="109"/>
      <w:r>
        <w:rPr>
          <w:rFonts w:hint="eastAsia" w:ascii="宋体" w:hAnsi="宋体"/>
          <w:color w:val="000000"/>
          <w:sz w:val="24"/>
        </w:rPr>
        <w:t xml:space="preserve">标人按照招标文件规定格式填报投标分项报价表</w:t>
      </w:r>
      <w:bookmarkStart w:id="110" w:name="_Hlt26670399"/>
      <w:r/>
      <w:bookmarkEnd w:id="110"/>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73"/>
        <w:ind w:firstLine="420"/>
        <w:spacing w:before="0" w:after="0" w:line="400" w:lineRule="exact"/>
        <w:rPr>
          <w:b w:val="0"/>
          <w:bCs w:val="0"/>
          <w:color w:val="000000"/>
        </w:rPr>
      </w:pPr>
      <w:r/>
      <w:bookmarkStart w:id="111" w:name="_Hlt26670482"/>
      <w:r/>
      <w:bookmarkEnd w:id="111"/>
      <w:r/>
      <w:bookmarkStart w:id="112" w:name="_Hlt26670425"/>
      <w:r/>
      <w:bookmarkEnd w:id="112"/>
      <w:r/>
      <w:bookmarkStart w:id="113" w:name="_Hlt26670403"/>
      <w:r/>
      <w:bookmarkEnd w:id="113"/>
      <w:r/>
      <w:bookmarkStart w:id="114" w:name="_Hlt26954846"/>
      <w:r/>
      <w:bookmarkEnd w:id="114"/>
      <w:r/>
      <w:bookmarkStart w:id="115" w:name="_Hlt26954842"/>
      <w:r/>
      <w:bookmarkEnd w:id="115"/>
      <w:r/>
      <w:bookmarkStart w:id="116" w:name="_Hlt26670486"/>
      <w:r/>
      <w:bookmarkEnd w:id="116"/>
      <w:r/>
      <w:bookmarkStart w:id="117" w:name="_Hlt26668983"/>
      <w:r/>
      <w:bookmarkEnd w:id="117"/>
      <w:r/>
      <w:bookmarkStart w:id="118" w:name="_Hlt26954844"/>
      <w:r/>
      <w:bookmarkEnd w:id="118"/>
      <w:r/>
      <w:bookmarkStart w:id="119" w:name="_Hlt26954848"/>
      <w:r/>
      <w:bookmarkEnd w:id="119"/>
      <w:r/>
      <w:bookmarkStart w:id="120" w:name="_Hlt26954731"/>
      <w:r/>
      <w:bookmarkEnd w:id="120"/>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21" w:name="_Toc14577359"/>
      <w:r/>
      <w:bookmarkStart w:id="122"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73"/>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21"/>
      <w:r/>
      <w:bookmarkEnd w:id="122"/>
      <w:r/>
      <w:r/>
    </w:p>
    <w:p>
      <w:pPr>
        <w:pStyle w:val="973"/>
        <w:ind w:firstLine="420"/>
        <w:spacing w:before="0" w:after="0" w:line="400" w:lineRule="exact"/>
        <w:rPr>
          <w:b w:val="0"/>
          <w:bCs w:val="0"/>
          <w:color w:val="000000"/>
        </w:rPr>
      </w:pPr>
      <w:r/>
      <w:bookmarkStart w:id="123" w:name="_Hlt26670489"/>
      <w:r/>
      <w:bookmarkEnd w:id="123"/>
      <w:r/>
      <w:bookmarkStart w:id="124" w:name="_Hlt26954850"/>
      <w:r/>
      <w:bookmarkEnd w:id="124"/>
      <w:r/>
      <w:bookmarkStart w:id="125" w:name="_Hlt26954734"/>
      <w:r/>
      <w:bookmarkEnd w:id="125"/>
      <w:r/>
      <w:bookmarkStart w:id="126" w:name="_Toc49090511"/>
      <w:r/>
      <w:bookmarkStart w:id="127"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6"/>
      <w:r/>
      <w:bookmarkEnd w:id="127"/>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73"/>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72"/>
        <w:ind w:firstLine="482"/>
        <w:spacing w:before="145" w:after="145" w:line="400" w:lineRule="exact"/>
        <w:rPr>
          <w:color w:val="000000"/>
        </w:rPr>
      </w:pPr>
      <w:r/>
      <w:bookmarkStart w:id="128" w:name="_Hlt26954852"/>
      <w:r/>
      <w:bookmarkEnd w:id="128"/>
      <w:r/>
      <w:bookmarkStart w:id="129" w:name="_Hlt26954739"/>
      <w:r/>
      <w:bookmarkEnd w:id="129"/>
      <w:r/>
      <w:bookmarkStart w:id="130" w:name="_Toc513029224"/>
      <w:r/>
      <w:bookmarkStart w:id="131" w:name="_Toc20823296"/>
      <w:r/>
      <w:bookmarkStart w:id="132" w:name="_Toc120614217"/>
      <w:r/>
      <w:bookmarkStart w:id="133" w:name="_Toc16938540"/>
      <w:r>
        <w:rPr>
          <w:rFonts w:hint="eastAsia"/>
          <w:color w:val="000000"/>
        </w:rPr>
        <w:t xml:space="preserve">四、投标文件的递交</w:t>
      </w:r>
      <w:bookmarkEnd w:id="130"/>
      <w:r/>
      <w:bookmarkEnd w:id="131"/>
      <w:r/>
      <w:bookmarkEnd w:id="132"/>
      <w:r/>
      <w:bookmarkEnd w:id="133"/>
      <w:r/>
      <w:r/>
    </w:p>
    <w:p>
      <w:pPr>
        <w:pStyle w:val="973"/>
        <w:ind w:firstLine="560"/>
        <w:spacing w:before="0" w:after="0" w:line="400" w:lineRule="exact"/>
        <w:rPr>
          <w:rFonts w:ascii="黑体"/>
          <w:b w:val="0"/>
          <w:bCs w:val="0"/>
          <w:color w:val="000000"/>
        </w:rPr>
      </w:pPr>
      <w:r/>
      <w:bookmarkStart w:id="134" w:name="_Toc462564084"/>
      <w:r/>
      <w:bookmarkStart w:id="135" w:name="_Toc513029225"/>
      <w:r/>
      <w:bookmarkStart w:id="136" w:name="_Toc16938541"/>
      <w:r/>
      <w:bookmarkStart w:id="137" w:name="_Toc20823297"/>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34"/>
      <w:r/>
      <w:bookmarkEnd w:id="135"/>
      <w:r/>
      <w:bookmarkEnd w:id="136"/>
      <w:r/>
      <w:bookmarkEnd w:id="137"/>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8" w:name="_Toc20823298"/>
      <w:r/>
      <w:bookmarkStart w:id="139" w:name="_Toc16938542"/>
      <w:r/>
      <w:bookmarkStart w:id="140" w:name="_Toc513029226"/>
      <w:r/>
      <w:r/>
    </w:p>
    <w:p>
      <w:pPr>
        <w:pStyle w:val="973"/>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8"/>
      <w:r/>
      <w:bookmarkEnd w:id="139"/>
      <w:r/>
      <w:bookmarkEnd w:id="140"/>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973"/>
        <w:ind w:firstLine="420"/>
        <w:spacing w:before="0" w:after="0" w:line="400" w:lineRule="exact"/>
        <w:rPr>
          <w:b w:val="0"/>
          <w:bCs w:val="0"/>
          <w:color w:val="000000"/>
        </w:rPr>
      </w:pPr>
      <w:r/>
      <w:bookmarkStart w:id="141" w:name="_Toc16938543"/>
      <w:r/>
      <w:bookmarkStart w:id="142" w:name="_Toc513029227"/>
      <w:r/>
      <w:bookmarkStart w:id="143"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41"/>
      <w:r/>
      <w:bookmarkEnd w:id="142"/>
      <w:r/>
      <w:bookmarkEnd w:id="143"/>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973"/>
        <w:ind w:firstLine="420"/>
        <w:spacing w:before="0" w:after="0" w:line="400" w:lineRule="exact"/>
        <w:rPr>
          <w:b w:val="0"/>
          <w:bCs w:val="0"/>
          <w:color w:val="000000"/>
        </w:rPr>
      </w:pPr>
      <w:r/>
      <w:bookmarkStart w:id="144" w:name="_Toc513029228"/>
      <w:r/>
      <w:bookmarkStart w:id="145" w:name="_Toc20823300"/>
      <w:r/>
      <w:bookmarkStart w:id="146" w:name="_Toc16938544"/>
      <w:r>
        <w:rPr>
          <w:b w:val="0"/>
          <w:bCs w:val="0"/>
          <w:color w:val="000000"/>
        </w:rPr>
        <w:t xml:space="preserve">19</w:t>
      </w:r>
      <w:r>
        <w:rPr>
          <w:rFonts w:hint="eastAsia"/>
          <w:b w:val="0"/>
          <w:bCs w:val="0"/>
          <w:color w:val="000000"/>
        </w:rPr>
        <w:t xml:space="preserve">、投标文件的撤回和修改</w:t>
      </w:r>
      <w:bookmarkEnd w:id="144"/>
      <w:r/>
      <w:bookmarkEnd w:id="145"/>
      <w:r/>
      <w:bookmarkEnd w:id="146"/>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72"/>
        <w:ind w:firstLine="482"/>
        <w:spacing w:before="145" w:after="145" w:line="400" w:lineRule="exact"/>
        <w:rPr>
          <w:color w:val="000000"/>
        </w:rPr>
      </w:pPr>
      <w:r/>
      <w:bookmarkStart w:id="147" w:name="_Toc120614218"/>
      <w:r/>
      <w:bookmarkStart w:id="148" w:name="_Toc16938545"/>
      <w:r/>
      <w:bookmarkStart w:id="149" w:name="_Toc20823301"/>
      <w:r/>
      <w:bookmarkStart w:id="150" w:name="_Toc513029229"/>
      <w:r>
        <w:rPr>
          <w:rFonts w:hint="eastAsia"/>
          <w:color w:val="000000"/>
        </w:rPr>
        <w:t xml:space="preserve">五、开标与评标</w:t>
      </w:r>
      <w:bookmarkEnd w:id="147"/>
      <w:r/>
      <w:bookmarkEnd w:id="148"/>
      <w:r/>
      <w:bookmarkEnd w:id="149"/>
      <w:r/>
      <w:bookmarkEnd w:id="150"/>
      <w:r/>
      <w:r/>
    </w:p>
    <w:p>
      <w:pPr>
        <w:pStyle w:val="973"/>
        <w:ind w:firstLine="420"/>
        <w:spacing w:before="0" w:after="0" w:line="400" w:lineRule="exact"/>
        <w:rPr>
          <w:b w:val="0"/>
          <w:bCs w:val="0"/>
          <w:color w:val="000000"/>
        </w:rPr>
      </w:pPr>
      <w:r/>
      <w:bookmarkStart w:id="151" w:name="_Toc20823302"/>
      <w:r/>
      <w:bookmarkStart w:id="152" w:name="_Toc16938546"/>
      <w:r/>
      <w:bookmarkStart w:id="153"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51"/>
      <w:r/>
      <w:bookmarkEnd w:id="152"/>
      <w:r/>
      <w:bookmarkEnd w:id="153"/>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73"/>
        <w:ind w:firstLine="420"/>
        <w:spacing w:before="0" w:after="0" w:line="400" w:lineRule="exact"/>
        <w:rPr>
          <w:b w:val="0"/>
          <w:bCs w:val="0"/>
          <w:color w:val="000000"/>
        </w:rPr>
      </w:pPr>
      <w:r/>
      <w:bookmarkStart w:id="154" w:name="_Toc513029231"/>
      <w:r/>
      <w:bookmarkStart w:id="155" w:name="_Toc16938547"/>
      <w:r/>
      <w:bookmarkStart w:id="156"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973"/>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54"/>
      <w:r/>
      <w:bookmarkEnd w:id="155"/>
      <w:r/>
      <w:bookmarkEnd w:id="156"/>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73"/>
        <w:ind w:firstLine="420"/>
        <w:spacing w:before="0" w:after="0" w:line="400" w:lineRule="exact"/>
        <w:rPr>
          <w:b w:val="0"/>
          <w:bCs w:val="0"/>
          <w:color w:val="000000"/>
        </w:rPr>
      </w:pPr>
      <w:r/>
      <w:bookmarkStart w:id="157" w:name="_Toc513029232"/>
      <w:r/>
      <w:bookmarkStart w:id="158" w:name="_Toc20823304"/>
      <w:r/>
      <w:bookmarkStart w:id="159"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7"/>
      <w:r/>
      <w:bookmarkEnd w:id="158"/>
      <w:r/>
      <w:bookmarkEnd w:id="159"/>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73"/>
        <w:ind w:firstLine="420"/>
        <w:spacing w:before="0" w:after="0" w:line="400" w:lineRule="exact"/>
        <w:rPr>
          <w:b w:val="0"/>
          <w:bCs w:val="0"/>
          <w:color w:val="000000"/>
        </w:rPr>
      </w:pPr>
      <w:r/>
      <w:bookmarkStart w:id="160" w:name="_Toc513029233"/>
      <w:r/>
      <w:bookmarkStart w:id="161" w:name="_Toc20823305"/>
      <w:r/>
      <w:bookmarkStart w:id="162" w:name="_Toc16938549"/>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60"/>
      <w:r/>
      <w:bookmarkEnd w:id="161"/>
      <w:r/>
      <w:bookmarkEnd w:id="162"/>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63" w:name="_Toc16938550"/>
      <w:r/>
      <w:bookmarkStart w:id="164" w:name="_Toc513029234"/>
      <w:r/>
      <w:bookmarkStart w:id="165"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973"/>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63"/>
      <w:r/>
      <w:bookmarkEnd w:id="164"/>
      <w:r/>
      <w:bookmarkEnd w:id="165"/>
      <w:r>
        <w:rPr>
          <w:rFonts w:hint="eastAsia"/>
          <w:b w:val="0"/>
          <w:bCs w:val="0"/>
          <w:color w:val="000000"/>
        </w:rPr>
        <w:t xml:space="preserve">无效投标条款和废标条款</w:t>
      </w:r>
      <w:r/>
    </w:p>
    <w:p>
      <w:pPr>
        <w:ind w:left="479"/>
        <w:spacing w:line="400" w:lineRule="exact"/>
        <w:rPr>
          <w:rFonts w:ascii="宋体" w:hAnsi="宋体"/>
          <w:bCs/>
          <w:color w:val="000000"/>
          <w:sz w:val="24"/>
        </w:rPr>
      </w:pPr>
      <w:r/>
      <w:bookmarkStart w:id="166" w:name="_Toc16938551"/>
      <w:r/>
      <w:bookmarkStart w:id="167" w:name="_Toc20823307"/>
      <w:r/>
      <w:bookmarkStart w:id="168" w:name="_Toc513029235"/>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color w:val="ff0000"/>
          <w:sz w:val="24"/>
        </w:rPr>
      </w:pPr>
      <w:r>
        <w:rPr>
          <w:rFonts w:hint="eastAsia" w:ascii="宋体" w:hAnsi="宋体"/>
          <w:bCs/>
          <w:color w:val="ff0000"/>
          <w:sz w:val="24"/>
        </w:rPr>
        <w:t xml:space="preserve">25.1.10 异常低价投标（响应）</w:t>
      </w:r>
      <w:r/>
    </w:p>
    <w:p>
      <w:pPr>
        <w:ind w:firstLine="480"/>
        <w:spacing w:line="400" w:lineRule="exact"/>
        <w:rPr>
          <w:rFonts w:ascii="宋体" w:hAnsi="宋体"/>
          <w:bCs/>
          <w:color w:val="ff0000"/>
          <w:sz w:val="24"/>
        </w:rPr>
      </w:pPr>
      <w:r>
        <w:rPr>
          <w:rFonts w:hint="eastAsia" w:ascii="宋体" w:hAnsi="宋体"/>
          <w:bCs/>
          <w:color w:val="ff0000"/>
          <w:sz w:val="24"/>
        </w:rPr>
        <w:t xml:space="preserve">25.1.10.1投标（响应）报价低于全部通过符合性审查供应商投标（响应）报价平均值50%的，即投标（响应）报价&lt;全部通过符合性审查供应商投标（响应）报价平均值×50%；</w:t>
      </w:r>
      <w:r/>
    </w:p>
    <w:p>
      <w:pPr>
        <w:ind w:firstLine="480"/>
        <w:spacing w:line="400" w:lineRule="exact"/>
        <w:rPr>
          <w:rFonts w:ascii="宋体" w:hAnsi="宋体"/>
          <w:bCs/>
          <w:color w:val="ff0000"/>
          <w:sz w:val="24"/>
        </w:rPr>
      </w:pPr>
      <w:r>
        <w:rPr>
          <w:rFonts w:hint="eastAsia" w:ascii="宋体" w:hAnsi="宋体"/>
          <w:bCs/>
          <w:color w:val="ff0000"/>
          <w:sz w:val="24"/>
        </w:rPr>
        <w:t xml:space="preserve">25.1.10.2投标（响应）报价低于通过符合性审查的次低报价供应商投标（响应）报价50%的，即投标（响应）报价&lt;通过符合性审查的次低报价供应商投标（响应）报价×50%；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color w:val="ff0000"/>
          <w:sz w:val="24"/>
        </w:rPr>
      </w:pPr>
      <w:r>
        <w:rPr>
          <w:rFonts w:hint="eastAsia" w:ascii="宋体" w:hAnsi="宋体"/>
          <w:bCs/>
          <w:color w:val="ff0000"/>
          <w:sz w:val="24"/>
        </w:rPr>
        <w:t xml:space="preserve">25.1.10.3投标（响应）报价低于采购项目最高限价 45% 的，即投标（响应）报价&lt;采购项目最高限价×45% ；</w:t>
      </w:r>
      <w:r/>
    </w:p>
    <w:p>
      <w:pPr>
        <w:ind w:firstLine="480"/>
        <w:spacing w:line="400" w:lineRule="exact"/>
        <w:rPr>
          <w:rFonts w:ascii="宋体" w:hAnsi="宋体"/>
          <w:bCs/>
          <w:color w:val="ff0000"/>
          <w:sz w:val="24"/>
        </w:rPr>
      </w:pPr>
      <w:r>
        <w:rPr>
          <w:rFonts w:hint="eastAsia" w:ascii="宋体" w:hAnsi="宋体"/>
          <w:bCs/>
          <w:color w:val="ff0000"/>
          <w:sz w:val="24"/>
        </w:rPr>
        <w:t xml:space="preserve">25.1.10.4评审委员会认定的供应商报价过低、有可能影响产品质量或者不能诚信履约的其他情形。</w:t>
      </w:r>
      <w:r/>
    </w:p>
    <w:p>
      <w:pPr>
        <w:ind w:firstLine="480"/>
        <w:spacing w:line="400" w:lineRule="exact"/>
        <w:rPr>
          <w:rFonts w:ascii="宋体" w:hAnsi="宋体"/>
          <w:bCs/>
          <w:color w:val="ff0000"/>
          <w:sz w:val="24"/>
        </w:rPr>
      </w:pPr>
      <w:r>
        <w:rPr>
          <w:rFonts w:hint="eastAsia" w:ascii="宋体" w:hAnsi="宋体"/>
          <w:bCs/>
          <w:color w:val="ff0000"/>
          <w:sz w:val="24"/>
        </w:rPr>
        <w:t xml:space="preserve">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bCs/>
          <w:color w:val="ff0000"/>
          <w:sz w:val="24"/>
        </w:rPr>
      </w:pPr>
      <w:r>
        <w:rPr>
          <w:rFonts w:hint="eastAsia" w:ascii="宋体" w:hAnsi="宋体"/>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72"/>
        <w:ind w:firstLine="482"/>
        <w:spacing w:before="145" w:after="145" w:line="400" w:lineRule="exact"/>
        <w:rPr>
          <w:color w:val="000000"/>
        </w:rPr>
      </w:pPr>
      <w:r/>
      <w:bookmarkStart w:id="169" w:name="_Toc120614219"/>
      <w:r>
        <w:rPr>
          <w:rFonts w:hint="eastAsia"/>
          <w:color w:val="000000"/>
        </w:rPr>
        <w:t xml:space="preserve">六、</w:t>
      </w:r>
      <w:bookmarkEnd w:id="166"/>
      <w:r/>
      <w:bookmarkEnd w:id="167"/>
      <w:r/>
      <w:bookmarkEnd w:id="168"/>
      <w:r>
        <w:rPr>
          <w:rFonts w:hint="eastAsia"/>
          <w:color w:val="000000"/>
        </w:rPr>
        <w:t xml:space="preserve">定标</w:t>
      </w:r>
      <w:bookmarkEnd w:id="169"/>
      <w:r/>
      <w:r/>
    </w:p>
    <w:p>
      <w:pPr>
        <w:pStyle w:val="973"/>
        <w:ind w:firstLine="600"/>
        <w:spacing w:before="0" w:after="0" w:line="400" w:lineRule="exact"/>
        <w:rPr>
          <w:rFonts w:ascii="黑体" w:hAnsi="宋体" w:cs="Times New Roman"/>
          <w:b w:val="0"/>
          <w:color w:val="000000"/>
          <w:sz w:val="30"/>
          <w:szCs w:val="30"/>
        </w:rPr>
      </w:pPr>
      <w:r/>
      <w:bookmarkStart w:id="170" w:name="_Toc513029238"/>
      <w:r/>
      <w:bookmarkStart w:id="171" w:name="_Toc16938554"/>
      <w:r/>
      <w:bookmarkStart w:id="172"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70"/>
      <w:r>
        <w:rPr>
          <w:rFonts w:hint="eastAsia" w:ascii="黑体" w:hAnsi="宋体" w:cs="Times New Roman"/>
          <w:b w:val="0"/>
          <w:color w:val="000000"/>
          <w:sz w:val="30"/>
          <w:szCs w:val="30"/>
        </w:rPr>
        <w:t xml:space="preserve">确定</w:t>
      </w:r>
      <w:bookmarkEnd w:id="171"/>
      <w:r/>
      <w:bookmarkEnd w:id="172"/>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73"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973"/>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73"/>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73"/>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72"/>
        <w:spacing w:before="145" w:after="145" w:line="400" w:lineRule="exact"/>
        <w:rPr>
          <w:color w:val="000000"/>
        </w:rPr>
      </w:pPr>
      <w:r/>
      <w:bookmarkStart w:id="174" w:name="_Toc120614220"/>
      <w:r/>
      <w:bookmarkStart w:id="175" w:name="_Toc16938552"/>
      <w:r/>
      <w:bookmarkStart w:id="176" w:name="_Toc20823308"/>
      <w:r/>
      <w:bookmarkStart w:id="177" w:name="_Toc513029236"/>
      <w:r>
        <w:rPr>
          <w:rFonts w:hint="eastAsia"/>
          <w:color w:val="000000"/>
        </w:rPr>
        <w:t xml:space="preserve">七、授予合同</w:t>
      </w:r>
      <w:bookmarkEnd w:id="174"/>
      <w:r/>
      <w:bookmarkEnd w:id="175"/>
      <w:r/>
      <w:bookmarkEnd w:id="176"/>
      <w:r/>
      <w:bookmarkEnd w:id="177"/>
      <w:r/>
      <w:r/>
    </w:p>
    <w:p>
      <w:pPr>
        <w:pStyle w:val="973"/>
        <w:ind w:firstLine="600"/>
        <w:spacing w:before="0" w:after="0" w:line="400" w:lineRule="exact"/>
        <w:rPr>
          <w:rFonts w:ascii="黑体" w:hAnsi="宋体" w:cs="Times New Roman"/>
          <w:b w:val="0"/>
          <w:color w:val="000000"/>
          <w:sz w:val="30"/>
          <w:szCs w:val="30"/>
        </w:rPr>
      </w:pPr>
      <w:r/>
      <w:bookmarkStart w:id="178" w:name="_Toc513029237"/>
      <w:r/>
      <w:bookmarkStart w:id="179" w:name="_Toc20823309"/>
      <w:r/>
      <w:bookmarkStart w:id="180"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8"/>
      <w:r/>
      <w:bookmarkEnd w:id="179"/>
      <w:r/>
      <w:bookmarkEnd w:id="180"/>
      <w:r/>
      <w:r/>
    </w:p>
    <w:p>
      <w:pPr>
        <w:pStyle w:val="973"/>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30、政府采购履约资金扶持政策</w:t>
      </w:r>
      <w:r/>
    </w:p>
    <w:p>
      <w:pPr>
        <w:pStyle w:val="971"/>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71"/>
        <w:rPr>
          <w:color w:val="000000"/>
        </w:rPr>
      </w:pPr>
      <w:r>
        <w:rPr>
          <w:color w:val="000000"/>
        </w:rPr>
      </w:r>
      <w:r/>
    </w:p>
    <w:p>
      <w:pPr>
        <w:rPr>
          <w:rFonts w:ascii="黑体" w:eastAsia="黑体"/>
          <w:bCs/>
          <w:color w:val="000000"/>
          <w:sz w:val="44"/>
        </w:rPr>
      </w:pPr>
      <w:r>
        <w:rPr>
          <w:rFonts w:hint="eastAsia" w:ascii="黑体" w:eastAsia="黑体"/>
          <w:bCs/>
          <w:color w:val="000000"/>
          <w:sz w:val="44"/>
        </w:rPr>
        <w:br w:type="page" w:clear="all"/>
      </w:r>
      <w:r/>
    </w:p>
    <w:p>
      <w:pPr>
        <w:pStyle w:val="969"/>
        <w:rPr>
          <w:rFonts w:ascii="黑体" w:eastAsia="黑体"/>
          <w:bCs/>
          <w:color w:val="000000"/>
          <w:sz w:val="44"/>
        </w:rPr>
      </w:pPr>
      <w:r>
        <w:rPr>
          <w:rFonts w:hint="eastAsia" w:ascii="黑体" w:eastAsia="黑体"/>
          <w:bCs/>
          <w:color w:val="000000"/>
          <w:sz w:val="44"/>
        </w:rPr>
        <w:t xml:space="preserve">第三章  合同</w:t>
      </w:r>
      <w:bookmarkEnd w:id="45"/>
      <w:r/>
      <w:bookmarkEnd w:id="46"/>
      <w:r/>
      <w:bookmarkEnd w:id="47"/>
      <w:r/>
      <w:bookmarkEnd w:id="48"/>
      <w:r/>
      <w:bookmarkEnd w:id="49"/>
      <w:r>
        <w:rPr>
          <w:rFonts w:hint="eastAsia" w:ascii="黑体" w:eastAsia="黑体"/>
          <w:bCs/>
          <w:color w:val="000000"/>
          <w:sz w:val="44"/>
        </w:rPr>
        <w:t xml:space="preserve">文本</w:t>
      </w:r>
      <w:r/>
    </w:p>
    <w:p>
      <w:pPr>
        <w:jc w:val="center"/>
        <w:spacing w:before="145" w:after="145"/>
        <w:rPr>
          <w:rFonts w:ascii="宋体" w:hAnsi="宋体"/>
          <w:b/>
          <w:color w:val="000000"/>
          <w:sz w:val="30"/>
        </w:rPr>
        <w:outlineLvl w:val="0"/>
      </w:pPr>
      <w:r/>
      <w:bookmarkStart w:id="181" w:name="_Toc513029243"/>
      <w:r/>
      <w:bookmarkStart w:id="182" w:name="_Toc20823315"/>
      <w:r/>
      <w:bookmarkStart w:id="183" w:name="_Toc16938559"/>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扬州市消防救援支队2026年度火灾风险研判和隐患治理决策辅助系统项目</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006"/>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06"/>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06"/>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06"/>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06"/>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06"/>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06"/>
        <w:spacing w:before="120" w:after="120"/>
        <w:rPr>
          <w:rFonts w:hAnsi="宋体"/>
          <w:color w:val="000000"/>
          <w:sz w:val="24"/>
          <w:szCs w:val="24"/>
        </w:rPr>
      </w:pPr>
      <w:r>
        <w:rPr>
          <w:rFonts w:hint="eastAsia" w:hAnsi="宋体"/>
          <w:color w:val="000000"/>
          <w:sz w:val="24"/>
          <w:szCs w:val="24"/>
        </w:rPr>
        <w:t xml:space="preserve">1.3 标的数量（规模）：</w:t>
      </w:r>
      <w:r/>
    </w:p>
    <w:p>
      <w:pPr>
        <w:pStyle w:val="1006"/>
        <w:spacing w:before="120" w:after="120"/>
        <w:rPr>
          <w:rFonts w:hAnsi="宋体"/>
          <w:color w:val="000000"/>
          <w:sz w:val="24"/>
          <w:szCs w:val="24"/>
        </w:rPr>
      </w:pPr>
      <w:r>
        <w:rPr>
          <w:rFonts w:hint="eastAsia" w:hAnsi="宋体"/>
          <w:color w:val="000000"/>
          <w:sz w:val="24"/>
          <w:szCs w:val="24"/>
        </w:rPr>
        <w:t xml:space="preserve">1.4 履行时间（期限）：</w:t>
      </w:r>
      <w:r/>
    </w:p>
    <w:p>
      <w:pPr>
        <w:pStyle w:val="1006"/>
        <w:spacing w:before="120" w:after="120"/>
        <w:rPr>
          <w:rFonts w:hAnsi="宋体"/>
          <w:color w:val="000000"/>
          <w:sz w:val="24"/>
          <w:szCs w:val="24"/>
        </w:rPr>
      </w:pPr>
      <w:r>
        <w:rPr>
          <w:rFonts w:hint="eastAsia" w:hAnsi="宋体"/>
          <w:color w:val="000000"/>
          <w:sz w:val="24"/>
          <w:szCs w:val="24"/>
        </w:rPr>
        <w:t xml:space="preserve">1.5 履行地点：</w:t>
      </w:r>
      <w:r/>
    </w:p>
    <w:p>
      <w:pPr>
        <w:pStyle w:val="100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06"/>
        <w:spacing w:before="120" w:after="120"/>
        <w:rPr>
          <w:rFonts w:hAnsi="宋体"/>
          <w:b/>
          <w:color w:val="000000"/>
          <w:sz w:val="24"/>
          <w:szCs w:val="24"/>
        </w:rPr>
      </w:pPr>
      <w:r>
        <w:rPr>
          <w:rFonts w:hAnsi="宋体"/>
          <w:b/>
          <w:color w:val="000000"/>
          <w:sz w:val="24"/>
          <w:szCs w:val="24"/>
        </w:rPr>
        <w:t xml:space="preserve">二、合同金额</w:t>
      </w:r>
      <w:r/>
    </w:p>
    <w:p>
      <w:pPr>
        <w:pStyle w:val="1006"/>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06"/>
        <w:spacing w:before="120" w:after="120"/>
        <w:rPr>
          <w:rFonts w:hAnsi="宋体"/>
          <w:b/>
          <w:color w:val="000000"/>
          <w:sz w:val="24"/>
          <w:szCs w:val="24"/>
        </w:rPr>
      </w:pPr>
      <w:r>
        <w:rPr>
          <w:rFonts w:hAnsi="宋体"/>
          <w:b/>
          <w:color w:val="000000"/>
          <w:sz w:val="24"/>
          <w:szCs w:val="24"/>
        </w:rPr>
        <w:t xml:space="preserve">三、技术资料</w:t>
      </w:r>
      <w:r/>
    </w:p>
    <w:p>
      <w:pPr>
        <w:pStyle w:val="1006"/>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06"/>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6"/>
        <w:ind w:left="412" w:hanging="412"/>
        <w:spacing w:before="120" w:after="120"/>
        <w:rPr>
          <w:rFonts w:hAnsi="宋体"/>
          <w:b/>
          <w:color w:val="000000"/>
          <w:sz w:val="24"/>
          <w:szCs w:val="24"/>
          <w:highlight w:val="none"/>
        </w:rPr>
      </w:pPr>
      <w:r>
        <w:rPr>
          <w:rFonts w:hAnsi="宋体"/>
          <w:b/>
          <w:color w:val="000000"/>
          <w:sz w:val="24"/>
          <w:szCs w:val="24"/>
          <w:highlight w:val="none"/>
        </w:rPr>
        <w:t xml:space="preserve">四、知识产权</w:t>
      </w:r>
      <w:r/>
    </w:p>
    <w:p>
      <w:pPr>
        <w:pStyle w:val="1006"/>
        <w:ind w:left="408" w:hanging="408"/>
        <w:spacing w:before="120" w:after="120"/>
        <w:rPr>
          <w:rFonts w:hAnsi="宋体"/>
          <w:color w:val="000000"/>
          <w:sz w:val="24"/>
          <w:szCs w:val="24"/>
          <w:highlight w:val="none"/>
        </w:rPr>
      </w:pPr>
      <w:r>
        <w:rPr>
          <w:rFonts w:hAnsi="宋体"/>
          <w:color w:val="000000"/>
          <w:sz w:val="24"/>
          <w:szCs w:val="24"/>
          <w:highlight w:val="none"/>
        </w:rPr>
        <w:t xml:space="preserve">4.1</w:t>
      </w:r>
      <w:r>
        <w:rPr>
          <w:rFonts w:hint="eastAsia" w:hAnsi="宋体"/>
          <w:color w:val="000000"/>
          <w:sz w:val="24"/>
          <w:szCs w:val="24"/>
          <w:highlight w:val="none"/>
        </w:rPr>
        <w:t xml:space="preserve">本项目所涉及的所有软件、模型、源代码、技术文档、设计图纸等知识产权归甲方所有。</w:t>
      </w:r>
      <w:r/>
    </w:p>
    <w:p>
      <w:pPr>
        <w:pStyle w:val="100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4.2</w:t>
      </w:r>
      <w:r>
        <w:rPr>
          <w:rFonts w:hAnsi="宋体"/>
          <w:sz w:val="24"/>
          <w:szCs w:val="24"/>
          <w:highlight w:val="none"/>
        </w:rPr>
        <w:t xml:space="preserve">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06"/>
        <w:spacing w:before="120" w:after="120"/>
        <w:rPr>
          <w:rFonts w:hAnsi="宋体"/>
          <w:color w:val="000000"/>
          <w:sz w:val="24"/>
          <w:szCs w:val="24"/>
          <w:u w:val="single"/>
        </w:rPr>
      </w:pPr>
      <w:r>
        <w:rPr>
          <w:rFonts w:hAnsi="宋体"/>
          <w:b/>
          <w:color w:val="000000"/>
          <w:sz w:val="24"/>
          <w:szCs w:val="24"/>
        </w:rPr>
        <w:t xml:space="preserve">五、产权担保</w:t>
      </w:r>
      <w:r/>
    </w:p>
    <w:p>
      <w:pPr>
        <w:pStyle w:val="1006"/>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06"/>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006"/>
        <w:ind w:left="408" w:hanging="408"/>
        <w:spacing w:before="120" w:after="120"/>
        <w:rPr>
          <w:rFonts w:hAnsi="宋体"/>
          <w:sz w:val="24"/>
          <w:szCs w:val="24"/>
        </w:rPr>
      </w:pPr>
      <w:r>
        <w:rPr>
          <w:rFonts w:hint="eastAsia" w:hAnsi="宋体"/>
          <w:sz w:val="24"/>
          <w:szCs w:val="24"/>
        </w:rPr>
        <w:t xml:space="preserve">6.1 乙方可以自主选择支票、汇票、本票、保函（电子保函）等非现金形式缴纳中标金额的</w:t>
      </w:r>
      <w:r>
        <w:rPr>
          <w:rFonts w:hint="eastAsia" w:hAnsi="宋体"/>
          <w:sz w:val="24"/>
          <w:szCs w:val="24"/>
          <w:u w:val="single"/>
        </w:rPr>
        <w:t xml:space="preserve">10%</w:t>
      </w:r>
      <w:r>
        <w:rPr>
          <w:rFonts w:hint="eastAsia" w:hAnsi="宋体"/>
          <w:sz w:val="24"/>
          <w:szCs w:val="24"/>
        </w:rPr>
        <w:t xml:space="preserve">作为本合同的履约保证金。</w:t>
      </w:r>
      <w:r/>
    </w:p>
    <w:p>
      <w:pPr>
        <w:pStyle w:val="1006"/>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1006"/>
        <w:ind w:left="408" w:hanging="408"/>
        <w:spacing w:before="120" w:after="120"/>
        <w:rPr>
          <w:rFonts w:hAnsi="宋体"/>
          <w:sz w:val="24"/>
          <w:szCs w:val="24"/>
        </w:rPr>
      </w:pPr>
      <w:r>
        <w:rPr>
          <w:rFonts w:hint="eastAsia" w:hAnsi="宋体"/>
          <w:sz w:val="24"/>
          <w:szCs w:val="24"/>
        </w:rPr>
        <w:t xml:space="preserve">6.2.1履约保证金退还方式：按照乙方缴纳的方式进行退还。</w:t>
      </w:r>
      <w:r/>
    </w:p>
    <w:p>
      <w:pPr>
        <w:pStyle w:val="1006"/>
        <w:ind w:left="408" w:hanging="408"/>
        <w:spacing w:before="120" w:after="120"/>
        <w:rPr>
          <w:rFonts w:hAnsi="宋体"/>
          <w:color w:val="0000ff"/>
          <w:sz w:val="24"/>
          <w:szCs w:val="24"/>
          <w:highlight w:val="none"/>
        </w:rPr>
      </w:pPr>
      <w:r>
        <w:rPr>
          <w:rFonts w:hint="eastAsia" w:hAnsi="宋体"/>
          <w:sz w:val="24"/>
          <w:szCs w:val="24"/>
        </w:rPr>
        <w:t xml:space="preserve">6.2.2履约保证金退还时间：</w:t>
      </w:r>
      <w:r>
        <w:rPr>
          <w:rFonts w:hint="eastAsia" w:hAnsi="宋体"/>
          <w:color w:val="auto"/>
          <w:sz w:val="24"/>
          <w:szCs w:val="24"/>
          <w:highlight w:val="none"/>
          <w:lang w:val="en-US" w:eastAsia="zh-CN"/>
        </w:rPr>
        <w:t xml:space="preserve">验收合格</w:t>
      </w:r>
      <w:r>
        <w:rPr>
          <w:rFonts w:hint="eastAsia" w:hAnsi="宋体"/>
          <w:color w:val="auto"/>
          <w:sz w:val="24"/>
          <w:szCs w:val="24"/>
          <w:highlight w:val="none"/>
        </w:rPr>
        <w:t xml:space="preserve">后</w:t>
      </w:r>
      <w:r>
        <w:rPr>
          <w:rFonts w:hint="eastAsia" w:hAnsi="宋体"/>
          <w:color w:val="auto"/>
          <w:sz w:val="24"/>
          <w:szCs w:val="24"/>
          <w:highlight w:val="none"/>
          <w:lang w:val="en-US" w:eastAsia="zh-CN"/>
        </w:rPr>
        <w:t xml:space="preserve">15日</w:t>
      </w:r>
      <w:r>
        <w:rPr>
          <w:rFonts w:hint="eastAsia" w:hAnsi="宋体"/>
          <w:color w:val="auto"/>
          <w:sz w:val="24"/>
          <w:szCs w:val="24"/>
          <w:highlight w:val="none"/>
        </w:rPr>
        <w:t xml:space="preserve">内。</w:t>
      </w:r>
      <w:r/>
    </w:p>
    <w:p>
      <w:pPr>
        <w:pStyle w:val="1006"/>
        <w:ind w:left="408" w:hanging="408"/>
        <w:spacing w:before="120" w:after="120"/>
        <w:rPr>
          <w:rFonts w:hAnsi="宋体"/>
          <w:sz w:val="24"/>
          <w:szCs w:val="24"/>
        </w:rPr>
      </w:pPr>
      <w:r>
        <w:rPr>
          <w:rFonts w:hint="eastAsia" w:hAnsi="宋体"/>
          <w:sz w:val="24"/>
          <w:szCs w:val="24"/>
        </w:rPr>
        <w:t xml:space="preserve">6.2.3履约保证金退还条件：乙方在履约期间未给甲方造成损失或造成的损失经扣除后存有结余的。</w:t>
      </w:r>
      <w:r/>
    </w:p>
    <w:p>
      <w:pPr>
        <w:pStyle w:val="1006"/>
        <w:ind w:left="408" w:hanging="408"/>
        <w:spacing w:before="120" w:after="120"/>
        <w:rPr>
          <w:rFonts w:hAnsi="宋体"/>
          <w:sz w:val="24"/>
          <w:szCs w:val="24"/>
        </w:rPr>
      </w:pPr>
      <w:r>
        <w:rPr>
          <w:rFonts w:hint="eastAsia" w:hAnsi="宋体"/>
          <w:sz w:val="24"/>
          <w:szCs w:val="24"/>
        </w:rPr>
        <w:t xml:space="preserve">6.2.4履约保证金不予退还的情形：乙方不履行合同或履行该合同不符合合同约定不足以弥补乙方违约造成甲方损失的。</w:t>
      </w:r>
      <w:r/>
    </w:p>
    <w:p>
      <w:pPr>
        <w:pStyle w:val="1006"/>
        <w:ind w:left="408" w:hanging="408"/>
        <w:spacing w:before="120" w:after="120"/>
        <w:rPr>
          <w:rFonts w:hAnsi="宋体"/>
          <w:sz w:val="24"/>
          <w:szCs w:val="24"/>
        </w:rPr>
      </w:pPr>
      <w:r>
        <w:rPr>
          <w:rFonts w:hint="eastAsia" w:hAnsi="宋体"/>
          <w:sz w:val="24"/>
          <w:szCs w:val="24"/>
        </w:rPr>
        <w:t xml:space="preserve">6.2.5履约保证金逾期退还的违约责任：按中国人民银行同期贷款基准利率上浮20%后的利率支付超期资金占用费，但因乙方自身原因导致无法及时退还的除外。</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06"/>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006"/>
        <w:ind w:firstLine="480"/>
        <w:spacing w:before="120" w:after="120"/>
        <w:rPr>
          <w:rFonts w:hint="eastAsia" w:hAnsi="宋体"/>
          <w:sz w:val="24"/>
          <w:szCs w:val="24"/>
          <w:u w:val="single"/>
        </w:rPr>
      </w:pPr>
      <w:r>
        <w:rPr>
          <w:rFonts w:hint="eastAsia" w:hAnsi="宋体"/>
          <w:sz w:val="24"/>
          <w:szCs w:val="24"/>
          <w:u w:val="single"/>
        </w:rPr>
        <w:t xml:space="preserve">预付款支付时间：合同签订后，支付合同总价30%的</w:t>
      </w:r>
      <w:r>
        <w:rPr>
          <w:rFonts w:hint="eastAsia" w:hAnsi="宋体"/>
          <w:color w:val="auto"/>
          <w:sz w:val="24"/>
          <w:szCs w:val="24"/>
          <w:u w:val="single"/>
        </w:rPr>
        <w:t xml:space="preserve">预付款</w:t>
      </w:r>
      <w:r>
        <w:rPr>
          <w:rFonts w:hint="eastAsia" w:hAnsi="宋体"/>
          <w:color w:val="auto"/>
          <w:sz w:val="24"/>
          <w:szCs w:val="24"/>
          <w:u w:val="single"/>
          <w:lang w:eastAsia="zh-CN"/>
        </w:rPr>
        <w:t xml:space="preserve">；</w:t>
      </w:r>
      <w:r>
        <w:rPr>
          <w:rFonts w:hint="eastAsia" w:hAnsi="宋体"/>
          <w:color w:val="auto"/>
          <w:sz w:val="24"/>
          <w:szCs w:val="24"/>
          <w:u w:val="single"/>
        </w:rPr>
        <w:t xml:space="preserve">项目</w:t>
      </w:r>
      <w:r>
        <w:rPr>
          <w:rFonts w:hint="eastAsia" w:hAnsi="宋体"/>
          <w:strike w:val="0"/>
          <w:color w:val="auto"/>
          <w:sz w:val="24"/>
          <w:szCs w:val="24"/>
          <w:u w:val="single"/>
          <w:lang w:val="en-US" w:eastAsia="zh-CN"/>
        </w:rPr>
        <w:t xml:space="preserve">上线试运行</w:t>
      </w:r>
      <w:r>
        <w:rPr>
          <w:rFonts w:hint="eastAsia" w:hAnsi="宋体"/>
          <w:sz w:val="24"/>
          <w:szCs w:val="24"/>
          <w:u w:val="single"/>
        </w:rPr>
        <w:t xml:space="preserve">：支付金额为合同总价的40%；项目验收合格：支付金额为合同总价的30%。</w:t>
      </w:r>
      <w:r/>
    </w:p>
    <w:p>
      <w:pPr>
        <w:pStyle w:val="1006"/>
        <w:ind w:firstLine="480"/>
        <w:spacing w:before="120" w:after="120"/>
        <w:rPr>
          <w:rFonts w:hint="eastAsia" w:hAnsi="宋体" w:eastAsia="宋体"/>
          <w:sz w:val="24"/>
          <w:szCs w:val="24"/>
          <w:u w:val="single"/>
          <w:lang w:eastAsia="zh-CN"/>
        </w:rPr>
      </w:pPr>
      <w:r>
        <w:rPr>
          <w:rFonts w:hint="eastAsia" w:hAnsi="宋体"/>
          <w:sz w:val="24"/>
          <w:szCs w:val="24"/>
          <w:u w:val="single"/>
          <w:lang w:val="en-US" w:eastAsia="zh-CN"/>
        </w:rPr>
        <w:t xml:space="preserve">上述款项，</w:t>
      </w:r>
      <w:r>
        <w:rPr>
          <w:rFonts w:hint="eastAsia" w:hAnsi="宋体"/>
          <w:sz w:val="24"/>
          <w:szCs w:val="24"/>
          <w:u w:val="single"/>
        </w:rPr>
        <w:t xml:space="preserve">甲方自收到发票后10个工作日内</w:t>
      </w:r>
      <w:r>
        <w:rPr>
          <w:rFonts w:hint="eastAsia" w:hAnsi="宋体"/>
          <w:sz w:val="24"/>
          <w:szCs w:val="24"/>
          <w:u w:val="single"/>
          <w:lang w:val="en-US" w:eastAsia="zh-CN"/>
        </w:rPr>
        <w:t xml:space="preserve">支付</w:t>
      </w:r>
      <w:r>
        <w:rPr>
          <w:rFonts w:hint="eastAsia" w:hAnsi="宋体"/>
          <w:sz w:val="24"/>
          <w:szCs w:val="24"/>
          <w:u w:val="single"/>
          <w:lang w:eastAsia="zh-CN"/>
        </w:rPr>
        <w:t xml:space="preserve">。</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0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06"/>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1006"/>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6"/>
        <w:ind w:left="480" w:hanging="480"/>
        <w:spacing w:before="120" w:after="120"/>
        <w:rPr>
          <w:rFonts w:hAnsi="宋体"/>
          <w:color w:val="000000"/>
          <w:sz w:val="24"/>
          <w:szCs w:val="24"/>
        </w:rPr>
      </w:pPr>
      <w:r>
        <w:rPr>
          <w:rFonts w:hint="eastAsia" w:hAnsi="宋体"/>
          <w:color w:val="000000"/>
          <w:sz w:val="24"/>
          <w:szCs w:val="24"/>
        </w:rPr>
        <w:t xml:space="preserve">10.3如有必要，甲方邀请参加本项目的其他供应商或第三方专业机构及专家参与验收，相关意见将作为验收书的参考资料。</w:t>
      </w:r>
      <w:r/>
    </w:p>
    <w:p>
      <w:pPr>
        <w:pStyle w:val="1006"/>
        <w:ind w:left="480" w:hanging="480"/>
        <w:spacing w:before="120" w:after="120"/>
        <w:rPr>
          <w:rFonts w:hint="eastAsia" w:hAnsi="宋体"/>
          <w:color w:val="auto"/>
          <w:sz w:val="24"/>
          <w:szCs w:val="24"/>
        </w:rPr>
      </w:pPr>
      <w:r>
        <w:rPr>
          <w:rFonts w:hint="eastAsia" w:hAnsi="宋体"/>
          <w:color w:val="000000"/>
          <w:sz w:val="24"/>
          <w:szCs w:val="24"/>
        </w:rPr>
        <w:t xml:space="preserve">10.4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w:t>
      </w:r>
      <w:r>
        <w:rPr>
          <w:rFonts w:hint="eastAsia" w:hAnsi="宋体"/>
          <w:color w:val="auto"/>
          <w:sz w:val="24"/>
          <w:szCs w:val="24"/>
        </w:rPr>
        <w:t xml:space="preserve">验收双方共同签署。验收结果与采购合同约定的资金支付及履约保证金返还条件挂钩。履约验收的各项资料存档备查。</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10.5验收要求</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10.5.1系统需满足招标文件中的所有功能需求和非功能性需求，测试用例覆盖率达到100%，通过率不低于98%。</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10.5.2验收时需提交完整的源代码（包含注释）、数据库脚本、部署手册、用户手册、API文档、测试报告、培训材料等。</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10.5.3试运行期间系统无重大故障（P0/P1级故障）。</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10.5.4配合第三方专业测评机构完成系统备案及报告测评等工作报告。包括三级网络安全等级保护测评报告、三级等保系统密码应用安全评估报告及第三方软件测试评估报告等。</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10.5.5交付物清单</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源代码：所有模块源代码（含前端、后端、算法模型），需提供代码仓库访问权限。</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数据库：数据库设计文档、数据字典、初始化脚本、迁移脚本。</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部署文档：Dockerfile、Kubernetes YAML文件、部署说明。</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用户文档：用户操作手册（分角色）、系统管理员手册。</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技术文档：系统架构设计、接口设计、数据库设计、安全设计、模型训练说明。</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测试文档：测试计划、测试用例、测试报告、性能测试报告、安全测试报告。</w:t>
      </w:r>
      <w:r/>
    </w:p>
    <w:p>
      <w:pPr>
        <w:pStyle w:val="1006"/>
        <w:ind w:left="480" w:hanging="480"/>
        <w:spacing w:before="120" w:after="120"/>
        <w:rPr>
          <w:rFonts w:hAnsi="宋体"/>
          <w:color w:val="auto"/>
          <w:sz w:val="24"/>
          <w:szCs w:val="24"/>
        </w:rPr>
      </w:pPr>
      <w:r>
        <w:rPr>
          <w:rFonts w:hint="eastAsia" w:hAnsi="宋体"/>
          <w:color w:val="auto"/>
          <w:sz w:val="24"/>
          <w:szCs w:val="24"/>
        </w:rPr>
        <w:t xml:space="preserve">培训材料：培训PPT、操作视频、考核试题。</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10.6 验收合格的项目,甲方根据采购合同的约定及时向乙方支付合同款项、退还履约</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保证金。验收不合格的项目，甲方依法及时处理。采购合同的履行、违约责任和解决</w:t>
      </w:r>
      <w:r/>
    </w:p>
    <w:p>
      <w:pPr>
        <w:pStyle w:val="1006"/>
        <w:ind w:left="480" w:hanging="480"/>
        <w:spacing w:before="120" w:after="120"/>
        <w:rPr>
          <w:rFonts w:hint="eastAsia" w:hAnsi="宋体"/>
          <w:color w:val="auto"/>
          <w:sz w:val="24"/>
          <w:szCs w:val="24"/>
        </w:rPr>
      </w:pPr>
      <w:r>
        <w:rPr>
          <w:rFonts w:hint="eastAsia" w:hAnsi="宋体"/>
          <w:color w:val="auto"/>
          <w:sz w:val="24"/>
          <w:szCs w:val="24"/>
        </w:rPr>
        <w:t xml:space="preserve">争议的方式等适用《中华人民共和国民法典》。乙方在履约过程中有政府采购法律法</w:t>
      </w:r>
      <w:r/>
    </w:p>
    <w:p>
      <w:pPr>
        <w:pStyle w:val="1006"/>
        <w:ind w:left="480" w:hanging="480"/>
        <w:spacing w:before="120" w:after="120"/>
        <w:rPr>
          <w:rFonts w:hAnsi="宋体"/>
          <w:color w:val="000000"/>
          <w:sz w:val="24"/>
          <w:szCs w:val="24"/>
        </w:rPr>
      </w:pPr>
      <w:r>
        <w:rPr>
          <w:rFonts w:hint="eastAsia" w:hAnsi="宋体"/>
          <w:color w:val="auto"/>
          <w:sz w:val="24"/>
          <w:szCs w:val="24"/>
        </w:rPr>
        <w:t xml:space="preserve">规规定的违法违规情形的,甲方将及时报告本级财政部门。</w:t>
      </w:r>
      <w:r/>
    </w:p>
    <w:p>
      <w:pPr>
        <w:pStyle w:val="1006"/>
        <w:numPr>
          <w:ilvl w:val="0"/>
          <w:numId w:val="0"/>
        </w:numPr>
        <w:jc w:val="both"/>
        <w:spacing w:before="120" w:after="120"/>
        <w:widowControl w:val="off"/>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val="en-US" w:eastAsia="zh-CN"/>
        </w:rPr>
        <w:t xml:space="preserve">十一、</w:t>
      </w:r>
      <w:r>
        <w:rPr>
          <w:rFonts w:hint="eastAsia" w:ascii="宋体" w:hAnsi="宋体" w:eastAsia="宋体" w:cs="宋体"/>
          <w:b/>
          <w:color w:val="000000"/>
          <w:sz w:val="24"/>
          <w:szCs w:val="24"/>
          <w:lang w:eastAsia="zh-CN"/>
        </w:rPr>
        <w:t xml:space="preserve">特别约定</w:t>
      </w:r>
      <w:r/>
    </w:p>
    <w:p>
      <w:pPr>
        <w:pStyle w:val="1006"/>
        <w:numPr>
          <w:ilvl w:val="0"/>
          <w:numId w:val="0"/>
        </w:numPr>
        <w:ind w:left="240"/>
        <w:jc w:val="both"/>
        <w:spacing w:before="120" w:after="120"/>
        <w:widowControl w:val="off"/>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11.1保密条款</w:t>
      </w:r>
      <w:r/>
    </w:p>
    <w:p>
      <w:pPr>
        <w:pStyle w:val="1006"/>
        <w:numPr>
          <w:ilvl w:val="0"/>
          <w:numId w:val="0"/>
        </w:numPr>
        <w:ind w:left="240"/>
        <w:jc w:val="both"/>
        <w:spacing w:before="120" w:after="120"/>
        <w:widowControl w:val="off"/>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 xml:space="preserve">乙方应对因履行本合同而知悉的甲方保密信息承担保密义务，保密信息包括但不限于甲方提供的业务数据、技术文档、源代码、用户信息、系统架构等。乙方仅可在本合同目的范围内使用上述信息，不得向任何第三方披露，不得设置后门或远程维护接口。乙方应与其工作人员签订保密承诺书。保密义务在合同终止后持续有效，直至保密信息进入公有领域。乙方违反保密义务的，应向甲方支付合同总价20%的违约金，并赔偿因此给甲方造成的全部损失。</w:t>
      </w:r>
      <w:r/>
    </w:p>
    <w:p>
      <w:pPr>
        <w:pStyle w:val="1006"/>
        <w:numPr>
          <w:ilvl w:val="0"/>
          <w:numId w:val="0"/>
        </w:numPr>
        <w:ind w:left="240"/>
        <w:jc w:val="both"/>
        <w:spacing w:before="120" w:after="120"/>
        <w:widowControl w:val="off"/>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rPr>
        <w:t xml:space="preserve">11.2</w:t>
      </w:r>
      <w:r>
        <w:rPr>
          <w:rFonts w:hint="eastAsia" w:ascii="宋体" w:hAnsi="宋体" w:eastAsia="宋体" w:cs="宋体"/>
          <w:b/>
          <w:bCs/>
          <w:i w:val="0"/>
          <w:iCs w:val="0"/>
          <w:caps w:val="0"/>
          <w:color w:val="auto"/>
          <w:spacing w:val="0"/>
          <w:sz w:val="24"/>
          <w:szCs w:val="24"/>
          <w:shd w:val="clear" w:color="auto" w:fill="ffffff"/>
        </w:rPr>
        <w:t xml:space="preserve">数据安全责任条款</w:t>
      </w:r>
      <w:r/>
    </w:p>
    <w:p>
      <w:pPr>
        <w:pStyle w:val="1006"/>
        <w:numPr>
          <w:ilvl w:val="0"/>
          <w:numId w:val="0"/>
        </w:numPr>
        <w:jc w:val="both"/>
        <w:spacing w:before="120" w:after="120"/>
        <w:widowControl w:val="off"/>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乙方应严格遵守《网络安全法》《数据安全法》《个人信息保护法》等相关法律法规，采取符合国家标准的安全措施保护甲方数据。未经甲方书面同意，乙方不得对数据进行修改、复制或用于本项目以外的用途。如因乙方原因导致数据丢失、泄露或被篡改，乙方应承担全部法律责任，包括但不限于恢复数据、赔偿甲方损失、承担因此产生的诉讼费和律师费等。</w:t>
      </w:r>
      <w:r/>
    </w:p>
    <w:p>
      <w:pPr>
        <w:pStyle w:val="1006"/>
        <w:ind w:firstLine="482"/>
        <w:jc w:val="both"/>
        <w:spacing w:before="120" w:after="120"/>
        <w:widowControl w:val="off"/>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11.3  质保期条款</w:t>
      </w:r>
      <w:r/>
    </w:p>
    <w:p>
      <w:pPr>
        <w:ind w:firstLine="480"/>
        <w:spacing w:line="360" w:lineRule="auto"/>
        <w:rPr>
          <w:rFonts w:hint="eastAsia" w:ascii="宋体" w:hAnsi="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 xml:space="preserve">质保期为自项目竣工验收合格之日起</w:t>
      </w:r>
      <w:r>
        <w:rPr>
          <w:rFonts w:hint="eastAsia"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年。质保期内，乙方提供</w:t>
      </w:r>
      <w:r>
        <w:rPr>
          <w:rFonts w:hint="eastAsia" w:ascii="宋体" w:hAnsi="宋体" w:cs="宋体"/>
          <w:color w:val="auto"/>
          <w:sz w:val="24"/>
          <w:szCs w:val="24"/>
        </w:rPr>
        <w:t xml:space="preserve">免费提供软件日常维护、培训、性能优化等服务，投标人售后服务方式包含：电话技术支持、上门服务、定期巡检等。</w:t>
      </w:r>
      <w:r/>
    </w:p>
    <w:p>
      <w:pPr>
        <w:spacing w:line="360" w:lineRule="auto"/>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rPr>
        <w:t xml:space="preserve">11.3.1</w:t>
      </w:r>
      <w:r>
        <w:rPr>
          <w:rFonts w:hint="eastAsia" w:ascii="宋体" w:hAnsi="宋体" w:cs="宋体"/>
          <w:b w:val="0"/>
          <w:bCs w:val="0"/>
          <w:color w:val="auto"/>
          <w:sz w:val="24"/>
          <w:szCs w:val="24"/>
        </w:rPr>
        <w:t xml:space="preserve">系统维护：对</w:t>
      </w:r>
      <w:r>
        <w:rPr>
          <w:rFonts w:hint="eastAsia" w:ascii="宋体" w:hAnsi="宋体" w:cs="宋体"/>
          <w:b w:val="0"/>
          <w:bCs w:val="0"/>
          <w:color w:val="auto"/>
          <w:sz w:val="24"/>
          <w:szCs w:val="24"/>
          <w:lang w:val="en-US" w:eastAsia="zh-CN"/>
        </w:rPr>
        <w:t xml:space="preserve">采购人</w:t>
      </w:r>
      <w:r>
        <w:rPr>
          <w:rFonts w:hint="eastAsia" w:ascii="宋体" w:hAnsi="宋体" w:cs="宋体"/>
          <w:b w:val="0"/>
          <w:bCs w:val="0"/>
          <w:color w:val="auto"/>
          <w:sz w:val="24"/>
          <w:szCs w:val="24"/>
        </w:rPr>
        <w:t xml:space="preserve">提供的各应用系统，包括系统软件，中标人应负责定期进行适当的测试、维护，保证系统正常工作和系统安全稳定。对于在系统运行过程中，由于不可测原因引起的系统故障，给予快速响应，保证系统使用不受到大的影响。对于第三方提供的产品，可协助采购人进行维护。</w:t>
      </w:r>
      <w:r/>
    </w:p>
    <w:p>
      <w:pPr>
        <w:spacing w:line="360" w:lineRule="auto"/>
        <w:rPr>
          <w:rFonts w:hint="eastAsia" w:ascii="宋体" w:hAnsi="宋体" w:cs="宋体"/>
          <w:color w:val="auto"/>
          <w:sz w:val="24"/>
          <w:szCs w:val="24"/>
        </w:rPr>
      </w:pPr>
      <w:r>
        <w:rPr>
          <w:rFonts w:hint="eastAsia" w:ascii="宋体" w:hAnsi="宋体" w:cs="宋体"/>
          <w:b w:val="0"/>
          <w:bCs w:val="0"/>
          <w:color w:val="auto"/>
          <w:sz w:val="24"/>
          <w:szCs w:val="24"/>
          <w:lang w:val="en-US" w:eastAsia="zh-CN"/>
        </w:rPr>
        <w:t xml:space="preserve">11.3.2</w:t>
      </w:r>
      <w:r>
        <w:rPr>
          <w:rFonts w:hint="eastAsia" w:ascii="宋体" w:hAnsi="宋体" w:cs="宋体"/>
          <w:b w:val="0"/>
          <w:bCs w:val="0"/>
          <w:color w:val="auto"/>
          <w:sz w:val="24"/>
          <w:szCs w:val="24"/>
        </w:rPr>
        <w:t xml:space="preserve">软件升级：</w:t>
      </w:r>
      <w:r>
        <w:rPr>
          <w:rFonts w:hint="eastAsia" w:ascii="宋体" w:hAnsi="宋体" w:cs="宋体"/>
          <w:color w:val="auto"/>
          <w:sz w:val="24"/>
          <w:szCs w:val="24"/>
        </w:rPr>
        <w:t xml:space="preserve">中标人免费提供咨询与技术支持工作，为采购人安装本项目系统相关的各种补丁软件和修订软件，以及免费为采购人安装应用软件的升级版本。及时将发现并掌握的有关设备操作、故障检测、故障排除方法及一些新的技术发展通知采购人。及时提供软硬件系统的最新技术文件资料，并对系统软硬件提供升级建议，并在升级过程中提供必要的技术支持。</w:t>
      </w:r>
      <w:r/>
    </w:p>
    <w:p>
      <w:pPr>
        <w:spacing w:line="360" w:lineRule="auto"/>
        <w:rPr>
          <w:rFonts w:hint="eastAsia" w:ascii="宋体" w:hAnsi="宋体" w:cs="宋体"/>
          <w:color w:val="auto"/>
          <w:sz w:val="24"/>
          <w:szCs w:val="24"/>
        </w:rPr>
      </w:pPr>
      <w:r>
        <w:rPr>
          <w:rFonts w:hint="eastAsia" w:ascii="宋体" w:hAnsi="宋体" w:cs="宋体"/>
          <w:b w:val="0"/>
          <w:bCs w:val="0"/>
          <w:color w:val="auto"/>
          <w:sz w:val="24"/>
          <w:szCs w:val="24"/>
          <w:lang w:val="en-US" w:eastAsia="zh-CN"/>
        </w:rPr>
        <w:t xml:space="preserve">11.3.3</w:t>
      </w:r>
      <w:r>
        <w:rPr>
          <w:rFonts w:hint="eastAsia" w:ascii="宋体" w:hAnsi="宋体" w:cs="宋体"/>
          <w:color w:val="auto"/>
          <w:sz w:val="24"/>
          <w:szCs w:val="24"/>
        </w:rPr>
        <w:t xml:space="preserve">质保期内，中标人免费提供系统版本升级、安全漏洞修复和性能优化服务。</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AI模型须每半年进行一次评估和优化迭代，根据新增训练数据更新模型版本，确保模型准确率不低于验收时的基线水平。</w:t>
      </w:r>
      <w:r/>
    </w:p>
    <w:p>
      <w:pPr>
        <w:ind w:firstLine="480"/>
        <w:spacing w:line="360" w:lineRule="auto"/>
        <w:rPr>
          <w:rFonts w:hint="eastAsia" w:ascii="宋体" w:hAnsi="宋体" w:cs="宋体"/>
          <w:b w:val="0"/>
          <w:bCs w:val="0"/>
          <w:i w:val="0"/>
          <w:iCs w:val="0"/>
          <w:color w:val="auto"/>
          <w:sz w:val="24"/>
          <w:szCs w:val="24"/>
          <w:u w:val="none"/>
        </w:rPr>
      </w:pPr>
      <w:r>
        <w:rPr>
          <w:rFonts w:hint="eastAsia" w:ascii="宋体" w:hAnsi="宋体" w:cs="宋体"/>
          <w:b w:val="0"/>
          <w:bCs w:val="0"/>
          <w:i w:val="0"/>
          <w:iCs w:val="0"/>
          <w:color w:val="auto"/>
          <w:sz w:val="24"/>
          <w:szCs w:val="24"/>
          <w:u w:val="none"/>
        </w:rPr>
        <w:t xml:space="preserve">项目验收通过后，中标人须提供不少于3年的免费质保期。质保期内，中标人须提供不少于1人的驻场运维人员。</w:t>
      </w:r>
      <w:r/>
    </w:p>
    <w:p>
      <w:pPr>
        <w:numPr>
          <w:ilvl w:val="0"/>
          <w:numId w:val="0"/>
        </w:numPr>
        <w:spacing w:line="360" w:lineRule="auto"/>
        <w:rPr>
          <w:rFonts w:hint="eastAsia" w:ascii="宋体" w:hAnsi="宋体" w:cs="宋体"/>
          <w:b/>
          <w:bCs/>
          <w:color w:val="auto"/>
          <w:sz w:val="24"/>
          <w:szCs w:val="24"/>
          <w:lang w:val="en-US" w:eastAsia="zh-CN"/>
        </w:rPr>
      </w:pPr>
      <w:r>
        <w:rPr>
          <w:rFonts w:hint="eastAsia" w:ascii="宋体" w:hAnsi="宋体" w:cs="宋体"/>
          <w:b w:val="0"/>
          <w:bCs w:val="0"/>
          <w:color w:val="auto"/>
          <w:sz w:val="24"/>
          <w:szCs w:val="24"/>
          <w:lang w:val="en-US" w:eastAsia="zh-CN"/>
        </w:rPr>
        <w:t xml:space="preserve">11.3.4</w:t>
      </w:r>
      <w:r>
        <w:rPr>
          <w:rFonts w:hint="eastAsia" w:ascii="宋体" w:hAnsi="宋体" w:cs="宋体"/>
          <w:b/>
          <w:bCs/>
          <w:color w:val="auto"/>
          <w:sz w:val="24"/>
          <w:szCs w:val="24"/>
        </w:rPr>
        <w:t xml:space="preserve">故障响应</w:t>
      </w:r>
      <w:r>
        <w:rPr>
          <w:rFonts w:hint="eastAsia" w:ascii="宋体" w:hAnsi="宋体" w:cs="宋体"/>
          <w:b/>
          <w:bCs/>
          <w:color w:val="auto"/>
          <w:sz w:val="24"/>
          <w:szCs w:val="24"/>
          <w:lang w:val="en-US" w:eastAsia="zh-CN"/>
        </w:rPr>
        <w:t xml:space="preserve">要求</w:t>
      </w:r>
      <w:r/>
    </w:p>
    <w:p>
      <w:pPr>
        <w:numPr>
          <w:ilvl w:val="0"/>
          <w:numId w:val="0"/>
        </w:numPr>
        <w:ind w:firstLine="480"/>
        <w:spacing w:line="360" w:lineRule="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color w:val="auto"/>
          <w:sz w:val="24"/>
          <w:szCs w:val="24"/>
        </w:rPr>
        <w:t xml:space="preserve">P0级故障（系统不可用）须在30分钟内响应、2小时内恢复；P1级故障（核心功能不可用）须在1小时内响应、4小时内恢复；P2级故障（非核心功能异常）须在4小时内响应、24小时内修复；P3级问题（优化建议、体验类）须在下一迭代版本中处理。质保期内，若系统出现故障，中标人需立即做出响应和安排，并安排专业人员1小时内响应，4小时内解决问题；如果故障在检修4小时后仍无法排除，中标人应在12小时内安排技术人员到达现场修复。对于在短时间内不能解决的问题，需要立即启用故障响应方案。</w:t>
      </w:r>
      <w:r/>
    </w:p>
    <w:p>
      <w:pPr>
        <w:pStyle w:val="1006"/>
        <w:ind w:firstLine="480"/>
        <w:jc w:val="both"/>
        <w:spacing w:before="120" w:after="120"/>
        <w:widowControl w:val="off"/>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产权担保</w:t>
      </w:r>
      <w:r/>
    </w:p>
    <w:p>
      <w:pPr>
        <w:pStyle w:val="1006"/>
        <w:ind w:left="408" w:hanging="408"/>
        <w:jc w:val="both"/>
        <w:spacing w:before="120" w:after="120"/>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乙方保证所交付的服务（包含与服务相关的货物）的所有权完全属于乙方且无任何抵押、查封等产权瑕疵。</w:t>
      </w:r>
      <w:r/>
    </w:p>
    <w:p>
      <w:pPr>
        <w:pStyle w:val="1006"/>
        <w:spacing w:before="120" w:after="120"/>
        <w:rPr>
          <w:rFonts w:hAnsi="宋体"/>
          <w:b/>
          <w:color w:val="auto"/>
          <w:sz w:val="24"/>
          <w:szCs w:val="24"/>
        </w:rPr>
      </w:pPr>
      <w:r>
        <w:rPr>
          <w:rFonts w:hint="eastAsia" w:hAnsi="宋体"/>
          <w:b/>
          <w:color w:val="auto"/>
          <w:sz w:val="24"/>
          <w:szCs w:val="24"/>
          <w:lang w:val="en-US" w:eastAsia="zh-CN"/>
        </w:rPr>
        <w:t xml:space="preserve">十二</w:t>
      </w:r>
      <w:r>
        <w:rPr>
          <w:rFonts w:hAnsi="宋体"/>
          <w:b/>
          <w:color w:val="auto"/>
          <w:sz w:val="24"/>
          <w:szCs w:val="24"/>
        </w:rPr>
        <w:t xml:space="preserve">、违约责任</w:t>
      </w:r>
      <w:r/>
    </w:p>
    <w:p>
      <w:pPr>
        <w:pStyle w:val="1006"/>
        <w:ind w:left="410" w:hanging="410"/>
        <w:spacing w:before="120" w:after="120"/>
        <w:rPr>
          <w:rFonts w:hAnsi="宋体"/>
          <w:color w:val="auto"/>
          <w:sz w:val="24"/>
          <w:szCs w:val="24"/>
        </w:rPr>
      </w:pPr>
      <w:r>
        <w:rPr>
          <w:rFonts w:hint="eastAsia" w:hAnsi="宋体"/>
          <w:color w:val="auto"/>
          <w:sz w:val="24"/>
          <w:szCs w:val="24"/>
          <w:lang w:val="en-US" w:eastAsia="zh-CN"/>
        </w:rPr>
        <w:t xml:space="preserve">12</w:t>
      </w:r>
      <w:r>
        <w:rPr>
          <w:rFonts w:hAnsi="宋体"/>
          <w:color w:val="auto"/>
          <w:sz w:val="24"/>
          <w:szCs w:val="24"/>
        </w:rPr>
        <w:t xml:space="preserve">.1 甲方无正当理由</w:t>
      </w:r>
      <w:r>
        <w:rPr>
          <w:rFonts w:hint="eastAsia" w:hAnsi="宋体"/>
          <w:color w:val="auto"/>
          <w:sz w:val="24"/>
          <w:szCs w:val="24"/>
        </w:rPr>
        <w:t xml:space="preserve">拒绝接受乙方提供服务</w:t>
      </w:r>
      <w:r>
        <w:rPr>
          <w:rFonts w:hAnsi="宋体"/>
          <w:color w:val="auto"/>
          <w:sz w:val="24"/>
          <w:szCs w:val="24"/>
        </w:rPr>
        <w:t xml:space="preserve">的，甲方向乙方偿付</w:t>
      </w:r>
      <w:r>
        <w:rPr>
          <w:rFonts w:hint="eastAsia" w:hAnsi="宋体"/>
          <w:color w:val="auto"/>
          <w:sz w:val="24"/>
          <w:szCs w:val="24"/>
        </w:rPr>
        <w:t xml:space="preserve">拒绝接受服务合同价款</w:t>
      </w:r>
      <w:r>
        <w:rPr>
          <w:rFonts w:hAnsi="宋体"/>
          <w:color w:val="auto"/>
          <w:sz w:val="24"/>
          <w:szCs w:val="24"/>
        </w:rPr>
        <w:t xml:space="preserve">总值</w:t>
      </w:r>
      <w:r>
        <w:rPr>
          <w:rFonts w:hint="eastAsia" w:hAnsi="宋体"/>
          <w:color w:val="auto"/>
          <w:sz w:val="24"/>
          <w:szCs w:val="24"/>
          <w:u w:val="single"/>
        </w:rPr>
        <w:t xml:space="preserve">    </w:t>
      </w:r>
      <w:r>
        <w:rPr>
          <w:rFonts w:hAnsi="宋体"/>
          <w:color w:val="auto"/>
          <w:sz w:val="24"/>
          <w:szCs w:val="24"/>
        </w:rPr>
        <w:t xml:space="preserve">的违约金。</w:t>
      </w:r>
      <w:r/>
    </w:p>
    <w:p>
      <w:pPr>
        <w:pStyle w:val="1006"/>
        <w:ind w:left="410" w:hanging="410"/>
        <w:spacing w:before="120" w:after="120"/>
        <w:rPr>
          <w:rFonts w:hAnsi="宋体"/>
          <w:color w:val="auto"/>
          <w:sz w:val="24"/>
          <w:szCs w:val="24"/>
        </w:rPr>
      </w:pPr>
      <w:r>
        <w:rPr>
          <w:rFonts w:hint="eastAsia" w:hAnsi="宋体"/>
          <w:color w:val="auto"/>
          <w:sz w:val="24"/>
          <w:szCs w:val="24"/>
          <w:lang w:val="en-US" w:eastAsia="zh-CN"/>
        </w:rPr>
        <w:t xml:space="preserve">12</w:t>
      </w:r>
      <w:r>
        <w:rPr>
          <w:rFonts w:hAnsi="宋体"/>
          <w:color w:val="auto"/>
          <w:sz w:val="24"/>
          <w:szCs w:val="24"/>
        </w:rPr>
        <w:t xml:space="preserve">.2 甲方无故逾期验收和办理</w:t>
      </w:r>
      <w:r>
        <w:rPr>
          <w:rFonts w:hint="eastAsia" w:hAnsi="宋体"/>
          <w:color w:val="auto"/>
          <w:sz w:val="24"/>
          <w:szCs w:val="24"/>
        </w:rPr>
        <w:t xml:space="preserve">合同款项</w:t>
      </w:r>
      <w:r>
        <w:rPr>
          <w:rFonts w:hAnsi="宋体"/>
          <w:color w:val="auto"/>
          <w:sz w:val="24"/>
          <w:szCs w:val="24"/>
        </w:rPr>
        <w:t xml:space="preserve">支付手续的,甲方应按逾期付款总额</w:t>
      </w:r>
      <w:r>
        <w:rPr>
          <w:rFonts w:hint="eastAsia" w:hAnsi="宋体"/>
          <w:color w:val="auto"/>
          <w:sz w:val="24"/>
          <w:szCs w:val="24"/>
          <w:u w:val="single"/>
        </w:rPr>
        <w:t xml:space="preserve">    </w:t>
      </w:r>
      <w:r>
        <w:rPr>
          <w:rFonts w:hAnsi="宋体"/>
          <w:color w:val="auto"/>
          <w:sz w:val="24"/>
          <w:szCs w:val="24"/>
        </w:rPr>
        <w:t xml:space="preserve">每日向乙方支付违约金。</w:t>
      </w:r>
      <w:r/>
    </w:p>
    <w:p>
      <w:pPr>
        <w:pStyle w:val="1006"/>
        <w:ind w:left="410" w:hanging="410"/>
        <w:spacing w:before="120" w:after="120"/>
        <w:rPr>
          <w:rFonts w:hAnsi="宋体"/>
          <w:color w:val="auto"/>
          <w:sz w:val="24"/>
          <w:szCs w:val="24"/>
        </w:rPr>
      </w:pPr>
      <w:r>
        <w:rPr>
          <w:rFonts w:hint="eastAsia" w:hAnsi="宋体"/>
          <w:color w:val="auto"/>
          <w:sz w:val="24"/>
          <w:szCs w:val="24"/>
          <w:lang w:val="en-US" w:eastAsia="zh-CN"/>
        </w:rPr>
        <w:t xml:space="preserve">12</w:t>
      </w:r>
      <w:r>
        <w:rPr>
          <w:rFonts w:hAnsi="宋体"/>
          <w:color w:val="auto"/>
          <w:sz w:val="24"/>
          <w:szCs w:val="24"/>
        </w:rPr>
        <w:t xml:space="preserve">.3 乙方逾期</w:t>
      </w:r>
      <w:r>
        <w:rPr>
          <w:rFonts w:hint="eastAsia" w:hAnsi="宋体"/>
          <w:color w:val="auto"/>
          <w:sz w:val="24"/>
          <w:szCs w:val="24"/>
        </w:rPr>
        <w:t xml:space="preserve">提供服务</w:t>
      </w:r>
      <w:r>
        <w:rPr>
          <w:rFonts w:hAnsi="宋体"/>
          <w:color w:val="auto"/>
          <w:sz w:val="24"/>
          <w:szCs w:val="24"/>
        </w:rPr>
        <w:t xml:space="preserve">的，乙方应按逾期</w:t>
      </w:r>
      <w:r>
        <w:rPr>
          <w:rFonts w:hint="eastAsia" w:hAnsi="宋体"/>
          <w:color w:val="auto"/>
          <w:sz w:val="24"/>
          <w:szCs w:val="24"/>
        </w:rPr>
        <w:t xml:space="preserve">提供服务合同</w:t>
      </w:r>
      <w:r>
        <w:rPr>
          <w:rFonts w:hAnsi="宋体"/>
          <w:color w:val="auto"/>
          <w:sz w:val="24"/>
          <w:szCs w:val="24"/>
        </w:rPr>
        <w:t xml:space="preserve">总额每日千分之六向甲方支付违约金，由甲方从待付</w:t>
      </w:r>
      <w:r>
        <w:rPr>
          <w:rFonts w:hint="eastAsia" w:hAnsi="宋体"/>
          <w:color w:val="auto"/>
          <w:sz w:val="24"/>
          <w:szCs w:val="24"/>
        </w:rPr>
        <w:t xml:space="preserve">合同款项</w:t>
      </w:r>
      <w:r>
        <w:rPr>
          <w:rFonts w:hAnsi="宋体"/>
          <w:color w:val="auto"/>
          <w:sz w:val="24"/>
          <w:szCs w:val="24"/>
        </w:rPr>
        <w:t xml:space="preserve">中扣除。逾期超过约定日期10个工作日不能</w:t>
      </w:r>
      <w:r>
        <w:rPr>
          <w:rFonts w:hint="eastAsia" w:hAnsi="宋体"/>
          <w:color w:val="auto"/>
          <w:sz w:val="24"/>
          <w:szCs w:val="24"/>
        </w:rPr>
        <w:t xml:space="preserve">提供服务</w:t>
      </w:r>
      <w:r>
        <w:rPr>
          <w:rFonts w:hAnsi="宋体"/>
          <w:color w:val="auto"/>
          <w:sz w:val="24"/>
          <w:szCs w:val="24"/>
        </w:rPr>
        <w:t xml:space="preserve">的，甲方可解除本合同。乙方因逾期</w:t>
      </w:r>
      <w:r>
        <w:rPr>
          <w:rFonts w:hint="eastAsia" w:hAnsi="宋体"/>
          <w:color w:val="auto"/>
          <w:sz w:val="24"/>
          <w:szCs w:val="24"/>
        </w:rPr>
        <w:t xml:space="preserve">提供服务</w:t>
      </w:r>
      <w:r>
        <w:rPr>
          <w:rFonts w:hAnsi="宋体"/>
          <w:color w:val="auto"/>
          <w:sz w:val="24"/>
          <w:szCs w:val="24"/>
        </w:rPr>
        <w:t xml:space="preserve">或因其他违约行为导致甲方解除合同的，乙方应向甲方支付合同</w:t>
      </w:r>
      <w:r>
        <w:rPr>
          <w:rFonts w:hint="eastAsia" w:hAnsi="宋体"/>
          <w:color w:val="auto"/>
          <w:sz w:val="24"/>
          <w:szCs w:val="24"/>
        </w:rPr>
        <w:t xml:space="preserve">价款总额</w:t>
      </w:r>
      <w:r>
        <w:rPr>
          <w:rFonts w:hint="eastAsia" w:hAnsi="宋体"/>
          <w:color w:val="auto"/>
          <w:sz w:val="24"/>
          <w:szCs w:val="24"/>
          <w:u w:val="single"/>
        </w:rPr>
        <w:t xml:space="preserve">     </w:t>
      </w:r>
      <w:r>
        <w:rPr>
          <w:rFonts w:hAnsi="宋体"/>
          <w:color w:val="auto"/>
          <w:sz w:val="24"/>
          <w:szCs w:val="24"/>
        </w:rPr>
        <w:t xml:space="preserve">的违约金，如造成甲方损失超过违约金的，超出部分由乙方继续承担赔偿责任。 </w:t>
      </w:r>
      <w:r/>
    </w:p>
    <w:p>
      <w:pPr>
        <w:pStyle w:val="1006"/>
        <w:ind w:left="410" w:hanging="410"/>
        <w:spacing w:before="120" w:after="120"/>
        <w:rPr>
          <w:rFonts w:hAnsi="宋体"/>
          <w:color w:val="auto"/>
          <w:sz w:val="24"/>
          <w:szCs w:val="24"/>
        </w:rPr>
      </w:pPr>
      <w:r>
        <w:rPr>
          <w:rFonts w:hint="eastAsia" w:hAnsi="宋体"/>
          <w:color w:val="auto"/>
          <w:sz w:val="24"/>
          <w:szCs w:val="24"/>
          <w:lang w:val="en-US" w:eastAsia="zh-CN"/>
        </w:rPr>
        <w:t xml:space="preserve">12</w:t>
      </w:r>
      <w:r>
        <w:rPr>
          <w:rFonts w:hAnsi="宋体"/>
          <w:color w:val="auto"/>
          <w:sz w:val="24"/>
          <w:szCs w:val="24"/>
        </w:rPr>
        <w:t xml:space="preserve">.4 乙方</w:t>
      </w:r>
      <w:r>
        <w:rPr>
          <w:rFonts w:hint="eastAsia" w:hAnsi="宋体"/>
          <w:color w:val="auto"/>
          <w:sz w:val="24"/>
          <w:szCs w:val="24"/>
        </w:rPr>
        <w:t xml:space="preserve">所提供服务的标准</w:t>
      </w:r>
      <w:r>
        <w:rPr>
          <w:rFonts w:hAnsi="宋体"/>
          <w:color w:val="auto"/>
          <w:sz w:val="24"/>
          <w:szCs w:val="24"/>
        </w:rPr>
        <w:t xml:space="preserve">不符合合同规定及招标文件规定标准的，甲方有权</w:t>
      </w:r>
      <w:r>
        <w:rPr>
          <w:rFonts w:hint="eastAsia" w:hAnsi="宋体"/>
          <w:color w:val="auto"/>
          <w:sz w:val="24"/>
          <w:szCs w:val="24"/>
        </w:rPr>
        <w:t xml:space="preserve">拒绝接受服务</w:t>
      </w:r>
      <w:r>
        <w:rPr>
          <w:rFonts w:hAnsi="宋体"/>
          <w:color w:val="auto"/>
          <w:sz w:val="24"/>
          <w:szCs w:val="24"/>
        </w:rPr>
        <w:t xml:space="preserve">，</w:t>
      </w:r>
      <w:r>
        <w:rPr>
          <w:rFonts w:hint="eastAsia" w:hAnsi="宋体"/>
          <w:color w:val="auto"/>
          <w:sz w:val="24"/>
          <w:szCs w:val="24"/>
        </w:rPr>
        <w:t xml:space="preserve">并</w:t>
      </w:r>
      <w:r>
        <w:rPr>
          <w:rFonts w:hAnsi="宋体"/>
          <w:color w:val="auto"/>
          <w:sz w:val="24"/>
          <w:szCs w:val="24"/>
        </w:rPr>
        <w:t xml:space="preserve">可单方面解除合同。</w:t>
      </w:r>
      <w:r/>
    </w:p>
    <w:p>
      <w:pPr>
        <w:pStyle w:val="1006"/>
        <w:spacing w:before="120" w:after="120"/>
        <w:rPr>
          <w:rFonts w:hAnsi="宋体"/>
          <w:b/>
          <w:color w:val="auto"/>
          <w:sz w:val="24"/>
          <w:szCs w:val="24"/>
        </w:rPr>
      </w:pPr>
      <w:r>
        <w:rPr>
          <w:rFonts w:hint="eastAsia" w:hAnsi="宋体"/>
          <w:b/>
          <w:color w:val="auto"/>
          <w:sz w:val="24"/>
          <w:szCs w:val="24"/>
          <w:lang w:val="en-US" w:eastAsia="zh-CN"/>
        </w:rPr>
        <w:t xml:space="preserve">十三</w:t>
      </w:r>
      <w:r>
        <w:rPr>
          <w:rFonts w:hAnsi="宋体"/>
          <w:b/>
          <w:color w:val="auto"/>
          <w:sz w:val="24"/>
          <w:szCs w:val="24"/>
        </w:rPr>
        <w:t xml:space="preserve">、不可抗力事件处理</w:t>
      </w:r>
      <w:r/>
    </w:p>
    <w:p>
      <w:pPr>
        <w:pStyle w:val="1006"/>
        <w:ind w:left="480" w:hanging="48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lang w:val="en-US" w:eastAsia="zh-CN"/>
        </w:rPr>
        <w:t xml:space="preserve">3</w:t>
      </w:r>
      <w:r>
        <w:rPr>
          <w:rFonts w:hAnsi="宋体"/>
          <w:color w:val="auto"/>
          <w:sz w:val="24"/>
          <w:szCs w:val="24"/>
        </w:rPr>
        <w:t xml:space="preserve">.1 在合同有效期内，任何一方因不可抗力事件导致不能履行合同，则合同履行期</w:t>
      </w:r>
      <w:r/>
    </w:p>
    <w:p>
      <w:pPr>
        <w:pStyle w:val="1006"/>
        <w:spacing w:before="120" w:after="120"/>
        <w:rPr>
          <w:rFonts w:hAnsi="宋体"/>
          <w:color w:val="auto"/>
          <w:sz w:val="24"/>
          <w:szCs w:val="24"/>
        </w:rPr>
      </w:pPr>
      <w:r>
        <w:rPr>
          <w:rFonts w:hAnsi="宋体"/>
          <w:color w:val="auto"/>
          <w:sz w:val="24"/>
          <w:szCs w:val="24"/>
        </w:rPr>
        <w:t xml:space="preserve">可延长，其延长期与不可抗力影响期相同。</w:t>
      </w:r>
      <w:r/>
    </w:p>
    <w:p>
      <w:pPr>
        <w:pStyle w:val="1006"/>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lang w:val="en-US" w:eastAsia="zh-CN"/>
        </w:rPr>
        <w:t xml:space="preserve">3</w:t>
      </w:r>
      <w:r>
        <w:rPr>
          <w:rFonts w:hAnsi="宋体"/>
          <w:color w:val="auto"/>
          <w:sz w:val="24"/>
          <w:szCs w:val="24"/>
        </w:rPr>
        <w:t xml:space="preserve">.2 不可抗力事件发生后，应立即通知对方，并寄送有关权威机构出具的证明。</w:t>
      </w:r>
      <w:r/>
    </w:p>
    <w:p>
      <w:pPr>
        <w:pStyle w:val="1006"/>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lang w:val="en-US" w:eastAsia="zh-CN"/>
        </w:rPr>
        <w:t xml:space="preserve">3</w:t>
      </w:r>
      <w:r>
        <w:rPr>
          <w:rFonts w:hAnsi="宋体"/>
          <w:color w:val="auto"/>
          <w:sz w:val="24"/>
          <w:szCs w:val="24"/>
        </w:rPr>
        <w:t xml:space="preserve">.3 不可抗力事件延续120天以上，双方应通过友好协商，确定是否继续履行合同。</w:t>
      </w:r>
      <w:r/>
    </w:p>
    <w:p>
      <w:pPr>
        <w:pStyle w:val="1006"/>
        <w:spacing w:before="120" w:after="120"/>
        <w:rPr>
          <w:rFonts w:hAnsi="宋体"/>
          <w:b/>
          <w:color w:val="auto"/>
          <w:sz w:val="24"/>
          <w:szCs w:val="24"/>
        </w:rPr>
      </w:pPr>
      <w:r>
        <w:rPr>
          <w:rFonts w:hAnsi="宋体"/>
          <w:b/>
          <w:color w:val="auto"/>
          <w:sz w:val="24"/>
          <w:szCs w:val="24"/>
        </w:rPr>
        <w:t xml:space="preserve">十</w:t>
      </w:r>
      <w:r>
        <w:rPr>
          <w:rFonts w:hint="eastAsia" w:hAnsi="宋体"/>
          <w:b/>
          <w:color w:val="auto"/>
          <w:sz w:val="24"/>
          <w:szCs w:val="24"/>
          <w:lang w:val="en-US" w:eastAsia="zh-CN"/>
        </w:rPr>
        <w:t xml:space="preserve">四</w:t>
      </w:r>
      <w:r>
        <w:rPr>
          <w:rFonts w:hAnsi="宋体"/>
          <w:b/>
          <w:color w:val="auto"/>
          <w:sz w:val="24"/>
          <w:szCs w:val="24"/>
        </w:rPr>
        <w:t xml:space="preserve">、</w:t>
      </w:r>
      <w:r>
        <w:rPr>
          <w:rFonts w:hint="eastAsia" w:hAnsi="宋体"/>
          <w:b/>
          <w:color w:val="auto"/>
          <w:sz w:val="24"/>
          <w:szCs w:val="24"/>
        </w:rPr>
        <w:t xml:space="preserve">解决争议的方法</w:t>
      </w:r>
      <w:r/>
    </w:p>
    <w:p>
      <w:pPr>
        <w:pStyle w:val="1006"/>
        <w:spacing w:before="120" w:after="120"/>
        <w:rPr>
          <w:rFonts w:hAnsi="宋体"/>
          <w:color w:val="auto"/>
          <w:sz w:val="24"/>
          <w:szCs w:val="24"/>
        </w:rPr>
      </w:pPr>
      <w:r>
        <w:rPr>
          <w:rFonts w:hint="eastAsia" w:hAnsi="宋体"/>
          <w:color w:val="auto"/>
          <w:sz w:val="24"/>
          <w:szCs w:val="24"/>
        </w:rPr>
        <w:t xml:space="preserve">1</w:t>
      </w:r>
      <w:r>
        <w:rPr>
          <w:rFonts w:hint="eastAsia" w:hAnsi="宋体"/>
          <w:color w:val="auto"/>
          <w:sz w:val="24"/>
          <w:szCs w:val="24"/>
          <w:lang w:val="en-US" w:eastAsia="zh-CN"/>
        </w:rPr>
        <w:t xml:space="preserve">4</w:t>
      </w:r>
      <w:r>
        <w:rPr>
          <w:rFonts w:hint="eastAsia" w:hAnsi="宋体"/>
          <w:color w:val="auto"/>
          <w:sz w:val="24"/>
          <w:szCs w:val="24"/>
        </w:rPr>
        <w:t xml:space="preserve">.1双方在签订、履行合同中所发生的一切争议，应通过友好协商解决。如协商不成，由甲方住所地人民法院管辖。</w:t>
      </w:r>
      <w:r/>
    </w:p>
    <w:p>
      <w:pPr>
        <w:pStyle w:val="1006"/>
        <w:spacing w:before="120" w:after="120"/>
        <w:rPr>
          <w:rFonts w:hAnsi="宋体"/>
          <w:b/>
          <w:color w:val="auto"/>
          <w:sz w:val="24"/>
          <w:szCs w:val="24"/>
        </w:rPr>
      </w:pPr>
      <w:r>
        <w:rPr>
          <w:rFonts w:hAnsi="宋体"/>
          <w:b/>
          <w:color w:val="auto"/>
          <w:sz w:val="24"/>
          <w:szCs w:val="24"/>
        </w:rPr>
        <w:t xml:space="preserve">十</w:t>
      </w:r>
      <w:r>
        <w:rPr>
          <w:rFonts w:hint="eastAsia" w:hAnsi="宋体"/>
          <w:b/>
          <w:color w:val="auto"/>
          <w:sz w:val="24"/>
          <w:szCs w:val="24"/>
          <w:lang w:val="en-US" w:eastAsia="zh-CN"/>
        </w:rPr>
        <w:t xml:space="preserve">五</w:t>
      </w:r>
      <w:r>
        <w:rPr>
          <w:rFonts w:hAnsi="宋体"/>
          <w:b/>
          <w:color w:val="auto"/>
          <w:sz w:val="24"/>
          <w:szCs w:val="24"/>
        </w:rPr>
        <w:t xml:space="preserve">、合同生效及其它</w:t>
      </w:r>
      <w:r/>
    </w:p>
    <w:p>
      <w:pPr>
        <w:pStyle w:val="1006"/>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lang w:val="en-US" w:eastAsia="zh-CN"/>
        </w:rPr>
        <w:t xml:space="preserve">5</w:t>
      </w:r>
      <w:r>
        <w:rPr>
          <w:rFonts w:hAnsi="宋体"/>
          <w:color w:val="auto"/>
          <w:sz w:val="24"/>
          <w:szCs w:val="24"/>
        </w:rPr>
        <w:t xml:space="preserve">.1 合同经双方法定代表人或授权委托代</w:t>
      </w:r>
      <w:r>
        <w:rPr>
          <w:rFonts w:hint="eastAsia" w:hAnsi="宋体"/>
          <w:color w:val="auto"/>
          <w:sz w:val="24"/>
          <w:szCs w:val="24"/>
        </w:rPr>
        <w:t xml:space="preserve">表</w:t>
      </w:r>
      <w:r>
        <w:rPr>
          <w:rFonts w:hAnsi="宋体"/>
          <w:color w:val="auto"/>
          <w:sz w:val="24"/>
          <w:szCs w:val="24"/>
        </w:rPr>
        <w:t xml:space="preserve">人签字并加盖单位公章后生效。</w:t>
      </w:r>
      <w:r/>
    </w:p>
    <w:p>
      <w:pPr>
        <w:pStyle w:val="1006"/>
        <w:spacing w:before="120" w:after="120"/>
        <w:rPr>
          <w:rFonts w:hAnsi="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lang w:val="en-US" w:eastAsia="zh-CN"/>
        </w:rPr>
        <w:t xml:space="preserve">5</w:t>
      </w:r>
      <w:r>
        <w:rPr>
          <w:rFonts w:ascii="宋体" w:hAnsi="宋体" w:eastAsia="宋体"/>
          <w:color w:val="auto"/>
          <w:sz w:val="24"/>
          <w:szCs w:val="24"/>
        </w:rPr>
        <w:t xml:space="preserve">.2</w:t>
      </w:r>
      <w:r>
        <w:rPr>
          <w:rFonts w:hAnsi="宋体"/>
          <w:color w:val="auto"/>
          <w:sz w:val="24"/>
          <w:szCs w:val="24"/>
        </w:rPr>
        <w:t xml:space="preserve">本合同未尽事宜，遵照</w:t>
      </w:r>
      <w:r>
        <w:rPr>
          <w:rFonts w:hint="eastAsia" w:hAnsi="宋体"/>
          <w:color w:val="auto"/>
          <w:sz w:val="24"/>
          <w:szCs w:val="24"/>
        </w:rPr>
        <w:t xml:space="preserve">中华人民共和国现行法律法规</w:t>
      </w:r>
      <w:r>
        <w:rPr>
          <w:rFonts w:hAnsi="宋体"/>
          <w:color w:val="auto"/>
          <w:sz w:val="24"/>
          <w:szCs w:val="24"/>
        </w:rPr>
        <w:t xml:space="preserve">有关条文执行。</w:t>
      </w:r>
      <w:r/>
    </w:p>
    <w:p>
      <w:pPr>
        <w:pStyle w:val="1006"/>
        <w:ind w:left="480" w:hanging="48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lang w:val="en-US" w:eastAsia="zh-CN"/>
        </w:rPr>
        <w:t xml:space="preserve">5</w:t>
      </w:r>
      <w:r>
        <w:rPr>
          <w:rFonts w:hAnsi="宋体"/>
          <w:color w:val="auto"/>
          <w:sz w:val="24"/>
          <w:szCs w:val="24"/>
        </w:rPr>
        <w:t xml:space="preserve">.</w:t>
      </w:r>
      <w:r>
        <w:rPr>
          <w:rFonts w:hint="eastAsia" w:hAnsi="宋体"/>
          <w:color w:val="auto"/>
          <w:sz w:val="24"/>
          <w:szCs w:val="24"/>
        </w:rPr>
        <w:t xml:space="preserve">3</w:t>
      </w:r>
      <w:r>
        <w:rPr>
          <w:rFonts w:hAnsi="宋体"/>
          <w:color w:val="auto"/>
          <w:sz w:val="24"/>
          <w:szCs w:val="24"/>
        </w:rPr>
        <w:t xml:space="preserve"> 本合同正本一式</w:t>
      </w:r>
      <w:r>
        <w:rPr>
          <w:rFonts w:hint="eastAsia" w:hAnsi="宋体"/>
          <w:color w:val="auto"/>
          <w:sz w:val="24"/>
          <w:szCs w:val="24"/>
        </w:rPr>
        <w:t xml:space="preserve">两</w:t>
      </w:r>
      <w:r>
        <w:rPr>
          <w:rFonts w:hAnsi="宋体"/>
          <w:color w:val="auto"/>
          <w:sz w:val="24"/>
          <w:szCs w:val="24"/>
        </w:rPr>
        <w:t xml:space="preserve">份，具有同等法律效力，甲</w:t>
      </w:r>
      <w:r>
        <w:rPr>
          <w:rFonts w:hint="eastAsia" w:hAnsi="宋体"/>
          <w:color w:val="auto"/>
          <w:sz w:val="24"/>
          <w:szCs w:val="24"/>
        </w:rPr>
        <w:t xml:space="preserve">方、</w:t>
      </w:r>
      <w:r>
        <w:rPr>
          <w:rFonts w:hAnsi="宋体"/>
          <w:color w:val="auto"/>
          <w:sz w:val="24"/>
          <w:szCs w:val="24"/>
        </w:rPr>
        <w:t xml:space="preserve">乙方各执一份。</w:t>
      </w:r>
      <w:r/>
    </w:p>
    <w:p>
      <w:pPr>
        <w:pStyle w:val="1006"/>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06"/>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06"/>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06"/>
        <w:ind w:firstLine="240"/>
        <w:spacing w:before="120" w:after="120" w:line="0" w:lineRule="atLeast"/>
        <w:rPr>
          <w:color w:val="000000"/>
        </w:rPr>
      </w:pPr>
      <w:r>
        <w:rPr>
          <w:rFonts w:hint="eastAsia" w:hAnsi="宋体"/>
          <w:color w:val="000000"/>
          <w:sz w:val="24"/>
          <w:szCs w:val="24"/>
        </w:rPr>
        <w:t xml:space="preserve">联系电话：                    联系电话：          </w:t>
      </w:r>
      <w:r/>
    </w:p>
    <w:p>
      <w:pPr>
        <w:pStyle w:val="1006"/>
        <w:jc w:val="center"/>
        <w:spacing w:before="120" w:after="120" w:line="0" w:lineRule="atLeast"/>
        <w:rPr>
          <w:color w:val="000000"/>
        </w:rPr>
      </w:pPr>
      <w:r>
        <w:rPr>
          <w:rFonts w:hint="eastAsia"/>
          <w:color w:val="000000"/>
        </w:rPr>
        <w:t xml:space="preserve">                                         </w:t>
      </w:r>
      <w:r/>
    </w:p>
    <w:p>
      <w:pPr>
        <w:pStyle w:val="1006"/>
        <w:jc w:val="right"/>
        <w:spacing w:before="120" w:after="120" w:line="0" w:lineRule="atLeast"/>
        <w:rPr>
          <w:color w:val="000000"/>
          <w:sz w:val="24"/>
          <w:szCs w:val="24"/>
        </w:rPr>
      </w:pPr>
      <w:r>
        <w:rPr>
          <w:rFonts w:hint="eastAsia"/>
          <w:color w:val="000000"/>
          <w:sz w:val="24"/>
          <w:szCs w:val="24"/>
        </w:rPr>
        <w:t xml:space="preserve"> </w:t>
      </w:r>
      <w:r/>
    </w:p>
    <w:p>
      <w:pPr>
        <w:pStyle w:val="1006"/>
        <w:jc w:val="center"/>
        <w:spacing w:before="120" w:after="120" w:line="0" w:lineRule="atLeast"/>
        <w:rPr>
          <w:rFonts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16938590"/>
      <w:r/>
      <w:bookmarkStart w:id="186" w:name="_Toc20823346"/>
      <w:r/>
      <w:bookmarkStart w:id="187" w:name="_Hlt16619350"/>
      <w:r/>
      <w:bookmarkStart w:id="188" w:name="_Toc120614244"/>
      <w:r/>
      <w:bookmarkStart w:id="189" w:name="_Toc462564139"/>
      <w:r/>
      <w:bookmarkStart w:id="190" w:name="_Toc479757211"/>
      <w:r>
        <w:rPr>
          <w:rFonts w:ascii="黑体" w:eastAsia="黑体"/>
          <w:bCs/>
          <w:color w:val="000000"/>
          <w:sz w:val="44"/>
        </w:rPr>
        <w:br w:type="page" w:clear="all"/>
      </w:r>
      <w:bookmarkEnd w:id="185"/>
      <w:r/>
      <w:bookmarkEnd w:id="186"/>
      <w:r/>
      <w:bookmarkEnd w:id="187"/>
      <w:r/>
      <w:bookmarkEnd w:id="188"/>
      <w:r/>
      <w:bookmarkStart w:id="191" w:name="_Toc26554093"/>
      <w:r/>
      <w:bookmarkStart w:id="192" w:name="_Toc49090575"/>
      <w:r/>
      <w:bookmarkStart w:id="193" w:name="_Toc120614281"/>
      <w:r>
        <w:rPr>
          <w:rFonts w:hint="eastAsia" w:ascii="黑体" w:eastAsia="黑体"/>
          <w:bCs/>
          <w:color w:val="000000"/>
          <w:sz w:val="44"/>
        </w:rPr>
        <w:t xml:space="preserve">第四章 采购需求</w:t>
      </w:r>
      <w:r/>
    </w:p>
    <w:p>
      <w:pPr>
        <w:spacing w:line="0" w:lineRule="atLeast"/>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扬州市消防救援支队2026年度火灾风险研判和隐患治理决策辅助系统项目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软件和信息技术服务业</w:t>
            </w:r>
            <w:r/>
          </w:p>
        </w:tc>
      </w:tr>
    </w:tbl>
    <w:p>
      <w:pPr>
        <w:spacing w:line="360" w:lineRule="auto"/>
        <w:rPr>
          <w:rFonts w:hint="eastAsia"/>
          <w:b/>
          <w:bCs w:val="0"/>
          <w:iCs/>
          <w:sz w:val="24"/>
          <w:szCs w:val="24"/>
        </w:rPr>
      </w:pPr>
      <w:r>
        <w:rPr>
          <w:rFonts w:hint="eastAsia"/>
          <w:b/>
          <w:bCs w:val="0"/>
          <w:iCs/>
          <w:sz w:val="24"/>
          <w:szCs w:val="24"/>
        </w:rPr>
      </w:r>
      <w:r/>
    </w:p>
    <w:p>
      <w:pPr>
        <w:pStyle w:val="795"/>
        <w:ind w:firstLine="482"/>
        <w:keepLines w:val="0"/>
        <w:keepNext w:val="0"/>
        <w:pageBreakBefore w:val="0"/>
        <w:spacing w:before="120" w:after="120"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二、政府采购中实施本国产品标准及相关政策</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政策依据</w:t>
      </w:r>
      <w:r>
        <w:rPr>
          <w:rFonts w:hint="eastAsia" w:ascii="宋体" w:hAnsi="宋体" w:eastAsia="宋体" w:cs="宋体"/>
          <w:color w:val="auto"/>
          <w:sz w:val="24"/>
          <w:szCs w:val="24"/>
          <w:highlight w:val="none"/>
          <w:lang w:val="en-US" w:eastAsia="zh-CN" w:bidi="ar"/>
        </w:rPr>
        <w:t xml:space="preserve">《国务院办公厅关于在政府采购中实施本国产品标准及相关政策的通知》（国办发〔2025〕34号）。</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400" w:lineRule="exact"/>
        <w:widowControl w:val="off"/>
        <w:rPr>
          <w:rFonts w:hint="eastAsia"/>
          <w:b/>
          <w:bCs w:val="0"/>
          <w:iCs/>
          <w:sz w:val="24"/>
          <w:szCs w:val="24"/>
          <w:highlight w:val="none"/>
        </w:rPr>
      </w:pPr>
      <w:r>
        <w:rPr>
          <w:rFonts w:hint="eastAsia" w:ascii="宋体" w:hAnsi="宋体" w:eastAsia="宋体" w:cs="宋体"/>
          <w:color w:val="000000"/>
          <w:sz w:val="24"/>
          <w:szCs w:val="24"/>
          <w:highlight w:val="none"/>
          <w:lang w:val="en-US" w:eastAsia="zh-CN"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b/>
          <w:bCs w:val="0"/>
          <w:iCs/>
          <w:sz w:val="24"/>
          <w:szCs w:val="24"/>
        </w:rPr>
      </w:pPr>
      <w:r>
        <w:rPr>
          <w:rFonts w:hint="eastAsia"/>
          <w:b/>
          <w:bCs w:val="0"/>
          <w:iCs/>
          <w:sz w:val="24"/>
          <w:szCs w:val="24"/>
          <w:lang w:val="en-US" w:eastAsia="zh-CN"/>
        </w:rPr>
        <w:t xml:space="preserve">三</w:t>
      </w:r>
      <w:r>
        <w:rPr>
          <w:rFonts w:hint="eastAsia"/>
          <w:b/>
          <w:bCs w:val="0"/>
          <w:iCs/>
          <w:sz w:val="24"/>
          <w:szCs w:val="24"/>
        </w:rPr>
        <w:t xml:space="preserve">、项目背景</w:t>
      </w:r>
      <w:r/>
    </w:p>
    <w:p>
      <w:pPr>
        <w:ind w:firstLine="480"/>
        <w:spacing w:line="360" w:lineRule="auto"/>
        <w:rPr>
          <w:bCs/>
          <w:iCs/>
          <w:sz w:val="24"/>
          <w:szCs w:val="24"/>
        </w:rPr>
      </w:pPr>
      <w:r>
        <w:rPr>
          <w:rFonts w:hint="eastAsia"/>
          <w:bCs/>
          <w:iCs/>
          <w:sz w:val="24"/>
          <w:szCs w:val="24"/>
        </w:rPr>
        <w:t xml:space="preserve">1、国家层面：数字中国与公共安全治理现代化提出新要求。近年来，国家持续推进数字中国建设和公共安全治理体系现代化，明确提出要以大数据、人工智能等现代信息技术为支撑，提升城市安全风险的前瞻识别能力、精准防控能力和协同处置能力。</w:t>
      </w:r>
      <w:r/>
    </w:p>
    <w:p>
      <w:pPr>
        <w:ind w:firstLine="480"/>
        <w:spacing w:line="360" w:lineRule="auto"/>
        <w:rPr>
          <w:bCs/>
          <w:iCs/>
          <w:sz w:val="24"/>
          <w:szCs w:val="24"/>
        </w:rPr>
      </w:pPr>
      <w:r>
        <w:rPr>
          <w:rFonts w:hint="eastAsia"/>
          <w:bCs/>
          <w:iCs/>
          <w:sz w:val="24"/>
          <w:szCs w:val="24"/>
        </w:rPr>
        <w:t xml:space="preserve">在数字政府建设总体要求中，强调要加强公共安全领域数据资源整合和共享应用，构建覆盖风险监测、分析研判、预警处置和效果评估的全流程数字化治理体系。消防安全作为公共安全的重要组成部分，被列为重点推进智能化治理的领域之一。</w:t>
      </w:r>
      <w:r/>
    </w:p>
    <w:p>
      <w:pPr>
        <w:ind w:firstLine="480"/>
        <w:spacing w:line="360" w:lineRule="auto"/>
        <w:rPr>
          <w:bCs/>
          <w:iCs/>
          <w:sz w:val="24"/>
          <w:szCs w:val="24"/>
        </w:rPr>
      </w:pPr>
      <w:r>
        <w:rPr>
          <w:rFonts w:hint="eastAsia"/>
          <w:bCs/>
          <w:iCs/>
          <w:sz w:val="24"/>
          <w:szCs w:val="24"/>
        </w:rPr>
        <w:t xml:space="preserve">相关政策多次提出，要推动消防安全治理由传统经验型监管向数据驱动、智能决策转型，加强火灾风险的早期识别、动态研判和分类分级管理，强化风险研判结果在实际治理中的应用，实现从“事后处置”向“事前预防”转变。</w:t>
      </w:r>
      <w:r/>
    </w:p>
    <w:p>
      <w:pPr>
        <w:ind w:firstLine="480"/>
        <w:spacing w:line="360" w:lineRule="auto"/>
        <w:rPr>
          <w:bCs/>
          <w:iCs/>
          <w:sz w:val="24"/>
          <w:szCs w:val="24"/>
        </w:rPr>
      </w:pPr>
      <w:r>
        <w:rPr>
          <w:rFonts w:hint="eastAsia"/>
          <w:bCs/>
          <w:iCs/>
          <w:sz w:val="24"/>
          <w:szCs w:val="24"/>
        </w:rPr>
        <w:t xml:space="preserve">在此背景下，建设基于多源数据融合的火灾风险研判和隐患治理决策辅助系统，是落实国家关于提升城市公共安全数字化、智能化水平的重要举措。</w:t>
      </w:r>
      <w:r/>
    </w:p>
    <w:p>
      <w:pPr>
        <w:ind w:firstLine="480"/>
        <w:spacing w:line="360" w:lineRule="auto"/>
        <w:rPr>
          <w:bCs/>
          <w:iCs/>
          <w:sz w:val="24"/>
          <w:szCs w:val="24"/>
        </w:rPr>
      </w:pPr>
      <w:r>
        <w:rPr>
          <w:rFonts w:hint="eastAsia"/>
          <w:bCs/>
          <w:iCs/>
          <w:sz w:val="24"/>
          <w:szCs w:val="24"/>
        </w:rPr>
        <w:t xml:space="preserve">2、规划层面：新周期消防发展强调智能化与社会协同。</w:t>
      </w:r>
      <w:r/>
    </w:p>
    <w:p>
      <w:pPr>
        <w:ind w:firstLine="480"/>
        <w:spacing w:line="360" w:lineRule="auto"/>
        <w:rPr>
          <w:bCs/>
          <w:iCs/>
          <w:sz w:val="24"/>
          <w:szCs w:val="24"/>
        </w:rPr>
      </w:pPr>
      <w:r>
        <w:rPr>
          <w:rFonts w:hint="eastAsia"/>
          <w:bCs/>
          <w:iCs/>
          <w:sz w:val="24"/>
          <w:szCs w:val="24"/>
        </w:rPr>
        <w:t xml:space="preserve">当前“十五五”（2026—2030年）国家消防相关规划编制工作已启动，规划方向更加突出“预防为主、防消结合”和智能化发展要求，强调加强现代高新技术在消防预警与应急救援中的应用，提升对复杂灾害的综合处置能力。</w:t>
      </w:r>
      <w:r/>
    </w:p>
    <w:p>
      <w:pPr>
        <w:ind w:firstLine="480"/>
        <w:spacing w:line="360" w:lineRule="auto"/>
        <w:rPr>
          <w:bCs/>
          <w:iCs/>
          <w:sz w:val="24"/>
          <w:szCs w:val="24"/>
        </w:rPr>
      </w:pPr>
      <w:r>
        <w:rPr>
          <w:rFonts w:hint="eastAsia"/>
          <w:bCs/>
          <w:iCs/>
          <w:sz w:val="24"/>
          <w:szCs w:val="24"/>
        </w:rPr>
        <w:t xml:space="preserve">规划提出要强化社会参与，推动单位和社区提升“检查消除火灾隐患、扑救初起火灾、组织疏散逃生、开展消防宣传教育”等能力，构建多方协同的消防安全治理体系。</w:t>
      </w:r>
      <w:r/>
    </w:p>
    <w:p>
      <w:pPr>
        <w:ind w:firstLine="480"/>
        <w:spacing w:line="360" w:lineRule="auto"/>
        <w:rPr>
          <w:bCs/>
          <w:iCs/>
          <w:sz w:val="24"/>
          <w:szCs w:val="24"/>
        </w:rPr>
      </w:pPr>
      <w:r>
        <w:rPr>
          <w:rFonts w:hint="eastAsia"/>
          <w:bCs/>
          <w:iCs/>
          <w:sz w:val="24"/>
          <w:szCs w:val="24"/>
        </w:rPr>
        <w:t xml:space="preserve">这要求各地建立健全火灾风险研判和隐患治理决策辅助体系，将风险识别结果与行业监管、属地管理和社会责任落实相结合，实现风险信息向治理行动的有效转化。</w:t>
      </w:r>
      <w:r/>
    </w:p>
    <w:p>
      <w:pPr>
        <w:ind w:firstLine="480"/>
        <w:spacing w:line="360" w:lineRule="auto"/>
        <w:rPr>
          <w:bCs/>
          <w:iCs/>
          <w:sz w:val="24"/>
          <w:szCs w:val="24"/>
        </w:rPr>
      </w:pPr>
      <w:r>
        <w:rPr>
          <w:rFonts w:hint="eastAsia"/>
          <w:bCs/>
          <w:iCs/>
          <w:sz w:val="24"/>
          <w:szCs w:val="24"/>
        </w:rPr>
        <w:t xml:space="preserve">3、行业层面：风险研判和前端治理能力亟待系统化提升。近年来，国家和应急管理部门在相关规划和规范性文件中明确要求，各地要充分运用信息化手段，整合监督执法、隐患排查、火灾事故、物联网监测等数据资源，构建火灾风险评估和预警模型，提升对重点行业、重点单位和高风险区域的差异化监管能力。</w:t>
      </w:r>
      <w:r/>
    </w:p>
    <w:p>
      <w:pPr>
        <w:ind w:firstLine="480"/>
        <w:spacing w:line="360" w:lineRule="auto"/>
        <w:rPr>
          <w:bCs/>
          <w:iCs/>
          <w:sz w:val="24"/>
          <w:szCs w:val="24"/>
        </w:rPr>
      </w:pPr>
      <w:r>
        <w:rPr>
          <w:rFonts w:hint="eastAsia"/>
          <w:bCs/>
          <w:iCs/>
          <w:sz w:val="24"/>
          <w:szCs w:val="24"/>
        </w:rPr>
        <w:t xml:space="preserve">同时，要求强化风险研判结果在实际治理中的应用，推动隐患治理责任落实和整改闭环管理，实现风险识别、任务分派、整改落实、效果评估的全过程贯通。</w:t>
      </w:r>
      <w:r/>
    </w:p>
    <w:p>
      <w:pPr>
        <w:ind w:firstLine="480"/>
        <w:spacing w:line="360" w:lineRule="auto"/>
        <w:rPr>
          <w:bCs/>
          <w:iCs/>
          <w:sz w:val="24"/>
          <w:szCs w:val="24"/>
        </w:rPr>
      </w:pPr>
      <w:r>
        <w:rPr>
          <w:rFonts w:hint="eastAsia"/>
          <w:bCs/>
          <w:iCs/>
          <w:sz w:val="24"/>
          <w:szCs w:val="24"/>
        </w:rPr>
        <w:t xml:space="preserve">上述要求对地方消防工作提出了从“发现风险”向“管控风险、治理风险”延伸的明确方向，需要有统一的数据平台和决策辅助系统作为支撑。</w:t>
      </w:r>
      <w:r/>
    </w:p>
    <w:p>
      <w:pPr>
        <w:ind w:firstLine="480"/>
        <w:spacing w:line="360" w:lineRule="auto"/>
        <w:rPr>
          <w:bCs/>
          <w:iCs/>
          <w:sz w:val="24"/>
          <w:szCs w:val="24"/>
        </w:rPr>
      </w:pPr>
      <w:r>
        <w:rPr>
          <w:rFonts w:hint="eastAsia"/>
          <w:bCs/>
          <w:iCs/>
          <w:sz w:val="24"/>
          <w:szCs w:val="24"/>
        </w:rPr>
        <w:t xml:space="preserve">4、地方层面：城市发展对数据驱动消防治理提出更高要求。随着扬州市经济社会持续发展，社会单位数量不断增长，业态结构日趋复杂，消防安全风险呈现出多源叠加、动态变化、跨领域交织的特点。</w:t>
      </w:r>
      <w:r/>
    </w:p>
    <w:p>
      <w:pPr>
        <w:ind w:firstLine="480"/>
        <w:spacing w:line="360" w:lineRule="auto"/>
        <w:rPr>
          <w:bCs/>
          <w:iCs/>
          <w:sz w:val="24"/>
          <w:szCs w:val="24"/>
        </w:rPr>
      </w:pPr>
      <w:r>
        <w:rPr>
          <w:rFonts w:hint="eastAsia"/>
          <w:bCs/>
          <w:iCs/>
          <w:sz w:val="24"/>
          <w:szCs w:val="24"/>
        </w:rPr>
        <w:t xml:space="preserve">火灾风险已不再是单一设施或单一行为导致的结果，而是由单位属性、历史隐患、行业特征、人员活动、设施运行状态以及外部环境因素等多种数据共同作用的综合体现。</w:t>
      </w:r>
      <w:r/>
    </w:p>
    <w:p>
      <w:pPr>
        <w:ind w:firstLine="480"/>
        <w:spacing w:line="360" w:lineRule="auto"/>
        <w:rPr>
          <w:bCs/>
          <w:iCs/>
          <w:sz w:val="24"/>
          <w:szCs w:val="24"/>
        </w:rPr>
      </w:pPr>
      <w:r>
        <w:rPr>
          <w:rFonts w:hint="eastAsia"/>
          <w:bCs/>
          <w:iCs/>
          <w:sz w:val="24"/>
          <w:szCs w:val="24"/>
        </w:rPr>
        <w:t xml:space="preserve">传统以人工巡查、静态台账和事后处置为主的消防管理方式，在风险识别的前瞻性、治理措施的针对性以及跨部门协同效率等方面，已难以满足当前城市消防安全治理精细化、智能化的发展要求。</w:t>
      </w:r>
      <w:r/>
    </w:p>
    <w:p>
      <w:pPr>
        <w:ind w:firstLine="480"/>
        <w:spacing w:line="360" w:lineRule="auto"/>
        <w:rPr>
          <w:bCs/>
          <w:iCs/>
          <w:sz w:val="24"/>
          <w:szCs w:val="24"/>
        </w:rPr>
      </w:pPr>
      <w:r>
        <w:rPr>
          <w:rFonts w:hint="eastAsia"/>
          <w:bCs/>
          <w:iCs/>
          <w:sz w:val="24"/>
          <w:szCs w:val="24"/>
        </w:rPr>
        <w:t xml:space="preserve">同时，消防安全相关数据分布在消防、市场监管、住建、教育、民政、公安、气象等多个部门和业务系统中，存在标准不统一、编码不一致、更新频率不同步等问题，数据价值尚未得到系统性挖掘，制约了消防安全治理向闭环管理升级。</w:t>
      </w:r>
      <w:r/>
    </w:p>
    <w:p>
      <w:pPr>
        <w:ind w:firstLine="480"/>
        <w:spacing w:line="360" w:lineRule="auto"/>
        <w:rPr>
          <w:bCs/>
          <w:iCs/>
          <w:sz w:val="24"/>
          <w:szCs w:val="24"/>
        </w:rPr>
      </w:pPr>
      <w:r>
        <w:rPr>
          <w:rFonts w:hint="eastAsia"/>
          <w:bCs/>
          <w:iCs/>
          <w:sz w:val="24"/>
          <w:szCs w:val="24"/>
        </w:rPr>
        <w:t xml:space="preserve">5、实践基础：扬州火灾风险智能预警探索取得阶段性成效。扬州市消防救援支队自2025年5月起，启动建设了火灾风险评估预警系统，并在全市范围内上线试运行。</w:t>
      </w:r>
      <w:r/>
    </w:p>
    <w:p>
      <w:pPr>
        <w:ind w:firstLine="480"/>
        <w:spacing w:line="360" w:lineRule="auto"/>
        <w:rPr>
          <w:bCs/>
          <w:iCs/>
          <w:sz w:val="24"/>
          <w:szCs w:val="24"/>
        </w:rPr>
      </w:pPr>
      <w:r>
        <w:rPr>
          <w:rFonts w:hint="eastAsia"/>
          <w:bCs/>
          <w:iCs/>
          <w:sz w:val="24"/>
          <w:szCs w:val="24"/>
        </w:rPr>
        <w:t xml:space="preserve">系统已纳入分析对象11.5万家社会单位和3151个住宅小区，结合监督员、派出所及乡镇街道监管力量配比，通过大数据建模，每季度自动输出前1.5%高风险单位名单。</w:t>
      </w:r>
      <w:r/>
    </w:p>
    <w:p>
      <w:pPr>
        <w:ind w:firstLine="480"/>
        <w:spacing w:line="360" w:lineRule="auto"/>
        <w:rPr>
          <w:bCs/>
          <w:iCs/>
          <w:sz w:val="24"/>
          <w:szCs w:val="24"/>
        </w:rPr>
      </w:pPr>
      <w:r>
        <w:rPr>
          <w:rFonts w:hint="eastAsia"/>
          <w:bCs/>
          <w:iCs/>
          <w:sz w:val="24"/>
          <w:szCs w:val="24"/>
        </w:rPr>
        <w:t xml:space="preserve">实践结果表明，在预警的前1.5%高风险单位中，实际发生火灾的比例达到36%，精准度是随机抽查的24倍，实现了火灾风险预测由经验判断向数据研判的跨越。</w:t>
      </w:r>
      <w:r/>
    </w:p>
    <w:p>
      <w:pPr>
        <w:ind w:firstLine="480"/>
        <w:spacing w:line="360" w:lineRule="auto"/>
        <w:rPr>
          <w:bCs/>
          <w:iCs/>
          <w:sz w:val="24"/>
          <w:szCs w:val="24"/>
        </w:rPr>
      </w:pPr>
      <w:r>
        <w:rPr>
          <w:rFonts w:hint="eastAsia"/>
          <w:bCs/>
          <w:iCs/>
          <w:sz w:val="24"/>
          <w:szCs w:val="24"/>
        </w:rPr>
        <w:t xml:space="preserve">同时，通过与“双随机、一公开”等监管系统衔接，初步形成基于风险评估的分级差异化管理模式，实现“高风险单位多监管、低风险单位少干扰”，既保障安全底线，又优化营商环境。</w:t>
      </w:r>
      <w:r/>
    </w:p>
    <w:p>
      <w:pPr>
        <w:ind w:firstLine="480"/>
        <w:spacing w:line="360" w:lineRule="auto"/>
        <w:rPr>
          <w:bCs/>
          <w:iCs/>
          <w:sz w:val="24"/>
          <w:szCs w:val="24"/>
        </w:rPr>
      </w:pPr>
      <w:r>
        <w:rPr>
          <w:rFonts w:hint="eastAsia"/>
          <w:bCs/>
          <w:iCs/>
          <w:sz w:val="24"/>
          <w:szCs w:val="24"/>
        </w:rPr>
        <w:t xml:space="preserve">6、管理升级需求：从“风险识别”迈向“决策辅助与闭环治理”。随着系统运行的不断深入，单纯输出风险名单或预警结果，已难以满足消防安全治理的现实需要。</w:t>
      </w:r>
      <w:r/>
    </w:p>
    <w:p>
      <w:pPr>
        <w:ind w:firstLine="480"/>
        <w:spacing w:line="360" w:lineRule="auto"/>
        <w:rPr>
          <w:bCs/>
          <w:iCs/>
          <w:sz w:val="24"/>
          <w:szCs w:val="24"/>
        </w:rPr>
      </w:pPr>
      <w:r>
        <w:rPr>
          <w:rFonts w:hint="eastAsia"/>
          <w:bCs/>
          <w:iCs/>
          <w:sz w:val="24"/>
          <w:szCs w:val="24"/>
        </w:rPr>
        <w:t xml:space="preserve">现实工作中，更迫切需要一个能够将风险研判结果与具体治理措施相衔接、将高风险对象与行业主管部门及属地责任主体相匹配、将治理任务与检查、整改、复核、评估全过程关联的综合性决策辅助平台，实现风险信息向治理行动的有效转化。</w:t>
      </w:r>
      <w:r/>
    </w:p>
    <w:p>
      <w:pPr>
        <w:ind w:firstLine="480"/>
        <w:spacing w:line="360" w:lineRule="auto"/>
        <w:rPr>
          <w:bCs/>
          <w:iCs/>
          <w:sz w:val="24"/>
          <w:szCs w:val="24"/>
        </w:rPr>
      </w:pPr>
      <w:r>
        <w:rPr>
          <w:rFonts w:hint="eastAsia"/>
          <w:bCs/>
          <w:iCs/>
          <w:sz w:val="24"/>
          <w:szCs w:val="24"/>
        </w:rPr>
        <w:t xml:space="preserve">因此，有必要在现有实践基础上，建设一个独立运行、统一架构、面向全市消防安全治理的火灾风险研判和隐患治理决策辅助系统，在依法依规整合相关数据资源的基础上，形成贯穿“研判—治理—反馈—评估”的闭环工作机制。</w:t>
      </w:r>
      <w:r/>
    </w:p>
    <w:p>
      <w:pPr>
        <w:ind w:firstLine="480"/>
        <w:spacing w:line="360" w:lineRule="auto"/>
      </w:pPr>
      <w:r>
        <w:rPr>
          <w:rFonts w:hint="eastAsia"/>
          <w:bCs/>
          <w:iCs/>
          <w:sz w:val="24"/>
          <w:szCs w:val="24"/>
        </w:rPr>
        <w:t xml:space="preserve">通过本项目建设，推动消防安全治理从“信息分散、被动应对”向“数据协同、主动治理、科学决策”转变，为扬州市提升城市公共安全治理现代化水平提供有力的数据支撑和示范样板。</w:t>
      </w:r>
      <w:r/>
    </w:p>
    <w:p>
      <w:pPr>
        <w:pStyle w:val="778"/>
        <w:spacing w:before="0" w:after="0" w:line="360" w:lineRule="auto"/>
        <w:rPr>
          <w:rFonts w:ascii="宋体" w:hAnsi="宋体" w:eastAsia="宋体" w:cs="宋体"/>
          <w:b/>
          <w:bCs/>
          <w:sz w:val="24"/>
          <w:szCs w:val="24"/>
        </w:rPr>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w:t>
      </w:r>
      <w:r>
        <w:rPr>
          <w:rFonts w:hint="eastAsia" w:ascii="宋体" w:hAnsi="宋体" w:eastAsia="宋体" w:cs="宋体"/>
          <w:b/>
          <w:bCs/>
          <w:sz w:val="24"/>
          <w:szCs w:val="24"/>
        </w:rPr>
        <w:t xml:space="preserve">技术要求</w:t>
      </w:r>
      <w:r/>
    </w:p>
    <w:p>
      <w:pPr>
        <w:ind w:firstLine="480"/>
        <w:spacing w:line="360" w:lineRule="auto"/>
        <w:rPr>
          <w:rFonts w:ascii="宋体" w:hAnsi="宋体" w:cs="宋体"/>
          <w:sz w:val="24"/>
          <w:szCs w:val="24"/>
        </w:rPr>
      </w:pPr>
      <w:r>
        <w:rPr>
          <w:rFonts w:hint="eastAsia" w:ascii="宋体" w:hAnsi="宋体" w:cs="宋体"/>
          <w:sz w:val="24"/>
          <w:szCs w:val="24"/>
        </w:rPr>
        <w:t xml:space="preserve">1、总体技术栈</w:t>
      </w:r>
      <w:r/>
    </w:p>
    <w:p>
      <w:pPr>
        <w:ind w:firstLine="480"/>
        <w:spacing w:line="360" w:lineRule="auto"/>
        <w:rPr>
          <w:rFonts w:ascii="宋体" w:hAnsi="宋体" w:cs="宋体"/>
          <w:sz w:val="24"/>
          <w:szCs w:val="24"/>
        </w:rPr>
      </w:pPr>
      <w:r>
        <w:rPr>
          <w:rFonts w:hint="eastAsia" w:ascii="宋体" w:hAnsi="宋体" w:cs="宋体"/>
          <w:sz w:val="24"/>
          <w:szCs w:val="24"/>
        </w:rPr>
        <w:t xml:space="preserve">后端架构：采用微服务架构，支持容器化部署，服务注册与发现、配置中心、网关、熔断降级等组件完备。</w:t>
      </w:r>
      <w:r/>
    </w:p>
    <w:p>
      <w:pPr>
        <w:ind w:firstLine="480"/>
        <w:spacing w:line="360" w:lineRule="auto"/>
        <w:rPr>
          <w:rFonts w:ascii="宋体" w:hAnsi="宋体" w:cs="宋体"/>
          <w:sz w:val="24"/>
          <w:szCs w:val="24"/>
        </w:rPr>
      </w:pPr>
      <w:r>
        <w:rPr>
          <w:rFonts w:hint="eastAsia" w:ascii="宋体" w:hAnsi="宋体" w:cs="宋体"/>
          <w:sz w:val="24"/>
          <w:szCs w:val="24"/>
        </w:rPr>
        <w:t xml:space="preserve">前端架构：采用主流框架（Vue 3或React 18），支持响应式布局，适配PC端、移动端、大屏端。</w:t>
      </w:r>
      <w:r/>
    </w:p>
    <w:p>
      <w:pPr>
        <w:ind w:firstLine="480"/>
        <w:spacing w:line="360" w:lineRule="auto"/>
        <w:rPr>
          <w:rFonts w:ascii="宋体" w:hAnsi="宋体" w:cs="宋体"/>
          <w:sz w:val="24"/>
          <w:szCs w:val="24"/>
        </w:rPr>
      </w:pPr>
      <w:r>
        <w:rPr>
          <w:rFonts w:hint="eastAsia" w:ascii="宋体" w:hAnsi="宋体" w:cs="宋体"/>
          <w:sz w:val="24"/>
          <w:szCs w:val="24"/>
        </w:rPr>
        <w:t xml:space="preserve">数据库：</w:t>
      </w:r>
      <w:r>
        <w:rPr>
          <w:rFonts w:hint="eastAsia" w:ascii="宋体" w:hAnsi="宋体" w:cs="宋体"/>
          <w:color w:val="auto"/>
          <w:sz w:val="24"/>
          <w:szCs w:val="24"/>
        </w:rPr>
        <w:t xml:space="preserve">通过安全可靠测评要求的数据库用于业</w:t>
      </w:r>
      <w:r>
        <w:rPr>
          <w:rFonts w:hint="eastAsia" w:ascii="宋体" w:hAnsi="宋体" w:cs="宋体"/>
          <w:sz w:val="24"/>
          <w:szCs w:val="24"/>
        </w:rPr>
        <w:t xml:space="preserve">务数据存储，支持读写分离、分库分表；非关系型数据库（Redis）用于缓存、会话管理；时序数据库（InfluxDB或TDengine）用于物联网监测数据存储；图数据库（Neo4j或JanusGraph）用于知识图谱存储；向量数据库（Milvus或Qdrant）用于法规语义检索。</w:t>
      </w:r>
      <w:r/>
    </w:p>
    <w:p>
      <w:pPr>
        <w:ind w:firstLine="480"/>
        <w:spacing w:line="360" w:lineRule="auto"/>
        <w:rPr>
          <w:rFonts w:ascii="宋体" w:hAnsi="宋体" w:cs="宋体"/>
          <w:sz w:val="24"/>
          <w:szCs w:val="24"/>
        </w:rPr>
      </w:pPr>
      <w:r>
        <w:rPr>
          <w:rFonts w:hint="eastAsia" w:ascii="宋体" w:hAnsi="宋体" w:cs="宋体"/>
          <w:sz w:val="24"/>
          <w:szCs w:val="24"/>
        </w:rPr>
        <w:t xml:space="preserve">AI能力：支持Python生态机器学习模型集成；支持深度学习框架模型推理；支持大语言模型私有化部署或通过API调用；支持计算机视觉模型集成与训练。 </w:t>
      </w:r>
      <w:r/>
    </w:p>
    <w:p>
      <w:pPr>
        <w:ind w:firstLine="480"/>
        <w:spacing w:line="360" w:lineRule="auto"/>
        <w:rPr>
          <w:rFonts w:ascii="宋体" w:hAnsi="宋体" w:cs="宋体"/>
          <w:sz w:val="24"/>
          <w:szCs w:val="24"/>
        </w:rPr>
      </w:pPr>
      <w:r>
        <w:rPr>
          <w:rFonts w:hint="eastAsia" w:ascii="宋体" w:hAnsi="宋体" w:cs="宋体"/>
          <w:sz w:val="24"/>
          <w:szCs w:val="24"/>
        </w:rPr>
        <w:t xml:space="preserve">2、微服务治理要求</w:t>
      </w:r>
      <w:r/>
    </w:p>
    <w:p>
      <w:pPr>
        <w:ind w:firstLine="480"/>
        <w:spacing w:line="360" w:lineRule="auto"/>
        <w:rPr>
          <w:rFonts w:ascii="宋体" w:hAnsi="宋体" w:cs="宋体"/>
          <w:sz w:val="24"/>
          <w:szCs w:val="24"/>
        </w:rPr>
      </w:pPr>
      <w:r>
        <w:rPr>
          <w:rFonts w:hint="eastAsia" w:ascii="宋体" w:hAnsi="宋体" w:cs="宋体"/>
          <w:sz w:val="24"/>
          <w:szCs w:val="24"/>
        </w:rPr>
        <w:t xml:space="preserve">服务拆分粒度合理，每个模块对应一组微服务，服务间通过RESTful API或gRPC通信。</w:t>
      </w:r>
      <w:r/>
    </w:p>
    <w:p>
      <w:pPr>
        <w:ind w:firstLine="480"/>
        <w:spacing w:line="360" w:lineRule="auto"/>
        <w:rPr>
          <w:rFonts w:ascii="宋体" w:hAnsi="宋体" w:cs="宋体"/>
          <w:sz w:val="24"/>
          <w:szCs w:val="24"/>
        </w:rPr>
      </w:pPr>
      <w:r>
        <w:rPr>
          <w:rFonts w:hint="eastAsia" w:ascii="宋体" w:hAnsi="宋体" w:cs="宋体"/>
          <w:sz w:val="24"/>
          <w:szCs w:val="24"/>
        </w:rPr>
        <w:t xml:space="preserve">提供服务注册与发现中心、配置中心、API网关。</w:t>
      </w:r>
      <w:r/>
    </w:p>
    <w:p>
      <w:pPr>
        <w:ind w:firstLine="480"/>
        <w:spacing w:line="360" w:lineRule="auto"/>
        <w:rPr>
          <w:rFonts w:ascii="宋体" w:hAnsi="宋体" w:cs="宋体"/>
          <w:sz w:val="24"/>
          <w:szCs w:val="24"/>
        </w:rPr>
      </w:pPr>
      <w:r>
        <w:rPr>
          <w:rFonts w:hint="eastAsia" w:ascii="宋体" w:hAnsi="宋体" w:cs="宋体"/>
          <w:sz w:val="24"/>
          <w:szCs w:val="24"/>
        </w:rPr>
        <w:t xml:space="preserve">实现服务熔断、限流、降级机制，保障系统高可用。</w:t>
      </w:r>
      <w:r/>
    </w:p>
    <w:p>
      <w:pPr>
        <w:ind w:firstLine="480"/>
        <w:spacing w:line="360" w:lineRule="auto"/>
        <w:rPr>
          <w:rFonts w:ascii="宋体" w:hAnsi="宋体" w:cs="宋体"/>
          <w:sz w:val="24"/>
          <w:szCs w:val="24"/>
        </w:rPr>
      </w:pPr>
      <w:r>
        <w:rPr>
          <w:rFonts w:hint="eastAsia" w:ascii="宋体" w:hAnsi="宋体" w:cs="宋体"/>
          <w:sz w:val="24"/>
          <w:szCs w:val="24"/>
        </w:rPr>
        <w:t xml:space="preserve">提供分布式链路追踪，支持性能瓶颈分析。</w:t>
      </w:r>
      <w:r/>
    </w:p>
    <w:p>
      <w:pPr>
        <w:ind w:firstLine="480"/>
        <w:spacing w:line="360" w:lineRule="auto"/>
        <w:rPr>
          <w:rFonts w:ascii="宋体" w:hAnsi="宋体" w:cs="宋体"/>
          <w:sz w:val="24"/>
          <w:szCs w:val="24"/>
        </w:rPr>
      </w:pPr>
      <w:r>
        <w:rPr>
          <w:rFonts w:hint="eastAsia" w:ascii="宋体" w:hAnsi="宋体" w:cs="宋体"/>
          <w:sz w:val="24"/>
          <w:szCs w:val="24"/>
        </w:rPr>
        <w:t xml:space="preserve">3、数据架构要求</w:t>
      </w:r>
      <w:r/>
    </w:p>
    <w:p>
      <w:pPr>
        <w:ind w:firstLine="480"/>
        <w:spacing w:line="360" w:lineRule="auto"/>
        <w:rPr>
          <w:rFonts w:ascii="宋体" w:hAnsi="宋体" w:cs="宋体"/>
          <w:sz w:val="24"/>
          <w:szCs w:val="24"/>
        </w:rPr>
      </w:pPr>
      <w:r>
        <w:rPr>
          <w:rFonts w:hint="eastAsia" w:ascii="宋体" w:hAnsi="宋体" w:cs="宋体"/>
          <w:sz w:val="24"/>
          <w:szCs w:val="24"/>
        </w:rPr>
        <w:t xml:space="preserve">数据分层：贴源层、主题层、应用层。贴源层存储原始接入数据，主题层按业务主题建模（单位、隐患、风险、执法、案卷等），应用层面向具体应用场景进行聚合。</w:t>
      </w:r>
      <w:r/>
    </w:p>
    <w:p>
      <w:pPr>
        <w:ind w:firstLine="480"/>
        <w:spacing w:line="360" w:lineRule="auto"/>
        <w:rPr>
          <w:rFonts w:ascii="宋体" w:hAnsi="宋体" w:cs="宋体"/>
          <w:sz w:val="24"/>
          <w:szCs w:val="24"/>
        </w:rPr>
      </w:pPr>
      <w:r>
        <w:rPr>
          <w:rFonts w:hint="eastAsia" w:ascii="宋体" w:hAnsi="宋体" w:cs="宋体"/>
          <w:sz w:val="24"/>
          <w:szCs w:val="24"/>
        </w:rPr>
        <w:t xml:space="preserve">数据治理：建立数据标准体系（元数据管理、数据质量规则、数据生命周期管理），支持数据血缘追踪。</w:t>
      </w:r>
      <w:r/>
    </w:p>
    <w:p>
      <w:pPr>
        <w:ind w:firstLine="480"/>
        <w:spacing w:line="360" w:lineRule="auto"/>
        <w:rPr>
          <w:rFonts w:ascii="宋体" w:hAnsi="宋体" w:cs="宋体"/>
          <w:sz w:val="24"/>
          <w:szCs w:val="24"/>
        </w:rPr>
      </w:pPr>
      <w:r>
        <w:rPr>
          <w:rFonts w:hint="eastAsia" w:ascii="宋体" w:hAnsi="宋体" w:cs="宋体"/>
          <w:sz w:val="24"/>
          <w:szCs w:val="24"/>
        </w:rPr>
        <w:t xml:space="preserve">数据交换：采用消息队列实现异步数据同步，支持批量与实时两种模式。</w:t>
      </w:r>
      <w:r/>
    </w:p>
    <w:p>
      <w:pPr>
        <w:ind w:firstLine="480"/>
        <w:spacing w:line="360" w:lineRule="auto"/>
        <w:rPr>
          <w:rFonts w:ascii="宋体" w:hAnsi="宋体" w:cs="宋体"/>
          <w:sz w:val="24"/>
          <w:szCs w:val="24"/>
        </w:rPr>
      </w:pPr>
      <w:r>
        <w:rPr>
          <w:rFonts w:hint="eastAsia" w:ascii="宋体" w:hAnsi="宋体" w:cs="宋体"/>
          <w:sz w:val="24"/>
          <w:szCs w:val="24"/>
        </w:rPr>
        <w:t xml:space="preserve"> 4、GIS要求</w:t>
      </w:r>
      <w:r/>
    </w:p>
    <w:p>
      <w:pPr>
        <w:ind w:firstLine="480"/>
        <w:spacing w:line="360" w:lineRule="auto"/>
        <w:rPr>
          <w:rFonts w:ascii="宋体" w:hAnsi="宋体" w:cs="宋体"/>
          <w:sz w:val="24"/>
          <w:szCs w:val="24"/>
        </w:rPr>
      </w:pPr>
      <w:r>
        <w:rPr>
          <w:rFonts w:hint="eastAsia" w:ascii="宋体" w:hAnsi="宋体" w:cs="宋体"/>
          <w:sz w:val="24"/>
          <w:szCs w:val="24"/>
        </w:rPr>
        <w:t xml:space="preserve">支持二三维一体化地图引擎，能够加载矢量底图、卫星影像图、倾斜摄影模型。</w:t>
      </w:r>
      <w:r/>
    </w:p>
    <w:p>
      <w:pPr>
        <w:ind w:firstLine="480"/>
        <w:spacing w:line="360" w:lineRule="auto"/>
        <w:rPr>
          <w:rFonts w:ascii="宋体" w:hAnsi="宋体" w:cs="宋体"/>
          <w:sz w:val="24"/>
          <w:szCs w:val="24"/>
        </w:rPr>
      </w:pPr>
      <w:r>
        <w:rPr>
          <w:rFonts w:hint="eastAsia" w:ascii="宋体" w:hAnsi="宋体" w:cs="宋体"/>
          <w:sz w:val="24"/>
          <w:szCs w:val="24"/>
        </w:rPr>
        <w:t xml:space="preserve">支持矢量切片、热力图、聚合图、轨迹回放等渲染方式。</w:t>
      </w:r>
      <w:r/>
    </w:p>
    <w:p>
      <w:pPr>
        <w:ind w:firstLine="480"/>
        <w:spacing w:line="360" w:lineRule="auto"/>
        <w:rPr>
          <w:rFonts w:ascii="宋体" w:hAnsi="宋体" w:cs="宋体"/>
          <w:sz w:val="24"/>
          <w:szCs w:val="24"/>
        </w:rPr>
      </w:pPr>
      <w:r>
        <w:rPr>
          <w:rFonts w:hint="eastAsia" w:ascii="宋体" w:hAnsi="宋体" w:cs="宋体"/>
          <w:sz w:val="24"/>
          <w:szCs w:val="24"/>
        </w:rPr>
        <w:t xml:space="preserve">支持多级缩放钻取（全市→区县→街道→社区→建筑物），钻取深度不少于4级。</w:t>
      </w:r>
      <w:r/>
    </w:p>
    <w:p>
      <w:pPr>
        <w:ind w:firstLine="480"/>
        <w:spacing w:line="360" w:lineRule="auto"/>
        <w:rPr>
          <w:rFonts w:ascii="宋体" w:hAnsi="宋体" w:cs="宋体"/>
          <w:sz w:val="24"/>
          <w:szCs w:val="24"/>
        </w:rPr>
      </w:pPr>
      <w:r>
        <w:rPr>
          <w:rFonts w:hint="eastAsia" w:ascii="宋体" w:hAnsi="宋体" w:cs="宋体"/>
          <w:sz w:val="24"/>
          <w:szCs w:val="24"/>
        </w:rPr>
        <w:t xml:space="preserve">地图加载时间不超过3秒，图层切换响应时间不超过2秒。</w:t>
      </w:r>
      <w:r/>
    </w:p>
    <w:p>
      <w:pPr>
        <w:ind w:firstLine="480"/>
        <w:spacing w:line="360" w:lineRule="auto"/>
        <w:rPr>
          <w:rFonts w:ascii="宋体" w:hAnsi="宋体" w:cs="宋体"/>
          <w:sz w:val="24"/>
          <w:szCs w:val="24"/>
        </w:rPr>
      </w:pPr>
      <w:r>
        <w:rPr>
          <w:rFonts w:hint="eastAsia" w:ascii="宋体" w:hAnsi="宋体" w:cs="宋体"/>
          <w:sz w:val="24"/>
          <w:szCs w:val="24"/>
        </w:rPr>
        <w:t xml:space="preserve">5、移动端要求</w:t>
      </w:r>
      <w:r/>
    </w:p>
    <w:p>
      <w:pPr>
        <w:ind w:firstLine="480"/>
        <w:spacing w:line="360" w:lineRule="auto"/>
        <w:rPr>
          <w:rFonts w:ascii="宋体" w:hAnsi="宋体" w:cs="宋体"/>
          <w:sz w:val="24"/>
          <w:szCs w:val="24"/>
        </w:rPr>
      </w:pPr>
      <w:r>
        <w:rPr>
          <w:rFonts w:hint="eastAsia" w:ascii="宋体" w:hAnsi="宋体" w:cs="宋体"/>
          <w:sz w:val="24"/>
          <w:szCs w:val="24"/>
        </w:rPr>
        <w:t xml:space="preserve">支持移动端访问，适配主流屏幕尺寸（手机和平板）。</w:t>
      </w:r>
      <w:r/>
    </w:p>
    <w:p>
      <w:pPr>
        <w:ind w:firstLine="480"/>
        <w:spacing w:line="360" w:lineRule="auto"/>
        <w:rPr>
          <w:rFonts w:ascii="宋体" w:hAnsi="宋体" w:cs="宋体"/>
          <w:sz w:val="24"/>
          <w:szCs w:val="24"/>
        </w:rPr>
      </w:pPr>
      <w:r>
        <w:rPr>
          <w:rFonts w:hint="eastAsia" w:ascii="宋体" w:hAnsi="宋体" w:cs="宋体"/>
          <w:sz w:val="24"/>
          <w:szCs w:val="24"/>
        </w:rPr>
        <w:t xml:space="preserve">支持离线缓存功能，无网络环境下可查看已缓存的基础数据和地图。</w:t>
      </w:r>
      <w:r/>
    </w:p>
    <w:p>
      <w:pPr>
        <w:ind w:firstLine="480"/>
        <w:spacing w:line="360" w:lineRule="auto"/>
        <w:rPr>
          <w:rFonts w:ascii="宋体" w:hAnsi="宋体" w:cs="宋体"/>
          <w:sz w:val="24"/>
          <w:szCs w:val="24"/>
        </w:rPr>
      </w:pPr>
      <w:r>
        <w:rPr>
          <w:rFonts w:hint="eastAsia" w:ascii="宋体" w:hAnsi="宋体" w:cs="宋体"/>
          <w:sz w:val="24"/>
          <w:szCs w:val="24"/>
        </w:rPr>
        <w:t xml:space="preserve">支持GPS定位、拍照上传、语音录入等原生功能。</w:t>
      </w:r>
      <w:r/>
    </w:p>
    <w:p>
      <w:pPr>
        <w:ind w:firstLine="480"/>
        <w:spacing w:line="360" w:lineRule="auto"/>
        <w:rPr>
          <w:rFonts w:ascii="宋体" w:hAnsi="宋体" w:cs="宋体"/>
          <w:sz w:val="24"/>
          <w:szCs w:val="24"/>
        </w:rPr>
      </w:pPr>
      <w:r>
        <w:rPr>
          <w:rFonts w:hint="eastAsia" w:ascii="宋体" w:hAnsi="宋体" w:cs="宋体"/>
          <w:sz w:val="24"/>
          <w:szCs w:val="24"/>
        </w:rPr>
        <w:t xml:space="preserve">6、安全性要求</w:t>
      </w:r>
      <w:r/>
    </w:p>
    <w:p>
      <w:pPr>
        <w:ind w:firstLine="480"/>
        <w:spacing w:line="360" w:lineRule="auto"/>
        <w:rPr>
          <w:rFonts w:ascii="宋体" w:hAnsi="宋体" w:cs="宋体"/>
          <w:sz w:val="24"/>
          <w:szCs w:val="24"/>
        </w:rPr>
      </w:pPr>
      <w:r>
        <w:rPr>
          <w:rFonts w:hint="eastAsia" w:ascii="宋体" w:hAnsi="宋体" w:cs="宋体"/>
          <w:sz w:val="24"/>
          <w:szCs w:val="24"/>
        </w:rPr>
        <w:t xml:space="preserve">满足网络安全等级保护三级要求。</w:t>
      </w:r>
      <w:r/>
    </w:p>
    <w:p>
      <w:pPr>
        <w:ind w:firstLine="480"/>
        <w:spacing w:line="360" w:lineRule="auto"/>
        <w:rPr>
          <w:rFonts w:ascii="宋体" w:hAnsi="宋体" w:cs="宋体"/>
          <w:sz w:val="24"/>
          <w:szCs w:val="24"/>
        </w:rPr>
      </w:pPr>
      <w:r>
        <w:rPr>
          <w:rFonts w:hint="eastAsia" w:ascii="宋体" w:hAnsi="宋体" w:cs="宋体"/>
          <w:sz w:val="24"/>
          <w:szCs w:val="24"/>
        </w:rPr>
        <w:t xml:space="preserve">用户身份认证支持数字证书、用户名密码双因素认证，支持单点登录（集成政务网统一身份认证）。</w:t>
      </w:r>
      <w:r/>
    </w:p>
    <w:p>
      <w:pPr>
        <w:ind w:firstLine="480"/>
        <w:spacing w:line="360" w:lineRule="auto"/>
        <w:rPr>
          <w:rFonts w:ascii="宋体" w:hAnsi="宋体" w:cs="宋体"/>
          <w:sz w:val="24"/>
          <w:szCs w:val="24"/>
        </w:rPr>
      </w:pPr>
      <w:r>
        <w:rPr>
          <w:rFonts w:hint="eastAsia" w:ascii="宋体" w:hAnsi="宋体" w:cs="宋体"/>
          <w:sz w:val="24"/>
          <w:szCs w:val="24"/>
        </w:rPr>
        <w:t xml:space="preserve">数据传输采用国密算法加密，敏感数据脱敏展示。</w:t>
      </w:r>
      <w:r/>
    </w:p>
    <w:p>
      <w:pPr>
        <w:ind w:firstLine="480"/>
        <w:spacing w:line="360" w:lineRule="auto"/>
        <w:rPr>
          <w:rFonts w:ascii="宋体" w:hAnsi="宋体" w:cs="宋体"/>
          <w:sz w:val="24"/>
          <w:szCs w:val="24"/>
        </w:rPr>
      </w:pPr>
      <w:r>
        <w:rPr>
          <w:rFonts w:hint="eastAsia" w:ascii="宋体" w:hAnsi="宋体" w:cs="宋体"/>
          <w:sz w:val="24"/>
          <w:szCs w:val="24"/>
        </w:rPr>
        <w:t xml:space="preserve">操作日志记录所有用户关键操作（登录、查询、修改、删除、导出等），日志保存不少于6个月。</w:t>
      </w:r>
      <w:r/>
    </w:p>
    <w:p>
      <w:pPr>
        <w:ind w:firstLine="480"/>
        <w:spacing w:line="360" w:lineRule="auto"/>
        <w:rPr>
          <w:rFonts w:ascii="宋体" w:hAnsi="宋体" w:cs="宋体"/>
          <w:sz w:val="24"/>
          <w:szCs w:val="24"/>
        </w:rPr>
      </w:pPr>
      <w:r>
        <w:rPr>
          <w:rFonts w:hint="eastAsia" w:ascii="宋体" w:hAnsi="宋体" w:cs="宋体"/>
          <w:sz w:val="24"/>
          <w:szCs w:val="24"/>
        </w:rPr>
        <w:t xml:space="preserve">权限管理支持基于角色的访问控制（RBAC），权限细化到按钮级别和数据行级别。</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、项目周期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自合同签订之日起，3个月内完成项目实施并投入试运行，试运行平稳3个月后进行项目验收。</w:t>
      </w:r>
      <w:r/>
    </w:p>
    <w:p>
      <w:pPr>
        <w:ind w:firstLine="480"/>
        <w:spacing w:line="360" w:lineRule="auto"/>
        <w:rPr>
          <w:rFonts w:ascii="宋体" w:hAnsi="宋体" w:cs="宋体"/>
          <w:sz w:val="24"/>
          <w:szCs w:val="24"/>
        </w:rPr>
      </w:pPr>
      <w:r>
        <w:rPr>
          <w:rFonts w:ascii="宋体" w:hAnsi="宋体" w:cs="宋体"/>
          <w:sz w:val="24"/>
          <w:szCs w:val="24"/>
        </w:rPr>
      </w:r>
      <w:r/>
    </w:p>
    <w:p>
      <w:pPr>
        <w:pStyle w:val="778"/>
        <w:spacing w:before="0" w:after="0" w:line="360" w:lineRule="auto"/>
        <w:rPr>
          <w:rFonts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、功能需求</w:t>
      </w:r>
      <w:r/>
    </w:p>
    <w:tbl>
      <w:tblPr>
        <w:tblStyle w:val="788"/>
        <w:tblpPr w:horzAnchor="page" w:tblpX="1175" w:vertAnchor="text" w:tblpY="480" w:leftFromText="180" w:topFromText="0" w:rightFromText="180" w:bottomFromText="0"/>
        <w:tblW w:w="517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492"/>
        <w:gridCol w:w="6434"/>
      </w:tblGrid>
      <w:tr>
        <w:trPr>
          <w:trHeight w:val="520"/>
        </w:trPr>
        <w:tc>
          <w:tcPr>
            <w:gridSpan w:val="3"/>
            <w:shd w:val="clear" w:color="auto" w:fill="auto"/>
            <w:tcW w:w="5000" w:type="pct"/>
            <w:vAlign w:val="center"/>
            <w:textDirection w:val="lrTb"/>
            <w:noWrap/>
          </w:tcPr>
          <w:p>
            <w:pPr>
              <w:jc w:val="left"/>
              <w:widowControl/>
              <w:rPr>
                <w:rFonts w:ascii="宋体" w:hAnsi="宋体" w:cs="宋体"/>
                <w:b/>
                <w:bCs/>
                <w:color w:val="0f1115"/>
                <w:sz w:val="24"/>
                <w:szCs w:val="24"/>
              </w:rPr>
            </w:pPr>
            <w:r>
              <w:rPr>
                <w:rFonts w:hint="eastAsia" w:ascii="宋体" w:hAnsi="宋体" w:cs="宋体"/>
                <w:b/>
                <w:bCs/>
                <w:color w:val="0f1115"/>
                <w:sz w:val="24"/>
                <w:szCs w:val="24"/>
                <w:lang w:bidi="ar"/>
              </w:rPr>
              <w:t xml:space="preserve">风险智能研判预警模块</w:t>
            </w:r>
            <w:r/>
          </w:p>
        </w:tc>
      </w:tr>
      <w:tr>
        <w:trPr>
          <w:trHeight w:val="270"/>
        </w:trPr>
        <w:tc>
          <w:tcPr>
            <w:shd w:val="clear" w:color="auto" w:fill="auto"/>
            <w:tcW w:w="824"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jc w:val="left"/>
              <w:widowControl/>
              <w:rPr>
                <w:rFonts w:ascii="宋体" w:hAnsi="宋体" w:cs="宋体"/>
                <w:b/>
                <w:bCs/>
                <w:color w:val="0f1115"/>
                <w:sz w:val="24"/>
                <w:szCs w:val="24"/>
              </w:rPr>
            </w:pPr>
            <w:r>
              <w:rPr>
                <w:rFonts w:hint="eastAsia" w:ascii="宋体" w:hAnsi="宋体" w:cs="宋体"/>
                <w:b/>
                <w:bCs/>
                <w:color w:val="0f1115"/>
                <w:sz w:val="24"/>
                <w:szCs w:val="24"/>
                <w:lang w:bidi="ar"/>
              </w:rPr>
              <w:t xml:space="preserve">一、基础支撑功能</w:t>
            </w:r>
            <w:r/>
          </w:p>
        </w:tc>
      </w:tr>
      <w:tr>
        <w:trPr>
          <w:trHeight w:val="84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指标列表查询与筛选</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建立指标管理列表页面，用户可按指标名称进行模糊搜索，按五大维度（事故风险、隐患风险、设施风险、治理能力风险、暴露风险）进行下拉筛选，按启用/停用状态过滤。列表分页展示（每页10/20/50条可调），展示字段包括：指标名称、所属维度标签、计算口径摘要、数据来源、更新频率、阈值范围、当前权重、启用状态。后端提供标准接口风格接口支持多条件组合查询，对维度、状态字段建立数据库索引优化查询性能。前端支持列头点击排序（升序/降序）。</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新增指标</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点击新增指标按钮打开模态表单，表单包含以下字段：指标名称（必填，最大50字符，提交时进行唯一性校验，若名称重复</w:t>
            </w:r>
            <w:r>
              <w:rPr>
                <w:rFonts w:hint="eastAsia" w:ascii="宋体" w:hAnsi="宋体" w:eastAsia="宋体" w:cs="宋体"/>
                <w:i w:val="0"/>
                <w:iCs w:val="0"/>
                <w:color w:val="0f1115"/>
                <w:sz w:val="24"/>
                <w:szCs w:val="24"/>
                <w:u w:val="none"/>
                <w:lang w:val="en-US" w:eastAsia="zh-CN" w:bidi="ar"/>
              </w:rPr>
              <w:t xml:space="preserve">则提示用户修改）、所属维度（下拉选择：事故风险/隐患风险/设施风险/治理能力风险/暴露风险）、计算口径（多行文本输入框，限500字符，用于描述该指标的具体计算方法和公式）、数据来源（下拉选择：驯火系统/消防物联网监测平台/外部接口/人工填报）、更新频率（下拉选择：实时/每小时/每日/每周/每月）、阈值范围（最小值、最大值两个数字输入框，用于定义该指标的合理取值区间）、初始权重（0-100的滑块或数字输入）。表单提交前前端进行必填项和格式校验，后端再次校验后写入指标定义表，同时初始化该指标的当前版本号为V1。</w:t>
            </w:r>
            <w:r/>
          </w:p>
        </w:tc>
      </w:tr>
      <w:tr>
        <w:trPr>
          <w:trHeight w:val="84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编辑指标</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用户在指标列表页点击某行的编辑图标，弹出模态框并预填该指标当前的所有字段值。用户修改任意字段后点击提交，后端更新指标定义表对应字段，同时清除缓存数据库中该指标的缓存数据。特别处理：如果用户修改了计算口径或数据来源字段，系统需要扫描模型指标关联表，查找所有引用了该指标的风险模型，将这些模型的状态标记为待更新，并在前端提示用户该指标关联的模型列表及需要重新训练的建议。每次编辑操作记录到指标变更历史表，保存修改前后的完整快照。</w:t>
            </w:r>
            <w:r/>
          </w:p>
        </w:tc>
      </w:tr>
      <w:tr>
        <w:trPr>
          <w:trHeight w:val="84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删除指标</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用户点击删除图标弹出二次确认框，提示确认删除操作。后端执行软删除（设置软删除时间字段为当前时间），删除前检查risk_模型指标关联表：若存在任何风险模型引用了该指标，则返回400错误并列出引用该指标的模型名称列表，阻止删除操作并提示用户需先从模型中移除该指标。若无引用，则执行软删除，同时从缓存数据库缓存中移除该指标的相关数据，操作记录到操作审计日志审计表。</w:t>
            </w:r>
            <w:r/>
          </w:p>
        </w:tc>
      </w:tr>
      <w:tr>
        <w:trPr>
          <w:trHeight w:val="84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启用/停用指标</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在指标列表每行提供开关控件，用户可即时切换指标的启用/停用状态。停用的指标在风险计算服务中不被纳入权重分配计算，在前端各类下拉选择器中不显示（或灰色显示并标注已停用）。后端更新指标定义表的状态字段，并通过消息中间件消息队列发送指标状态变更事件，通知风险计算服务重新加载指标配置列表。同时清理缓存数据库中该指标相关的缓存键，确保所有下游服务获取到最新的指标状态。</w:t>
            </w:r>
            <w:r/>
          </w:p>
        </w:tc>
      </w:tr>
      <w:tr>
        <w:trPr>
          <w:trHeight w:val="51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层次分析法专家权重配置</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供五大维度的两两比较矩阵界面（5x5表格），每个单元格为下拉选择框，用户选择1-9标度值（1表示同等重要，3表示稍重要，5表示明显重要，7表示强烈重要，9表示极端重要，以及对应的倒数标度1/3、1/5、1/7、1/9）。对角线单元格自动填充1（自身比较），下三角单元格自动计算为对应上三角单元格值的倒数。矩阵右侧实时显示根据当</w:t>
            </w:r>
            <w:r>
              <w:rPr>
                <w:rFonts w:hint="eastAsia" w:ascii="宋体" w:hAnsi="宋体" w:eastAsia="宋体" w:cs="宋体"/>
                <w:i w:val="0"/>
                <w:iCs w:val="0"/>
                <w:color w:val="0f1115"/>
                <w:sz w:val="24"/>
                <w:szCs w:val="24"/>
                <w:u w:val="none"/>
                <w:lang w:val="en-US" w:eastAsia="zh-CN" w:bidi="ar"/>
              </w:rPr>
              <w:t xml:space="preserve">前矩阵计算出的各维度权重百分比。点击计算权重按钮后，后端接收完整矩阵数据执行层次分析法算法：对矩阵按列归一化处理、计算各行算术平均值作为各维度权重、计算最大特征根λmax、一致性指标CI=(λmax-n)/(n-1)、查表获取随机一致性指标RI（5阶矩阵RI=1.12）、计算一致性比率CR=一致性比率。若CR&gt;0.1则在界面红色高亮警告一致性不满足要求，并标识出对一致性贡献最大的矩阵单元格，辅助用户调整判断。提供自动调优功能，使用最小二乘法迭代逼近最接近原始判断的一致性矩阵。最终确认的权重保存到权重配置表。</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指标权重版本管理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在权重配置面板中提供版本历史按钮，点击后以列表形式展示所有历史权重版本记录，每条</w:t>
            </w:r>
            <w:r>
              <w:rPr>
                <w:rFonts w:hint="eastAsia" w:ascii="宋体" w:hAnsi="宋体" w:eastAsia="宋体" w:cs="宋体"/>
                <w:i w:val="0"/>
                <w:iCs w:val="0"/>
                <w:color w:val="0f1115"/>
                <w:sz w:val="24"/>
                <w:szCs w:val="24"/>
                <w:u w:val="none"/>
                <w:lang w:val="en-US" w:eastAsia="zh-CN" w:bidi="ar"/>
              </w:rPr>
              <w:t xml:space="preserve">记录显示版本名称、版本号、创建时间、创建人、来源类型（层次分析法专家打分/机器学习自动优化/手动调整）。每条记录提供查看详情和设为当前两个操作按钮。查看详情以表格形式展示该版本下所有指标的权重值。版本对比功能：选择任意两个版本，并行展示两个版本的权重数据，差异项高亮显示（权重增加用绿色、减少用红色），并生成对比摘要（如事故风险维度权重从0.18提升至0.23）。点击设为当前按钮将该版本激活为当前生效版本，同时发送版本切换事件通知风险计算服务重新加载权重配置。最多保留20个历史版本，超出时自动归档最早的版本。</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行业差异化校准配置</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系统内置12种常见业态类型：化工企业、大型商业综合体、高层建筑、</w:t>
            </w:r>
            <w:r>
              <w:rPr>
                <w:rFonts w:hint="eastAsia" w:ascii="宋体" w:hAnsi="宋体" w:eastAsia="宋体" w:cs="宋体"/>
                <w:i w:val="0"/>
                <w:iCs w:val="0"/>
                <w:color w:val="0f1115"/>
                <w:sz w:val="24"/>
                <w:szCs w:val="24"/>
                <w:u w:val="none"/>
                <w:lang w:val="en-US" w:eastAsia="zh-CN" w:bidi="ar"/>
              </w:rPr>
              <w:t xml:space="preserve">学校、医院、养老院、文博单位、宾馆饭店、餐饮场所、公共娱乐场所、仓储物流、住宅小区。为每种业态单独维护一套校准系数，界面采用选项卡切换各业态。每种业态下展示五大维度各自的基准系数（默认均为1.0），以及偏移系数（可调范围0.5-1.5，步进0.05）。工具栏提供从某业态复制配置功能，选择源业态后目标业态的所有系数被覆盖为源业态的值。配置变更时提供实时预览功能：选择一个示例单位，展示应用新校准系数前后各维度得分的对比柱状图和变化百分比。系数保存后触发缓存刷新，并通过消息中间件通知风险计算服务重新加载校准配置。</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指标元数据导入导出</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提供电子表格模板下载功能，模板文件包含表头行和示例数据行，表头</w:t>
            </w:r>
            <w:r>
              <w:rPr>
                <w:rFonts w:hint="eastAsia" w:ascii="宋体" w:hAnsi="宋体" w:eastAsia="宋体" w:cs="宋体"/>
                <w:i w:val="0"/>
                <w:iCs w:val="0"/>
                <w:color w:val="0f1115"/>
                <w:sz w:val="24"/>
                <w:szCs w:val="24"/>
                <w:u w:val="none"/>
                <w:lang w:val="en-US" w:eastAsia="zh-CN" w:bidi="ar"/>
              </w:rPr>
              <w:t xml:space="preserve">字段包括：指标名称、维度、计算口径、数据来源、更新频率、阈值下限、阈值上限、初始权重。用户填写完成后上传电子表格文件，后端逐行解析数据并进行校验：检查必填字段是否为空、指标名称是否与已有指标重复（支持新增和更新两种模式）、维度值是否在枚举范围内、数值字段格式是否正确。校验完成后返回导入结果摘要（成功N条、失败M条），失败行附带具体错误描述（如第3行：指标名称重复）。确认后执行批量写入。导出功能将当前所有未删除的指标数据导出为电子表格文件，包含当前权重值和状态信息，支持在URL参数中传入筛选条件实现按需导出。</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模型列表查询筛选</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模型管理页面以卡片或表格形式展示系统内所有风险预测模型，模型类型包括：单位风险模型、区域风险模型、行业风险模型、专项风险模型。每个模型卡片展示模型名称、模型类型标签、算法类型（集成学习模型/集成学习模型等）、当前版本号、状态标签（在线/离线/训练中/已归档，不同状态用不同颜色标识）、最后训练时间、核心评估指标（准确率/召回率/F1等）。支持按模型名称关键词搜索、按模型类型和算法类型下拉筛选、按状态过滤，多列排序（按训练时间、准确率等）。点击模型卡片进入模型详情页查看完整信息。</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模型超参数可视化配置</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进入模型详情页的超参数配置面板，系统根据当前模型的算法类型自动渲染对应的参数配置表单。以集成学习模型为例，配置项包括：最大深度（树最大深度，滑块3-10</w:t>
            </w:r>
            <w:r>
              <w:rPr>
                <w:rFonts w:hint="eastAsia" w:ascii="宋体" w:hAnsi="宋体" w:eastAsia="宋体" w:cs="宋体"/>
                <w:i w:val="0"/>
                <w:iCs w:val="0"/>
                <w:color w:val="000000"/>
                <w:sz w:val="24"/>
                <w:szCs w:val="24"/>
                <w:u w:val="none"/>
                <w:lang w:val="en-US" w:eastAsia="zh-CN" w:bidi="ar"/>
              </w:rPr>
              <w:t xml:space="preserve">，推荐值6）、学习速率（学习率，步进输入0.01-0.3，推荐值0.1）、模型数量（树的数量，100-500步进50，推荐值200）、采样比例（样本采样比例，滑块0.5-1.0，推荐值0.8）、特征采样比例（特征采样比例，滑块0.5-1.0）、正则化系数（L1正则化系数）、正则化衰减系数（L2正则化系数）。每个参数旁边显示问号图标，鼠标悬停显示该参数的含义、对模型的影响和推荐取值范围。配置变更时需在弹出的文本框中输入变更原因（必填），变更记录保存到模型配置变更日志表。提供重置为默认值按钮和恢复上次配置按钮。</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模型在线训练与验证</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用户选择训练数据的时间范围（开始日期和结束日期），可选择是否使用全部特征或手动勾选特征子集，点击开始训练按钮。后端创建分布式计算引擎或数据处理脚本训练定时任务提交到任务队列，通过实时消息通道向前端实时推送训练进度信</w:t>
            </w:r>
            <w:r>
              <w:rPr>
                <w:rFonts w:hint="eastAsia" w:ascii="宋体" w:hAnsi="宋体" w:eastAsia="宋体" w:cs="宋体"/>
                <w:i w:val="0"/>
                <w:iCs w:val="0"/>
                <w:color w:val="000000"/>
                <w:sz w:val="24"/>
                <w:szCs w:val="24"/>
                <w:u w:val="none"/>
                <w:lang w:val="en-US" w:eastAsia="zh-CN" w:bidi="ar"/>
              </w:rPr>
              <w:t xml:space="preserve">息（当前迭代轮次/总轮次、当前损失值值、预计剩余时间）。前端使用可视化图表组件实时绘制损失值下降曲线。训练完成后，系统自动在预留的验证集上执行评估，计算并展示评估指标：回归模型输出平均绝对误差（平均绝对误差）、均方根误差（均方根误差）、R2（决定系数）；分类模型输出准确率、精确率、召回率、F1分数、模型评估指标值。额外展示残差分布直方图、预测值vs真实值散点图、特征重要性排序（前二十横向柱状图）。训练过程中若发生异常（如内存溢出、数据格式错误），自动记录错误日志并邮件通知管理员。该功能需GPU资源加速训练。</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模型版本管理与上线审批</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每次训练完成自动生成新的模型版本号（主版本号递增，格式V1、V2、V3等）。在版本管</w:t>
            </w:r>
            <w:r>
              <w:rPr>
                <w:rFonts w:hint="eastAsia" w:ascii="宋体" w:hAnsi="宋体" w:eastAsia="宋体" w:cs="宋体"/>
                <w:i w:val="0"/>
                <w:iCs w:val="0"/>
                <w:color w:val="000000"/>
                <w:sz w:val="24"/>
                <w:szCs w:val="24"/>
                <w:u w:val="none"/>
                <w:lang w:val="en-US" w:eastAsia="zh-CN" w:bidi="ar"/>
              </w:rPr>
              <w:t xml:space="preserve">理页面，以表格展示模型的所有历史版本，每行显示版本号、训练时间、训练数据时间范围、评估指标摘要。版本对比功能：选择当前生产版本和候选版本，并排对比展示各项评估指标，差异值用绿色（提升）和红色（下降）高亮标记，底部自动生成对比结论和建议（如候选版准确率提升3.2%但召回率下降1.1%，建议关注召回率下降对业务的影响后决定是否上线）。提交上线申请后进入审批流程：管理员审核对比报告，审批通过后系统自动将候选版本切换为生产版本，更新缓存数据库中的模型缓存，向相关订阅者发送模型上线通知邮件。审批不通过需填写驳回原因。</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模型定时自动重训练</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提供自动重训练策略配置界面：设置重训练周</w:t>
            </w:r>
            <w:r>
              <w:rPr>
                <w:rFonts w:hint="eastAsia" w:ascii="宋体" w:hAnsi="宋体" w:eastAsia="宋体" w:cs="宋体"/>
                <w:i w:val="0"/>
                <w:iCs w:val="0"/>
                <w:color w:val="000000"/>
                <w:sz w:val="24"/>
                <w:szCs w:val="24"/>
                <w:u w:val="none"/>
                <w:lang w:val="en-US" w:eastAsia="zh-CN" w:bidi="ar"/>
              </w:rPr>
              <w:t xml:space="preserve">期（支持调度表达式，如每月1日凌晨3点、每周一凌晨3点），设置训练数据窗口（如近6个月数据、近12个月数据），设置自动上线条件（如准确率提升超过2%且各项指标不低于基线水平）。到达设定的重训练时间后，定时任务自动触发训练流程：数据提取→模型训练→验证集评估→与当前生产版本对比→满足自动上线条件则自动切换生产版本并发送通知，不满足条件则发送邮件通知管理员人工评估。每次自动重训练记录完整的执行日志（开始时间、结束时间、训练状态、评估指标、是否自动上线）。训练任务失败时自动重试最多3次，3次均失败则发送告警通知。</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模型推理服务部署</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将训练完成并审批通过的模型文件（如集成学习模型的</w:t>
            </w:r>
            <w:r>
              <w:rPr>
                <w:rFonts w:hint="eastAsia" w:ascii="宋体" w:hAnsi="宋体" w:eastAsia="宋体" w:cs="宋体"/>
                <w:i w:val="0"/>
                <w:iCs w:val="0"/>
                <w:color w:val="000000"/>
                <w:sz w:val="24"/>
                <w:szCs w:val="24"/>
                <w:u w:val="none"/>
                <w:lang w:val="en-US" w:eastAsia="zh-CN" w:bidi="ar"/>
              </w:rPr>
              <w:t xml:space="preserve">.模型文件）打包为容器化环境镜像，镜像内包含GPU加速计算和深度学习加速库运行环境。编写高性能通信协议推理服务接口（定义预测方法，输入为特征向量的序列化协议消息，输出为风险分数0-100），服务启动时加载模型文件到GPU显存。将容器化环境镜像部署到政务云容器编排平台集群，配置部署配置的资源限制（计算资源内存）、健康检查探针（网络协议 GET /健康检查）、自动扩缩容自动扩缩容策略（CPU使用率超过70%时自动扩容服务实例副本数）。部署后验证推理延迟（目标单次推理&lt;50ms）和吞吐量（目标&gt;1000次/秒）。</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静态标签定义管理</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构建静态标签管理功能，静态标签是指不随时间频繁变化的单位固有属性标签。预置标签类型包括：业态类型（枚举值：化工企业/大型商业综合体/高层建筑/学校/医院/养老院/文博单位/宾馆饭店/餐饮场所/公共娱乐场所/仓储物流/住宅小区）、建筑面积区间（0-500/500-2000/2000-5</w:t>
            </w:r>
            <w:r>
              <w:rPr>
                <w:rFonts w:hint="eastAsia" w:ascii="宋体" w:hAnsi="宋体" w:eastAsia="宋体" w:cs="宋体"/>
                <w:i w:val="0"/>
                <w:iCs w:val="0"/>
                <w:color w:val="000000"/>
                <w:sz w:val="24"/>
                <w:szCs w:val="24"/>
                <w:u w:val="none"/>
                <w:lang w:val="en-US" w:eastAsia="zh-CN" w:bidi="ar"/>
              </w:rPr>
              <w:t xml:space="preserve">000/5000-10000/10000以上平方米）、建成年代区间（1990年前/1990-2000/2000-2010/2010-2020/2020年后）、是否高层建筑（是/否）、是否消防安全重点单位（一级/二级/三级/否）。用户可新增自定义静态标签，定义标签名称、标签编码、值域（支持枚举值列表或数值区间两种模式）、默认值。标签数据存储到标签定义表，提供标签增删改查操作管理页面：列表展示（按标签分类分组）+新增表单+编辑（含引用计数检查）+删除（检查是否有单位使用该标签，有则阻止删除并列出使用单位数量）。</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动态标签规则可视化配置</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动态标签是指根据单位数据变化自动计算和更新的标签，如近三月隐患高发、设施故障频发、发生过火灾、整改超期严重等。提供可视化规则配置器：左</w:t>
            </w:r>
            <w:r>
              <w:rPr>
                <w:rFonts w:hint="eastAsia" w:ascii="宋体" w:hAnsi="宋体" w:eastAsia="宋体" w:cs="宋体"/>
                <w:i w:val="0"/>
                <w:iCs w:val="0"/>
                <w:color w:val="000000"/>
                <w:sz w:val="24"/>
                <w:szCs w:val="24"/>
                <w:u w:val="none"/>
                <w:lang w:val="en-US" w:eastAsia="zh-CN" w:bidi="ar"/>
              </w:rPr>
              <w:t xml:space="preserve">侧展示可用基础指标树（按五大维度分类展开，每个指标显示最近取值和单位），用户拖拽指标节点到右侧画布中。在画布上为每个指标设置判断条件（大于/小于/等于/介于/同比上升超过X%/同比下降超过Y%），设置时间窗口（近1个月/近3个月/近6个月/近12个月），多个条件之间用与/或逻辑组合。配置完成后设置标签名称、标签颜色标签、更新频率（每日/每周/每月）。保存前可点击测试运行按钮，选择一个历史日期点，系统加载该日期的快照数据模拟执行规则，返回预计命中的单位数量和示例列表（前20条），帮助用户验证规则配置是否合理。</w:t>
            </w:r>
            <w:r/>
          </w:p>
        </w:tc>
      </w:tr>
      <w:tr>
        <w:trPr>
          <w:trHeight w:val="9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动态标签定时计算引擎</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实现每日凌晨2:00触发的定时计算任务。任务流程：从数据库加载所有启用状态的动态标签规则→按规则类型</w:t>
            </w:r>
            <w:r>
              <w:rPr>
                <w:rFonts w:hint="eastAsia" w:ascii="宋体" w:hAnsi="宋体" w:eastAsia="宋体" w:cs="宋体"/>
                <w:i w:val="0"/>
                <w:iCs w:val="0"/>
                <w:color w:val="000000"/>
                <w:sz w:val="24"/>
                <w:szCs w:val="24"/>
                <w:u w:val="none"/>
                <w:lang w:val="en-US" w:eastAsia="zh-CN" w:bidi="ar"/>
              </w:rPr>
              <w:t xml:space="preserve">分组→对每条规则解析条件树→从数据仓库批量查询各单位在当前时间窗口内的特征数据（每批1000条）→逐条执行规则引擎规则引擎进行条件匹配→收集命中该标签的单位ID列表→与单位标签存储表中该单位已有标签比对（新增/不变/需移除）→批量执行存在则更新操作写入单位标签存储表（单位标识+标签标识作为联合唯一键）。计算完成后记录执行日志：规则名称、开始时间、结束时间、扫描单位总数、命中单位数、命中率、异常信息。对于命中率突然大幅波动（如超过上一次执行的3倍或低于1/3）的情况，自动发送告警给管理员提示规则可能需要调整。</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人工打标功能</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在单位详情页的标签展示区域，以标签云形式展示该单位当前拥有</w:t>
            </w:r>
            <w:r>
              <w:rPr>
                <w:rFonts w:hint="eastAsia" w:ascii="宋体" w:hAnsi="宋体" w:eastAsia="宋体" w:cs="宋体"/>
                <w:i w:val="0"/>
                <w:iCs w:val="0"/>
                <w:color w:val="000000"/>
                <w:sz w:val="24"/>
                <w:szCs w:val="24"/>
                <w:u w:val="none"/>
                <w:lang w:val="en-US" w:eastAsia="zh-CN" w:bidi="ar"/>
              </w:rPr>
              <w:t xml:space="preserve">的全部标签。自动标签和人工标签用不同样式区分（如人工标签右上角带星标）。用户可点击添加标签按钮，在弹出的标签选择器中搜索和选择已有标签（支持模糊搜索），选择后必填打标原因（从下拉预设原因中选择或手动输入，如日常巡查发现/专项整治确认/上级交办/其他）。用户也可点击已有标签旁的小叉按钮手动删除标签（需填写删除原因）。人工标签的优先级高于同名的自动标签，且人工添加的标签不会被后续定时计算任务自动覆盖或删除。人工打标的操作记录（操作人、操作时间、标签名称、操作类型、操作原因）全部写入标签操作日志表，用于审计追溯。</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标签组合筛选与检索</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在单位列表页的筛选区域增加标签筛选功能。用户可点</w:t>
            </w:r>
            <w:r>
              <w:rPr>
                <w:rFonts w:hint="eastAsia" w:ascii="宋体" w:hAnsi="宋体" w:eastAsia="宋体" w:cs="宋体"/>
                <w:i w:val="0"/>
                <w:iCs w:val="0"/>
                <w:color w:val="000000"/>
                <w:sz w:val="24"/>
                <w:szCs w:val="24"/>
                <w:u w:val="none"/>
                <w:lang w:val="en-US" w:eastAsia="zh-CN" w:bidi="ar"/>
              </w:rPr>
              <w:t xml:space="preserve">击标签筛选下拉框，以树形结构展示所有标签分类和标签项，支持多选（勾选多个标签）。选择多个标签时筛选逻辑为取交集（即同时拥有所有选中标签的单位）。后端根据选中的标签动态构建SQL查询：使用关联存在判断子查询确保单位同时满足所有标签条件，或使用分组汇总 单位标识 分组过滤 计数(去重 标签标识)=选中标签数的方式进行过滤。为提升高频标签组合的查询性能，对常用的标签组合查询结果缓存到缓存数据库（缓存键为标签集合:哈希值，有效期设置为1小时），标签配置变更时主动清除相关缓存。筛选结果区域展示满足条件的单位总数统计。</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标签分布统计看板</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标签统计分析看板页面。页面顶部展示核心指标卡片：标签总数、已使用标签数、单位平均标签数。中部使用可视化图表组件渲染两个可视化图表：饼图展示各类标签（按一级分类）下的单位数量分布和占比；横向柱状图展示使用频率最高的前十标签（标签名称+单位数量）。两个图表支持交互：点击饼图某扇区或柱状图某柱子，下钻展示该分类下具体标签的详细分布，再点击可跳转至对应筛选后的单位列表页。图表数据来源于每日凌晨预计算的标签统计汇总表，确保页面加载速度在2秒以内。支持按区域（区县/街道）和业态维度切换统计范围。</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二、核心风险研判功能</w:t>
            </w:r>
            <w:r/>
          </w:p>
        </w:tc>
      </w:tr>
      <w:tr>
        <w:trPr>
          <w:trHeight w:val="189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多维特征数据抽取与预处理管道</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每日凌晨触发定时任务，从数据仓库中提取全市所有社会单位的特征数据，构建用于风险计算的完整特征矩阵。提取的特征维度包括：单位基础属性（业态类型、建筑面积、建成年代、是否高层、是否重点单位等12个静态字段）、近3个月隐患统计特征（隐患总数、重大隐患数、一般隐患数、轻微隐患数、隐患整改超期次数、平均整改周期、隐患复发次数等15个衍生字段）、消防设施运行状态（物联网在线率、故障次数、平均修复时间等8个字段）、近5年</w:t>
            </w:r>
            <w:r>
              <w:rPr>
                <w:rFonts w:hint="eastAsia" w:ascii="宋体" w:hAnsi="宋体" w:eastAsia="宋体" w:cs="宋体"/>
                <w:i w:val="0"/>
                <w:iCs w:val="0"/>
                <w:color w:val="000000"/>
                <w:sz w:val="24"/>
                <w:szCs w:val="24"/>
                <w:u w:val="none"/>
                <w:lang w:val="en-US" w:eastAsia="zh-CN" w:bidi="ar"/>
              </w:rPr>
              <w:t xml:space="preserve">历史火灾记录（火灾次数、火灾等级、伤亡人数、直接经济损失等经时间衰减加权后的6个字段）、周边环境暴露特征（周边500米内重点单位数、距最近消防站距离等4个字段）。数据抽取后执行数据质量预处理：缺失值填充（数值型用中位数、类别型用众数）、异常值检测与截尾处理（使用合理分位数异常值截尾处理方法，将超过上下界的值替换为边界值）、特征归一化（使用数据标准化处理将各特征缩放到[0,1]区间）。处理完成后将特征矩阵输出为列式数据格式格式文件存储，并进行数据质量检查（各特征的缺失率、异常率、分布统计），生成数据质量报告。</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时间衰减因子计算模块</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对历史火灾记录和历史行政处罚记录等具有时间衰减特性的事件数据，实现指数衰减权重计算。对于每个历史事件，计算该事件发生日期距当前日期的天数距今天数，按照指数衰减公式weight=exp(-衰减系数</w:t>
            </w:r>
            <w:r>
              <w:rPr>
                <w:rFonts w:hint="eastAsia" w:ascii="宋体" w:hAnsi="宋体" w:eastAsia="宋体" w:cs="宋体"/>
                <w:i w:val="0"/>
                <w:iCs w:val="0"/>
                <w:color w:val="000000"/>
                <w:sz w:val="24"/>
                <w:szCs w:val="24"/>
                <w:u w:val="none"/>
                <w:lang w:val="en-US" w:eastAsia="zh-CN" w:bidi="ar"/>
              </w:rPr>
              <w:t xml:space="preserve">*距今天数)计算当前权重。其中衰减系数为衰减速率参数，根据事件类型从配置表读取不同的衰减系数值（火灾事件的衰减系数=0.001，造成伤亡的火灾事件衰减系数=0.0005，行政处罚事件的衰减系数=0.002，重大隐患事件的衰减系数=0.003），使得不同严重程度的事件衰减速度有所区分。越久远的事件计算出的权重越趋近于0，避免历史数据长期放大风险评分。衰减后的各事件权重累加到对应风险维度的特征值中。提供接口调试接口，输入单位ID返回该单位各历史事件的原始日期、衰减权重和累加贡献值，便于人工验证衰减逻辑的合理性。</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行业差异校准系数应用</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根据每个单位的业态类型，从行业校准系数配置表查询该业态对应的五大维度</w:t>
            </w:r>
            <w:r>
              <w:rPr>
                <w:rFonts w:hint="eastAsia" w:ascii="宋体" w:hAnsi="宋体" w:eastAsia="宋体" w:cs="宋体"/>
                <w:i w:val="0"/>
                <w:iCs w:val="0"/>
                <w:color w:val="000000"/>
                <w:sz w:val="24"/>
                <w:szCs w:val="24"/>
                <w:u w:val="none"/>
                <w:lang w:val="en-US" w:eastAsia="zh-CN" w:bidi="ar"/>
              </w:rPr>
              <w:t xml:space="preserve">校准系数向量（默认化工企业的事故风险和设施风险维度的系数为1.2，商业综合体的暴露风险维度系数为1.3等）。将校准系数向量与单位在各维度的特征得分进行逐元素乘法运算，得到校准后的各维度得分。例如某化工企业在事故风险维度原始得分为65，化工校准系数为1.2，则校准后得分为78。校准逻辑确保不同行业的风险评价具有行业可比性，避免某一行业由于自身特性而系统性偏高或偏低。提供单个单位的校准调试接口（GET /校准调试接口{单位标识}），返回该单位校准前后各维度得分的数据交换格式对比数据，供人工审核校准系数的合理性。</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全量单位批量风险推理调度</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加载当前生产环境的风险预测模型文件，对全市约11.5万个社会单位的特征数据进行批量推理计算。推理采用分批处理策略以控制内存占用：每批次读取一批单位的特征向量，调用模型推理</w:t>
            </w:r>
            <w:r>
              <w:rPr>
                <w:rFonts w:hint="eastAsia" w:ascii="宋体" w:hAnsi="宋体" w:eastAsia="宋体" w:cs="宋体"/>
                <w:i w:val="0"/>
                <w:iCs w:val="0"/>
                <w:color w:val="000000"/>
                <w:sz w:val="24"/>
                <w:szCs w:val="24"/>
                <w:u w:val="none"/>
                <w:lang w:val="en-US" w:eastAsia="zh-CN" w:bidi="ar"/>
              </w:rPr>
              <w:t xml:space="preserve">服务（通过高性能通信协议协议）进行预测，获取0-100的风险分数后批量写入风险指数存储表（使用存在则更新语法，以单位标识+计算日期为唯一键），同时更新缓存数据库缓存中的单位风险数据（缓存存储 unit:{单位标识}:risk score值）。每批次处理完成后记录处理状态和耗时到任务执行日志表。全量计算任务支持断点续传：若任务执行过程中因异常中断，重启后读取任务执行日志中最后成功处理的批次号，从下一批次继续执行，已处理的批次不重复计算。失败批次自动重试最多3次，3次均失败则记录错误详情并跳过继续处理后续批次。</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风险等级四色划分与存储</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根据可</w:t>
            </w:r>
            <w:r>
              <w:rPr>
                <w:rFonts w:hint="eastAsia" w:ascii="宋体" w:hAnsi="宋体" w:eastAsia="宋体" w:cs="宋体"/>
                <w:i w:val="0"/>
                <w:iCs w:val="0"/>
                <w:color w:val="000000"/>
                <w:sz w:val="24"/>
                <w:szCs w:val="24"/>
                <w:u w:val="none"/>
                <w:lang w:val="en-US" w:eastAsia="zh-CN" w:bidi="ar"/>
              </w:rPr>
              <w:t xml:space="preserve">配置的阈值规则将每个单位的0-100风险分数映射为四色风险等级。默认阈值配置为：红色等级（极高风险）分数&gt;=90，橙色等级（高风险）分数75-89，黄色等级（中风险）分数60-74，蓝色等级（低风险）分数&lt;60。阈值参数存储在风险等级配置表中，支持管理员在后台动态调整各级阈值，修改后自动触发全量单位的等级重新划分。等级划分结果写入风险指数存储表的等级字段，同时更新缓存数据库缓存（缓存存储 unit:{单位标识}:risk 等级字段）。提供风险等级分布统计接口，返回各级单位数量和占比，供综合态势展示模块使用。</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增量重算消息驱动机制</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当某个单位的关键基础数据发生变化时（如新增了一条监督检查记录、某条隐患完成了整改、物联网设备状态由离线变更为在线、单</w:t>
            </w:r>
            <w:r>
              <w:rPr>
                <w:rFonts w:hint="eastAsia" w:ascii="宋体" w:hAnsi="宋体" w:eastAsia="宋体" w:cs="宋体"/>
                <w:i w:val="0"/>
                <w:iCs w:val="0"/>
                <w:color w:val="000000"/>
                <w:sz w:val="24"/>
                <w:szCs w:val="24"/>
                <w:u w:val="none"/>
                <w:lang w:val="en-US" w:eastAsia="zh-CN" w:bidi="ar"/>
              </w:rPr>
              <w:t xml:space="preserve">位的标签发生了变化等），驯火系统和相关业务模块通过消息中间件消息队列发送单位数据变更事件（消息体包含单位标识和变更类型字段）。风险计算服务消费该消息后，为避免短时间内同一单位的多次变更触发重复计算，先通过缓存数据库的原子锁操作命令设置去重锁（key为单位重算标记:{单位标识}，有效期为5分钟），获取锁成功后查询该单位的最新特征数据，调用模型推理进行增量重算，更新风险指数存储表和缓存数据库缓存。重算完成后发送确认响应确认消息，释放去重锁。监控消息中间件消费者的滞后值，当滞后超过1000时触发告警通知运维人员。</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单位风险详情查询接口</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提供标准接口风格风格的接口接口（单位风险详情查询接口），返回指定单位的完整风险信息。查询逻辑采用缓存数据库优先策略：先从缓存数据库缓存中查询（缓存存储 unit:{单位标识}:risk），如果命中则直</w:t>
            </w:r>
            <w:r>
              <w:rPr>
                <w:rFonts w:hint="eastAsia" w:ascii="宋体" w:hAnsi="宋体" w:eastAsia="宋体" w:cs="宋体"/>
                <w:i w:val="0"/>
                <w:iCs w:val="0"/>
                <w:color w:val="000000"/>
                <w:sz w:val="24"/>
                <w:szCs w:val="24"/>
                <w:u w:val="none"/>
                <w:lang w:val="en-US" w:eastAsia="zh-CN" w:bidi="ar"/>
              </w:rPr>
              <w:t xml:space="preserve">接返回缓存数据（响应时间&lt;5ms）；如果缓存未命中，则查询风险指数数据数据库表获取最新数据，将查询结果写入缓存数据库缓存（设置有效期为30分钟）后返回。返回的数据交换格式数据结构包含：综合风险指数score（0-100）、风险等级等级（红/橙/黄/蓝）、五大维度各自得分（各维度得分数组，每项包含维度名称和得分）、该单位在所属业态内的百分位排名（行业百分位）、在所属区域内的百分位排名（区域百分位）、计算时间、模型版本号。接口添加压缩传输压缩和缓存校验标识缓存头以优化传输效率，高分位值延迟控制在200ms以内。</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区域风险多粒度聚合引擎</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基于单位风险指数计算结果，按照行政区划层级表进行自下而上的聚合计算。支持三个聚合粒度：行政区（区县级）、街</w:t>
            </w:r>
            <w:r>
              <w:rPr>
                <w:rFonts w:hint="eastAsia" w:ascii="宋体" w:hAnsi="宋体" w:eastAsia="宋体" w:cs="宋体"/>
                <w:i w:val="0"/>
                <w:iCs w:val="0"/>
                <w:color w:val="000000"/>
                <w:sz w:val="24"/>
                <w:szCs w:val="24"/>
                <w:u w:val="none"/>
                <w:lang w:val="en-US" w:eastAsia="zh-CN" w:bidi="ar"/>
              </w:rPr>
              <w:t xml:space="preserve">道（乡镇级）、社区（网格级）。聚合算法提供三种可选模式，用户可在前端切换：加权平均法（以单位的建筑面积或人员密度作为权重进行加权平均，面积加权平均）、最大值法（取该区域内风险指数最高的单位值作为区域风险代表，适用于保守评估策略）、前N项均值法（取区域内风险指数排名前20%的单位的算术平均值，兼顾高风险集中度和整体水平）。聚合计算使用分布式计算引擎 SQL的窗口函数和分组汇总实现，计算结果写入结果表。为提升查询性能，将结果分级缓存到缓存数据库（区级有效期=1小时，街道级有效期=2小时，社区级有效期=4小时）。</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区域风险排名与环比变化</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基于聚合计算结果，按行政区、街道、社区三个层级分别生成风险排名。每个排名列表展示前十最高风险区域和后十最低风险区域。每个区域条目显示：区域名称、风险指数数值、排名序号、与上一计算周期相比的环比变化值（变化量）和环比变化百分比（变化百分比）。环比变化为正数时用红色向上箭头标注风险上升，为负数时用绿色向下箭头标注风险下降。对于区域内单位数量少于10个的区域，在排名列表中标注样本不足标识并降低其排名权重（乘以0.5系数），避免小样本导致的统计偏差。排名结果提供接口接口供综合态势展示模块调用。</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行业风险指数计算与对标</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按12种业态类型分别进行行业维度的风险聚合分析</w:t>
            </w:r>
            <w:r>
              <w:rPr>
                <w:rFonts w:hint="eastAsia" w:ascii="宋体" w:hAnsi="宋体" w:eastAsia="宋体" w:cs="宋体"/>
                <w:i w:val="0"/>
                <w:iCs w:val="0"/>
                <w:color w:val="000000"/>
                <w:sz w:val="24"/>
                <w:szCs w:val="24"/>
                <w:u w:val="none"/>
                <w:lang w:val="en-US" w:eastAsia="zh-CN" w:bidi="ar"/>
              </w:rPr>
              <w:t xml:space="preserve">。对每种业态计算：行业中位数风险指数（反映行业整体风险水平）、加权平均风险指数（以单位建筑面积为权重）、标准差（反映行业内风险的离散程度）、变异系数（标准差/均值，用于比较不同行业的风险波动性）。输出行业×区域的交叉分析二维矩阵数据（12行×N列），每个单元格包含该区域该行业的风险指数和单位数量。前端接收数据后使用可视化图表组件热力图组件渲染，颜色深度代表风险高低（深红高风险/浅蓝低风险），鼠标悬停显示具体数值。点击热力图单元格可下钻查看该区域该行业的具体单位列表和风险明细。行业分析结果每小时自动刷新一次。</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专项风险主题自定义引擎</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支持用户根据工作需要创建自定义专项风险分析主题。创建流程：输入主题名称（如高层建筑消防安全、电动自行车充电安全、燃</w:t>
            </w:r>
            <w:r>
              <w:rPr>
                <w:rFonts w:hint="eastAsia" w:ascii="宋体" w:hAnsi="宋体" w:eastAsia="宋体" w:cs="宋体"/>
                <w:i w:val="0"/>
                <w:iCs w:val="0"/>
                <w:color w:val="000000"/>
                <w:sz w:val="24"/>
                <w:szCs w:val="24"/>
                <w:u w:val="none"/>
                <w:lang w:val="en-US" w:eastAsia="zh-CN" w:bidi="ar"/>
              </w:rPr>
              <w:t xml:space="preserve">气使用安全）、选择关联的业态类型（可多选）、从指标库中勾选与该主题强相关的特征指标（可多选）、使用拖拽滑块调整各指标的权重（所有指标权重之和自动归一化为100%）、保存主题配置模板。系统根据主题配置动态构建SQL查询，从数据仓库提取关联数据，按权重计算专项风险指数。计算结果存储在专项分析结果表（字段包括主题标识、单位标识、风险分数、计算时间）。提供主题历史结果对比功能：选择同一主题的两个不同时间段的结果，并排展示各单位的风险指数变化，标注风险显著上升（上升幅度&gt;20%）和显著下降（下降幅度&gt;20%）的单位。</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风险时序数据存储与查询</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设计风险时序存储表用于存储每个单位每月的风险指数历史快照数据。表结构：单位标识（单位唯一编号）、记录月份（记录月份，格式YYYY</w:t>
            </w:r>
            <w:r>
              <w:rPr>
                <w:rFonts w:hint="eastAsia" w:ascii="宋体" w:hAnsi="宋体" w:eastAsia="宋体" w:cs="宋体"/>
                <w:i w:val="0"/>
                <w:iCs w:val="0"/>
                <w:color w:val="000000"/>
                <w:sz w:val="24"/>
                <w:szCs w:val="24"/>
                <w:u w:val="none"/>
                <w:lang w:val="en-US" w:eastAsia="zh-CN" w:bidi="ar"/>
              </w:rPr>
              <w:t xml:space="preserve">-MM）、风险分数（综合风险指数）、维度一得分至维度五得分（五大维度各自得分）、模型版本（使用的模型版本号）。以(单位标识, 记录月份)作为联合主键，按月份进行LIST分区以优化时间范围查询性能。实现月度快照存储定时任务：每月1日凌晨2:00执行全量单位的风险指数计算，将结果批量写入 忽略冲突到风险时序存储表（忽略当月已存在的记录以保证幂等性）。提供标准接口风格 接口供前端按时间范围查询（GET /单位风险时序接口?from=2025-01&amp;to=2025-12），返回该单位指定时间段内每月的风险指数数组。</w:t>
            </w:r>
            <w:r/>
          </w:p>
        </w:tc>
      </w:tr>
      <w:tr>
        <w:trPr>
          <w:trHeight w:val="168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多维度趋势指标计算引擎</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基于存储的风险时序数据，计算多个维度的趋势分析指标。短期变化率：计算最近7天的风险指数滑动平均值，与上期7天滑动均值比较得出变化方向（上升/下降/持平）和变化幅度百分比。中期趋势斜率：使用数值计算工具的多项式拟合函数对近3个月（约12个周数据点）的风险指数序列进行一元线性回归拟合，取回归直线的斜率回归系数系数作为趋势方向和强度指标（回归系数&gt;0.5为明显上升，回归系数&lt;</w:t>
            </w:r>
            <w:r>
              <w:rPr>
                <w:rFonts w:hint="eastAsia" w:ascii="宋体" w:hAnsi="宋体" w:eastAsia="宋体" w:cs="宋体"/>
                <w:i w:val="0"/>
                <w:iCs w:val="0"/>
                <w:color w:val="000000"/>
                <w:sz w:val="24"/>
                <w:szCs w:val="24"/>
                <w:u w:val="none"/>
                <w:lang w:val="en-US" w:eastAsia="zh-CN" w:bidi="ar"/>
              </w:rPr>
              <w:t xml:space="preserve">-0.5为明显下降，-0.5至0.5之间为平稳）。波动率：计算风险指数序列的标准差除以均值的变异系数，反映风险稳定性（CV&lt;0.1为稳定型，CV&gt;0.3为高波动型）。连续变化期数识别：统计风险指数连续上升或连续下降的期数。所有计算结果写入风险趋势数据表供前端查询和预警模块使用。实现累计变化检测算法累积和突变检测算法：设定参数h=5（报警阈值）和k=0.5（允许偏移量），对每个单位的时间序列计算累积和St=max(0,上期数值+(xt-μ)-k)，当St&gt;h时标记该时间点为风险突变点，记录突变时间和突变幅度。</w:t>
            </w:r>
            <w:r/>
          </w:p>
        </w:tc>
      </w:tr>
      <w:tr>
        <w:trPr>
          <w:trHeight w:val="3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风险趋势五分类可视化展示</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前端使用可视化图表组件图表库实现单位风险趋势可视化组件。图表X轴为按月的24个月时间线，Y轴为0-10</w:t>
            </w:r>
            <w:r>
              <w:rPr>
                <w:rFonts w:hint="eastAsia" w:ascii="宋体" w:hAnsi="宋体" w:eastAsia="宋体" w:cs="宋体"/>
                <w:i w:val="0"/>
                <w:iCs w:val="0"/>
                <w:color w:val="000000"/>
                <w:sz w:val="24"/>
                <w:szCs w:val="24"/>
                <w:u w:val="none"/>
                <w:lang w:val="en-US" w:eastAsia="zh-CN" w:bidi="ar"/>
              </w:rPr>
              <w:t xml:space="preserve">0的风险指数。主图绘制风险指数实际值的平滑折线，折线下方用半透明色块渲染风险等级背景（红色&gt;=90区域/橙色75-89区域/黄色60-74区域/蓝色&lt;60区域）。折线上方叠加趋势分类标签色带：根据趋势分类结果（平稳型/缓慢上升型/快速上升型/波动型/改善型）渲染不同颜色的横条（绿色/黄色/橙色/灰色/蓝色）。鼠标悬停在折线数据点上时弹出提示框显示该月的具体风险指数、各维度得分、趋势分类。标注突变点的位置：在检测到的突变时间点绘制红色竖虚线和标记点。提供时间范围缩放控件（缩放控件滑块）和趋势分类图例切换开关。</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特征归因分析特征贡献分解计算</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集成特征归因分析（特征贡献分析方法）库对训练好的集成学习模型进行可解释性分析。使用树模型解释器（树模型解释器）加载生产环境的集成学习模型文件，对每个单位的特征向量计算所有</w:t>
            </w:r>
            <w:r>
              <w:rPr>
                <w:rFonts w:hint="eastAsia" w:ascii="宋体" w:hAnsi="宋体" w:eastAsia="宋体" w:cs="宋体"/>
                <w:i w:val="0"/>
                <w:iCs w:val="0"/>
                <w:color w:val="000000"/>
                <w:sz w:val="24"/>
                <w:szCs w:val="24"/>
                <w:u w:val="none"/>
                <w:lang w:val="en-US" w:eastAsia="zh-CN" w:bidi="ar"/>
              </w:rPr>
              <w:t xml:space="preserve">特征的特征归因分析值。特征归因分析值的经济学含义为每个特征对最终预测结果的边际贡献：正值表示该特征推高了风险评分（如某单位隐患超期率特征贡献值为+8.5，表示该特征使风险评分增加了8.5分），负值表示该特征降低了风险评分。对每个单位的50+个特征按特征归因分析值的绝对值进行降序排列，取前5个贡献最大的特征（含贡献方向和贡献值）。计算结果批量写入风险解释数据表（字段：单位标识、特征名称、特征贡献值、贡献度排名、计算时间）。该计算需要GPU资源加速，每批次处理1000个单位，全量11.5万单位约需30分钟完成。</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可解释分析结果可视化展示</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前端实现风险构成可解释分析页面，包含四个可视化模块：贡献饼图（以5个一级维度为扇区，扇区大小为该维度下所有二级指标特征归因分析值绝对值</w:t>
            </w:r>
            <w:r>
              <w:rPr>
                <w:rFonts w:hint="eastAsia" w:ascii="宋体" w:hAnsi="宋体" w:eastAsia="宋体" w:cs="宋体"/>
                <w:i w:val="0"/>
                <w:iCs w:val="0"/>
                <w:color w:val="000000"/>
                <w:sz w:val="24"/>
                <w:szCs w:val="24"/>
                <w:u w:val="none"/>
                <w:lang w:val="en-US" w:eastAsia="zh-CN" w:bidi="ar"/>
              </w:rPr>
              <w:t xml:space="preserve">之和的占比，直观展示各维度对风险的贡献比重）、雷达图（双线对比：蓝色线展示该单位在各维度的实际得分，橙色线展示同行业平均得分，便于识别该单位相较于行业水平的薄弱维度）、驱动因子前五列表（表格形式展示贡献最大的5个具体特征，每行显示特征名称、贡献方向标注、贡献分值、对应的业务含义解释如消防通道堵塞扣15分）、均值对比表（列出该单位所有维度得分与行业均值、区域均值的对比，差值用正负标注）。支持将当前页面的分析结果导出为PDF格式的分析报告（含上述四个图表），报告可用于执法现场说明、约谈沟通、行政复议佐证等场景。</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异常风险模式识别-无监督模型训练</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使用历史单位特征数据训练异常检测模型和特征重构模型。异常检测模型参数：预设数量的决策树，适当的采样比例。特征重构模型为多层网络结构，训练重构误差。模型每季度重训练一次。</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异常风险扫描</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每日凌晨对全量单位执行异常检测，异常检测模型输出异常分数，特征重构模型输出重构误差，综合两个分数（加权）得到最终异常分数，超过阈值（如合理分位数）标记为异常。异常结果存储到异常单位记录表。</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异常结果推送与人工研判</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异常单位列表推送到预警模块，用户可在异常列表页面查看，标记为“确认风险”或“误报”，误报记录用于模型优化。</w:t>
            </w:r>
            <w:r/>
          </w:p>
        </w:tc>
      </w:tr>
      <w:tr>
        <w:trPr>
          <w:trHeight w:val="27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三、动态预警管理</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41</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预警规则可视化配置器</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提供预警规则配置界面，支持三种触发类型的规则定义。阈值触发：用户选择一个风险指标（如综合风险指数、某个维度的得分），设定比较运算符（&gt;=、&lt;=）和触发阈值（如</w:t>
            </w:r>
            <w:r>
              <w:rPr>
                <w:rFonts w:hint="eastAsia" w:ascii="宋体" w:hAnsi="宋体" w:eastAsia="宋体" w:cs="宋体"/>
                <w:i w:val="0"/>
                <w:iCs w:val="0"/>
                <w:color w:val="000000"/>
                <w:sz w:val="24"/>
                <w:szCs w:val="24"/>
                <w:u w:val="none"/>
                <w:lang w:val="en-US" w:eastAsia="zh-CN" w:bidi="ar"/>
              </w:rPr>
              <w:t xml:space="preserve">综合风险指数&gt;=90），当指标值满足条件时触发预警。趋势触发：用户选择趋势分析指标（如风险趋势斜率、连续上升期数），设定条件（如连续上升&gt;=3期、趋势斜率&gt;0.5），用于识别正在恶化的风险对象。组合触发：用户通过与/或逻辑组合同一对象的多个条件（如综合风险指数&gt;=80且存在2条以上超期未改的重大隐患），使用树形控件可视化编辑条件组合。配置规则的适用对象范围（全部单位/指定业态/指定区域/指定标签组合），选择输出预警等级（红/橙/黄/蓝）。每条规则保存时进行语法校验和逻辑冲突检测（如条件自相矛盾则提示修改）。</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预警规则测试与版本管理</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提供规则沙箱测试功能：用户选择一条规则后，</w:t>
            </w:r>
            <w:r>
              <w:rPr>
                <w:rFonts w:hint="eastAsia" w:ascii="宋体" w:hAnsi="宋体" w:eastAsia="宋体" w:cs="宋体"/>
                <w:i w:val="0"/>
                <w:iCs w:val="0"/>
                <w:color w:val="000000"/>
                <w:sz w:val="24"/>
                <w:szCs w:val="24"/>
                <w:u w:val="none"/>
                <w:lang w:val="en-US" w:eastAsia="zh-CN" w:bidi="ar"/>
              </w:rPr>
              <w:t xml:space="preserve">可选择历史某个日期作为测试基准日，系统加载该日期的数据快照，模拟执行该规则在当前生产环境中运行的效果，返回命中单位列表（前50条，含单位名称、触发条件满足详情、建议预警等级、当前风险指数），帮助用户在正式启用前验证规则的合理性和命中范围。支持规则的双版本管理：每条规则维护草稿版本和正式版本两个副本。用户在草稿版本上编辑和测试，确认无误后点击发布按钮，正式版本被草稿版本覆盖。系统保留最近5个正式版本的历史记录（含版本号、发布时间、发布人、规则内容快照），提供版本回滚功能。发布操作记录到规则发布日志表用于审计。</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预警规则启用/停用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每条规则有启用开关，停用的规则不参与扫描。</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44</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预警扫描定时调度引擎</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实现每分钟执行一次的预警扫描定时任务（使用调度任务注解配置调度表达式）。任务流程：从数据库查询所有启用状态且为正式版本的预警规则→按规则类型分组→使</w:t>
            </w:r>
            <w:r>
              <w:rPr>
                <w:rFonts w:hint="eastAsia" w:ascii="宋体" w:hAnsi="宋体" w:eastAsia="宋体" w:cs="宋体"/>
                <w:i w:val="0"/>
                <w:iCs w:val="0"/>
                <w:color w:val="000000"/>
                <w:sz w:val="24"/>
                <w:szCs w:val="24"/>
                <w:u w:val="none"/>
                <w:lang w:val="en-US" w:eastAsia="zh-CN" w:bidi="ar"/>
              </w:rPr>
              <w:t xml:space="preserve">用线程池并行执行各类规则的扫描。阈值类规则直接对风险指数存储表执行数据检索查询（如条件过滤 风险分数&gt;=90）获取命中单位列表。趋势类规则表关联 风险趋势数据表查询满足趋势条件的单位。组合类规则递归解析与/或条件树，逐层构建SQL子查询，最终合并结果。所有命中结果去重后批量写入预警记录表（字段包括预警编号、目标类型、目标标识、预警等级、规则标识、规则名称、触发原因、触发值、快照数据（数据交换格式格式存储触发时单位的关键数据快照）、触发时间、状态（待审核））。每轮扫描记录执行日志（规则数、扫描耗时、命中数）。</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45</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预警审核工作台</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提供预警审核工作台页面。页面左侧为待审核预警列表，按预警等级排列（红色预警置顶高亮显示、橙色预警次之、黄色再次、蓝色最末），每条预警显示预警对象名称、预警等级色标、触发规则名称、触发时间</w:t>
            </w:r>
            <w:r>
              <w:rPr>
                <w:rFonts w:hint="eastAsia" w:ascii="宋体" w:hAnsi="宋体" w:eastAsia="宋体" w:cs="宋体"/>
                <w:i w:val="0"/>
                <w:iCs w:val="0"/>
                <w:color w:val="000000"/>
                <w:sz w:val="24"/>
                <w:szCs w:val="24"/>
                <w:u w:val="none"/>
                <w:lang w:val="en-US" w:eastAsia="zh-CN" w:bidi="ar"/>
              </w:rPr>
              <w:t xml:space="preserve">（格式化为X分钟前/X小时前）。点击某条预警后右侧详情面板展示：预警对象基本信息（名称/地址/业态/风险等级）、触发规则的详细解释（哪条规则、哪些具体条件被满足、当前实际值vs阈值）、风险趋势迷你折线图（近3个月）、建议处置措施（系统根据预警类型自动推荐）。审核操作栏提供两个按钮：确认发布（预警状态变为已发布，进入推送环节）、忽略预警（弹出原因选择下拉框：系统误报/信息不准确/已在处理中/其他，填写忽略原因后预警状态变为已忽略，该忽略记录纳入预警规则效果评估）。支持批量审核功能（多选预警后一键确认或忽略）。</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预警分级与颜色标识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预警等级红橙黄蓝对应不同颜色背景，红色预警需要立即响应。前端列表根据等级高亮显示。</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47</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预警等级配置与多渠道推送</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实现预警等级的后台配置管理页面。管理员可配置红/橙/黄/蓝四个等级的响应时限（红24小时、橙48小时、黄72小时、蓝无强制时限）、是否必须响应、默认推送渠道（短信/APP通知/微信模板消息三种</w:t>
            </w:r>
            <w:r>
              <w:rPr>
                <w:rFonts w:hint="eastAsia" w:ascii="宋体" w:hAnsi="宋体" w:eastAsia="宋体" w:cs="宋体"/>
                <w:i w:val="0"/>
                <w:iCs w:val="0"/>
                <w:color w:val="000000"/>
                <w:sz w:val="24"/>
                <w:szCs w:val="24"/>
                <w:u w:val="none"/>
                <w:lang w:val="en-US" w:eastAsia="zh-CN" w:bidi="ar"/>
              </w:rPr>
              <w:t xml:space="preserve">渠道可多选）。配置修改后实时生效（写入预警等级配置表并刷新缓存数据库缓存）。多渠道推送服务：集成短信服务开发工具包（发送模板短信，模板内容含预警对象名称、预警等级、触发原因简要描述和查看详情链接）、极光推送消息推送服务 开发工具包（APP通知栏消息，点击后跳转至预警详情页）、微信模板消息接口（适用于已关注消防公众号的责任人）。推送前根据预警对象ID查询对应的责任人手机号/设备令牌/微信用户标识，统一调用提交 /预警推送接口接口进行批量推送。每次推送记录推送状态（已发送/已到达/已读/发送失败）到推送日志表。</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预警响应时限配置</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管理员可为不同等级预警配置响应时限（红：24小时，橙：48小时，黄：72小时，蓝：不强制）。配置存储在系统参数表。</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49</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预警响应确认与处置反馈</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责任人接收到预警推送后，点击通知进入APP端的预警详情页，页面展示预警信息（预警对象名称、风险等级、触发原因、当前</w:t>
            </w:r>
            <w:r>
              <w:rPr>
                <w:rFonts w:hint="eastAsia" w:ascii="宋体" w:hAnsi="宋体" w:eastAsia="宋体" w:cs="宋体"/>
                <w:i w:val="0"/>
                <w:iCs w:val="0"/>
                <w:color w:val="000000"/>
                <w:sz w:val="24"/>
                <w:szCs w:val="24"/>
                <w:u w:val="none"/>
                <w:lang w:val="en-US" w:eastAsia="zh-CN" w:bidi="ar"/>
              </w:rPr>
              <w:t xml:space="preserve">风险值、建议处置措施）和一个醒目的确认接收按钮。点击确认接收后系统记录接收时间（调用PUT /预警确认接口接口），预警状态变为已接收。责任人需在规定时限内（按预警等级对应的响应时限）填写处置反馈：文字描述处置措施（如已安排消防监督检查、已约谈单位负责人、已纳入重点监管清单等），上传现场照片作为处置证据，提交后预警状态变为已处置。处置反馈自动推送给预警发布人（审核人）进行闭环确认。APP端在预警列表中以不同状态标签（待确认/已确认/处置中/已处置/超时未处置）进行区分展示，超时未处置的预警用红色标记闪烁提醒。</w:t>
            </w:r>
            <w:r/>
          </w:p>
        </w:tc>
      </w:tr>
      <w:tr>
        <w:trPr>
          <w:trHeight w:val="68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50</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超时自动升级督办机制</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实现定时扫描超时预警的定</w:t>
            </w:r>
            <w:r>
              <w:rPr>
                <w:rFonts w:hint="eastAsia" w:ascii="宋体" w:hAnsi="宋体" w:eastAsia="宋体" w:cs="宋体"/>
                <w:i w:val="0"/>
                <w:iCs w:val="0"/>
                <w:color w:val="000000"/>
                <w:sz w:val="24"/>
                <w:szCs w:val="24"/>
                <w:u w:val="none"/>
                <w:lang w:val="en-US" w:eastAsia="zh-CN" w:bidi="ar"/>
              </w:rPr>
              <w:t xml:space="preserve">时任务（每10分钟执行一次）。扫描逻辑：查询所有状态为已发布或已确认但未在响应时限内完成处置的预警记录。根据超时时长执行分级升级处理：超时&lt;3小时且未确认的预警，向责任人发送短信提醒；超时3-12小时且未确认的预警，向责任人发送APP强提醒通知，同时抄送其直属上级（大队长）；超时超过12小时且未确认的预警，自动拨打语音电话通知支队分管领导。每次执行升级操作时记录升级日志（升级前级别、升级后级别、升级原因、升级时间、通知对象、通知渠道），确保全流程可追溯。连续两次升级后仍未处置的预警，纳入本月绩效考核扣分项。</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预警响应跟踪</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责任人收到预警后，在移动端或PC端可点击“确认接收”，记录接收时间。在规定时限内需填写处置措施（文字、照片）。系统自动计算响应时长，超时未确认则升级通知上级。</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超时自动升级</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定时任务每分钟检查超时未确认或未处置的预警，向上一级责任人发送提醒（短信+APP）。</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预警效果评估报表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每月统计预警命中率（发布预警后，对象风险确实恶化或发生事故的比例）、误报率、漏报率。使用统计匹配分析分析预警对风险变化的实际影响。报表以图表形式展示，支持导出文字文档/PDF。</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54</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预警命中率与误报率统计</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实现月度预警效果评估报表的自动生成定时任务（每月1日0:00执行）。统计维度：上月发布预警的总数、按等级分布的数量、按规则分布的数量。命中率计算：将预警发布名单与后续实际发生</w:t>
            </w:r>
            <w:r>
              <w:rPr>
                <w:rFonts w:hint="eastAsia" w:ascii="宋体" w:hAnsi="宋体" w:eastAsia="宋体" w:cs="宋体"/>
                <w:i w:val="0"/>
                <w:iCs w:val="0"/>
                <w:color w:val="000000"/>
                <w:sz w:val="24"/>
                <w:szCs w:val="24"/>
                <w:u w:val="none"/>
                <w:lang w:val="en-US" w:eastAsia="zh-CN" w:bidi="ar"/>
              </w:rPr>
              <w:t xml:space="preserve">的数据进行交叉比对。对比上月实际发生火灾的单位列表（从消防接处警系统获取），计算命中率=预警名单中实际发生火灾的单位数/预警名单单位总数。对比上月实际受到消防行政处罚的单位列表，计算处罚命中率=预警名单中实际被处罚的单位数/预警名单单位总数。误报率计算：预警名单中既未发生火灾也未受到处罚的单位占比。漏报率计算：实际发生火灾但未出现在任何预警名单中的单位数/实际发生火灾的总单位数。响应及时率统计：在规定的响应时限内完成确认和处置的预警占比。上述指标按月度生成趋势对比图（折线图），评估结果存储到预警评估报告表。</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55</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倾向得分匹配统计匹配分析干预效果评估</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采用统计匹配分析方法评估预警机制的实际干预效果。评估流程：将收到并响应了预警的单位设为干预组，将风险水平和特征相似但未收到预警的单位设为对照组（通过统计匹配分析匹配</w:t>
            </w:r>
            <w:r>
              <w:rPr>
                <w:rFonts w:hint="eastAsia" w:ascii="宋体" w:hAnsi="宋体" w:eastAsia="宋体" w:cs="宋体"/>
                <w:i w:val="0"/>
                <w:iCs w:val="0"/>
                <w:color w:val="000000"/>
                <w:sz w:val="24"/>
                <w:szCs w:val="24"/>
                <w:u w:val="none"/>
                <w:lang w:val="en-US" w:eastAsia="zh-CN" w:bidi="ar"/>
              </w:rPr>
              <w:t xml:space="preserve">）。使用统计回归分析模型计算每个单位的倾向得分（基于风险指数、业态、区域、历史隐患等特征），对干预组每个单位在对照组中寻找倾向得分最接近的单位进行一对一匹配（卡尺值匹配精度=0.2）。匹配后计算关注度（平均效应 处理组 处理效应 on the 处理组）即干预组的平均处理效应，量化预警机制对火灾风险的实际降低效果。生成倾向得分匹配评估报告：包含匹配前后的协变量平衡性检查表（标准化均值差标准化均值差异，&lt;0.1表示平衡良好）、关注度估计值及其95%置信区间。报告用于向财政部门和管理层证明预警投入的实际产出效果。</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四、重点对象识别与动态清单管理</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56</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多规则融合自动识别算法</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每日凌晨执行重点监管对象的自动识别定时任务。算法采用多条规则融合策略：规</w:t>
            </w:r>
            <w:r>
              <w:rPr>
                <w:rFonts w:hint="eastAsia" w:ascii="宋体" w:hAnsi="宋体" w:eastAsia="宋体" w:cs="宋体"/>
                <w:i w:val="0"/>
                <w:iCs w:val="0"/>
                <w:color w:val="000000"/>
                <w:sz w:val="24"/>
                <w:szCs w:val="24"/>
                <w:u w:val="none"/>
                <w:lang w:val="en-US" w:eastAsia="zh-CN" w:bidi="ar"/>
              </w:rPr>
              <w:t xml:space="preserve">则一（风险阈值法）——单位风险指数&gt;=90分（红色等级），直接纳入重点监管清单；规则二（趋势恶化法）——近三个月风险指数连续上升且当前处于橙色等级（&gt;=75分）的单位，虽未达红色但处于快速恶化通道，纳入清单；规则三（隐患叠加法）——存在重大火灾隐患且超过整改期限未完成整改的单位，不论风险指数高低均纳入清单；规则四（历史事件法）——近一年内发生过火灾事故的单位，纳入清单作为事后重点监管。四条规则的结果取并集去重后批量写入重点清单表（字段包括纳入日期、单位标识、纳入原因）。每条记录标注纳入原因代码便于后续追溯。</w:t>
            </w:r>
            <w:r/>
          </w:p>
        </w:tc>
      </w:tr>
      <w:tr>
        <w:trPr>
          <w:trHeight w:val="43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57</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动态进出标签标注与升级督办</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实现季度动态标签标注功能（每季度初触发）。对比本季度重点</w:t>
            </w:r>
            <w:r>
              <w:rPr>
                <w:rFonts w:hint="eastAsia" w:ascii="宋体" w:hAnsi="宋体" w:eastAsia="宋体" w:cs="宋体"/>
                <w:i w:val="0"/>
                <w:iCs w:val="0"/>
                <w:color w:val="000000"/>
                <w:sz w:val="24"/>
                <w:szCs w:val="24"/>
                <w:u w:val="none"/>
                <w:lang w:val="en-US" w:eastAsia="zh-CN" w:bidi="ar"/>
              </w:rPr>
              <w:t xml:space="preserve">清单与上季度清单：两个季度均在清单中的单位标注为持续高风险标签，本季度新增的单位标注为新进高风险标签，上季度在清单但本季度退出的单位标注为退出高风险标签。标签批量写入单位标签存储表并在重点清单管理页面中以不同颜色标记展示。对于持续高风险标签超过2个季度（即连续在清单中超过6个月）的单位，系统自动触发升级督办流程：生成升级督办工单，工单类型设为升级督办、优先级设为紧急，推送至支队分管领导待办。审批通过后自动抄送至对应的行业主管部门，同时纳入下季度消防专项执法计划。工单超时未审批的，每24小时自动升级提醒一次。</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重点清单版本存储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每次生成新清单时，将单位列表快照存储到重点清单历史快照表，保留历史版本，支持按时间回溯。</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重点清单展示与筛选</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默认展示最新版本清单，用户可切换历史版本。清单列表显示单位名称、风险等级、纳入原因、纳入时间。支持按区域、业态筛选。</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手动添加/移除</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在单位详情页，用户可手动将单位加入重点清单或移除，需填写原因。人工操作记录到重点清单人工操作记录表，优先级高于自动识别（手动添加的单位不会被自动移除）。</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清单变化对比分析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选择两个版本（如本周与上周），系统计算新增、移出、持续在榜单位，并分析变化原因（如风险上升、整改完成）。对比结果以表格和高亮形式展示。</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62</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专题模板管理与自定义筛选</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预置6类常用专题风险对象模板：高层建筑消防安全专题（筛选条件：业态=高层建筑）、老旧小区火灾</w:t>
            </w:r>
            <w:r>
              <w:rPr>
                <w:rFonts w:hint="eastAsia" w:ascii="宋体" w:hAnsi="宋体" w:eastAsia="宋体" w:cs="宋体"/>
                <w:i w:val="0"/>
                <w:iCs w:val="0"/>
                <w:color w:val="000000"/>
                <w:sz w:val="24"/>
                <w:szCs w:val="24"/>
                <w:u w:val="none"/>
                <w:lang w:val="en-US" w:eastAsia="zh-CN" w:bidi="ar"/>
              </w:rPr>
              <w:t xml:space="preserve">风险专题（筛选条件：建成年代&lt;2000年）、化工企业安全专题（筛选条件：业态=化工企业）、九小场所治理专题（筛选条件：建筑面积&lt;500平方米且非重点单位）、人员密集场所专题（筛选条件：业态属于商场/学校/医院/养老/娱乐任一）、文博单位保护专题（筛选条件：业态=文博单位）。用户可基于模板修改筛选条件后保存为自定义专题模板。筛选条件配置支持：业态多选、风险等级多选、标签组合（交集/并集）、区域范围选择、隐患类型筛选等。选择模板后点击生成清单按钮，系统根据筛选条件动态查询数据库，生成专题对象列表并展示在地图上。</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63</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清单导出与共享</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实现清单导出功能：将当前专题清单（含筛选条件和生成时间）中的单位列表导出为电子表格文件。导出的电子表格包含表头样式（冻结首行、自动列宽、筛选器）、交替行颜色、单位名称、地址、业态类型、风险等级（带色标）、风险指数、纳入清单的原因、责任主体信息等字段。电子表格文件生成后通过浏览器下载。提供清单分享功能：生成分享链接（含有效期设置），可通过系统消息发送给其他用户或通过邮件发送给外部协作部门（如行业主管部门），接收方点击链接即可查看清单内容（只读权限）。</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64</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清单版本快照自动存储</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每次执行重点监管对象自动识别定时任务或专题清单生成后，将完整的清单数据（单位ID列表、生成时间、纳入原因等）序列化为数据交换格式格式，全量快照存储到重点清单历史快照表中。前端提供日历控件供用户选择历史日期，选择后加载对应日期的清单版本进行展示。系统最多保留最近24个版本（约2年的月度数据），超出时自动归档最旧的版本到归档存储。每次快照存储时记录版本元数据：版本号（自增）、生成时间、生成方式（自动识别/人工生成）、生成操作人、清单类型（重点监管/专题清单）、包含单位数量。</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65</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版本差异对比分析报告</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选择任意两个清单版本（如本周vs上周）进行对比分析。系统计算三个集合：本版本有而</w:t>
            </w:r>
            <w:r>
              <w:rPr>
                <w:rFonts w:hint="eastAsia" w:ascii="宋体" w:hAnsi="宋体" w:eastAsia="宋体" w:cs="宋体"/>
                <w:i w:val="0"/>
                <w:iCs w:val="0"/>
                <w:color w:val="000000"/>
                <w:sz w:val="24"/>
                <w:szCs w:val="24"/>
                <w:u w:val="none"/>
                <w:lang w:val="en-US" w:eastAsia="zh-CN" w:bidi="ar"/>
              </w:rPr>
              <w:t xml:space="preserve">上版本无的单位列表（新增对象）、上版本有而本版本无的单位列表（移出对象）、两个版本均在的单位列表（持续在榜对象）。对比结果以三列并排表格展示，每列显示单位名称、风险等级、风险指数、变化情况说明。对新增对象自动标注新增原因（如风险指数从78上升至91触发红色阈值纳入）；对移出对象自动标注移出原因（如已完成隐患整改、风险指数下降至阈值以下）；对持续在榜对象标注风险变化趋势（风险上升/下降/持平以及变化幅度百分比）。对比结果可导出为对比分析报告（文字文档格式），报告包含三列表格、变化原因统计饼图、风险变化趋势图。</w:t>
            </w:r>
            <w:r/>
          </w:p>
        </w:tc>
      </w:tr>
      <w:tr>
        <w:trPr>
          <w:trHeight w:val="27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五、风险报告</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66</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报告模板可视化设计器</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提供拖拽式报告模板设计工具。左侧为组件面板，分类展示可用组件：封面样式</w:t>
            </w:r>
            <w:r>
              <w:rPr>
                <w:rFonts w:hint="eastAsia" w:ascii="宋体" w:hAnsi="宋体" w:eastAsia="宋体" w:cs="宋体"/>
                <w:i w:val="0"/>
                <w:iCs w:val="0"/>
                <w:color w:val="000000"/>
                <w:sz w:val="24"/>
                <w:szCs w:val="24"/>
                <w:u w:val="none"/>
                <w:lang w:val="en-US" w:eastAsia="zh-CN" w:bidi="ar"/>
              </w:rPr>
              <w:t xml:space="preserve">组件（3种预设封面布局可选）、目录占位组件、数据指标卡片组件（今日风险指数、高风险单位数、隐患在办数、本月火灾数等12种可选）、图表组件（风险趋势折线图、区域排名柱状图、隐患分布饼图、预警统计雷达图等10+种可选）、文字说明区组件。用户从面板拖拽组件到中间画布区域，可自由调整组件位置和大小。右侧为属性配置面板：选中画布上某组件后，可配置其数据源绑定（选择数据指标或图表类型）、样式参数（标题、颜色主题、字体大小）、刷新策略（静态快照/动态实时）。模板设计完成后保存为数据交换格式 数据结构格式存储到报告模板表。</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风险报告模板管理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用户可设计多种报告模板（日报/周报/月报/季报/年报），模板包含封面、目录、图表占位符、文字说明占位符。支持上传文字文档模板，系统解析占位符。</w:t>
            </w:r>
            <w:r/>
          </w:p>
        </w:tc>
      </w:tr>
      <w:tr>
        <w:trPr>
          <w:trHeight w:val="7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68</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报告数据查询与文档生成引擎</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根据用户选择的报告模板和参数（报告时间范围、区域范围），启动报告生成引擎。引擎解析模板数据交换格式 数据结构，提取所有数据组件的数据源配置，批量构建SQL查询语句。SQL查询涉及多表关联（风险指数存储表、预警记录表、重点清单表、</w:t>
            </w:r>
            <w:r>
              <w:rPr>
                <w:rFonts w:hint="eastAsia" w:ascii="宋体" w:hAnsi="宋体" w:eastAsia="宋体" w:cs="宋体"/>
                <w:i w:val="0"/>
                <w:iCs w:val="0"/>
                <w:color w:val="000000"/>
                <w:sz w:val="24"/>
                <w:szCs w:val="24"/>
                <w:u w:val="none"/>
                <w:lang w:val="en-US" w:eastAsia="zh-CN" w:bidi="ar"/>
              </w:rPr>
              <w:t xml:space="preserve">隐患记录表等），计算报告所需的各类指标：均值（全市/各区风险指数均值）、环比（与上期对比的变化百分比）、同比（与去年同期对比）、排名（各区县/各业态风险排名）、前N项（高风险单位前十）等。查询结果按模板中的占位符位置进行数据填充。调用数据处理脚本-文档格式库生成文字文档文档：封面页（含标题、报告周期、生成日期、生成单位）、目录页（自动生成页码导航）、正文内容（各数据卡片和图表的文字描述与数据分析解读）。图表以图片形式插入到文字文档文档中对应位置。文字文档文档生成后调用文档转换服务命令行工具转换为PDF格式。</w:t>
            </w:r>
            <w:r/>
          </w:p>
        </w:tc>
      </w:tr>
      <w:tr>
        <w:trPr>
          <w:trHeight w:val="63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报告数据自动填充</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用户选择模板和时间范围，点击“生成报告”。后端查询风险指数表、预警表、重点清单表等，计算报告所需指标（全市平均风险、高风险单位前十、风险趋势变化、预警统计等），并生成图表（使用图表渲染组件服务端渲染）。然后填充到文字文档模板中，生成最终文档。</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报告导出（文字文档/PDF）</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提供“下载文字文档”和“下载PDF”按钮。文字文档使用文档生成组件生成，PDF使用PDF转换组件。</w:t>
            </w:r>
            <w:r/>
          </w:p>
        </w:tc>
      </w:tr>
      <w:tr>
        <w:trPr>
          <w:trHeight w:val="6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71</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定时生成与多渠道分发</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配置报告定时自动生成策略：设置报告类型（日报/周报/月报/季报/年报）、生成时间（日报每日8:00生成前一日报告，周报每周一8:00生成上周报告，以此类推）、报告模板、默认收件人列表。</w:t>
            </w:r>
            <w:r>
              <w:rPr>
                <w:rFonts w:hint="eastAsia" w:ascii="宋体" w:hAnsi="宋体" w:eastAsia="宋体" w:cs="宋体"/>
                <w:i w:val="0"/>
                <w:iCs w:val="0"/>
                <w:color w:val="000000"/>
                <w:sz w:val="24"/>
                <w:szCs w:val="24"/>
                <w:u w:val="none"/>
                <w:lang w:val="en-US" w:eastAsia="zh-CN" w:bidi="ar"/>
              </w:rPr>
              <w:t xml:space="preserve">到达生成时间后，定时任务自动触发报告生成引擎完成报告制作。生成完成后通过以下渠道分发：邮件分发（将PDF报告作为附件发送至配置的收件人列表，支持按角色分组：支队领导/科室负责人/大队长/全体监督员，每人收到定制化内容）、系统内消息推送（在系统消息中心推送报告生成通知，附下载链接）、移动端推送（在APP通知栏推送报告摘要，点击可查看完整报告）。用户可在个人设置中订阅关注的报告类型，有新报告时自动通知。历史报告存档管理：所有生成的报告以PDF格式存储在对象存储中，支持按时间、类型、区域检索和下载，至少保留3年。</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72</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多图表组件库与看板自定义</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封装基于可视化图表组件的消防主题可视化图表组件库，包括10+种图表</w:t>
            </w:r>
            <w:r>
              <w:rPr>
                <w:rFonts w:hint="eastAsia" w:ascii="宋体" w:hAnsi="宋体" w:eastAsia="宋体" w:cs="宋体"/>
                <w:i w:val="0"/>
                <w:iCs w:val="0"/>
                <w:color w:val="000000"/>
                <w:sz w:val="24"/>
                <w:szCs w:val="24"/>
                <w:u w:val="none"/>
                <w:lang w:val="en-US" w:eastAsia="zh-CN" w:bidi="ar"/>
              </w:rPr>
              <w:t xml:space="preserve">类型：风险四色地图（基于天地图底图+自定义图层渲染）、时间序列折线图（风险指数/隐患数量等趋势展示）、排名柱状图（区域/行业/单位排名）、构成饼图（隐患类型/风险等级分布）、多维雷达图（五维风险评估）、热力图（隐患密度/执法力度时空分布）、散点图（风险vs检查频次关联分析）、仪表盘（核心指标实时监控）、漏斗图（隐患发现到销号的转化率）、桑基图（隐患来源到处置路径的流向）。提供看板自定义功能：用户可创建个人看板，从组件库中选择需要展示的图表组件拖入看板，自由布局排列，保存为个人看板配置。支持多个看板之间切换。</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数据可视化看板-自定义布局</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用户可拖拽组件（风险地图、趋势图、排行榜等）自由布局看板，支持保存多个布局方案。布局配置存储到看板布局配置表。</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钻取分析-地图下钻</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点击地图上的区县，自动下钻到该区县的风险详情，包括区域风险指数、高风险单位列表、隐患热力图。下钻时URL更新，支持分享链接。</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钻取分析-图表下钻</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点击柱状图或饼图的某一区域（如高风险单位前十中的某单位），右侧弹出该单位的详情卡片，展示风险指数、趋势、隐患列表。</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76</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多级数据下钻分析</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实现从宏观到微观的多级数据下钻分析功能。用户在综合态</w:t>
            </w:r>
            <w:r>
              <w:rPr>
                <w:rFonts w:hint="eastAsia" w:ascii="宋体" w:hAnsi="宋体" w:eastAsia="宋体" w:cs="宋体"/>
                <w:i w:val="0"/>
                <w:iCs w:val="0"/>
                <w:color w:val="000000"/>
                <w:sz w:val="24"/>
                <w:szCs w:val="24"/>
                <w:u w:val="none"/>
                <w:lang w:val="en-US" w:eastAsia="zh-CN" w:bidi="ar"/>
              </w:rPr>
              <w:t xml:space="preserve">势看板中点击任意图表的数据区域（如区域排名柱状图中的某个区县柱体），系统弹出下钻维度选择菜单（按业态下钻、按街道下钻、按隐患类型下钻）。选择下钻维度后，前端发起新的数据查询请求（携带当前筛选条件+下钻维度参数），后端构建带分组汇总和条件过滤条件的聚合查询，返回下一层级的数据，前端图表动态更新为下钻后的数据视图。支持多级连续下钻：全市→区县→街道→社区→具体单位列表，每次下钻自动记录下钻路径（面包屑导航），用户可随时点击面包屑回到上一层级。下钻到底层的具体单位列表时，点击单位名称跳转至该单位的风险画像详情页。</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六、对外数据服务接口</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接口认证与授权</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基于标准认证协议实现客户端认证，提供令牌颁发、刷新、校验接口。支持客户端凭证模式。</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单位风险指数查询接口</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单位风险查询接口，参数：单位标识（单位唯一编号），返回风险指数、等级、百分位排名。接口需校验令牌和权限（数据范围）。</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区域风险排行接口</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区域风险排行接口，参数：区域层级（区/街道/社区），返回排名列表。</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重点监管清单接口</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重点监管清单接口，返回当前重点监管单位列表（单位ID、名称、风险等级）。支持分页。</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预警信息接口</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预警信息查询接口，参数：开始时间、结束时间、预警等级，返回预警记录。</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82</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Webhook数据订阅与推送</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实现基于Webhook的数据订阅推送机制。外部系统可注册Webhook订阅：调用Webhook注册接口接口，提供订阅URL、订阅事件类型（风险变化风险变化通知、预警发布预警发布通知、清单更新重点清单更新通知），注册成功后返回订阅标</w:t>
            </w:r>
            <w:r>
              <w:rPr>
                <w:rFonts w:hint="eastAsia" w:ascii="宋体" w:hAnsi="宋体" w:eastAsia="宋体" w:cs="宋体"/>
                <w:i w:val="0"/>
                <w:iCs w:val="0"/>
                <w:color w:val="000000"/>
                <w:sz w:val="24"/>
                <w:szCs w:val="24"/>
                <w:u w:val="none"/>
                <w:lang w:val="en-US" w:eastAsia="zh-CN" w:bidi="ar"/>
              </w:rPr>
              <w:t xml:space="preserve">识。当系统内部发生对应事件时（如某个单位的风险等级从橙色变为红色），事件触发器自动异步执行推送：将事件数据（含事件类型、事件时间、目标对象信息、变更前后数据对比）序列化为数据交换格式格式，通过网络协议 提交请求发送到注册的订阅URL。推送记录写入Webhook调用日志表（字段：订阅标识、事件类型、推送时间、响应状态、响应内容、重试次数）。失败自动重试机制：采用指数退避策略（首次失败1分钟后重试、第二次5分钟后、第三次30分钟后），最多重试3次。若连续失败超过10次，自动暂停该订阅并发送邮件通知订阅方管理员。</w:t>
            </w:r>
            <w:r/>
          </w:p>
        </w:tc>
      </w:tr>
      <w:tr>
        <w:trPr>
          <w:trHeight w:val="1016"/>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83</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标准接口风格数据接口开发</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开发标准化的对外数据服务接口接口，供其他业务系统和外部平台调用消防安全风险研判数据。接口列表包括：GET /区域风险开放接口（区域风险聚合数据，支持区域编码、等级参数筛选）、GET /风险排行开放接口（风险排名数据，支持返回条数、区域编码参数）、GET /统计查询开放接口（概览统计数据，返回核</w:t>
            </w:r>
            <w:r>
              <w:rPr>
                <w:rFonts w:hint="eastAsia" w:ascii="宋体" w:hAnsi="宋体" w:eastAsia="宋体" w:cs="宋体"/>
                <w:i w:val="0"/>
                <w:iCs w:val="0"/>
                <w:color w:val="000000"/>
                <w:sz w:val="24"/>
                <w:szCs w:val="24"/>
                <w:u w:val="none"/>
                <w:lang w:val="en-US" w:eastAsia="zh-CN" w:bidi="ar"/>
              </w:rPr>
              <w:t xml:space="preserve">心指标卡片数据）、GET /重点清单开放接口（重点监管清单数据）。所有接口遵循标准接口风格规范，返回数据交换格式格式数据。实现接口安全鉴权机制：采用应用标识+消息认证码-哈希算法签名验证方式，每个调用方分配唯一的应用标识和应用密钥，请求时需携带时间戳、随机数随机数和签名签名字段，服务端验证签名有效性。实现调用频率限制：使用令牌桶算法（访问频率控制），每个应用标识默认限制100次/分钟，超限返回429状态码。提供接口文档工具在线接口文档，文档自动从代码注解生成，包含接口说明、请求参数、响应示例和在线调试功能。</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接口限流</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使用缓存数据库实现令牌桶限流，对每个客户端标识限制每秒100次请求。超过限流返回429状态码。</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接口文档自动生成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集成接口文档工具，自动生成在线文档，支持测试调用。</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七、数据准备与人工工作</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历史数据清洗（人工）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人工清洗近5年的监督检查记录、隐患记录、火灾警情、物联网告警等数据，处理缺失值、异常值、重复记录。涉及数据量约数百万条。</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风险模型训练样本标注（人工）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消防专家根据历史火灾和隐患严重程度，对一批单位标注风险等级（高/中/低）。标注过程需提供标注指南，并进行一致性检验。</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业态差异化基准线确定（人工）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与业务专家研讨，确定12种业态的指标基准线（如化工行业的事故风险基准线较高）</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预警规则初始配置（人工）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根据业务经验配置50条预警规则，包括阈值、趋势条件等，并进行回测验证，调整参数以减少误报。</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特征工程-特征衍生（人工）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设计并实现新的衍生特征，如隐患复发率（某单位同一类隐患再次出现的比例）、整改平均时长等。需要编写SQL或数据处理脚本脚本。</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异常模式标注（人工）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对异常检测模型识别出的异常单位进行人工复核，标注是否为真实异常，用于模型优化。每月约100条。</w:t>
            </w:r>
            <w:r/>
          </w:p>
        </w:tc>
      </w:tr>
      <w:tr>
        <w:trPr>
          <w:trHeight w:val="420"/>
        </w:trPr>
        <w:tc>
          <w:tcPr>
            <w:gridSpan w:val="2"/>
            <w:shd w:val="clear" w:color="auto" w:fill="auto"/>
            <w:tcW w:w="1610" w:type="pct"/>
            <w:vAlign w:val="center"/>
            <w:textDirection w:val="lrTb"/>
            <w:noWrap/>
          </w:tcPr>
          <w:p>
            <w:pPr>
              <w:jc w:val="center"/>
              <w:widowControl/>
              <w:rPr>
                <w:rFonts w:hint="eastAsia" w:ascii="宋体" w:hAnsi="宋体" w:eastAsia="宋体" w:cs="宋体"/>
                <w:color w:val="0f1115"/>
                <w:sz w:val="24"/>
                <w:szCs w:val="24"/>
                <w:lang w:val="en-US" w:eastAsia="zh-CN" w:bidi="ar"/>
              </w:rPr>
            </w:pPr>
            <w:r>
              <w:rPr>
                <w:rFonts w:hint="eastAsia" w:ascii="宋体" w:hAnsi="宋体" w:cs="宋体"/>
                <w:b/>
                <w:bCs/>
                <w:color w:val="0f1115"/>
                <w:sz w:val="24"/>
                <w:szCs w:val="24"/>
                <w:lang w:val="en-US" w:eastAsia="zh-CN" w:bidi="ar"/>
              </w:rPr>
              <w:t xml:space="preserve">演示内容</w:t>
            </w:r>
            <w:r/>
          </w:p>
        </w:tc>
        <w:tc>
          <w:tcPr>
            <w:shd w:val="clear" w:color="auto" w:fill="ffffff"/>
            <w:tcW w:w="3389" w:type="pct"/>
            <w:vAlign w:val="center"/>
            <w:textDirection w:val="lrTb"/>
            <w:noWrap w:val="false"/>
          </w:tcPr>
          <w:p>
            <w:pPr>
              <w:jc w:val="left"/>
              <w:widowControl/>
              <w:rPr>
                <w:rFonts w:hint="eastAsia" w:ascii="宋体" w:hAnsi="宋体" w:cs="宋体"/>
                <w:color w:val="0f1115"/>
                <w:sz w:val="24"/>
                <w:szCs w:val="24"/>
                <w:lang w:bidi="ar"/>
              </w:rPr>
            </w:pPr>
            <w:r>
              <w:rPr>
                <w:rFonts w:hint="eastAsia" w:ascii="宋体" w:hAnsi="宋体" w:cs="宋体"/>
                <w:color w:val="c00000"/>
                <w:sz w:val="24"/>
                <w:szCs w:val="24"/>
                <w:lang w:bidi="ar"/>
              </w:rPr>
              <w:t xml:space="preserve">包含①单位/区域/行业多维度风险指数计算与展示，演示输入任意单位或区域后系统自动计算综合风险指数、维度得分拆解及行业排名；②风险变化趋势分析与可解释分析，演示历史风险指数趋势曲线、各维度贡献比例拆解、主要驱动因子排序及同类对象对标对比。</w:t>
            </w:r>
            <w:r/>
          </w:p>
        </w:tc>
      </w:tr>
      <w:tr>
        <w:trPr>
          <w:trHeight w:val="654"/>
        </w:trPr>
        <w:tc>
          <w:tcPr>
            <w:gridSpan w:val="3"/>
            <w:shd w:val="clear" w:color="auto" w:fill="auto"/>
            <w:tcW w:w="5000" w:type="pct"/>
            <w:vAlign w:val="center"/>
            <w:textDirection w:val="lrTb"/>
            <w:noWrap/>
          </w:tcPr>
          <w:p>
            <w:pPr>
              <w:jc w:val="left"/>
              <w:widowControl/>
              <w:rPr>
                <w:rFonts w:ascii="宋体" w:hAnsi="宋体" w:cs="宋体"/>
                <w:b/>
                <w:bCs/>
                <w:color w:val="0f1115"/>
                <w:sz w:val="24"/>
                <w:szCs w:val="24"/>
              </w:rPr>
            </w:pPr>
            <w:r>
              <w:rPr>
                <w:rFonts w:hint="eastAsia" w:ascii="宋体" w:hAnsi="宋体" w:cs="宋体"/>
                <w:b/>
                <w:bCs/>
                <w:color w:val="0f1115"/>
                <w:sz w:val="24"/>
                <w:szCs w:val="24"/>
                <w:lang w:bidi="ar"/>
              </w:rPr>
              <w:t xml:space="preserve">隐患治理协同闭环模块</w:t>
            </w:r>
            <w:r/>
          </w:p>
        </w:tc>
      </w:tr>
      <w:tr>
        <w:trPr>
          <w:trHeight w:val="27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一、基础支撑功能</w:t>
            </w:r>
            <w:r/>
          </w:p>
        </w:tc>
      </w:tr>
      <w:tr>
        <w:trPr>
          <w:trHeight w:val="84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隐患分类分级标准管理-分类树维护</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系统预设4个一级分类（建筑防火、消防设施、安全管理、电气燃气），每个一级分类下可添加二级、三级细类，总细类不少于50个。用户可通过树形结构界面进行增删改查操作，支持拖拽调整层级顺序。后台使用父级标识字段实现无限级树形存储，提供递归查询接口获取完整树结构。删除分类时需检查是否已被隐患引用，若有引用则阻止删除并提示。支持电子表格导入导出分类模板，批量更新。</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93</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隐患四级分类编码体系维护</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建立统一的隐患四级分类编码体系。一级分类包含5大类：建筑防火类（对应消防通道、防火分区、疏散设施等）、消防设施类（对应自动灭火系统、报警系统、消火</w:t>
            </w:r>
            <w:r>
              <w:rPr>
                <w:rFonts w:hint="eastAsia" w:ascii="宋体" w:hAnsi="宋体" w:eastAsia="宋体" w:cs="宋体"/>
                <w:i w:val="0"/>
                <w:iCs w:val="0"/>
                <w:color w:val="000000"/>
                <w:sz w:val="24"/>
                <w:szCs w:val="24"/>
                <w:u w:val="none"/>
                <w:lang w:val="en-US" w:eastAsia="zh-CN" w:bidi="ar"/>
              </w:rPr>
              <w:t xml:space="preserve">栓系统等）、安全管理类（对应值班制度、巡查检查、培训演练等）、电气燃气类（对应电气线路、燃气管道、用火用电等）、其他类。二级分类在一级下细分，如建筑防火类下设安全出口、疏散通道、防火门、防火卷帘、消防车道等15类。三级分类在二级下进一步细分，共计52类。四级为最细粒度的具体隐患描述，共计256+条，如疏散通道堆放杂物、防火门闭门器损坏、消火栓被遮挡等。提供分类树可视化编辑界面，支持拖拽节点调整层级关系，右键菜单增删改节点，按编码快速检索定位。支持电子表格批量导入分类数据（含校验规则）。每次修改记录操作日志。</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94</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隐患三级严重程度判定规则配置</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配置隐患严重程度的三级</w:t>
            </w:r>
            <w:r>
              <w:rPr>
                <w:rFonts w:hint="eastAsia" w:ascii="宋体" w:hAnsi="宋体" w:eastAsia="宋体" w:cs="宋体"/>
                <w:i w:val="0"/>
                <w:iCs w:val="0"/>
                <w:color w:val="000000"/>
                <w:sz w:val="24"/>
                <w:szCs w:val="24"/>
                <w:u w:val="none"/>
                <w:lang w:val="en-US" w:eastAsia="zh-CN" w:bidi="ar"/>
              </w:rPr>
              <w:t xml:space="preserve">判定规则：重大隐患（同时满足三个条件：涉及人员密集场所、可能导致群死群伤或重大财产损失、整改难度大需要停业或局部停业的隐患）；一般隐患（不涉及重大风险，但需要在规定期限内完成整改的隐患，如消防设施单项故障、疏散指示标志缺失等）；轻微隐患（可以当场立即整改的隐患，如个别灭火器压力不足、临时堆放的少量杂物等）。提供可视化规则配置界面，支持条件组合：隐患类型（从四级分类树中选择）+适用场所类型（人员密集场所/高层建筑/地下建筑等）+可能后果（群死群伤/重大损失/一般影响）=判定等级。配置修改后记录版本和变更原因。</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95</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三类责任人信息管理</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为每个消防对象（社会单位、住宅小区、九小场所）维护三类责任人的详细信息。消防安全责任人：通常为单位的法定代表人或主要负责人，记录姓名、职务、手机号码、身份证号。消防安全管理人：通常为安全经理或分管安全的副职，记录姓名、职务、手机号码、资质证书编号（如有消防工程师证等）。属地监管责任人：根据单位所在地自动匹配或手动指定对应的消防监督员、片区民警、行业主管部门联系人。提供三类责任人的增删改查功能，支持从电子表格批量导入责任人信息。责任人变更记录完整历史（谁、何时、从什么变为什么），用于履职追溯。</w:t>
            </w:r>
            <w:r/>
          </w:p>
        </w:tc>
      </w:tr>
      <w:tr>
        <w:trPr>
          <w:trHeight w:val="63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任务规则引擎配置-派单规则定义</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用户可配置派单规则：基于隐患类型、单位业态、隐患等级等条件，映射到处置责任主体类型（物业/维保/单位安全经理/街道/行业部门）。每条规则可设置处置时限（如重大隐患24小时，一般隐患72小时）。规则支持优先级，高优先级规则优先匹配。规则存储为数据交换格式，并支持测试（输入隐患类型，输出建议责任人）。</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二、隐患全生命周期闭环管理</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97</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消防监督检查隐患同步接入</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对接驯火系统接口，实时同步消防监督检查过程中发现的隐患记录。技术实现：采用数据变更捕获（变更 Data 变更捕获）机制监听驯火系统数据库</w:t>
            </w:r>
            <w:r>
              <w:rPr>
                <w:rFonts w:hint="eastAsia" w:ascii="宋体" w:hAnsi="宋体" w:eastAsia="宋体" w:cs="宋体"/>
                <w:i w:val="0"/>
                <w:iCs w:val="0"/>
                <w:color w:val="000000"/>
                <w:sz w:val="24"/>
                <w:szCs w:val="24"/>
                <w:u w:val="none"/>
                <w:lang w:val="en-US" w:eastAsia="zh-CN" w:bidi="ar"/>
              </w:rPr>
              <w:t xml:space="preserve">的数据库变更日志变更日志，当监督员在驯火系统中录入新的检查记录和隐患信息后，增量数据在30秒内同步到本系统的隐患池中。每日凌晨2:00执行全量对账任务：将驯火系统中近3天的所有隐患记录ID列表与本系统隐患池中的来源ID进行比对，发现缺失的记录自动补录，确保不漏单、不重单。同步数据字段包括：隐患来源标识（驯火系统+检查记录编号）、隐患描述原文、隐患类型标签、检查单位、检查时间、检查人员、现场照片URL、GPS坐标。同步失败的隐患记录进入重试队列，采用指数退避策略重试（1分钟/5分钟/30分钟），最多重试3次。</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98</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物联网告警自动转隐患</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监听消防设施联网监测平台推送的实时告警数据流（通过消息中间件消息队列消息主</w:t>
            </w:r>
            <w:r>
              <w:rPr>
                <w:rFonts w:hint="eastAsia" w:ascii="宋体" w:hAnsi="宋体" w:eastAsia="宋体" w:cs="宋体"/>
                <w:i w:val="0"/>
                <w:iCs w:val="0"/>
                <w:color w:val="000000"/>
                <w:sz w:val="24"/>
                <w:szCs w:val="24"/>
                <w:u w:val="none"/>
                <w:lang w:val="en-US" w:eastAsia="zh-CN" w:bidi="ar"/>
              </w:rPr>
              <w:t xml:space="preserve">题:物联告警）。配置自动转隐患的三类规则：高频重复告警规则（同一物联网设备在24小时内产生告警超过5次，表明设备可能存在持续性故障而非偶发误报，自动生成一条隐患工单）；持续未恢复告警规则（告警产生后超过48小时仍未恢复的设备告警，表明问题未被及时处理，自动生成隐患工单）；关键设备告警规则（消防水泵、火灾报警控制器、防排烟风机等关键消防设备的任何告警，不论次数直接生成隐患工单）。生成的隐患工单自动关联物联设备ID和告警ID，携带告警详情快照（告警类型、告警值、告警时间序列），便于后续核验人员了解设备异常全貌。</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灭火反馈隐患接入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从防消联勤系统获取灭火现场上报的隐患（如通道堵塞、水源问题）。系统接收后自动创建隐患，并标记来源为“灭火反馈”，优先级较高。</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100</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隐患智能去重与归并处理</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新入库的隐患记录在写入隐患池之前，系统自动执行去重检查。去重算法基于三个维度的相似度判断：单位维度（单位标识是否相同）、类型维度（隐患的</w:t>
            </w:r>
            <w:r>
              <w:rPr>
                <w:rFonts w:hint="eastAsia" w:ascii="宋体" w:hAnsi="宋体" w:eastAsia="宋体" w:cs="宋体"/>
                <w:i w:val="0"/>
                <w:iCs w:val="0"/>
                <w:color w:val="000000"/>
                <w:sz w:val="24"/>
                <w:szCs w:val="24"/>
                <w:u w:val="none"/>
                <w:lang w:val="en-US" w:eastAsia="zh-CN" w:bidi="ar"/>
              </w:rPr>
              <w:t xml:space="preserve">四级分类编码是否相同）、描述维度（隐患描述文本的文本相似度计算，通过分词后计算交集与并集的比值）。综合相似度=0.5*类型匹配（类型相同=1不同=0）+0.3*单位匹配+0.2*文本相似度。综合相似度&gt;0.8的判定为重复隐患，系统自动将新记录合并到已有隐患工单中（追加一条跟进记录，标注原上报来源和上报时间），不创建新工单。综合相似度在0.5-0.8之间的疑似重复隐患推送到人工判断列表，由监督员决定是合并还是独立创建。综合相似度&lt;0.5的作为新隐患独立入库。去重合并操作后，向所有相关的上报来源方发送合并通知。</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自然语言处理隐患自动分类</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使用文本分类模型，对隐患描述文本进行分类，归属到二级/三级隐患细类。模型需在已标注的5000条样本上训练，准确率≥85%。分类结果自动填充到隐患记录中。</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隐患唯一编号生成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隐患编号规则：年份（4位）+渠道代码（2位）+顺序号（8位）。渠道代码：01监督检查，02物联告警，03网格上报，04群众举报，05灭火反馈，06自查自报。顺序号按渠道独立自增。</w:t>
            </w:r>
            <w:r/>
          </w:p>
        </w:tc>
      </w:tr>
      <w:tr>
        <w:trPr>
          <w:trHeight w:val="30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隐患列表查询与筛选</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管理页面支持按渠道、隐患类型、等级、状态（待核实/待派单/整改中/待核验/已销号/超期）、区域、时间范围等多条件组合筛选。列表展示隐患编号、单位名称、隐患描述、等级、状态、发现时间、责任人。支持导出电子表格。后端需构建动态SQL，对常用筛选字段建立索引。</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104</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待核实隐患列表与筛选</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待核实隐患的统一工作列表页面。列表默认按上报时间倒序排列（最新上报排在最前），系统预判为重大隐患的记录自动置顶并红色高亮标注。每条记录显示：隐患来源标签（监督检查/物联网告警/12345举报/微信举报/灭火反馈，用不同颜色标签区分）、隐患类型（四级分类名称）、发生位置摘要、上报时间（格式化为X分钟前/X小时前）、预判严重程度。列表顶部提供多维度筛选工具栏：按隐患来源筛选、按隐患类型（一级分类）筛选、按区域筛选、按上报时间段筛选。支持批量勾选操作（全选本页/全选所有）。</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105</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隐患详情查看与核实操作</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点击列表中某条隐患记录，展开右侧详情面板。详情面板包含：上报来源的原始信息展示（如是12345举报则展示原始工单编号和市民描述原文；如是物联网告警则展示设备ID、告警类型和告警</w:t>
            </w:r>
            <w:r>
              <w:rPr>
                <w:rFonts w:hint="eastAsia" w:ascii="宋体" w:hAnsi="宋体" w:eastAsia="宋体" w:cs="宋体"/>
                <w:i w:val="0"/>
                <w:iCs w:val="0"/>
                <w:color w:val="000000"/>
                <w:sz w:val="24"/>
                <w:szCs w:val="24"/>
                <w:u w:val="none"/>
                <w:lang w:val="en-US" w:eastAsia="zh-CN" w:bidi="ar"/>
              </w:rPr>
              <w:t xml:space="preserve">时间序列图）、隐患描述全文、现场照片轮播预览、GPS地图定位标注。核实操作栏提供三个操作按钮：确认属实按钮（监督员确认该隐患真实存在，点击后隐患状态变为已核实，自动进入下一环节的派单流程，核实记录写入隐患核验记录表：核实人、核实时间、核实结果）；标记误报按钮（弹出下拉选择误报原因：重复上报/信息错误/测试数据/现场查无实据/其他，选择后关闭工单，误报记录纳入后续的误报率统计和规则优化参考）；退回补充按钮（对于信息不完整无法判断的举报，填写补充要求后发送回原上报渠道，要求补充现场照片或详细描述后再重新提交）。</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人工核实派单</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对于需要人工核实的隐患（如群众举报），系统自动派发给属地网格员或监督员，生成核实任务。派发规则基于隐患地址所属网格。核实任务推送到移动端，限时24小时完成。</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107</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派单人工确认与手动调整</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展示系统智能推荐的处置路径列表，每条路径显示：推荐</w:t>
            </w:r>
            <w:r>
              <w:rPr>
                <w:rFonts w:hint="eastAsia" w:ascii="宋体" w:hAnsi="宋体" w:eastAsia="宋体" w:cs="宋体"/>
                <w:i w:val="0"/>
                <w:iCs w:val="0"/>
                <w:color w:val="000000"/>
                <w:sz w:val="24"/>
                <w:szCs w:val="24"/>
                <w:u w:val="none"/>
                <w:lang w:val="en-US" w:eastAsia="zh-CN" w:bidi="ar"/>
              </w:rPr>
              <w:t xml:space="preserve">的处理单位（消防大队/街道/派出所/行业主管部门）、建议的具体责任人（根据责任主体库和当前人员任务负载情况智能匹配）、各处置环节的建议时限。派单人员审核后可进行确认或手动调整：确认推荐路径（一键确认，自动生成派单任务并发送通知）；手动调整（可更改处理单位、重新指定责任人、调整处置时限，调整时需从下拉列表选择调整原因或手动输入原因）。重大隐患的派单需经双人确认流程：监督员初审后提交，科长进行二次复核确认，两次确认通过后方可派发。所有派单操作（自动推荐/人工调整/审核确认）均记录完整的操作日志到操作审计日志表。</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移动端核实反馈</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网格员/监督员通过移动端接收任务，现场拍照、填写核实结论（属实/不属实/部分属实），提交。系统接收反馈后更新隐患状态为“已核实”，若属实则进入派单流程。</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隐患等级自动判定</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根据隐患分类和分级规则，自动判定重大/一般/轻微等级。同时结合单位风险指数，若单位本身为红色高风险，则隐患等级自动提升一级（如一般升为重大）。</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处置优先级计算</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综合隐患等级、单位风险指数、隐患历史复发情况（该单位同一类隐患曾出现次数）、整改难度（从历史数据估算），计算优先级（高/中/低）。优先级算法采用加权求和，权重可配置。</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无效隐患过滤</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自动识别重复上报、误报（如物联告警误报）、已整改的隐患，标记为“无效”，不进入闭环流程。过滤规则可配置（如短时间内同一设施多次告警只取首次）。</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智能派单-规则匹配</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根据隐患类型、单位业态、隐患等级、区域归属等条件，从责任主体库中匹配责任人。匹配算法基于规则引擎，支持多级规则（如先匹配单位内责任人，若无则匹配物业，再匹配街道）。返回责任人列表（可多人）。</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强化学习派单优化</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记录历史派单的响应时间、整改成功率、用户满意度，使用强化学习算法算法优化派单策略。状态：隐患特征，动作：派发给哪个责任人，奖励：响应时间短+整改成功+满意度高。定期（每月）训练更新策略。</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多部门协同任务生成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当隐患涉及多个部门时（如“三合一”场所涉及消防、公安、街道），自动生成协同任务，向所有相关部门派发。任务需汇总各部门处置结果，任一部门超时或驳回都会影响整体状态。</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重大隐患抄送</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重大隐患自动抄送上级监管部门和行业主管部门，通过系统消息和短信通知。抄送记录需留存。</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派单消息推送</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通过APP推送、短信、工作台待办通知责任人。推送内容包括隐患描述、单位、处置时限。支持推送失败重试（3次），超时未确认则升级通知其上级。</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派单超时未确认升级</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派单后15分钟内责任人未确认接收，自动通知其上级（如部门负责人）。再15分钟未确认，通知更高级别领导。升级链路可配置。</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移动端整改进度上报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责任人通过移动端（小程序/APP）进入任务详情，可多阶段上报整改措施：已制定方案、已采购物料、已实施整改。每个阶段需上传照片/文字说明，系统自动记录时间戳。支持语音录入转文字。</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整改进度可视化</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PC端展示整改甘特图：计划开始/结束时间、实际进度条。超期阶段标红，并显示剩余天数。支持时间轴缩放（日/周/月）。</w:t>
            </w:r>
            <w:r/>
          </w:p>
        </w:tc>
      </w:tr>
      <w:tr>
        <w:trPr>
          <w:trHeight w:val="525"/>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120</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整改进度状态机与移动端跟踪</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建立隐患整改任务的全生命周期状态机。状态包括：待接收（派单后等待责任人确认）、已接收（责任人确认接收任务）、整改中（责任人已开始整改措施</w:t>
            </w:r>
            <w:r>
              <w:rPr>
                <w:rFonts w:hint="eastAsia" w:ascii="宋体" w:hAnsi="宋体" w:eastAsia="宋体" w:cs="宋体"/>
                <w:i w:val="0"/>
                <w:iCs w:val="0"/>
                <w:color w:val="000000"/>
                <w:sz w:val="24"/>
                <w:szCs w:val="24"/>
                <w:u w:val="none"/>
                <w:lang w:val="en-US" w:eastAsia="zh-CN" w:bidi="ar"/>
              </w:rPr>
              <w:t xml:space="preserve">）、待核验（责任人提交整改完成申请）、核验中（核验人员正在现场复核）、已完成（核验通过，隐患销号）、已驳回（核验不通过，退回重新整改）。每个状态变更时自动记录时间戳和操作人，形成完整的整改时间线。在移动端APP中，责任人可查看自己负责的所有隐患任务（按状态分类标签页展示），点击进入任务详情页查看：隐患基本信息、整改要求和时限、历史处理记录时间线。在整改中状态下，责任人可上传整改过程的阶段性照片、填写整改进展描述、预估完成时间。在待核验状态下，责任人需上传整改完成后的现场照片和整改措施说明，点击提交核验按钮。</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121</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隐患工单内嵌协同沟通</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在每个隐患工单中内置即时消息通信模块。工单的处理人（整改责任人）和核验人（监督员）可在工单内直接进行文字和图片沟通，类似于聊天界面。典型沟通场景包括：整改责任人咨询整改方案是否合规（附现场照片请核验人远程预审）、核验人提出补充整改要求（如某处细节不符合规范需重新处理）、整改责任人反馈整改中遇到的困难请求延期等。所有沟通记录自动保存为该隐患工单的永久附件，与工单生命周期绑定，不可删除。每次有新消息时，通过APP推送通知提醒对方查看。沟通记录在隐患电子档案中完整保留，用于事后追溯定责。</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延期申请与审批</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责任人发起延期申请，填写延期天数（最长不超过原时限的50%）、延期原因。监管人员收到待审批通知，可在PC端或移动端审批（通过/驳回）。通过后更新整改时限。</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整改指导推送</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监管人员在PC端输入指导意见，可附带法规条款链接、典型整改案例（从知识库选取），一键推送给责任人。推送内容可在移动端查看。</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124</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现场复核移动端工具</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核验人员（监督员）到达隐患现场进行实地复核时，使用移动端APP的现场复核功</w:t>
            </w:r>
            <w:r>
              <w:rPr>
                <w:rFonts w:hint="eastAsia" w:ascii="宋体" w:hAnsi="宋体" w:eastAsia="宋体" w:cs="宋体"/>
                <w:i w:val="0"/>
                <w:iCs w:val="0"/>
                <w:color w:val="000000"/>
                <w:sz w:val="24"/>
                <w:szCs w:val="24"/>
                <w:u w:val="none"/>
                <w:lang w:val="en-US" w:eastAsia="zh-CN" w:bidi="ar"/>
              </w:rPr>
              <w:t xml:space="preserve">能。操作流程：GPS定位自动签到（记录到达时间+GPS坐标，与隐患上报时的坐标进行距离比对，差异过大时提示异常）→查看隐患详情（隐患原始描述、整改前照片、整改要求、整改责任人提交的整改后照片）→现场拍摄核验照片（自动添加GPS坐标+时间戳+核验人水印）→填写核验结果（选择整改到位/不到位，不到位时需具体说明哪些问题未解决）→提交核验结果。核验不到位时，系统自动将任务状态回退为整改中，并附带核验人的具体要求文字和标注照片，通知整改责任人重新整改。核验记录的GPS坐标和现场核验照片存放于隐患电子档案中用于审计。</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图像核验模型训练</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目标检测模型或更高版本，训练6类整改核验模型：通道清理、消火栓复位、灭火器复位、防火门闭合、标识张贴、人员值守。训练数据集包含2万张整改前后对比图片，标注是否合格。模型输出置信度，阈值为0.85。</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整改前后图片对比</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接收责任人上传的整改后照片，从隐患记录中获取整改前照片（首次上报时拍摄）。将两张图片分别送入模型推理，对比结果：整改后应满足“正常”状态。若整改前存在隐患（如通道堵塞），整改后应识别为“无隐患”。</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置信度计算与人工复核触发</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模型输出核验置信度，低于0.7时自动标记为“需人工复核”，高于0.9时自动通过，介于之间时提示监管人员重点关注。</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AI核验结果展示</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在隐患详情页并排展示整改前/后照片，高亮显示AI识别出的隐患区域（边界框），给出核验结论（通过/不通过）和置信度。提供“人工复核”按钮，供监管人员二次确认。</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人工复核确认</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监管人员点击“人工复核”，可修改核验结果（通过/驳回），填写复核意见。复核操作记录到日志。</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销号审核</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隐患整改完成且AI核验通过后，进入待销号列表。监管人员可查看整改全过程记录（包括上报、整改、核验），点击“销号”确认闭环，或“驳回”要求继续整改。</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131</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物联网在线状态自动核验</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针对消防设施类的隐患（如某设备故障、离线、报警阈值异常等），在整改责任人提交整改完成</w:t>
            </w:r>
            <w:r>
              <w:rPr>
                <w:rFonts w:hint="eastAsia" w:ascii="宋体" w:hAnsi="宋体" w:eastAsia="宋体" w:cs="宋体"/>
                <w:i w:val="0"/>
                <w:iCs w:val="0"/>
                <w:color w:val="000000"/>
                <w:sz w:val="24"/>
                <w:szCs w:val="24"/>
                <w:u w:val="none"/>
                <w:lang w:val="en-US" w:eastAsia="zh-CN" w:bidi="ar"/>
              </w:rPr>
              <w:t xml:space="preserve">后，系统自动触发物联网在线状态核验。核验流程：系统向消防设施联网监测平台发送设备状态查询请求（通过设备ID），获取该设备最新的在线状态、运行参数和最近24小时的告警记录。若设备状态恢复正常（在线且运行参数在正常范围内），且连续在线时长超过30分钟，系统自动标记为系统核验通过，在核验人员工作台中该隐患的状态显示为系统已自动核验，核验人员确认后即可销号。若设备状态仍异常，系统标记为核验不通过并自动退回整改环节，附带具体的异常参数说明。该自动核验机制减少了核验人员不必要的现场跑动，提升了轻微设施类隐患的处理效率。</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自动销号规则配置</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用户可配置自动销号条件，例如：隐患等级为轻微、整改类型为通道清理、AI核验置信度≥0.95。满足条件的隐患由系统自动销号，无需人工审核。</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隐患归档</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销号后，隐患数据从主表移动到归档表，但保留关联查询能力（通过视图）。归档后不可修改，只读。</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归档查询</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提供归档隐患查询页面，支持按单位、时间范围、隐患类型检索，可查看历史闭环详情。</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135</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销号审批流程</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核验人员现场复核确认整改到位后，在APP中提交销号申请。一般隐患的销号审批流程为两级：核验人员提交→科长（或授权审批人）审批。审批人在PC端或移动端查看核验详情（核验照片、核验意见、整改前后对比、完整处理时间线），审批通过后隐患状态变更为已销号，工单自动归档。审批不通过时需要填写驳回原因，隐患重新进入整改环节。重大隐患的销号审批流程为三级：核验人员提交→科长初审→支队分管领导终审，确保重大隐患的整改闭环经过充分的审核把关。各级审批操作均记录审批人、审批时间、审批意见到操作审计日志，形成完整的审批链。</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136</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超期自动扫描与多级预警</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实现每分钟执行一次的超期隐患扫描任务</w:t>
            </w:r>
            <w:r>
              <w:rPr>
                <w:rFonts w:hint="eastAsia" w:ascii="宋体" w:hAnsi="宋体" w:eastAsia="宋体" w:cs="宋体"/>
                <w:i w:val="0"/>
                <w:iCs w:val="0"/>
                <w:color w:val="000000"/>
                <w:sz w:val="24"/>
                <w:szCs w:val="24"/>
                <w:u w:val="none"/>
                <w:lang w:val="en-US" w:eastAsia="zh-CN" w:bidi="ar"/>
              </w:rPr>
              <w:t xml:space="preserve">。扫描逻辑：查询所有状态为已接收或整改中且当前时间已超过规定处置时限的隐患记录。根据超期时长自动分级处理：超期24小时以内（或规定时限的20%以内）→向责任人发送APP温和提醒通知；超期1-3天→向责任人发送短信提醒，同时APP通知标记为紧急；超期3-7天→向责任人的直属上级（消防大队长/科长）发送短信+APP通知，告知其下属存在超期未处理的隐患；超期7天以上→向支队分管领导发送短信通知，系统自动生成督办单并抄送支队督查科。重大隐患一旦超期（不论时长）立即升级至最高级别处理。每次升级通知记录在升级日志表中。</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督办单生成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红牌隐患自动生成《重大隐患督办函》，使用文字文档模板，填充隐患信息、单位、责任人、超期天数。用户可下载文字文档或PDF。</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督办单推送</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督办单推送至属地消防救援大队、行业主管部门，通过系统消息和邮件。推送记录留存。</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督办进度跟踪</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督办单列表展示接收单位、处理状态（待签收/处理中/已办结）、反馈时间。支持催办按钮，发送提醒。</w:t>
            </w:r>
            <w:r/>
          </w:p>
        </w:tc>
      </w:tr>
      <w:tr>
        <w:trPr>
          <w:trHeight w:val="39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140</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督办单自动生成与跟踪闭环</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超期超过7天的隐患，系统自动在督办管理模块中生成一张正式</w:t>
            </w:r>
            <w:r>
              <w:rPr>
                <w:rFonts w:hint="eastAsia" w:ascii="宋体" w:hAnsi="宋体" w:eastAsia="宋体" w:cs="宋体"/>
                <w:i w:val="0"/>
                <w:iCs w:val="0"/>
                <w:color w:val="000000"/>
                <w:sz w:val="24"/>
                <w:szCs w:val="24"/>
                <w:u w:val="none"/>
                <w:lang w:val="en-US" w:eastAsia="zh-CN" w:bidi="ar"/>
              </w:rPr>
              <w:t xml:space="preserve">的督办单。督办单内容包括：被督办单位/责任人信息、隐患基本信息（类型/描述/上报时间/应完成时间）、超期天数、督办理由、督办要求（如在3个工作日内完成整改并提交书面说明）、整改建议措施。督办单通过系统审批流程：由系统自动提交→支队分管领导审批→审批通过后正式下发至被督办对象及其上级。督办单下发后在督办公示板中展示，标注超期时长和督办理由。督办单下发后被督办对象在3个工作日内完成整改的，督办单状态变为已销号；超期仍未完成的，督办单自动升级至上一级（如从支队升级至总队报备），并纳入当月消防工作绩效考核的扣分项。</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隐患治理成效指标统计</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按区域、行业、时间维度统计隐患发现率（新发现隐患数/检查单位数）、按时整改率、超期率、重复发生率。使用SQL聚合，结果缓存缓存数据库，每小时更新。</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142</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隐患全生命周期电子档案自动生成</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隐患完成销号后，系统自动聚合该隐患从发现到销号的全生命周期数据，生成标准化的电子归档档案。档案以PDF格式输出，内容结构包括：封面页（隐患编号、隐患类型、发生单位</w:t>
            </w:r>
            <w:r>
              <w:rPr>
                <w:rFonts w:hint="eastAsia" w:ascii="宋体" w:hAnsi="宋体" w:eastAsia="宋体" w:cs="宋体"/>
                <w:i w:val="0"/>
                <w:iCs w:val="0"/>
                <w:color w:val="000000"/>
                <w:sz w:val="24"/>
                <w:szCs w:val="24"/>
                <w:u w:val="none"/>
                <w:lang w:val="en-US" w:eastAsia="zh-CN" w:bidi="ar"/>
              </w:rPr>
              <w:t xml:space="preserve">、档案生成时间）、隐患基本信息（发现来源、发现时间、上报人、原始描述和照片）、核实记录（核实人、核实时间、核实结论）、派单记录（处置路径、责任人、时限要求）、整改过程记录（整改措施描述、整改前后对比照片、整改各阶段时间节点）、核验记录（核验人、核验时间、核验方式：现场复核/自动核验、核验结论和照片）、审批记录（各级审批人、审批时间、审批意见）、协同沟通记录（工单内聊天记录的文本导出）。PDF档案存储到对象存储服务对象存储服务中，档案编号与驯火系统的隐患编号保持同步对应，支持通过档案编号或单位名称检索和下载。</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治理成效看板</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使用可视化图表组件展示柱状图（各区域整改率对比）、折线图（月度整改率趋势）、热力图（超期率分布）。支持下钻到具体单位列表。</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144</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四大治理核心指标统计</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开发隐患治理成效的统计分析功能，按区域（区县/街道/社区三级）、行业（12种业态类型）、时段（月度</w:t>
            </w:r>
            <w:r>
              <w:rPr>
                <w:rFonts w:hint="eastAsia" w:ascii="宋体" w:hAnsi="宋体" w:eastAsia="宋体" w:cs="宋体"/>
                <w:i w:val="0"/>
                <w:iCs w:val="0"/>
                <w:color w:val="000000"/>
                <w:sz w:val="24"/>
                <w:szCs w:val="24"/>
                <w:u w:val="none"/>
                <w:lang w:val="en-US" w:eastAsia="zh-CN" w:bidi="ar"/>
              </w:rPr>
              <w:t xml:space="preserve">/季度/年度）进行指标统计。四大核心指标：隐患发现率（每千次消防监督检查中发现的隐患数量，反映检查的深度和质量）、隐患按时整改率（在规定时限内完成整改的隐患数量占应整改总数的百分比，反映整改效率）、隐患超期未改率（超过规定时限仍未完成整改的隐患数量占比，反映治理滞后程度）、隐患复发率（同一单位同一类型的隐患在整改销号后6个月内再次出现的情况占比，反映整改的长效性和根本性）。统计结果以可视化图表展示：趋势折线图（各指标逐月变化趋势）、对比柱状图（各区域/行业之间的横向对比）、综合雷达图（四个指标的综合评价）。</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145</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治理效能综合看板</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在大屏端提供隐患治理效能综合监控看板。看板顶部为5个核心指标卡片（采用大数据仪表盘样式）：当前在册隐患总数、今日新增隐患数、超期未改隐患数（红色预警阈值标注）、本月已完成整改数、重大隐患在办数。中部左侧为近30天隐患变化趋势折线图（三条线：新增数、完成数、超期数），中部右侧为各区域整改进度对比柱状图（按时整改率从高到低排列，最低的三个区域红色高亮）。底部为隐患类型分布饼图（按一级分类展示数量和占比）和超期隐患热力列表（超期时间最长的前十隐患）。看板数据每5分钟自动刷新，支持全屏投屏到大屏展示设备上。</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治理报告生成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按月度自动生成文字文档报告，包含各项指标、排名、同比环比分析。报告模板可定制，数据填充后导出。</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三、防消联勤业务协同</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联勤计划制定</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日历组件（日历组件）展示年度/月度联勤计划。用户可创建计划，选择时间、联勤对象（单位）、参与力量（消防救援站、防火监督员、社区微站）、联勤内容（熟悉演练、联合检查）。支持计划模板复用。</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148</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月度联勤任务计划智能生成</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根据火灾风险智能研判模块的输出结果，结合各辖区消防中队和消防监督员的配置情况，自动生成月度防消联勤任务计划。任务生成策略：优先安排高风险（红色和橙色等级）单位的熟悉演练和消防检查任务；根据单位距离中队的距离、交通状况等因素优化任务路线；平衡各中队和监督员的任务负载（避免个别人员任务过重）。生成的计划以日历视图展示，每天显示该日安排的任务数量和单位列表。支持手动调整：拖拽任务到其他日期、增删任务、变更执行人员。调整完成后提交审批（大队长审核），审批通过后任务自动派发至相关人员的APP中。</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联勤任务派发</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计划创建后自动生成任务，派发给指定人员。任务包含检查清单（基于单位业态动态生成）、位置导航链接。支持批量派发（按计划批量生成）。</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150</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联勤任务执行跟踪与报告</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中队在APP中接收联勤任务后，按计划前往单位执行熟悉演练或消防检查。到达单位后GPS自动签到记录到达时间，任务执行过程中可在APP中填写执行记录：熟悉演练类任务记录熟悉了哪些重点部位、测试了哪些消防设施、发现了哪些问题；消防检查类任务按检查要点清单逐项勾选并拍照。任务完成后提交执行报告。任务到期前3天自动向责任人发送提醒通知，超期未完成的任务在任务列表中红色高亮标记并推送至大队长。按月统计各中队、各监督员的联勤任务完成率、发现问题数量、信息更新量等指标，生成联勤工作月度统计报表。</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移动端接收任务</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数据同步总队防消联勤小程序，任务列表展示待执行联勤任务，点击可查看详情，支持离线下载（缓存任务数据）。任务完成后提交报告。</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现场检查记录与报告生成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移动端提供检查清单勾选、拍照、录音功能。完成后自动生成联勤报告（文字文档格式），包含检查情况、发现问题、整改建议。报告可上传到系统。</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灭火现场一键上报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指挥员在灭火救援现场通过移动端“一键上报”功能，快速录入水源问题（消火栓无水/埋压）、通道堵塞、设施故障等。支持拍照、语音描述、GPS定位。上报后自动创建隐患，进入闭环流程。</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熟悉演练问题反馈</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中队在“六熟悉”过程中发现的隐患，通过移动端填写反馈表单（隐患描述、位置、照片），提交后自动创建隐患。</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防火数据同步至灭火系统</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当防火监督模块更新单位信息（如内部结构图、危险品存放位置、消防设施状态）时，通过接口推送到灭火指挥系统。推送采用异步消息队列，保证最终一致性。</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灭火系统数据查询接口</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提供接口供灭火指挥系统查询单位最新防火数据，包括建筑平面图、水源位置、进攻路线建议。接口需高性能（&lt;100ms）。</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数字化预案模板管理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提供预案模板设计器，包含章节结构（单位概况、建筑信息、消防设施、危险源、力量部署、作战方案）。支持富文本编辑、表格、图片上传。</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预案协同编辑</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防火监督员和灭火指战员可同时编辑同一预案，使用实时消息通道实时同步编辑内容，类似在线地图 文档。支持版本历史，可回滚。</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预案审核发布</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编辑完成后提交审核，需双方确认后方可发布。发布后的预案对灭火指挥系统可见。</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预案动态更新提醒</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当单位信息变更（如内部改造）或隐患整改完成影响预案时，系统自动提醒预案负责人更新预案。</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联勤联训计划管理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支持制定年度/季度训练计划，分配参训队伍（消防救援站、专职队、微型站）。计划包含训练科目、场地、教官。</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训练记录与考核</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参训人员通过移动端签到，教官录入考核成绩（可上传照片证明）。系统自动汇总训练完成率、优秀率。</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微型站联动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记录微型消防站的值班备勤情况、应急响应记录（接警时间、到场时间）、初起火灾处置情况。数据可从微型站上报系统同步。</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164</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巡查优先级计算与任务清单生成</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根据各单位的当前风险等级和上次巡查日期，自动计算每个单</w:t>
            </w:r>
            <w:r>
              <w:rPr>
                <w:rFonts w:hint="eastAsia" w:ascii="宋体" w:hAnsi="宋体" w:eastAsia="宋体" w:cs="宋体"/>
                <w:i w:val="0"/>
                <w:iCs w:val="0"/>
                <w:color w:val="000000"/>
                <w:sz w:val="24"/>
                <w:szCs w:val="24"/>
                <w:u w:val="none"/>
                <w:lang w:val="en-US" w:eastAsia="zh-CN" w:bidi="ar"/>
              </w:rPr>
              <w:t xml:space="preserve">位的巡查优先级分数。计算公式：优先级分数=风险等级系数（红色5分/橙色3分/黄色2分/蓝色1分）*距离上次巡查天数衰减因子（超过建议周期后天数越多分数越高）。推荐巡查频次：红色等级单位每月至少巡查1次、橙色等级单位每季度至少巡查1次、黄色等级单位每半年至少巡查1次、蓝色等级单位每年至少巡查1次。每日凌晨2:00系统自动计算优先级分数，按分数从高到低排列，生成当日应巡查单位建议清单（取前N个，N根据当日可用监督员数量和人均巡查能力自动计算）。清单按辖区分配到各消防大队，再由各大队长在APP中分配到具体监督员。</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165</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动态巡查调整与紧急插单</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当发生以下触发事件</w:t>
            </w:r>
            <w:r>
              <w:rPr>
                <w:rFonts w:hint="eastAsia" w:ascii="宋体" w:hAnsi="宋体" w:eastAsia="宋体" w:cs="宋体"/>
                <w:i w:val="0"/>
                <w:iCs w:val="0"/>
                <w:color w:val="000000"/>
                <w:sz w:val="24"/>
                <w:szCs w:val="24"/>
                <w:u w:val="none"/>
                <w:lang w:val="en-US" w:eastAsia="zh-CN" w:bidi="ar"/>
              </w:rPr>
              <w:t xml:space="preserve">时，系统自动调整巡查计划：某单位的风险等级在短时间内发生显著变化（如连续两次评估从黄色跳升为橙色或红色），系统自动在当前的巡查计划中插入该单位的紧急巡查任务并置顶；某区域或某行业发生重大火灾事故后，系统自动将该区域或该行业的所有重点单位巡查频次临时提升一级（如原为季度巡查的改为月度巡查），提升持续1个月后自动恢复；特殊时期（元旦、春节、国庆、两会等重大节假日和重要活动期间），系统支持管理员手动批量提升指定区域或行业的巡查频次。调整后的巡查任务实时推送至相关监督员的APP，原已排定但未执行的冲突任务自动顺延。</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四、跨部门协同治理</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协同任务发起</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用户选择任务类型（联合检查/隐患治理/专项整治），勾选涉及的协同部门（住建、公安、城管等），填写任务要求和处置时限，可附加相关文件。提交后生成协同任务。</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协同任务分派</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系统通过各部门对接的接口（短信、政务平台消息、接口）通知联系人。每个部门可二次分派到具体经办人。</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部门处置反馈</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各部门在专属工作台查看任务，可上传处置结果（文字、照片、文件）。系统自动汇总各部门反馈，任务完成时生成协同治理报告。</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协同治理报告</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报告包含任务概述、各部门处置情况、处置耗时对比、问题汇总。支持导出文字文档/PDF。</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处罚信息共享</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处罚结果自动推送至单位风险画像模块，作为风险指数计算的输入（处罚记录反映治理配合度）。</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行业风险看板</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为各行业主管部门（教育、民政、文旅等）提供专属看板，展示本行业单位风险分布（四色图）、高风险单位前十、隐患治理进度。数据按行业过滤。</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行业治理任务推送</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系统将涉及本行业的隐患治理任务推送到行业部门工作台，行业部门可查看任务进展，一键催办。</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行业专项行动支持</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行业主管部门可发起本行业专项整治行动，系统自动筛选本行业单位清单，生成检查计划，支持任务派发。</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五、智能巡查与移动应用</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巡查任务智能生成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根据风险等级（红色每月1次、橙色每季度1次、黄色每半年1次、蓝色每年1次）自动生成巡查计划。同时考虑隐患驱动（存在重大隐患的单位每周巡查）、专项整治驱动、节假日驱动。生成规则可配置。</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移动端任务接收与离线</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移动端任务列表支持离线下载（使用离线服务 + 浏览器本地存储），无网络时可查看任务详情、检查清单，提交后缓存，网络恢复后自动同步。</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检查清单动态生成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根据单位业态（如商场、学校、化工）从知识库中动态生成检查要点清单，支持勾选“合格/不合格”，不合格项自动记录为隐患。</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177</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检查要点清单智能推送与逐项对照</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监督员到达被检查单位后，在APP中点击开始检查，系统根据该单位的业态类型、</w:t>
            </w:r>
            <w:r>
              <w:rPr>
                <w:rFonts w:hint="eastAsia" w:ascii="宋体" w:hAnsi="宋体" w:eastAsia="宋体" w:cs="宋体"/>
                <w:i w:val="0"/>
                <w:iCs w:val="0"/>
                <w:color w:val="000000"/>
                <w:sz w:val="24"/>
                <w:szCs w:val="24"/>
                <w:u w:val="none"/>
                <w:lang w:val="en-US" w:eastAsia="zh-CN" w:bidi="ar"/>
              </w:rPr>
              <w:t xml:space="preserve">风险等级、历史隐患特征，自动从知识库中检索并推送定制化的检查要点清单。清单中每条检查要点标注必查/选查标识，必查项在清单中以星标标注。监督员逐项对照检查，每项可勾选检查结果：合格（绿色对勾）、不合格（红色叉号，需填写具体问题描述）、不适用（灰色横线，跳过该项）。清单实时显示检查进度（已查N项/共M项），未完成的必查项在底部红色高亮提示，所有必查项未完成前不允许提交检查结果。检查过程中可随时拍照记录，照片自动关联到对应的检查要点项。检查完成后系统根据不合格项的隐患类型自动推荐对应的法规依据条款和整改建议措施。</w:t>
            </w:r>
            <w:r/>
          </w:p>
        </w:tc>
      </w:tr>
      <w:tr>
        <w:trPr>
          <w:trHeight w:val="388"/>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178</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扫码识别与智能填单拍照</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监督员到达单位后，使用APP扫描单位门口张贴的消防二维码（二维码包含单位唯一ID），系统自动识别并加载该单位的基础信息（单位名称</w:t>
            </w:r>
            <w:r>
              <w:rPr>
                <w:rFonts w:hint="eastAsia" w:ascii="宋体" w:hAnsi="宋体" w:eastAsia="宋体" w:cs="宋体"/>
                <w:i w:val="0"/>
                <w:iCs w:val="0"/>
                <w:color w:val="000000"/>
                <w:sz w:val="24"/>
                <w:szCs w:val="24"/>
                <w:u w:val="none"/>
                <w:lang w:val="en-US" w:eastAsia="zh-CN" w:bidi="ar"/>
              </w:rPr>
              <w:t xml:space="preserve">、地址、业态类型、风险等级、消防安全责任人、最近一次检查时间和结果）。检查过程中拍照时，APP自动在照片上叠加水印信息（拍摄时间精确到秒、GPS经纬度坐标、拍摄人姓名），确保照片的时空可追溯性。照片上传前自动压缩处理（保持清晰度的同时将单张照片控制在500KB以内），节省移动数据流量和上传时间。APP支持离线工作模式：在网络信号不佳的地下室或偏远区域，检查记录和照片暂存在手机本地本地数据库数据库中，待网络恢复后自动在后台增量同步上传至服务器。离线期间产生的数据与在线数据采用时间戳优先的冲突解决策略进行合并。</w:t>
            </w:r>
            <w:r/>
          </w:p>
        </w:tc>
      </w:tr>
      <w:tr>
        <w:trPr>
          <w:trHeight w:val="168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179</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现场照片AI隐患识别</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在消防监督检查过程中，监督员拍摄的现场照片可实时进行AI辅助隐患识别。系统利用计算机视觉技术（一期以规则引擎+图像特征匹配实现基础识别），自动检测照片中的常见消防安全隐患类型。可识别的隐患类型包括：疏散通道和安全出口被杂物堵塞或上锁（基于物体检测算法识别通道区域内的障碍物）、消火栓箱被遮挡或箱门无法正常开启（基于特征匹配识别消火栓箱的标准外观及其前方区域）、灭火器缺失/</w:t>
            </w:r>
            <w:r>
              <w:rPr>
                <w:rFonts w:hint="eastAsia" w:ascii="宋体" w:hAnsi="宋体" w:eastAsia="宋体" w:cs="宋体"/>
                <w:i w:val="0"/>
                <w:iCs w:val="0"/>
                <w:color w:val="000000"/>
                <w:sz w:val="24"/>
                <w:szCs w:val="24"/>
                <w:u w:val="none"/>
                <w:lang w:val="en-US" w:eastAsia="zh-CN" w:bidi="ar"/>
              </w:rPr>
              <w:t xml:space="preserve">过期/压力不足（基于OCR识别灭火器瓶体上的压力表指针位置和检验日期）、常闭式防火门未保持关闭状态或被物品卡住常开（基于门体角度检测和门缝区域的物体识别）、电动自行车违规停放在建筑内公共区域充电（基于电动车外观模型检测）。AI识别结果以叠加标注框的形式展示在照片上，标注框颜色代表识别置信度（绿色高置信度&gt;85%、黄色中置信度65-85%、红色低置信度&lt;65%需人工确认）。监督员可点击每个标注框查看AI的判断理由和建议处置措施。监督员可对AI识别结果进行确认/修正/忽略操作，修正结果作为标注数据反哺模型优化。</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180</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整改建议智能推送</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根据确认的隐患类型和严重程度，系统自动从消防法规知识库和隐患整改案例库中检索匹配的整改措施建议。整改建议输出结构包括</w:t>
            </w:r>
            <w:r>
              <w:rPr>
                <w:rFonts w:hint="eastAsia" w:ascii="宋体" w:hAnsi="宋体" w:eastAsia="宋体" w:cs="宋体"/>
                <w:i w:val="0"/>
                <w:iCs w:val="0"/>
                <w:color w:val="000000"/>
                <w:sz w:val="24"/>
                <w:szCs w:val="24"/>
                <w:u w:val="none"/>
                <w:lang w:val="en-US" w:eastAsia="zh-CN" w:bidi="ar"/>
              </w:rPr>
              <w:t xml:space="preserve">：适用法规条款（完整的条款引用，如根据《中华人民共和国消防法》第六十条第一款第三项之规定占用堵塞封闭疏散通道安全出口的责令改正处五千元以上五万元以下罚款）、具体整改措施（分步骤的操作指导如第一步清理疏散通道堆放的杂物恢复通道畅通、第二步检查疏散指示标志和应急照明是否完好、第三步对单位负责人进行消防安全教育明确日常管理要求）、类似案例参考（展示近2年内本市或其他地区同类隐患的整改案例包括整改前后的对比照片和整改效果评估）。整改建议以卡片形式推送至监督员APP，监督员可直接选用并一键填入检查意见和整改通知书中。</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移动端语音录入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集成语音识别开发工具包（如科大讯飞或腾讯云），实时转写文字，并通过自然语言处理提取关键信息（隐患位置、描述），自动填充表单。</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182</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监督检查结果智能分析</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监督员完成一次消防监督检查后，系统自动根据该次检查中记录的所有检查项结果（合格/不合格及不合格的具体描述），对</w:t>
            </w:r>
            <w:r>
              <w:rPr>
                <w:rFonts w:hint="eastAsia" w:ascii="宋体" w:hAnsi="宋体" w:eastAsia="宋体" w:cs="宋体"/>
                <w:i w:val="0"/>
                <w:iCs w:val="0"/>
                <w:color w:val="000000"/>
                <w:sz w:val="24"/>
                <w:szCs w:val="24"/>
                <w:u w:val="none"/>
                <w:lang w:val="en-US" w:eastAsia="zh-CN" w:bidi="ar"/>
              </w:rPr>
              <w:t xml:space="preserve">该单位的消防安全状况进行智能综合分析。分析输出包括：主要风险点总结（基于本次检查发现的不合格项，归纳该单位在消防安全管理上存在的主要问题和薄弱环节，如该单位消防设施维护保养不到位，消火栓系统和自动喷水灭火系统均存在故障）、风险等级预测（根据检查结果对该单位未来3个月可能的风险等级变化趋势进行预测，如若不及时整改，预计下次风险评估将从黄色上升为橙色）、建议关注事项（针对本次检查中发现的问题类型，提醒监督员在下次检查中需要重点关注和复查的项目）。分析结果以卡片形式推送至监督员APP，作为本次检查的智能结论参考。</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现场文书生成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检查完成后，根据检查结果自动生成《消防监督检查记录》等文书草案，支持电子签名，可分享或打印。</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单位端风险动态查看</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单位可查看本单位当前风险指数、等级、历史趋势，以及未整改隐患列表。</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六、智能辅助与决策支撑</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隐患智能识别模型训练</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训练目标检测模型覆盖12类常见隐患（通道堵塞、消火栓遮挡、防火门损坏、灭火器缺失/过期、标识缺失、电动车违规充电等）。使用3万张标注图片。模型部署为推理服务。</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隐患识别结果关联法规</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识别出的隐患类型，从法规知识库中自动关联相关法条（如“堵塞疏散通道违反《消防法》第二十八条”），在界面展示。</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187</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隐患与单位的自动关联匹配</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对于灭火现场上报的隐患，系统需要</w:t>
            </w:r>
            <w:r>
              <w:rPr>
                <w:rFonts w:hint="eastAsia" w:ascii="宋体" w:hAnsi="宋体" w:eastAsia="宋体" w:cs="宋体"/>
                <w:i w:val="0"/>
                <w:iCs w:val="0"/>
                <w:color w:val="000000"/>
                <w:sz w:val="24"/>
                <w:szCs w:val="24"/>
                <w:u w:val="none"/>
                <w:lang w:val="en-US" w:eastAsia="zh-CN" w:bidi="ar"/>
              </w:rPr>
              <w:t xml:space="preserve">自动将其关联到对应的社会单位或住宅小区。匹配算法：首先根据上报的GPS坐标调用天地图逆地理编码服务获取最近的兴趣点信息（单位名称和地址）；同时对上报告警中的文字描述进行地址实体识别（实体识别），提取建筑物名称、道路名称、门牌号等信息；综合GPS和文本信息与单位地址库进行模糊匹配（使用差异度量算法计算地址相似度）。匹配相似度&gt;80%的自动关联到对应单位并生成待核实隐患记录。匹配相似度&lt;60%的推送到人工确认队列，由值班人员手动查找和指定对应的单位。匹配相似度介于60%-80%的给出前三候选单位供人工选择确认。</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隐患趋势热力图</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按区域（街道）聚合隐患数量，使用热力图算法（核密度估计），叠加在地图上，直观展示隐患高发区域。支持按时间范围筛选。</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隐患关联分析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挖掘隐患共现关系，例如发现“通道堵塞”与“防火门损坏”经常同时出现。结果以关联规则列表展示，支持置信度排序。</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隐患趋势预警</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检测隐患数量环比增长超过30%时，自动生成趋势预警，通知相关监管人员。</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191</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隐患时空趋势多维分析</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按区域、行业、隐患类型、时间段进行隐患发生趋势的统计分析。时间维度：按月度</w:t>
            </w:r>
            <w:r>
              <w:rPr>
                <w:rFonts w:hint="eastAsia" w:ascii="宋体" w:hAnsi="宋体" w:eastAsia="宋体" w:cs="宋体"/>
                <w:i w:val="0"/>
                <w:iCs w:val="0"/>
                <w:color w:val="000000"/>
                <w:sz w:val="24"/>
                <w:szCs w:val="24"/>
                <w:u w:val="none"/>
                <w:lang w:val="en-US" w:eastAsia="zh-CN" w:bidi="ar"/>
              </w:rPr>
              <w:t xml:space="preserve">统计近6个月的隐患数量变化趋势，计算环比增长率和同比增长率，使用7天移动平均法平滑短期波动。空间维度：以热力图展示各街道的隐患发现密度（每平方公里发现的隐患数量），识别隐患高发区域（热力图中颜色最深的红色区域）。类型维度：按四级隐患分类统计各类隐患的发生频次排名，识别当前阶段最突出的隐患类型（如夏季电气类隐患高发、冬季取暖防火类隐患高发）。趋势分析结果以可视化图表展示：折线图展示月度变化趋势、热力图展示区域分布密度、柱状图展示类型分布频次。识别出趋势异常时（如某类隐患环比增长超过50%），自动标注为关注点。</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192</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隐患异常波动自动预警</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基于统计过程控制方法实现对隐患数量异常波动的自动预警。设定预警规则：当某一区域或某一隐患类型在最近一周的隐患发现数量超过前4周均值的2倍（或环比增长率超过100%）时，自动触发</w:t>
            </w:r>
            <w:r>
              <w:rPr>
                <w:rFonts w:hint="eastAsia" w:ascii="宋体" w:hAnsi="宋体" w:eastAsia="宋体" w:cs="宋体"/>
                <w:i w:val="0"/>
                <w:iCs w:val="0"/>
                <w:color w:val="000000"/>
                <w:sz w:val="24"/>
                <w:szCs w:val="24"/>
                <w:u w:val="none"/>
                <w:lang w:val="en-US" w:eastAsia="zh-CN" w:bidi="ar"/>
              </w:rPr>
              <w:t xml:space="preserve">异常波动预警；当某一统计维度（区域/类型）的隐患数量连续3周超出历史均值加3个标准差（即超出统计过程控制的UCL上限）时，自动标记为系统性异常。预警生成后推送至相关科室（防火监督科/法制科）的系统消息和邮件，预警内容包含异常描述（什么区域/什么类型的隐患在什么时间段内出现了什么程度的异常增长）、可能原因分析（如近期开展了专项整治行动导致发现率提升/季节性因素导致某类隐患自然高发/新出现的风险类型需要关注）、建议措施（建议加强该区域或该类型的监督检查频次/建议开展专题分析研判/建议发布预警提示通知相关单位）。</w:t>
            </w:r>
            <w:r/>
          </w:p>
        </w:tc>
      </w:tr>
      <w:tr>
        <w:trPr>
          <w:trHeight w:val="168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193</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月度/季度/年度治理报告自动生成</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每月/季度/年度自动生成消防安全治理效能评估报告。报告内容章节包括：总体概况（报告期间全市消防安全形势概述、火灾四项指标（起数/亡人/伤人/直接损失）与上年同期对比、风险指数变化趋势）；风险治理篇（高风险单位（红色+橙色）数量变化、新增高风险和退出高风险的单位统计、主要风</w:t>
            </w:r>
            <w:r>
              <w:rPr>
                <w:rFonts w:hint="eastAsia" w:ascii="宋体" w:hAnsi="宋体" w:eastAsia="宋体" w:cs="宋体"/>
                <w:i w:val="0"/>
                <w:iCs w:val="0"/>
                <w:color w:val="000000"/>
                <w:sz w:val="24"/>
                <w:szCs w:val="24"/>
                <w:u w:val="none"/>
                <w:lang w:val="en-US" w:eastAsia="zh-CN" w:bidi="ar"/>
              </w:rPr>
              <w:t xml:space="preserve">险类型分布分析）；隐患治理篇（隐患发现数量与检查次数的比率分析、隐患整改率和超期率统计、按区域和行业的治理效能排名）；执法效能篇（监督检查任务完成率、行政处罚案件数量和类型分布、执法文书规范率、复议诉讼情况）；重点对象篇（重点监管清单动态变化、挂牌督办重大隐患处置情况、专项治理行动成效评估）；区域对比篇（各区县消防安全治理效能综合排名及雷达图对比）；问题与建议篇（基于数据分析发现的薄弱环节、下一阶段工作重点建议）。报告含趋势折线图、排名柱状图、分布饼图、综合雷达图等可视化图表，支持导出文字文档和PDF格式。</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194</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报告自动推送与历史归档</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报告生成完成后，系统根据预设的分发规则自</w:t>
            </w:r>
            <w:r>
              <w:rPr>
                <w:rFonts w:hint="eastAsia" w:ascii="宋体" w:hAnsi="宋体" w:eastAsia="宋体" w:cs="宋体"/>
                <w:i w:val="0"/>
                <w:iCs w:val="0"/>
                <w:color w:val="000000"/>
                <w:sz w:val="24"/>
                <w:szCs w:val="24"/>
                <w:u w:val="none"/>
                <w:lang w:val="en-US" w:eastAsia="zh-CN" w:bidi="ar"/>
              </w:rPr>
              <w:t xml:space="preserve">动推送：通过邮件将PDF报告发送至支队领导、各科室负责人、各大队长的邮箱；通过系统消息推送报告生成通知（附下载链接）至相关人员的工作台；通过APP推送报告摘要（报告关键结论摘要和核心数据卡片）至订阅了该类报告的用户。用户可在个人设置中配置报告订阅偏好（订阅哪些报告、接收渠道偏好）。所有历史报告以PDF格式归档存储在对象存储服务中，按报告类型（月报/季报/年报）和时间建立目录结构。提供报告检索功能：可按时间范围、报告类型、关键词搜索历史报告，支持在线预览和下载。报告至少保留5年，满足工作检查和审计追溯的需求。</w:t>
            </w:r>
            <w:r/>
          </w:p>
        </w:tc>
      </w:tr>
      <w:tr>
        <w:trPr>
          <w:trHeight w:val="14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195</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标准化电子台账自动生成</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按单位或按区域或按时间段组织生成标准化的隐患治理电子台账。台账以表格形式展示，每条隐患记录包含：隐患编号、隐患来源（监督检查/物联网告警/举报/灭火反馈）、隐患</w:t>
            </w:r>
            <w:r>
              <w:rPr>
                <w:rFonts w:hint="eastAsia" w:ascii="宋体" w:hAnsi="宋体" w:eastAsia="宋体" w:cs="宋体"/>
                <w:i w:val="0"/>
                <w:iCs w:val="0"/>
                <w:color w:val="000000"/>
                <w:sz w:val="24"/>
                <w:szCs w:val="24"/>
                <w:u w:val="none"/>
                <w:lang w:val="en-US" w:eastAsia="zh-CN" w:bidi="ar"/>
              </w:rPr>
              <w:t xml:space="preserve">类型（四级分类完整路径）、隐患等级（重大/一般/轻微）、发现时间、责任单位名称、责任单位地址、隐患具体描述、整改要求、整改时限、整改责任人及联系方式、当前整改状态（在办/已超期/已销号）、各处置环节的时间节点和操作人。台账格式符合消防总队档案管理规范的要求，每页包含页眉（扬州市消防救援支队隐患治理台账）、页脚（页码/生成日期）。台账支持按多个条件组合筛选生成（时间范围+区域+隐患类型+整改状态），筛选结果可导出为电子表格文件（含自动筛选器和冻结首行）或PDF文件（含封面和目录页），用于上报、存档或对外提供。</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196</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台账完整性自动校验</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在台账导出前，系统自动执行完整性校验。校验规则包括：各隐患记录的关键字段是否完整（发现时间、隐患类型、责任单位、整改时限为必填项，缺失字段在台账中标黄高亮提醒）；处置流程是否完整（从发现→核实→派单→整改→核验→销号的各环节是否均有记录，缺失环节在台账中标红标注并注明缺失哪个环节）；时间逻辑是否合理（核验时间不得早于发现时间、整改完成时间不得早于派单时间等，发现逻辑矛盾的在台账中标橙并附异常说明）。校验结果生成校验报告，标注通过项和异常项的数量和详情，供台账审核人员参考。</w:t>
            </w:r>
            <w:r/>
          </w:p>
        </w:tc>
      </w:tr>
      <w:tr>
        <w:trPr>
          <w:trHeight w:val="126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197</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联勤工作月度/季度/年度报告自动生成</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按月/季度/年度自动统计防消联勤工作数据并生成标准化工作报告。报告内容包含：联勤任务完成情况</w:t>
            </w:r>
            <w:r>
              <w:rPr>
                <w:rFonts w:hint="eastAsia" w:ascii="宋体" w:hAnsi="宋体" w:eastAsia="宋体" w:cs="宋体"/>
                <w:i w:val="0"/>
                <w:iCs w:val="0"/>
                <w:color w:val="000000"/>
                <w:sz w:val="24"/>
                <w:szCs w:val="24"/>
                <w:u w:val="none"/>
                <w:lang w:val="en-US" w:eastAsia="zh-CN" w:bidi="ar"/>
              </w:rPr>
              <w:t xml:space="preserve">（计划任务总数、已完成数量、完成率百分比、未完成原因分类统计）、联勤任务类型分布（熟悉演练任务数量及占比、消防检查任务数量及占比、宣传培训任务数量及占比）、联勤工作中发现的问题统计（各类隐患按四级分类的数量分布、与上月对比的变化趋势）、联勤工作成效（通过联勤发现并督促整改的隐患数量、联勤后单位消防设施完好率和消防安全管理水平的改善情况）、联勤响应速度统计（从接收任务到到达现场的平均响应时间、从发现隐患到生成派单的平均流转时间）。报告含趋势折线图展示各指标逐月变化趋势、柱状图展示各中队/各大队的横向对比排名。</w:t>
            </w:r>
            <w:r/>
          </w:p>
        </w:tc>
      </w:tr>
      <w:tr>
        <w:trPr>
          <w:trHeight w:val="366"/>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198</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报告推送与历史查询</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联勤工作报告生成后自动推送：通过邮件发送至支队分管领导、防火监督科、作战训练科负责人邮箱；通过系统消息推送至各大队长和联勤工作相关人员的系统消息中心。历史报告归档存储在对象存储中，可按时间（年/月）和报告类型检索查看。提供报告内容检索功能：输入关键词（如某中队名称），在历史报告中搜索包含该关键词的报告并高亮显示匹配内容，满足工作总结和专项汇报时快速查找历史数据的需要。</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七、数据准备与人工工作</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隐患分类标注（人工）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标注5000条隐患描述文本，归属到50+细类。标注过程需有标注指南，并进行双人校验。</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整改核验图像采集标注（人工）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采集2万张整改前后对比图片，标注整改是否合格。需覆盖不同光照、角度场景。</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责任主体库核对（人工）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核对全市2万个消防对象的三类责任人信息，确保电话、姓名准确。</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派单规则初始配置与优化（人工）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配置初始派单规则（约30条），并根据运行效果持续优化（3个月）。</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隐患治理知识库整理（人工）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整理隐患治理手册、常见问答等文档，结构化存储。</w:t>
            </w:r>
            <w:r/>
          </w:p>
        </w:tc>
      </w:tr>
      <w:tr>
        <w:trPr>
          <w:trHeight w:val="420"/>
        </w:trPr>
        <w:tc>
          <w:tcPr>
            <w:gridSpan w:val="2"/>
            <w:shd w:val="clear" w:color="auto" w:fill="auto"/>
            <w:tcW w:w="1610" w:type="pct"/>
            <w:vAlign w:val="center"/>
            <w:textDirection w:val="lrTb"/>
            <w:noWrap/>
          </w:tcPr>
          <w:p>
            <w:pPr>
              <w:jc w:val="center"/>
              <w:widowControl/>
              <w:rPr>
                <w:rFonts w:hint="eastAsia" w:ascii="宋体" w:hAnsi="宋体" w:eastAsia="宋体" w:cs="宋体"/>
                <w:color w:val="0f1115"/>
                <w:sz w:val="24"/>
                <w:szCs w:val="24"/>
                <w:lang w:val="en-US" w:eastAsia="zh-CN" w:bidi="ar"/>
              </w:rPr>
            </w:pPr>
            <w:r>
              <w:rPr>
                <w:rFonts w:hint="eastAsia" w:ascii="宋体" w:hAnsi="宋体" w:cs="宋体"/>
                <w:b/>
                <w:bCs/>
                <w:color w:val="0f1115"/>
                <w:sz w:val="24"/>
                <w:szCs w:val="24"/>
                <w:lang w:val="en-US" w:eastAsia="zh-CN" w:bidi="ar"/>
              </w:rPr>
              <w:t xml:space="preserve">演示内容</w:t>
            </w:r>
            <w:r/>
          </w:p>
        </w:tc>
        <w:tc>
          <w:tcPr>
            <w:shd w:val="clear" w:color="auto" w:fill="ffffff"/>
            <w:tcW w:w="3389" w:type="pct"/>
            <w:vAlign w:val="center"/>
            <w:textDirection w:val="lrTb"/>
            <w:noWrap w:val="false"/>
          </w:tcPr>
          <w:p>
            <w:pPr>
              <w:jc w:val="left"/>
              <w:widowControl/>
              <w:rPr>
                <w:rFonts w:hint="eastAsia" w:ascii="宋体" w:hAnsi="宋体" w:cs="宋体"/>
                <w:color w:val="0f1115"/>
                <w:sz w:val="24"/>
                <w:szCs w:val="24"/>
                <w:lang w:bidi="ar"/>
              </w:rPr>
            </w:pPr>
            <w:r>
              <w:rPr>
                <w:rFonts w:hint="eastAsia" w:ascii="宋体" w:hAnsi="宋体" w:cs="宋体"/>
                <w:color w:val="c00000"/>
                <w:sz w:val="24"/>
                <w:szCs w:val="24"/>
                <w:lang w:bidi="ar"/>
              </w:rPr>
              <w:t xml:space="preserve">包含①多渠道隐患归集与分级判定，演示从系统对接自动归集隐患数据，以及手动录入隐患后的隐患分级判定与分类标注；②治理成效量化评估，演示按区域/行业/时间段统计隐患整改率、超期率、复发率等指标。</w:t>
            </w:r>
            <w:r/>
          </w:p>
        </w:tc>
      </w:tr>
      <w:tr>
        <w:trPr>
          <w:trHeight w:val="839"/>
        </w:trPr>
        <w:tc>
          <w:tcPr>
            <w:gridSpan w:val="3"/>
            <w:shd w:val="clear" w:color="auto" w:fill="auto"/>
            <w:tcW w:w="5000" w:type="pct"/>
            <w:vAlign w:val="center"/>
            <w:textDirection w:val="lrTb"/>
            <w:noWrap/>
          </w:tcPr>
          <w:p>
            <w:pPr>
              <w:jc w:val="left"/>
              <w:widowControl/>
              <w:rPr>
                <w:rFonts w:ascii="宋体" w:hAnsi="宋体" w:cs="宋体"/>
                <w:b/>
                <w:bCs/>
                <w:color w:val="0f1115"/>
                <w:sz w:val="24"/>
                <w:szCs w:val="24"/>
              </w:rPr>
            </w:pPr>
            <w:r>
              <w:rPr>
                <w:rFonts w:hint="eastAsia" w:ascii="宋体" w:hAnsi="宋体" w:cs="宋体"/>
                <w:b/>
                <w:bCs/>
                <w:color w:val="0f1115"/>
                <w:sz w:val="24"/>
                <w:szCs w:val="24"/>
                <w:lang w:bidi="ar"/>
              </w:rPr>
              <w:t xml:space="preserve">消防执法助手模块</w:t>
            </w:r>
            <w:r/>
          </w:p>
        </w:tc>
      </w:tr>
      <w:tr>
        <w:trPr>
          <w:trHeight w:val="27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一、基础支撑功能</w:t>
            </w:r>
            <w:r/>
          </w:p>
        </w:tc>
      </w:tr>
      <w:tr>
        <w:trPr>
          <w:trHeight w:val="63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消防法规知识库管理-法规文本导入与解析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支持上传文字文档、PDF格式的法规文件，系统自动解析文本内容，抽取法规名称、颁布机构、生效日期、条款编号、条款正文。使用OCR处理扫描版PDF，使用文档生成组件解析文字文档。解析后的法规条款存入结构化数据库，支持人工修正。提供法规分类（法律/行政法规/部门规章/地方性法规/技术规范）。</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消防法规知识库管理-全文检索与版本管理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集成全文检索引擎建立法规全文索引，支持关键词高亮检索、同义词扩展（如“疏散通道”与“安全出口”）。每条法规保留修改历史，用户可查看版本差异，支持回滚到历史版本。</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消防法规知识库管理-条款关联标注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用户可手动为法规条款添加关联标签（如适用业态、检查项）。系统基于自然语言处理自动推荐关联标签（使用文本分类模型分类模型）。关联关系存储到知识图谱。</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隐患图像样本库建设-图像上传与标注工具</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供Web端标注工具，支持上传图片，使用边界框标注隐患区域，选择隐患类型（12类）。标注结果存储为标准标注格式格式。支持多人协同标注，标注进度可视化。提供质检功能，随机抽取标注结果进行人工校验。</w:t>
            </w:r>
            <w:r/>
          </w:p>
        </w:tc>
      </w:tr>
      <w:tr>
        <w:trPr>
          <w:trHeight w:val="63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隐患图像样本库建设-样本管理与模型迭代触发</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样本库列表支持按隐患类型、标注状态筛选。当某类隐患样本数量增加超过500张时，自动触发模型重训练任务，并使用新模型替换旧模型（需人工确认）。</w:t>
            </w:r>
            <w:r/>
          </w:p>
        </w:tc>
      </w:tr>
      <w:tr>
        <w:trPr>
          <w:trHeight w:val="63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执法裁量基准库管理-裁量规则录入与公式配置</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lang w:bidi="ar"/>
              </w:rPr>
              <w:suppressLineNumbers w:val="0"/>
            </w:pPr>
            <w:r>
              <w:rPr>
                <w:rFonts w:hint="eastAsia" w:ascii="宋体" w:hAnsi="宋体" w:eastAsia="宋体" w:cs="宋体"/>
                <w:i w:val="0"/>
                <w:iCs w:val="0"/>
                <w:color w:val="0f1115"/>
                <w:sz w:val="24"/>
                <w:szCs w:val="24"/>
                <w:u w:val="none"/>
                <w:lang w:val="en-US" w:eastAsia="zh-CN" w:bidi="ar"/>
              </w:rPr>
              <w:t xml:space="preserve">将《消防行政处罚裁量基准》转化为结构化规则：违法行为类型、裁量情节（轻微/一般/严重）、罚款幅度区间。支持配置裁量计算公式（如罚款金额 = 基准金额 × 情节系数 × 整改系数）。提供规则测试功能，输入情节输出建议罚款。</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执法裁量基准库管理-裁量规则版本管理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裁量规则修改时自动保存历史版本，支持版本对比。新版本生效后，旧版本仍可查询（用于历史案卷评查）。</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监督人员画像库管理-执法数据采集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从“驯火”系统同步监督检查记录、执法档案、案卷评查结果，计算每位监督员的检查单位数、隐患发现率、立案率、处罚到位率、文书规范率、复议诉讼情况。数据每日增量更新。</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监督人员画像库管理-画像可视化</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使用雷达图展示监督员在各维度的得分（与全市平均对比），生成个人能力分析报告（PDF）。支持按大队、按时间段筛选对比。</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二、智能执法辅助功能</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检查要点智能推送-协同过滤推荐模型</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基于历史检查记录（单位业态、检查项完成情况），训练协同过滤模型（基于项目的协同过滤），为监督员推荐当前单位可能存在的隐患类型。模型每周更新。</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检查要点智能推送-推送接口与移动端展示</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移动端进入检查页面时，调用推送接口获取检查清单，以卡片形式展示，支持逐项勾选“合格/不合格”，不合格项自动生成隐患记录草稿。</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执法文书自动生成-文书模板管理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支持上传文字文档模板（不少于10种文书类型），使用占位符（如【单位名称】、【检查日期】）标记需要填充的字段。模板可在线编辑、预览。</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执法文书自动生成-文书填充与生成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根据检查记录数据，调用文书生成服务，替换模板中的占位符，生成文书草案。同时根据裁量基准自动计算处罚金额（若涉及处罚）。支持批量生成（多单位）。</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作战要素采集功能-资源库建设</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围绕灭火救援全流程，设计数据模型：重点单位（建筑信息、联系人）、消防设施（位置、类型、状态）、水源分布（消火栓、天然水源）、危化品（种类、数量、存放位置）、应急预案、救援力量（车辆、人员）。数据从现有系统同步或人工录入。</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作战要素采集功能-PC端数据管理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PC端提供数据维护界面，支持增删改查、批量导入导出（电子表格）。提供数据校验功能（如坐标格式、电话格式）。</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作战要素采集功能-移动端查询与离线</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移动端支持按位置搜索周边水源、危化品信息（地理信息系统查询），支持离线缓存（地图瓦片、关键数据）。</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作战要素采集功能-数据共享接口</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提供标准接口风格 接口供灭火指挥系统调用，支持按单位ID查询作战要素，按坐标范围查询水源。接口需高性能（&lt;200ms）。</w:t>
            </w:r>
            <w:r/>
          </w:p>
        </w:tc>
      </w:tr>
      <w:tr>
        <w:trPr>
          <w:trHeight w:val="45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 三、执法监督与效能评估</w:t>
            </w:r>
            <w:r/>
          </w:p>
        </w:tc>
      </w:tr>
      <w:tr>
        <w:trPr>
          <w:trHeight w:val="4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执法质量自动巡查-巡查规则配置</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将执法质量检查标准转化为可执行规则，如“程序合规：限期整改后是否到期复查”、“文书规范：处罚决定书是否包含当事人信息”。规则存储为数据交换格式，支持启用/停用。</w:t>
            </w:r>
            <w:r/>
          </w:p>
        </w:tc>
      </w:tr>
      <w:tr>
        <w:trPr>
          <w:trHeight w:val="4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执法质量自动巡查-案卷解析与规则执行</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定期扫描已办结案卷（每日），调用OCR+自然语言处理提取案卷关键字段（签名、时间、条款）。对每个案卷执行所有巡查规则，生成问题列表。</w:t>
            </w:r>
            <w:r/>
          </w:p>
        </w:tc>
      </w:tr>
      <w:tr>
        <w:trPr>
          <w:trHeight w:val="4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执法质量自动巡查-巡查报告生成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汇总问题，生成巡查报告（文字文档/PDF），推送至办案人员及法制审核人员。报告包含问题明细、整改建议。</w:t>
            </w:r>
            <w:r/>
          </w:p>
        </w:tc>
      </w:tr>
      <w:tr>
        <w:trPr>
          <w:trHeight w:val="4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执法效能统计分析-多维度指标计算</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按时间（月/季/年）、区域、人员维度，统计检查数量、隐患发现率、立案率、处罚到位率、文书规范率。使用SQL聚合，结果缓存缓存数据库。</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执法效能看板</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使用可视化图表组件展示柱状图（各大队对比）、折线图（月度趋势）、仪表盘（目标完成率）。支持下钻到个人详情。</w:t>
            </w:r>
            <w:r/>
          </w:p>
        </w:tc>
      </w:tr>
      <w:tr>
        <w:trPr>
          <w:trHeight w:val="4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执法风险预警-实时风险评分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新案卷生成时，调用模型进行风险评分，超过阈值（如80）自动预警，推送至法制审核人员。</w:t>
            </w:r>
            <w:r/>
          </w:p>
        </w:tc>
      </w:tr>
      <w:tr>
        <w:trPr>
          <w:trHeight w:val="4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执法风险预警-预警列表与处理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展示风险预警列表，审核人员可查看详情，标记“已关注”或“已处置”。预警处理率纳入考核。</w:t>
            </w:r>
            <w:r/>
          </w:p>
        </w:tc>
      </w:tr>
      <w:tr>
        <w:trPr>
          <w:trHeight w:val="4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监督员绩效考核-考核指标配置</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用户可配置考核指标及权重（如检查数量20%、隐患发现率30%、文书规范率30%、复议诉讼情况20%）。支持月度/季度/年度考核。</w:t>
            </w:r>
            <w:r/>
          </w:p>
        </w:tc>
      </w:tr>
      <w:tr>
        <w:trPr>
          <w:trHeight w:val="4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监督员绩效考核-得分计算与排名</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每月定时计算各监督员考核得分，生成排名。排名结果可导出，支持图表展示（柱状图、折线图）。</w:t>
            </w:r>
            <w:r/>
          </w:p>
        </w:tc>
      </w:tr>
      <w:tr>
        <w:trPr>
          <w:trHeight w:val="4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监督员绩效考核-绩效报告</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等线" w:hAnsi="等线" w:eastAsia="等线" w:cs="等线"/>
                <w:i w:val="0"/>
                <w:iCs w:val="0"/>
                <w:color w:val="0f1115"/>
                <w:sz w:val="24"/>
                <w:szCs w:val="24"/>
                <w:u w:val="none"/>
                <w:lang w:val="en-US" w:eastAsia="zh-CN" w:bidi="ar"/>
              </w:rPr>
              <w:t xml:space="preserve">自动生成绩效报告（PDF），包含个人得分、排名变化、优势与短板建议。推送至本人及领导。</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四、数据准备与人工工作</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法规知识库实体标注（人工）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标注2000条法规条款的实体（适用业态、检查项、处罚标准），用于知识图谱构建。</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隐患图像采集标注（人工）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采集并标注3万张隐患图片（12类），使用标注工具，确保每张图片有边界框和类别标签。</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裁量基准库录入（人工）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将《消防行政处罚裁量基准》中的规则逐条录入系统，验证正确性。</w:t>
            </w:r>
            <w:r/>
          </w:p>
        </w:tc>
      </w:tr>
      <w:tr>
        <w:trPr>
          <w:trHeight w:val="420"/>
        </w:trPr>
        <w:tc>
          <w:tcPr>
            <w:gridSpan w:val="2"/>
            <w:shd w:val="clear" w:color="auto" w:fill="auto"/>
            <w:tcW w:w="1610" w:type="pct"/>
            <w:vAlign w:val="center"/>
            <w:textDirection w:val="lrTb"/>
            <w:noWrap/>
          </w:tcPr>
          <w:p>
            <w:pPr>
              <w:jc w:val="center"/>
              <w:widowControl/>
              <w:rPr>
                <w:rFonts w:hint="eastAsia" w:ascii="宋体" w:hAnsi="宋体" w:eastAsia="宋体" w:cs="宋体"/>
                <w:color w:val="0f1115"/>
                <w:sz w:val="24"/>
                <w:szCs w:val="24"/>
                <w:lang w:val="en-US" w:eastAsia="zh-CN" w:bidi="ar"/>
              </w:rPr>
            </w:pPr>
            <w:r>
              <w:rPr>
                <w:rFonts w:hint="eastAsia" w:ascii="宋体" w:hAnsi="宋体" w:cs="宋体"/>
                <w:b/>
                <w:bCs/>
                <w:color w:val="0f1115"/>
                <w:sz w:val="24"/>
                <w:szCs w:val="24"/>
                <w:lang w:val="en-US" w:eastAsia="zh-CN" w:bidi="ar"/>
              </w:rPr>
              <w:t xml:space="preserve">演示内容</w:t>
            </w:r>
            <w:r/>
          </w:p>
        </w:tc>
        <w:tc>
          <w:tcPr>
            <w:shd w:val="clear" w:color="auto" w:fill="ffffff"/>
            <w:tcW w:w="3389" w:type="pct"/>
            <w:vAlign w:val="center"/>
            <w:textDirection w:val="lrTb"/>
            <w:noWrap w:val="false"/>
          </w:tcPr>
          <w:p>
            <w:pPr>
              <w:jc w:val="left"/>
              <w:widowControl/>
              <w:rPr>
                <w:rFonts w:hint="eastAsia" w:ascii="宋体" w:hAnsi="宋体" w:cs="宋体"/>
                <w:color w:val="0f1115"/>
                <w:sz w:val="24"/>
                <w:szCs w:val="24"/>
                <w:lang w:bidi="ar"/>
              </w:rPr>
            </w:pPr>
            <w:r>
              <w:rPr>
                <w:rFonts w:hint="eastAsia" w:ascii="宋体" w:hAnsi="宋体" w:cs="宋体"/>
                <w:color w:val="c00000"/>
                <w:sz w:val="24"/>
                <w:szCs w:val="24"/>
                <w:lang w:bidi="ar"/>
              </w:rPr>
              <w:t xml:space="preserve">包含①检查要点智能推送，演示输入被检查单位名称后系统自动关联该单位的行业类型、历史隐患和风险等级，智能生成针对性检查要点清单；②执法文书自动生成与在线编辑，演示选择文书类型后系统自动填充单位基本信息、检查情况和隐患描述，生成格式规范的文书草稿并支持在线编辑修改。</w:t>
            </w:r>
            <w:r/>
          </w:p>
        </w:tc>
      </w:tr>
      <w:tr>
        <w:trPr>
          <w:trHeight w:val="604"/>
        </w:trPr>
        <w:tc>
          <w:tcPr>
            <w:gridSpan w:val="3"/>
            <w:shd w:val="clear" w:color="auto" w:fill="auto"/>
            <w:tcW w:w="5000" w:type="pct"/>
            <w:vAlign w:val="center"/>
            <w:textDirection w:val="lrTb"/>
            <w:noWrap/>
          </w:tcPr>
          <w:p>
            <w:pPr>
              <w:jc w:val="left"/>
              <w:widowControl/>
              <w:rPr>
                <w:rFonts w:ascii="宋体" w:hAnsi="宋体" w:cs="宋体"/>
                <w:b/>
                <w:bCs/>
                <w:color w:val="0f1115"/>
                <w:sz w:val="24"/>
                <w:szCs w:val="24"/>
              </w:rPr>
            </w:pPr>
            <w:r>
              <w:rPr>
                <w:rFonts w:hint="eastAsia" w:ascii="宋体" w:hAnsi="宋体" w:cs="宋体"/>
                <w:b/>
                <w:bCs/>
                <w:color w:val="0f1115"/>
                <w:sz w:val="24"/>
                <w:szCs w:val="24"/>
                <w:lang w:bidi="ar"/>
              </w:rPr>
              <w:t xml:space="preserve">综合态势展示与决策分析模块</w:t>
            </w:r>
            <w:r/>
          </w:p>
        </w:tc>
      </w:tr>
      <w:tr>
        <w:trPr>
          <w:trHeight w:val="27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一、基础支撑功能</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二三维地理信息系统地图引擎集成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集成高德地图接口或天地图，支持2D矢量地图、卫星影像、3D倾斜摄影模型的切换。配置地图服务密钥，初始化地图控件（缩放、比例尺、测距、全屏）。实现地图实例管理，支持多地图实例（主地图、小地图）。</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地图瓦片缓存与加载优化</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实现地图瓦片缓存策略（浏览器缓存或浏览器本地存储），减少网络请求。支持离线地图包（预下载区域瓦片）。使用瓦片金字塔加载策略，优先加载低级别瓦片。</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图层管理服务</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设计图层抽象类，支持矢量图层（地理数据格式）、瓦片图层（WMS）、热力图图层、聚合点图层。提供图层控制面板，用户可勾选显示/隐藏图层，调整图层透明度、顺序。</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坐标转换与空间查询</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支持坐标加密（火星坐标系）、WGS-84、坐标偏移之间的坐标转换。实现空间查询（点是否在多边形内、圆形范围查询）。使用空间计算库或后台空间数据库扩展完成。</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数据动态更新与同步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使用实时消息通道推送实时数据（新隐患、新警情、监督员位置），前端收到后自动刷新地图图层。支持断线重连、心跳保活。</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可视化组件库管理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封装可视化图表组件库（折线图、柱状图、饼图、雷达图、热力图、散点图），提供统一配置接口。支持图表联动（点击地图区域，图表同步过滤）。</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二、全市风险态势总览</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风险四色分布图-数据聚合</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后台按行政区（区县、街道）聚合单位风险等级数量，生成地理数据格式格式数据，包含每个区域的红/橙/黄/蓝单位数量及平均风险指数。</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风险四色分布图-地图渲染</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前端根据地理数据格式数据对行政区域进行着色（红色≥70%高风险单位，橙色≥30%，黄色≥10%，蓝色其他）。支持颜色渐变自定义。</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区域风险排名-计算与缓存</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后台计算各区县、街道的风险指数排名（加权平均），结果缓存缓存数据库（有效期 1小时）。支持环比（较上周）变化计算。</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区域风险排名-前端展示</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使用列表组件展示排名，每行显示区域名称、风险指数、环比箭头（上/下/平）。点击行触发地图定位（地图定位）。</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风险趋势曲线-数据接口</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后台提供全市近7/30天平均风险指数序列，支持日、周聚合。</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风险趋势曲线-图表绘制</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使用可视化图表组件折线图，支持平滑曲线、面积填充，鼠标悬停显示数值。可叠加专项整治行动等事件标记（垂直虚线+标签）。</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核心指标卡片-实时指标计算</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后台实时计算今日新增隐患数、在册隐患总数、超期隐患数、重点单位总数、高风险单位数、设备在线率等。使用缓存数据库原子计数或实时查询。</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核心指标卡片-自动刷新</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前端使用轮询（每30秒）或实时消息通道推送指标变化，卡片数字变化时带闪烁动画。支持点击卡片下钻到相关列表。</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高风险单位前十-数据接口</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后台查询当前风险指数最高的10家单位，返回名称、风险指数、等级、业态。</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高风险单位前十-滚动展示</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前端使用滚动列表组件，鼠标悬停暂停滚动。点击单位弹出详情卡片（可跳转）。</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三、隐患治理动态监控</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隐患点位分布图-点位数据聚合</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后台查询隐患表，返回每个隐患的经纬度、类型、等级、整改状态。支持按等级筛选（重大/一般/轻微）。</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隐患点位分布图-地图标记与聚类</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使用地图渲染引擎.markercluster插件，实现点聚类（放大时显示单个图标）。不同等级隐患使用不同颜色图标（红/橙/黄）。</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隐患点位分布图-信息窗详情</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点击标记弹出信息窗，展示隐患描述、单位名称、发现时间、整改期限、责任人、整改状态。提供“查看详情”按钮跳转隐患详情页。</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隐患热力图-核密度计算</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后台使用核密度估计算法（核密度估计），传入隐患坐标点，输出热力图网格数据。支持带宽参数调节。</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隐患热力图-前端渲染</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使用地图渲染引擎.heat或在线地图服务热力图插件，根据网格数据渲染渐变热力效果。</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治理进度图层-整改率计算</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后台按街道/网格聚合整改率（已销号隐患数/总隐患数），计算超期率、按时销号率。</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治理进度图层-区域着色</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前端根据整改率对区域填充颜色（绿色&gt;90%，黄色70-90%，红色&lt;70%），添加图例。点击区域弹出详细统计。</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超期隐患高亮</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后台筛选超期隐患点位，前端使用特殊图标（如红边框+闪动动画）高亮显示。提供一键筛选按钮（仅显示超期隐患）。</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隐患动态滚动-实时推送</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新隐患创建时通过实时消息通道推送，前端滚动列表顶部插入新记录，显示隐患描述、单位、发现时间。</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四、监督执法任务跟踪</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今日检查任务分布-任务数据接口</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后台查询今日计划检查任务，返回任务点位（单位经纬度）、任务状态（待执行/执行中/已完成）、检查人员。</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今日检查任务分布-地图标记</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前端根据任务状态使用不同颜色图标（灰/蓝/绿），点击标记弹出任务详情（检查单位、人员、时间、要点）。</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监督员实时位置-移动端GPS上报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移动端每隔5分钟上报GPS位置（经纬度、精度、时间），后台存储位置历史。</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监督员实时位置-地图实时展示</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前端使用实时消息通道接收监督员实时位置，在地图上显示人员图标（不同大队不同颜色），点击图标显示姓名、今日任务完成数。</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监督员实时位置-轨迹回放</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支持选择监督员和时间段，回放历史轨迹（动画播放）。使用地图渲染引擎 折线绘制路径，带方向箭头。</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任务完成进度条</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后台按大队统计今日任务完成率（已完成/总数）。前端使用进度条组件（环形或水平），展示各大队完成情况，支持下钻。</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执法热力图-检查频次聚合</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后台按区域聚合近7/30天检查次数，生成网格数据。</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执法热力图-热力图渲染</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前端叠加检查频次热力图，颜色越深表示检查越密集。</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执法动态滚动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实时滚动显示最新检查记录（“XX监督员在XX单位发现XX隐患”）、最新处罚决定、最新临时查封等信息。</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五、重点监管对象专题图</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高风险单位分布-数据接口</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后台查询风险等级为红色/橙色的单位，返回点位和业态。支持按业态筛选（化工/商场/医院等）。</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高风险单位分布-地图标记</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红色单位用红标，橙色用橙标。点击标记弹出风险详情卡片（风险指数、等级、主要隐患）。</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重大火灾隐患单位标注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后台查询挂牌督办的重大火灾隐患单位，返回点位、整改期限、责任人。前端使用特殊图标（如红旗）标注。</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重点行业专题-行业筛选</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提供行业下拉选择（教育、民政、文旅等），前端根据选择过滤地图上显示的单位点位。后台支持按行业快速查询。</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老旧小区/九小场所专题图层</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后台查询老旧小区和九小场所点位，前端作为独立图层叠加，支持显隐控制。</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自定义重点关注清单-清单管理</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用户可创建自定义清单（如“领导交办单位”），批量添加单位。清单存储到数据库，支持增删改查。</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自定义重点关注清单-地图高亮</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将自定义清单中的单位在地图上高亮显示（特殊边框）。</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六、专项整治行动指挥与跟踪</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专项整治行动看板-数据聚合</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后台根据整治专项ID，统计检查完成率、隐患发现率、整改完成率、处罚情况。</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专项整治行动看板-仪表盘展示</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前端使用可视化图表组件仪表盘展示完成率，进度条展示各区域进度。展示整治对象分布地图（按整治状态着色）。</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整治对象分布地图</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后台返回整治涉及的单位点位及状态（待检查/已检查/已整改/超期），前端用不同颜色图标标注。</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整治动态滚动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实时滚动显示最新检查记录、整改完成、超期预警。</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整治成效评估-前后对比</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后台计算整治前后风险指数变化、隐患数量变化、事故发生率变化，使用统计匹配分析或前后对比分析法。</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整治成效评估-可视化图表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前端展示对比柱状图、折线图，问题类型分布词云。</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整治成效评估-报告生成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自动生成专项整治成效报告（文字文档/PDF），包含概况、数据统计、问题分析、改进建议。</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七、辅助决策分析功能</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多维数据分析看板-在线分析处理引擎集成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集成分析型数据库或实时分析数据库，建立消防数据立方体，维度包括时间、区域、业态、隐患类型、执法类型。</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多维数据分析看板-拖拽式配置</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前端实现拖拽组件，用户可将维度拖入行/列区域，指标拖入值区域。支持上卷、下钻、切片、旋转操作。</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多维数据分析看板-图表联动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支持多种图表类型（表格、柱状图、折线图、饼图），图表之间联动筛选。</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多维数据分析看板-保存与分享</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用户可保存分析视图，生成分享链接（带参数）。</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风险预测与趋势研判-预测模型集成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集成时序预测模型或趋势预测模型，结合气象、节假日数据，预测未来一周各区县火灾发生概率。模型每日重训练。</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风险预测与趋势研判-预测结果可视化</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前端展示预测热力图、趋势曲线，标注高风险时段。</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隐患趋势预警-异常检测</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检测隐患数量环比增长超过30%的地区或业态，自动生成预警消息。</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治理效能评估报告-报告模板</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设计月度/季度/年度效能评估报告模板（文字文档），包含固定章节和占位符。</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治理效能评估报告-数据填充与生成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定时任务（每月1日）自动查询数据，填充模板，生成报告并推送至领导邮箱。</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监管资源配置分析-人-风险匹配度</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计算各区域高风险单位数量与监督员编制数量的比值，识别“高风险低监管”区域。</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监管资源配置分析-检查频次合理性</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分析各风险等级单位的实际检查频次与建议频次（高风险每月1次）的偏差，使用箱线图识别异常。</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监管资源配置分析-任务负荷均衡</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统计各监督员的任务量和工作饱和度（实际任务量/标准任务量），使用洛伦兹曲线和基尼系数分析不均衡程度。</w:t>
            </w:r>
            <w:r/>
          </w:p>
        </w:tc>
      </w:tr>
      <w:tr>
        <w:trPr>
          <w:trHeight w:val="27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八、移动端驾驶舱</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领导移动驾驶舱-移动端适配</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使用响应式布局，适配手机（移动端）和平板。集成地图组件（移动端可用性优化）。</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领导移动驾驶舱-核心指标卡片</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展示关键指标（隐患总数、超期数、高风险单位数），支持下拉刷新。</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领导移动驾驶舱-风险地图</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移动端风险四色地图，支持缩放、点击查看详情。</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领导移动驾驶舱-趋势图表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移动端折线图、柱状图，支持手势缩放。</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b/>
                <w:bCs/>
                <w:color w:val="0f1115"/>
                <w:sz w:val="24"/>
                <w:szCs w:val="24"/>
                <w:lang w:bidi="ar"/>
              </w:rPr>
            </w:pPr>
            <w:r>
              <w:rPr>
                <w:rFonts w:hint="eastAsia" w:ascii="宋体" w:hAnsi="宋体" w:cs="宋体"/>
                <w:b/>
                <w:bCs/>
                <w:color w:val="0f1115"/>
                <w:sz w:val="24"/>
                <w:szCs w:val="24"/>
                <w:lang w:bidi="ar"/>
              </w:rPr>
              <w:t xml:space="preserve">九、数据准备与人工工作</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地理信息坐标校准（人工）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对全市3000个重点单位、消火栓、消防站的坐标进行校准，确保地图点位准确。</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行政区划边界数据整理（人工）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整理区县、街道、社区的三级行政区划边界地理数据格式数据，确保与地图底图对齐。</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图层样式配置（人工）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配置各专题图层的颜色、图标、分级标准，与业务人员确认。</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大屏布局设计（人工）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设计多个大屏场景的布局方案，与领导确认。</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预测模型训练数据准备（人工）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整理近5年火灾历史数据、气象数据、节假日数据，用于训练风险预测模型。</w:t>
            </w:r>
            <w:r/>
          </w:p>
        </w:tc>
      </w:tr>
      <w:tr>
        <w:trPr>
          <w:trHeight w:val="420"/>
        </w:trPr>
        <w:tc>
          <w:tcPr>
            <w:gridSpan w:val="2"/>
            <w:shd w:val="clear" w:color="auto" w:fill="auto"/>
            <w:tcW w:w="1610" w:type="pct"/>
            <w:vAlign w:val="center"/>
            <w:textDirection w:val="lrTb"/>
            <w:noWrap/>
          </w:tcPr>
          <w:p>
            <w:pPr>
              <w:jc w:val="center"/>
              <w:widowControl/>
              <w:rPr>
                <w:rFonts w:hint="eastAsia" w:ascii="宋体" w:hAnsi="宋体" w:eastAsia="宋体" w:cs="宋体"/>
                <w:color w:val="0f1115"/>
                <w:sz w:val="24"/>
                <w:szCs w:val="24"/>
                <w:lang w:val="en-US" w:eastAsia="zh-CN" w:bidi="ar"/>
              </w:rPr>
            </w:pPr>
            <w:r>
              <w:rPr>
                <w:rFonts w:hint="eastAsia" w:ascii="宋体" w:hAnsi="宋体" w:cs="宋体"/>
                <w:b/>
                <w:bCs/>
                <w:color w:val="0f1115"/>
                <w:sz w:val="24"/>
                <w:szCs w:val="24"/>
                <w:lang w:val="en-US" w:eastAsia="zh-CN" w:bidi="ar"/>
              </w:rPr>
              <w:t xml:space="preserve">演示内容</w:t>
            </w:r>
            <w:r/>
          </w:p>
        </w:tc>
        <w:tc>
          <w:tcPr>
            <w:shd w:val="clear" w:color="auto" w:fill="ffffff"/>
            <w:tcW w:w="3389" w:type="pct"/>
            <w:vAlign w:val="center"/>
            <w:textDirection w:val="lrTb"/>
            <w:noWrap w:val="false"/>
          </w:tcPr>
          <w:p>
            <w:pPr>
              <w:jc w:val="left"/>
              <w:widowControl/>
              <w:rPr>
                <w:rFonts w:hint="eastAsia" w:ascii="宋体" w:hAnsi="宋体" w:cs="宋体"/>
                <w:color w:val="0f1115"/>
                <w:sz w:val="24"/>
                <w:szCs w:val="24"/>
                <w:lang w:bidi="ar"/>
              </w:rPr>
            </w:pPr>
            <w:r>
              <w:rPr>
                <w:rFonts w:hint="eastAsia" w:ascii="宋体" w:hAnsi="宋体" w:cs="宋体"/>
                <w:color w:val="c00000"/>
                <w:sz w:val="24"/>
                <w:szCs w:val="24"/>
                <w:lang w:bidi="ar"/>
              </w:rPr>
              <w:t xml:space="preserve">包含①全市火灾风险态势总览大屏，演示基于GIS地图上以四色分级渲染全市各区域风险等级、高风险单位点位及核心统计指标和隐患治理动态监控看板，包括隐患数量、类型分布、整改率、超期预警等关键指标的图表化展示及按区域/行业/时间维度的切换筛选；②重点监管对象专题图，演示在GIS地图上按高层建筑、大型商业综合体、化工企业等类别分层展示重点单位位置、风险等级标签及点击查看单位详情卡片（含基本信息、风险评分、近期隐患、检查记录）。</w:t>
            </w:r>
            <w:r/>
          </w:p>
        </w:tc>
      </w:tr>
      <w:tr>
        <w:trPr>
          <w:trHeight w:val="716"/>
        </w:trPr>
        <w:tc>
          <w:tcPr>
            <w:gridSpan w:val="3"/>
            <w:shd w:val="clear" w:color="auto" w:fill="auto"/>
            <w:tcW w:w="5000" w:type="pct"/>
            <w:vAlign w:val="center"/>
            <w:textDirection w:val="lrTb"/>
            <w:noWrap/>
          </w:tcPr>
          <w:p>
            <w:pPr>
              <w:jc w:val="left"/>
              <w:widowControl/>
              <w:rPr>
                <w:rFonts w:ascii="宋体" w:hAnsi="宋体" w:cs="宋体"/>
                <w:b/>
                <w:bCs/>
                <w:color w:val="0f1115"/>
                <w:sz w:val="24"/>
                <w:szCs w:val="24"/>
              </w:rPr>
            </w:pPr>
            <w:r>
              <w:rPr>
                <w:rFonts w:hint="eastAsia" w:ascii="宋体" w:hAnsi="宋体" w:cs="宋体"/>
                <w:b/>
                <w:bCs/>
                <w:color w:val="0f1115"/>
                <w:sz w:val="24"/>
                <w:szCs w:val="24"/>
                <w:lang w:bidi="ar"/>
              </w:rPr>
              <w:t xml:space="preserve">行政处罚案卷智能评查辅助模块</w:t>
            </w:r>
            <w:r/>
          </w:p>
        </w:tc>
      </w:tr>
      <w:tr>
        <w:trPr>
          <w:trHeight w:val="27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一、基础支撑功能</w:t>
            </w:r>
            <w:r/>
          </w:p>
        </w:tc>
      </w:tr>
      <w:tr>
        <w:trPr>
          <w:trHeight w:val="210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303</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评查细则结构化录入与标准库构建</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依据总队制定的《消防行政处罚案卷网上评查细则》（总分10分制），将评查标准逐条结构化录入系统。标准库覆盖六大评审事项：执法主体资格审查（1分，含双人执法要求）、违法事实认定审查（2分，含责任主体认定准确性和事实描述完整性）、执法程序合法性审查（3分，含立案/法核/审核/审批/告知/听证/送达/强制执行全流程节点检查）、证据充分性审查（2分，含证据材料完整性/询问笔录规范性/物证拍照规范性）、法律适用正确性审查（2分，含条款引用准确性和自由裁量适当性）、网上录入及时性审查（0.5分，属扣分项）。每条评查标准</w:t>
            </w:r>
            <w:r>
              <w:rPr>
                <w:rFonts w:hint="eastAsia" w:ascii="宋体" w:hAnsi="宋体" w:eastAsia="宋体" w:cs="宋体"/>
                <w:i w:val="0"/>
                <w:iCs w:val="0"/>
                <w:color w:val="000000"/>
                <w:sz w:val="24"/>
                <w:szCs w:val="24"/>
                <w:u w:val="none"/>
                <w:lang w:val="en-US" w:eastAsia="zh-CN" w:bidi="ar"/>
              </w:rPr>
              <w:t xml:space="preserve">记录以下属性：标准编号（唯一标识）、评审事项分类、标准描述（如立案审批表/登记表仅1名执法人员签名）、扣分规则（如每发现一处扣0.2分累计不超过1分）、检查要点（明确需要检查的文书类型/字段/逻辑关系）、适用条件（如仅适用于一般程序案件/仅适用于重大处罚案件）、可自动评查标识（标记该标准是否能由AI系统自动判断，如签名数量识别可以自动判断,但法律适用是否准确的实质判断需要人工）。标准库提供动态维护和版本管理功能：管理员可依据上级发布的最新评查标准进行批量更新导入，每次更新生成新版本号，历史版本归档只读保存。</w:t>
            </w:r>
            <w:r/>
          </w:p>
        </w:tc>
      </w:tr>
      <w:tr>
        <w:trPr>
          <w:trHeight w:val="63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案卷解析与信息提取引擎-OCR手写体识别</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针对消防案卷中的手写签名、手写日期、手写批注，训练专用OCR模型（文字识别模型+序列对齐算法或文档文字识别模型）。使用5000张手写样本（含不同笔迹、墨水颜色、纸张背景）进行微调。手写体识别准确率目标≥85%。对印章遮挡区域的文字，使用图像修复算法（如U-Net）预处理后再识别。</w:t>
            </w:r>
            <w:r/>
          </w:p>
        </w:tc>
      </w:tr>
      <w:tr>
        <w:trPr>
          <w:trHeight w:val="63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案卷解析与信息提取引擎-多文书一致性关联</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将同一案卷的不同文书关联起来，建立文书间的关系（如立案审批表与处罚决定书的当事人是否一致）。使用文档ID关联和实体对齐算法。</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评查任务管理-任务创建与分配</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支持手动创建评查任务：选择单个案卷或批量导入案卷列表（电子表格），设置评查人员（法制员）。支持自动触发：新案卷办结时自动加入评查队列（可配置规则，如按案卷类型、处罚金额阈值）。任务分配支持轮询、按区域、按人员负载均衡。</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评查任务管理-任务进度监控</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展示评查任务列表（任务名称、案卷数量、已评数量、待评数量、完成率、状态）。支持催办（向评查人员发送消息提醒）。提供任务统计看板（平均评查时长、按时完成率）。</w:t>
            </w:r>
            <w:r/>
          </w:p>
        </w:tc>
      </w:tr>
      <w:tr>
        <w:trPr>
          <w:trHeight w:val="27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二、智能案卷评查</w:t>
            </w:r>
            <w:r/>
          </w:p>
        </w:tc>
      </w:tr>
      <w:tr>
        <w:trPr>
          <w:trHeight w:val="105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308</w:t>
            </w:r>
            <w:r/>
          </w:p>
        </w:tc>
        <w:tc>
          <w:tcPr>
            <w:shd w:val="clear" w:color="auto" w:fill="auto"/>
            <w:tcW w:w="1492"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文档预处理管道开发</w:t>
            </w:r>
            <w:r/>
          </w:p>
        </w:tc>
        <w:tc>
          <w:tcPr>
            <w:shd w:val="clear" w:color="auto" w:fill="auto"/>
            <w:tcW w:w="6434" w:type="dxa"/>
            <w:vAlign w:val="center"/>
            <w:textDirection w:val="lrTb"/>
            <w:noWrap w:val="false"/>
          </w:tcPr>
          <w:p>
            <w:pPr>
              <w:jc w:val="left"/>
              <w:keepLines w:val="0"/>
              <w:keepNext w:val="0"/>
              <w:widowControl/>
              <w:rPr>
                <w:rFonts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开发案卷文档的预处理管道。案卷以P</w:t>
            </w:r>
            <w:r>
              <w:rPr>
                <w:rFonts w:hint="eastAsia" w:ascii="宋体" w:hAnsi="宋体" w:eastAsia="宋体" w:cs="宋体"/>
                <w:i w:val="0"/>
                <w:iCs w:val="0"/>
                <w:color w:val="000000"/>
                <w:sz w:val="24"/>
                <w:szCs w:val="24"/>
                <w:u w:val="none"/>
                <w:lang w:val="en-US" w:eastAsia="zh-CN" w:bidi="ar"/>
              </w:rPr>
              <w:t xml:space="preserve">DF扫描件形式从执法档案库中获取。处理流程：使用PDF转图片工具库将PDF的每一页转换为高分辨率PNG图片（300dpi），对图片进行预处理操作——高斯滤波去噪（设定合适参数）、自适应二值化（自动阈值算法算法自动计算最优阈值）、倾斜校正（使用霍夫变换检测文本行的倾斜角度并旋转校正）、页面分割（检测页面的页眉/页脚/正文/表格/印章区域并分别标注）。对于含表格的文书页面，额外使用cv2的表格线检测算法识别表格的行列边界，将表格区域单独提取出来用于后续的结构化识别。预处理后的图片和区域标注信息存入临时处理缓存。</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多维度自动评查引擎-多文书比对</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实现跨文书的逻辑校验，例如：立案审批表中的“违法事实”与处罚决定书中的“违法事实”是否一致（文本相似度阈值0.8）；询问笔录中的时间是否与检查记录时间逻辑一致。使用差异度量和语义匹配综合判断。</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多维度自动评查引擎-得分计算</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根据各规则命中情况和扣分规则，计算各评审事项得分和总分。扣分规则支持“每处扣X分，最高扣Y分”，需要统计问题出现次数。总分上限10分，低于0分按0分计。提供得分明细表。</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执法主体合法性评查-双人签名检查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遍历立案审批表、消防监督检查记录、询问笔录等文书，使用签名检测模型（目标检测模型）识别签名区域，统计签名数量。若仅1人签名，每条文书扣0.2分（累计最高1分）。需区分执法人员签名和当事人签名（通过位置和上下文区分）。</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执法主体合法性评查-签名一致性检查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检查同一案卷中不同文书上的执法人员签名是否一致（签名图像相似度）。使用孪生网络计算签名相似度，低于阈值提示异常。</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违法事实清晰度评查-主体认定检查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是否有被处罚对象的身份证明文件（身份证或营业执照），若缺失扣0.5分。比对证据材料中的当事人名称与处罚决定书是否一致，不一致扣0.5分。检查违法主体名称、地址等基本信息是否填写完整（字段非空）。</w:t>
            </w:r>
            <w:r/>
          </w:p>
        </w:tc>
      </w:tr>
      <w:tr>
        <w:trPr>
          <w:trHeight w:val="63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违法事实清晰度评查-事实认定检查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取各文书中的违法行为发生时间，比对是否一致（如立案时间早于发现时间则异常）。通过语义分析（文本分类模型）检查违法事实描述是否清晰（如是否包含时间、地点、行为、后果）。识别是否有法定从轻/减轻/从重情节的描述（关键词匹配+语义理解）。比对不同文书中认定的违法事实是否一致（文本相似度）。</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程序合法性评查-立案程序</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检查是否有立案审批表，是否经审批（有审批意见和签名），是否反映违法事实（非空）。缺失则扣0.5分。</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程序合法性评查-法核、审核、审批</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是否有法核意见、审核意见、审批意见，缺少一项扣0.5分。检查法核人员是否与办案人员或审批人员为同一人（通过姓名比对），若是扣0.5分。检查法核意见是否对事实、证据、法律适用等提出明确意见（文本长度&gt;10字且非模板话术）。</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程序合法性评查-集体议案</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对于重大处罚案件（如罚款金额≥3万元或责令停产停业），检查是否有集体议案记录。若无扣0.5分；检查参加人员数量是否符合规定（≥3人）。</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程序合法性评查-告知程序</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检查是否有行政处罚告知书。若无扣0.2分。检查告知内容是否包含拟处罚决定、事实、理由、依据以及陈述申辩权、听证权（通过关键词匹配）。对应当告知听证权利的未告知扣0.2分。</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程序合法性评查-听证程序</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如有听证申请，检查听证人员是否为本案件调查承办人员（若同一人扣0.2分）。检查听证通知书送达时间是否符合规定（听证7日前）。检查听证笔录是否完整、是否有签名。检查听证报告书是否有明确处理建议。</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程序合法性评查-履行情况</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检查是否有对当事人履行处罚决定情况的检查记录（如复查记录、照片）。若无扣0.2分。若当事人逾期不履行，检查是否有催告书、强制执行方案、强制执行决定书等，材料不全每项扣0.2分，未催告扣0.3分。</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程序合法性评查-文书送达</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检查是否有送达回证或有效送达凭证（邮寄凭证、公告截图）。若无扣0.5分。检查当事人签名是否规范（非空白、非打印），签收人身份是否明确（与当事人关系）。不规范扣0.3分。</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程序合法性评查-文书格式</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检查文书格式是否符合规定（如是否有“公安”字样、询问笔录是否有“传唤”字样），不符合扣0.2分。检查文书填写是否规范、有无错漏字（通过错别字检测模型）。</w:t>
            </w:r>
            <w:r/>
          </w:p>
        </w:tc>
      </w:tr>
      <w:tr>
        <w:trPr>
          <w:trHeight w:val="63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证据合法性充分性评查-证据完整性</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是否有证明违法主体资格的证据（营业执照、身份证），若无扣0.5分。检查复印件是否有“与原件一致”章、核对人签名，不符合扣0.2分。检查证据之间是否有矛盾（如现场照片显示的时间与检查记录不符），通过语义分析识别矛盾点。检查是否缺少关键证据（如现场照片、检测报告）。</w:t>
            </w:r>
            <w:r/>
          </w:p>
        </w:tc>
      </w:tr>
      <w:tr>
        <w:trPr>
          <w:trHeight w:val="63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证据合法性充分性评查-询问笔录</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是否对违法嫌疑人制作询问笔录，若无扣0.2分。通过文本长度和内容丰富度分析，检查笔录内容是否过于简单（&lt;100字）。检查当事人是否逐页签名、注明时间，若无且未说明原因扣0.2分。检查是否对所有拟处罚的违法嫌疑人均进行了询问（多人时）。</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证据合法性充分性评查-物证拍照</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检查应当拍照的物证是否有照片，若无扣0.2分。检查照片是否有拍照时间、地点、证明事项说明及人员签名（OCR提取文字）。</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证据合法性充分性评查-登记保存</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检查应当登记保存的物证是否及时登记保存，若无扣0.2分。检查是否有《先行登记保存决定书》及清单，清单填写是否规范、有签名。检查登记保存是否超过法定期限（7天）未处理。</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法律适用正确性评查-法律条款引用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检查处罚决定书引用的法律条、款、项是否准确（与法律知识库比对），若不准确扣0.5分。检查案由是否符合消防安全违法行为名称规范，若不符合扣0.5分。若引用法律完全错误（如引用已废止法规），扣1分。</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法律适用正确性评查-自由裁量</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检查处罚决定是否显失公平，通过比对同类型案件处罚数据和裁量基准库，若处罚金额明显偏离基准范围（如超过2倍标准差），扣0.5分。检查呈请处罚审批表或集体议案记录中是否对自由裁量情况进行说明和审查，若无说明扣1分。</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网上录入及时性评查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比对案卷办结时间（纸质档案归档时间）与网上录入时间，若延迟超过3个工作日，扣0.5分。检查案卷电子材料是否齐全（如缺少关键文书扫描件），扣0.2分。检查结构化数据与文书内容是否一致（如当事人姓名不一致）。</w:t>
            </w:r>
            <w:r/>
          </w:p>
        </w:tc>
      </w:tr>
      <w:tr>
        <w:trPr>
          <w:trHeight w:val="27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三、人工复核修正</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评查结果复核工作台-问题列表展示</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按评审事项分组展示AI初评发现的问题，每个问题包含问题描述、扣分建议、涉及文书、规则依据、AI置信度标签（高/中/低）。支持按置信度排序、按文书类型筛选。</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评查结果复核工作台-文书预览联动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右侧提供文书预览面板（文档预览组件），点击问题列表中的涉及文书，自动跳转到对应页面并高亮相关段落（通过坐标定位）。支持双页对比（并排显示两份文书）。</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评查结果复核工作台-问题操作</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每条问题提供操作按钮：确认扣分（采纳AI结果）、修改扣分（调整分值）、忽略（标记为误报）、补充问题（人工添加新问题）。操作记录到复核日志。</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评查结果复核工作台-置信度阈值配置</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管理员可配置置信度阈值，低于阈值的AI问题自动标记为“需重点关注”，在列表中置顶显示。</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证据材料在线查阅-文档预览</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支持PDF、图片、文档文档在线预览，使用文档预览组件和在线文档服务预览服务。提供缩放、旋转、翻页、缩略图导航功能。</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证据材料在线查阅-批注标注</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评查人员可在文档上添加批注（文字、矩形框），批注保存到数据库，下次打开时显示。支持导出带批注的PDF。</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证据材料在线查阅-对比查看</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支持选择两份文书（如整改前后照片）并排对比，同步缩放、同步翻页。</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复核意见与结论录入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复核完成后，填写总体复核意见（文本），选择案卷等级（优秀/良好/合格/不合格）。系统自动汇总AI得分和人工修改后的得分，计算最终得分。</w:t>
            </w:r>
            <w:r/>
          </w:p>
        </w:tc>
      </w:tr>
      <w:tr>
        <w:trPr>
          <w:trHeight w:val="27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复核提交与锁定</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提交复核结果后，案卷状态变为“已评查”，评查结果锁定不可修改（如需修改需有权限审批）。记录复核人、复核时间。</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复核反馈与模型优化-误报/漏报记录</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将人工标记为误报的问题（AI认为有问题但实际没问题）和人工补充的问题（AI未发现但实际有问题）记录到校正反馈记录表，包含问题类型、涉及文书、原因说明。</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复核反馈与模型优化-模型重训练触发</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当反馈数据积累到一定数量（如500条），自动触发模型重训练任务，使用增量学习或全量训练。训练完成后通知管理员，经确认后可部署新模型。</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复核反馈与模型优化-模型性能监控</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展示模型准确率、召回率、综合评估指标的变化趋势（按周/月），以及各类型问题的准确率明细。</w:t>
            </w:r>
            <w:r/>
          </w:p>
        </w:tc>
      </w:tr>
      <w:tr>
        <w:trPr>
          <w:trHeight w:val="27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四、评查报告</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个案评查报告-模板设计</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供文字文档报告模板，包含封面（案卷名称、编号、评查组织单位、评查人、复核人、评查日期）、基本情况表格、评分总览（总分及各分项得分雷达图）、问题明细表、评查结论、整改建议。模板使用占位符。</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个案评查报告-数据填充与生成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根据评查结果填充模板，使用文档生成组件生成文字文档文档。雷达图使用图表渲染组件服务端渲染后插入。报告支持下载文字文档和PDF格式。</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个案评查报告-批量导出</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支持选择多个案卷，批量生成评查报告（ZIP压缩包）。</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345</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评查汇总报告-月度/季度汇总</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按时间范围（月/季/年）统计评查案卷总数、平均得分、合格率、优秀率、各分数段分布、高频扣分项前十、各单位/办案人员得分排名。生成趋势图（折线图）。</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346</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整改通知书自动生成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对于得分低于8分或存在重大问题的案卷，自动生成《案卷质量整改通知书》。通知书包含案卷信息、问题清单、整改要求、整改时限。可在线发送至办案单位，办案人员可在线确认接收、反馈整改进度。</w:t>
            </w:r>
            <w:r/>
          </w:p>
        </w:tc>
      </w:tr>
      <w:tr>
        <w:trPr>
          <w:trHeight w:val="27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五、统计分析</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347</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案卷质量多维分析-可视化看板</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提供看板展示：各大队案卷平均得分排名（柱状图）、各评审事项平均扣分分布（饼图）、问题类型前十（条形图）、得分趋势（折线图）。支持按时间、大队、案卷类型筛选。</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348</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评查效能分析</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统计评查覆盖率（已评查案卷/应评查案卷）、AI准确率（AI评查结果与人工复核结果的一致性）、评查效率（平均每案评查耗时，对比纯人工评查的效率提升）、整改率（问题案卷的整改完成比例）。展示趋势图表。</w:t>
            </w:r>
            <w:r/>
          </w:p>
        </w:tc>
      </w:tr>
      <w:tr>
        <w:trPr>
          <w:trHeight w:val="420"/>
        </w:trPr>
        <w:tc>
          <w:tcPr>
            <w:shd w:val="clear" w:color="auto" w:fill="auto"/>
            <w:tcW w:w="82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ffffff"/>
            <w:tcW w:w="4175" w:type="pct"/>
            <w:vAlign w:val="center"/>
            <w:textDirection w:val="lrTb"/>
            <w:noWrap w:val="false"/>
          </w:tcPr>
          <w:p>
            <w:pPr>
              <w:rPr>
                <w:rFonts w:ascii="宋体" w:hAnsi="宋体" w:cs="宋体"/>
                <w:color w:val="0f1115"/>
                <w:sz w:val="24"/>
                <w:szCs w:val="24"/>
              </w:rPr>
            </w:pPr>
            <w:r>
              <w:rPr>
                <w:rFonts w:hint="eastAsia" w:ascii="宋体" w:hAnsi="宋体" w:cs="宋体"/>
                <w:b/>
                <w:bCs/>
                <w:color w:val="0f1115"/>
                <w:sz w:val="24"/>
                <w:szCs w:val="24"/>
                <w:lang w:bidi="ar"/>
              </w:rPr>
              <w:t xml:space="preserve">六、数据准备与人工工作</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349</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案卷样本标注（人工）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标注2000份历史案卷，涵盖不同类型（处罚决定书、询问笔录等）、不同质量等级（优秀、合格、不合格）。标注内容包括文书类型、关键字段位置、签名区域、问题点。</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350</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评查规则转译（人工）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将60条评查细则转化为可执行的规则，编写规则描述、测试用例。</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351</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同类案件处罚幅度库建设（人工）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收集500个同类案件的处罚幅度数据（案由、情节、处罚金额），用于自由裁量合理性比对。</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352</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法规条款匹配库建设（人工）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建立法律条款与违法行为类型的映射关系，约200条映射。</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353</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手写签名样本采集（人工）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收集5000份手写签名样本（不同人员、不同笔迹），用于OCR模型训练。</w:t>
            </w:r>
            <w:r/>
          </w:p>
        </w:tc>
      </w:tr>
      <w:tr>
        <w:trPr>
          <w:trHeight w:val="420"/>
        </w:trPr>
        <w:tc>
          <w:tcPr>
            <w:shd w:val="clear" w:color="auto" w:fill="auto"/>
            <w:tcW w:w="82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354</w:t>
            </w:r>
            <w:r/>
          </w:p>
        </w:tc>
        <w:tc>
          <w:tcPr>
            <w:shd w:val="clear" w:color="auto" w:fill="ffffff"/>
            <w:tcW w:w="1492"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文书模板库建设（人工）</w:t>
            </w:r>
            <w:r/>
          </w:p>
        </w:tc>
        <w:tc>
          <w:tcPr>
            <w:shd w:val="clear" w:color="auto" w:fill="ffffff"/>
            <w:tcW w:w="6434" w:type="dxa"/>
            <w:vAlign w:val="center"/>
            <w:textDirection w:val="lrTb"/>
            <w:noWrap w:val="false"/>
          </w:tcPr>
          <w:p>
            <w:pPr>
              <w:jc w:val="left"/>
              <w:keepLines w:val="0"/>
              <w:keepNext w:val="0"/>
              <w:widowControl/>
              <w:rPr>
                <w:rFonts w:ascii="宋体" w:hAnsi="宋体" w:cs="宋体"/>
                <w:color w:val="0f1115"/>
                <w:sz w:val="24"/>
                <w:szCs w:val="24"/>
              </w:rPr>
              <w:suppressLineNumbers w:val="0"/>
            </w:pPr>
            <w:r>
              <w:rPr>
                <w:rFonts w:hint="eastAsia" w:ascii="宋体" w:hAnsi="宋体" w:eastAsia="宋体" w:cs="宋体"/>
                <w:i w:val="0"/>
                <w:iCs w:val="0"/>
                <w:color w:val="0f1115"/>
                <w:sz w:val="24"/>
                <w:szCs w:val="24"/>
                <w:u w:val="none"/>
                <w:lang w:val="en-US" w:eastAsia="zh-CN" w:bidi="ar"/>
              </w:rPr>
              <w:t xml:space="preserve">收集10类文书的空白模板，标注关键字段位置，用于字段提取。</w:t>
            </w:r>
            <w:r/>
          </w:p>
        </w:tc>
      </w:tr>
      <w:tr>
        <w:trPr>
          <w:trHeight w:val="420"/>
        </w:trPr>
        <w:tc>
          <w:tcPr>
            <w:gridSpan w:val="2"/>
            <w:shd w:val="clear" w:color="auto" w:fill="auto"/>
            <w:tcW w:w="1610" w:type="pct"/>
            <w:vAlign w:val="center"/>
            <w:textDirection w:val="lrTb"/>
            <w:noWrap/>
          </w:tcPr>
          <w:p>
            <w:pPr>
              <w:jc w:val="center"/>
              <w:widowControl/>
              <w:rPr>
                <w:rFonts w:hint="eastAsia" w:ascii="宋体" w:hAnsi="宋体" w:eastAsia="宋体" w:cs="宋体"/>
                <w:color w:val="0f1115"/>
                <w:sz w:val="24"/>
                <w:szCs w:val="24"/>
                <w:lang w:val="en-US" w:eastAsia="zh-CN" w:bidi="ar"/>
              </w:rPr>
            </w:pPr>
            <w:r>
              <w:rPr>
                <w:rFonts w:hint="eastAsia" w:ascii="宋体" w:hAnsi="宋体" w:cs="宋体"/>
                <w:b/>
                <w:bCs/>
                <w:color w:val="0f1115"/>
                <w:sz w:val="24"/>
                <w:szCs w:val="24"/>
                <w:lang w:val="en-US" w:eastAsia="zh-CN" w:bidi="ar"/>
              </w:rPr>
              <w:t xml:space="preserve">演示内容</w:t>
            </w:r>
            <w:r/>
          </w:p>
        </w:tc>
        <w:tc>
          <w:tcPr>
            <w:shd w:val="clear" w:color="auto" w:fill="ffffff"/>
            <w:tcW w:w="3389" w:type="pct"/>
            <w:vAlign w:val="center"/>
            <w:textDirection w:val="lrTb"/>
            <w:noWrap w:val="false"/>
          </w:tcPr>
          <w:p>
            <w:pPr>
              <w:jc w:val="left"/>
              <w:widowControl/>
              <w:rPr>
                <w:rFonts w:hint="eastAsia" w:ascii="宋体" w:hAnsi="宋体" w:cs="宋体"/>
                <w:color w:val="0f1115"/>
                <w:sz w:val="24"/>
                <w:szCs w:val="24"/>
                <w:lang w:bidi="ar"/>
              </w:rPr>
            </w:pPr>
            <w:r>
              <w:rPr>
                <w:rFonts w:hint="eastAsia" w:ascii="宋体" w:hAnsi="宋体" w:cs="宋体"/>
                <w:color w:val="c00000"/>
                <w:sz w:val="24"/>
                <w:szCs w:val="24"/>
                <w:lang w:bidi="ar"/>
              </w:rPr>
              <w:t xml:space="preserve">包含①评查标准库管理与案卷解析，演示评查标准的分类维护、标准条款的增删改查，以及上传一份行政处罚案卷后系统自动进行OCR识别和关键信息结构化提取，同时进行多维度自动评查，演示系统依据评查标准从事实认定、法律适用、程序合规、文书规范、裁量合理性等维度逐项自动评分，生成扣分明细和问题定位；②评查报告与统计分析，演示系统自动生成单份案卷的评查报告以及按时间段/办案单位/问题类型等多维度统计案卷质量趋势图表。</w:t>
            </w:r>
            <w:r/>
          </w:p>
        </w:tc>
      </w:tr>
    </w:tbl>
    <w:p>
      <w:pPr>
        <w:pStyle w:val="809"/>
        <w:jc w:val="both"/>
        <w:spacing w:beforeAutospacing="0" w:afterAutospacing="0" w:line="0" w:lineRule="atLeast"/>
      </w:pPr>
      <w:r/>
      <w:r/>
    </w:p>
    <w:p>
      <w:pPr>
        <w:pStyle w:val="809"/>
        <w:jc w:val="both"/>
        <w:spacing w:beforeAutospacing="0" w:afterAutospacing="0" w:line="0" w:lineRule="atLeast"/>
      </w:pPr>
      <w:r>
        <w:t xml:space="preserve"> </w:t>
      </w:r>
      <w:r/>
    </w:p>
    <w:p>
      <w:pPr>
        <w:pStyle w:val="778"/>
        <w:spacing w:before="0" w:after="0" w:line="360" w:lineRule="auto"/>
        <w:rPr>
          <w:rFonts w:ascii="宋体" w:hAnsi="宋体" w:eastAsia="宋体" w:cs="宋体"/>
          <w:b/>
          <w:bCs/>
          <w:sz w:val="24"/>
          <w:szCs w:val="24"/>
        </w:rPr>
      </w:pP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w:t>
      </w:r>
      <w:r>
        <w:rPr>
          <w:rFonts w:hint="eastAsia" w:ascii="宋体" w:hAnsi="宋体" w:eastAsia="宋体" w:cs="宋体"/>
          <w:b/>
          <w:bCs/>
          <w:sz w:val="24"/>
          <w:szCs w:val="24"/>
        </w:rPr>
        <w:t xml:space="preserve">非功能性需求</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性能要求</w:t>
      </w:r>
      <w:r/>
    </w:p>
    <w:p>
      <w:pPr>
        <w:ind w:firstLine="480"/>
        <w:spacing w:line="360" w:lineRule="auto"/>
        <w:rPr>
          <w:rFonts w:ascii="宋体" w:hAnsi="宋体" w:cs="宋体"/>
          <w:sz w:val="24"/>
          <w:szCs w:val="24"/>
        </w:rPr>
      </w:pPr>
      <w:r>
        <w:rPr>
          <w:rFonts w:hint="eastAsia" w:ascii="宋体" w:hAnsi="宋体" w:cs="宋体"/>
          <w:sz w:val="24"/>
          <w:szCs w:val="24"/>
        </w:rPr>
        <w:t xml:space="preserve">并发能力：系统支持不少于200人同时在线操作，核心业务接口的TP99响应时间不超过2秒。</w:t>
      </w:r>
      <w:r/>
    </w:p>
    <w:p>
      <w:pPr>
        <w:ind w:firstLine="480"/>
        <w:spacing w:line="360" w:lineRule="auto"/>
        <w:rPr>
          <w:rFonts w:ascii="宋体" w:hAnsi="宋体" w:cs="宋体"/>
          <w:sz w:val="24"/>
          <w:szCs w:val="24"/>
        </w:rPr>
      </w:pPr>
      <w:r>
        <w:rPr>
          <w:rFonts w:hint="eastAsia" w:ascii="宋体" w:hAnsi="宋体" w:cs="宋体"/>
          <w:sz w:val="24"/>
          <w:szCs w:val="24"/>
        </w:rPr>
        <w:t xml:space="preserve">风险指数计算：全市不少于2万个单位的风险指数全量重算在数据更新后30秒内完成，增量更新在5秒内完成。</w:t>
      </w:r>
      <w:r/>
    </w:p>
    <w:p>
      <w:pPr>
        <w:ind w:firstLine="480"/>
        <w:spacing w:line="360" w:lineRule="auto"/>
        <w:rPr>
          <w:rFonts w:ascii="宋体" w:hAnsi="宋体" w:cs="宋体"/>
          <w:sz w:val="24"/>
          <w:szCs w:val="24"/>
        </w:rPr>
      </w:pPr>
      <w:r>
        <w:rPr>
          <w:rFonts w:hint="eastAsia" w:ascii="宋体" w:hAnsi="宋体" w:cs="宋体"/>
          <w:sz w:val="24"/>
          <w:szCs w:val="24"/>
        </w:rPr>
        <w:t xml:space="preserve">地图性能：地图加载时间不超过3秒，图层切换响应时间不超过2秒，地图拖动、缩放帧率不低于30fps。</w:t>
      </w:r>
      <w:r/>
    </w:p>
    <w:p>
      <w:pPr>
        <w:ind w:firstLine="480"/>
        <w:spacing w:line="360" w:lineRule="auto"/>
        <w:rPr>
          <w:rFonts w:ascii="宋体" w:hAnsi="宋体" w:cs="宋体"/>
          <w:sz w:val="24"/>
          <w:szCs w:val="24"/>
        </w:rPr>
      </w:pPr>
      <w:r>
        <w:rPr>
          <w:rFonts w:hint="eastAsia" w:ascii="宋体" w:hAnsi="宋体" w:cs="宋体"/>
          <w:sz w:val="24"/>
          <w:szCs w:val="24"/>
        </w:rPr>
        <w:t xml:space="preserve">算法模型推理：单个风险预测模型的推理时间不超过5秒；批量推理（不少于1000个单位）完成时间不超过30秒。</w:t>
      </w:r>
      <w:r/>
    </w:p>
    <w:p>
      <w:pPr>
        <w:ind w:firstLine="480"/>
        <w:spacing w:line="360" w:lineRule="auto"/>
        <w:rPr>
          <w:rFonts w:ascii="宋体" w:hAnsi="宋体" w:cs="宋体"/>
          <w:sz w:val="24"/>
          <w:szCs w:val="24"/>
        </w:rPr>
      </w:pPr>
      <w:r>
        <w:rPr>
          <w:rFonts w:hint="eastAsia" w:ascii="宋体" w:hAnsi="宋体" w:cs="宋体"/>
          <w:sz w:val="24"/>
          <w:szCs w:val="24"/>
        </w:rPr>
        <w:t xml:space="preserve">数据同步：与外部系统数据同步延迟不超过5秒（实时接口）或5分钟（批量同步）。</w:t>
      </w:r>
      <w:r/>
    </w:p>
    <w:p>
      <w:pPr>
        <w:ind w:firstLine="480"/>
        <w:spacing w:line="360" w:lineRule="auto"/>
        <w:rPr>
          <w:rFonts w:ascii="宋体" w:hAnsi="宋体" w:cs="宋体"/>
          <w:sz w:val="24"/>
          <w:szCs w:val="24"/>
        </w:rPr>
      </w:pPr>
      <w:r>
        <w:rPr>
          <w:rFonts w:hint="eastAsia" w:ascii="宋体" w:hAnsi="宋体" w:cs="宋体"/>
          <w:sz w:val="24"/>
          <w:szCs w:val="24"/>
        </w:rPr>
        <w:t xml:space="preserve">查询性能：多维数据分析看板在百万级数据量下的聚合查询响应时间不超过5秒。</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可靠性要求</w:t>
      </w:r>
      <w:r/>
    </w:p>
    <w:p>
      <w:pPr>
        <w:ind w:firstLine="480"/>
        <w:spacing w:line="360" w:lineRule="auto"/>
        <w:rPr>
          <w:rFonts w:ascii="宋体" w:hAnsi="宋体" w:cs="宋体"/>
          <w:sz w:val="24"/>
          <w:szCs w:val="24"/>
        </w:rPr>
      </w:pPr>
      <w:r>
        <w:rPr>
          <w:rFonts w:hint="eastAsia" w:ascii="宋体" w:hAnsi="宋体" w:cs="宋体"/>
          <w:sz w:val="24"/>
          <w:szCs w:val="24"/>
        </w:rPr>
        <w:t xml:space="preserve">系统可用性：全年可用性不低于99.9%，计划内停机维护时间每年不超过8小时。</w:t>
      </w:r>
      <w:r/>
    </w:p>
    <w:p>
      <w:pPr>
        <w:ind w:firstLine="480"/>
        <w:spacing w:line="360" w:lineRule="auto"/>
        <w:rPr>
          <w:rFonts w:ascii="宋体" w:hAnsi="宋体" w:cs="宋体"/>
          <w:sz w:val="24"/>
          <w:szCs w:val="24"/>
        </w:rPr>
      </w:pPr>
      <w:r>
        <w:rPr>
          <w:rFonts w:hint="eastAsia" w:ascii="宋体" w:hAnsi="宋体" w:cs="宋体"/>
          <w:sz w:val="24"/>
          <w:szCs w:val="24"/>
        </w:rPr>
        <w:t xml:space="preserve">数据备份：每日全量备份，每小时增量备份，备份数据保留不少于30天。</w:t>
      </w:r>
      <w:r/>
    </w:p>
    <w:p>
      <w:pPr>
        <w:ind w:firstLine="480"/>
        <w:spacing w:line="360" w:lineRule="auto"/>
        <w:rPr>
          <w:rFonts w:ascii="宋体" w:hAnsi="宋体" w:cs="宋体"/>
          <w:sz w:val="24"/>
          <w:szCs w:val="24"/>
        </w:rPr>
      </w:pPr>
      <w:r>
        <w:rPr>
          <w:rFonts w:hint="eastAsia" w:ascii="宋体" w:hAnsi="宋体" w:cs="宋体"/>
          <w:sz w:val="24"/>
          <w:szCs w:val="24"/>
        </w:rPr>
        <w:t xml:space="preserve">容灾恢复：支持主备切换，RTO不超过2小时，RPO不超过15分钟。</w:t>
      </w:r>
      <w:r/>
    </w:p>
    <w:p>
      <w:pPr>
        <w:ind w:firstLine="480"/>
        <w:spacing w:line="360" w:lineRule="auto"/>
        <w:rPr>
          <w:rFonts w:ascii="宋体" w:hAnsi="宋体" w:cs="宋体"/>
          <w:sz w:val="24"/>
          <w:szCs w:val="24"/>
        </w:rPr>
      </w:pPr>
      <w:r>
        <w:rPr>
          <w:rFonts w:hint="eastAsia" w:ascii="宋体" w:hAnsi="宋体" w:cs="宋体"/>
          <w:sz w:val="24"/>
          <w:szCs w:val="24"/>
        </w:rPr>
        <w:t xml:space="preserve">故障自愈：关键服务（如模型推理服务、消息队列）需支持自动重启和故障转移。</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安全性要求</w:t>
      </w:r>
      <w:r/>
    </w:p>
    <w:p>
      <w:pPr>
        <w:ind w:firstLine="480"/>
        <w:spacing w:line="360" w:lineRule="auto"/>
        <w:rPr>
          <w:rFonts w:ascii="宋体" w:hAnsi="宋体" w:cs="宋体"/>
          <w:sz w:val="24"/>
          <w:szCs w:val="24"/>
        </w:rPr>
      </w:pPr>
      <w:r>
        <w:rPr>
          <w:rFonts w:hint="eastAsia" w:ascii="宋体" w:hAnsi="宋体" w:cs="宋体"/>
          <w:sz w:val="24"/>
          <w:szCs w:val="24"/>
        </w:rPr>
        <w:t xml:space="preserve">数据加密：存储敏感数据（如身份证号、手机号）需加密存储，密钥与数据分离管理。</w:t>
      </w:r>
      <w:r/>
    </w:p>
    <w:p>
      <w:pPr>
        <w:ind w:firstLine="480"/>
        <w:spacing w:line="360" w:lineRule="auto"/>
        <w:rPr>
          <w:rFonts w:ascii="宋体" w:hAnsi="宋体" w:cs="宋体"/>
          <w:sz w:val="24"/>
          <w:szCs w:val="24"/>
        </w:rPr>
      </w:pPr>
      <w:r>
        <w:rPr>
          <w:rFonts w:hint="eastAsia" w:ascii="宋体" w:hAnsi="宋体" w:cs="宋体"/>
          <w:sz w:val="24"/>
          <w:szCs w:val="24"/>
        </w:rPr>
        <w:t xml:space="preserve">防SQL注入：所有数据访问层需使用参数化查询或ORM框架，禁止字符串拼接SQL。</w:t>
      </w:r>
      <w:r/>
    </w:p>
    <w:p>
      <w:pPr>
        <w:ind w:firstLine="480"/>
        <w:spacing w:line="360" w:lineRule="auto"/>
        <w:rPr>
          <w:rFonts w:ascii="宋体" w:hAnsi="宋体" w:cs="宋体"/>
          <w:sz w:val="24"/>
          <w:szCs w:val="24"/>
        </w:rPr>
      </w:pPr>
      <w:r>
        <w:rPr>
          <w:rFonts w:hint="eastAsia" w:ascii="宋体" w:hAnsi="宋体" w:cs="宋体"/>
          <w:sz w:val="24"/>
          <w:szCs w:val="24"/>
        </w:rPr>
        <w:t xml:space="preserve">防XSS/CSRF：前端需对用户输入进行过滤和转义，后端需校验Referer或使用CSRF Token。</w:t>
      </w:r>
      <w:r/>
    </w:p>
    <w:p>
      <w:pPr>
        <w:ind w:firstLine="480"/>
        <w:spacing w:line="360" w:lineRule="auto"/>
        <w:rPr>
          <w:rFonts w:ascii="宋体" w:hAnsi="宋体" w:cs="宋体"/>
          <w:sz w:val="24"/>
          <w:szCs w:val="24"/>
        </w:rPr>
      </w:pPr>
      <w:r>
        <w:rPr>
          <w:rFonts w:hint="eastAsia" w:ascii="宋体" w:hAnsi="宋体" w:cs="宋体"/>
          <w:sz w:val="24"/>
          <w:szCs w:val="24"/>
        </w:rPr>
        <w:t xml:space="preserve">API安全：对外API需进行身份认证（OAuth2.0或API Key）、签名校验、限流控制（按IP或用户限制QPS）。</w:t>
      </w:r>
      <w:r/>
    </w:p>
    <w:p>
      <w:pPr>
        <w:ind w:firstLine="480"/>
        <w:spacing w:line="360" w:lineRule="auto"/>
        <w:rPr>
          <w:rFonts w:ascii="宋体" w:hAnsi="宋体" w:cs="宋体"/>
          <w:sz w:val="24"/>
          <w:szCs w:val="24"/>
        </w:rPr>
      </w:pPr>
      <w:r>
        <w:rPr>
          <w:rFonts w:hint="eastAsia" w:ascii="宋体" w:hAnsi="宋体" w:cs="宋体"/>
          <w:sz w:val="24"/>
          <w:szCs w:val="24"/>
        </w:rPr>
        <w:t xml:space="preserve">安全审计：提供安全审计日志，记录所有敏感操作（如权限变更、数据导出、系统配置修改），日志需加密存储并支持导出。</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集成与数据对接要求</w:t>
      </w:r>
      <w:r/>
    </w:p>
    <w:p>
      <w:pPr>
        <w:ind w:firstLine="480"/>
        <w:spacing w:line="360" w:lineRule="auto"/>
        <w:rPr>
          <w:rFonts w:ascii="宋体" w:hAnsi="宋体" w:cs="宋体"/>
          <w:sz w:val="24"/>
          <w:szCs w:val="24"/>
        </w:rPr>
      </w:pPr>
      <w:r>
        <w:rPr>
          <w:rFonts w:hint="eastAsia" w:ascii="宋体" w:hAnsi="宋体" w:cs="宋体"/>
          <w:sz w:val="24"/>
          <w:szCs w:val="24"/>
        </w:rPr>
        <w:t xml:space="preserve">与“驯火”系统集成：深度集成，复用其数据接入、治理及主题库能力，通过API或数据库直连方式获取单位基础信息、监督检查记录、隐患台账、物联网监测数据等。</w:t>
      </w:r>
      <w:r/>
    </w:p>
    <w:p>
      <w:pPr>
        <w:ind w:firstLine="480"/>
        <w:spacing w:line="360" w:lineRule="auto"/>
        <w:rPr>
          <w:rFonts w:ascii="宋体" w:hAnsi="宋体" w:cs="宋体"/>
          <w:sz w:val="24"/>
          <w:szCs w:val="24"/>
        </w:rPr>
      </w:pPr>
      <w:r>
        <w:rPr>
          <w:rFonts w:hint="eastAsia" w:ascii="宋体" w:hAnsi="宋体" w:cs="宋体"/>
          <w:sz w:val="24"/>
          <w:szCs w:val="24"/>
        </w:rPr>
        <w:t xml:space="preserve">与防消联勤信息系统集成：实现双向数据同步，接口实时调用延迟不超过2秒。需提供标准化API，支持隐患一键推送和数据同步。</w:t>
      </w:r>
      <w:r/>
    </w:p>
    <w:p>
      <w:pPr>
        <w:ind w:firstLine="480"/>
        <w:spacing w:line="360" w:lineRule="auto"/>
        <w:rPr>
          <w:rFonts w:ascii="宋体" w:hAnsi="宋体" w:cs="宋体"/>
          <w:sz w:val="24"/>
          <w:szCs w:val="24"/>
        </w:rPr>
      </w:pPr>
      <w:r>
        <w:rPr>
          <w:rFonts w:hint="eastAsia" w:ascii="宋体" w:hAnsi="宋体" w:cs="宋体"/>
          <w:sz w:val="24"/>
          <w:szCs w:val="24"/>
        </w:rPr>
        <w:t xml:space="preserve">与执法记录仪系统集成：获取执法视音频数据，支持在线调阅和下载。需对接执法记录仪设备管理接口，实现设备状态监控和数据同步。</w:t>
      </w:r>
      <w:r/>
    </w:p>
    <w:p>
      <w:pPr>
        <w:ind w:firstLine="480"/>
        <w:spacing w:line="360" w:lineRule="auto"/>
        <w:rPr>
          <w:rFonts w:ascii="宋体" w:hAnsi="宋体" w:cs="宋体"/>
          <w:sz w:val="24"/>
          <w:szCs w:val="24"/>
        </w:rPr>
      </w:pPr>
      <w:r>
        <w:rPr>
          <w:rFonts w:hint="eastAsia" w:ascii="宋体" w:hAnsi="宋体" w:cs="宋体"/>
          <w:sz w:val="24"/>
          <w:szCs w:val="24"/>
        </w:rPr>
        <w:t xml:space="preserve">与消防设施联网监测平台集成：需协调省总队开放数据接口，获取设施运行状态和告警数据，支持实时推送和主动拉取两种模式。</w:t>
      </w:r>
      <w:r/>
    </w:p>
    <w:p>
      <w:pPr>
        <w:ind w:firstLine="480"/>
        <w:spacing w:line="360" w:lineRule="auto"/>
        <w:rPr>
          <w:rFonts w:ascii="宋体" w:hAnsi="宋体" w:cs="宋体"/>
          <w:sz w:val="24"/>
          <w:szCs w:val="24"/>
        </w:rPr>
      </w:pPr>
      <w:r>
        <w:rPr>
          <w:rFonts w:hint="eastAsia" w:ascii="宋体" w:hAnsi="宋体" w:cs="宋体"/>
          <w:sz w:val="24"/>
          <w:szCs w:val="24"/>
        </w:rPr>
        <w:t xml:space="preserve">与作战要素采集平台集成：获取重点单位、水源、危化品、应急预案等信息，支持批量导入和增量同步。</w:t>
      </w:r>
      <w:r/>
    </w:p>
    <w:p>
      <w:pPr>
        <w:ind w:firstLine="480"/>
        <w:spacing w:line="360" w:lineRule="auto"/>
        <w:rPr>
          <w:rFonts w:ascii="宋体" w:hAnsi="宋体" w:cs="宋体"/>
          <w:sz w:val="24"/>
          <w:szCs w:val="24"/>
        </w:rPr>
      </w:pPr>
      <w:r>
        <w:rPr>
          <w:rFonts w:hint="eastAsia" w:ascii="宋体" w:hAnsi="宋体" w:cs="宋体"/>
          <w:sz w:val="24"/>
          <w:szCs w:val="24"/>
        </w:rPr>
        <w:t xml:space="preserve">与市级政务平台/城市大脑集成：提供标准化API，支持数据共享和业务协同，需符合政务数据共享交换规范。</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运维与可维护性要求</w:t>
      </w:r>
      <w:r/>
    </w:p>
    <w:p>
      <w:pPr>
        <w:ind w:firstLine="480"/>
        <w:spacing w:line="360" w:lineRule="auto"/>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统一监控告警：提供系统监控平台，监控服务状态、数据接口调用成功率、模型预测准确率、队列积压、数据库连接池等关键指标。支持自定义告警规则（如接口错误率&gt;5%触发告警），告警可通过短信、邮件、钉钉等方式推送。</w:t>
      </w:r>
      <w:r/>
    </w:p>
    <w:p>
      <w:pPr>
        <w:ind w:firstLine="480"/>
        <w:spacing w:line="360" w:lineRule="auto"/>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日志管理：采用ELK或EFK架构收集和分析日志，支持按时间、服务、日志级别检索，日志保存不少于3个月。</w:t>
      </w:r>
      <w:r/>
    </w:p>
    <w:p>
      <w:pPr>
        <w:ind w:firstLine="480"/>
        <w:spacing w:line="360" w:lineRule="auto"/>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容器化部署：提供部署脚本和运维手册。</w:t>
      </w:r>
      <w:r/>
    </w:p>
    <w:p>
      <w:pPr>
        <w:ind w:firstLine="480"/>
        <w:spacing w:line="360" w:lineRule="auto"/>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模型迭代能力：支持训练数据导入和模型热更新，模型更新无需重启服务。提供模型版本管理界面，支持A/B测试和回滚。</w:t>
      </w:r>
      <w:r/>
    </w:p>
    <w:p>
      <w:pPr>
        <w:ind w:firstLine="480"/>
        <w:spacing w:line="360" w:lineRule="auto"/>
        <w:rPr>
          <w:rFonts w:hint="eastAsia" w:ascii="宋体" w:hAnsi="宋体" w:cs="宋体"/>
          <w:color w:val="auto"/>
          <w:sz w:val="24"/>
          <w:szCs w:val="24"/>
        </w:rPr>
      </w:pPr>
      <w:r>
        <w:rPr>
          <w:rFonts w:hint="eastAsia" w:ascii="宋体" w:hAnsi="宋体" w:cs="宋体"/>
          <w:b w:val="0"/>
          <w:bCs w:val="0"/>
          <w:color w:val="auto"/>
          <w:sz w:val="24"/>
          <w:szCs w:val="24"/>
        </w:rPr>
        <w:t xml:space="preserve">文档完整性：提供完整</w:t>
      </w:r>
      <w:r>
        <w:rPr>
          <w:rFonts w:hint="eastAsia" w:ascii="宋体" w:hAnsi="宋体" w:cs="宋体"/>
          <w:color w:val="auto"/>
          <w:sz w:val="24"/>
          <w:szCs w:val="24"/>
        </w:rPr>
        <w:t xml:space="preserve">的系统架构文档、部署手册、用户操作手册、API接口文档、二次开发指南。</w:t>
      </w:r>
      <w:r/>
    </w:p>
    <w:p>
      <w:pPr>
        <w:ind w:firstLine="48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6、售后服务要求</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质保期内，投标人应免费提供软件日常维护、培训、性能优化等服务，投标人售后服务方式包含：电话技术支持、上门服务、定期巡检等。</w:t>
      </w:r>
      <w:r/>
    </w:p>
    <w:p>
      <w:pPr>
        <w:ind w:firstLine="480"/>
        <w:spacing w:line="360" w:lineRule="auto"/>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rPr>
        <w:t xml:space="preserve">6.1</w:t>
      </w:r>
      <w:r>
        <w:rPr>
          <w:rFonts w:hint="eastAsia" w:ascii="宋体" w:hAnsi="宋体" w:cs="宋体"/>
          <w:b w:val="0"/>
          <w:bCs w:val="0"/>
          <w:color w:val="auto"/>
          <w:sz w:val="24"/>
          <w:szCs w:val="24"/>
        </w:rPr>
        <w:t xml:space="preserve">系统维护：对</w:t>
      </w:r>
      <w:r>
        <w:rPr>
          <w:rFonts w:hint="eastAsia" w:ascii="宋体" w:hAnsi="宋体" w:cs="宋体"/>
          <w:b w:val="0"/>
          <w:bCs w:val="0"/>
          <w:color w:val="auto"/>
          <w:sz w:val="24"/>
          <w:szCs w:val="24"/>
          <w:lang w:val="en-US" w:eastAsia="zh-CN"/>
        </w:rPr>
        <w:t xml:space="preserve">采购人</w:t>
      </w:r>
      <w:r>
        <w:rPr>
          <w:rFonts w:hint="eastAsia" w:ascii="宋体" w:hAnsi="宋体" w:cs="宋体"/>
          <w:b w:val="0"/>
          <w:bCs w:val="0"/>
          <w:color w:val="auto"/>
          <w:sz w:val="24"/>
          <w:szCs w:val="24"/>
        </w:rPr>
        <w:t xml:space="preserve">提供的各应用系统，包括系统软件，中标人应负责定期进行适当的测试、维护，保证系统正常工作和系统安全稳定。对于在系统运行过程中，由于不可测原因引起的系统故障，给予快速响应，保证系统使用不受到大的影响。对于第三方提供的产品，可协助采购人进行维护。</w:t>
      </w:r>
      <w:r/>
    </w:p>
    <w:p>
      <w:pPr>
        <w:ind w:firstLine="480"/>
        <w:spacing w:line="360" w:lineRule="auto"/>
        <w:rPr>
          <w:rFonts w:hint="eastAsia" w:ascii="宋体" w:hAnsi="宋体" w:cs="宋体"/>
          <w:color w:val="auto"/>
          <w:sz w:val="24"/>
          <w:szCs w:val="24"/>
        </w:rPr>
      </w:pPr>
      <w:r>
        <w:rPr>
          <w:rFonts w:hint="eastAsia" w:ascii="宋体" w:hAnsi="宋体" w:cs="宋体"/>
          <w:b w:val="0"/>
          <w:bCs w:val="0"/>
          <w:color w:val="auto"/>
          <w:sz w:val="24"/>
          <w:szCs w:val="24"/>
          <w:lang w:val="en-US" w:eastAsia="zh-CN"/>
        </w:rPr>
        <w:t xml:space="preserve">6.2</w:t>
      </w:r>
      <w:r>
        <w:rPr>
          <w:rFonts w:hint="eastAsia" w:ascii="宋体" w:hAnsi="宋体" w:cs="宋体"/>
          <w:b w:val="0"/>
          <w:bCs w:val="0"/>
          <w:color w:val="auto"/>
          <w:sz w:val="24"/>
          <w:szCs w:val="24"/>
        </w:rPr>
        <w:t xml:space="preserve">软件升级：</w:t>
      </w:r>
      <w:r>
        <w:rPr>
          <w:rFonts w:hint="eastAsia" w:ascii="宋体" w:hAnsi="宋体" w:cs="宋体"/>
          <w:color w:val="auto"/>
          <w:sz w:val="24"/>
          <w:szCs w:val="24"/>
        </w:rPr>
        <w:t xml:space="preserve">中标人免费提供咨询与技术支持工作，为采购人安装本项目系统相关的各种补丁软件和修订软件，以及免费为采购人安装应用软件的升级版本。及时将发现并掌握的有关设备操作、故障检测、故障排除方法及一些新的技术发展通知采购人。及时提供软硬件系统的最新技术文件资料，并对系统软硬件提供升级建议，并在升级过程中提供必要的技术支持。</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6.3</w:t>
      </w:r>
      <w:r>
        <w:rPr>
          <w:rFonts w:hint="eastAsia" w:ascii="宋体" w:hAnsi="宋体" w:cs="宋体"/>
          <w:color w:val="auto"/>
          <w:sz w:val="24"/>
          <w:szCs w:val="24"/>
        </w:rPr>
        <w:t xml:space="preserve">质保期内，中标人免费提供系统版本升级、安全漏洞修复和性能优化服务。</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AI模型须每半年进行一次评估和优化迭代，根据新增训练数据更新模型版本，确保模型准确率不低于验收时的基线水平。</w:t>
      </w:r>
      <w:r/>
    </w:p>
    <w:p>
      <w:pPr>
        <w:ind w:firstLine="482"/>
        <w:spacing w:line="360" w:lineRule="auto"/>
        <w:rPr>
          <w:rFonts w:hint="eastAsia" w:ascii="宋体" w:hAnsi="宋体" w:cs="宋体"/>
          <w:color w:val="auto"/>
          <w:sz w:val="24"/>
          <w:szCs w:val="24"/>
        </w:rPr>
      </w:pPr>
      <w:r>
        <w:rPr>
          <w:rFonts w:hint="eastAsia" w:ascii="宋体" w:hAnsi="宋体" w:cs="宋体"/>
          <w:b/>
          <w:bCs/>
          <w:i/>
          <w:iCs/>
          <w:color w:val="auto"/>
          <w:sz w:val="24"/>
          <w:szCs w:val="24"/>
          <w:u w:val="single"/>
        </w:rPr>
        <w:t xml:space="preserve">项目验收通过后，中标人须提供不少于3年的免费质保期。质保期内，中标人须提供不少于1人的驻场运维人员。（提供承诺函，扫描上传）</w:t>
      </w:r>
      <w:r/>
    </w:p>
    <w:p>
      <w:pPr>
        <w:numPr>
          <w:ilvl w:val="0"/>
          <w:numId w:val="5"/>
        </w:numPr>
        <w:ind w:firstLine="482"/>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rPr>
        <w:t xml:space="preserve">故障响应</w:t>
      </w:r>
      <w:r>
        <w:rPr>
          <w:rFonts w:hint="eastAsia" w:ascii="宋体" w:hAnsi="宋体" w:cs="宋体"/>
          <w:b/>
          <w:bCs/>
          <w:color w:val="auto"/>
          <w:sz w:val="24"/>
          <w:szCs w:val="24"/>
          <w:lang w:val="en-US" w:eastAsia="zh-CN"/>
        </w:rPr>
        <w:t xml:space="preserve">要求</w:t>
      </w:r>
      <w:r/>
    </w:p>
    <w:p>
      <w:pPr>
        <w:numPr>
          <w:ilvl w:val="0"/>
          <w:numId w:val="0"/>
        </w:num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P0级故障（系统不可用）须在30分钟内响应、2小时内恢复；P1级故障（核心功能不可用）须在1小时内响应、4小时内恢复；P2级故障（非核心功能异常）须在4小时内响应、24小时内修复；P3级问题（优化建议、体验类）须在下一迭代版本中处理。质保期内，若系统出现故障，中标人需立即做出响应和安排，并安排专业人员1小时内响应，4小时内解决问题；如果故障在检修4小时后仍无法排除，中标人应在12小时内安排技术人员到达现场修复。对于在短时间内不能解决的问题，需要立即启用故障响应方案。</w:t>
      </w:r>
      <w:r/>
    </w:p>
    <w:p>
      <w:pPr>
        <w:ind w:firstLine="480"/>
        <w:spacing w:line="360" w:lineRule="auto"/>
        <w:rPr>
          <w:rFonts w:ascii="宋体" w:hAnsi="宋体" w:cs="宋体"/>
          <w:sz w:val="24"/>
          <w:szCs w:val="24"/>
        </w:rPr>
      </w:pPr>
      <w:r>
        <w:rPr>
          <w:rFonts w:hint="eastAsia" w:ascii="宋体" w:hAnsi="宋体" w:cs="宋体"/>
          <w:color w:val="auto"/>
          <w:sz w:val="24"/>
          <w:szCs w:val="24"/>
          <w:lang w:val="en-US" w:eastAsia="zh-CN"/>
        </w:rPr>
        <w:t xml:space="preserve">8、</w:t>
      </w:r>
      <w:r>
        <w:rPr>
          <w:rFonts w:hint="eastAsia" w:ascii="宋体" w:hAnsi="宋体" w:cs="宋体"/>
          <w:sz w:val="24"/>
          <w:szCs w:val="24"/>
        </w:rPr>
        <w:t xml:space="preserve">培训要求</w:t>
      </w:r>
      <w:r/>
    </w:p>
    <w:p>
      <w:pPr>
        <w:ind w:firstLine="480"/>
        <w:spacing w:line="360" w:lineRule="auto"/>
        <w:rPr>
          <w:rFonts w:ascii="宋体" w:hAnsi="宋体" w:cs="宋体"/>
          <w:sz w:val="24"/>
          <w:szCs w:val="24"/>
        </w:rPr>
      </w:pPr>
      <w:r>
        <w:rPr>
          <w:rFonts w:hint="eastAsia" w:ascii="宋体" w:hAnsi="宋体" w:cs="宋体"/>
          <w:sz w:val="24"/>
          <w:szCs w:val="24"/>
        </w:rPr>
        <w:t xml:space="preserve">中标</w:t>
      </w:r>
      <w:r>
        <w:rPr>
          <w:rFonts w:hint="eastAsia" w:ascii="宋体" w:hAnsi="宋体" w:cs="宋体"/>
          <w:sz w:val="24"/>
          <w:szCs w:val="24"/>
          <w:lang w:val="en-US" w:eastAsia="zh-CN"/>
        </w:rPr>
        <w:t xml:space="preserve">人</w:t>
      </w:r>
      <w:r>
        <w:rPr>
          <w:rFonts w:hint="eastAsia" w:ascii="宋体" w:hAnsi="宋体" w:cs="宋体"/>
          <w:sz w:val="24"/>
          <w:szCs w:val="24"/>
        </w:rPr>
        <w:t xml:space="preserve">需提供不少于5场次的系统操作培训，覆盖支队机关、各大队、基层监督员、网格员等用户群体。</w:t>
      </w:r>
      <w:r/>
    </w:p>
    <w:p>
      <w:pPr>
        <w:ind w:firstLine="480"/>
        <w:spacing w:line="360" w:lineRule="auto"/>
        <w:rPr>
          <w:rFonts w:ascii="宋体" w:hAnsi="宋体" w:cs="宋体"/>
          <w:sz w:val="24"/>
          <w:szCs w:val="24"/>
        </w:rPr>
      </w:pPr>
      <w:r>
        <w:rPr>
          <w:rFonts w:hint="eastAsia" w:ascii="宋体" w:hAnsi="宋体" w:cs="宋体"/>
          <w:sz w:val="24"/>
          <w:szCs w:val="24"/>
        </w:rPr>
        <w:t xml:space="preserve">培训形式包括集中授课、线上录播、现场指导等，培训教材需提供纸质版和电子版。</w:t>
      </w:r>
      <w:r/>
    </w:p>
    <w:p>
      <w:pPr>
        <w:ind w:firstLine="480"/>
        <w:spacing w:line="360" w:lineRule="auto"/>
        <w:rPr>
          <w:rFonts w:ascii="宋体" w:hAnsi="宋体" w:cs="宋体"/>
          <w:sz w:val="24"/>
          <w:szCs w:val="24"/>
        </w:rPr>
      </w:pPr>
      <w:r>
        <w:rPr>
          <w:rFonts w:hint="eastAsia" w:ascii="宋体" w:hAnsi="宋体" w:cs="宋体"/>
          <w:sz w:val="24"/>
          <w:szCs w:val="24"/>
        </w:rPr>
        <w:t xml:space="preserve">需录制操作视频（不少于20个，每个5-10分钟），涵盖核心功能演示。</w:t>
      </w:r>
      <w:r/>
    </w:p>
    <w:p>
      <w:pPr>
        <w:ind w:firstLine="480"/>
        <w:spacing w:line="360" w:lineRule="auto"/>
        <w:rPr>
          <w:rFonts w:ascii="宋体" w:hAnsi="宋体" w:cs="宋体"/>
          <w:sz w:val="24"/>
          <w:szCs w:val="24"/>
        </w:rPr>
      </w:pPr>
      <w:r>
        <w:rPr>
          <w:rFonts w:hint="eastAsia" w:ascii="宋体" w:hAnsi="宋体" w:cs="宋体"/>
          <w:sz w:val="24"/>
          <w:szCs w:val="24"/>
        </w:rPr>
        <w:t xml:space="preserve">需组织培训考核，确保用户掌握系统操作，考核通过率不低于90%。</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项目团队要求</w:t>
      </w:r>
      <w:r/>
    </w:p>
    <w:p>
      <w:pPr>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根据项目实际需求在保证时效及质量的前提下配置人员，确保软件开发建设全过程人力配置充足、人员专业能力达标，并提供项目团队完整人员名单及岗位职务。项目经理和技术负责人在项目实施期间不得随意更换，确需更换须经采购人书面同意，且替换人员资质不得低于原人员。系统运维期间，中标人需派驻一名驻场工程师进行维护，并通过采购人签字进行工作确认。</w:t>
      </w:r>
      <w:r/>
    </w:p>
    <w:p>
      <w:pPr>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项目经理1名，该项目经理应具备信息系统项目管理师证书、系统分析师证书。</w:t>
      </w:r>
      <w:r/>
    </w:p>
    <w:p>
      <w:pPr>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技术负责人1名，该技术负责人应具备系统规划与管理师证书、注册信息安全专业人员证书。</w:t>
      </w:r>
      <w:r/>
    </w:p>
    <w:p>
      <w:pPr>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项目团队成员（架构师1名、开发工程师不少于2名、算法工程师不少于1名、测试工程师不少于2名、实施工程师不少于2名）需持有软件设计师、系统分析师、系统架构设计师、</w:t>
      </w:r>
      <w:r>
        <w:rPr>
          <w:rFonts w:hint="eastAsia"/>
          <w:color w:val="auto"/>
          <w:sz w:val="24"/>
          <w:szCs w:val="24"/>
          <w:lang w:val="en-US" w:eastAsia="zh-CN"/>
        </w:rPr>
        <w:t xml:space="preserve">数据分析师</w:t>
      </w:r>
      <w:r>
        <w:rPr>
          <w:rFonts w:hint="eastAsia" w:ascii="宋体" w:hAnsi="宋体" w:cs="宋体"/>
          <w:color w:val="auto"/>
          <w:sz w:val="24"/>
          <w:szCs w:val="24"/>
          <w:lang w:val="en-US" w:eastAsia="zh-CN"/>
        </w:rPr>
        <w:t xml:space="preserve">等相关专业资格认证证书，具备对应岗位专业履职能力。</w:t>
      </w:r>
      <w:r/>
    </w:p>
    <w:p>
      <w:pPr>
        <w:pStyle w:val="809"/>
        <w:numPr>
          <w:ilvl w:val="0"/>
          <w:numId w:val="0"/>
        </w:numPr>
        <w:jc w:val="both"/>
        <w:spacing w:beforeAutospacing="0" w:afterAutospacing="0" w:line="0" w:lineRule="atLeast"/>
        <w:rPr>
          <w:rFonts w:ascii="宋体" w:hAnsi="宋体" w:cs="宋体"/>
          <w:b/>
          <w:bCs/>
          <w:color w:val="000000"/>
          <w:szCs w:val="24"/>
        </w:rPr>
      </w:pPr>
      <w:r>
        <w:rPr>
          <w:rFonts w:hint="eastAsia" w:ascii="宋体" w:hAnsi="宋体" w:cs="宋体"/>
          <w:b/>
          <w:bCs/>
          <w:color w:val="000000"/>
          <w:szCs w:val="24"/>
          <w:lang w:val="en-US" w:eastAsia="zh-CN"/>
        </w:rPr>
        <w:t xml:space="preserve">七、</w:t>
      </w:r>
      <w:r>
        <w:rPr>
          <w:rFonts w:hint="eastAsia" w:ascii="宋体" w:hAnsi="宋体" w:cs="宋体"/>
          <w:b/>
          <w:bCs/>
          <w:color w:val="000000"/>
          <w:szCs w:val="24"/>
        </w:rPr>
        <w:t xml:space="preserve">验收要求</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w:t>
      </w:r>
      <w:r>
        <w:rPr>
          <w:rFonts w:hint="eastAsia" w:ascii="宋体" w:hAnsi="宋体" w:cs="宋体"/>
          <w:sz w:val="24"/>
          <w:szCs w:val="24"/>
          <w:lang w:val="en-US" w:eastAsia="zh-CN"/>
        </w:rPr>
        <w:t xml:space="preserve">试运行</w:t>
      </w:r>
      <w:r>
        <w:rPr>
          <w:rFonts w:hint="eastAsia" w:ascii="宋体" w:hAnsi="宋体" w:cs="宋体"/>
          <w:sz w:val="24"/>
          <w:szCs w:val="24"/>
        </w:rPr>
        <w:t xml:space="preserve">要求</w:t>
      </w:r>
      <w:r/>
    </w:p>
    <w:p>
      <w:pPr>
        <w:ind w:firstLine="480"/>
        <w:spacing w:line="360" w:lineRule="auto"/>
        <w:rPr>
          <w:rFonts w:ascii="宋体" w:hAnsi="宋体" w:cs="宋体"/>
          <w:sz w:val="24"/>
          <w:szCs w:val="24"/>
        </w:rPr>
      </w:pPr>
      <w:r>
        <w:rPr>
          <w:rFonts w:hint="eastAsia" w:ascii="宋体" w:hAnsi="宋体" w:cs="宋体"/>
          <w:sz w:val="24"/>
          <w:szCs w:val="24"/>
        </w:rPr>
        <w:t xml:space="preserve">系统需满足招标文件中的所有功能需求和非功能性需求，测试用例覆盖率达到100%，通过率不低于98%。</w:t>
      </w:r>
      <w:r/>
    </w:p>
    <w:p>
      <w:pPr>
        <w:ind w:firstLine="480"/>
        <w:spacing w:line="360" w:lineRule="auto"/>
        <w:rPr>
          <w:rFonts w:ascii="宋体" w:hAnsi="宋体" w:cs="宋体"/>
          <w:sz w:val="24"/>
          <w:szCs w:val="24"/>
        </w:rPr>
      </w:pPr>
      <w:r>
        <w:rPr>
          <w:rFonts w:hint="eastAsia" w:ascii="宋体" w:hAnsi="宋体" w:cs="宋体"/>
          <w:sz w:val="24"/>
          <w:szCs w:val="24"/>
        </w:rPr>
        <w:t xml:space="preserve">验收时需提交完整的源代码（包含注释）、数据库脚本、部署手册、用户手册、API文档、测试报告、培训材料等。</w:t>
      </w:r>
      <w:r/>
    </w:p>
    <w:p>
      <w:pPr>
        <w:ind w:firstLine="480"/>
        <w:spacing w:line="360" w:lineRule="auto"/>
        <w:rPr>
          <w:rFonts w:ascii="宋体" w:hAnsi="宋体" w:cs="宋体"/>
          <w:sz w:val="24"/>
          <w:szCs w:val="24"/>
        </w:rPr>
      </w:pPr>
      <w:r>
        <w:rPr>
          <w:rFonts w:hint="eastAsia" w:ascii="宋体" w:hAnsi="宋体" w:cs="宋体"/>
          <w:sz w:val="24"/>
          <w:szCs w:val="24"/>
        </w:rPr>
        <w:t xml:space="preserve">试运行期间系统无重大故障（P0/P1级故障）。</w:t>
      </w:r>
      <w:r/>
    </w:p>
    <w:p>
      <w:pPr>
        <w:numPr>
          <w:ilvl w:val="0"/>
          <w:numId w:val="0"/>
        </w:num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配合第三方专业测评机构完成系统备案及报告测评等工作报告。包括三级网络安全等级保护测评报告、三级等保系统密码应用安全评估报告及第三方软件测试评估报告等。</w:t>
      </w:r>
      <w:r/>
    </w:p>
    <w:p>
      <w:pPr>
        <w:pStyle w:val="809"/>
        <w:jc w:val="both"/>
        <w:spacing w:beforeAutospacing="0" w:afterAutospacing="0" w:line="0" w:lineRule="atLeast"/>
      </w:pPr>
      <w:r>
        <w:rPr>
          <w:rFonts w:hint="eastAsia" w:ascii="宋体" w:hAnsi="宋体" w:cs="宋体"/>
          <w:b/>
          <w:bCs/>
          <w:color w:val="000000"/>
          <w:szCs w:val="24"/>
          <w:lang w:val="en-US" w:eastAsia="zh-CN"/>
        </w:rPr>
        <w:t xml:space="preserve">八</w:t>
      </w:r>
      <w:r>
        <w:rPr>
          <w:rFonts w:hint="eastAsia" w:ascii="宋体" w:hAnsi="宋体" w:cs="宋体"/>
          <w:b/>
          <w:bCs/>
          <w:color w:val="000000"/>
          <w:szCs w:val="24"/>
        </w:rPr>
        <w:t xml:space="preserve">、演示要求</w:t>
      </w:r>
      <w:r/>
    </w:p>
    <w:p>
      <w:pPr>
        <w:pStyle w:val="809"/>
        <w:ind w:firstLine="480"/>
        <w:jc w:val="both"/>
        <w:keepLines w:val="0"/>
        <w:keepNext w:val="0"/>
        <w:pageBreakBefore w:val="0"/>
        <w:spacing w:beforeAutospacing="0" w:afterAutospacing="0" w:line="360" w:lineRule="auto"/>
        <w:widowControl w:val="off"/>
      </w:pPr>
      <w:r>
        <w:rPr>
          <w:color w:val="000000"/>
          <w:szCs w:val="24"/>
        </w:rPr>
        <w:t xml:space="preserve">演示方式 上传视频演示</w:t>
      </w:r>
      <w:r/>
    </w:p>
    <w:p>
      <w:pPr>
        <w:pStyle w:val="809"/>
        <w:ind w:firstLine="480"/>
        <w:jc w:val="both"/>
        <w:keepLines w:val="0"/>
        <w:keepNext w:val="0"/>
        <w:pageBreakBefore w:val="0"/>
        <w:spacing w:beforeAutospacing="0" w:afterAutospacing="0" w:line="360" w:lineRule="auto"/>
        <w:widowControl w:val="off"/>
        <w:rPr>
          <w:rFonts w:ascii="宋体" w:hAnsi="宋体" w:cs="宋体"/>
          <w:color w:val="000000"/>
          <w:szCs w:val="24"/>
        </w:rPr>
      </w:pPr>
      <w:r>
        <w:rPr>
          <w:rFonts w:hint="eastAsia" w:ascii="宋体" w:hAnsi="宋体" w:cs="宋体"/>
          <w:color w:val="000000"/>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w:t>
      </w:r>
      <w:r>
        <w:rPr>
          <w:rFonts w:hint="eastAsia" w:ascii="宋体" w:hAnsi="宋体" w:cs="宋体"/>
          <w:color w:val="000000"/>
          <w:szCs w:val="24"/>
          <w:highlight w:val="none"/>
        </w:rPr>
        <w:t xml:space="preserve">视频时长总计不超过</w:t>
      </w:r>
      <w:r>
        <w:rPr>
          <w:rFonts w:hint="eastAsia" w:ascii="宋体" w:hAnsi="宋体" w:cs="宋体"/>
          <w:color w:val="000000"/>
          <w:szCs w:val="24"/>
          <w:highlight w:val="none"/>
          <w:u w:val="single"/>
        </w:rPr>
        <w:t xml:space="preserve">  10  </w:t>
      </w:r>
      <w:r>
        <w:rPr>
          <w:rFonts w:hint="eastAsia" w:ascii="宋体" w:hAnsi="宋体" w:cs="宋体"/>
          <w:color w:val="000000"/>
          <w:szCs w:val="24"/>
          <w:highlight w:val="none"/>
        </w:rPr>
        <w:t xml:space="preserve">分钟。</w:t>
      </w:r>
      <w:r/>
    </w:p>
    <w:p>
      <w:pPr>
        <w:rPr>
          <w:rFonts w:hint="eastAsia" w:ascii="黑体" w:eastAsia="黑体"/>
          <w:bCs/>
          <w:color w:val="000000"/>
          <w:sz w:val="44"/>
        </w:rPr>
      </w:pPr>
      <w:r>
        <w:rPr>
          <w:rFonts w:hint="eastAsia" w:ascii="黑体" w:eastAsia="黑体"/>
          <w:bCs/>
          <w:color w:val="000000"/>
          <w:sz w:val="44"/>
        </w:rPr>
        <w:br w:type="page" w:clear="all"/>
      </w:r>
      <w:r/>
    </w:p>
    <w:p>
      <w:pPr>
        <w:pStyle w:val="809"/>
        <w:jc w:val="center"/>
        <w:spacing w:beforeAutospacing="0" w:afterAutospacing="0"/>
        <w:rPr>
          <w:rFonts w:ascii="黑体" w:eastAsia="黑体"/>
          <w:bCs/>
          <w:color w:val="000000"/>
          <w:sz w:val="44"/>
        </w:rPr>
      </w:pPr>
      <w:r>
        <w:rPr>
          <w:rFonts w:hint="eastAsia" w:ascii="黑体" w:eastAsia="黑体"/>
          <w:bCs/>
          <w:color w:val="000000"/>
          <w:sz w:val="44"/>
        </w:rPr>
        <w:t xml:space="preserve">第五章  </w:t>
      </w:r>
      <w:r>
        <w:rPr>
          <w:rFonts w:hint="eastAsia" w:ascii="黑体" w:eastAsia="黑体"/>
          <w:b w:val="0"/>
          <w:bCs w:val="0"/>
          <w:color w:val="000000"/>
          <w:sz w:val="44"/>
        </w:rPr>
        <w:t xml:space="preserve">评标方法与评标标准</w:t>
      </w:r>
      <w:r/>
    </w:p>
    <w:p>
      <w:pPr>
        <w:rPr>
          <w:color w:val="000000"/>
        </w:rPr>
      </w:pPr>
      <w:r>
        <w:rPr>
          <w:color w:val="000000"/>
        </w:rPr>
      </w:r>
      <w:r/>
    </w:p>
    <w:p>
      <w:pPr>
        <w:pStyle w:val="1054"/>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78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1054"/>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本项目专门面向中小企业：是/否</w:t>
      </w:r>
      <w:r/>
    </w:p>
    <w:tbl>
      <w:tblPr>
        <w:tblStyle w:val="78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10%</w:t>
      </w:r>
      <w:r>
        <w:rPr>
          <w:rFonts w:hint="eastAsia" w:ascii="宋体" w:hAnsi="宋体"/>
          <w:color w:val="000000"/>
          <w:sz w:val="24"/>
          <w:szCs w:val="24"/>
          <w:highlight w:val="none"/>
        </w:rPr>
        <w:t xml:space="preserve">的扣除价格，用扣除后的价格参与评审。</w:t>
      </w:r>
      <w:r/>
    </w:p>
    <w:p>
      <w:pPr>
        <w:ind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w:t>
      </w:r>
      <w:r>
        <w:rPr>
          <w:rFonts w:hint="eastAsia" w:ascii="宋体" w:hAnsi="宋体"/>
          <w:sz w:val="24"/>
          <w:szCs w:val="24"/>
          <w:highlight w:val="none"/>
        </w:rPr>
        <w:t xml:space="preserve">相应的《中小企业声明函</w:t>
      </w:r>
      <w:r>
        <w:rPr>
          <w:rFonts w:hint="eastAsia" w:ascii="宋体" w:hAnsi="宋体"/>
          <w:color w:val="000000"/>
          <w:sz w:val="24"/>
          <w:szCs w:val="24"/>
          <w:highlight w:val="none"/>
        </w:rPr>
        <w:t xml:space="preserve">》。</w:t>
      </w:r>
      <w:r/>
    </w:p>
    <w:p>
      <w:pPr>
        <w:pStyle w:val="1054"/>
        <w:ind w:firstLine="360"/>
        <w:spacing w:line="0" w:lineRule="atLeast"/>
        <w:rPr>
          <w:rFonts w:ascii="宋体" w:hAnsi="宋体"/>
          <w:color w:val="000000"/>
          <w:highlight w:val="none"/>
        </w:rPr>
      </w:pPr>
      <w:r>
        <w:rPr>
          <w:rFonts w:hint="eastAsia" w:ascii="宋体" w:hAnsi="宋体"/>
          <w:color w:val="000000"/>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20"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10%</w:t>
      </w:r>
      <w:r>
        <w:rPr>
          <w:rFonts w:hint="eastAsia" w:ascii="宋体" w:hAnsi="宋体"/>
          <w:color w:val="000000"/>
          <w:sz w:val="24"/>
          <w:szCs w:val="24"/>
          <w:highlight w:val="none"/>
        </w:rPr>
        <w:t xml:space="preserve">的价格扣除，用扣除后的价格参与评审。</w:t>
      </w:r>
      <w:r/>
    </w:p>
    <w:p>
      <w:pPr>
        <w:ind w:left="120"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10%</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w:t>
      </w:r>
      <w:r>
        <w:rPr>
          <w:rFonts w:hint="eastAsia" w:ascii="宋体" w:hAnsi="宋体"/>
          <w:color w:val="auto"/>
          <w:sz w:val="24"/>
          <w:szCs w:val="24"/>
          <w:highlight w:val="none"/>
        </w:rPr>
        <w:t xml:space="preserve">〔</w:t>
      </w:r>
      <w:r>
        <w:rPr>
          <w:rFonts w:ascii="宋体" w:hAnsi="宋体"/>
          <w:color w:val="auto"/>
          <w:sz w:val="24"/>
          <w:szCs w:val="24"/>
          <w:highlight w:val="none"/>
        </w:rPr>
        <w:t xml:space="preserve">2014</w:t>
      </w:r>
      <w:r>
        <w:rPr>
          <w:rFonts w:hint="eastAsia" w:ascii="宋体" w:hAnsi="宋体"/>
          <w:color w:val="auto"/>
          <w:sz w:val="24"/>
          <w:szCs w:val="24"/>
          <w:highlight w:val="none"/>
        </w:rPr>
        <w:t xml:space="preserve">〕</w:t>
      </w:r>
      <w:r>
        <w:rPr>
          <w:rFonts w:ascii="宋体" w:hAnsi="宋体"/>
          <w:color w:val="auto"/>
          <w:sz w:val="24"/>
          <w:szCs w:val="24"/>
          <w:highlight w:val="none"/>
        </w:rPr>
        <w:t xml:space="preserve">68号</w:t>
      </w:r>
      <w:r>
        <w:rPr>
          <w:rFonts w:hint="eastAsia" w:ascii="宋体" w:hAnsi="宋体"/>
          <w:color w:val="auto"/>
          <w:sz w:val="24"/>
          <w:szCs w:val="24"/>
          <w:highlight w:val="none"/>
        </w:rPr>
        <w:t xml:space="preserve">）。</w:t>
      </w:r>
      <w:r/>
    </w:p>
    <w:p>
      <w:pPr>
        <w:ind w:firstLine="480"/>
        <w:jc w:val="left"/>
        <w:spacing w:before="120" w:after="120" w:line="400" w:lineRule="exact"/>
        <w:rPr>
          <w:rFonts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auto"/>
          <w:sz w:val="36"/>
          <w:szCs w:val="36"/>
          <w:highlight w:val="none"/>
        </w:rPr>
      </w:pPr>
      <w:r>
        <w:rPr>
          <w:rFonts w:hint="eastAsia" w:ascii="宋体" w:hAnsi="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6%</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10%</w:t>
      </w:r>
      <w:bookmarkStart w:id="199" w:name="_GoBack"/>
      <w:r/>
      <w:bookmarkEnd w:id="199"/>
      <w:r>
        <w:rPr>
          <w:rFonts w:hint="eastAsia" w:ascii="宋体" w:hAnsi="宋体"/>
          <w:color w:val="auto"/>
          <w:sz w:val="24"/>
          <w:szCs w:val="24"/>
          <w:highlight w:val="none"/>
        </w:rPr>
        <w:t xml:space="preserve">价格扣除，用扣除后的价</w:t>
      </w:r>
      <w:r>
        <w:rPr>
          <w:rFonts w:hint="eastAsia" w:ascii="宋体" w:hAnsi="宋体"/>
          <w:color w:val="000000"/>
          <w:sz w:val="24"/>
          <w:szCs w:val="24"/>
          <w:highlight w:val="none"/>
        </w:rPr>
        <w:t xml:space="preserve">格参与评审。</w:t>
      </w:r>
      <w:r/>
    </w:p>
    <w:p>
      <w:pPr>
        <w:ind w:firstLine="480"/>
        <w:jc w:val="left"/>
        <w:spacing w:before="120" w:after="120" w:line="40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7.采购本国产品的支持政策</w:t>
      </w:r>
      <w:r/>
    </w:p>
    <w:p>
      <w:pPr>
        <w:ind w:firstLine="480"/>
        <w:jc w:val="left"/>
        <w:spacing w:before="120" w:after="120" w:line="40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eastAsia="宋体"/>
          <w:color w:val="000000"/>
          <w:sz w:val="24"/>
          <w:szCs w:val="24"/>
          <w:highlight w:val="none"/>
        </w:rPr>
        <w:t xml:space="preserve">。</w:t>
      </w:r>
      <w:r/>
    </w:p>
    <w:p>
      <w:pPr>
        <w:ind w:firstLine="480"/>
        <w:jc w:val="left"/>
        <w:spacing w:before="120" w:after="120" w:line="40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7.2 </w:t>
      </w:r>
      <w:r>
        <w:rPr>
          <w:rFonts w:hint="eastAsia" w:ascii="宋体" w:hAnsi="宋体" w:eastAsia="宋体"/>
          <w:color w:val="000000"/>
          <w:sz w:val="24"/>
          <w:szCs w:val="24"/>
          <w:highlight w:val="none"/>
        </w:rPr>
        <w:t xml:space="preserve">供应商需按照</w:t>
      </w:r>
      <w:r>
        <w:rPr>
          <w:rFonts w:hint="eastAsia" w:ascii="宋体" w:hAnsi="宋体" w:eastAsia="宋体"/>
          <w:color w:val="000000"/>
          <w:sz w:val="24"/>
          <w:szCs w:val="24"/>
          <w:highlight w:val="none"/>
          <w:lang w:eastAsia="zh-CN"/>
        </w:rPr>
        <w:t xml:space="preserve">招标</w:t>
      </w:r>
      <w:r>
        <w:rPr>
          <w:rFonts w:hint="eastAsia" w:ascii="宋体" w:hAnsi="宋体" w:eastAsia="宋体"/>
          <w:color w:val="000000"/>
          <w:sz w:val="24"/>
          <w:szCs w:val="24"/>
          <w:highlight w:val="none"/>
        </w:rPr>
        <w:t xml:space="preserve">文件的要求提供《关于符合本国产品标准的声明函》</w:t>
      </w:r>
      <w:r>
        <w:rPr>
          <w:rFonts w:hint="eastAsia" w:ascii="宋体" w:hAnsi="宋体" w:eastAsia="宋体"/>
          <w:color w:val="000000"/>
          <w:sz w:val="24"/>
          <w:szCs w:val="24"/>
          <w:highlight w:val="none"/>
          <w:lang w:eastAsia="zh-CN"/>
        </w:rPr>
        <w:t xml:space="preserve">（以下简称《声明函》），如不提供</w:t>
      </w:r>
      <w:r>
        <w:rPr>
          <w:rFonts w:hint="eastAsia" w:ascii="宋体" w:hAnsi="宋体" w:eastAsia="宋体"/>
          <w:color w:val="000000"/>
          <w:sz w:val="24"/>
          <w:szCs w:val="24"/>
          <w:highlight w:val="none"/>
          <w:lang w:val="en-US" w:eastAsia="zh-CN"/>
        </w:rPr>
        <w:t xml:space="preserve">将不享受本国产品价格评审优惠</w:t>
      </w:r>
      <w:r>
        <w:rPr>
          <w:rFonts w:hint="eastAsia" w:ascii="宋体" w:hAnsi="宋体" w:eastAsia="宋体"/>
          <w:color w:val="000000"/>
          <w:sz w:val="24"/>
          <w:szCs w:val="24"/>
          <w:highlight w:val="none"/>
        </w:rPr>
        <w:t xml:space="preserve">。</w:t>
      </w:r>
      <w:r/>
    </w:p>
    <w:p>
      <w:pPr>
        <w:ind w:firstLine="480"/>
        <w:jc w:val="left"/>
        <w:spacing w:before="120" w:after="120"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供应商需在《声明函》中逐一、准确填写产品名称、厂名、生产厂址三项信息</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《声明函》中标注“  /  ”的地方无需填写</w:t>
      </w:r>
      <w:r>
        <w:rPr>
          <w:rFonts w:hint="eastAsia" w:ascii="宋体" w:hAnsi="宋体" w:eastAsia="宋体"/>
          <w:color w:val="auto"/>
          <w:sz w:val="24"/>
          <w:szCs w:val="24"/>
          <w:highlight w:val="none"/>
        </w:rPr>
        <w:t xml:space="preserve">）</w:t>
      </w:r>
      <w:r>
        <w:rPr>
          <w:rFonts w:hint="eastAsia" w:ascii="宋体" w:hAnsi="宋体" w:eastAsia="宋体"/>
          <w:color w:val="000000"/>
          <w:sz w:val="24"/>
          <w:szCs w:val="24"/>
          <w:highlight w:val="none"/>
        </w:rPr>
        <w:t xml:space="preserve">，三项信息中任意一项未填写的视为该项产品不符合本国产品标准，不享受本国产品价格评审优惠。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7.</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olor w:val="000000"/>
          <w:sz w:val="24"/>
          <w:szCs w:val="24"/>
          <w:highlight w:val="none"/>
          <w:lang w:eastAsia="zh-CN"/>
        </w:rPr>
        <w:t xml:space="preserve">和招标文件</w:t>
      </w:r>
      <w:r>
        <w:rPr>
          <w:rFonts w:hint="eastAsia" w:ascii="宋体" w:hAnsi="宋体" w:eastAsia="宋体"/>
          <w:color w:val="000000"/>
          <w:sz w:val="24"/>
          <w:szCs w:val="24"/>
          <w:highlight w:val="none"/>
        </w:rPr>
        <w:t xml:space="preserve">规定的，供应商提供的相关产品视为不符合本国产品标准。</w:t>
      </w:r>
      <w:r/>
    </w:p>
    <w:p>
      <w:pPr>
        <w:pStyle w:val="1054"/>
        <w:ind w:firstLine="482"/>
        <w:spacing w:line="0" w:lineRule="atLeast"/>
        <w:rPr>
          <w:color w:val="000000"/>
        </w:rPr>
      </w:pPr>
      <w:r>
        <w:rPr>
          <w:rFonts w:hint="eastAsia" w:ascii="宋体" w:hAnsi="宋体"/>
          <w:b/>
          <w:color w:val="000000"/>
        </w:rPr>
        <w:t xml:space="preserve">评标方法与评标标准</w:t>
      </w:r>
      <w:r>
        <w:rPr>
          <w:rFonts w:hint="eastAsia"/>
          <w:color w:val="000000"/>
        </w:rPr>
        <w:t xml:space="preserve"> </w:t>
      </w:r>
      <w:r/>
    </w:p>
    <w:tbl>
      <w:tblPr>
        <w:tblStyle w:val="788"/>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4"/>
        <w:gridCol w:w="7356"/>
      </w:tblGrid>
      <w:tr>
        <w:trPr>
          <w:jc w:val="center"/>
          <w:trHeight w:val="567"/>
        </w:trPr>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widowControl/>
              <w:rPr>
                <w:rFonts w:ascii="宋体" w:hAnsi="宋体" w:cs="宋体"/>
                <w:b/>
                <w:sz w:val="24"/>
                <w:szCs w:val="24"/>
              </w:rPr>
            </w:pPr>
            <w:r>
              <w:rPr>
                <w:rFonts w:hint="eastAsia" w:ascii="宋体" w:hAnsi="宋体" w:cs="宋体"/>
                <w:b/>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jc w:val="center"/>
              <w:widowControl/>
              <w:rPr>
                <w:rFonts w:ascii="宋体" w:hAnsi="宋体" w:cs="宋体"/>
                <w:b/>
                <w:sz w:val="24"/>
                <w:szCs w:val="24"/>
              </w:rPr>
            </w:pPr>
            <w:r>
              <w:rPr>
                <w:rFonts w:hint="eastAsia" w:ascii="宋体" w:hAnsi="宋体" w:cs="宋体"/>
                <w:b/>
                <w:sz w:val="24"/>
                <w:szCs w:val="24"/>
              </w:rPr>
              <w:t xml:space="preserve">评分标准</w:t>
            </w:r>
            <w:r/>
          </w:p>
        </w:tc>
      </w:tr>
      <w:tr>
        <w:trPr>
          <w:jc w:val="center"/>
          <w:trHeight w:val="537"/>
        </w:trPr>
        <w:tc>
          <w:tcPr>
            <w:tcBorders>
              <w:top w:val="single" w:color="auto" w:sz="4" w:space="0"/>
              <w:left w:val="single" w:color="auto" w:sz="4" w:space="0"/>
              <w:right w:val="single" w:color="auto" w:sz="4" w:space="0"/>
            </w:tcBorders>
            <w:tcW w:w="1364" w:type="dxa"/>
            <w:vAlign w:val="center"/>
            <w:textDirection w:val="lrTb"/>
            <w:noWrap w:val="false"/>
          </w:tcPr>
          <w:p>
            <w:pPr>
              <w:jc w:val="center"/>
              <w:rPr>
                <w:rFonts w:ascii="宋体" w:hAnsi="宋体" w:cs="宋体"/>
                <w:spacing w:val="-5"/>
                <w:sz w:val="24"/>
                <w:szCs w:val="24"/>
              </w:rPr>
            </w:pPr>
            <w:r>
              <w:rPr>
                <w:rFonts w:hint="eastAsia" w:ascii="宋体" w:hAnsi="宋体" w:cs="宋体"/>
                <w:spacing w:val="-5"/>
                <w:sz w:val="24"/>
                <w:szCs w:val="24"/>
              </w:rPr>
              <w:t xml:space="preserve">价格</w:t>
            </w:r>
            <w:r/>
          </w:p>
          <w:p>
            <w:pPr>
              <w:jc w:val="center"/>
              <w:rPr>
                <w:rFonts w:ascii="宋体" w:hAnsi="宋体" w:cs="宋体"/>
                <w:spacing w:val="-5"/>
                <w:sz w:val="24"/>
                <w:szCs w:val="24"/>
              </w:rPr>
            </w:pPr>
            <w:r>
              <w:rPr>
                <w:rFonts w:hint="eastAsia" w:ascii="宋体" w:hAnsi="宋体" w:cs="宋体"/>
                <w:spacing w:val="-5"/>
                <w:sz w:val="24"/>
                <w:szCs w:val="24"/>
              </w:rPr>
              <w:t xml:space="preserve">（10分）</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jc w:val="left"/>
              <w:widowControl/>
              <w:rPr>
                <w:rFonts w:ascii="宋体" w:hAnsi="宋体"/>
                <w:sz w:val="24"/>
                <w:szCs w:val="24"/>
              </w:rPr>
            </w:pPr>
            <w:r>
              <w:rPr>
                <w:rFonts w:hint="eastAsia" w:ascii="宋体" w:hAnsi="宋体" w:cs="宋体"/>
                <w:bCs/>
                <w:sz w:val="24"/>
                <w:szCs w:val="24"/>
                <w:lang w:bidi="ar"/>
              </w:rPr>
              <w:t xml:space="preserve">以满足招标文件要求的最低投标报价为评标基准价，得满分10分，其他投标报价得分=(评标基准价／其他投标报价)×10×100%。</w:t>
            </w:r>
            <w:r/>
          </w:p>
        </w:tc>
      </w:tr>
      <w:tr>
        <w:trPr>
          <w:jc w:val="center"/>
          <w:trHeight w:val="567"/>
        </w:trPr>
        <w:tc>
          <w:tcPr>
            <w:tcBorders>
              <w:left w:val="single" w:color="auto" w:sz="4" w:space="0"/>
              <w:right w:val="single" w:color="auto" w:sz="4" w:space="0"/>
            </w:tcBorders>
            <w:tcW w:w="1364" w:type="dxa"/>
            <w:vAlign w:val="center"/>
            <w:vMerge w:val="restart"/>
            <w:textDirection w:val="lrTb"/>
            <w:noWrap w:val="false"/>
          </w:tcPr>
          <w:p>
            <w:pPr>
              <w:jc w:val="center"/>
              <w:rPr>
                <w:rFonts w:ascii="宋体" w:hAnsi="宋体" w:cs="宋体"/>
                <w:color w:val="auto"/>
                <w:spacing w:val="-5"/>
                <w:sz w:val="24"/>
                <w:szCs w:val="24"/>
                <w:highlight w:val="none"/>
              </w:rPr>
            </w:pPr>
            <w:r>
              <w:rPr>
                <w:rFonts w:hint="eastAsia" w:ascii="宋体" w:hAnsi="宋体" w:cs="宋体"/>
                <w:color w:val="auto"/>
                <w:spacing w:val="-5"/>
                <w:sz w:val="24"/>
                <w:szCs w:val="24"/>
                <w:highlight w:val="none"/>
              </w:rPr>
              <w:t xml:space="preserve">功能需求方案（</w:t>
            </w:r>
            <w:r>
              <w:rPr>
                <w:rFonts w:hint="eastAsia" w:ascii="宋体" w:hAnsi="宋体" w:cs="宋体"/>
                <w:color w:val="auto"/>
                <w:spacing w:val="-5"/>
                <w:sz w:val="24"/>
                <w:szCs w:val="24"/>
                <w:highlight w:val="none"/>
                <w:lang w:val="en-US" w:eastAsia="zh-CN"/>
              </w:rPr>
              <w:t xml:space="preserve">25</w:t>
            </w:r>
            <w:r>
              <w:rPr>
                <w:rFonts w:hint="eastAsia" w:ascii="宋体" w:hAnsi="宋体" w:cs="宋体"/>
                <w:color w:val="auto"/>
                <w:spacing w:val="-5"/>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356" w:type="dxa"/>
            <w:textDirection w:val="lrTb"/>
            <w:noWrap w:val="false"/>
          </w:tcPr>
          <w:p>
            <w:pPr>
              <w:pStyle w:val="1083"/>
              <w:ind w:firstLine="0"/>
              <w:rPr>
                <w:rFonts w:ascii="宋体" w:hAnsi="宋体" w:cs="宋体"/>
                <w:b/>
                <w:bCs/>
                <w:color w:val="auto"/>
                <w:spacing w:val="-5"/>
                <w:sz w:val="24"/>
                <w:szCs w:val="24"/>
                <w:highlight w:val="none"/>
              </w:rPr>
            </w:pPr>
            <w:r>
              <w:rPr>
                <w:rFonts w:hint="eastAsia" w:ascii="宋体" w:hAnsi="宋体" w:cs="宋体"/>
                <w:b/>
                <w:bCs/>
                <w:color w:val="auto"/>
                <w:spacing w:val="-5"/>
                <w:sz w:val="24"/>
                <w:szCs w:val="24"/>
                <w:highlight w:val="none"/>
              </w:rPr>
              <w:t xml:space="preserve">1、风险智能研判预警模块</w:t>
            </w:r>
            <w:r>
              <w:rPr>
                <w:rFonts w:hint="eastAsia"/>
                <w:b/>
                <w:bCs/>
                <w:color w:val="auto"/>
                <w:sz w:val="24"/>
                <w:szCs w:val="24"/>
                <w:highlight w:val="none"/>
                <w:lang w:val="en-US" w:eastAsia="zh-CN"/>
              </w:rPr>
              <w:t xml:space="preserve">开发</w:t>
            </w:r>
            <w:r>
              <w:rPr>
                <w:b/>
                <w:bCs/>
                <w:color w:val="auto"/>
                <w:sz w:val="24"/>
                <w:szCs w:val="24"/>
                <w:highlight w:val="none"/>
              </w:rPr>
              <w:t xml:space="preserve">方案</w:t>
            </w:r>
            <w:r>
              <w:rPr>
                <w:rFonts w:hint="eastAsia" w:ascii="宋体" w:hAnsi="宋体" w:cs="宋体"/>
                <w:b/>
                <w:bCs/>
                <w:color w:val="auto"/>
                <w:spacing w:val="-5"/>
                <w:sz w:val="24"/>
                <w:szCs w:val="24"/>
                <w:highlight w:val="none"/>
              </w:rPr>
              <w:t xml:space="preserve">（</w:t>
            </w:r>
            <w:r>
              <w:rPr>
                <w:rFonts w:hint="eastAsia" w:ascii="宋体" w:hAnsi="宋体" w:cs="Calibri"/>
                <w:b/>
                <w:bCs/>
                <w:color w:val="auto"/>
                <w:sz w:val="24"/>
                <w:szCs w:val="24"/>
                <w:highlight w:val="none"/>
                <w:lang w:val="en-US" w:eastAsia="zh-CN"/>
              </w:rPr>
              <w:t xml:space="preserve">5分）</w:t>
            </w:r>
            <w:r/>
          </w:p>
          <w:p>
            <w:pPr>
              <w:pStyle w:val="1083"/>
              <w:ind w:firstLine="0"/>
              <w:rPr>
                <w:color w:val="auto"/>
                <w:highlight w:val="none"/>
              </w:rPr>
            </w:pPr>
            <w:r>
              <w:rPr>
                <w:rFonts w:hint="eastAsia" w:ascii="宋体" w:hAnsi="宋体"/>
                <w:color w:val="auto"/>
                <w:sz w:val="24"/>
                <w:szCs w:val="24"/>
                <w:highlight w:val="none"/>
              </w:rPr>
              <w:t xml:space="preserve">投标人根据项目需求提供</w:t>
            </w:r>
            <w:r>
              <w:rPr>
                <w:rFonts w:hint="eastAsia" w:ascii="宋体" w:hAnsi="宋体" w:cs="宋体"/>
                <w:color w:val="auto"/>
                <w:spacing w:val="-5"/>
                <w:sz w:val="24"/>
                <w:szCs w:val="24"/>
                <w:highlight w:val="none"/>
              </w:rPr>
              <w:t xml:space="preserve">风险智能研判预警模块设计</w:t>
            </w:r>
            <w:r>
              <w:rPr>
                <w:rFonts w:hint="eastAsia" w:ascii="宋体" w:hAnsi="宋体"/>
                <w:color w:val="auto"/>
                <w:sz w:val="24"/>
                <w:szCs w:val="24"/>
                <w:highlight w:val="none"/>
              </w:rPr>
              <w:t xml:space="preserve">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jc w:val="center"/>
          <w:trHeight w:val="567"/>
        </w:trPr>
        <w:tc>
          <w:tcPr>
            <w:tcBorders>
              <w:left w:val="single" w:color="auto" w:sz="4" w:space="0"/>
              <w:right w:val="single" w:color="auto" w:sz="4" w:space="0"/>
            </w:tcBorders>
            <w:tcW w:w="1364" w:type="dxa"/>
            <w:vAlign w:val="center"/>
            <w:vMerge w:val="continue"/>
            <w:textDirection w:val="lrTb"/>
            <w:noWrap w:val="false"/>
          </w:tcPr>
          <w:p>
            <w:pPr>
              <w:jc w:val="center"/>
              <w:rPr>
                <w:rFonts w:ascii="宋体" w:hAnsi="宋体" w:cs="宋体"/>
                <w:color w:val="auto"/>
                <w:spacing w:val="-5"/>
                <w:sz w:val="24"/>
                <w:szCs w:val="24"/>
                <w:highlight w:val="none"/>
              </w:rPr>
            </w:pPr>
            <w:r>
              <w:rPr>
                <w:rFonts w:ascii="宋体" w:hAnsi="宋体" w:cs="宋体"/>
                <w:color w:val="auto"/>
                <w:spacing w:val="-5"/>
                <w:sz w:val="24"/>
                <w:szCs w:val="24"/>
                <w:highlight w:val="none"/>
              </w:rPr>
            </w:r>
            <w:r/>
          </w:p>
        </w:tc>
        <w:tc>
          <w:tcPr>
            <w:tcBorders>
              <w:top w:val="single" w:color="auto" w:sz="4" w:space="0"/>
              <w:left w:val="single" w:color="auto" w:sz="4" w:space="0"/>
              <w:bottom w:val="single" w:color="auto" w:sz="4" w:space="0"/>
              <w:right w:val="single" w:color="auto" w:sz="4" w:space="0"/>
            </w:tcBorders>
            <w:tcW w:w="7356" w:type="dxa"/>
            <w:textDirection w:val="lrTb"/>
            <w:noWrap w:val="false"/>
          </w:tcPr>
          <w:p>
            <w:pPr>
              <w:pStyle w:val="1083"/>
              <w:numPr>
                <w:ilvl w:val="0"/>
                <w:numId w:val="6"/>
              </w:numPr>
              <w:ind w:firstLine="0"/>
              <w:rPr>
                <w:rFonts w:ascii="宋体" w:hAnsi="宋体" w:cs="宋体"/>
                <w:b/>
                <w:bCs/>
                <w:color w:val="auto"/>
                <w:spacing w:val="-5"/>
                <w:sz w:val="24"/>
                <w:szCs w:val="24"/>
                <w:highlight w:val="none"/>
              </w:rPr>
            </w:pPr>
            <w:r>
              <w:rPr>
                <w:rFonts w:hint="eastAsia"/>
                <w:b/>
                <w:bCs/>
                <w:color w:val="auto"/>
                <w:sz w:val="24"/>
                <w:szCs w:val="24"/>
                <w:highlight w:val="none"/>
              </w:rPr>
              <w:t xml:space="preserve">隐患治理协同闭环模块</w:t>
            </w:r>
            <w:r>
              <w:rPr>
                <w:rFonts w:hint="eastAsia"/>
                <w:b/>
                <w:bCs/>
                <w:color w:val="auto"/>
                <w:sz w:val="24"/>
                <w:szCs w:val="24"/>
                <w:highlight w:val="none"/>
                <w:lang w:val="en-US" w:eastAsia="zh-CN"/>
              </w:rPr>
              <w:t xml:space="preserve">开发</w:t>
            </w:r>
            <w:r>
              <w:rPr>
                <w:b/>
                <w:bCs/>
                <w:color w:val="auto"/>
                <w:sz w:val="24"/>
                <w:szCs w:val="24"/>
                <w:highlight w:val="none"/>
              </w:rPr>
              <w:t xml:space="preserve">方案</w:t>
            </w:r>
            <w:r>
              <w:rPr>
                <w:rFonts w:hint="eastAsia" w:ascii="宋体" w:hAnsi="宋体" w:cs="宋体"/>
                <w:b/>
                <w:bCs/>
                <w:color w:val="auto"/>
                <w:spacing w:val="-5"/>
                <w:sz w:val="24"/>
                <w:szCs w:val="24"/>
                <w:highlight w:val="none"/>
              </w:rPr>
              <w:t xml:space="preserve">（</w:t>
            </w:r>
            <w:r>
              <w:rPr>
                <w:rFonts w:hint="eastAsia" w:ascii="宋体" w:hAnsi="宋体" w:cs="宋体"/>
                <w:b/>
                <w:bCs/>
                <w:color w:val="auto"/>
                <w:spacing w:val="-5"/>
                <w:sz w:val="24"/>
                <w:szCs w:val="24"/>
                <w:highlight w:val="none"/>
                <w:lang w:val="en-US" w:eastAsia="zh-CN"/>
              </w:rPr>
              <w:t xml:space="preserve">5</w:t>
            </w:r>
            <w:r>
              <w:rPr>
                <w:rFonts w:hint="eastAsia" w:ascii="宋体" w:hAnsi="宋体" w:cs="宋体"/>
                <w:b/>
                <w:bCs/>
                <w:color w:val="auto"/>
                <w:spacing w:val="-5"/>
                <w:sz w:val="24"/>
                <w:szCs w:val="24"/>
                <w:highlight w:val="none"/>
              </w:rPr>
              <w:t xml:space="preserve">分）</w:t>
            </w:r>
            <w:r/>
          </w:p>
          <w:p>
            <w:pPr>
              <w:rPr>
                <w:color w:val="auto"/>
                <w:highlight w:val="none"/>
              </w:rPr>
            </w:pPr>
            <w:r>
              <w:rPr>
                <w:rFonts w:hint="eastAsia" w:ascii="宋体" w:hAnsi="宋体"/>
                <w:color w:val="auto"/>
                <w:sz w:val="24"/>
                <w:szCs w:val="24"/>
                <w:highlight w:val="none"/>
              </w:rPr>
              <w:t xml:space="preserve">投标人根</w:t>
            </w:r>
            <w:r>
              <w:rPr>
                <w:rFonts w:hint="eastAsia" w:ascii="宋体" w:hAnsi="宋体"/>
                <w:b w:val="0"/>
                <w:bCs w:val="0"/>
                <w:color w:val="auto"/>
                <w:sz w:val="24"/>
                <w:szCs w:val="24"/>
                <w:highlight w:val="none"/>
              </w:rPr>
              <w:t xml:space="preserve">据项目需求提供隐患治理协同闭环模块</w:t>
            </w:r>
            <w:r>
              <w:rPr>
                <w:rFonts w:hint="eastAsia" w:ascii="宋体" w:hAnsi="宋体" w:cs="宋体"/>
                <w:b w:val="0"/>
                <w:bCs w:val="0"/>
                <w:color w:val="auto"/>
                <w:spacing w:val="-5"/>
                <w:sz w:val="24"/>
                <w:szCs w:val="24"/>
                <w:highlight w:val="none"/>
              </w:rPr>
              <w:t xml:space="preserve">设计</w:t>
            </w:r>
            <w:r>
              <w:rPr>
                <w:rFonts w:hint="eastAsia" w:ascii="宋体" w:hAnsi="宋体"/>
                <w:b w:val="0"/>
                <w:bCs w:val="0"/>
                <w:color w:val="auto"/>
                <w:sz w:val="24"/>
                <w:szCs w:val="24"/>
                <w:highlight w:val="none"/>
              </w:rPr>
              <w:t xml:space="preserve">方案</w:t>
            </w:r>
            <w:r>
              <w:rPr>
                <w:rFonts w:hint="eastAsia" w:ascii="宋体" w:hAnsi="宋体"/>
                <w:b w:val="0"/>
                <w:bCs w:val="0"/>
                <w:color w:val="auto"/>
                <w:sz w:val="24"/>
                <w:szCs w:val="24"/>
                <w:highlight w:val="none"/>
                <w:lang w:val="zh-CN"/>
              </w:rPr>
              <w:t xml:space="preserve">，方案</w:t>
            </w:r>
            <w:r>
              <w:rPr>
                <w:rFonts w:hint="eastAsia" w:ascii="宋体" w:hAnsi="宋体" w:cs="Calibri"/>
                <w:b w:val="0"/>
                <w:bCs w:val="0"/>
                <w:color w:val="auto"/>
                <w:sz w:val="24"/>
                <w:szCs w:val="24"/>
                <w:highlight w:val="none"/>
              </w:rPr>
              <w:t xml:space="preserve">优于招标文件要求得</w:t>
            </w:r>
            <w:r>
              <w:rPr>
                <w:rFonts w:hint="eastAsia" w:ascii="宋体" w:hAnsi="宋体" w:cs="宋体"/>
                <w:b w:val="0"/>
                <w:bCs w:val="0"/>
                <w:color w:val="auto"/>
                <w:spacing w:val="-5"/>
                <w:sz w:val="24"/>
                <w:szCs w:val="24"/>
                <w:highlight w:val="none"/>
                <w:lang w:val="en-US" w:eastAsia="zh-CN" w:bidi="ar-SA"/>
              </w:rPr>
              <w:t xml:space="preserve">5</w:t>
            </w:r>
            <w:r>
              <w:rPr>
                <w:rFonts w:hint="eastAsia" w:ascii="宋体" w:hAnsi="宋体" w:cs="Calibri"/>
                <w:b w:val="0"/>
                <w:bCs w:val="0"/>
                <w:color w:val="auto"/>
                <w:sz w:val="24"/>
                <w:szCs w:val="24"/>
                <w:highlight w:val="none"/>
              </w:rPr>
              <w:t xml:space="preserve">分；符合招标文件要求得</w:t>
            </w:r>
            <w:r>
              <w:rPr>
                <w:rFonts w:hint="eastAsia" w:ascii="宋体" w:hAnsi="宋体" w:cs="宋体"/>
                <w:b w:val="0"/>
                <w:bCs w:val="0"/>
                <w:color w:val="auto"/>
                <w:spacing w:val="-5"/>
                <w:sz w:val="24"/>
                <w:szCs w:val="24"/>
                <w:highlight w:val="none"/>
                <w:lang w:val="en-US" w:eastAsia="zh-CN" w:bidi="ar-SA"/>
              </w:rPr>
              <w:t xml:space="preserve">3</w:t>
            </w:r>
            <w:r>
              <w:rPr>
                <w:rFonts w:hint="eastAsia" w:ascii="宋体" w:hAnsi="宋体" w:eastAsia="宋体" w:cs="宋体"/>
                <w:b w:val="0"/>
                <w:bCs w:val="0"/>
                <w:color w:val="auto"/>
                <w:spacing w:val="-5"/>
                <w:sz w:val="24"/>
                <w:szCs w:val="24"/>
                <w:highlight w:val="none"/>
                <w:lang w:val="en-US" w:eastAsia="zh-CN" w:bidi="ar-SA"/>
              </w:rPr>
              <w:t xml:space="preserve">分</w:t>
            </w:r>
            <w:r>
              <w:rPr>
                <w:rFonts w:hint="eastAsia" w:ascii="宋体" w:hAnsi="宋体" w:cs="Calibri"/>
                <w:b w:val="0"/>
                <w:bCs w:val="0"/>
                <w:color w:val="auto"/>
                <w:sz w:val="24"/>
                <w:szCs w:val="24"/>
                <w:highlight w:val="none"/>
              </w:rPr>
              <w:t xml:space="preserve">；不符合招标文件要求或未提供的不得分。</w:t>
            </w:r>
            <w:r/>
          </w:p>
        </w:tc>
      </w:tr>
      <w:tr>
        <w:trPr>
          <w:jc w:val="center"/>
          <w:trHeight w:val="567"/>
        </w:trPr>
        <w:tc>
          <w:tcPr>
            <w:tcBorders>
              <w:left w:val="single" w:color="auto" w:sz="4" w:space="0"/>
              <w:right w:val="single" w:color="auto" w:sz="4" w:space="0"/>
            </w:tcBorders>
            <w:tcW w:w="1364" w:type="dxa"/>
            <w:vAlign w:val="center"/>
            <w:vMerge w:val="continue"/>
            <w:textDirection w:val="lrTb"/>
            <w:noWrap w:val="false"/>
          </w:tcPr>
          <w:p>
            <w:pPr>
              <w:jc w:val="center"/>
              <w:rPr>
                <w:rFonts w:ascii="宋体" w:hAnsi="宋体" w:cs="宋体"/>
                <w:color w:val="auto"/>
                <w:spacing w:val="-5"/>
                <w:sz w:val="24"/>
                <w:szCs w:val="24"/>
                <w:highlight w:val="none"/>
              </w:rPr>
            </w:pPr>
            <w:r>
              <w:rPr>
                <w:rFonts w:ascii="宋体" w:hAnsi="宋体" w:cs="宋体"/>
                <w:color w:val="auto"/>
                <w:spacing w:val="-5"/>
                <w:sz w:val="24"/>
                <w:szCs w:val="24"/>
                <w:highlight w:val="none"/>
              </w:rPr>
            </w:r>
            <w:r/>
          </w:p>
        </w:tc>
        <w:tc>
          <w:tcPr>
            <w:tcBorders>
              <w:top w:val="single" w:color="auto" w:sz="4" w:space="0"/>
              <w:left w:val="single" w:color="auto" w:sz="4" w:space="0"/>
              <w:bottom w:val="single" w:color="auto" w:sz="4" w:space="0"/>
              <w:right w:val="single" w:color="auto" w:sz="4" w:space="0"/>
            </w:tcBorders>
            <w:tcW w:w="7356" w:type="dxa"/>
            <w:textDirection w:val="lrTb"/>
            <w:noWrap w:val="false"/>
          </w:tcPr>
          <w:p>
            <w:pPr>
              <w:pStyle w:val="1083"/>
              <w:numPr>
                <w:ilvl w:val="0"/>
                <w:numId w:val="6"/>
              </w:numPr>
              <w:ind w:firstLine="0"/>
              <w:rPr>
                <w:rFonts w:ascii="宋体" w:hAnsi="宋体" w:cs="宋体"/>
                <w:b/>
                <w:bCs/>
                <w:color w:val="auto"/>
                <w:spacing w:val="-5"/>
                <w:sz w:val="24"/>
                <w:szCs w:val="24"/>
                <w:highlight w:val="none"/>
              </w:rPr>
            </w:pPr>
            <w:r>
              <w:rPr>
                <w:rFonts w:hint="eastAsia"/>
                <w:b/>
                <w:bCs/>
                <w:color w:val="auto"/>
                <w:sz w:val="24"/>
                <w:szCs w:val="24"/>
                <w:highlight w:val="none"/>
              </w:rPr>
              <w:t xml:space="preserve">消防执法助手模块</w:t>
            </w:r>
            <w:r>
              <w:rPr>
                <w:rFonts w:hint="eastAsia"/>
                <w:b/>
                <w:bCs/>
                <w:color w:val="auto"/>
                <w:sz w:val="24"/>
                <w:szCs w:val="24"/>
                <w:highlight w:val="none"/>
                <w:lang w:val="en-US" w:eastAsia="zh-CN"/>
              </w:rPr>
              <w:t xml:space="preserve">开发</w:t>
            </w:r>
            <w:r>
              <w:rPr>
                <w:b/>
                <w:bCs/>
                <w:color w:val="auto"/>
                <w:sz w:val="24"/>
                <w:szCs w:val="24"/>
                <w:highlight w:val="none"/>
              </w:rPr>
              <w:t xml:space="preserve">方案</w:t>
            </w:r>
            <w:r>
              <w:rPr>
                <w:rFonts w:hint="eastAsia" w:ascii="宋体" w:hAnsi="宋体" w:cs="宋体"/>
                <w:b/>
                <w:bCs/>
                <w:color w:val="auto"/>
                <w:spacing w:val="-5"/>
                <w:sz w:val="24"/>
                <w:szCs w:val="24"/>
                <w:highlight w:val="none"/>
              </w:rPr>
              <w:t xml:space="preserve">（</w:t>
            </w:r>
            <w:r>
              <w:rPr>
                <w:rFonts w:hint="eastAsia" w:ascii="宋体" w:hAnsi="宋体" w:cs="宋体"/>
                <w:b/>
                <w:bCs/>
                <w:color w:val="auto"/>
                <w:spacing w:val="-5"/>
                <w:sz w:val="24"/>
                <w:szCs w:val="24"/>
                <w:highlight w:val="none"/>
                <w:lang w:val="en-US" w:eastAsia="zh-CN"/>
              </w:rPr>
              <w:t xml:space="preserve">5</w:t>
            </w:r>
            <w:r>
              <w:rPr>
                <w:rFonts w:hint="eastAsia" w:ascii="宋体" w:hAnsi="宋体" w:cs="宋体"/>
                <w:b/>
                <w:bCs/>
                <w:color w:val="auto"/>
                <w:spacing w:val="-5"/>
                <w:sz w:val="24"/>
                <w:szCs w:val="24"/>
                <w:highlight w:val="none"/>
              </w:rPr>
              <w:t xml:space="preserve">分）</w:t>
            </w:r>
            <w:r/>
          </w:p>
          <w:p>
            <w:pPr>
              <w:rPr>
                <w:color w:val="auto"/>
                <w:highlight w:val="none"/>
              </w:rPr>
            </w:pPr>
            <w:r>
              <w:rPr>
                <w:rFonts w:hint="eastAsia" w:ascii="宋体" w:hAnsi="宋体"/>
                <w:color w:val="auto"/>
                <w:sz w:val="24"/>
                <w:szCs w:val="24"/>
                <w:highlight w:val="none"/>
              </w:rPr>
              <w:t xml:space="preserve">投标人根据项目需求提供消防执法助手模块</w:t>
            </w:r>
            <w:r>
              <w:rPr>
                <w:rFonts w:hint="eastAsia" w:ascii="宋体" w:hAnsi="宋体" w:cs="宋体"/>
                <w:color w:val="auto"/>
                <w:spacing w:val="-5"/>
                <w:sz w:val="24"/>
                <w:szCs w:val="24"/>
                <w:highlight w:val="none"/>
              </w:rPr>
              <w:t xml:space="preserve">设计</w:t>
            </w:r>
            <w:r>
              <w:rPr>
                <w:rFonts w:hint="eastAsia" w:ascii="宋体" w:hAnsi="宋体"/>
                <w:color w:val="auto"/>
                <w:sz w:val="24"/>
                <w:szCs w:val="24"/>
                <w:highlight w:val="none"/>
              </w:rPr>
              <w:t xml:space="preserve">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w:t>
            </w:r>
            <w:r>
              <w:rPr>
                <w:rFonts w:hint="eastAsia" w:ascii="宋体" w:hAnsi="宋体" w:cs="Calibri"/>
                <w:b w:val="0"/>
                <w:bCs w:val="0"/>
                <w:color w:val="auto"/>
                <w:sz w:val="24"/>
                <w:szCs w:val="24"/>
                <w:highlight w:val="none"/>
              </w:rPr>
              <w:t xml:space="preserve">得</w:t>
            </w:r>
            <w:r>
              <w:rPr>
                <w:rFonts w:hint="eastAsia" w:ascii="宋体" w:hAnsi="宋体" w:cs="宋体"/>
                <w:b w:val="0"/>
                <w:bCs w:val="0"/>
                <w:color w:val="auto"/>
                <w:spacing w:val="-5"/>
                <w:sz w:val="24"/>
                <w:szCs w:val="24"/>
                <w:highlight w:val="none"/>
                <w:lang w:val="en-US" w:eastAsia="zh-CN" w:bidi="ar-SA"/>
              </w:rPr>
              <w:t xml:space="preserve">5</w:t>
            </w:r>
            <w:r>
              <w:rPr>
                <w:rFonts w:hint="eastAsia" w:ascii="宋体" w:hAnsi="宋体" w:eastAsia="宋体" w:cs="宋体"/>
                <w:b w:val="0"/>
                <w:bCs w:val="0"/>
                <w:color w:val="auto"/>
                <w:spacing w:val="-5"/>
                <w:sz w:val="24"/>
                <w:szCs w:val="24"/>
                <w:highlight w:val="none"/>
                <w:lang w:val="en-US" w:eastAsia="zh-CN" w:bidi="ar-SA"/>
              </w:rPr>
              <w:t xml:space="preserve">分</w:t>
            </w:r>
            <w:r>
              <w:rPr>
                <w:rFonts w:hint="eastAsia" w:ascii="宋体" w:hAnsi="宋体" w:cs="Calibri"/>
                <w:b w:val="0"/>
                <w:bCs w:val="0"/>
                <w:color w:val="auto"/>
                <w:sz w:val="24"/>
                <w:szCs w:val="24"/>
                <w:highlight w:val="none"/>
              </w:rPr>
              <w:t xml:space="preserve">；符合招标文件要求得</w:t>
            </w:r>
            <w:r>
              <w:rPr>
                <w:rFonts w:hint="eastAsia" w:ascii="宋体" w:hAnsi="宋体" w:cs="宋体"/>
                <w:b w:val="0"/>
                <w:bCs w:val="0"/>
                <w:color w:val="auto"/>
                <w:spacing w:val="-5"/>
                <w:sz w:val="24"/>
                <w:szCs w:val="24"/>
                <w:highlight w:val="none"/>
                <w:lang w:val="en-US" w:eastAsia="zh-CN" w:bidi="ar-SA"/>
              </w:rPr>
              <w:t xml:space="preserve">3</w:t>
            </w:r>
            <w:r>
              <w:rPr>
                <w:rFonts w:hint="eastAsia" w:ascii="宋体" w:hAnsi="宋体" w:cs="Calibri"/>
                <w:b w:val="0"/>
                <w:bCs w:val="0"/>
                <w:color w:val="auto"/>
                <w:sz w:val="24"/>
                <w:szCs w:val="24"/>
                <w:highlight w:val="none"/>
              </w:rPr>
              <w:t xml:space="preserve">分；不</w:t>
            </w:r>
            <w:r>
              <w:rPr>
                <w:rFonts w:hint="eastAsia" w:ascii="宋体" w:hAnsi="宋体" w:cs="Calibri"/>
                <w:color w:val="auto"/>
                <w:sz w:val="24"/>
                <w:szCs w:val="24"/>
                <w:highlight w:val="none"/>
              </w:rPr>
              <w:t xml:space="preserve">符合招标文件要求或未提供的不得分。</w:t>
            </w:r>
            <w:r/>
          </w:p>
        </w:tc>
      </w:tr>
      <w:tr>
        <w:trPr>
          <w:jc w:val="center"/>
          <w:trHeight w:val="567"/>
        </w:trPr>
        <w:tc>
          <w:tcPr>
            <w:tcBorders>
              <w:left w:val="single" w:color="auto" w:sz="4" w:space="0"/>
              <w:right w:val="single" w:color="auto" w:sz="4" w:space="0"/>
            </w:tcBorders>
            <w:tcW w:w="1364" w:type="dxa"/>
            <w:vAlign w:val="center"/>
            <w:vMerge w:val="continue"/>
            <w:textDirection w:val="lrTb"/>
            <w:noWrap w:val="false"/>
          </w:tcPr>
          <w:p>
            <w:pPr>
              <w:jc w:val="center"/>
              <w:rPr>
                <w:rFonts w:ascii="宋体" w:hAnsi="宋体" w:cs="宋体"/>
                <w:color w:val="auto"/>
                <w:spacing w:val="-5"/>
                <w:sz w:val="24"/>
                <w:szCs w:val="24"/>
                <w:highlight w:val="none"/>
              </w:rPr>
            </w:pPr>
            <w:r>
              <w:rPr>
                <w:rFonts w:ascii="宋体" w:hAnsi="宋体" w:cs="宋体"/>
                <w:color w:val="auto"/>
                <w:spacing w:val="-5"/>
                <w:sz w:val="24"/>
                <w:szCs w:val="24"/>
                <w:highlight w:val="none"/>
              </w:rPr>
            </w:r>
            <w:r/>
          </w:p>
        </w:tc>
        <w:tc>
          <w:tcPr>
            <w:tcBorders>
              <w:top w:val="single" w:color="auto" w:sz="4" w:space="0"/>
              <w:left w:val="single" w:color="auto" w:sz="4" w:space="0"/>
              <w:bottom w:val="single" w:color="auto" w:sz="4" w:space="0"/>
              <w:right w:val="single" w:color="auto" w:sz="4" w:space="0"/>
            </w:tcBorders>
            <w:tcW w:w="7356" w:type="dxa"/>
            <w:textDirection w:val="lrTb"/>
            <w:noWrap w:val="false"/>
          </w:tcPr>
          <w:p>
            <w:pPr>
              <w:pStyle w:val="1083"/>
              <w:numPr>
                <w:ilvl w:val="0"/>
                <w:numId w:val="6"/>
              </w:numPr>
              <w:ind w:firstLine="0"/>
              <w:rPr>
                <w:rFonts w:ascii="宋体" w:hAnsi="宋体" w:cs="宋体"/>
                <w:b/>
                <w:bCs/>
                <w:color w:val="auto"/>
                <w:spacing w:val="-5"/>
                <w:sz w:val="24"/>
                <w:szCs w:val="24"/>
                <w:highlight w:val="none"/>
              </w:rPr>
            </w:pPr>
            <w:r>
              <w:rPr>
                <w:rFonts w:hint="eastAsia"/>
                <w:b/>
                <w:bCs/>
                <w:color w:val="auto"/>
                <w:sz w:val="24"/>
                <w:szCs w:val="24"/>
                <w:highlight w:val="none"/>
              </w:rPr>
              <w:t xml:space="preserve">综合态势展示与决策分析模块</w:t>
            </w:r>
            <w:r>
              <w:rPr>
                <w:rFonts w:hint="eastAsia"/>
                <w:b/>
                <w:bCs/>
                <w:color w:val="auto"/>
                <w:sz w:val="24"/>
                <w:szCs w:val="24"/>
                <w:highlight w:val="none"/>
                <w:lang w:val="en-US" w:eastAsia="zh-CN"/>
              </w:rPr>
              <w:t xml:space="preserve">开发</w:t>
            </w:r>
            <w:r>
              <w:rPr>
                <w:b/>
                <w:bCs/>
                <w:color w:val="auto"/>
                <w:sz w:val="24"/>
                <w:szCs w:val="24"/>
                <w:highlight w:val="none"/>
              </w:rPr>
              <w:t xml:space="preserve">方案</w:t>
            </w:r>
            <w:r>
              <w:rPr>
                <w:rFonts w:hint="eastAsia" w:ascii="宋体" w:hAnsi="宋体" w:cs="宋体"/>
                <w:b/>
                <w:bCs/>
                <w:color w:val="auto"/>
                <w:spacing w:val="-5"/>
                <w:sz w:val="24"/>
                <w:szCs w:val="24"/>
                <w:highlight w:val="none"/>
              </w:rPr>
              <w:t xml:space="preserve">（</w:t>
            </w:r>
            <w:r>
              <w:rPr>
                <w:rFonts w:hint="eastAsia" w:ascii="宋体" w:hAnsi="宋体" w:cs="宋体"/>
                <w:b/>
                <w:bCs/>
                <w:color w:val="auto"/>
                <w:spacing w:val="-5"/>
                <w:sz w:val="24"/>
                <w:szCs w:val="24"/>
                <w:highlight w:val="none"/>
                <w:lang w:val="en-US" w:eastAsia="zh-CN"/>
              </w:rPr>
              <w:t xml:space="preserve">5</w:t>
            </w:r>
            <w:r>
              <w:rPr>
                <w:rFonts w:hint="eastAsia" w:ascii="宋体" w:hAnsi="宋体" w:cs="宋体"/>
                <w:b/>
                <w:bCs/>
                <w:color w:val="auto"/>
                <w:spacing w:val="-5"/>
                <w:sz w:val="24"/>
                <w:szCs w:val="24"/>
                <w:highlight w:val="none"/>
              </w:rPr>
              <w:t xml:space="preserve">分）</w:t>
            </w:r>
            <w:r/>
          </w:p>
          <w:p>
            <w:pPr>
              <w:rPr>
                <w:color w:val="auto"/>
                <w:highlight w:val="none"/>
              </w:rPr>
            </w:pPr>
            <w:r>
              <w:rPr>
                <w:rFonts w:hint="eastAsia" w:ascii="宋体" w:hAnsi="宋体"/>
                <w:color w:val="auto"/>
                <w:sz w:val="24"/>
                <w:szCs w:val="24"/>
                <w:highlight w:val="none"/>
              </w:rPr>
              <w:t xml:space="preserve">投标人根据项目需求提供综合态势展示与决策分析模块</w:t>
            </w:r>
            <w:r>
              <w:rPr>
                <w:rFonts w:hint="eastAsia" w:ascii="宋体" w:hAnsi="宋体" w:cs="宋体"/>
                <w:color w:val="auto"/>
                <w:spacing w:val="-5"/>
                <w:sz w:val="24"/>
                <w:szCs w:val="24"/>
                <w:highlight w:val="none"/>
              </w:rPr>
              <w:t xml:space="preserve">设计</w:t>
            </w:r>
            <w:r>
              <w:rPr>
                <w:rFonts w:hint="eastAsia" w:ascii="宋体" w:hAnsi="宋体"/>
                <w:color w:val="auto"/>
                <w:sz w:val="24"/>
                <w:szCs w:val="24"/>
                <w:highlight w:val="none"/>
              </w:rPr>
              <w:t xml:space="preserve">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w:t>
            </w:r>
            <w:r>
              <w:rPr>
                <w:rFonts w:hint="eastAsia" w:ascii="宋体" w:hAnsi="宋体" w:cs="Calibri"/>
                <w:b w:val="0"/>
                <w:bCs w:val="0"/>
                <w:color w:val="auto"/>
                <w:sz w:val="24"/>
                <w:szCs w:val="24"/>
                <w:highlight w:val="none"/>
              </w:rPr>
              <w:t xml:space="preserve">求得</w:t>
            </w:r>
            <w:r>
              <w:rPr>
                <w:rFonts w:hint="eastAsia" w:ascii="宋体" w:hAnsi="宋体" w:cs="宋体"/>
                <w:b w:val="0"/>
                <w:bCs w:val="0"/>
                <w:color w:val="auto"/>
                <w:spacing w:val="-5"/>
                <w:sz w:val="24"/>
                <w:szCs w:val="24"/>
                <w:highlight w:val="none"/>
                <w:lang w:val="en-US" w:eastAsia="zh-CN" w:bidi="ar-SA"/>
              </w:rPr>
              <w:t xml:space="preserve">5</w:t>
            </w:r>
            <w:r>
              <w:rPr>
                <w:rFonts w:hint="eastAsia" w:ascii="宋体" w:hAnsi="宋体" w:cs="Calibri"/>
                <w:b w:val="0"/>
                <w:bCs w:val="0"/>
                <w:color w:val="auto"/>
                <w:sz w:val="24"/>
                <w:szCs w:val="24"/>
                <w:highlight w:val="none"/>
              </w:rPr>
              <w:t xml:space="preserve">分；符合招标文件要求得</w:t>
            </w:r>
            <w:r>
              <w:rPr>
                <w:rFonts w:hint="eastAsia" w:ascii="宋体" w:hAnsi="宋体" w:cs="宋体"/>
                <w:b w:val="0"/>
                <w:bCs w:val="0"/>
                <w:color w:val="auto"/>
                <w:spacing w:val="-5"/>
                <w:sz w:val="24"/>
                <w:szCs w:val="24"/>
                <w:highlight w:val="none"/>
                <w:lang w:val="en-US" w:eastAsia="zh-CN" w:bidi="ar-SA"/>
              </w:rPr>
              <w:t xml:space="preserve">3</w:t>
            </w:r>
            <w:r>
              <w:rPr>
                <w:rFonts w:hint="eastAsia" w:ascii="宋体" w:hAnsi="宋体" w:cs="Calibri"/>
                <w:b w:val="0"/>
                <w:bCs w:val="0"/>
                <w:color w:val="auto"/>
                <w:sz w:val="24"/>
                <w:szCs w:val="24"/>
                <w:highlight w:val="none"/>
              </w:rPr>
              <w:t xml:space="preserve">分；</w:t>
            </w:r>
            <w:r>
              <w:rPr>
                <w:rFonts w:hint="eastAsia" w:ascii="宋体" w:hAnsi="宋体" w:cs="Calibri"/>
                <w:color w:val="auto"/>
                <w:sz w:val="24"/>
                <w:szCs w:val="24"/>
                <w:highlight w:val="none"/>
              </w:rPr>
              <w:t xml:space="preserve">不符合招标文件要求或未提供的不得分。</w:t>
            </w:r>
            <w:r/>
          </w:p>
        </w:tc>
      </w:tr>
      <w:tr>
        <w:trPr>
          <w:jc w:val="center"/>
          <w:trHeight w:val="1326"/>
        </w:trPr>
        <w:tc>
          <w:tcPr>
            <w:tcBorders>
              <w:left w:val="single" w:color="auto" w:sz="4" w:space="0"/>
              <w:right w:val="single" w:color="auto" w:sz="4" w:space="0"/>
            </w:tcBorders>
            <w:tcW w:w="1364" w:type="dxa"/>
            <w:vAlign w:val="center"/>
            <w:vMerge w:val="continue"/>
            <w:textDirection w:val="lrTb"/>
            <w:noWrap w:val="false"/>
          </w:tcPr>
          <w:p>
            <w:pPr>
              <w:jc w:val="center"/>
              <w:rPr>
                <w:rFonts w:ascii="宋体" w:hAnsi="宋体" w:cs="宋体"/>
                <w:color w:val="auto"/>
                <w:spacing w:val="-5"/>
                <w:sz w:val="24"/>
                <w:szCs w:val="24"/>
                <w:highlight w:val="none"/>
              </w:rPr>
            </w:pPr>
            <w:r>
              <w:rPr>
                <w:rFonts w:ascii="宋体" w:hAnsi="宋体" w:cs="宋体"/>
                <w:color w:val="auto"/>
                <w:spacing w:val="-5"/>
                <w:sz w:val="24"/>
                <w:szCs w:val="24"/>
                <w:highlight w:val="none"/>
              </w:rPr>
            </w:r>
            <w:r/>
          </w:p>
        </w:tc>
        <w:tc>
          <w:tcPr>
            <w:tcBorders>
              <w:top w:val="single" w:color="auto" w:sz="4" w:space="0"/>
              <w:left w:val="single" w:color="auto" w:sz="4" w:space="0"/>
              <w:bottom w:val="single" w:color="auto" w:sz="4" w:space="0"/>
              <w:right w:val="single" w:color="auto" w:sz="4" w:space="0"/>
            </w:tcBorders>
            <w:tcW w:w="7356" w:type="dxa"/>
            <w:textDirection w:val="lrTb"/>
            <w:noWrap w:val="false"/>
          </w:tcPr>
          <w:p>
            <w:pPr>
              <w:pStyle w:val="1083"/>
              <w:numPr>
                <w:ilvl w:val="0"/>
                <w:numId w:val="6"/>
              </w:numPr>
              <w:ind w:firstLine="0"/>
              <w:rPr>
                <w:rFonts w:ascii="宋体" w:hAnsi="宋体" w:cs="宋体"/>
                <w:b/>
                <w:bCs/>
                <w:color w:val="auto"/>
                <w:spacing w:val="-5"/>
                <w:sz w:val="24"/>
                <w:szCs w:val="24"/>
                <w:highlight w:val="none"/>
              </w:rPr>
            </w:pPr>
            <w:r>
              <w:rPr>
                <w:rFonts w:hint="eastAsia"/>
                <w:b/>
                <w:bCs/>
                <w:color w:val="auto"/>
                <w:sz w:val="24"/>
                <w:szCs w:val="24"/>
                <w:highlight w:val="none"/>
              </w:rPr>
              <w:t xml:space="preserve">行政处罚案卷智能评查辅助模块</w:t>
            </w:r>
            <w:r>
              <w:rPr>
                <w:rFonts w:hint="eastAsia"/>
                <w:b/>
                <w:bCs/>
                <w:color w:val="auto"/>
                <w:sz w:val="24"/>
                <w:szCs w:val="24"/>
                <w:highlight w:val="none"/>
                <w:lang w:val="en-US" w:eastAsia="zh-CN"/>
              </w:rPr>
              <w:t xml:space="preserve">开发</w:t>
            </w:r>
            <w:r>
              <w:rPr>
                <w:b/>
                <w:bCs/>
                <w:color w:val="auto"/>
                <w:sz w:val="24"/>
                <w:szCs w:val="24"/>
                <w:highlight w:val="none"/>
              </w:rPr>
              <w:t xml:space="preserve">方案</w:t>
            </w:r>
            <w:r>
              <w:rPr>
                <w:rFonts w:hint="eastAsia" w:ascii="宋体" w:hAnsi="宋体" w:cs="宋体"/>
                <w:b/>
                <w:bCs/>
                <w:color w:val="auto"/>
                <w:spacing w:val="-5"/>
                <w:sz w:val="24"/>
                <w:szCs w:val="24"/>
                <w:highlight w:val="none"/>
              </w:rPr>
              <w:t xml:space="preserve">（</w:t>
            </w:r>
            <w:r>
              <w:rPr>
                <w:rFonts w:hint="eastAsia" w:ascii="宋体" w:hAnsi="宋体" w:cs="宋体"/>
                <w:b/>
                <w:bCs/>
                <w:color w:val="auto"/>
                <w:spacing w:val="-5"/>
                <w:sz w:val="24"/>
                <w:szCs w:val="24"/>
                <w:highlight w:val="none"/>
                <w:lang w:val="en-US" w:eastAsia="zh-CN"/>
              </w:rPr>
              <w:t xml:space="preserve">5</w:t>
            </w:r>
            <w:r>
              <w:rPr>
                <w:rFonts w:hint="eastAsia" w:ascii="宋体" w:hAnsi="宋体" w:cs="宋体"/>
                <w:b/>
                <w:bCs/>
                <w:color w:val="auto"/>
                <w:spacing w:val="-5"/>
                <w:sz w:val="24"/>
                <w:szCs w:val="24"/>
                <w:highlight w:val="none"/>
              </w:rPr>
              <w:t xml:space="preserve">分）</w:t>
            </w:r>
            <w:r/>
          </w:p>
          <w:p>
            <w:pPr>
              <w:rPr>
                <w:color w:val="auto"/>
                <w:highlight w:val="none"/>
              </w:rPr>
            </w:pPr>
            <w:r>
              <w:rPr>
                <w:rFonts w:hint="eastAsia" w:ascii="宋体" w:hAnsi="宋体"/>
                <w:color w:val="auto"/>
                <w:sz w:val="24"/>
                <w:szCs w:val="24"/>
                <w:highlight w:val="none"/>
              </w:rPr>
              <w:t xml:space="preserve">投标人根据项目需求提供</w:t>
            </w:r>
            <w:r>
              <w:rPr>
                <w:rFonts w:hint="eastAsia" w:ascii="Times New Roman" w:hAnsi="Times New Roman" w:eastAsia="宋体" w:cs="Times New Roman"/>
                <w:color w:val="auto"/>
                <w:sz w:val="24"/>
                <w:szCs w:val="24"/>
                <w:highlight w:val="none"/>
                <w:lang w:val="en-US" w:eastAsia="zh-CN" w:bidi="ar-SA"/>
              </w:rPr>
              <w:t xml:space="preserve">行政处罚案卷智能评查辅助</w:t>
            </w:r>
            <w:r>
              <w:rPr>
                <w:rFonts w:hint="eastAsia" w:ascii="宋体" w:hAnsi="宋体" w:cs="宋体"/>
                <w:color w:val="auto"/>
                <w:spacing w:val="-5"/>
                <w:sz w:val="24"/>
                <w:szCs w:val="24"/>
                <w:highlight w:val="none"/>
              </w:rPr>
              <w:t xml:space="preserve">模块设计</w:t>
            </w:r>
            <w:r>
              <w:rPr>
                <w:rFonts w:hint="eastAsia" w:ascii="宋体" w:hAnsi="宋体"/>
                <w:b w:val="0"/>
                <w:bCs w:val="0"/>
                <w:color w:val="auto"/>
                <w:sz w:val="24"/>
                <w:szCs w:val="24"/>
                <w:highlight w:val="none"/>
              </w:rPr>
              <w:t xml:space="preserve">方案</w:t>
            </w:r>
            <w:r>
              <w:rPr>
                <w:rFonts w:hint="eastAsia" w:ascii="宋体" w:hAnsi="宋体"/>
                <w:b w:val="0"/>
                <w:bCs w:val="0"/>
                <w:color w:val="auto"/>
                <w:sz w:val="24"/>
                <w:szCs w:val="24"/>
                <w:highlight w:val="none"/>
                <w:lang w:val="zh-CN"/>
              </w:rPr>
              <w:t xml:space="preserve">，方案</w:t>
            </w:r>
            <w:r>
              <w:rPr>
                <w:rFonts w:hint="eastAsia" w:ascii="宋体" w:hAnsi="宋体" w:cs="Calibri"/>
                <w:b w:val="0"/>
                <w:bCs w:val="0"/>
                <w:color w:val="auto"/>
                <w:sz w:val="24"/>
                <w:szCs w:val="24"/>
                <w:highlight w:val="none"/>
              </w:rPr>
              <w:t xml:space="preserve">优于招标文件要求得</w:t>
            </w:r>
            <w:r>
              <w:rPr>
                <w:rFonts w:hint="eastAsia" w:ascii="宋体" w:hAnsi="宋体" w:cs="宋体"/>
                <w:b w:val="0"/>
                <w:bCs w:val="0"/>
                <w:color w:val="auto"/>
                <w:spacing w:val="-5"/>
                <w:sz w:val="24"/>
                <w:szCs w:val="24"/>
                <w:highlight w:val="none"/>
                <w:lang w:val="en-US" w:eastAsia="zh-CN" w:bidi="ar-SA"/>
              </w:rPr>
              <w:t xml:space="preserve">5</w:t>
            </w:r>
            <w:r>
              <w:rPr>
                <w:rFonts w:hint="eastAsia" w:ascii="宋体" w:hAnsi="宋体" w:cs="Calibri"/>
                <w:b w:val="0"/>
                <w:bCs w:val="0"/>
                <w:color w:val="auto"/>
                <w:sz w:val="24"/>
                <w:szCs w:val="24"/>
                <w:highlight w:val="none"/>
              </w:rPr>
              <w:t xml:space="preserve">分；符合招</w:t>
            </w:r>
            <w:r>
              <w:rPr>
                <w:rFonts w:hint="eastAsia" w:ascii="宋体" w:hAnsi="宋体" w:cs="Calibri"/>
                <w:color w:val="auto"/>
                <w:sz w:val="24"/>
                <w:szCs w:val="24"/>
                <w:highlight w:val="none"/>
              </w:rPr>
              <w:t xml:space="preserve">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jc w:val="center"/>
          <w:trHeight w:val="567"/>
        </w:trPr>
        <w:tc>
          <w:tcPr>
            <w:tcBorders>
              <w:left w:val="single" w:color="auto" w:sz="4" w:space="0"/>
              <w:right w:val="single" w:color="auto" w:sz="4" w:space="0"/>
            </w:tcBorders>
            <w:tcW w:w="1364" w:type="dxa"/>
            <w:vAlign w:val="center"/>
            <w:textDirection w:val="lrTb"/>
            <w:noWrap w:val="false"/>
          </w:tcPr>
          <w:p>
            <w:pPr>
              <w:jc w:val="center"/>
              <w:rPr>
                <w:rFonts w:ascii="宋体" w:hAnsi="宋体" w:cs="宋体"/>
                <w:spacing w:val="-9"/>
                <w:sz w:val="24"/>
                <w:szCs w:val="24"/>
              </w:rPr>
            </w:pPr>
            <w:r>
              <w:rPr>
                <w:rFonts w:hint="eastAsia" w:ascii="宋体" w:hAnsi="宋体" w:cs="宋体"/>
                <w:spacing w:val="-9"/>
                <w:sz w:val="24"/>
                <w:szCs w:val="24"/>
              </w:rPr>
              <w:t xml:space="preserve">人员培训方案</w:t>
            </w:r>
            <w:r/>
          </w:p>
          <w:p>
            <w:pPr>
              <w:jc w:val="center"/>
              <w:rPr>
                <w:rFonts w:ascii="宋体" w:hAnsi="宋体" w:cs="宋体"/>
                <w:spacing w:val="-9"/>
                <w:sz w:val="24"/>
                <w:szCs w:val="24"/>
              </w:rPr>
            </w:pPr>
            <w:r>
              <w:rPr>
                <w:rFonts w:hint="eastAsia" w:ascii="宋体" w:hAnsi="宋体" w:cs="宋体"/>
                <w:spacing w:val="-9"/>
                <w:sz w:val="24"/>
                <w:szCs w:val="24"/>
              </w:rPr>
              <w:t xml:space="preserve">（5分）</w:t>
            </w:r>
            <w:r/>
          </w:p>
        </w:tc>
        <w:tc>
          <w:tcPr>
            <w:tcBorders>
              <w:top w:val="single" w:color="auto" w:sz="4" w:space="0"/>
              <w:left w:val="single" w:color="auto" w:sz="4" w:space="0"/>
              <w:bottom w:val="single" w:color="auto" w:sz="4" w:space="0"/>
              <w:right w:val="single" w:color="auto" w:sz="4" w:space="0"/>
            </w:tcBorders>
            <w:tcW w:w="7356" w:type="dxa"/>
            <w:textDirection w:val="lrTb"/>
            <w:noWrap w:val="false"/>
          </w:tcPr>
          <w:p>
            <w:pPr>
              <w:rPr>
                <w:sz w:val="24"/>
                <w:szCs w:val="24"/>
              </w:rPr>
            </w:pPr>
            <w:r>
              <w:rPr>
                <w:rFonts w:hint="eastAsia" w:ascii="宋体" w:hAnsi="宋体"/>
                <w:sz w:val="24"/>
                <w:szCs w:val="24"/>
              </w:rPr>
              <w:t xml:space="preserve">投标人根据项目需求提供人员培训方案</w:t>
            </w:r>
            <w:r>
              <w:rPr>
                <w:rFonts w:hint="eastAsia" w:ascii="宋体" w:hAnsi="宋体"/>
                <w:sz w:val="24"/>
                <w:szCs w:val="24"/>
                <w:lang w:val="zh-CN"/>
              </w:rPr>
              <w:t xml:space="preserve">，方案</w:t>
            </w:r>
            <w:r>
              <w:rPr>
                <w:rFonts w:hint="eastAsia" w:ascii="宋体" w:hAnsi="宋体" w:cs="Calibri"/>
                <w:sz w:val="24"/>
                <w:szCs w:val="24"/>
              </w:rPr>
              <w:t xml:space="preserve">优于招标文件要求得5分；符合招标文件要求得3分；不符合招标文件要求或未提供的不得分。</w:t>
            </w:r>
            <w:r/>
          </w:p>
        </w:tc>
      </w:tr>
      <w:tr>
        <w:trPr>
          <w:jc w:val="center"/>
          <w:trHeight w:val="973"/>
        </w:trPr>
        <w:tc>
          <w:tcPr>
            <w:tcBorders>
              <w:left w:val="single" w:color="auto" w:sz="4" w:space="0"/>
              <w:right w:val="single" w:color="auto" w:sz="4" w:space="0"/>
            </w:tcBorders>
            <w:tcW w:w="1364" w:type="dxa"/>
            <w:vAlign w:val="center"/>
            <w:textDirection w:val="lrTb"/>
            <w:noWrap w:val="false"/>
          </w:tcPr>
          <w:p>
            <w:pPr>
              <w:jc w:val="center"/>
              <w:rPr>
                <w:rFonts w:ascii="宋体" w:hAnsi="宋体" w:cs="宋体"/>
                <w:color w:val="auto"/>
                <w:spacing w:val="-9"/>
                <w:sz w:val="24"/>
                <w:szCs w:val="24"/>
                <w:highlight w:val="none"/>
              </w:rPr>
            </w:pPr>
            <w:r>
              <w:rPr>
                <w:rFonts w:hint="eastAsia" w:ascii="宋体" w:hAnsi="宋体" w:cs="宋体"/>
                <w:color w:val="auto"/>
                <w:spacing w:val="-9"/>
                <w:sz w:val="24"/>
                <w:szCs w:val="24"/>
                <w:highlight w:val="none"/>
              </w:rPr>
              <w:t xml:space="preserve">售后服务方案</w:t>
            </w:r>
            <w:r/>
          </w:p>
          <w:p>
            <w:pPr>
              <w:jc w:val="center"/>
              <w:rPr>
                <w:rFonts w:hint="eastAsia" w:ascii="宋体" w:hAnsi="宋体" w:cs="宋体"/>
                <w:color w:val="auto"/>
                <w:spacing w:val="-9"/>
                <w:sz w:val="24"/>
                <w:szCs w:val="24"/>
              </w:rPr>
            </w:pPr>
            <w:r>
              <w:rPr>
                <w:rFonts w:hint="eastAsia" w:ascii="宋体" w:hAnsi="宋体" w:cs="宋体"/>
                <w:color w:val="auto"/>
                <w:spacing w:val="-9"/>
                <w:sz w:val="24"/>
                <w:szCs w:val="24"/>
                <w:highlight w:val="none"/>
              </w:rPr>
              <w:t xml:space="preserve">（</w:t>
            </w:r>
            <w:r>
              <w:rPr>
                <w:rFonts w:hint="eastAsia" w:ascii="宋体" w:hAnsi="宋体" w:cs="宋体"/>
                <w:color w:val="auto"/>
                <w:spacing w:val="-9"/>
                <w:sz w:val="24"/>
                <w:szCs w:val="24"/>
                <w:highlight w:val="none"/>
                <w:lang w:val="en-US" w:eastAsia="zh-CN"/>
              </w:rPr>
              <w:t xml:space="preserve">5</w:t>
            </w:r>
            <w:r>
              <w:rPr>
                <w:rFonts w:hint="eastAsia" w:ascii="宋体" w:hAnsi="宋体" w:cs="宋体"/>
                <w:color w:val="auto"/>
                <w:spacing w:val="-9"/>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356" w:type="dxa"/>
            <w:textDirection w:val="lrTb"/>
            <w:noWrap w:val="false"/>
          </w:tcPr>
          <w:p>
            <w:pPr>
              <w:pStyle w:val="791"/>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投标人根据项目需求提供</w:t>
            </w:r>
            <w:r>
              <w:rPr>
                <w:rFonts w:hint="eastAsia" w:ascii="宋体" w:hAnsi="宋体" w:cs="宋体"/>
                <w:color w:val="auto"/>
                <w:sz w:val="24"/>
                <w:szCs w:val="24"/>
                <w:lang w:val="en-US" w:eastAsia="zh-CN"/>
              </w:rPr>
              <w:t xml:space="preserve">售后服务</w:t>
            </w:r>
            <w:r>
              <w:rPr>
                <w:rFonts w:hint="eastAsia" w:ascii="宋体" w:hAnsi="宋体" w:eastAsia="宋体" w:cs="宋体"/>
                <w:color w:val="auto"/>
                <w:sz w:val="24"/>
                <w:szCs w:val="24"/>
                <w:lang w:val="en-US" w:eastAsia="zh-CN"/>
              </w:rPr>
              <w:t xml:space="preserve">方案</w:t>
            </w:r>
            <w:r>
              <w:rPr>
                <w:rFonts w:hint="eastAsia" w:ascii="宋体" w:hAnsi="宋体" w:cs="宋体"/>
                <w:color w:val="auto"/>
                <w:sz w:val="24"/>
                <w:szCs w:val="24"/>
                <w:lang w:val="en-US" w:eastAsia="zh-CN"/>
              </w:rPr>
              <w:t xml:space="preserve">，方案</w:t>
            </w:r>
            <w:r>
              <w:rPr>
                <w:rFonts w:hint="eastAsia" w:ascii="宋体" w:hAnsi="宋体" w:eastAsia="宋体" w:cs="宋体"/>
                <w:color w:val="auto"/>
                <w:sz w:val="24"/>
                <w:szCs w:val="24"/>
                <w:lang w:val="en-US" w:eastAsia="zh-CN"/>
              </w:rPr>
              <w:t xml:space="preserve">优于招标文件要求得5分；符合招标文件要求得3分；不符合招标文件要求或未提供的不得分。</w:t>
            </w:r>
            <w:r/>
          </w:p>
          <w:p>
            <w:pPr>
              <w:rPr>
                <w:rFonts w:hint="eastAsia" w:ascii="宋体" w:hAnsi="宋体"/>
                <w:color w:val="auto"/>
                <w:sz w:val="24"/>
                <w:szCs w:val="24"/>
              </w:rPr>
            </w:pPr>
            <w:r>
              <w:rPr>
                <w:rFonts w:hint="eastAsia" w:ascii="宋体" w:hAnsi="宋体"/>
                <w:color w:val="auto"/>
                <w:sz w:val="24"/>
                <w:szCs w:val="24"/>
              </w:rPr>
            </w:r>
            <w:r/>
          </w:p>
        </w:tc>
      </w:tr>
      <w:tr>
        <w:trPr>
          <w:jc w:val="center"/>
          <w:trHeight w:val="393"/>
        </w:trPr>
        <w:tc>
          <w:tcPr>
            <w:tcBorders>
              <w:left w:val="single" w:color="auto" w:sz="4" w:space="0"/>
              <w:right w:val="single" w:color="auto" w:sz="4" w:space="0"/>
            </w:tcBorders>
            <w:tcW w:w="1364" w:type="dxa"/>
            <w:vAlign w:val="center"/>
            <w:textDirection w:val="lrTb"/>
            <w:noWrap w:val="false"/>
          </w:tcPr>
          <w:p>
            <w:pPr>
              <w:jc w:val="center"/>
              <w:rPr>
                <w:rFonts w:ascii="宋体" w:hAnsi="宋体" w:cs="宋体"/>
                <w:color w:val="auto"/>
                <w:spacing w:val="-9"/>
                <w:sz w:val="24"/>
                <w:szCs w:val="24"/>
                <w:highlight w:val="none"/>
              </w:rPr>
            </w:pPr>
            <w:r>
              <w:rPr>
                <w:rFonts w:hint="eastAsia" w:ascii="宋体" w:hAnsi="宋体" w:eastAsia="宋体" w:cs="宋体"/>
                <w:color w:val="auto"/>
                <w:sz w:val="24"/>
                <w:szCs w:val="24"/>
                <w:lang w:val="en-US" w:eastAsia="zh-CN"/>
              </w:rPr>
              <w:t xml:space="preserve">故障响应方案</w:t>
            </w:r>
            <w:r>
              <w:rPr>
                <w:rFonts w:hint="eastAsia" w:ascii="宋体" w:hAnsi="宋体" w:cs="宋体"/>
                <w:color w:val="auto"/>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356" w:type="dxa"/>
            <w:textDirection w:val="lrTb"/>
            <w:noWrap w:val="false"/>
          </w:tcPr>
          <w:p>
            <w:pPr>
              <w:pStyle w:val="79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投标人根据项目需求提供故障响应方案</w:t>
            </w:r>
            <w:r>
              <w:rPr>
                <w:rFonts w:hint="eastAsia" w:ascii="宋体" w:hAnsi="宋体" w:cs="宋体"/>
                <w:color w:val="auto"/>
                <w:sz w:val="24"/>
                <w:szCs w:val="24"/>
                <w:lang w:val="en-US" w:eastAsia="zh-CN"/>
              </w:rPr>
              <w:t xml:space="preserve">，方案</w:t>
            </w:r>
            <w:r>
              <w:rPr>
                <w:rFonts w:hint="eastAsia" w:ascii="宋体" w:hAnsi="宋体" w:eastAsia="宋体" w:cs="宋体"/>
                <w:color w:val="auto"/>
                <w:sz w:val="24"/>
                <w:szCs w:val="24"/>
                <w:lang w:val="en-US" w:eastAsia="zh-CN"/>
              </w:rPr>
              <w:t xml:space="preserve">优于招标文件要求得5分；符合招标文件要求得3分；不符合招标文件要求或未提供的不得分。</w:t>
            </w:r>
            <w:r/>
          </w:p>
        </w:tc>
      </w:tr>
      <w:tr>
        <w:trPr>
          <w:jc w:val="center"/>
          <w:trHeight w:val="3613"/>
        </w:trPr>
        <w:tc>
          <w:tcPr>
            <w:tcBorders>
              <w:left w:val="single" w:color="auto" w:sz="4" w:space="0"/>
              <w:right w:val="single" w:color="auto" w:sz="4" w:space="0"/>
            </w:tcBorders>
            <w:tcW w:w="1364" w:type="dxa"/>
            <w:vAlign w:val="center"/>
            <w:textDirection w:val="lrTb"/>
            <w:noWrap w:val="false"/>
          </w:tcPr>
          <w:p>
            <w:pPr>
              <w:contextualSpacing/>
              <w:jc w:val="center"/>
              <w:spacing w:line="360" w:lineRule="auto"/>
              <w:rPr>
                <w:rFonts w:ascii="宋体" w:hAnsi="宋体" w:cs="宋体"/>
                <w:sz w:val="24"/>
                <w:szCs w:val="24"/>
              </w:rPr>
            </w:pPr>
            <w:r>
              <w:rPr>
                <w:rFonts w:hint="eastAsia" w:ascii="宋体" w:hAnsi="宋体" w:cs="宋体"/>
                <w:sz w:val="24"/>
                <w:szCs w:val="24"/>
              </w:rPr>
              <w:t xml:space="preserve">团队实力</w:t>
            </w:r>
            <w:r/>
          </w:p>
          <w:p>
            <w:pPr>
              <w:jc w:val="center"/>
              <w:rPr>
                <w:sz w:val="24"/>
                <w:szCs w:val="24"/>
              </w:rPr>
            </w:pPr>
            <w:r>
              <w:rPr>
                <w:rFonts w:hint="eastAsia" w:ascii="宋体" w:hAnsi="宋体" w:cs="宋体"/>
                <w:sz w:val="24"/>
                <w:szCs w:val="24"/>
                <w:highlight w:val="none"/>
              </w:rPr>
              <w:t xml:space="preserve">（</w:t>
            </w:r>
            <w:r>
              <w:rPr>
                <w:rFonts w:hint="eastAsia" w:ascii="宋体" w:hAnsi="宋体" w:cs="宋体"/>
                <w:b w:val="0"/>
                <w:bCs w:val="0"/>
                <w:sz w:val="24"/>
                <w:szCs w:val="24"/>
                <w:highlight w:val="none"/>
                <w:lang w:val="en-US" w:eastAsia="zh-CN"/>
              </w:rPr>
              <w:t xml:space="preserve">16</w:t>
            </w:r>
            <w:r>
              <w:rPr>
                <w:rFonts w:hint="eastAsia" w:ascii="宋体" w:hAnsi="宋体" w:cs="宋体"/>
                <w:b w:val="0"/>
                <w:bCs w:val="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pStyle w:val="791"/>
              <w:numPr>
                <w:ilvl w:val="0"/>
                <w:numId w:val="0"/>
              </w:numPr>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投标人拟投入本项目服务团队人员:</w:t>
            </w:r>
            <w:r/>
          </w:p>
          <w:p>
            <w:pPr>
              <w:pStyle w:val="791"/>
              <w:numPr>
                <w:ilvl w:val="0"/>
                <w:numId w:val="0"/>
              </w:num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1、项目经理：</w:t>
            </w:r>
            <w:r>
              <w:rPr>
                <w:rFonts w:hint="eastAsia" w:ascii="宋体" w:hAnsi="宋体" w:cs="宋体"/>
                <w:color w:val="auto"/>
                <w:sz w:val="24"/>
                <w:szCs w:val="24"/>
                <w:highlight w:val="none"/>
              </w:rPr>
              <w:t xml:space="preserve">具有信息系统项目管理师、</w:t>
            </w:r>
            <w:r>
              <w:rPr>
                <w:rFonts w:hint="eastAsia" w:ascii="宋体" w:hAnsi="宋体" w:cs="宋体"/>
                <w:color w:val="auto"/>
                <w:sz w:val="24"/>
                <w:szCs w:val="24"/>
                <w:highlight w:val="none"/>
                <w:lang w:val="en-US" w:eastAsia="zh-CN"/>
              </w:rPr>
              <w:t xml:space="preserve">系统分析师证书，</w:t>
            </w:r>
            <w:r>
              <w:rPr>
                <w:rFonts w:hint="eastAsia" w:ascii="宋体" w:hAnsi="宋体" w:cs="宋体"/>
                <w:color w:val="auto"/>
                <w:sz w:val="24"/>
                <w:szCs w:val="24"/>
                <w:highlight w:val="none"/>
              </w:rPr>
              <w:t xml:space="preserve">每提供一个</w:t>
            </w:r>
            <w:r>
              <w:rPr>
                <w:rFonts w:hint="eastAsia" w:ascii="宋体" w:hAnsi="宋体" w:cs="宋体"/>
                <w:color w:val="auto"/>
                <w:sz w:val="24"/>
                <w:szCs w:val="24"/>
                <w:highlight w:val="none"/>
                <w:lang w:val="en-US" w:eastAsia="zh-CN"/>
              </w:rPr>
              <w:t xml:space="preserve">有效证书得2.5分，最高得5分</w:t>
            </w:r>
            <w:r>
              <w:rPr>
                <w:rFonts w:hint="eastAsia" w:ascii="宋体" w:hAnsi="宋体" w:cs="宋体"/>
                <w:color w:val="auto"/>
                <w:sz w:val="24"/>
                <w:szCs w:val="24"/>
                <w:highlight w:val="none"/>
              </w:rPr>
              <w:t xml:space="preserve">。</w:t>
            </w:r>
            <w:r/>
          </w:p>
          <w:p>
            <w:pPr>
              <w:pStyle w:val="791"/>
              <w:numPr>
                <w:ilvl w:val="0"/>
                <w:numId w:val="0"/>
              </w:num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2、项目技术负责人：</w:t>
            </w:r>
            <w:r>
              <w:rPr>
                <w:rFonts w:hint="eastAsia" w:ascii="宋体" w:hAnsi="宋体" w:cs="宋体"/>
                <w:color w:val="auto"/>
                <w:sz w:val="24"/>
                <w:szCs w:val="24"/>
                <w:highlight w:val="none"/>
              </w:rPr>
              <w:t xml:space="preserve">具有系统规划与管理师证书、注册信息安全专业人员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CISP</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，每提供一个</w:t>
            </w:r>
            <w:r>
              <w:rPr>
                <w:rFonts w:hint="eastAsia" w:ascii="宋体" w:hAnsi="宋体" w:cs="宋体"/>
                <w:color w:val="auto"/>
                <w:sz w:val="24"/>
                <w:szCs w:val="24"/>
                <w:highlight w:val="none"/>
                <w:lang w:val="en-US" w:eastAsia="zh-CN"/>
              </w:rPr>
              <w:t xml:space="preserve">有效证书得2.5分，最高得5分</w:t>
            </w:r>
            <w:r>
              <w:rPr>
                <w:rFonts w:hint="eastAsia" w:ascii="宋体" w:hAnsi="宋体" w:cs="宋体"/>
                <w:color w:val="auto"/>
                <w:sz w:val="24"/>
                <w:szCs w:val="24"/>
                <w:highlight w:val="none"/>
              </w:rPr>
              <w:t xml:space="preserve">。</w:t>
            </w:r>
            <w:r/>
          </w:p>
          <w:p>
            <w:pPr>
              <w:pStyle w:val="791"/>
              <w:numPr>
                <w:ilvl w:val="0"/>
                <w:numId w:val="0"/>
              </w:num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项目团队成员（除项目经理、技术负责人以外）：具备软件设计师的得1.5分；系统分析师的得1.5分；系统架构设计师的得1.5分；数据分析师的的得1.5分，满分6分。同一人员拥有多个上述证书的，不重复计分。</w:t>
            </w:r>
            <w:r/>
          </w:p>
          <w:p>
            <w:pPr>
              <w:pStyle w:val="791"/>
              <w:numPr>
                <w:ilvl w:val="0"/>
                <w:numId w:val="0"/>
              </w:numPr>
              <w:rPr>
                <w:rFonts w:hint="eastAsia" w:ascii="Times New Roman" w:hAnsi="Times New Roman" w:eastAsia="宋体" w:cs="Times New Roman"/>
                <w:strike/>
                <w:color w:val="c00000"/>
                <w:sz w:val="21"/>
                <w:szCs w:val="21"/>
                <w:highlight w:val="none"/>
                <w:lang w:val="en-US" w:eastAsia="zh-CN" w:bidi="ar-SA"/>
              </w:rPr>
            </w:pPr>
            <w:r>
              <w:rPr>
                <w:rFonts w:hint="eastAsia"/>
                <w:b/>
                <w:bCs/>
                <w:color w:val="auto"/>
                <w:sz w:val="24"/>
                <w:szCs w:val="24"/>
                <w:lang w:val="en-US" w:eastAsia="zh-CN"/>
              </w:rPr>
              <w:t xml:space="preserve">注：以上所有人员须提供有效期内证书及投标人近3个月内任意1个月为其缴纳的社保证明材料加盖公章。</w:t>
            </w:r>
            <w:r/>
          </w:p>
        </w:tc>
      </w:tr>
      <w:tr>
        <w:trPr>
          <w:jc w:val="center"/>
          <w:trHeight w:val="2229"/>
        </w:trPr>
        <w:tc>
          <w:tcPr>
            <w:tcBorders>
              <w:left w:val="single" w:color="auto" w:sz="4" w:space="0"/>
              <w:right w:val="single" w:color="auto" w:sz="4" w:space="0"/>
            </w:tcBorders>
            <w:tcW w:w="1364"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资信实力（4分）</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pStyle w:val="791"/>
              <w:numPr>
                <w:ilvl w:val="0"/>
                <w:numId w:val="0"/>
              </w:numPr>
              <w:rPr>
                <w:rFonts w:hint="eastAsia"/>
                <w:color w:val="auto"/>
                <w:sz w:val="24"/>
                <w:szCs w:val="24"/>
                <w:lang w:val="en-US" w:eastAsia="zh-CN"/>
              </w:rPr>
            </w:pPr>
            <w:r>
              <w:rPr>
                <w:rFonts w:hint="eastAsia" w:ascii="Times New Roman" w:hAnsi="Times New Roman" w:eastAsia="宋体" w:cs="Times New Roman"/>
                <w:color w:val="auto"/>
                <w:sz w:val="24"/>
                <w:szCs w:val="24"/>
                <w:lang w:val="en-US" w:eastAsia="zh-CN" w:bidi="ar-SA"/>
              </w:rPr>
              <w:t xml:space="preserve">1、</w:t>
            </w:r>
            <w:r>
              <w:rPr>
                <w:rFonts w:hint="eastAsia" w:ascii="宋体" w:hAnsi="宋体" w:cs="宋体"/>
                <w:color w:val="auto"/>
                <w:sz w:val="24"/>
                <w:szCs w:val="24"/>
                <w:highlight w:val="none"/>
              </w:rPr>
              <w:t xml:space="preserve">投标人具有中国网络安全审查</w:t>
            </w:r>
            <w:r>
              <w:rPr>
                <w:rFonts w:hint="eastAsia" w:ascii="宋体" w:hAnsi="宋体" w:cs="宋体"/>
                <w:color w:val="auto"/>
                <w:sz w:val="24"/>
                <w:szCs w:val="24"/>
                <w:highlight w:val="none"/>
                <w:lang w:val="en-US" w:eastAsia="zh-CN"/>
              </w:rPr>
              <w:t xml:space="preserve">技术与</w:t>
            </w:r>
            <w:r>
              <w:rPr>
                <w:rFonts w:hint="eastAsia" w:ascii="宋体" w:hAnsi="宋体" w:cs="宋体"/>
                <w:color w:val="auto"/>
                <w:sz w:val="24"/>
                <w:szCs w:val="24"/>
                <w:highlight w:val="none"/>
              </w:rPr>
              <w:t xml:space="preserve">认证中心</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中国网络安全审查认证和市场监管大数据中心颁发的CCRC信息安全服务资质认证</w:t>
            </w:r>
            <w:r>
              <w:rPr>
                <w:rFonts w:hint="eastAsia"/>
                <w:b/>
                <w:bCs/>
                <w:color w:val="auto"/>
                <w:sz w:val="24"/>
                <w:szCs w:val="24"/>
                <w:lang w:val="en-US" w:eastAsia="zh-CN"/>
              </w:rPr>
              <w:t xml:space="preserve">（安全集成）</w:t>
            </w:r>
            <w:r>
              <w:rPr>
                <w:rFonts w:hint="eastAsia"/>
                <w:color w:val="auto"/>
                <w:sz w:val="24"/>
                <w:szCs w:val="24"/>
                <w:lang w:val="en-US" w:eastAsia="zh-CN"/>
              </w:rPr>
              <w:t xml:space="preserve">的得2分，满分2分，其他不得分。</w:t>
            </w:r>
            <w:r/>
          </w:p>
          <w:p>
            <w:pPr>
              <w:pStyle w:val="791"/>
              <w:numPr>
                <w:ilvl w:val="0"/>
                <w:numId w:val="0"/>
              </w:numPr>
              <w:rPr>
                <w:rFonts w:hint="default"/>
                <w:color w:val="auto"/>
                <w:sz w:val="24"/>
                <w:szCs w:val="24"/>
                <w:lang w:val="en-US" w:eastAsia="zh-CN"/>
              </w:rPr>
            </w:pPr>
            <w:r>
              <w:rPr>
                <w:rFonts w:hint="default" w:ascii="Times New Roman" w:hAnsi="Times New Roman" w:eastAsia="宋体" w:cs="Times New Roman"/>
                <w:color w:val="auto"/>
                <w:sz w:val="24"/>
                <w:szCs w:val="24"/>
                <w:lang w:val="en-US" w:eastAsia="zh-CN" w:bidi="ar-SA"/>
              </w:rPr>
              <w:t xml:space="preserve">2、</w:t>
            </w:r>
            <w:r>
              <w:rPr>
                <w:rFonts w:hint="eastAsia"/>
                <w:color w:val="auto"/>
                <w:sz w:val="24"/>
                <w:szCs w:val="24"/>
                <w:lang w:val="en-US" w:eastAsia="zh-CN"/>
              </w:rPr>
              <w:t xml:space="preserve">投标人具有中国电子工业标准化技术委员会信息技术服务分会颁发的</w:t>
            </w:r>
            <w:r>
              <w:rPr>
                <w:rFonts w:hint="default"/>
                <w:color w:val="auto"/>
                <w:sz w:val="24"/>
                <w:szCs w:val="24"/>
                <w:lang w:val="en-US" w:eastAsia="zh-CN"/>
              </w:rPr>
              <w:t xml:space="preserve">信息技术服务运行维护标准符合性证书（ITSS）</w:t>
            </w:r>
            <w:r>
              <w:rPr>
                <w:rFonts w:hint="eastAsia"/>
                <w:color w:val="auto"/>
                <w:sz w:val="24"/>
                <w:szCs w:val="24"/>
                <w:lang w:val="en-US" w:eastAsia="zh-CN"/>
              </w:rPr>
              <w:t xml:space="preserve">的得2分，满分2分，其他不得分。</w:t>
            </w:r>
            <w:r/>
          </w:p>
          <w:p>
            <w:pPr>
              <w:pStyle w:val="791"/>
              <w:numPr>
                <w:ilvl w:val="0"/>
                <w:numId w:val="0"/>
              </w:numPr>
              <w:rPr>
                <w:rFonts w:hint="eastAsia" w:ascii="Times New Roman" w:hAnsi="Times New Roman" w:eastAsia="宋体" w:cs="Times New Roman"/>
                <w:strike/>
                <w:color w:val="c00000"/>
                <w:sz w:val="21"/>
                <w:szCs w:val="21"/>
                <w:highlight w:val="none"/>
                <w:lang w:val="en-US" w:eastAsia="zh-CN" w:bidi="ar-SA"/>
              </w:rPr>
            </w:pPr>
            <w:r>
              <w:rPr>
                <w:rFonts w:hint="eastAsia"/>
                <w:b/>
                <w:bCs/>
                <w:color w:val="auto"/>
                <w:sz w:val="24"/>
                <w:szCs w:val="24"/>
                <w:lang w:val="en-US" w:eastAsia="zh-CN"/>
              </w:rPr>
              <w:t xml:space="preserve">（以上相关证书均需在有限期内，需提供证书，扫描上传）</w:t>
            </w:r>
            <w:r/>
          </w:p>
        </w:tc>
      </w:tr>
      <w:tr>
        <w:trPr>
          <w:jc w:val="center"/>
          <w:trHeight w:val="567"/>
        </w:trPr>
        <w:tc>
          <w:tcPr>
            <w:tcBorders>
              <w:left w:val="single" w:color="auto" w:sz="4" w:space="0"/>
              <w:right w:val="single" w:color="auto" w:sz="4" w:space="0"/>
            </w:tcBorders>
            <w:tcW w:w="136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业绩</w:t>
            </w:r>
            <w:r/>
          </w:p>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投标人自2023年1月1日以来（以合同书签订时间为准）类似项目业绩，每提供一个案例得</w:t>
            </w:r>
            <w:r>
              <w:rPr>
                <w:rFonts w:hint="eastAsia" w:ascii="宋体" w:hAnsi="宋体" w:cs="宋体"/>
                <w:sz w:val="24"/>
                <w:szCs w:val="24"/>
                <w:lang w:val="en-US" w:eastAsia="zh-CN"/>
              </w:rPr>
              <w:t xml:space="preserve">2.5</w:t>
            </w:r>
            <w:r>
              <w:rPr>
                <w:rFonts w:hint="eastAsia" w:ascii="宋体" w:hAnsi="宋体" w:cs="宋体"/>
                <w:sz w:val="24"/>
                <w:szCs w:val="24"/>
              </w:rPr>
              <w:t xml:space="preserve">分，满分</w:t>
            </w: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rPr>
                <w:rFonts w:hint="eastAsia" w:ascii="宋体" w:hAnsi="宋体" w:cs="宋体"/>
                <w:b/>
                <w:bCs/>
                <w:sz w:val="24"/>
                <w:szCs w:val="24"/>
              </w:rPr>
              <w:t xml:space="preserve">（提供合同原件，扫描上传）</w:t>
            </w:r>
            <w:r/>
          </w:p>
        </w:tc>
      </w:tr>
      <w:tr>
        <w:trPr>
          <w:jc w:val="center"/>
          <w:trHeight w:val="567"/>
        </w:trPr>
        <w:tc>
          <w:tcPr>
            <w:tcBorders>
              <w:left w:val="single" w:color="auto" w:sz="4" w:space="0"/>
              <w:right w:val="single" w:color="auto" w:sz="4" w:space="0"/>
            </w:tcBorders>
            <w:tcW w:w="136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演示</w:t>
            </w:r>
            <w:r/>
          </w:p>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rPr>
                <w:rFonts w:ascii="宋体" w:hAnsi="宋体" w:cs="宋体"/>
                <w:b/>
                <w:bCs/>
                <w:sz w:val="24"/>
                <w:szCs w:val="24"/>
              </w:rPr>
            </w:pPr>
            <w:r>
              <w:rPr>
                <w:rFonts w:hint="eastAsia" w:ascii="宋体" w:hAnsi="宋体" w:cs="宋体"/>
                <w:b/>
                <w:bCs/>
                <w:color w:val="000000"/>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10</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 xml:space="preserve">分钟。</w:t>
            </w:r>
            <w:r/>
          </w:p>
          <w:p>
            <w:pPr>
              <w:pStyle w:val="791"/>
              <w:rPr>
                <w:rFonts w:hint="eastAsia" w:eastAsia="宋体"/>
                <w:color w:val="auto"/>
                <w:sz w:val="24"/>
                <w:szCs w:val="24"/>
                <w:lang w:eastAsia="zh-CN"/>
              </w:rPr>
            </w:pPr>
            <w:r>
              <w:rPr>
                <w:rFonts w:hint="eastAsia"/>
                <w:color w:val="auto"/>
                <w:sz w:val="24"/>
                <w:szCs w:val="24"/>
              </w:rPr>
              <w:t xml:space="preserve">1、演示风险智能研判预警模块，包含</w:t>
            </w:r>
            <w:r>
              <w:rPr>
                <w:rFonts w:hint="eastAsia" w:ascii="宋体" w:hAnsi="宋体" w:cs="宋体"/>
                <w:color w:val="auto"/>
                <w:sz w:val="24"/>
                <w:szCs w:val="24"/>
                <w:lang w:bidi="ar"/>
              </w:rPr>
              <w:t xml:space="preserve">①单位/区域/行业多维度风险指数计算与展示，演示输入任意单位或区域后系统自动计算综合风险指数、维度得分拆解及行业排名；②风险变化趋势分析与可解释分析，演示历史风险指数趋势曲线、各维度贡献比例拆解、主要驱动因子排序及同类对象对标对比。</w:t>
            </w:r>
            <w:r>
              <w:rPr>
                <w:rFonts w:hint="eastAsia"/>
                <w:color w:val="auto"/>
                <w:sz w:val="24"/>
                <w:szCs w:val="24"/>
                <w:lang w:eastAsia="zh-CN"/>
              </w:rPr>
              <w:t xml:space="preserve">（</w:t>
            </w:r>
            <w:r>
              <w:rPr>
                <w:rFonts w:hint="eastAsia" w:ascii="宋体" w:hAnsi="宋体" w:cs="宋体"/>
                <w:b/>
                <w:color w:val="auto"/>
                <w:sz w:val="24"/>
                <w:szCs w:val="24"/>
              </w:rPr>
              <w:t xml:space="preserve">每个功能满足得</w:t>
            </w:r>
            <w:r>
              <w:rPr>
                <w:rFonts w:hint="eastAsia" w:ascii="宋体" w:hAnsi="宋体" w:cs="宋体"/>
                <w:b/>
                <w:color w:val="auto"/>
                <w:sz w:val="24"/>
                <w:szCs w:val="24"/>
                <w:lang w:val="en-US" w:eastAsia="zh-CN"/>
              </w:rPr>
              <w:t xml:space="preserve">2</w:t>
            </w:r>
            <w:r>
              <w:rPr>
                <w:rFonts w:hint="eastAsia" w:ascii="宋体" w:hAnsi="宋体" w:cs="宋体"/>
                <w:b/>
                <w:color w:val="auto"/>
                <w:sz w:val="24"/>
                <w:szCs w:val="24"/>
              </w:rPr>
              <w:t xml:space="preserve">分，不满足不得分，满分</w:t>
            </w:r>
            <w:r>
              <w:rPr>
                <w:rFonts w:hint="eastAsia" w:ascii="宋体" w:hAnsi="宋体" w:cs="宋体"/>
                <w:b/>
                <w:color w:val="auto"/>
                <w:sz w:val="24"/>
                <w:szCs w:val="24"/>
                <w:lang w:val="en-US" w:eastAsia="zh-CN"/>
              </w:rPr>
              <w:t xml:space="preserve">4</w:t>
            </w:r>
            <w:r>
              <w:rPr>
                <w:rFonts w:hint="eastAsia" w:ascii="宋体" w:hAnsi="宋体" w:cs="宋体"/>
                <w:b/>
                <w:color w:val="auto"/>
                <w:sz w:val="24"/>
                <w:szCs w:val="24"/>
              </w:rPr>
              <w:t xml:space="preserve">分</w:t>
            </w:r>
            <w:r>
              <w:rPr>
                <w:rFonts w:hint="eastAsia"/>
                <w:color w:val="auto"/>
                <w:sz w:val="24"/>
                <w:szCs w:val="24"/>
                <w:lang w:eastAsia="zh-CN"/>
              </w:rPr>
              <w:t xml:space="preserve">）</w:t>
            </w:r>
            <w:r/>
          </w:p>
          <w:p>
            <w:pPr>
              <w:pStyle w:val="791"/>
              <w:rPr>
                <w:rFonts w:hint="eastAsia"/>
                <w:color w:val="auto"/>
                <w:sz w:val="24"/>
                <w:szCs w:val="24"/>
              </w:rPr>
            </w:pPr>
            <w:r>
              <w:rPr>
                <w:rFonts w:hint="eastAsia"/>
                <w:color w:val="auto"/>
                <w:sz w:val="24"/>
                <w:szCs w:val="24"/>
              </w:rPr>
              <w:t xml:space="preserve">2、演示隐患治理协同闭环模块，</w:t>
            </w:r>
            <w:r>
              <w:rPr>
                <w:rFonts w:hint="eastAsia" w:ascii="宋体" w:hAnsi="宋体" w:cs="宋体"/>
                <w:color w:val="auto"/>
                <w:sz w:val="24"/>
                <w:szCs w:val="24"/>
                <w:lang w:bidi="ar"/>
              </w:rPr>
              <w:t xml:space="preserve">包含①多渠道隐患归集与分级判定，演示从系统对接自动归集隐患数据，以及手动录入隐患后的隐患分级判定与分类标注；②治理成效量化评估，演示按区域/行业/时间段统计隐患整改率、超期率、复发率等指标。</w:t>
            </w:r>
            <w:r>
              <w:rPr>
                <w:rFonts w:hint="eastAsia"/>
                <w:color w:val="auto"/>
                <w:sz w:val="24"/>
                <w:szCs w:val="24"/>
                <w:lang w:eastAsia="zh-CN"/>
              </w:rPr>
              <w:t xml:space="preserve">（</w:t>
            </w:r>
            <w:r>
              <w:rPr>
                <w:rFonts w:hint="eastAsia" w:ascii="宋体" w:hAnsi="宋体" w:cs="宋体"/>
                <w:b/>
                <w:color w:val="auto"/>
                <w:sz w:val="24"/>
                <w:szCs w:val="24"/>
              </w:rPr>
              <w:t xml:space="preserve">每个功能满足得</w:t>
            </w:r>
            <w:r>
              <w:rPr>
                <w:rFonts w:hint="eastAsia" w:ascii="宋体" w:hAnsi="宋体" w:cs="宋体"/>
                <w:b/>
                <w:color w:val="auto"/>
                <w:sz w:val="24"/>
                <w:szCs w:val="24"/>
                <w:lang w:val="en-US" w:eastAsia="zh-CN"/>
              </w:rPr>
              <w:t xml:space="preserve">2</w:t>
            </w:r>
            <w:r>
              <w:rPr>
                <w:rFonts w:hint="eastAsia" w:ascii="宋体" w:hAnsi="宋体" w:cs="宋体"/>
                <w:b/>
                <w:color w:val="auto"/>
                <w:sz w:val="24"/>
                <w:szCs w:val="24"/>
              </w:rPr>
              <w:t xml:space="preserve">分，不满足不得分，满分</w:t>
            </w:r>
            <w:r>
              <w:rPr>
                <w:rFonts w:hint="eastAsia" w:ascii="宋体" w:hAnsi="宋体" w:cs="宋体"/>
                <w:b/>
                <w:color w:val="auto"/>
                <w:sz w:val="24"/>
                <w:szCs w:val="24"/>
                <w:lang w:val="en-US" w:eastAsia="zh-CN"/>
              </w:rPr>
              <w:t xml:space="preserve">4</w:t>
            </w:r>
            <w:r>
              <w:rPr>
                <w:rFonts w:hint="eastAsia" w:ascii="宋体" w:hAnsi="宋体" w:cs="宋体"/>
                <w:b/>
                <w:color w:val="auto"/>
                <w:sz w:val="24"/>
                <w:szCs w:val="24"/>
              </w:rPr>
              <w:t xml:space="preserve">分</w:t>
            </w:r>
            <w:r>
              <w:rPr>
                <w:rFonts w:hint="eastAsia"/>
                <w:color w:val="auto"/>
                <w:sz w:val="24"/>
                <w:szCs w:val="24"/>
                <w:lang w:eastAsia="zh-CN"/>
              </w:rPr>
              <w:t xml:space="preserve">）</w:t>
            </w:r>
            <w:r/>
          </w:p>
          <w:p>
            <w:pPr>
              <w:pStyle w:val="791"/>
              <w:rPr>
                <w:rFonts w:hint="eastAsia"/>
                <w:color w:val="auto"/>
                <w:sz w:val="24"/>
                <w:szCs w:val="24"/>
              </w:rPr>
            </w:pPr>
            <w:r>
              <w:rPr>
                <w:rFonts w:hint="eastAsia"/>
                <w:color w:val="auto"/>
                <w:sz w:val="24"/>
                <w:szCs w:val="24"/>
              </w:rPr>
              <w:t xml:space="preserve">3、演示消防执法助手模块，</w:t>
            </w:r>
            <w:r>
              <w:rPr>
                <w:rFonts w:hint="eastAsia" w:ascii="宋体" w:hAnsi="宋体" w:cs="宋体"/>
                <w:color w:val="auto"/>
                <w:sz w:val="24"/>
                <w:szCs w:val="24"/>
                <w:lang w:bidi="ar"/>
              </w:rPr>
              <w:t xml:space="preserve">包含①检查要点智能推送，演示输入被检查单位名称后系统自动关联该单位的行业类型、历史隐患和风险等级，智能生成针对性检查要点清单；②执法文书自动生成与在线编辑，演示选择文书类型后系统自动填充单位基本信息、检查情况和隐患描述，生成格式规范的文书草稿并支持在线编辑修改。</w:t>
            </w:r>
            <w:r>
              <w:rPr>
                <w:rFonts w:hint="eastAsia"/>
                <w:color w:val="auto"/>
                <w:sz w:val="24"/>
                <w:szCs w:val="24"/>
                <w:lang w:eastAsia="zh-CN"/>
              </w:rPr>
              <w:t xml:space="preserve">（</w:t>
            </w:r>
            <w:r>
              <w:rPr>
                <w:rFonts w:hint="eastAsia" w:ascii="宋体" w:hAnsi="宋体" w:cs="宋体"/>
                <w:b/>
                <w:color w:val="auto"/>
                <w:sz w:val="24"/>
                <w:szCs w:val="24"/>
              </w:rPr>
              <w:t xml:space="preserve">每个功能满足得</w:t>
            </w:r>
            <w:r>
              <w:rPr>
                <w:rFonts w:hint="eastAsia" w:ascii="宋体" w:hAnsi="宋体" w:cs="宋体"/>
                <w:b/>
                <w:color w:val="auto"/>
                <w:sz w:val="24"/>
                <w:szCs w:val="24"/>
                <w:lang w:val="en-US" w:eastAsia="zh-CN"/>
              </w:rPr>
              <w:t xml:space="preserve">2</w:t>
            </w:r>
            <w:r>
              <w:rPr>
                <w:rFonts w:hint="eastAsia" w:ascii="宋体" w:hAnsi="宋体" w:cs="宋体"/>
                <w:b/>
                <w:color w:val="auto"/>
                <w:sz w:val="24"/>
                <w:szCs w:val="24"/>
              </w:rPr>
              <w:t xml:space="preserve">分，不满足不得分，满分</w:t>
            </w:r>
            <w:r>
              <w:rPr>
                <w:rFonts w:hint="eastAsia" w:ascii="宋体" w:hAnsi="宋体" w:cs="宋体"/>
                <w:b/>
                <w:color w:val="auto"/>
                <w:sz w:val="24"/>
                <w:szCs w:val="24"/>
                <w:lang w:val="en-US" w:eastAsia="zh-CN"/>
              </w:rPr>
              <w:t xml:space="preserve">4</w:t>
            </w:r>
            <w:r>
              <w:rPr>
                <w:rFonts w:hint="eastAsia" w:ascii="宋体" w:hAnsi="宋体" w:cs="宋体"/>
                <w:b/>
                <w:color w:val="auto"/>
                <w:sz w:val="24"/>
                <w:szCs w:val="24"/>
              </w:rPr>
              <w:t xml:space="preserve">分</w:t>
            </w:r>
            <w:r>
              <w:rPr>
                <w:rFonts w:hint="eastAsia"/>
                <w:color w:val="auto"/>
                <w:sz w:val="24"/>
                <w:szCs w:val="24"/>
                <w:lang w:eastAsia="zh-CN"/>
              </w:rPr>
              <w:t xml:space="preserve">）</w:t>
            </w:r>
            <w:r/>
          </w:p>
          <w:p>
            <w:pPr>
              <w:pStyle w:val="791"/>
              <w:rPr>
                <w:rFonts w:hint="eastAsia"/>
                <w:color w:val="auto"/>
                <w:sz w:val="24"/>
                <w:szCs w:val="24"/>
              </w:rPr>
            </w:pPr>
            <w:r>
              <w:rPr>
                <w:rFonts w:hint="eastAsia"/>
                <w:color w:val="auto"/>
                <w:sz w:val="24"/>
                <w:szCs w:val="24"/>
              </w:rPr>
              <w:t xml:space="preserve">4、演示综合态势展示与决策分析模块，</w:t>
            </w:r>
            <w:r>
              <w:rPr>
                <w:rFonts w:hint="eastAsia" w:ascii="宋体" w:hAnsi="宋体" w:cs="宋体"/>
                <w:color w:val="auto"/>
                <w:sz w:val="24"/>
                <w:szCs w:val="24"/>
                <w:lang w:bidi="ar"/>
              </w:rPr>
              <w:t xml:space="preserve">包含①全市火灾风险态势总览大屏，演示基于GIS地图上以四色分级渲染全市各区域风险等级、高风险单位点位及核心统计指标和隐患治理动态监控看板，包括隐患数量、类型分布、整改率、超期预警等关键指标的图表化展示及按区域/行业/时间维度的切换筛选；②重点监管对象专题图，演示在GIS地图上按高层建筑、大型商业综合体、化工企业等类别分层展示重点单位位置、风险等级标签及点击查看单位详情卡片（含基本信息、风险评分、近期隐患、检查记录）。</w:t>
            </w:r>
            <w:r>
              <w:rPr>
                <w:rFonts w:hint="eastAsia"/>
                <w:color w:val="auto"/>
                <w:sz w:val="24"/>
                <w:szCs w:val="24"/>
                <w:lang w:eastAsia="zh-CN"/>
              </w:rPr>
              <w:t xml:space="preserve">（</w:t>
            </w:r>
            <w:r>
              <w:rPr>
                <w:rFonts w:hint="eastAsia" w:ascii="宋体" w:hAnsi="宋体" w:cs="宋体"/>
                <w:b/>
                <w:color w:val="auto"/>
                <w:sz w:val="24"/>
                <w:szCs w:val="24"/>
              </w:rPr>
              <w:t xml:space="preserve">每个功能满足得</w:t>
            </w:r>
            <w:r>
              <w:rPr>
                <w:rFonts w:hint="eastAsia" w:ascii="宋体" w:hAnsi="宋体" w:cs="宋体"/>
                <w:b/>
                <w:color w:val="auto"/>
                <w:sz w:val="24"/>
                <w:szCs w:val="24"/>
                <w:lang w:val="en-US" w:eastAsia="zh-CN"/>
              </w:rPr>
              <w:t xml:space="preserve">2</w:t>
            </w:r>
            <w:r>
              <w:rPr>
                <w:rFonts w:hint="eastAsia" w:ascii="宋体" w:hAnsi="宋体" w:cs="宋体"/>
                <w:b/>
                <w:color w:val="auto"/>
                <w:sz w:val="24"/>
                <w:szCs w:val="24"/>
              </w:rPr>
              <w:t xml:space="preserve">分，不满足不得分，满分</w:t>
            </w:r>
            <w:r>
              <w:rPr>
                <w:rFonts w:hint="eastAsia" w:ascii="宋体" w:hAnsi="宋体" w:cs="宋体"/>
                <w:b/>
                <w:color w:val="auto"/>
                <w:sz w:val="24"/>
                <w:szCs w:val="24"/>
                <w:lang w:val="en-US" w:eastAsia="zh-CN"/>
              </w:rPr>
              <w:t xml:space="preserve">4</w:t>
            </w:r>
            <w:r>
              <w:rPr>
                <w:rFonts w:hint="eastAsia" w:ascii="宋体" w:hAnsi="宋体" w:cs="宋体"/>
                <w:b/>
                <w:color w:val="auto"/>
                <w:sz w:val="24"/>
                <w:szCs w:val="24"/>
              </w:rPr>
              <w:t xml:space="preserve">分</w:t>
            </w:r>
            <w:r>
              <w:rPr>
                <w:rFonts w:hint="eastAsia"/>
                <w:color w:val="auto"/>
                <w:sz w:val="24"/>
                <w:szCs w:val="24"/>
                <w:lang w:eastAsia="zh-CN"/>
              </w:rPr>
              <w:t xml:space="preserve">）</w:t>
            </w:r>
            <w:r/>
          </w:p>
          <w:p>
            <w:pPr>
              <w:pStyle w:val="791"/>
              <w:rPr>
                <w:rFonts w:ascii="宋体" w:hAnsi="宋体" w:cs="宋体"/>
                <w:sz w:val="24"/>
                <w:szCs w:val="24"/>
              </w:rPr>
            </w:pPr>
            <w:r>
              <w:rPr>
                <w:rFonts w:hint="eastAsia"/>
                <w:color w:val="auto"/>
                <w:sz w:val="24"/>
                <w:szCs w:val="24"/>
              </w:rPr>
              <w:t xml:space="preserve">5、演示行政处罚案卷智能评查模块，</w:t>
            </w:r>
            <w:r>
              <w:rPr>
                <w:rFonts w:hint="eastAsia" w:ascii="宋体" w:hAnsi="宋体" w:cs="宋体"/>
                <w:color w:val="auto"/>
                <w:sz w:val="24"/>
                <w:szCs w:val="24"/>
                <w:lang w:bidi="ar"/>
              </w:rPr>
              <w:t xml:space="preserve">包含①评查标准库管理与案卷解析，演示评查标准的分类维护、标准条款的增删改查，以及上传一份行政处罚案卷后系统自动进行OCR识别和关键信息结构化提取，同时进行多维度自动评查，演示系统依据评查标准从事实认定、法律适用、程序合规、文书规范、裁量合理性等维度逐项自动评分，生成扣分明细和问题定位；②评查报告与统计分析，演示系统自动生成单份案卷的评查报告以及按时间段/办案单位/问题类型等多维度统计案卷质量趋势图表。</w:t>
            </w:r>
            <w:r>
              <w:rPr>
                <w:rFonts w:hint="eastAsia"/>
                <w:color w:val="auto"/>
                <w:sz w:val="24"/>
                <w:szCs w:val="24"/>
                <w:lang w:eastAsia="zh-CN"/>
              </w:rPr>
              <w:t xml:space="preserve">（</w:t>
            </w:r>
            <w:r>
              <w:rPr>
                <w:rFonts w:hint="eastAsia" w:ascii="宋体" w:hAnsi="宋体" w:cs="宋体"/>
                <w:b/>
                <w:color w:val="auto"/>
                <w:sz w:val="24"/>
                <w:szCs w:val="24"/>
              </w:rPr>
              <w:t xml:space="preserve">每个功能满足得</w:t>
            </w:r>
            <w:r>
              <w:rPr>
                <w:rFonts w:hint="eastAsia" w:ascii="宋体" w:hAnsi="宋体" w:cs="宋体"/>
                <w:b/>
                <w:color w:val="auto"/>
                <w:sz w:val="24"/>
                <w:szCs w:val="24"/>
                <w:lang w:val="en-US" w:eastAsia="zh-CN"/>
              </w:rPr>
              <w:t xml:space="preserve">2</w:t>
            </w:r>
            <w:r>
              <w:rPr>
                <w:rFonts w:hint="eastAsia" w:ascii="宋体" w:hAnsi="宋体" w:cs="宋体"/>
                <w:b/>
                <w:color w:val="auto"/>
                <w:sz w:val="24"/>
                <w:szCs w:val="24"/>
              </w:rPr>
              <w:t xml:space="preserve">分，不满足不得分，满分</w:t>
            </w:r>
            <w:r>
              <w:rPr>
                <w:rFonts w:hint="eastAsia" w:ascii="宋体" w:hAnsi="宋体" w:cs="宋体"/>
                <w:b/>
                <w:color w:val="auto"/>
                <w:sz w:val="24"/>
                <w:szCs w:val="24"/>
                <w:lang w:val="en-US" w:eastAsia="zh-CN"/>
              </w:rPr>
              <w:t xml:space="preserve">4</w:t>
            </w:r>
            <w:r>
              <w:rPr>
                <w:rFonts w:hint="eastAsia" w:ascii="宋体" w:hAnsi="宋体" w:cs="宋体"/>
                <w:b/>
                <w:color w:val="auto"/>
                <w:sz w:val="24"/>
                <w:szCs w:val="24"/>
              </w:rPr>
              <w:t xml:space="preserve">分</w:t>
            </w:r>
            <w:r>
              <w:rPr>
                <w:rFonts w:hint="eastAsia"/>
                <w:color w:val="auto"/>
                <w:sz w:val="24"/>
                <w:szCs w:val="24"/>
                <w:lang w:eastAsia="zh-CN"/>
              </w:rPr>
              <w:t xml:space="preserve">）</w:t>
            </w:r>
            <w:r/>
          </w:p>
        </w:tc>
      </w:tr>
    </w:tbl>
    <w:p>
      <w:pPr>
        <w:pStyle w:val="969"/>
        <w:jc w:val="both"/>
        <w:rPr>
          <w:rFonts w:ascii="黑体" w:eastAsia="黑体"/>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eastAsia="黑体"/>
          <w:bCs/>
          <w:color w:val="000000"/>
          <w:sz w:val="44"/>
        </w:rPr>
      </w:r>
      <w:r/>
    </w:p>
    <w:p>
      <w:pPr>
        <w:pStyle w:val="969"/>
        <w:rPr>
          <w:rFonts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ascii="宋体" w:hAnsi="宋体"/>
          <w:b/>
          <w:color w:val="000000"/>
          <w:sz w:val="72"/>
        </w:rPr>
      </w:pPr>
      <w:r/>
      <w:bookmarkStart w:id="194" w:name="_Hlt26955039"/>
      <w:r/>
      <w:bookmarkEnd w:id="194"/>
      <w:r/>
      <w:bookmarkStart w:id="195" w:name="_Hlt26671244"/>
      <w:r/>
      <w:bookmarkEnd w:id="195"/>
      <w:r/>
      <w:bookmarkStart w:id="196" w:name="_Toc26554094"/>
      <w:r/>
      <w:bookmarkStart w:id="197" w:name="_Toc120614282"/>
      <w:r/>
      <w:bookmarkStart w:id="198" w:name="_Toc49090576"/>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811"/>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pStyle w:val="811"/>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8.联合体协议（格式见附件1</w:t>
      </w:r>
      <w:r>
        <w:rPr>
          <w:rFonts w:hint="eastAsia" w:ascii="宋体" w:hAnsi="宋体" w:eastAsia="宋体"/>
          <w:sz w:val="24"/>
          <w:szCs w:val="21"/>
          <w:lang w:val="en-US" w:eastAsia="zh-CN"/>
        </w:rPr>
        <w:t xml:space="preserve">4</w:t>
      </w:r>
      <w:r>
        <w:rPr>
          <w:rFonts w:hint="eastAsia" w:ascii="宋体" w:hAnsi="宋体" w:eastAsia="宋体"/>
          <w:sz w:val="24"/>
          <w:szCs w:val="21"/>
        </w:rPr>
        <w:t xml:space="preserve">）。</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lang w:val="en-US" w:eastAsia="zh-CN"/>
        </w:rPr>
        <w:t xml:space="preserve">5</w:t>
      </w:r>
      <w:r>
        <w:rPr>
          <w:rFonts w:hint="eastAsia" w:ascii="宋体" w:hAnsi="宋体"/>
          <w:sz w:val="24"/>
        </w:rPr>
        <w:t xml:space="preserve">）</w:t>
      </w:r>
      <w:r/>
    </w:p>
    <w:p>
      <w:pPr>
        <w:pStyle w:val="809"/>
        <w:jc w:val="both"/>
        <w:spacing w:beforeAutospacing="0" w:afterAutospacing="0"/>
        <w:rPr>
          <w:rFonts w:ascii="宋体" w:hAnsi="宋体" w:cs="宋体"/>
          <w:b/>
          <w:bCs/>
          <w:color w:val="000000"/>
          <w:szCs w:val="24"/>
        </w:rPr>
      </w:pPr>
      <w:r>
        <w:rPr>
          <w:rFonts w:hint="eastAsia" w:ascii="宋体" w:hAnsi="宋体" w:cs="宋体"/>
          <w:b/>
          <w:bCs/>
          <w:color w:val="000000"/>
          <w:szCs w:val="24"/>
        </w:rPr>
        <w:t xml:space="preserve">    四、价格扣除证明文件</w:t>
      </w:r>
      <w:r/>
    </w:p>
    <w:p>
      <w:pPr>
        <w:pStyle w:val="809"/>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1.中小企业声明函（格式见附件11）</w:t>
      </w:r>
      <w:r/>
    </w:p>
    <w:p>
      <w:pPr>
        <w:pStyle w:val="809"/>
        <w:ind w:firstLine="480"/>
        <w:jc w:val="both"/>
        <w:spacing w:beforeAutospacing="0" w:afterAutospacing="0"/>
        <w:rPr>
          <w:rFonts w:hint="eastAsia" w:ascii="宋体" w:hAnsi="宋体" w:cs="宋体"/>
          <w:color w:val="000000"/>
          <w:szCs w:val="24"/>
        </w:rPr>
      </w:pPr>
      <w:r>
        <w:rPr>
          <w:rFonts w:hint="eastAsia" w:ascii="宋体" w:hAnsi="宋体" w:cs="宋体"/>
          <w:color w:val="000000"/>
          <w:szCs w:val="24"/>
        </w:rPr>
        <w:t xml:space="preserve">2.残疾人福利性单位声明函（格式见附件12）</w:t>
      </w:r>
      <w:r/>
    </w:p>
    <w:p>
      <w:pPr>
        <w:ind w:firstLine="480"/>
        <w:spacing w:line="400" w:lineRule="exact"/>
        <w:rPr>
          <w:rFonts w:hint="eastAsia" w:ascii="宋体" w:hAnsi="宋体" w:cs="宋体"/>
          <w:color w:val="000000"/>
          <w:szCs w:val="24"/>
          <w:highlight w:val="none"/>
        </w:rPr>
      </w:pPr>
      <w:r>
        <w:rPr>
          <w:rFonts w:hint="eastAsia" w:ascii="宋体" w:hAnsi="宋体" w:eastAsia="宋体" w:cs="宋体"/>
          <w:color w:val="auto"/>
          <w:sz w:val="24"/>
          <w:szCs w:val="21"/>
          <w:highlight w:val="none"/>
        </w:rPr>
        <w:t xml:space="preserve">3.关于符合本国产品标准的声明函（格式见附件13）</w:t>
      </w:r>
      <w:r/>
    </w:p>
    <w:p>
      <w:pPr>
        <w:pStyle w:val="809"/>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09"/>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09"/>
        <w:jc w:val="both"/>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809"/>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809"/>
        <w:ind w:firstLine="482"/>
        <w:jc w:val="both"/>
        <w:spacing w:beforeAutospacing="0" w:afterAutospacing="0" w:line="360" w:lineRule="auto"/>
      </w:pPr>
      <w:r>
        <w:rPr>
          <w:rFonts w:hint="eastAsia" w:ascii="宋体" w:hAnsi="宋体" w:cs="宋体"/>
          <w:color w:val="000000"/>
          <w:szCs w:val="24"/>
        </w:rPr>
        <w:t xml:space="preserve">项目名称：</w:t>
      </w:r>
      <w:r/>
    </w:p>
    <w:p>
      <w:pPr>
        <w:pStyle w:val="809"/>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809"/>
        <w:spacing w:beforeAutospacing="0" w:afterAutospacing="0" w:line="360" w:lineRule="auto"/>
      </w:pPr>
      <w:r>
        <w:rPr>
          <w:rFonts w:hint="eastAsia" w:ascii="宋体" w:hAnsi="宋体" w:cs="宋体"/>
          <w:color w:val="000000"/>
          <w:szCs w:val="24"/>
        </w:rPr>
        <w:t xml:space="preserve">  采购包号：</w:t>
      </w:r>
      <w:r/>
    </w:p>
    <w:tbl>
      <w:tblPr>
        <w:tblStyle w:val="8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Style w:val="809"/>
        <w:ind w:firstLine="480"/>
        <w:jc w:val="both"/>
        <w:spacing w:beforeAutospacing="0" w:afterAutospacing="0" w:line="360" w:lineRule="auto"/>
      </w:pPr>
      <w:r>
        <w:t xml:space="preserve"> </w:t>
      </w:r>
      <w:r/>
    </w:p>
    <w:p>
      <w:pPr>
        <w:pStyle w:val="809"/>
        <w:jc w:val="center"/>
        <w:spacing w:beforeAutospacing="0" w:afterAutospacing="0" w:line="360" w:lineRule="auto"/>
      </w:pPr>
      <w:r>
        <w:t xml:space="preserve"> </w:t>
      </w:r>
      <w:r/>
    </w:p>
    <w:p>
      <w:pPr>
        <w:pStyle w:val="809"/>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809"/>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tbl>
      <w:tblPr>
        <w:tblStyle w:val="788"/>
        <w:tblW w:w="9324"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021"/>
        <w:gridCol w:w="732"/>
        <w:gridCol w:w="1060"/>
        <w:gridCol w:w="980"/>
        <w:gridCol w:w="1040"/>
        <w:gridCol w:w="1250"/>
        <w:gridCol w:w="860"/>
        <w:gridCol w:w="920"/>
        <w:gridCol w:w="861"/>
      </w:tblGrid>
      <w:tr>
        <w:trPr>
          <w:cantSplit/>
          <w:trHeight w:val="544"/>
        </w:trPr>
        <w:tc>
          <w:tcPr>
            <w:tcW w:w="60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r>
        <w:trPr>
          <w:cantSplit/>
          <w:trHeight w:val="294"/>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21" w:type="dxa"/>
            <w:vAlign w:val="center"/>
            <w:textDirection w:val="lrTb"/>
            <w:noWrap w:val="false"/>
          </w:tcPr>
          <w:p>
            <w:pPr>
              <w:jc w:val="both"/>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分项服务名称/</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名称</w:t>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交付期</w:t>
            </w:r>
            <w:r>
              <w:rPr>
                <w:rFonts w:hint="eastAsia" w:ascii="宋体" w:hAnsi="宋体" w:eastAsia="宋体" w:cs="宋体"/>
                <w:color w:val="auto"/>
                <w:sz w:val="24"/>
                <w:szCs w:val="24"/>
                <w:highlight w:val="none"/>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96"/>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34"/>
        </w:trPr>
        <w:tc>
          <w:tcPr>
            <w:gridSpan w:val="10"/>
            <w:tcW w:w="9324" w:type="dxa"/>
            <w:vAlign w:val="top"/>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投标总报价（人民币：元）</w:t>
            </w:r>
            <w:r>
              <w:rPr>
                <w:rFonts w:hint="eastAsia" w:ascii="宋体" w:hAnsi="宋体" w:eastAsia="宋体" w:cs="宋体"/>
                <w:color w:val="auto"/>
                <w:sz w:val="24"/>
                <w:szCs w:val="24"/>
                <w:highlight w:val="none"/>
                <w:u w:val="single"/>
                <w:lang w:val="en-US" w:eastAsia="zh-CN"/>
              </w:rPr>
              <w:t xml:space="preserve">                             </w:t>
            </w:r>
            <w:r/>
          </w:p>
        </w:tc>
      </w:tr>
      <w:tr>
        <w:trPr>
          <w:cantSplit/>
          <w:trHeight w:val="757"/>
        </w:trPr>
        <w:tc>
          <w:tcPr>
            <w:gridSpan w:val="10"/>
            <w:tcW w:w="9324" w:type="dxa"/>
            <w:vAlign w:val="top"/>
            <w:textDirection w:val="lrTb"/>
            <w:noWrap w:val="false"/>
          </w:tcPr>
          <w:p>
            <w:pPr>
              <w:pStyle w:val="809"/>
              <w:ind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eastAsia="zh-CN"/>
              </w:rPr>
              <w:t xml:space="preserve">本</w:t>
            </w:r>
            <w:r>
              <w:rPr>
                <w:rFonts w:hint="eastAsia" w:ascii="宋体" w:hAnsi="宋体" w:eastAsia="宋体" w:cs="宋体"/>
                <w:i w:val="0"/>
                <w:iCs w:val="0"/>
                <w:caps w:val="0"/>
                <w:color w:val="auto"/>
                <w:spacing w:val="0"/>
                <w:sz w:val="24"/>
                <w:szCs w:val="24"/>
                <w:highlight w:val="none"/>
              </w:rPr>
              <w:t xml:space="preserve">采购包</w:t>
            </w:r>
            <w:r>
              <w:rPr>
                <w:rFonts w:hint="eastAsia" w:ascii="宋体" w:hAnsi="宋体" w:eastAsia="宋体" w:cs="宋体"/>
                <w:i w:val="0"/>
                <w:iCs w:val="0"/>
                <w:caps w:val="0"/>
                <w:color w:val="auto"/>
                <w:spacing w:val="0"/>
                <w:sz w:val="24"/>
                <w:szCs w:val="24"/>
                <w:highlight w:val="none"/>
                <w:u w:val="none"/>
                <w:lang w:val="en-US" w:eastAsia="zh-CN"/>
              </w:rPr>
              <w:t xml:space="preserve">中</w:t>
            </w:r>
            <w:r>
              <w:rPr>
                <w:rFonts w:hint="eastAsia" w:ascii="宋体" w:hAnsi="宋体" w:eastAsia="宋体" w:cs="宋体"/>
                <w:i w:val="0"/>
                <w:iCs w:val="0"/>
                <w:caps w:val="0"/>
                <w:color w:val="auto"/>
                <w:spacing w:val="0"/>
                <w:sz w:val="24"/>
                <w:szCs w:val="24"/>
                <w:highlight w:val="none"/>
              </w:rPr>
              <w:t xml:space="preserve">提供的符合本国产品标准的</w:t>
            </w:r>
            <w:r>
              <w:rPr>
                <w:rFonts w:hint="eastAsia" w:ascii="宋体" w:hAnsi="宋体" w:eastAsia="宋体" w:cs="宋体"/>
                <w:i w:val="0"/>
                <w:iCs w:val="0"/>
                <w:caps w:val="0"/>
                <w:color w:val="auto"/>
                <w:spacing w:val="0"/>
                <w:sz w:val="24"/>
                <w:szCs w:val="24"/>
                <w:highlight w:val="none"/>
                <w:lang w:eastAsia="zh-CN"/>
              </w:rPr>
              <w:t xml:space="preserve">货物</w:t>
            </w:r>
            <w:r>
              <w:rPr>
                <w:rFonts w:hint="eastAsia" w:ascii="宋体" w:hAnsi="宋体" w:eastAsia="宋体" w:cs="宋体"/>
                <w:i w:val="0"/>
                <w:iCs w:val="0"/>
                <w:caps w:val="0"/>
                <w:color w:val="auto"/>
                <w:spacing w:val="0"/>
                <w:sz w:val="24"/>
                <w:szCs w:val="24"/>
                <w:highlight w:val="none"/>
              </w:rPr>
              <w:t xml:space="preserve">成本之和占</w:t>
            </w:r>
            <w:r>
              <w:rPr>
                <w:rFonts w:hint="eastAsia" w:ascii="宋体" w:hAnsi="宋体" w:eastAsia="宋体" w:cs="宋体"/>
                <w:i w:val="0"/>
                <w:iCs w:val="0"/>
                <w:caps w:val="0"/>
                <w:color w:val="auto"/>
                <w:spacing w:val="0"/>
                <w:sz w:val="24"/>
                <w:szCs w:val="24"/>
                <w:highlight w:val="none"/>
                <w:lang w:eastAsia="zh-CN"/>
              </w:rPr>
              <w:t xml:space="preserve">该采购包</w:t>
            </w:r>
            <w:r>
              <w:rPr>
                <w:rFonts w:hint="eastAsia" w:ascii="宋体" w:hAnsi="宋体" w:eastAsia="宋体" w:cs="宋体"/>
                <w:i w:val="0"/>
                <w:iCs w:val="0"/>
                <w:caps w:val="0"/>
                <w:strike w:val="0"/>
                <w:color w:val="auto"/>
                <w:spacing w:val="0"/>
                <w:sz w:val="24"/>
                <w:szCs w:val="24"/>
                <w:highlight w:val="none"/>
                <w:lang w:eastAsia="zh-CN"/>
              </w:rPr>
              <w:t xml:space="preserve">全部</w:t>
            </w:r>
            <w:r>
              <w:rPr>
                <w:rFonts w:hint="eastAsia" w:ascii="宋体" w:hAnsi="宋体" w:eastAsia="宋体" w:cs="宋体"/>
                <w:i w:val="0"/>
                <w:iCs w:val="0"/>
                <w:caps w:val="0"/>
                <w:color w:val="auto"/>
                <w:spacing w:val="0"/>
                <w:sz w:val="24"/>
                <w:szCs w:val="24"/>
                <w:highlight w:val="none"/>
              </w:rPr>
              <w:t xml:space="preserve">成本之和的比例</w:t>
            </w:r>
            <w:r>
              <w:rPr>
                <w:rFonts w:hint="eastAsia" w:ascii="宋体" w:hAnsi="宋体" w:eastAsia="宋体" w:cs="宋体"/>
                <w:i w:val="0"/>
                <w:iCs w:val="0"/>
                <w:caps w:val="0"/>
                <w:color w:val="auto"/>
                <w:spacing w:val="0"/>
                <w:sz w:val="24"/>
                <w:szCs w:val="24"/>
                <w:highlight w:val="none"/>
                <w:lang w:eastAsia="zh-CN"/>
              </w:rPr>
              <w:t xml:space="preserve">为</w:t>
            </w:r>
            <w:r>
              <w:rPr>
                <w:rFonts w:hint="eastAsia" w:ascii="宋体" w:hAnsi="宋体" w:eastAsia="宋体" w:cs="宋体"/>
                <w:color w:val="auto"/>
                <w:sz w:val="24"/>
                <w:szCs w:val="24"/>
                <w:highlight w:val="none"/>
                <w:u w:val="single"/>
                <w:lang w:val="en-US" w:eastAsia="zh-CN" w:bidi="ar-SA"/>
              </w:rPr>
              <w:t xml:space="preserve">XX</w:t>
            </w:r>
            <w:r>
              <w:rPr>
                <w:rFonts w:hint="eastAsia" w:ascii="宋体" w:hAnsi="宋体" w:eastAsia="宋体" w:cs="宋体"/>
                <w:i w:val="0"/>
                <w:iCs w:val="0"/>
                <w:caps w:val="0"/>
                <w:color w:val="auto"/>
                <w:spacing w:val="0"/>
                <w:sz w:val="24"/>
                <w:szCs w:val="24"/>
                <w:highlight w:val="none"/>
                <w:u w:val="none"/>
              </w:rPr>
              <w:t xml:space="preserve">%</w:t>
            </w:r>
            <w:r>
              <w:rPr>
                <w:rFonts w:hint="eastAsia" w:ascii="宋体" w:hAnsi="宋体" w:eastAsia="宋体" w:cs="宋体"/>
                <w:i w:val="0"/>
                <w:iCs w:val="0"/>
                <w:caps w:val="0"/>
                <w:color w:val="auto"/>
                <w:spacing w:val="0"/>
                <w:sz w:val="24"/>
                <w:szCs w:val="24"/>
                <w:highlight w:val="none"/>
                <w:lang w:eastAsia="zh-CN"/>
              </w:rPr>
              <w:t xml:space="preserve">。</w:t>
            </w:r>
            <w:r/>
          </w:p>
        </w:tc>
      </w:tr>
    </w:tbl>
    <w:p>
      <w:pPr>
        <w:pStyle w:val="809"/>
        <w:jc w:val="both"/>
        <w:spacing w:beforeAutospacing="0" w:afterAutospacing="0" w:line="360" w:lineRule="auto"/>
      </w:pPr>
      <w:r>
        <w:rPr>
          <w:rFonts w:hint="eastAsia" w:ascii="宋体" w:hAnsi="宋体" w:cs="宋体"/>
          <w:color w:val="000000"/>
          <w:szCs w:val="24"/>
        </w:rPr>
        <w:t xml:space="preserve">备注：</w:t>
      </w:r>
      <w:r/>
    </w:p>
    <w:p>
      <w:pPr>
        <w:pStyle w:val="809"/>
        <w:jc w:val="both"/>
        <w:spacing w:beforeAutospacing="0" w:afterAutospacing="0" w:line="360" w:lineRule="auto"/>
      </w:pPr>
      <w:r>
        <w:rPr>
          <w:rFonts w:hint="eastAsia" w:ascii="宋体" w:hAnsi="宋体" w:cs="宋体"/>
          <w:color w:val="000000"/>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highlight w:val="none"/>
          <w:lang w:val="en-US" w:eastAsia="zh-CN"/>
        </w:rPr>
        <w:t xml:space="preserve">投标总报价”数额为各“分项总价”之和。</w:t>
      </w:r>
      <w:r/>
    </w:p>
    <w:p>
      <w:pPr>
        <w:pStyle w:val="809"/>
        <w:jc w:val="both"/>
        <w:spacing w:beforeAutospacing="0" w:afterAutospacing="0" w:line="360" w:lineRule="auto"/>
        <w:rPr>
          <w:rFonts w:hint="eastAsia" w:ascii="宋体" w:hAnsi="宋体" w:cs="宋体"/>
          <w:color w:val="000000"/>
          <w:szCs w:val="24"/>
        </w:rPr>
      </w:pPr>
      <w:r>
        <w:rPr>
          <w:rFonts w:hint="eastAsia" w:ascii="宋体" w:hAnsi="宋体" w:cs="宋体"/>
          <w:color w:val="000000"/>
          <w:szCs w:val="24"/>
        </w:rPr>
        <w:t xml:space="preserve">2.“投标分项报价表”中“投标总报价”数额应当与“开标一览表”中“投标总报价”数额一致。</w:t>
      </w:r>
      <w:r/>
    </w:p>
    <w:p>
      <w:pPr>
        <w:keepLines w:val="0"/>
        <w:keepNext w:val="0"/>
        <w:pageBreakBefore w:val="0"/>
        <w:spacing w:line="400" w:lineRule="exact"/>
        <w:widowControl w:val="off"/>
        <w:rPr>
          <w:rFonts w:hint="eastAsia" w:ascii="宋体" w:hAnsi="宋体" w:eastAsia="宋体" w:cs="宋体"/>
          <w:color w:val="ff0000"/>
          <w:sz w:val="24"/>
          <w:szCs w:val="24"/>
          <w:highlight w:val="none"/>
          <w:lang w:val="en-US" w:eastAsia="zh-CN" w:bidi="ar"/>
        </w:rPr>
      </w:pPr>
      <w:r>
        <w:rPr>
          <w:rFonts w:hint="eastAsia" w:ascii="宋体" w:hAnsi="宋体" w:eastAsia="宋体" w:cs="宋体"/>
          <w:color w:val="ff0000"/>
          <w:sz w:val="24"/>
          <w:szCs w:val="24"/>
          <w:highlight w:val="none"/>
          <w:lang w:val="en-US" w:eastAsia="zh-CN" w:bidi="ar"/>
        </w:rPr>
        <w:t xml:space="preserve">3.分项服务不需填写品牌、规格型号、制造商、产地。</w:t>
      </w:r>
      <w:r/>
    </w:p>
    <w:p>
      <w:pPr>
        <w:keepLines w:val="0"/>
        <w:keepNext w:val="0"/>
        <w:pageBreakBefore w:val="0"/>
        <w:spacing w:line="400" w:lineRule="exact"/>
        <w:widowControl w:val="off"/>
        <w:rPr>
          <w:rFonts w:hint="eastAsia" w:ascii="宋体" w:hAnsi="宋体" w:cs="宋体"/>
          <w:color w:val="ff0000"/>
          <w:szCs w:val="24"/>
          <w:highlight w:val="none"/>
        </w:rPr>
      </w:pPr>
      <w:r>
        <w:rPr>
          <w:rFonts w:hint="eastAsia" w:ascii="宋体" w:hAnsi="宋体" w:eastAsia="宋体" w:cs="宋体"/>
          <w:color w:val="ff0000"/>
          <w:sz w:val="24"/>
          <w:szCs w:val="24"/>
          <w:highlight w:val="none"/>
          <w:lang w:val="en-US" w:eastAsia="zh-CN" w:bidi="ar"/>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09"/>
        <w:jc w:val="both"/>
        <w:spacing w:beforeAutospacing="0" w:afterAutospacing="0" w:line="360" w:lineRule="auto"/>
      </w:pPr>
      <w:r>
        <w:rPr>
          <w:rFonts w:hint="eastAsia" w:ascii="宋体" w:hAnsi="宋体" w:cs="宋体"/>
          <w:color w:val="000000"/>
          <w:szCs w:val="24"/>
          <w:lang w:val="en-US" w:eastAsia="zh-CN"/>
        </w:rPr>
        <w:t xml:space="preserve">5</w:t>
      </w:r>
      <w:r>
        <w:rPr>
          <w:rFonts w:hint="eastAsia" w:ascii="宋体" w:hAnsi="宋体" w:cs="宋体"/>
          <w:color w:val="000000"/>
          <w:szCs w:val="24"/>
        </w:rPr>
        <w:t xml:space="preserve">. 项目经办人可以根据项目实际需要对表格结构进行调整。</w:t>
      </w:r>
      <w:r/>
    </w:p>
    <w:p>
      <w:pP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811"/>
        <w:ind w:firstLine="480"/>
        <w:rPr>
          <w:rFonts w:ascii="宋体" w:hAnsi="宋体"/>
          <w:b/>
          <w:sz w:val="24"/>
          <w:szCs w:val="21"/>
        </w:rPr>
      </w:pPr>
      <w:r>
        <w:rPr>
          <w:rFonts w:ascii="宋体" w:hAnsi="宋体"/>
          <w:b/>
          <w:sz w:val="24"/>
          <w:szCs w:val="21"/>
        </w:rPr>
      </w:r>
      <w:r/>
    </w:p>
    <w:p>
      <w:pPr>
        <w:pStyle w:val="811"/>
        <w:ind w:firstLine="480"/>
        <w:rPr>
          <w:rFonts w:ascii="宋体" w:hAnsi="宋体"/>
          <w:b/>
          <w:sz w:val="24"/>
          <w:szCs w:val="21"/>
        </w:rPr>
      </w:pPr>
      <w:r>
        <w:rPr>
          <w:rFonts w:ascii="宋体" w:hAnsi="宋体"/>
          <w:b/>
          <w:sz w:val="24"/>
          <w:szCs w:val="21"/>
        </w:rPr>
      </w:r>
      <w:r/>
    </w:p>
    <w:p>
      <w:pPr>
        <w:pStyle w:val="811"/>
        <w:ind w:firstLine="480"/>
        <w:rPr>
          <w:rFonts w:ascii="宋体" w:hAnsi="宋体"/>
          <w:b/>
          <w:sz w:val="24"/>
          <w:szCs w:val="21"/>
        </w:rPr>
      </w:pPr>
      <w:r>
        <w:rPr>
          <w:rFonts w:ascii="宋体" w:hAnsi="宋体"/>
          <w:b/>
          <w:sz w:val="24"/>
          <w:szCs w:val="21"/>
        </w:rPr>
      </w:r>
      <w:r/>
    </w:p>
    <w:p>
      <w:pPr>
        <w:pStyle w:val="811"/>
        <w:ind w:firstLine="480"/>
        <w:rPr>
          <w:rFonts w:ascii="宋体" w:hAnsi="宋体"/>
          <w:b/>
          <w:sz w:val="24"/>
          <w:szCs w:val="21"/>
        </w:rPr>
      </w:pPr>
      <w:r>
        <w:rPr>
          <w:rFonts w:ascii="宋体" w:hAnsi="宋体"/>
          <w:b/>
          <w:sz w:val="24"/>
          <w:szCs w:val="21"/>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Style w:val="78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480"/>
        <w:rPr>
          <w:rFonts w:ascii="宋体" w:hAnsi="宋体"/>
          <w:b/>
          <w:color w:val="000000"/>
          <w:sz w:val="24"/>
          <w:szCs w:val="21"/>
        </w:rPr>
      </w:pPr>
      <w:r>
        <w:rPr>
          <w:rFonts w:ascii="宋体" w:hAnsi="宋体"/>
          <w:b/>
          <w:color w:val="000000"/>
          <w:sz w:val="24"/>
          <w:szCs w:val="21"/>
        </w:rPr>
      </w:r>
      <w:r/>
    </w:p>
    <w:p>
      <w:pPr>
        <w:pStyle w:val="811"/>
        <w:ind w:firstLine="0"/>
        <w:rPr>
          <w:rFonts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811"/>
        <w:ind w:firstLine="0"/>
        <w:rPr>
          <w:rFonts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809"/>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809"/>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09"/>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（软件和信息技术服务业）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09"/>
        <w:ind w:firstLine="360"/>
        <w:jc w:val="both"/>
        <w:spacing w:beforeAutospacing="0" w:afterAutospacing="0" w:line="400" w:lineRule="atLeast"/>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09"/>
        <w:ind w:firstLine="360"/>
        <w:jc w:val="both"/>
        <w:spacing w:beforeAutospacing="0" w:afterAutospacing="0" w:line="400" w:lineRule="atLeast"/>
      </w:pPr>
      <w:r>
        <w:rPr>
          <w:rFonts w:hint="eastAsia" w:ascii="宋体" w:hAnsi="宋体" w:cs="宋体"/>
          <w:color w:val="000000"/>
          <w:szCs w:val="24"/>
        </w:rPr>
        <w:t xml:space="preserve">……</w:t>
      </w:r>
      <w:r/>
    </w:p>
    <w:p>
      <w:pPr>
        <w:pStyle w:val="809"/>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09"/>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809"/>
        <w:ind w:right="720"/>
        <w:jc w:val="both"/>
        <w:spacing w:beforeAutospacing="0" w:afterAutospacing="0" w:line="400" w:lineRule="atLeast"/>
      </w:pPr>
      <w:r>
        <w:t xml:space="preserve"> </w:t>
      </w:r>
      <w:r/>
    </w:p>
    <w:p>
      <w:pPr>
        <w:pStyle w:val="809"/>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809"/>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809"/>
        <w:ind w:firstLine="240"/>
        <w:jc w:val="both"/>
        <w:spacing w:beforeAutospacing="0" w:afterAutospacing="0" w:line="400" w:lineRule="atLeast"/>
      </w:pPr>
      <w:r>
        <w:t xml:space="preserve"> </w:t>
      </w:r>
      <w:r/>
    </w:p>
    <w:p>
      <w:pPr>
        <w:pStyle w:val="809"/>
        <w:ind w:firstLine="480"/>
        <w:jc w:val="both"/>
        <w:spacing w:beforeAutospacing="0" w:afterAutospacing="0" w:line="400" w:lineRule="atLeast"/>
      </w:pPr>
      <w:r>
        <w:rPr>
          <w:rFonts w:hint="eastAsia" w:ascii="宋体" w:hAnsi="宋体" w:cs="宋体"/>
          <w:color w:val="000000"/>
          <w:szCs w:val="24"/>
        </w:rPr>
        <w:t xml:space="preserve">备注：</w:t>
      </w:r>
      <w:r/>
    </w:p>
    <w:p>
      <w:pPr>
        <w:pStyle w:val="809"/>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809"/>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09"/>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809"/>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88"/>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highlight w:val="none"/>
        </w:rPr>
      </w:pPr>
      <w:r>
        <w:rPr>
          <w:rFonts w:ascii="宋体" w:hAnsi="宋体"/>
          <w:b/>
          <w:sz w:val="24"/>
          <w:highlight w:val="none"/>
        </w:rPr>
      </w:r>
      <w:r/>
    </w:p>
    <w:p>
      <w:pPr>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附件13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关于符合本国产品标准的声明函（采购包号：**）</w:t>
      </w:r>
      <w:r/>
    </w:p>
    <w:p>
      <w:pPr>
        <w:pStyle w:val="809"/>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9"/>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81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814"/>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14"/>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814"/>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14"/>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09"/>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14"/>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814"/>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14"/>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14"/>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09"/>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09"/>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0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9"/>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09"/>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0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0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0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0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0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0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  /  ”的地方无需填写。</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w:t>
      </w:r>
      <w:r>
        <w:rPr>
          <w:rFonts w:hint="eastAsia" w:ascii="宋体" w:hAnsi="宋体"/>
          <w:b/>
          <w:sz w:val="24"/>
          <w:lang w:val="en-US" w:eastAsia="zh-CN"/>
        </w:rPr>
        <w:t xml:space="preserve">4</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after="240"/>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196"/>
      <w:r/>
      <w:bookmarkEnd w:id="197"/>
      <w:r/>
      <w:bookmarkEnd w:id="198"/>
      <w:r/>
      <w:r/>
    </w:p>
    <w:p>
      <w:pPr>
        <w:pStyle w:val="971"/>
        <w:ind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等线">
    <w:panose1 w:val="02010600030101010101"/>
  </w:font>
  <w:font w:name="仿宋">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1</w:t>
    </w:r>
    <w:r>
      <w:fldChar w:fldCharType="end"/>
    </w:r>
    <w:r/>
  </w:p>
  <w:p>
    <w:pPr>
      <w:pStyle w:val="10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5"/>
      <w:isLgl w:val="false"/>
      <w:suff w:val="nothing"/>
      <w:lvlText w:val=""/>
      <w:lvlJc w:val="left"/>
      <w:pPr>
        <w:ind w:left="0" w:firstLine="0"/>
      </w:pPr>
      <w:rPr>
        <w:rFonts w:hint="eastAsia"/>
      </w:rPr>
    </w:lvl>
    <w:lvl w:ilvl="6">
      <w:start w:val="1"/>
      <w:numFmt w:val="decimal"/>
      <w:pStyle w:val="976"/>
      <w:isLgl w:val="false"/>
      <w:suff w:val="nothing"/>
      <w:lvlText w:val=""/>
      <w:lvlJc w:val="left"/>
      <w:pPr>
        <w:ind w:left="0" w:firstLine="0"/>
      </w:pPr>
      <w:rPr>
        <w:rFonts w:hint="eastAsia"/>
      </w:rPr>
    </w:lvl>
    <w:lvl w:ilvl="7">
      <w:start w:val="1"/>
      <w:numFmt w:val="decimal"/>
      <w:pStyle w:val="977"/>
      <w:isLgl w:val="false"/>
      <w:suff w:val="nothing"/>
      <w:lvlText w:val=""/>
      <w:lvlJc w:val="left"/>
      <w:pPr>
        <w:ind w:left="0" w:firstLine="0"/>
      </w:pPr>
      <w:rPr>
        <w:rFonts w:hint="eastAsia"/>
      </w:rPr>
    </w:lvl>
    <w:lvl w:ilvl="8">
      <w:start w:val="1"/>
      <w:numFmt w:val="decimal"/>
      <w:pStyle w:val="978"/>
      <w:isLgl w:val="false"/>
      <w:suff w:val="nothing"/>
      <w:lvlText w:val=""/>
      <w:lvlJc w:val="left"/>
      <w:pPr>
        <w:ind w:left="0" w:firstLine="0"/>
      </w:pPr>
      <w:rPr>
        <w:rFonts w:hint="eastAsia"/>
      </w:r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787"/>
    <w:link w:val="778"/>
    <w:uiPriority w:val="9"/>
    <w:rPr>
      <w:rFonts w:ascii="Arial" w:hAnsi="Arial" w:eastAsia="Arial" w:cs="Arial"/>
      <w:sz w:val="40"/>
      <w:szCs w:val="40"/>
    </w:rPr>
  </w:style>
  <w:style w:type="character" w:styleId="760">
    <w:name w:val="Heading 2 Char"/>
    <w:basedOn w:val="787"/>
    <w:link w:val="779"/>
    <w:uiPriority w:val="9"/>
    <w:rPr>
      <w:rFonts w:ascii="Arial" w:hAnsi="Arial" w:eastAsia="Arial" w:cs="Arial"/>
      <w:sz w:val="34"/>
    </w:rPr>
  </w:style>
  <w:style w:type="character" w:styleId="761">
    <w:name w:val="Heading 3 Char"/>
    <w:basedOn w:val="787"/>
    <w:link w:val="780"/>
    <w:uiPriority w:val="9"/>
    <w:rPr>
      <w:rFonts w:ascii="Arial" w:hAnsi="Arial" w:eastAsia="Arial" w:cs="Arial"/>
      <w:sz w:val="30"/>
      <w:szCs w:val="30"/>
    </w:rPr>
  </w:style>
  <w:style w:type="character" w:styleId="762">
    <w:name w:val="Heading 4 Char"/>
    <w:basedOn w:val="787"/>
    <w:link w:val="781"/>
    <w:uiPriority w:val="9"/>
    <w:rPr>
      <w:rFonts w:ascii="Arial" w:hAnsi="Arial" w:eastAsia="Arial" w:cs="Arial"/>
      <w:b/>
      <w:bCs/>
      <w:sz w:val="26"/>
      <w:szCs w:val="26"/>
    </w:rPr>
  </w:style>
  <w:style w:type="character" w:styleId="763">
    <w:name w:val="Heading 5 Char"/>
    <w:basedOn w:val="787"/>
    <w:link w:val="782"/>
    <w:uiPriority w:val="9"/>
    <w:rPr>
      <w:rFonts w:ascii="Arial" w:hAnsi="Arial" w:eastAsia="Arial" w:cs="Arial"/>
      <w:b/>
      <w:bCs/>
      <w:sz w:val="24"/>
      <w:szCs w:val="24"/>
    </w:rPr>
  </w:style>
  <w:style w:type="character" w:styleId="764">
    <w:name w:val="Heading 6 Char"/>
    <w:basedOn w:val="787"/>
    <w:link w:val="783"/>
    <w:uiPriority w:val="9"/>
    <w:rPr>
      <w:rFonts w:ascii="Arial" w:hAnsi="Arial" w:eastAsia="Arial" w:cs="Arial"/>
      <w:b/>
      <w:bCs/>
      <w:sz w:val="22"/>
      <w:szCs w:val="22"/>
    </w:rPr>
  </w:style>
  <w:style w:type="character" w:styleId="765">
    <w:name w:val="Heading 7 Char"/>
    <w:basedOn w:val="787"/>
    <w:link w:val="784"/>
    <w:uiPriority w:val="9"/>
    <w:rPr>
      <w:rFonts w:ascii="Arial" w:hAnsi="Arial" w:eastAsia="Arial" w:cs="Arial"/>
      <w:b/>
      <w:bCs/>
      <w:i/>
      <w:iCs/>
      <w:sz w:val="22"/>
      <w:szCs w:val="22"/>
    </w:rPr>
  </w:style>
  <w:style w:type="character" w:styleId="766">
    <w:name w:val="Heading 8 Char"/>
    <w:basedOn w:val="787"/>
    <w:link w:val="785"/>
    <w:uiPriority w:val="9"/>
    <w:rPr>
      <w:rFonts w:ascii="Arial" w:hAnsi="Arial" w:eastAsia="Arial" w:cs="Arial"/>
      <w:i/>
      <w:iCs/>
      <w:sz w:val="22"/>
      <w:szCs w:val="22"/>
    </w:rPr>
  </w:style>
  <w:style w:type="character" w:styleId="767">
    <w:name w:val="Heading 9 Char"/>
    <w:basedOn w:val="787"/>
    <w:link w:val="786"/>
    <w:uiPriority w:val="9"/>
    <w:rPr>
      <w:rFonts w:ascii="Arial" w:hAnsi="Arial" w:eastAsia="Arial" w:cs="Arial"/>
      <w:i/>
      <w:iCs/>
      <w:sz w:val="21"/>
      <w:szCs w:val="21"/>
    </w:rPr>
  </w:style>
  <w:style w:type="character" w:styleId="768">
    <w:name w:val="Title Char"/>
    <w:basedOn w:val="787"/>
    <w:link w:val="810"/>
    <w:uiPriority w:val="10"/>
    <w:rPr>
      <w:sz w:val="48"/>
      <w:szCs w:val="48"/>
    </w:rPr>
  </w:style>
  <w:style w:type="character" w:styleId="769">
    <w:name w:val="Subtitle Char"/>
    <w:basedOn w:val="787"/>
    <w:link w:val="803"/>
    <w:uiPriority w:val="11"/>
    <w:rPr>
      <w:sz w:val="24"/>
      <w:szCs w:val="24"/>
    </w:rPr>
  </w:style>
  <w:style w:type="character" w:styleId="770">
    <w:name w:val="Quote Char"/>
    <w:link w:val="834"/>
    <w:uiPriority w:val="29"/>
    <w:rPr>
      <w:i/>
    </w:rPr>
  </w:style>
  <w:style w:type="character" w:styleId="771">
    <w:name w:val="Intense Quote Char"/>
    <w:link w:val="836"/>
    <w:uiPriority w:val="30"/>
    <w:rPr>
      <w:i/>
    </w:rPr>
  </w:style>
  <w:style w:type="character" w:styleId="772">
    <w:name w:val="Header Char"/>
    <w:basedOn w:val="787"/>
    <w:link w:val="800"/>
    <w:uiPriority w:val="99"/>
  </w:style>
  <w:style w:type="character" w:styleId="773">
    <w:name w:val="Caption Char"/>
    <w:basedOn w:val="790"/>
    <w:link w:val="799"/>
    <w:uiPriority w:val="99"/>
  </w:style>
  <w:style w:type="character" w:styleId="774">
    <w:name w:val="Footnote Text Char"/>
    <w:link w:val="804"/>
    <w:uiPriority w:val="99"/>
    <w:rPr>
      <w:sz w:val="18"/>
    </w:rPr>
  </w:style>
  <w:style w:type="character" w:styleId="775">
    <w:name w:val="Endnote Text Char"/>
    <w:link w:val="797"/>
    <w:uiPriority w:val="99"/>
    <w:rPr>
      <w:sz w:val="20"/>
    </w:rPr>
  </w:style>
  <w:style w:type="paragraph" w:styleId="776">
    <w:name w:val="TOC Heading"/>
    <w:uiPriority w:val="39"/>
    <w:unhideWhenUsed/>
  </w:style>
  <w:style w:type="paragraph" w:styleId="77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78">
    <w:name w:val="Heading 1"/>
    <w:basedOn w:val="777"/>
    <w:next w:val="777"/>
    <w:link w:val="821"/>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22"/>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23"/>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24"/>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25"/>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26"/>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28"/>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29"/>
    <w:uiPriority w:val="9"/>
    <w:unhideWhenUsed/>
    <w:qFormat/>
    <w:pPr>
      <w:keepLines/>
      <w:keepNext/>
      <w:spacing w:before="320" w:after="200"/>
      <w:outlineLvl w:val="8"/>
    </w:pPr>
    <w:rPr>
      <w:rFonts w:ascii="Arial" w:hAnsi="Arial" w:eastAsia="Arial" w:cs="Arial"/>
      <w:i/>
      <w:iCs/>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39"/>
    <w:unhideWhenUsed/>
    <w:qFormat/>
    <w:pPr>
      <w:ind w:left="1701"/>
      <w:spacing w:after="57"/>
    </w:pPr>
  </w:style>
  <w:style w:type="paragraph" w:styleId="790">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1">
    <w:name w:val="annotation text"/>
    <w:basedOn w:val="777"/>
    <w:uiPriority w:val="99"/>
    <w:unhideWhenUsed/>
    <w:qFormat/>
    <w:pPr>
      <w:jc w:val="left"/>
    </w:pPr>
    <w:rPr>
      <w:sz w:val="20"/>
      <w:szCs w:val="24"/>
    </w:rPr>
  </w:style>
  <w:style w:type="paragraph" w:styleId="792">
    <w:name w:val="Body Text"/>
    <w:basedOn w:val="777"/>
    <w:uiPriority w:val="0"/>
    <w:qFormat/>
    <w:rPr>
      <w:rFonts w:ascii="楷体_GB2312" w:hAnsi="Arial" w:eastAsia="楷体_GB2312"/>
      <w:sz w:val="28"/>
      <w:szCs w:val="28"/>
    </w:rPr>
  </w:style>
  <w:style w:type="paragraph" w:styleId="793">
    <w:name w:val="toc 5"/>
    <w:basedOn w:val="777"/>
    <w:next w:val="777"/>
    <w:uiPriority w:val="39"/>
    <w:unhideWhenUsed/>
    <w:qFormat/>
    <w:pPr>
      <w:ind w:left="1134"/>
      <w:spacing w:after="57"/>
    </w:pPr>
  </w:style>
  <w:style w:type="paragraph" w:styleId="794">
    <w:name w:val="toc 3"/>
    <w:basedOn w:val="777"/>
    <w:next w:val="777"/>
    <w:uiPriority w:val="39"/>
    <w:unhideWhenUsed/>
    <w:qFormat/>
    <w:pPr>
      <w:ind w:left="567"/>
      <w:spacing w:after="57"/>
    </w:pPr>
  </w:style>
  <w:style w:type="paragraph" w:styleId="795">
    <w:name w:val="Plain Text"/>
    <w:basedOn w:val="777"/>
    <w:uiPriority w:val="0"/>
    <w:qFormat/>
    <w:rPr>
      <w:rFonts w:ascii="宋体" w:hAnsi="Courier New" w:cs="Courier New"/>
    </w:rPr>
  </w:style>
  <w:style w:type="paragraph" w:styleId="796">
    <w:name w:val="toc 8"/>
    <w:basedOn w:val="777"/>
    <w:next w:val="777"/>
    <w:uiPriority w:val="39"/>
    <w:unhideWhenUsed/>
    <w:qFormat/>
    <w:pPr>
      <w:ind w:left="1984"/>
      <w:spacing w:after="57"/>
    </w:pPr>
  </w:style>
  <w:style w:type="paragraph" w:styleId="797">
    <w:name w:val="endnote text"/>
    <w:basedOn w:val="777"/>
    <w:link w:val="967"/>
    <w:uiPriority w:val="99"/>
    <w:semiHidden/>
    <w:unhideWhenUsed/>
    <w:qFormat/>
    <w:rPr>
      <w:sz w:val="20"/>
    </w:rPr>
  </w:style>
  <w:style w:type="paragraph" w:styleId="798">
    <w:name w:val="Balloon Text"/>
    <w:basedOn w:val="777"/>
    <w:link w:val="1084"/>
    <w:uiPriority w:val="99"/>
    <w:semiHidden/>
    <w:unhideWhenUsed/>
    <w:qFormat/>
    <w:rPr>
      <w:sz w:val="18"/>
      <w:szCs w:val="18"/>
    </w:rPr>
  </w:style>
  <w:style w:type="paragraph" w:styleId="799">
    <w:name w:val="Footer"/>
    <w:basedOn w:val="777"/>
    <w:link w:val="840"/>
    <w:uiPriority w:val="99"/>
    <w:unhideWhenUsed/>
    <w:qFormat/>
    <w:pPr>
      <w:tabs>
        <w:tab w:val="center" w:pos="7143" w:leader="none"/>
        <w:tab w:val="right" w:pos="14287" w:leader="none"/>
      </w:tabs>
    </w:pPr>
  </w:style>
  <w:style w:type="paragraph" w:styleId="800">
    <w:name w:val="Header"/>
    <w:basedOn w:val="777"/>
    <w:link w:val="838"/>
    <w:uiPriority w:val="99"/>
    <w:unhideWhenUsed/>
    <w:qFormat/>
    <w:pPr>
      <w:tabs>
        <w:tab w:val="center" w:pos="7143" w:leader="none"/>
        <w:tab w:val="right" w:pos="14287" w:leader="none"/>
      </w:tabs>
    </w:pPr>
  </w:style>
  <w:style w:type="paragraph" w:styleId="801">
    <w:name w:val="toc 1"/>
    <w:basedOn w:val="777"/>
    <w:next w:val="777"/>
    <w:uiPriority w:val="39"/>
    <w:unhideWhenUsed/>
    <w:qFormat/>
    <w:pPr>
      <w:spacing w:after="57"/>
    </w:pPr>
  </w:style>
  <w:style w:type="paragraph" w:styleId="802">
    <w:name w:val="toc 4"/>
    <w:basedOn w:val="777"/>
    <w:next w:val="777"/>
    <w:uiPriority w:val="39"/>
    <w:unhideWhenUsed/>
    <w:qFormat/>
    <w:pPr>
      <w:ind w:left="850"/>
      <w:spacing w:after="57"/>
    </w:pPr>
  </w:style>
  <w:style w:type="paragraph" w:styleId="803">
    <w:name w:val="Subtitle"/>
    <w:basedOn w:val="777"/>
    <w:next w:val="777"/>
    <w:link w:val="833"/>
    <w:uiPriority w:val="11"/>
    <w:qFormat/>
    <w:pPr>
      <w:spacing w:before="200" w:after="200"/>
    </w:pPr>
    <w:rPr>
      <w:sz w:val="24"/>
      <w:szCs w:val="24"/>
    </w:rPr>
  </w:style>
  <w:style w:type="paragraph" w:styleId="804">
    <w:name w:val="footnote text"/>
    <w:basedOn w:val="777"/>
    <w:link w:val="966"/>
    <w:uiPriority w:val="99"/>
    <w:semiHidden/>
    <w:unhideWhenUsed/>
    <w:qFormat/>
    <w:pPr>
      <w:spacing w:after="40"/>
    </w:pPr>
    <w:rPr>
      <w:sz w:val="18"/>
    </w:rPr>
  </w:style>
  <w:style w:type="paragraph" w:styleId="805">
    <w:name w:val="toc 6"/>
    <w:basedOn w:val="777"/>
    <w:next w:val="777"/>
    <w:uiPriority w:val="39"/>
    <w:unhideWhenUsed/>
    <w:qFormat/>
    <w:pPr>
      <w:ind w:left="1417"/>
      <w:spacing w:after="57"/>
    </w:pPr>
  </w:style>
  <w:style w:type="paragraph" w:styleId="806">
    <w:name w:val="table of figures"/>
    <w:basedOn w:val="777"/>
    <w:next w:val="777"/>
    <w:uiPriority w:val="99"/>
    <w:unhideWhenUsed/>
    <w:qFormat/>
  </w:style>
  <w:style w:type="paragraph" w:styleId="807">
    <w:name w:val="toc 2"/>
    <w:basedOn w:val="777"/>
    <w:next w:val="777"/>
    <w:uiPriority w:val="39"/>
    <w:unhideWhenUsed/>
    <w:qFormat/>
    <w:pPr>
      <w:ind w:left="283"/>
      <w:spacing w:after="57"/>
    </w:pPr>
  </w:style>
  <w:style w:type="paragraph" w:styleId="808">
    <w:name w:val="toc 9"/>
    <w:basedOn w:val="777"/>
    <w:next w:val="777"/>
    <w:uiPriority w:val="39"/>
    <w:unhideWhenUsed/>
    <w:qFormat/>
    <w:pPr>
      <w:ind w:left="2268"/>
      <w:spacing w:after="57"/>
    </w:pPr>
  </w:style>
  <w:style w:type="paragraph" w:styleId="809">
    <w:name w:val="Normal (Web)"/>
    <w:basedOn w:val="777"/>
    <w:uiPriority w:val="99"/>
    <w:semiHidden/>
    <w:unhideWhenUsed/>
    <w:qFormat/>
    <w:pPr>
      <w:jc w:val="left"/>
      <w:spacing w:beforeAutospacing="1" w:afterAutospacing="1"/>
    </w:pPr>
    <w:rPr>
      <w:sz w:val="24"/>
    </w:rPr>
  </w:style>
  <w:style w:type="paragraph" w:styleId="810">
    <w:name w:val="Title"/>
    <w:basedOn w:val="777"/>
    <w:next w:val="777"/>
    <w:link w:val="832"/>
    <w:uiPriority w:val="10"/>
    <w:qFormat/>
    <w:pPr>
      <w:contextualSpacing/>
      <w:spacing w:before="300" w:after="200"/>
    </w:pPr>
    <w:rPr>
      <w:sz w:val="48"/>
      <w:szCs w:val="48"/>
    </w:rPr>
  </w:style>
  <w:style w:type="paragraph" w:styleId="811">
    <w:name w:val="Body Text First Indent"/>
    <w:basedOn w:val="792"/>
    <w:uiPriority w:val="0"/>
    <w:qFormat/>
    <w:pPr>
      <w:ind w:firstLine="200"/>
      <w:spacing w:line="360" w:lineRule="auto"/>
    </w:pPr>
    <w:rPr>
      <w:rFonts w:ascii="仿宋_GB2312" w:hAnsi="Times New Roman" w:eastAsia="仿宋_GB2312"/>
      <w:sz w:val="30"/>
      <w:szCs w:val="30"/>
    </w:rPr>
  </w:style>
  <w:style w:type="table" w:styleId="8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uiPriority w:val="99"/>
    <w:semiHidden/>
    <w:unhideWhenUsed/>
    <w:qFormat/>
    <w:rPr>
      <w:vertAlign w:val="superscript"/>
    </w:rPr>
  </w:style>
  <w:style w:type="character" w:styleId="814">
    <w:name w:val="Emphasis"/>
    <w:uiPriority w:val="0"/>
    <w:qFormat/>
    <w:rPr>
      <w:i/>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annotation reference"/>
    <w:basedOn w:val="787"/>
    <w:uiPriority w:val="99"/>
    <w:semiHidden/>
    <w:unhideWhenUsed/>
    <w:qFormat/>
    <w:rPr>
      <w:sz w:val="21"/>
      <w:szCs w:val="21"/>
    </w:rPr>
  </w:style>
  <w:style w:type="character" w:styleId="817">
    <w:name w:val="footnote reference"/>
    <w:uiPriority w:val="99"/>
    <w:unhideWhenUsed/>
    <w:qFormat/>
    <w:rPr>
      <w:vertAlign w:val="superscript"/>
    </w:rPr>
  </w:style>
  <w:style w:type="paragraph" w:styleId="818" w:customStyle="1">
    <w:name w:val="BodyText1I2"/>
    <w:basedOn w:val="819"/>
    <w:uiPriority w:val="99"/>
    <w:qFormat/>
    <w:pPr>
      <w:ind w:firstLine="420"/>
    </w:pPr>
    <w:rPr>
      <w:rFonts w:cs="Calibri"/>
      <w:szCs w:val="21"/>
    </w:rPr>
  </w:style>
  <w:style w:type="paragraph" w:styleId="819" w:customStyle="1">
    <w:name w:val="BodyTextIndent"/>
    <w:next w:val="820"/>
    <w:uiPriority w:val="0"/>
    <w:qFormat/>
    <w:pPr>
      <w:ind w:left="420"/>
      <w:jc w:val="both"/>
      <w:spacing w:after="120"/>
      <w:widowControl w:val="off"/>
    </w:pPr>
    <w:rPr>
      <w:rFonts w:ascii="Times New Roman" w:hAnsi="Times New Roman" w:eastAsia="宋体" w:cs="宋体"/>
      <w:sz w:val="30"/>
      <w:szCs w:val="24"/>
      <w:lang w:val="en-US" w:eastAsia="zh-CN" w:bidi="ar-SA"/>
    </w:rPr>
  </w:style>
  <w:style w:type="paragraph" w:styleId="820" w:customStyle="1">
    <w:name w:val="NormalIndent"/>
    <w:uiPriority w:val="0"/>
    <w:qFormat/>
    <w:pPr>
      <w:ind w:firstLine="420"/>
      <w:jc w:val="both"/>
      <w:widowControl w:val="off"/>
    </w:pPr>
    <w:rPr>
      <w:rFonts w:ascii="Times New Roman" w:hAnsi="Times New Roman" w:eastAsia="仿宋" w:cs="宋体"/>
      <w:sz w:val="32"/>
      <w:szCs w:val="24"/>
      <w:lang w:val="en-US" w:eastAsia="zh-CN" w:bidi="ar-SA"/>
    </w:rPr>
  </w:style>
  <w:style w:type="character" w:styleId="821" w:customStyle="1">
    <w:name w:val="标题 1 Char1"/>
    <w:link w:val="778"/>
    <w:uiPriority w:val="9"/>
    <w:qFormat/>
    <w:rPr>
      <w:rFonts w:ascii="Arial" w:hAnsi="Arial" w:eastAsia="Arial" w:cs="Arial"/>
      <w:sz w:val="40"/>
      <w:szCs w:val="40"/>
    </w:rPr>
  </w:style>
  <w:style w:type="character" w:styleId="822" w:customStyle="1">
    <w:name w:val="标题 2 Char1"/>
    <w:link w:val="779"/>
    <w:uiPriority w:val="9"/>
    <w:qFormat/>
    <w:rPr>
      <w:rFonts w:ascii="Arial" w:hAnsi="Arial" w:eastAsia="Arial" w:cs="Arial"/>
      <w:sz w:val="34"/>
    </w:rPr>
  </w:style>
  <w:style w:type="character" w:styleId="823" w:customStyle="1">
    <w:name w:val="标题 3 Char1"/>
    <w:link w:val="780"/>
    <w:uiPriority w:val="9"/>
    <w:qFormat/>
    <w:rPr>
      <w:rFonts w:ascii="Arial" w:hAnsi="Arial" w:eastAsia="Arial" w:cs="Arial"/>
      <w:sz w:val="30"/>
      <w:szCs w:val="30"/>
    </w:rPr>
  </w:style>
  <w:style w:type="character" w:styleId="824" w:customStyle="1">
    <w:name w:val="标题 4 Char1"/>
    <w:link w:val="781"/>
    <w:uiPriority w:val="9"/>
    <w:qFormat/>
    <w:rPr>
      <w:rFonts w:ascii="Arial" w:hAnsi="Arial" w:eastAsia="Arial" w:cs="Arial"/>
      <w:b/>
      <w:bCs/>
      <w:sz w:val="26"/>
      <w:szCs w:val="26"/>
    </w:rPr>
  </w:style>
  <w:style w:type="character" w:styleId="825" w:customStyle="1">
    <w:name w:val="标题 5 Char1"/>
    <w:link w:val="782"/>
    <w:uiPriority w:val="9"/>
    <w:qFormat/>
    <w:rPr>
      <w:rFonts w:ascii="Arial" w:hAnsi="Arial" w:eastAsia="Arial" w:cs="Arial"/>
      <w:b/>
      <w:bCs/>
      <w:sz w:val="24"/>
      <w:szCs w:val="24"/>
    </w:rPr>
  </w:style>
  <w:style w:type="character" w:styleId="826" w:customStyle="1">
    <w:name w:val="标题 6 Char1"/>
    <w:link w:val="783"/>
    <w:uiPriority w:val="9"/>
    <w:qFormat/>
    <w:rPr>
      <w:rFonts w:ascii="Arial" w:hAnsi="Arial" w:eastAsia="Arial" w:cs="Arial"/>
      <w:b/>
      <w:bCs/>
      <w:sz w:val="22"/>
      <w:szCs w:val="22"/>
    </w:rPr>
  </w:style>
  <w:style w:type="character" w:styleId="827" w:customStyle="1">
    <w:name w:val="标题 7 Char1"/>
    <w:link w:val="784"/>
    <w:uiPriority w:val="9"/>
    <w:qFormat/>
    <w:rPr>
      <w:rFonts w:ascii="Arial" w:hAnsi="Arial" w:eastAsia="Arial" w:cs="Arial"/>
      <w:b/>
      <w:bCs/>
      <w:i/>
      <w:iCs/>
      <w:sz w:val="22"/>
      <w:szCs w:val="22"/>
    </w:rPr>
  </w:style>
  <w:style w:type="character" w:styleId="828" w:customStyle="1">
    <w:name w:val="标题 8 Char1"/>
    <w:link w:val="785"/>
    <w:uiPriority w:val="9"/>
    <w:qFormat/>
    <w:rPr>
      <w:rFonts w:ascii="Arial" w:hAnsi="Arial" w:eastAsia="Arial" w:cs="Arial"/>
      <w:i/>
      <w:iCs/>
      <w:sz w:val="22"/>
      <w:szCs w:val="22"/>
    </w:rPr>
  </w:style>
  <w:style w:type="character" w:styleId="829" w:customStyle="1">
    <w:name w:val="标题 9 Char1"/>
    <w:link w:val="786"/>
    <w:uiPriority w:val="9"/>
    <w:qFormat/>
    <w:rPr>
      <w:rFonts w:ascii="Arial" w:hAnsi="Arial" w:eastAsia="Arial" w:cs="Arial"/>
      <w:i/>
      <w:iCs/>
      <w:sz w:val="21"/>
      <w:szCs w:val="21"/>
    </w:rPr>
  </w:style>
  <w:style w:type="paragraph" w:styleId="830">
    <w:name w:val="List Paragraph"/>
    <w:basedOn w:val="777"/>
    <w:uiPriority w:val="34"/>
    <w:qFormat/>
    <w:pPr>
      <w:contextualSpacing/>
      <w:ind w:left="720"/>
    </w:pPr>
  </w:style>
  <w:style w:type="paragraph" w:styleId="831">
    <w:name w:val="No Spacing"/>
    <w:uiPriority w:val="1"/>
    <w:qFormat/>
    <w:rPr>
      <w:rFonts w:ascii="Calibri" w:hAnsi="Calibri" w:eastAsia="宋体" w:cs="Times New Roman"/>
      <w:lang w:val="en-US" w:eastAsia="zh-CN" w:bidi="ar-SA"/>
    </w:rPr>
  </w:style>
  <w:style w:type="character" w:styleId="832" w:customStyle="1">
    <w:name w:val="标题 Char"/>
    <w:link w:val="810"/>
    <w:uiPriority w:val="10"/>
    <w:qFormat/>
    <w:rPr>
      <w:sz w:val="48"/>
      <w:szCs w:val="48"/>
    </w:rPr>
  </w:style>
  <w:style w:type="character" w:styleId="833" w:customStyle="1">
    <w:name w:val="副标题 Char"/>
    <w:link w:val="803"/>
    <w:uiPriority w:val="11"/>
    <w:qFormat/>
    <w:rPr>
      <w:sz w:val="24"/>
      <w:szCs w:val="24"/>
    </w:rPr>
  </w:style>
  <w:style w:type="paragraph" w:styleId="834">
    <w:name w:val="Quote"/>
    <w:basedOn w:val="777"/>
    <w:next w:val="777"/>
    <w:link w:val="835"/>
    <w:uiPriority w:val="29"/>
    <w:qFormat/>
    <w:pPr>
      <w:ind w:left="720" w:right="720"/>
    </w:pPr>
    <w:rPr>
      <w:i/>
    </w:rPr>
  </w:style>
  <w:style w:type="character" w:styleId="835" w:customStyle="1">
    <w:name w:val="引用 Char"/>
    <w:link w:val="834"/>
    <w:uiPriority w:val="29"/>
    <w:qFormat/>
    <w:rPr>
      <w:i/>
    </w:rPr>
  </w:style>
  <w:style w:type="paragraph" w:styleId="836">
    <w:name w:val="Intense Quote"/>
    <w:basedOn w:val="777"/>
    <w:next w:val="777"/>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qFormat/>
    <w:rPr>
      <w:i/>
    </w:rPr>
  </w:style>
  <w:style w:type="character" w:styleId="838" w:customStyle="1">
    <w:name w:val="页眉 Char1"/>
    <w:link w:val="800"/>
    <w:uiPriority w:val="99"/>
    <w:qFormat/>
  </w:style>
  <w:style w:type="character" w:styleId="839" w:customStyle="1">
    <w:name w:val="Footer Char"/>
    <w:uiPriority w:val="99"/>
    <w:qFormat/>
  </w:style>
  <w:style w:type="character" w:styleId="840" w:customStyle="1">
    <w:name w:val="页脚 Char1"/>
    <w:link w:val="799"/>
    <w:uiPriority w:val="99"/>
    <w:qFormat/>
  </w:style>
  <w:style w:type="table" w:styleId="84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脚注文本 Char"/>
    <w:link w:val="804"/>
    <w:uiPriority w:val="99"/>
    <w:qFormat/>
    <w:rPr>
      <w:sz w:val="18"/>
    </w:rPr>
  </w:style>
  <w:style w:type="character" w:styleId="967" w:customStyle="1">
    <w:name w:val="尾注文本 Char"/>
    <w:link w:val="797"/>
    <w:uiPriority w:val="99"/>
    <w:qFormat/>
    <w:rPr>
      <w:sz w:val="20"/>
    </w:rPr>
  </w:style>
  <w:style w:type="paragraph" w:styleId="968" w:customStyle="1">
    <w:name w:val="TOC 标题1"/>
    <w:uiPriority w:val="39"/>
    <w:unhideWhenUsed/>
    <w:qFormat/>
    <w:rPr>
      <w:rFonts w:ascii="Calibri" w:hAnsi="Calibri" w:eastAsia="宋体" w:cs="Times New Roman"/>
      <w:lang w:val="en-US" w:eastAsia="zh-CN" w:bidi="ar-SA"/>
    </w:rPr>
  </w:style>
  <w:style w:type="paragraph" w:styleId="969" w:customStyle="1">
    <w:name w:val="标题 11"/>
    <w:basedOn w:val="777"/>
    <w:next w:val="777"/>
    <w:link w:val="981"/>
    <w:uiPriority w:val="0"/>
    <w:qFormat/>
    <w:pPr>
      <w:jc w:val="center"/>
      <w:keepNext/>
      <w:outlineLvl w:val="0"/>
    </w:pPr>
    <w:rPr>
      <w:rFonts w:ascii="楷体_GB2312" w:eastAsia="楷体_GB2312"/>
      <w:sz w:val="28"/>
      <w:szCs w:val="28"/>
    </w:rPr>
  </w:style>
  <w:style w:type="paragraph" w:styleId="970" w:customStyle="1">
    <w:name w:val="标题 21"/>
    <w:basedOn w:val="777"/>
    <w:next w:val="971"/>
    <w:link w:val="98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1" w:customStyle="1">
    <w:name w:val="正文缩进1"/>
    <w:basedOn w:val="777"/>
    <w:link w:val="983"/>
    <w:uiPriority w:val="0"/>
    <w:qFormat/>
    <w:pPr>
      <w:ind w:firstLine="420"/>
    </w:pPr>
  </w:style>
  <w:style w:type="paragraph" w:styleId="972" w:customStyle="1">
    <w:name w:val="标题 31"/>
    <w:basedOn w:val="777"/>
    <w:next w:val="971"/>
    <w:link w:val="984"/>
    <w:uiPriority w:val="0"/>
    <w:qFormat/>
    <w:pPr>
      <w:keepLines/>
      <w:keepNext/>
      <w:spacing w:before="260" w:after="260" w:line="416" w:lineRule="auto"/>
      <w:outlineLvl w:val="2"/>
    </w:pPr>
    <w:rPr>
      <w:b/>
      <w:bCs/>
      <w:sz w:val="32"/>
      <w:szCs w:val="32"/>
    </w:rPr>
  </w:style>
  <w:style w:type="paragraph" w:styleId="973" w:customStyle="1">
    <w:name w:val="标题 41"/>
    <w:basedOn w:val="777"/>
    <w:next w:val="971"/>
    <w:link w:val="985"/>
    <w:uiPriority w:val="0"/>
    <w:qFormat/>
    <w:pPr>
      <w:keepLines/>
      <w:keepNext/>
      <w:spacing w:before="280" w:after="290" w:line="376" w:lineRule="auto"/>
      <w:outlineLvl w:val="3"/>
    </w:pPr>
    <w:rPr>
      <w:rFonts w:ascii="Arial" w:hAnsi="Arial" w:eastAsia="黑体" w:cs="Arial"/>
      <w:b/>
      <w:bCs/>
      <w:sz w:val="28"/>
      <w:szCs w:val="28"/>
    </w:rPr>
  </w:style>
  <w:style w:type="paragraph" w:styleId="974" w:customStyle="1">
    <w:name w:val="标题 51"/>
    <w:basedOn w:val="777"/>
    <w:next w:val="971"/>
    <w:link w:val="986"/>
    <w:uiPriority w:val="0"/>
    <w:qFormat/>
    <w:pPr>
      <w:keepNext/>
      <w:outlineLvl w:val="4"/>
    </w:pPr>
    <w:rPr>
      <w:rFonts w:ascii="宋体"/>
      <w:color w:val="000000"/>
      <w:sz w:val="28"/>
      <w:szCs w:val="28"/>
    </w:rPr>
  </w:style>
  <w:style w:type="paragraph" w:styleId="975" w:customStyle="1">
    <w:name w:val="标题 61"/>
    <w:basedOn w:val="777"/>
    <w:next w:val="777"/>
    <w:link w:val="98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6" w:customStyle="1">
    <w:name w:val="标题 71"/>
    <w:basedOn w:val="777"/>
    <w:next w:val="777"/>
    <w:link w:val="988"/>
    <w:uiPriority w:val="0"/>
    <w:qFormat/>
    <w:pPr>
      <w:numPr>
        <w:ilvl w:val="6"/>
        <w:numId w:val="1"/>
      </w:numPr>
      <w:keepLines/>
      <w:keepNext/>
      <w:spacing w:before="240" w:after="64" w:line="320" w:lineRule="auto"/>
      <w:outlineLvl w:val="6"/>
    </w:pPr>
    <w:rPr>
      <w:b/>
      <w:bCs/>
      <w:sz w:val="24"/>
      <w:szCs w:val="24"/>
    </w:rPr>
  </w:style>
  <w:style w:type="paragraph" w:styleId="977" w:customStyle="1">
    <w:name w:val="标题 81"/>
    <w:basedOn w:val="777"/>
    <w:next w:val="777"/>
    <w:link w:val="98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8" w:customStyle="1">
    <w:name w:val="标题 91"/>
    <w:basedOn w:val="777"/>
    <w:next w:val="777"/>
    <w:link w:val="990"/>
    <w:uiPriority w:val="0"/>
    <w:qFormat/>
    <w:pPr>
      <w:numPr>
        <w:ilvl w:val="8"/>
        <w:numId w:val="1"/>
      </w:numPr>
      <w:keepLines/>
      <w:keepNext/>
      <w:spacing w:before="240" w:after="64" w:line="320" w:lineRule="auto"/>
      <w:outlineLvl w:val="8"/>
    </w:pPr>
    <w:rPr>
      <w:rFonts w:ascii="Arial" w:hAnsi="Arial" w:eastAsia="黑体"/>
    </w:rPr>
  </w:style>
  <w:style w:type="character" w:styleId="979" w:customStyle="1">
    <w:name w:val="默认段落字体1"/>
    <w:uiPriority w:val="1"/>
    <w:unhideWhenUsed/>
    <w:qFormat/>
  </w:style>
  <w:style w:type="table" w:styleId="980" w:customStyle="1">
    <w:name w:val="普通表格1"/>
    <w:uiPriority w:val="99"/>
    <w:unhideWhenUsed/>
    <w:qFormat/>
    <w:tblPr>
      <w:tblCellMar>
        <w:left w:w="0" w:type="dxa"/>
        <w:top w:w="0" w:type="dxa"/>
        <w:right w:w="0" w:type="dxa"/>
        <w:bottom w:w="0" w:type="dxa"/>
      </w:tblCellMar>
    </w:tblPr>
  </w:style>
  <w:style w:type="character" w:styleId="981" w:customStyle="1">
    <w:name w:val="标题 1 Char"/>
    <w:link w:val="969"/>
    <w:uiPriority w:val="0"/>
    <w:qFormat/>
    <w:rPr>
      <w:rFonts w:ascii="楷体_GB2312" w:hAnsi="Times New Roman" w:eastAsia="楷体_GB2312" w:cs="Times New Roman"/>
      <w:sz w:val="28"/>
      <w:szCs w:val="28"/>
    </w:rPr>
  </w:style>
  <w:style w:type="character" w:styleId="982" w:customStyle="1">
    <w:name w:val="标题 2 Char"/>
    <w:link w:val="970"/>
    <w:uiPriority w:val="0"/>
    <w:qFormat/>
    <w:rPr>
      <w:rFonts w:ascii="Arial" w:hAnsi="Arial" w:eastAsia="幼圆" w:cs="Arial"/>
      <w:b/>
      <w:bCs/>
      <w:sz w:val="44"/>
      <w:szCs w:val="44"/>
    </w:rPr>
  </w:style>
  <w:style w:type="character" w:styleId="983" w:customStyle="1">
    <w:name w:val="正文缩进 Char"/>
    <w:link w:val="971"/>
    <w:uiPriority w:val="0"/>
    <w:qFormat/>
    <w:rPr>
      <w:rFonts w:ascii="Times New Roman" w:hAnsi="Times New Roman" w:eastAsia="宋体" w:cs="Times New Roman"/>
      <w:szCs w:val="21"/>
    </w:rPr>
  </w:style>
  <w:style w:type="character" w:styleId="984" w:customStyle="1">
    <w:name w:val="标题 3 Char"/>
    <w:link w:val="972"/>
    <w:uiPriority w:val="0"/>
    <w:qFormat/>
    <w:rPr>
      <w:rFonts w:ascii="Times New Roman" w:hAnsi="Times New Roman" w:eastAsia="宋体" w:cs="Times New Roman"/>
      <w:b/>
      <w:bCs/>
      <w:sz w:val="32"/>
      <w:szCs w:val="32"/>
    </w:rPr>
  </w:style>
  <w:style w:type="character" w:styleId="985" w:customStyle="1">
    <w:name w:val="标题 4 Char"/>
    <w:link w:val="973"/>
    <w:uiPriority w:val="0"/>
    <w:qFormat/>
    <w:rPr>
      <w:rFonts w:ascii="Arial" w:hAnsi="Arial" w:eastAsia="黑体" w:cs="Arial"/>
      <w:b/>
      <w:bCs/>
      <w:sz w:val="28"/>
      <w:szCs w:val="28"/>
    </w:rPr>
  </w:style>
  <w:style w:type="character" w:styleId="986" w:customStyle="1">
    <w:name w:val="标题 5 Char"/>
    <w:link w:val="974"/>
    <w:uiPriority w:val="0"/>
    <w:qFormat/>
    <w:rPr>
      <w:rFonts w:ascii="宋体" w:hAnsi="Times New Roman" w:eastAsia="宋体" w:cs="Times New Roman"/>
      <w:color w:val="000000"/>
      <w:sz w:val="28"/>
      <w:szCs w:val="28"/>
    </w:rPr>
  </w:style>
  <w:style w:type="character" w:styleId="987" w:customStyle="1">
    <w:name w:val="标题 6 Char"/>
    <w:link w:val="975"/>
    <w:uiPriority w:val="0"/>
    <w:qFormat/>
    <w:rPr>
      <w:rFonts w:ascii="Arial" w:hAnsi="Arial" w:eastAsia="黑体" w:cs="Times New Roman"/>
      <w:b/>
      <w:bCs/>
      <w:sz w:val="24"/>
      <w:szCs w:val="24"/>
    </w:rPr>
  </w:style>
  <w:style w:type="character" w:styleId="988" w:customStyle="1">
    <w:name w:val="标题 7 Char"/>
    <w:link w:val="976"/>
    <w:uiPriority w:val="0"/>
    <w:qFormat/>
    <w:rPr>
      <w:rFonts w:ascii="Times New Roman" w:hAnsi="Times New Roman" w:eastAsia="宋体" w:cs="Times New Roman"/>
      <w:b/>
      <w:bCs/>
      <w:sz w:val="24"/>
      <w:szCs w:val="24"/>
    </w:rPr>
  </w:style>
  <w:style w:type="character" w:styleId="989" w:customStyle="1">
    <w:name w:val="标题 8 Char"/>
    <w:link w:val="977"/>
    <w:uiPriority w:val="0"/>
    <w:qFormat/>
    <w:rPr>
      <w:rFonts w:ascii="Arial" w:hAnsi="Arial" w:eastAsia="黑体" w:cs="Times New Roman"/>
      <w:sz w:val="24"/>
      <w:szCs w:val="24"/>
    </w:rPr>
  </w:style>
  <w:style w:type="character" w:styleId="990" w:customStyle="1">
    <w:name w:val="标题 9 Char"/>
    <w:link w:val="978"/>
    <w:uiPriority w:val="0"/>
    <w:qFormat/>
    <w:rPr>
      <w:rFonts w:ascii="Arial" w:hAnsi="Arial" w:eastAsia="黑体" w:cs="Times New Roman"/>
      <w:szCs w:val="21"/>
    </w:rPr>
  </w:style>
  <w:style w:type="paragraph" w:styleId="991" w:customStyle="1">
    <w:name w:val="列表 31"/>
    <w:basedOn w:val="777"/>
    <w:uiPriority w:val="0"/>
    <w:qFormat/>
    <w:pPr>
      <w:ind w:left="100" w:hanging="200"/>
    </w:pPr>
  </w:style>
  <w:style w:type="paragraph" w:styleId="992" w:customStyle="1">
    <w:name w:val="目录 71"/>
    <w:basedOn w:val="777"/>
    <w:next w:val="777"/>
    <w:uiPriority w:val="0"/>
    <w:semiHidden/>
    <w:qFormat/>
    <w:pPr>
      <w:ind w:left="1260"/>
      <w:jc w:val="left"/>
    </w:pPr>
  </w:style>
  <w:style w:type="paragraph" w:styleId="993" w:customStyle="1">
    <w:name w:val="文档结构图1"/>
    <w:basedOn w:val="777"/>
    <w:link w:val="994"/>
    <w:uiPriority w:val="0"/>
    <w:semiHidden/>
    <w:qFormat/>
    <w:pPr>
      <w:shd w:val="clear" w:color="auto" w:fill="000080"/>
    </w:pPr>
  </w:style>
  <w:style w:type="character" w:styleId="994" w:customStyle="1">
    <w:name w:val="文档结构图 Char"/>
    <w:link w:val="993"/>
    <w:uiPriority w:val="0"/>
    <w:semiHidden/>
    <w:qFormat/>
    <w:rPr>
      <w:rFonts w:ascii="Times New Roman" w:hAnsi="Times New Roman" w:eastAsia="宋体" w:cs="Times New Roman"/>
      <w:szCs w:val="21"/>
      <w:shd w:val="clear" w:color="auto" w:fill="000080"/>
    </w:rPr>
  </w:style>
  <w:style w:type="paragraph" w:styleId="995" w:customStyle="1">
    <w:name w:val="批注文字1"/>
    <w:basedOn w:val="777"/>
    <w:link w:val="996"/>
    <w:uiPriority w:val="0"/>
    <w:semiHidden/>
    <w:qFormat/>
    <w:pPr>
      <w:jc w:val="left"/>
    </w:pPr>
  </w:style>
  <w:style w:type="character" w:styleId="996" w:customStyle="1">
    <w:name w:val="批注文字 Char"/>
    <w:link w:val="995"/>
    <w:uiPriority w:val="0"/>
    <w:semiHidden/>
    <w:qFormat/>
    <w:rPr>
      <w:rFonts w:ascii="Times New Roman" w:hAnsi="Times New Roman" w:eastAsia="宋体" w:cs="Times New Roman"/>
      <w:szCs w:val="21"/>
    </w:rPr>
  </w:style>
  <w:style w:type="paragraph" w:styleId="997" w:customStyle="1">
    <w:name w:val="正文文本 31"/>
    <w:basedOn w:val="777"/>
    <w:link w:val="998"/>
    <w:uiPriority w:val="0"/>
    <w:qFormat/>
    <w:rPr>
      <w:rFonts w:ascii="仿宋_GB2312" w:hAnsi="Arial" w:eastAsia="仿宋_GB2312"/>
      <w:sz w:val="32"/>
      <w:szCs w:val="32"/>
    </w:rPr>
  </w:style>
  <w:style w:type="character" w:styleId="998" w:customStyle="1">
    <w:name w:val="正文文本 3 Char"/>
    <w:link w:val="997"/>
    <w:uiPriority w:val="0"/>
    <w:qFormat/>
    <w:rPr>
      <w:rFonts w:ascii="仿宋_GB2312" w:hAnsi="Arial" w:eastAsia="仿宋_GB2312" w:cs="Times New Roman"/>
      <w:sz w:val="32"/>
      <w:szCs w:val="32"/>
    </w:rPr>
  </w:style>
  <w:style w:type="paragraph" w:styleId="999" w:customStyle="1">
    <w:name w:val="正文文本1"/>
    <w:basedOn w:val="777"/>
    <w:link w:val="1000"/>
    <w:uiPriority w:val="0"/>
    <w:qFormat/>
    <w:rPr>
      <w:rFonts w:ascii="楷体_GB2312" w:hAnsi="Arial" w:eastAsia="楷体_GB2312"/>
      <w:sz w:val="28"/>
      <w:szCs w:val="28"/>
    </w:rPr>
  </w:style>
  <w:style w:type="character" w:styleId="1000" w:customStyle="1">
    <w:name w:val="正文文本 Char"/>
    <w:link w:val="999"/>
    <w:uiPriority w:val="0"/>
    <w:qFormat/>
    <w:rPr>
      <w:rFonts w:ascii="楷体_GB2312" w:hAnsi="Arial" w:eastAsia="楷体_GB2312" w:cs="Times New Roman"/>
      <w:sz w:val="28"/>
      <w:szCs w:val="28"/>
    </w:rPr>
  </w:style>
  <w:style w:type="paragraph" w:styleId="1001" w:customStyle="1">
    <w:name w:val="正文文本缩进1"/>
    <w:basedOn w:val="777"/>
    <w:link w:val="1002"/>
    <w:uiPriority w:val="0"/>
    <w:qFormat/>
    <w:pPr>
      <w:ind w:firstLine="645"/>
    </w:pPr>
    <w:rPr>
      <w:rFonts w:ascii="楷体_GB2312" w:eastAsia="楷体_GB2312"/>
      <w:sz w:val="32"/>
      <w:szCs w:val="32"/>
    </w:rPr>
  </w:style>
  <w:style w:type="character" w:styleId="1002" w:customStyle="1">
    <w:name w:val="正文文本缩进 Char"/>
    <w:link w:val="1001"/>
    <w:uiPriority w:val="0"/>
    <w:qFormat/>
    <w:rPr>
      <w:rFonts w:ascii="楷体_GB2312" w:hAnsi="Times New Roman" w:eastAsia="楷体_GB2312" w:cs="Times New Roman"/>
      <w:sz w:val="32"/>
      <w:szCs w:val="32"/>
    </w:rPr>
  </w:style>
  <w:style w:type="paragraph" w:styleId="1003" w:customStyle="1">
    <w:name w:val="列表 21"/>
    <w:basedOn w:val="777"/>
    <w:uiPriority w:val="0"/>
    <w:qFormat/>
    <w:pPr>
      <w:ind w:left="100" w:hanging="200"/>
    </w:pPr>
  </w:style>
  <w:style w:type="paragraph" w:styleId="1004" w:customStyle="1">
    <w:name w:val="目录 51"/>
    <w:basedOn w:val="777"/>
    <w:next w:val="777"/>
    <w:uiPriority w:val="0"/>
    <w:semiHidden/>
    <w:qFormat/>
    <w:pPr>
      <w:ind w:left="840"/>
      <w:jc w:val="left"/>
    </w:pPr>
  </w:style>
  <w:style w:type="paragraph" w:styleId="1005" w:customStyle="1">
    <w:name w:val="目录 31"/>
    <w:basedOn w:val="777"/>
    <w:next w:val="777"/>
    <w:uiPriority w:val="0"/>
    <w:semiHidden/>
    <w:qFormat/>
    <w:pPr>
      <w:ind w:left="420"/>
      <w:jc w:val="left"/>
    </w:pPr>
    <w:rPr>
      <w:i/>
      <w:iCs/>
      <w:szCs w:val="24"/>
    </w:rPr>
  </w:style>
  <w:style w:type="paragraph" w:styleId="1006" w:customStyle="1">
    <w:name w:val="纯文本1"/>
    <w:basedOn w:val="777"/>
    <w:link w:val="1007"/>
    <w:uiPriority w:val="0"/>
    <w:qFormat/>
    <w:rPr>
      <w:rFonts w:ascii="宋体" w:hAnsi="Courier New" w:cs="Courier New"/>
    </w:rPr>
  </w:style>
  <w:style w:type="character" w:styleId="1007" w:customStyle="1">
    <w:name w:val="纯文本 Char"/>
    <w:link w:val="1006"/>
    <w:uiPriority w:val="0"/>
    <w:qFormat/>
    <w:rPr>
      <w:rFonts w:ascii="宋体" w:hAnsi="Courier New" w:eastAsia="宋体" w:cs="Courier New"/>
      <w:szCs w:val="21"/>
    </w:rPr>
  </w:style>
  <w:style w:type="paragraph" w:styleId="1008" w:customStyle="1">
    <w:name w:val="目录 81"/>
    <w:basedOn w:val="777"/>
    <w:next w:val="777"/>
    <w:uiPriority w:val="0"/>
    <w:semiHidden/>
    <w:qFormat/>
    <w:pPr>
      <w:ind w:left="1470"/>
      <w:jc w:val="left"/>
    </w:pPr>
  </w:style>
  <w:style w:type="paragraph" w:styleId="1009" w:customStyle="1">
    <w:name w:val="日期1"/>
    <w:basedOn w:val="777"/>
    <w:next w:val="777"/>
    <w:link w:val="1010"/>
    <w:uiPriority w:val="0"/>
    <w:qFormat/>
    <w:rPr>
      <w:sz w:val="24"/>
      <w:szCs w:val="24"/>
    </w:rPr>
  </w:style>
  <w:style w:type="character" w:styleId="1010" w:customStyle="1">
    <w:name w:val="日期 Char"/>
    <w:link w:val="1009"/>
    <w:uiPriority w:val="0"/>
    <w:qFormat/>
    <w:rPr>
      <w:rFonts w:ascii="Times New Roman" w:hAnsi="Times New Roman" w:eastAsia="宋体" w:cs="Times New Roman"/>
      <w:sz w:val="24"/>
      <w:szCs w:val="24"/>
    </w:rPr>
  </w:style>
  <w:style w:type="paragraph" w:styleId="1011" w:customStyle="1">
    <w:name w:val="正文文本缩进 21"/>
    <w:basedOn w:val="777"/>
    <w:link w:val="1012"/>
    <w:uiPriority w:val="0"/>
    <w:qFormat/>
    <w:pPr>
      <w:ind w:left="630" w:firstLine="645"/>
    </w:pPr>
    <w:rPr>
      <w:rFonts w:ascii="Arial" w:hAnsi="Arial" w:eastAsia="仿宋_GB2312" w:cs="Arial"/>
      <w:sz w:val="32"/>
      <w:szCs w:val="32"/>
    </w:rPr>
  </w:style>
  <w:style w:type="character" w:styleId="1012" w:customStyle="1">
    <w:name w:val="正文文本缩进 2 Char"/>
    <w:link w:val="1011"/>
    <w:uiPriority w:val="0"/>
    <w:qFormat/>
    <w:rPr>
      <w:rFonts w:ascii="Arial" w:hAnsi="Arial" w:eastAsia="仿宋_GB2312" w:cs="Arial"/>
      <w:sz w:val="32"/>
      <w:szCs w:val="32"/>
    </w:rPr>
  </w:style>
  <w:style w:type="paragraph" w:styleId="1013" w:customStyle="1">
    <w:name w:val="批注框文本1"/>
    <w:basedOn w:val="777"/>
    <w:link w:val="1014"/>
    <w:uiPriority w:val="0"/>
    <w:semiHidden/>
    <w:qFormat/>
    <w:rPr>
      <w:sz w:val="18"/>
      <w:szCs w:val="18"/>
    </w:rPr>
  </w:style>
  <w:style w:type="character" w:styleId="1014" w:customStyle="1">
    <w:name w:val="批注框文本 Char"/>
    <w:link w:val="1013"/>
    <w:uiPriority w:val="0"/>
    <w:semiHidden/>
    <w:qFormat/>
    <w:rPr>
      <w:rFonts w:ascii="Times New Roman" w:hAnsi="Times New Roman" w:eastAsia="宋体" w:cs="Times New Roman"/>
      <w:sz w:val="18"/>
      <w:szCs w:val="18"/>
    </w:rPr>
  </w:style>
  <w:style w:type="paragraph" w:styleId="1015" w:customStyle="1">
    <w:name w:val="页脚1"/>
    <w:basedOn w:val="777"/>
    <w:link w:val="1016"/>
    <w:uiPriority w:val="99"/>
    <w:qFormat/>
    <w:pPr>
      <w:jc w:val="left"/>
      <w:tabs>
        <w:tab w:val="center" w:pos="4153" w:leader="none"/>
        <w:tab w:val="right" w:pos="8306" w:leader="none"/>
      </w:tabs>
    </w:pPr>
    <w:rPr>
      <w:sz w:val="18"/>
      <w:szCs w:val="18"/>
    </w:rPr>
  </w:style>
  <w:style w:type="character" w:styleId="1016" w:customStyle="1">
    <w:name w:val="页脚 Char"/>
    <w:link w:val="1015"/>
    <w:uiPriority w:val="99"/>
    <w:qFormat/>
    <w:rPr>
      <w:rFonts w:ascii="Times New Roman" w:hAnsi="Times New Roman" w:eastAsia="宋体" w:cs="Times New Roman"/>
      <w:sz w:val="18"/>
      <w:szCs w:val="18"/>
    </w:rPr>
  </w:style>
  <w:style w:type="paragraph" w:styleId="1017" w:customStyle="1">
    <w:name w:val="页眉1"/>
    <w:basedOn w:val="777"/>
    <w:link w:val="1018"/>
    <w:uiPriority w:val="0"/>
    <w:qFormat/>
    <w:pPr>
      <w:jc w:val="center"/>
      <w:tabs>
        <w:tab w:val="center" w:pos="4153" w:leader="none"/>
        <w:tab w:val="right" w:pos="8306" w:leader="none"/>
      </w:tabs>
      <w:pBdr>
        <w:bottom w:val="single" w:color="000000" w:sz="6" w:space="1"/>
      </w:pBdr>
    </w:pPr>
    <w:rPr>
      <w:sz w:val="18"/>
      <w:szCs w:val="18"/>
    </w:rPr>
  </w:style>
  <w:style w:type="character" w:styleId="1018" w:customStyle="1">
    <w:name w:val="页眉 Char"/>
    <w:link w:val="1017"/>
    <w:uiPriority w:val="0"/>
    <w:qFormat/>
    <w:rPr>
      <w:rFonts w:ascii="Times New Roman" w:hAnsi="Times New Roman" w:eastAsia="宋体" w:cs="Times New Roman"/>
      <w:sz w:val="18"/>
      <w:szCs w:val="18"/>
    </w:rPr>
  </w:style>
  <w:style w:type="paragraph" w:styleId="1019" w:customStyle="1">
    <w:name w:val="目录 11"/>
    <w:basedOn w:val="777"/>
    <w:next w:val="777"/>
    <w:uiPriority w:val="0"/>
    <w:semiHidden/>
    <w:qFormat/>
    <w:pPr>
      <w:jc w:val="left"/>
      <w:spacing w:before="120" w:after="120" w:line="400" w:lineRule="exact"/>
      <w:tabs>
        <w:tab w:val="right" w:pos="8720" w:leader="dot"/>
      </w:tabs>
    </w:pPr>
    <w:rPr>
      <w:rFonts w:ascii="宋体" w:hAnsi="宋体"/>
      <w:caps/>
      <w:sz w:val="24"/>
      <w:szCs w:val="24"/>
    </w:rPr>
  </w:style>
  <w:style w:type="paragraph" w:styleId="1020" w:customStyle="1">
    <w:name w:val="目录 41"/>
    <w:basedOn w:val="777"/>
    <w:next w:val="777"/>
    <w:uiPriority w:val="0"/>
    <w:semiHidden/>
    <w:qFormat/>
    <w:pPr>
      <w:ind w:left="630"/>
      <w:jc w:val="left"/>
    </w:pPr>
  </w:style>
  <w:style w:type="paragraph" w:styleId="1021" w:customStyle="1">
    <w:name w:val="列表1"/>
    <w:basedOn w:val="777"/>
    <w:uiPriority w:val="0"/>
    <w:qFormat/>
    <w:pPr>
      <w:ind w:left="200" w:hanging="200"/>
    </w:pPr>
  </w:style>
  <w:style w:type="paragraph" w:styleId="1022" w:customStyle="1">
    <w:name w:val="目录 61"/>
    <w:basedOn w:val="777"/>
    <w:next w:val="777"/>
    <w:uiPriority w:val="0"/>
    <w:semiHidden/>
    <w:qFormat/>
    <w:pPr>
      <w:ind w:left="1050"/>
      <w:jc w:val="left"/>
    </w:pPr>
  </w:style>
  <w:style w:type="paragraph" w:styleId="1023" w:customStyle="1">
    <w:name w:val="正文文本缩进 31"/>
    <w:basedOn w:val="777"/>
    <w:link w:val="1024"/>
    <w:uiPriority w:val="0"/>
    <w:qFormat/>
    <w:pPr>
      <w:ind w:left="645" w:firstLine="645"/>
    </w:pPr>
    <w:rPr>
      <w:rFonts w:ascii="Arial" w:hAnsi="Arial" w:eastAsia="仿宋_GB2312" w:cs="Arial"/>
      <w:color w:val="ffff00"/>
      <w:sz w:val="32"/>
      <w:szCs w:val="32"/>
    </w:rPr>
  </w:style>
  <w:style w:type="character" w:styleId="1024" w:customStyle="1">
    <w:name w:val="正文文本缩进 3 Char"/>
    <w:link w:val="1023"/>
    <w:uiPriority w:val="0"/>
    <w:qFormat/>
    <w:rPr>
      <w:rFonts w:ascii="Arial" w:hAnsi="Arial" w:eastAsia="仿宋_GB2312" w:cs="Arial"/>
      <w:color w:val="ffff00"/>
      <w:sz w:val="32"/>
      <w:szCs w:val="32"/>
    </w:rPr>
  </w:style>
  <w:style w:type="paragraph" w:styleId="1025" w:customStyle="1">
    <w:name w:val="图表目录1"/>
    <w:basedOn w:val="777"/>
    <w:next w:val="777"/>
    <w:uiPriority w:val="0"/>
    <w:semiHidden/>
    <w:qFormat/>
    <w:pPr>
      <w:ind w:left="840" w:hanging="420"/>
    </w:pPr>
  </w:style>
  <w:style w:type="paragraph" w:styleId="1026" w:customStyle="1">
    <w:name w:val="目录 21"/>
    <w:basedOn w:val="777"/>
    <w:next w:val="777"/>
    <w:uiPriority w:val="0"/>
    <w:semiHidden/>
    <w:qFormat/>
    <w:pPr>
      <w:ind w:left="210"/>
      <w:jc w:val="left"/>
    </w:pPr>
    <w:rPr>
      <w:smallCaps/>
      <w:szCs w:val="24"/>
    </w:rPr>
  </w:style>
  <w:style w:type="paragraph" w:styleId="1027" w:customStyle="1">
    <w:name w:val="目录 91"/>
    <w:basedOn w:val="777"/>
    <w:next w:val="777"/>
    <w:uiPriority w:val="0"/>
    <w:semiHidden/>
    <w:qFormat/>
    <w:pPr>
      <w:ind w:left="1680"/>
      <w:jc w:val="left"/>
    </w:pPr>
  </w:style>
  <w:style w:type="paragraph" w:styleId="1028" w:customStyle="1">
    <w:name w:val="正文文本 21"/>
    <w:basedOn w:val="777"/>
    <w:link w:val="1029"/>
    <w:uiPriority w:val="0"/>
    <w:qFormat/>
    <w:pPr>
      <w:jc w:val="center"/>
      <w:widowControl/>
    </w:pPr>
    <w:rPr>
      <w:rFonts w:ascii="楷体_GB2312" w:eastAsia="楷体_GB2312"/>
      <w:sz w:val="28"/>
      <w:szCs w:val="28"/>
    </w:rPr>
  </w:style>
  <w:style w:type="character" w:styleId="1029" w:customStyle="1">
    <w:name w:val="正文文本 2 Char"/>
    <w:link w:val="1028"/>
    <w:uiPriority w:val="0"/>
    <w:qFormat/>
    <w:rPr>
      <w:rFonts w:ascii="楷体_GB2312" w:hAnsi="Times New Roman" w:eastAsia="楷体_GB2312" w:cs="Times New Roman"/>
      <w:sz w:val="28"/>
      <w:szCs w:val="28"/>
    </w:rPr>
  </w:style>
  <w:style w:type="paragraph" w:styleId="1030" w:customStyle="1">
    <w:name w:val="普通(网站)1"/>
    <w:basedOn w:val="777"/>
    <w:uiPriority w:val="99"/>
    <w:qFormat/>
    <w:pPr>
      <w:jc w:val="left"/>
      <w:spacing w:before="100" w:beforeAutospacing="1" w:after="100" w:afterAutospacing="1"/>
      <w:widowControl/>
    </w:pPr>
    <w:rPr>
      <w:rFonts w:ascii="宋体" w:hAnsi="宋体" w:cs="宋体"/>
      <w:sz w:val="24"/>
      <w:szCs w:val="24"/>
    </w:rPr>
  </w:style>
  <w:style w:type="paragraph" w:styleId="1031" w:customStyle="1">
    <w:name w:val="索引 11"/>
    <w:basedOn w:val="777"/>
    <w:next w:val="777"/>
    <w:uiPriority w:val="0"/>
    <w:semiHidden/>
    <w:qFormat/>
    <w:pPr>
      <w:spacing w:line="240" w:lineRule="atLeast"/>
    </w:pPr>
    <w:rPr>
      <w:b/>
      <w:bCs/>
    </w:rPr>
  </w:style>
  <w:style w:type="paragraph" w:styleId="1032" w:customStyle="1">
    <w:name w:val="批注主题1"/>
    <w:basedOn w:val="995"/>
    <w:next w:val="995"/>
    <w:link w:val="1033"/>
    <w:uiPriority w:val="0"/>
    <w:semiHidden/>
    <w:qFormat/>
    <w:rPr>
      <w:b/>
      <w:bCs/>
    </w:rPr>
  </w:style>
  <w:style w:type="character" w:styleId="1033" w:customStyle="1">
    <w:name w:val="批注主题 Char"/>
    <w:link w:val="1032"/>
    <w:uiPriority w:val="0"/>
    <w:semiHidden/>
    <w:qFormat/>
    <w:rPr>
      <w:rFonts w:ascii="Times New Roman" w:hAnsi="Times New Roman" w:eastAsia="宋体" w:cs="Times New Roman"/>
      <w:b/>
      <w:bCs/>
      <w:szCs w:val="21"/>
    </w:rPr>
  </w:style>
  <w:style w:type="paragraph" w:styleId="1034" w:customStyle="1">
    <w:name w:val="正文首行缩进1"/>
    <w:basedOn w:val="777"/>
    <w:link w:val="1035"/>
    <w:uiPriority w:val="0"/>
    <w:qFormat/>
    <w:pPr>
      <w:ind w:firstLine="200"/>
      <w:spacing w:line="360" w:lineRule="auto"/>
    </w:pPr>
    <w:rPr>
      <w:rFonts w:ascii="仿宋_GB2312" w:eastAsia="仿宋_GB2312"/>
      <w:sz w:val="30"/>
      <w:szCs w:val="30"/>
    </w:rPr>
  </w:style>
  <w:style w:type="character" w:styleId="1035" w:customStyle="1">
    <w:name w:val="正文首行缩进 Char"/>
    <w:link w:val="1034"/>
    <w:uiPriority w:val="0"/>
    <w:qFormat/>
    <w:rPr>
      <w:rFonts w:ascii="仿宋_GB2312" w:hAnsi="Times New Roman" w:eastAsia="仿宋_GB2312" w:cs="Times New Roman"/>
      <w:sz w:val="30"/>
      <w:szCs w:val="30"/>
    </w:rPr>
  </w:style>
  <w:style w:type="paragraph" w:styleId="1036" w:customStyle="1">
    <w:name w:val="正文首行缩进 21"/>
    <w:basedOn w:val="1001"/>
    <w:link w:val="1037"/>
    <w:uiPriority w:val="0"/>
    <w:qFormat/>
    <w:pPr>
      <w:ind w:firstLine="420"/>
      <w:spacing w:line="360" w:lineRule="auto"/>
    </w:pPr>
    <w:rPr>
      <w:rFonts w:ascii="宋体" w:hAnsi="宋体" w:eastAsia="宋体"/>
      <w:sz w:val="21"/>
      <w:szCs w:val="20"/>
    </w:rPr>
  </w:style>
  <w:style w:type="character" w:styleId="1037" w:customStyle="1">
    <w:name w:val="正文首行缩进 2 Char"/>
    <w:link w:val="1036"/>
    <w:uiPriority w:val="0"/>
    <w:qFormat/>
    <w:rPr>
      <w:rFonts w:ascii="宋体" w:hAnsi="宋体" w:eastAsia="宋体" w:cs="Times New Roman"/>
      <w:sz w:val="32"/>
      <w:szCs w:val="20"/>
    </w:rPr>
  </w:style>
  <w:style w:type="table" w:styleId="1038" w:customStyle="1">
    <w:name w:val="网格型1"/>
    <w:basedOn w:val="980"/>
    <w:uiPriority w:val="0"/>
    <w:qFormat/>
    <w:pPr>
      <w:jc w:val="both"/>
      <w:widowControl w:val="off"/>
    </w:pPr>
    <w:tblPr>
      <w:tblCellMar>
        <w:left w:w="0" w:type="dxa"/>
        <w:top w:w="0" w:type="dxa"/>
        <w:right w:w="0" w:type="dxa"/>
        <w:bottom w:w="0" w:type="dxa"/>
      </w:tblCellMar>
    </w:tblPr>
  </w:style>
  <w:style w:type="character" w:styleId="1039" w:customStyle="1">
    <w:name w:val="要点1"/>
    <w:uiPriority w:val="0"/>
    <w:qFormat/>
    <w:rPr>
      <w:b/>
      <w:bCs/>
    </w:rPr>
  </w:style>
  <w:style w:type="character" w:styleId="1040" w:customStyle="1">
    <w:name w:val="页码1"/>
    <w:uiPriority w:val="0"/>
    <w:qFormat/>
  </w:style>
  <w:style w:type="character" w:styleId="1041" w:customStyle="1">
    <w:name w:val="已访问的超链接1"/>
    <w:uiPriority w:val="0"/>
    <w:qFormat/>
    <w:rPr>
      <w:color w:val="800080"/>
      <w:u w:val="single"/>
    </w:rPr>
  </w:style>
  <w:style w:type="character" w:styleId="1042" w:customStyle="1">
    <w:name w:val="超链接1"/>
    <w:uiPriority w:val="0"/>
    <w:qFormat/>
    <w:rPr>
      <w:color w:val="0000ff"/>
      <w:u w:val="single"/>
    </w:rPr>
  </w:style>
  <w:style w:type="character" w:styleId="1043" w:customStyle="1">
    <w:name w:val="批注引用1"/>
    <w:uiPriority w:val="0"/>
    <w:semiHidden/>
    <w:qFormat/>
    <w:rPr>
      <w:sz w:val="21"/>
      <w:szCs w:val="21"/>
    </w:rPr>
  </w:style>
  <w:style w:type="character" w:styleId="1044" w:customStyle="1">
    <w:name w:val="font5 Char"/>
    <w:uiPriority w:val="0"/>
    <w:qFormat/>
    <w:rPr>
      <w:rFonts w:ascii="宋体" w:hAnsi="宋体" w:eastAsia="宋体"/>
      <w:sz w:val="28"/>
      <w:szCs w:val="28"/>
      <w:lang w:val="en-US" w:eastAsia="zh-CN" w:bidi="ar-SA"/>
    </w:rPr>
  </w:style>
  <w:style w:type="character" w:styleId="1045" w:customStyle="1">
    <w:name w:val="二级目录 Char"/>
    <w:link w:val="1046"/>
    <w:uiPriority w:val="0"/>
    <w:qFormat/>
    <w:rPr>
      <w:rFonts w:ascii="Calibri" w:hAnsi="Calibri"/>
      <w:b/>
      <w:sz w:val="30"/>
      <w:szCs w:val="28"/>
    </w:rPr>
  </w:style>
  <w:style w:type="paragraph" w:styleId="1046" w:customStyle="1">
    <w:name w:val="二级目录"/>
    <w:next w:val="777"/>
    <w:link w:val="104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47" w:customStyle="1">
    <w:name w:val="列出段落 Char"/>
    <w:link w:val="1048"/>
    <w:uiPriority w:val="0"/>
    <w:qFormat/>
    <w:rPr>
      <w:rFonts w:ascii="Calibri" w:hAnsi="Calibri"/>
      <w:sz w:val="24"/>
      <w:szCs w:val="24"/>
      <w:lang w:eastAsia="en-US" w:bidi="en-US"/>
    </w:rPr>
  </w:style>
  <w:style w:type="paragraph" w:styleId="1048" w:customStyle="1">
    <w:name w:val="列出段落1"/>
    <w:basedOn w:val="777"/>
    <w:link w:val="1047"/>
    <w:uiPriority w:val="0"/>
    <w:qFormat/>
    <w:pPr>
      <w:contextualSpacing/>
      <w:ind w:left="720"/>
      <w:jc w:val="left"/>
      <w:widowControl/>
    </w:pPr>
    <w:rPr>
      <w:rFonts w:ascii="Calibri" w:hAnsi="Calibri"/>
      <w:sz w:val="24"/>
      <w:szCs w:val="24"/>
      <w:lang w:eastAsia="en-US" w:bidi="en-US"/>
    </w:rPr>
  </w:style>
  <w:style w:type="paragraph" w:styleId="1049" w:customStyle="1">
    <w:name w:val="Body Text(ch)"/>
    <w:basedOn w:val="777"/>
    <w:next w:val="999"/>
    <w:uiPriority w:val="0"/>
    <w:qFormat/>
    <w:pPr>
      <w:spacing w:after="120"/>
    </w:pPr>
    <w:rPr>
      <w:rFonts w:ascii="宋体" w:hAnsi="Arial"/>
      <w:bCs/>
      <w:iCs/>
      <w:szCs w:val="24"/>
    </w:rPr>
  </w:style>
  <w:style w:type="paragraph" w:styleId="1050" w:customStyle="1">
    <w:name w:val="xl27"/>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xl26"/>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2" w:customStyle="1">
    <w:name w:val="Char"/>
    <w:basedOn w:val="777"/>
    <w:uiPriority w:val="0"/>
    <w:qFormat/>
    <w:pPr>
      <w:ind w:firstLine="200"/>
      <w:tabs>
        <w:tab w:val="left" w:pos="360" w:leader="none"/>
      </w:tabs>
    </w:pPr>
    <w:rPr>
      <w:sz w:val="28"/>
      <w:szCs w:val="30"/>
    </w:rPr>
  </w:style>
  <w:style w:type="paragraph" w:styleId="1053" w:customStyle="1">
    <w:name w:val="Char1"/>
    <w:basedOn w:val="993"/>
    <w:uiPriority w:val="0"/>
    <w:qFormat/>
    <w:rPr>
      <w:rFonts w:ascii="Tahoma" w:hAnsi="Tahoma"/>
      <w:sz w:val="24"/>
      <w:szCs w:val="24"/>
    </w:rPr>
  </w:style>
  <w:style w:type="paragraph" w:styleId="1054" w:customStyle="1">
    <w:name w:val="普通正文"/>
    <w:basedOn w:val="777"/>
    <w:uiPriority w:val="0"/>
    <w:qFormat/>
    <w:pPr>
      <w:ind w:firstLine="480"/>
      <w:jc w:val="left"/>
      <w:spacing w:before="120" w:after="120" w:line="360" w:lineRule="auto"/>
    </w:pPr>
    <w:rPr>
      <w:rFonts w:ascii="Arial" w:hAnsi="Arial"/>
      <w:sz w:val="24"/>
      <w:szCs w:val="24"/>
    </w:rPr>
  </w:style>
  <w:style w:type="paragraph" w:styleId="1055" w:customStyle="1">
    <w:name w:val="table_lines"/>
    <w:basedOn w:val="777"/>
    <w:uiPriority w:val="0"/>
    <w:qFormat/>
    <w:pPr>
      <w:jc w:val="left"/>
      <w:widowControl/>
    </w:pPr>
    <w:rPr>
      <w:sz w:val="20"/>
      <w:szCs w:val="20"/>
      <w:lang w:val="de-DE" w:eastAsia="de-DE"/>
    </w:rPr>
  </w:style>
  <w:style w:type="paragraph" w:styleId="105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7" w:customStyle="1">
    <w:name w:val="font7"/>
    <w:basedOn w:val="777"/>
    <w:uiPriority w:val="0"/>
    <w:qFormat/>
    <w:pPr>
      <w:jc w:val="left"/>
      <w:spacing w:before="100" w:beforeAutospacing="1" w:after="100" w:afterAutospacing="1"/>
      <w:widowControl/>
    </w:pPr>
    <w:rPr>
      <w:rFonts w:hint="eastAsia" w:ascii="宋体" w:hAnsi="宋体"/>
      <w:sz w:val="18"/>
      <w:szCs w:val="18"/>
    </w:rPr>
  </w:style>
  <w:style w:type="paragraph" w:styleId="1058" w:customStyle="1">
    <w:name w:val="Char Char Char Char"/>
    <w:basedOn w:val="993"/>
    <w:uiPriority w:val="0"/>
    <w:qFormat/>
    <w:pPr>
      <w:spacing w:line="360" w:lineRule="auto"/>
    </w:pPr>
    <w:rPr>
      <w:rFonts w:ascii="Tahoma" w:hAnsi="Tahoma"/>
      <w:sz w:val="24"/>
      <w:szCs w:val="24"/>
    </w:rPr>
  </w:style>
  <w:style w:type="paragraph" w:styleId="1059" w:customStyle="1">
    <w:name w:val="列出段落2"/>
    <w:basedOn w:val="777"/>
    <w:uiPriority w:val="0"/>
    <w:qFormat/>
    <w:pPr>
      <w:contextualSpacing/>
      <w:ind w:left="720"/>
      <w:jc w:val="left"/>
      <w:widowControl/>
    </w:pPr>
    <w:rPr>
      <w:rFonts w:ascii="Calibri" w:hAnsi="Calibri"/>
      <w:sz w:val="24"/>
      <w:szCs w:val="24"/>
      <w:lang w:eastAsia="en-US" w:bidi="en-US"/>
    </w:rPr>
  </w:style>
  <w:style w:type="paragraph" w:styleId="1060" w:customStyle="1">
    <w:name w:val="4"/>
    <w:basedOn w:val="777"/>
    <w:next w:val="1023"/>
    <w:uiPriority w:val="0"/>
    <w:qFormat/>
    <w:pPr>
      <w:ind w:firstLine="420"/>
      <w:spacing w:line="360" w:lineRule="auto"/>
    </w:pPr>
    <w:rPr>
      <w:color w:val="ff0000"/>
      <w:sz w:val="24"/>
      <w:szCs w:val="24"/>
    </w:rPr>
  </w:style>
  <w:style w:type="paragraph" w:styleId="1061" w:customStyle="1">
    <w:name w:val="普通 (Web)"/>
    <w:basedOn w:val="777"/>
    <w:uiPriority w:val="0"/>
    <w:qFormat/>
    <w:pPr>
      <w:jc w:val="left"/>
      <w:spacing w:before="100" w:beforeAutospacing="1" w:after="100" w:afterAutospacing="1"/>
      <w:widowControl/>
    </w:pPr>
    <w:rPr>
      <w:rFonts w:ascii="宋体" w:hAnsi="宋体"/>
      <w:sz w:val="24"/>
      <w:szCs w:val="24"/>
    </w:rPr>
  </w:style>
  <w:style w:type="paragraph" w:styleId="1062" w:customStyle="1">
    <w:name w:val="Char Char Char Char Char Char Char Char Char Char"/>
    <w:basedOn w:val="777"/>
    <w:uiPriority w:val="0"/>
    <w:qFormat/>
    <w:pPr>
      <w:spacing w:line="360" w:lineRule="auto"/>
    </w:pPr>
    <w:rPr>
      <w:sz w:val="24"/>
      <w:szCs w:val="20"/>
    </w:rPr>
  </w:style>
  <w:style w:type="paragraph" w:styleId="1063" w:customStyle="1">
    <w:name w:val="样式1"/>
    <w:basedOn w:val="777"/>
    <w:uiPriority w:val="0"/>
    <w:qFormat/>
    <w:pPr>
      <w:numPr>
        <w:ilvl w:val="0"/>
        <w:numId w:val="3"/>
      </w:numPr>
    </w:pPr>
    <w:rPr>
      <w:rFonts w:ascii="宋体" w:hAnsi="宋体"/>
    </w:rPr>
  </w:style>
  <w:style w:type="paragraph" w:styleId="1064" w:customStyle="1">
    <w:name w:val="font6"/>
    <w:basedOn w:val="777"/>
    <w:uiPriority w:val="0"/>
    <w:qFormat/>
    <w:pPr>
      <w:jc w:val="left"/>
      <w:spacing w:before="100" w:beforeAutospacing="1" w:after="100" w:afterAutospacing="1"/>
      <w:widowControl/>
    </w:pPr>
    <w:rPr>
      <w:rFonts w:hint="eastAsia" w:ascii="宋体" w:hAnsi="宋体"/>
      <w:sz w:val="28"/>
      <w:szCs w:val="28"/>
      <w:u w:val="single"/>
    </w:rPr>
  </w:style>
  <w:style w:type="paragraph" w:styleId="1065" w:customStyle="1">
    <w:name w:val="xl25"/>
    <w:basedOn w:val="77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6" w:customStyle="1">
    <w:name w:val="图标"/>
    <w:basedOn w:val="777"/>
    <w:next w:val="7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7" w:customStyle="1">
    <w:name w:val="标题3"/>
    <w:basedOn w:val="777"/>
    <w:next w:val="777"/>
    <w:uiPriority w:val="0"/>
    <w:qFormat/>
    <w:pPr>
      <w:ind w:firstLine="624"/>
      <w:spacing w:line="590" w:lineRule="atLeast"/>
    </w:pPr>
    <w:rPr>
      <w:rFonts w:ascii="方正黑体_GBK" w:eastAsia="方正黑体_GBK"/>
      <w:sz w:val="32"/>
      <w:szCs w:val="32"/>
    </w:rPr>
  </w:style>
  <w:style w:type="paragraph" w:styleId="1068" w:customStyle="1">
    <w:name w:val="xl24"/>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9" w:customStyle="1">
    <w:name w:val="xl29"/>
    <w:basedOn w:val="77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0" w:customStyle="1">
    <w:name w:val="Char 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071" w:customStyle="1">
    <w:name w:val="xl2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2" w:customStyle="1">
    <w:name w:val="Char Char Char Char Char Char Char Char1"/>
    <w:basedOn w:val="777"/>
    <w:uiPriority w:val="0"/>
    <w:qFormat/>
    <w:pPr>
      <w:jc w:val="left"/>
      <w:spacing w:after="160" w:line="240" w:lineRule="exact"/>
      <w:widowControl/>
    </w:pPr>
    <w:rPr>
      <w:rFonts w:ascii="Verdana" w:hAnsi="Verdana"/>
      <w:sz w:val="20"/>
      <w:szCs w:val="20"/>
      <w:lang w:eastAsia="en-US"/>
    </w:rPr>
  </w:style>
  <w:style w:type="paragraph" w:styleId="1073" w:customStyle="1">
    <w:name w:val="xl30"/>
    <w:basedOn w:val="777"/>
    <w:uiPriority w:val="0"/>
    <w:qFormat/>
    <w:pPr>
      <w:jc w:val="center"/>
      <w:spacing w:before="100" w:beforeAutospacing="1" w:after="100" w:afterAutospacing="1"/>
      <w:widowControl/>
    </w:pPr>
    <w:rPr>
      <w:rFonts w:ascii="宋体" w:hAnsi="宋体"/>
      <w:b/>
      <w:bCs/>
      <w:sz w:val="36"/>
      <w:szCs w:val="36"/>
    </w:rPr>
  </w:style>
  <w:style w:type="paragraph" w:styleId="1074" w:customStyle="1">
    <w:name w:val="Char Char Char Char1"/>
    <w:basedOn w:val="993"/>
    <w:uiPriority w:val="0"/>
    <w:qFormat/>
    <w:pPr>
      <w:spacing w:line="360" w:lineRule="auto"/>
    </w:pPr>
    <w:rPr>
      <w:rFonts w:ascii="Tahoma" w:hAnsi="Tahoma"/>
      <w:sz w:val="24"/>
      <w:szCs w:val="24"/>
    </w:rPr>
  </w:style>
  <w:style w:type="paragraph" w:styleId="1075" w:customStyle="1">
    <w:name w:val="table_1stline"/>
    <w:basedOn w:val="777"/>
    <w:uiPriority w:val="0"/>
    <w:qFormat/>
    <w:pPr>
      <w:jc w:val="left"/>
      <w:spacing w:before="120"/>
      <w:widowControl/>
    </w:pPr>
    <w:rPr>
      <w:bCs/>
      <w:sz w:val="20"/>
      <w:szCs w:val="20"/>
      <w:lang w:val="de-DE" w:eastAsia="de-DE"/>
    </w:rPr>
  </w:style>
  <w:style w:type="paragraph" w:styleId="1076" w:customStyle="1">
    <w:name w:val="font5"/>
    <w:basedOn w:val="777"/>
    <w:uiPriority w:val="0"/>
    <w:qFormat/>
    <w:pPr>
      <w:jc w:val="left"/>
      <w:spacing w:before="100" w:beforeAutospacing="1" w:after="100" w:afterAutospacing="1"/>
      <w:widowControl/>
    </w:pPr>
    <w:rPr>
      <w:rFonts w:hint="eastAsia" w:ascii="宋体" w:hAnsi="宋体"/>
      <w:sz w:val="28"/>
      <w:szCs w:val="28"/>
    </w:rPr>
  </w:style>
  <w:style w:type="paragraph" w:styleId="1077" w:customStyle="1">
    <w:name w:val="标题1"/>
    <w:basedOn w:val="777"/>
    <w:next w:val="7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8" w:customStyle="1">
    <w:name w:val="修订1"/>
    <w:uiPriority w:val="99"/>
    <w:semiHidden/>
    <w:qFormat/>
    <w:rPr>
      <w:rFonts w:ascii="Times New Roman" w:hAnsi="Times New Roman" w:eastAsia="宋体" w:cs="Times New Roman"/>
      <w:sz w:val="21"/>
      <w:szCs w:val="21"/>
      <w:lang w:val="en-US" w:eastAsia="zh-CN" w:bidi="ar-SA"/>
    </w:rPr>
  </w:style>
  <w:style w:type="paragraph" w:styleId="107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080" w:customStyle="1">
    <w:name w:val="font41"/>
    <w:uiPriority w:val="0"/>
    <w:qFormat/>
    <w:rPr>
      <w:rFonts w:ascii="Times New Roman" w:hAnsi="Times New Roman" w:cs="Times New Roman"/>
      <w:color w:val="000000"/>
      <w:sz w:val="20"/>
      <w:szCs w:val="20"/>
      <w:u w:val="none"/>
    </w:rPr>
  </w:style>
  <w:style w:type="character" w:styleId="1081" w:customStyle="1">
    <w:name w:val="font21"/>
    <w:uiPriority w:val="0"/>
    <w:qFormat/>
    <w:rPr>
      <w:rFonts w:hint="eastAsia" w:ascii="宋体" w:hAnsi="宋体" w:eastAsia="宋体" w:cs="宋体"/>
      <w:b/>
      <w:bCs/>
      <w:color w:val="000000"/>
      <w:sz w:val="20"/>
      <w:szCs w:val="20"/>
      <w:u w:val="none"/>
    </w:rPr>
  </w:style>
  <w:style w:type="character" w:styleId="1082" w:customStyle="1">
    <w:name w:val="font31"/>
    <w:uiPriority w:val="0"/>
    <w:qFormat/>
    <w:rPr>
      <w:rFonts w:ascii="Times New Roman" w:hAnsi="Times New Roman" w:cs="Times New Roman"/>
      <w:color w:val="000000"/>
      <w:sz w:val="20"/>
      <w:szCs w:val="20"/>
      <w:u w:val="none"/>
    </w:rPr>
  </w:style>
  <w:style w:type="paragraph" w:styleId="1083" w:customStyle="1">
    <w:name w:val="正文（缩进）"/>
    <w:basedOn w:val="777"/>
    <w:next w:val="777"/>
    <w:uiPriority w:val="0"/>
    <w:qFormat/>
    <w:pPr>
      <w:ind w:firstLine="480"/>
    </w:pPr>
  </w:style>
  <w:style w:type="character" w:styleId="1084" w:customStyle="1">
    <w:name w:val="批注框文本 Char1"/>
    <w:basedOn w:val="787"/>
    <w:link w:val="798"/>
    <w:uiPriority w:val="99"/>
    <w:semiHidden/>
    <w:qFormat/>
    <w:rPr>
      <w:sz w:val="18"/>
      <w:szCs w:val="18"/>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16</cp:revision>
  <dcterms:created xsi:type="dcterms:W3CDTF">2023-03-16T02:16:00Z</dcterms:created>
  <dcterms:modified xsi:type="dcterms:W3CDTF">2026-08-31T01:26:43Z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eyJoZGlkIjoiNWZiY2E1ODAzZmRlOGU1NGFmMGVmMjJhOTBmNDJmM2EiLCJ1c2VySWQiOiI1NzA0MTgyNDIifQ==</vt:lpwstr>
  </property>
  <property fmtid="{D5CDD505-2E9C-101B-9397-08002B2CF9AE}" pid="3" name="KSOProductBuildVer">
    <vt:lpwstr>2052-12.1.0.23542</vt:lpwstr>
  </property>
  <property fmtid="{D5CDD505-2E9C-101B-9397-08002B2CF9AE}" pid="4" name="ICV">
    <vt:lpwstr>BC7A0189D7494242A657CB08F32F27D3_13</vt:lpwstr>
  </property>
</Properties>
</file>