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86"/>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93"/>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南京市学生体质与健康管理平台及中小学食堂信息化管理平台融合改造及功能升级 </w:t>
      </w:r>
      <w:r>
        <w:rPr>
          <w:rFonts w:hint="eastAsia" w:ascii="Arial" w:hAnsi="Arial" w:cs="Times New Roman"/>
          <w:b/>
          <w:bCs/>
          <w:color w:val="000000"/>
          <w:sz w:val="32"/>
          <w:szCs w:val="24"/>
          <w:highlight w:val="none"/>
          <w:u w:val="single"/>
          <w:lang w:val="en-US" w:eastAsia="zh-CN"/>
        </w:rPr>
      </w:r>
      <w:r/>
    </w:p>
    <w:p>
      <w:pPr>
        <w:pStyle w:val="893"/>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w:t>
      </w:r>
      <w:r>
        <w:rPr>
          <w:rFonts w:hint="eastAsia" w:ascii="Times New Roman" w:hAnsi="Times New Roman" w:eastAsia="宋体" w:cs="Times New Roman"/>
          <w:b/>
          <w:i w:val="0"/>
          <w:iCs w:val="0"/>
          <w:caps w:val="0"/>
          <w:color w:val="000000"/>
          <w:spacing w:val="0"/>
          <w:sz w:val="32"/>
          <w:szCs w:val="32"/>
          <w:highlight w:val="none"/>
          <w:u w:val="none"/>
        </w:rPr>
        <w:t xml:space="preserve">JSZC-320100-JZCG-C2026-0231</w:t>
      </w:r>
      <w:r>
        <w:rPr>
          <w:color w:val="000000"/>
          <w:highlight w:val="none"/>
        </w:rPr>
      </w:r>
      <w:r/>
    </w:p>
    <w:p>
      <w:pPr>
        <w:pStyle w:val="893"/>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93"/>
        <w:ind w:left="0" w:right="0"/>
        <w:jc w:val="center"/>
        <w:keepLines w:val="0"/>
        <w:keepNext w:val="0"/>
        <w:spacing w:before="0" w:beforeAutospacing="0" w:after="0" w:afterAutospacing="0"/>
        <w:widowControl w:val="off"/>
        <w:rPr>
          <w:color w:val="000000"/>
          <w:highlight w:val="none"/>
        </w:rPr>
        <w:suppressLineNumbers w:val="0"/>
      </w:pPr>
      <w:r>
        <w:rPr>
          <w:color w:val="000000"/>
          <w:highlight w:val="none"/>
        </w:rPr>
      </w:r>
      <w:r/>
    </w:p>
    <w:p>
      <w:pPr>
        <w:pStyle w:val="893"/>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89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5"/>
        <w:rPr>
          <w:rFonts w:hint="eastAsia"/>
          <w:color w:val="000000"/>
          <w:highlight w:val="none"/>
        </w:rPr>
      </w:pPr>
      <w:r>
        <w:rPr>
          <w:rFonts w:hint="eastAsia"/>
          <w:color w:val="000000"/>
          <w:highlight w:val="none"/>
        </w:rPr>
      </w:r>
      <w:r/>
    </w:p>
    <w:p>
      <w:pPr>
        <w:pStyle w:val="89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6"/>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9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9</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89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9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93"/>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93"/>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93"/>
        <w:spacing w:line="480" w:lineRule="auto"/>
        <w:rPr>
          <w:rFonts w:hint="eastAsia" w:ascii="仿宋_GB2312" w:hAnsi="Arial" w:eastAsia="仿宋_GB2312"/>
          <w:b/>
          <w:color w:val="000000"/>
          <w:sz w:val="28"/>
          <w:szCs w:val="21"/>
          <w:highlight w:val="none"/>
        </w:rPr>
      </w:pPr>
      <w:r/>
      <w:bookmarkStart w:id="0" w:name="_Toc16938516"/>
      <w:r/>
      <w:bookmarkStart w:id="1" w:name="_Toc523127445"/>
      <w:r/>
      <w:bookmarkStart w:id="2" w:name="_Toc479757206"/>
      <w:r/>
      <w:bookmarkStart w:id="3" w:name="_Toc513029200"/>
      <w:r/>
      <w:bookmarkStart w:id="4" w:name="_Toc20823272"/>
      <w:r/>
      <w:bookmarkStart w:id="5" w:name="_Toc120614210"/>
      <w:r>
        <w:rPr>
          <w:rFonts w:hint="eastAsia" w:ascii="仿宋_GB2312" w:hAnsi="Arial" w:eastAsia="仿宋_GB2312"/>
          <w:b/>
          <w:color w:val="000000"/>
          <w:sz w:val="28"/>
          <w:szCs w:val="21"/>
          <w:highlight w:val="none"/>
        </w:rPr>
      </w:r>
      <w:r/>
    </w:p>
    <w:p>
      <w:pPr>
        <w:pStyle w:val="893"/>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rPr>
        <w:t xml:space="preserve">2</w:t>
      </w:r>
      <w:r/>
    </w:p>
    <w:p>
      <w:pPr>
        <w:pStyle w:val="893"/>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rPr>
        <w:t xml:space="preserve">4</w:t>
      </w:r>
      <w:r/>
    </w:p>
    <w:p>
      <w:pPr>
        <w:pStyle w:val="893"/>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14</w:t>
      </w:r>
      <w:r/>
    </w:p>
    <w:p>
      <w:pPr>
        <w:pStyle w:val="893"/>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17</w:t>
      </w:r>
      <w:r/>
    </w:p>
    <w:p>
      <w:pPr>
        <w:pStyle w:val="893"/>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rPr>
        <w:t xml:space="preserve">31</w:t>
      </w:r>
      <w:r/>
    </w:p>
    <w:p>
      <w:pPr>
        <w:pStyle w:val="893"/>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rPr>
        <w:t xml:space="preserve">36</w:t>
      </w:r>
      <w:r/>
    </w:p>
    <w:p>
      <w:pPr>
        <w:pStyle w:val="89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9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9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93"/>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93"/>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u w:val="none"/>
        </w:rPr>
        <w:t xml:space="preserve">JSZC-320100-JZCG-C2026-0231</w:t>
      </w:r>
      <w:r>
        <w:rPr>
          <w:rFonts w:ascii="宋体" w:hAnsi="宋体"/>
          <w:color w:val="000000"/>
          <w:sz w:val="24"/>
          <w:szCs w:val="24"/>
          <w:highlight w:val="none"/>
        </w:rPr>
      </w:r>
      <w:r/>
    </w:p>
    <w:p>
      <w:pPr>
        <w:pStyle w:val="893"/>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南京市学生体质与健康管理平台及中小学食堂信息化管理平台融合改造及功能升级</w:t>
      </w:r>
      <w:r>
        <w:rPr>
          <w:rFonts w:hint="eastAsia" w:ascii="宋体" w:hAnsi="宋体" w:eastAsia="宋体"/>
          <w:color w:val="000000"/>
          <w:sz w:val="24"/>
          <w:szCs w:val="24"/>
          <w:highlight w:val="none"/>
          <w:lang w:eastAsia="zh-CN"/>
        </w:rPr>
      </w:r>
      <w:r/>
    </w:p>
    <w:p>
      <w:pPr>
        <w:pStyle w:val="893"/>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u w:val="none"/>
          <w:lang w:val="en-US" w:eastAsia="zh-CN"/>
        </w:rPr>
        <w:t xml:space="preserve">113.23</w:t>
      </w:r>
      <w:r>
        <w:rPr>
          <w:rFonts w:hint="eastAsia" w:ascii="宋体" w:hAnsi="宋体" w:eastAsia="宋体"/>
          <w:color w:val="000000"/>
          <w:sz w:val="24"/>
          <w:szCs w:val="24"/>
          <w:highlight w:val="none"/>
          <w:u w:val="none"/>
          <w:lang w:val="en-US" w:eastAsia="zh-CN"/>
        </w:rPr>
        <w:t xml:space="preserve">万元</w:t>
      </w:r>
      <w:r>
        <w:rPr>
          <w:rFonts w:ascii="宋体" w:hAnsi="宋体"/>
          <w:color w:val="000000"/>
          <w:sz w:val="24"/>
          <w:szCs w:val="24"/>
          <w:highlight w:val="none"/>
          <w:lang w:val="en-US" w:eastAsia="zh-CN"/>
        </w:rPr>
      </w:r>
      <w:r/>
    </w:p>
    <w:p>
      <w:pPr>
        <w:pStyle w:val="893"/>
        <w:ind w:firstLine="480"/>
        <w:pageBreakBefore w:val="0"/>
        <w:spacing w:line="240" w:lineRule="auto"/>
        <w:widowControl w:val="off"/>
        <w:rPr>
          <w:rFonts w:hint="eastAsia" w:ascii="宋体" w:hAnsi="宋体" w:eastAsia="宋体" w:cs="宋体"/>
          <w:color w:val="000000"/>
          <w:sz w:val="24"/>
          <w:szCs w:val="24"/>
          <w:highlight w:val="none"/>
          <w:u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u w:val="none"/>
          <w:lang w:val="en-US" w:eastAsia="zh-CN"/>
        </w:rPr>
        <w:t xml:space="preserve">113.23</w:t>
      </w:r>
      <w:r>
        <w:rPr>
          <w:rFonts w:hint="eastAsia" w:ascii="宋体" w:hAnsi="宋体" w:eastAsia="宋体"/>
          <w:color w:val="000000"/>
          <w:sz w:val="24"/>
          <w:szCs w:val="24"/>
          <w:highlight w:val="none"/>
          <w:u w:val="none"/>
          <w:lang w:val="en-US" w:eastAsia="zh-CN"/>
        </w:rPr>
        <w:t xml:space="preserve">万元</w:t>
      </w:r>
      <w:r>
        <w:rPr>
          <w:rFonts w:hint="eastAsia" w:ascii="宋体" w:hAnsi="宋体" w:eastAsia="宋体" w:cs="宋体"/>
          <w:color w:val="000000"/>
          <w:sz w:val="24"/>
          <w:szCs w:val="24"/>
          <w:highlight w:val="none"/>
          <w:u w:val="none"/>
        </w:rPr>
      </w:r>
      <w:r/>
    </w:p>
    <w:p>
      <w:pPr>
        <w:pStyle w:val="893"/>
        <w:ind w:firstLine="480"/>
        <w:pageBreakBefore w:val="0"/>
        <w:spacing w:line="24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5.采购需求（简介）：</w:t>
      </w:r>
      <w:r>
        <w:rPr>
          <w:rFonts w:hint="eastAsia" w:ascii="宋体" w:hAnsi="宋体"/>
          <w:color w:val="000000"/>
          <w:sz w:val="24"/>
          <w:szCs w:val="24"/>
          <w:highlight w:val="none"/>
          <w:u w:val="none"/>
          <w:lang w:val="en-US" w:eastAsia="zh-CN"/>
        </w:rPr>
        <w:t xml:space="preserve">技术架构国产化：实现从基础软硬件到应用系统的全栈国产化，消除对国外技术的依赖。业务服务优化：在保障现有体检、体测、视力防控、食品安全监控等核心业务稳定运行的基础上，新增食堂信息化管理系统，持续优化业务流程。数据安全保障：建立完善的数据安全保护体系，确保学生健康数据、食堂食品溯源信息等的安全存储、规范使用和可靠传输。平台运维保障：构建科学完善的运维管理体系，实现系统的稳定运行和高效管理。</w:t>
      </w:r>
      <w:r>
        <w:rPr>
          <w:rFonts w:hint="eastAsia" w:ascii="宋体" w:hAnsi="宋体" w:cs="宋体"/>
          <w:color w:val="000000"/>
          <w:sz w:val="24"/>
          <w:szCs w:val="24"/>
          <w:highlight w:val="none"/>
          <w:u w:val="none"/>
        </w:rPr>
        <w:t xml:space="preserve">（详细内容见本</w:t>
      </w:r>
      <w:r>
        <w:rPr>
          <w:rFonts w:hint="eastAsia" w:ascii="宋体" w:hAnsi="宋体" w:cs="宋体"/>
          <w:color w:val="000000"/>
          <w:sz w:val="24"/>
          <w:szCs w:val="24"/>
          <w:highlight w:val="none"/>
          <w:u w:val="none"/>
          <w:lang w:eastAsia="zh-CN"/>
        </w:rPr>
        <w:t xml:space="preserve">磋商</w:t>
      </w:r>
      <w:r>
        <w:rPr>
          <w:rFonts w:hint="eastAsia" w:ascii="宋体" w:hAnsi="宋体" w:cs="宋体"/>
          <w:color w:val="000000"/>
          <w:sz w:val="24"/>
          <w:szCs w:val="24"/>
          <w:highlight w:val="none"/>
          <w:u w:val="none"/>
        </w:rPr>
        <w:t xml:space="preserve">文件第四章） </w:t>
      </w:r>
      <w:r>
        <w:rPr>
          <w:rFonts w:ascii="宋体" w:hAnsi="宋体"/>
          <w:color w:val="000000"/>
          <w:sz w:val="24"/>
          <w:szCs w:val="24"/>
          <w:highlight w:val="none"/>
          <w:u w:val="none"/>
        </w:rPr>
      </w:r>
      <w:r/>
    </w:p>
    <w:p>
      <w:pPr>
        <w:pStyle w:val="893"/>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u w:val="none"/>
          <w:lang w:val="en-US" w:eastAsia="zh-CN"/>
        </w:rPr>
        <w:t xml:space="preserve">210天（系统开发时间为签订合同后180天）。</w:t>
      </w:r>
      <w:r>
        <w:rPr>
          <w:rFonts w:ascii="宋体" w:hAnsi="宋体" w:eastAsia="宋体" w:cs="宋体"/>
          <w:color w:val="000000"/>
          <w:sz w:val="24"/>
          <w:szCs w:val="24"/>
          <w:highlight w:val="none"/>
          <w:lang w:val="en-US" w:eastAsia="zh-CN"/>
        </w:rPr>
      </w:r>
      <w:r/>
    </w:p>
    <w:p>
      <w:pPr>
        <w:pStyle w:val="89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93"/>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highlight w:val="none"/>
          <w:lang w:val="en-US"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highlight w:val="none"/>
          <w:lang w:val="en-US" w:eastAsia="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93"/>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9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9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93"/>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本项目专门面向中小微企业采购，</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00"/>
          <w:sz w:val="24"/>
          <w:szCs w:val="24"/>
          <w:highlight w:val="none"/>
          <w:lang w:val="zh-CN"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9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89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893"/>
        <w:spacing w:line="240" w:lineRule="auto"/>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cs="宋体"/>
          <w:b w:val="0"/>
          <w:bCs w:val="0"/>
          <w:color w:val="000000"/>
          <w:sz w:val="24"/>
          <w:szCs w:val="24"/>
          <w:highlight w:val="none"/>
          <w:u w:val="none"/>
          <w:lang w:val="en-US" w:eastAsia="zh-CN"/>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highlight w:val="none"/>
          <w:u w:val="none"/>
        </w:rPr>
        <w:t xml:space="preserve">年9</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14</w:t>
      </w:r>
      <w:r>
        <w:rPr>
          <w:rFonts w:hint="eastAsia" w:ascii="宋体" w:hAnsi="宋体"/>
          <w:b w:val="0"/>
          <w:bCs w:val="0"/>
          <w:color w:val="000000"/>
          <w:sz w:val="24"/>
          <w:szCs w:val="24"/>
          <w:highlight w:val="none"/>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93"/>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9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 </w:t>
      </w:r>
      <w:r>
        <w:rPr>
          <w:rFonts w:hint="eastAsia" w:ascii="宋体" w:hAnsi="宋体" w:eastAsia="宋体" w:cs="Times New Roman"/>
          <w:color w:val="000000"/>
          <w:sz w:val="24"/>
          <w:szCs w:val="24"/>
          <w:highlight w:val="none"/>
          <w:lang w:val="en-US" w:eastAsia="zh-CN"/>
        </w:rPr>
      </w:r>
      <w:r/>
    </w:p>
    <w:p>
      <w:pPr>
        <w:pStyle w:val="893"/>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93"/>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93"/>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93"/>
        <w:ind w:firstLine="480"/>
        <w:spacing w:line="240"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s="Times New Roman"/>
          <w:b w:val="0"/>
          <w:bCs w:val="0"/>
          <w:color w:val="000000"/>
          <w:sz w:val="24"/>
          <w:highlight w:val="none"/>
          <w:lang w:val="en-US" w:eastAsia="zh-CN"/>
        </w:rPr>
        <w:t xml:space="preserve">王倩</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cs="Times New Roman"/>
          <w:color w:val="000000"/>
          <w:sz w:val="24"/>
          <w:szCs w:val="21"/>
          <w:highlight w:val="none"/>
          <w:u w:val="none"/>
          <w:lang w:val="en-US" w:eastAsia="zh-CN"/>
        </w:rPr>
        <w:t xml:space="preserve">秦淮</w:t>
      </w:r>
      <w:r>
        <w:rPr>
          <w:rFonts w:hint="eastAsia" w:ascii="宋体" w:hAnsi="宋体" w:eastAsia="宋体" w:cs="Times New Roman"/>
          <w:color w:val="000000"/>
          <w:sz w:val="24"/>
          <w:szCs w:val="21"/>
          <w:highlight w:val="none"/>
          <w:u w:val="none"/>
          <w:lang w:val="en-US" w:eastAsia="zh-CN"/>
        </w:rPr>
        <w:t xml:space="preserve">区</w:t>
      </w:r>
      <w:r>
        <w:rPr>
          <w:rFonts w:hint="eastAsia" w:ascii="宋体" w:hAnsi="宋体" w:cs="Times New Roman"/>
          <w:color w:val="000000"/>
          <w:sz w:val="24"/>
          <w:szCs w:val="21"/>
          <w:highlight w:val="none"/>
          <w:u w:val="none"/>
          <w:lang w:val="en-US" w:eastAsia="zh-CN"/>
        </w:rPr>
        <w:t xml:space="preserve">马府街18</w:t>
      </w:r>
      <w:r>
        <w:rPr>
          <w:rFonts w:hint="eastAsia" w:ascii="宋体" w:hAnsi="宋体" w:eastAsia="宋体" w:cs="Times New Roman"/>
          <w:color w:val="000000"/>
          <w:sz w:val="24"/>
          <w:szCs w:val="21"/>
          <w:highlight w:val="none"/>
          <w:u w:val="none"/>
          <w:lang w:val="en-US" w:eastAsia="zh-CN"/>
        </w:rPr>
        <w:t xml:space="preserve">号</w:t>
      </w:r>
      <w:r>
        <w:rPr>
          <w:rFonts w:hint="eastAsia" w:ascii="宋体" w:hAnsi="宋体" w:cs="Times New Roman"/>
          <w:color w:val="000000"/>
          <w:sz w:val="24"/>
          <w:szCs w:val="21"/>
          <w:highlight w:val="none"/>
          <w:u w:val="none"/>
          <w:lang w:val="en-US" w:eastAsia="zh-CN"/>
        </w:rPr>
        <w:t xml:space="preserve">西楼409</w:t>
      </w:r>
      <w:r>
        <w:rPr>
          <w:rFonts w:hint="eastAsia" w:ascii="宋体" w:hAnsi="宋体" w:eastAsia="宋体" w:cs="Times New Roman"/>
          <w:color w:val="000000"/>
          <w:sz w:val="24"/>
          <w:szCs w:val="21"/>
          <w:highlight w:val="none"/>
          <w:u w:val="none"/>
          <w:lang w:val="en-US" w:eastAsia="zh-CN"/>
        </w:rPr>
        <w:t xml:space="preserve">室</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s="Times New Roman"/>
          <w:b w:val="0"/>
          <w:bCs w:val="0"/>
          <w:color w:val="000000"/>
          <w:sz w:val="24"/>
          <w:highlight w:val="none"/>
          <w:lang w:val="en-US" w:eastAsia="zh-CN"/>
        </w:rPr>
        <w:t xml:space="preserve">13770631902</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93"/>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6" w:name="_Toc28359086"/>
      <w:r/>
      <w:bookmarkStart w:id="7" w:name="_Toc28359009"/>
      <w:r>
        <w:rPr>
          <w:rFonts w:hint="eastAsia" w:ascii="宋体" w:hAnsi="宋体" w:eastAsia="宋体" w:cs="Times New Roman"/>
          <w:color w:val="000000"/>
          <w:sz w:val="24"/>
          <w:szCs w:val="24"/>
          <w:highlight w:val="none"/>
          <w:u w:val="none"/>
          <w:lang w:val="en-US" w:eastAsia="zh-CN"/>
        </w:rPr>
        <w:t xml:space="preserve">名  称：南京市中小学卫生保健所</w:t>
      </w:r>
      <w:r>
        <w:rPr>
          <w:rFonts w:hint="eastAsia"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址：南京市秦淮区马府街18号</w:t>
      </w:r>
      <w:r>
        <w:rPr>
          <w:rFonts w:hint="eastAsia"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联系人：张老师</w:t>
      </w:r>
      <w:r>
        <w:rPr>
          <w:rFonts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联系电话：025-84501583</w:t>
      </w:r>
      <w:r>
        <w:rPr>
          <w:rFonts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Pr>
          <w:rFonts w:hint="eastAsia"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r>
      <w:r/>
    </w:p>
    <w:p>
      <w:pPr>
        <w:pStyle w:val="893"/>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ascii="宋体" w:hAnsi="宋体" w:eastAsia="宋体" w:cs="Times New Roman"/>
          <w:color w:val="000000"/>
          <w:sz w:val="24"/>
          <w:szCs w:val="24"/>
          <w:highlight w:val="none"/>
          <w:u w:val="none"/>
          <w:lang w:val="en-US" w:eastAsia="zh-CN"/>
        </w:rPr>
      </w:r>
      <w:r/>
    </w:p>
    <w:p>
      <w:pPr>
        <w:pStyle w:val="893"/>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 w:name="_Hlt16619475"/>
      <w:r/>
      <w:bookmarkEnd w:id="8"/>
      <w:r/>
      <w:bookmarkStart w:id="9" w:name="_Toc458694821"/>
      <w:r/>
      <w:bookmarkStart w:id="10" w:name="_Toc16938520"/>
      <w:r/>
      <w:bookmarkStart w:id="11" w:name="_Toc20823276"/>
      <w:r/>
      <w:bookmarkStart w:id="12" w:name="_Toc513029204"/>
      <w:r>
        <w:rPr>
          <w:rFonts w:hint="eastAsia" w:ascii="方正楷体_GBK" w:hAnsi="方正楷体_GBK" w:eastAsia="方正楷体_GBK" w:cs="方正楷体_GBK"/>
          <w:b/>
          <w:bCs/>
          <w:color w:val="000000"/>
          <w:sz w:val="28"/>
          <w:szCs w:val="28"/>
          <w:highlight w:val="none"/>
          <w:lang w:val="en-US" w:eastAsia="zh-CN"/>
        </w:rPr>
        <w:t xml:space="preserve">1</w:t>
      </w:r>
      <w:bookmarkEnd w:id="9"/>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0"/>
      <w:r/>
      <w:bookmarkEnd w:id="11"/>
      <w:r/>
      <w:bookmarkEnd w:id="12"/>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 w:name="_Toc20823277"/>
      <w:r/>
      <w:bookmarkStart w:id="14" w:name="_Toc16938521"/>
      <w:r/>
      <w:bookmarkStart w:id="15" w:name="_Toc513029205"/>
      <w:r>
        <w:rPr>
          <w:rFonts w:hint="eastAsia" w:ascii="方正楷体_GBK" w:hAnsi="方正楷体_GBK" w:eastAsia="方正楷体_GBK" w:cs="方正楷体_GBK"/>
          <w:b/>
          <w:bCs/>
          <w:color w:val="000000"/>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6" w:name="_Toc20823278"/>
      <w:r/>
      <w:bookmarkStart w:id="17" w:name="_Toc513029206"/>
      <w:r/>
      <w:bookmarkStart w:id="18" w:name="_Toc16938522"/>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16"/>
      <w:r/>
      <w:bookmarkEnd w:id="17"/>
      <w:r/>
      <w:bookmarkEnd w:id="18"/>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9" w:name="_Toc20823279"/>
      <w:r/>
      <w:bookmarkStart w:id="20" w:name="_Toc462564067"/>
      <w:r/>
      <w:bookmarkStart w:id="21" w:name="_Toc513029207"/>
      <w:r/>
      <w:bookmarkStart w:id="22" w:name="_Toc16938523"/>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19"/>
      <w:r/>
      <w:bookmarkEnd w:id="20"/>
      <w:r/>
      <w:bookmarkEnd w:id="21"/>
      <w:r/>
      <w:bookmarkEnd w:id="22"/>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120614215"/>
      <w:r/>
      <w:bookmarkStart w:id="24" w:name="_Toc513029209"/>
      <w:r/>
      <w:bookmarkStart w:id="25" w:name="_Toc20823281"/>
      <w:r/>
      <w:bookmarkStart w:id="26" w:name="_Toc16938525"/>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7" w:name="_Toc20823282"/>
      <w:r/>
      <w:bookmarkStart w:id="28" w:name="_Toc513029210"/>
      <w:r/>
      <w:bookmarkStart w:id="29" w:name="_Toc16938526"/>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27"/>
      <w:r/>
      <w:bookmarkEnd w:id="28"/>
      <w:r/>
      <w:bookmarkEnd w:id="29"/>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0" w:name="_Toc16938527"/>
      <w:r/>
      <w:bookmarkStart w:id="31" w:name="_Toc513029211"/>
      <w:r/>
      <w:bookmarkStart w:id="32" w:name="_Toc462564070"/>
      <w:r/>
      <w:bookmarkStart w:id="33" w:name="_Toc20823283"/>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color w:val="000000"/>
          <w:sz w:val="28"/>
          <w:szCs w:val="28"/>
          <w:highlight w:val="none"/>
          <w:lang w:val="en-US" w:eastAsia="zh-CN"/>
        </w:rPr>
        <w:t xml:space="preserve">或修改</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9.响应文件构成</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4" w:name="_Hlt26668975"/>
      <w:r/>
      <w:bookmarkEnd w:id="34"/>
      <w:r/>
      <w:bookmarkStart w:id="35" w:name="_Hlt26670360"/>
      <w:r/>
      <w:bookmarkEnd w:id="35"/>
      <w:r/>
      <w:bookmarkStart w:id="36" w:name="_Hlt26954838"/>
      <w:r/>
      <w:bookmarkEnd w:id="36"/>
      <w:r>
        <w:rPr>
          <w:rFonts w:hint="eastAsia" w:ascii="方正楷体_GBK" w:hAnsi="方正楷体_GBK" w:eastAsia="方正楷体_GBK" w:cs="方正楷体_GBK"/>
          <w:b/>
          <w:bCs/>
          <w:color w:val="000000"/>
          <w:sz w:val="28"/>
          <w:szCs w:val="28"/>
          <w:highlight w:val="none"/>
          <w:lang w:val="en-US" w:eastAsia="zh-CN"/>
        </w:rPr>
        <w:t xml:space="preserve">10.磋商报价</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93"/>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7" w:name="_Hlt26954731"/>
      <w:r/>
      <w:bookmarkEnd w:id="37"/>
      <w:r/>
      <w:bookmarkStart w:id="38" w:name="_Hlt26954846"/>
      <w:r/>
      <w:bookmarkEnd w:id="38"/>
      <w:r/>
      <w:bookmarkStart w:id="39" w:name="_Hlt26670482"/>
      <w:r/>
      <w:bookmarkEnd w:id="39"/>
      <w:r/>
      <w:bookmarkStart w:id="40" w:name="_Hlt26954848"/>
      <w:r/>
      <w:bookmarkEnd w:id="40"/>
      <w:r/>
      <w:bookmarkStart w:id="41" w:name="_Hlt26670486"/>
      <w:r/>
      <w:bookmarkEnd w:id="41"/>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97"/>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12.磋商响应函和授权委托书</w:t>
      </w:r>
      <w:r>
        <w:rPr>
          <w:rFonts w:ascii="方正楷体_GBK" w:hAnsi="方正楷体_GBK" w:eastAsia="方正楷体_GBK" w:cs="方正楷体_GBK"/>
          <w:b/>
          <w:bCs/>
          <w:color w:val="000000"/>
          <w:sz w:val="28"/>
          <w:szCs w:val="28"/>
          <w:highlight w:val="none"/>
          <w:lang w:val="en-US" w:eastAsia="zh-CN"/>
        </w:rPr>
      </w:r>
      <w:r/>
    </w:p>
    <w:p>
      <w:pPr>
        <w:pStyle w:val="893"/>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2" w:name="_Toc49090511"/>
      <w:r/>
      <w:bookmarkStart w:id="43" w:name="_Toc14577360"/>
      <w:r>
        <w:rPr>
          <w:rFonts w:hint="eastAsia" w:ascii="方正楷体_GBK" w:hAnsi="方正楷体_GBK" w:eastAsia="方正楷体_GBK" w:cs="方正楷体_GBK"/>
          <w:b/>
          <w:bCs/>
          <w:color w:val="000000"/>
          <w:sz w:val="28"/>
          <w:szCs w:val="28"/>
          <w:highlight w:val="none"/>
          <w:lang w:val="en-US" w:eastAsia="zh-CN"/>
        </w:rPr>
        <w:t xml:space="preserve">13.磋商有效期</w:t>
      </w:r>
      <w:bookmarkEnd w:id="42"/>
      <w:r/>
      <w:bookmarkEnd w:id="43"/>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9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852"/>
      <w:r/>
      <w:bookmarkEnd w:id="44"/>
      <w:r/>
      <w:bookmarkStart w:id="45" w:name="_Hlt26954739"/>
      <w:r/>
      <w:bookmarkEnd w:id="45"/>
      <w:r/>
      <w:bookmarkStart w:id="46" w:name="_Toc20823296"/>
      <w:r/>
      <w:bookmarkStart w:id="47" w:name="_Toc16938540"/>
      <w:r/>
      <w:bookmarkStart w:id="48" w:name="_Toc120614217"/>
      <w:r/>
      <w:bookmarkStart w:id="49"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0" w:name="_Toc462564084"/>
      <w:r/>
      <w:bookmarkStart w:id="51" w:name="_Toc16938541"/>
      <w:r/>
      <w:bookmarkStart w:id="52" w:name="_Toc20823297"/>
      <w:r/>
      <w:bookmarkStart w:id="53" w:name="_Toc513029225"/>
      <w:r>
        <w:rPr>
          <w:rFonts w:hint="eastAsia" w:ascii="方正楷体_GBK" w:hAnsi="方正楷体_GBK" w:eastAsia="方正楷体_GBK" w:cs="方正楷体_GBK"/>
          <w:b/>
          <w:bCs/>
          <w:color w:val="000000"/>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20823298"/>
      <w:r/>
      <w:bookmarkStart w:id="55" w:name="_Toc513029226"/>
      <w:r/>
      <w:bookmarkStart w:id="56" w:name="_Toc16938542"/>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4"/>
      <w:r/>
      <w:bookmarkEnd w:id="55"/>
      <w:r/>
      <w:bookmarkEnd w:id="5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7" w:name="_Toc16938544"/>
      <w:r/>
      <w:bookmarkStart w:id="58" w:name="_Toc20823300"/>
      <w:r/>
      <w:bookmarkStart w:id="59" w:name="_Toc513029228"/>
      <w:r>
        <w:rPr>
          <w:rFonts w:hint="eastAsia" w:ascii="方正楷体_GBK" w:hAnsi="方正楷体_GBK" w:eastAsia="方正楷体_GBK" w:cs="方正楷体_GBK"/>
          <w:b/>
          <w:bCs/>
          <w:color w:val="000000"/>
          <w:sz w:val="28"/>
          <w:szCs w:val="28"/>
          <w:highlight w:val="none"/>
          <w:lang w:val="en-US" w:eastAsia="zh-CN"/>
        </w:rPr>
        <w:t xml:space="preserve">16.响应文件的撤回和修改</w:t>
      </w:r>
      <w:bookmarkEnd w:id="57"/>
      <w:r/>
      <w:bookmarkEnd w:id="58"/>
      <w:r/>
      <w:bookmarkEnd w:id="59"/>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20823301"/>
      <w:r/>
      <w:bookmarkStart w:id="61" w:name="_Toc513029229"/>
      <w:r/>
      <w:bookmarkStart w:id="62" w:name="_Toc16938545"/>
      <w:r/>
      <w:bookmarkStart w:id="63"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4" w:name="_Toc16938548"/>
      <w:r/>
      <w:bookmarkStart w:id="65" w:name="_Toc20823304"/>
      <w:r/>
      <w:bookmarkStart w:id="66" w:name="_Toc513029232"/>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64"/>
      <w:r/>
      <w:bookmarkEnd w:id="65"/>
      <w:r/>
      <w:bookmarkEnd w:id="66"/>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7" w:name="_Toc513029233"/>
      <w:r/>
      <w:bookmarkStart w:id="68" w:name="_Toc16938549"/>
      <w:r/>
      <w:bookmarkStart w:id="69" w:name="_Toc20823305"/>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9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9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9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9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9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9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9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9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9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93"/>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893"/>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磋商文件另有约定的除外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本磋商</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93"/>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89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89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89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89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89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93"/>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23.磋商程序及采购活动终止</w:t>
      </w:r>
      <w:r>
        <w:rPr>
          <w:rFonts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20823307"/>
      <w:r/>
      <w:bookmarkStart w:id="71" w:name="_Toc16938551"/>
      <w:r/>
      <w:bookmarkStart w:id="72" w:name="_Toc120614219"/>
      <w:r/>
      <w:bookmarkStart w:id="73"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93"/>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4" w:name="_Toc513029238"/>
      <w:r/>
      <w:bookmarkStart w:id="75" w:name="_Toc20823310"/>
      <w:r/>
      <w:bookmarkStart w:id="76"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74"/>
      <w:r>
        <w:rPr>
          <w:rFonts w:hint="eastAsia" w:ascii="方正楷体_GBK" w:hAnsi="方正楷体_GBK" w:eastAsia="方正楷体_GBK" w:cs="方正楷体_GBK"/>
          <w:b/>
          <w:bCs/>
          <w:color w:val="000000"/>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7" w:name="_Toc200451960"/>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9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93"/>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93"/>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9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000000"/>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9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97"/>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9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93"/>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9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93"/>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93"/>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9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89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97"/>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7"/>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9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9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9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9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97"/>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93"/>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97"/>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9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9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97"/>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9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9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9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9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9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9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93"/>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9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9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9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9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93"/>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93"/>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93"/>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93"/>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3"/>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9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97"/>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893"/>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893"/>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893"/>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893"/>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90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9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0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93"/>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89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73"/>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9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9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9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9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9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3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3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2"/>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893"/>
        <w:spacing w:line="240" w:lineRule="auto"/>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完成现有功能的保留与优化及新增</w:t>
      </w:r>
      <w:r>
        <w:rPr>
          <w:rFonts w:hint="eastAsia" w:ascii="宋体" w:hAnsi="宋体" w:eastAsia="宋体" w:cs="Courier New"/>
          <w:b w:val="0"/>
          <w:bCs w:val="0"/>
          <w:color w:val="000000"/>
          <w:sz w:val="24"/>
          <w:szCs w:val="24"/>
          <w:highlight w:val="none"/>
          <w:u w:val="none"/>
          <w:lang w:val="en-US" w:eastAsia="zh-CN"/>
        </w:rPr>
        <w:t xml:space="preserve">食堂信息化管理系统功能开发</w:t>
      </w:r>
      <w:r>
        <w:rPr>
          <w:rFonts w:hint="eastAsia" w:ascii="宋体" w:hAnsi="宋体" w:eastAsia="宋体" w:cs="Courier New"/>
          <w:color w:val="000000"/>
          <w:sz w:val="24"/>
          <w:szCs w:val="24"/>
          <w:highlight w:val="none"/>
          <w:lang w:val="en-US" w:eastAsia="zh-CN"/>
        </w:rPr>
        <w:t xml:space="preserve">，经甲方阶段性验收合格后，支付合同总价的50%。</w:t>
      </w:r>
      <w:r>
        <w:rPr>
          <w:rFonts w:ascii="宋体" w:hAnsi="宋体" w:eastAsia="宋体" w:cs="Courier New"/>
          <w:color w:val="000000"/>
          <w:sz w:val="24"/>
          <w:szCs w:val="24"/>
          <w:highlight w:val="none"/>
          <w:lang w:val="en-US" w:eastAsia="zh-CN"/>
        </w:rPr>
      </w:r>
      <w:r/>
    </w:p>
    <w:p>
      <w:pPr>
        <w:pStyle w:val="936"/>
        <w:keepLines w:val="0"/>
        <w:keepNext w:val="0"/>
        <w:pageBreakBefore w:val="0"/>
        <w:spacing w:before="0" w:after="0" w:line="264" w:lineRule="auto"/>
        <w:widowControl w:val="off"/>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系统开发完成并验收合格后，甲方支付合同总价款的20%。</w:t>
      </w:r>
      <w:r>
        <w:rPr>
          <w:rFonts w:hint="eastAsia"/>
          <w:color w:val="000000"/>
          <w:highlight w:val="none"/>
          <w:lang w:val="en-US" w:eastAsia="zh-CN"/>
        </w:rPr>
      </w:r>
      <w:r/>
    </w:p>
    <w:p>
      <w:pPr>
        <w:pStyle w:val="93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3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9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00"/>
          <w:sz w:val="24"/>
          <w:szCs w:val="24"/>
          <w:highlight w:val="none"/>
          <w:lang w:val="en-US" w:eastAsia="zh-CN"/>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93"/>
        <w:jc w:val="both"/>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Times New Roman"/>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Times New Roman"/>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Times New Roman"/>
          <w:color w:val="000000"/>
          <w:sz w:val="24"/>
          <w:szCs w:val="24"/>
          <w:highlight w:val="none"/>
          <w:u w:val="single"/>
          <w:lang w:val="en-US" w:eastAsia="zh-CN"/>
        </w:rPr>
        <w:t xml:space="preserve">百分之五</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9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Times New Roman"/>
          <w:color w:val="000000"/>
          <w:sz w:val="24"/>
          <w:szCs w:val="24"/>
          <w:highlight w:val="none"/>
          <w:u w:val="single"/>
          <w:lang w:val="en-US" w:eastAsia="zh-CN"/>
        </w:rPr>
        <w:t xml:space="preserve">万分之五</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w:t>
      </w:r>
      <w:r>
        <w:rPr>
          <w:rFonts w:hint="eastAsia" w:ascii="宋体" w:hAnsi="宋体" w:cs="Courier New"/>
          <w:color w:val="000000"/>
          <w:sz w:val="24"/>
          <w:szCs w:val="24"/>
          <w:highlight w:val="none"/>
          <w:lang w:val="en-US" w:eastAsia="zh-CN"/>
        </w:rPr>
        <w:t xml:space="preserve">累计违约金总额不超过合同总额</w:t>
      </w:r>
      <w:r>
        <w:rPr>
          <w:rFonts w:hint="eastAsia" w:ascii="宋体" w:hAnsi="宋体" w:eastAsia="宋体" w:cs="Times New Roman"/>
          <w:color w:val="000000"/>
          <w:sz w:val="24"/>
          <w:szCs w:val="24"/>
          <w:highlight w:val="none"/>
          <w:u w:val="single"/>
          <w:lang w:val="en-US" w:eastAsia="zh-CN"/>
        </w:rPr>
        <w:t xml:space="preserve">百分之五</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Courier New"/>
          <w:color w:val="000000"/>
          <w:sz w:val="24"/>
          <w:szCs w:val="24"/>
          <w:highlight w:val="none"/>
        </w:rPr>
        <w:t xml:space="preserve">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Times New Roman"/>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9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3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36"/>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3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3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36"/>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3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36"/>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36"/>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9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36"/>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101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8" w:name="_Toc120614244"/>
      <w:r/>
      <w:bookmarkStart w:id="79" w:name="_Toc20823346"/>
      <w:r/>
      <w:bookmarkStart w:id="80" w:name="_Hlt16619350"/>
      <w:r/>
      <w:bookmarkStart w:id="81" w:name="_Toc16938590"/>
      <w:r/>
      <w:bookmarkStart w:id="82" w:name="_Toc462564139"/>
      <w:r/>
      <w:bookmarkStart w:id="83" w:name="_Toc479757211"/>
      <w:r>
        <w:rPr>
          <w:rFonts w:hint="eastAsia" w:ascii="宋体" w:hAnsi="宋体" w:eastAsia="宋体" w:cs="Courier New"/>
          <w:color w:val="000000"/>
          <w:sz w:val="24"/>
          <w:szCs w:val="24"/>
          <w:highlight w:val="none"/>
          <w:lang w:val="en-US" w:eastAsia="zh-CN" w:bidi="ar-SA"/>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9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89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9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南京市现有学生体质与健康管理平台，支撑全市738所中小学、95万余名学生健康数据管理，涵盖体检、体测、视力防控、国网上报、家长端公众号等核心功能。平台当前技术架构过度依赖国外操作系统、数据库、中间件等产品，存在信息安全隐患，不符合国家信息技术应用创新（信创）战略要求。</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为响应国家、省市信创政策，落实教育数据安全管理要求，南京市中小学卫生保健所启动本项目，实现现有平台全栈国产化，替换国外软硬件、完成代码适配迁移，优化系统性能、数据安全及管理能力，打造自主可控、安全高效的学生健康管理平台。</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遵循国家、行业及地方现行的规范和标准。</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1.政策法规依据</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（1）《中华人民共和国网络安全法》</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（2）《中华人民共和国数据安全法》</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（3）《中华人民共和国个人信息保护法》</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2.技术标准依据</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（1）《网络安全等级保护基本要求》（GB/T 22239-2019）</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（2）《信息安全技术信息系统密码应用基本要求》（GB/T 39786-2021）</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（3）《个人信息安全规范》（GB/T 35273-2023）</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（4）《GM/T系列密码行业标准》</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3.地方政策依据</w:t>
      </w:r>
      <w:r>
        <w:rPr>
          <w:rFonts w:hint="eastAsia" w:ascii="宋体" w:hAnsi="宋体" w:eastAsia="宋体" w:cs="Times New Roman"/>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江苏省、南京市政务信息化、信创改造及教育健康管理相关政策文件。</w:t>
      </w:r>
      <w:r>
        <w:rPr>
          <w:rFonts w:hint="eastAsia" w:ascii="宋体" w:hAnsi="宋体" w:eastAsia="宋体" w:cs="Times New Roman"/>
          <w:bCs w:val="0"/>
          <w:color w:val="000000"/>
          <w:sz w:val="24"/>
          <w:szCs w:val="24"/>
          <w:highlight w:val="none"/>
          <w:lang w:val="en-US" w:eastAsia="zh-CN"/>
        </w:rPr>
      </w:r>
      <w:r/>
    </w:p>
    <w:p>
      <w:pPr>
        <w:pStyle w:val="893"/>
        <w:ind w:firstLine="480"/>
        <w:spacing w:line="264" w:lineRule="auto"/>
        <w:rPr>
          <w:rFonts w:hint="eastAsia" w:ascii="宋体" w:hAnsi="宋体" w:eastAsia="宋体" w:cs="Times New Roman"/>
          <w:bCs w:val="0"/>
          <w:color w:val="000000"/>
          <w:sz w:val="24"/>
          <w:szCs w:val="24"/>
          <w:highlight w:val="none"/>
          <w:lang w:val="en-US" w:eastAsia="zh-CN"/>
        </w:rPr>
      </w:pPr>
      <w:r>
        <w:rPr>
          <w:rFonts w:hint="eastAsia" w:ascii="宋体" w:hAnsi="宋体" w:cs="Times New Roman"/>
          <w:bCs w:val="0"/>
          <w:color w:val="000000"/>
          <w:sz w:val="24"/>
          <w:szCs w:val="24"/>
          <w:highlight w:val="none"/>
          <w:lang w:val="en-US" w:eastAsia="zh-CN"/>
        </w:rPr>
        <w:t xml:space="preserve">磋商文件</w:t>
      </w:r>
      <w:r>
        <w:rPr>
          <w:rFonts w:hint="eastAsia" w:ascii="宋体" w:hAnsi="宋体" w:eastAsia="宋体" w:cs="Times New Roman"/>
          <w:bCs w:val="0"/>
          <w:color w:val="000000"/>
          <w:sz w:val="24"/>
          <w:szCs w:val="24"/>
          <w:highlight w:val="none"/>
        </w:rPr>
        <w:t xml:space="preserve">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en-US" w:eastAsia="zh-CN"/>
        </w:rPr>
      </w:r>
      <w:r/>
    </w:p>
    <w:p>
      <w:pPr>
        <w:pStyle w:val="893"/>
        <w:numPr>
          <w:ilvl w:val="0"/>
          <w:numId w:val="6"/>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12"/>
        <w:tblW w:w="510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07"/>
        <w:gridCol w:w="2470"/>
        <w:gridCol w:w="989"/>
        <w:gridCol w:w="861"/>
        <w:gridCol w:w="1368"/>
        <w:gridCol w:w="1083"/>
        <w:gridCol w:w="1394"/>
        <w:gridCol w:w="987"/>
      </w:tblGrid>
      <w:tr>
        <w:trPr>
          <w:trHeight w:val="470"/>
        </w:trPr>
        <w:tc>
          <w:tcPr>
            <w:tcW w:w="405"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239"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96"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32"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686"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bidi="ar-SA"/>
              </w:rPr>
            </w:r>
            <w:r/>
          </w:p>
        </w:tc>
        <w:tc>
          <w:tcPr>
            <w:tcW w:w="543"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单价上限</w:t>
            </w:r>
            <w:r>
              <w:rPr>
                <w:rFonts w:hint="eastAsia" w:ascii="宋体" w:hAnsi="宋体" w:eastAsia="宋体" w:cs="宋体"/>
                <w:bCs/>
                <w:color w:val="000000"/>
                <w:sz w:val="24"/>
                <w:szCs w:val="24"/>
                <w:highlight w:val="none"/>
                <w:lang w:val="en-US" w:eastAsia="zh-CN"/>
              </w:rPr>
            </w:r>
            <w:r/>
          </w:p>
          <w:p>
            <w:pPr>
              <w:pStyle w:val="89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（万元）</w:t>
            </w:r>
            <w:r>
              <w:rPr>
                <w:rFonts w:hint="eastAsia" w:ascii="宋体" w:hAnsi="宋体" w:eastAsia="宋体" w:cs="宋体"/>
                <w:bCs/>
                <w:color w:val="000000"/>
                <w:sz w:val="24"/>
                <w:szCs w:val="24"/>
                <w:highlight w:val="none"/>
                <w:lang w:val="en-US" w:eastAsia="zh-CN"/>
              </w:rPr>
            </w:r>
            <w:r/>
          </w:p>
        </w:tc>
        <w:tc>
          <w:tcPr>
            <w:tcW w:w="699"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中小企业划分标准所属行业</w:t>
            </w:r>
            <w:r>
              <w:rPr>
                <w:rFonts w:hint="eastAsia" w:ascii="宋体" w:hAnsi="宋体" w:eastAsia="宋体" w:cs="宋体"/>
                <w:bCs/>
                <w:color w:val="000000"/>
                <w:sz w:val="24"/>
                <w:szCs w:val="24"/>
                <w:highlight w:val="none"/>
                <w:lang w:val="en-US" w:eastAsia="zh-CN"/>
              </w:rPr>
            </w:r>
            <w:r/>
          </w:p>
        </w:tc>
        <w:tc>
          <w:tcPr>
            <w:tcW w:w="495"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405"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239" w:type="dxa"/>
            <w:vAlign w:val="center"/>
            <w:textDirection w:val="lrTb"/>
            <w:noWrap w:val="false"/>
          </w:tcPr>
          <w:p>
            <w:pPr>
              <w:pStyle w:val="893"/>
              <w:keepLines w:val="0"/>
              <w:keepNext w:val="0"/>
              <w:pageBreakBefore w:val="0"/>
              <w:spacing w:line="360" w:lineRule="exact"/>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南京市学生体质与健康管理平台及中小学食堂信息化管理平台融合改造及功能升级</w:t>
            </w:r>
            <w:r>
              <w:rPr>
                <w:rFonts w:hint="eastAsia" w:ascii="宋体" w:hAnsi="宋体" w:eastAsia="宋体" w:cs="Times New Roman"/>
                <w:bCs/>
                <w:color w:val="000000"/>
                <w:sz w:val="24"/>
                <w:szCs w:val="24"/>
                <w:highlight w:val="none"/>
              </w:rPr>
            </w:r>
            <w:r/>
          </w:p>
        </w:tc>
        <w:tc>
          <w:tcPr>
            <w:tcW w:w="496"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432"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686"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543" w:type="dxa"/>
            <w:vAlign w:val="center"/>
            <w:textDirection w:val="lrTb"/>
            <w:noWrap w:val="false"/>
          </w:tcPr>
          <w:p>
            <w:pPr>
              <w:pStyle w:val="893"/>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rPr>
            </w:pPr>
            <w:r>
              <w:rPr>
                <w:rFonts w:hint="eastAsia" w:ascii="宋体" w:hAnsi="宋体" w:cs="宋体"/>
                <w:bCs/>
                <w:color w:val="000000"/>
                <w:sz w:val="24"/>
                <w:szCs w:val="24"/>
                <w:highlight w:val="none"/>
                <w:lang w:val="en-US" w:eastAsia="zh-CN"/>
              </w:rPr>
              <w:t xml:space="preserve">113.23</w:t>
            </w:r>
            <w:r>
              <w:rPr>
                <w:rFonts w:ascii="宋体" w:hAnsi="宋体" w:eastAsia="宋体" w:cs="Times New Roman"/>
                <w:bCs/>
                <w:color w:val="000000"/>
                <w:sz w:val="24"/>
                <w:szCs w:val="24"/>
                <w:highlight w:val="none"/>
                <w:lang w:val="en-US"/>
              </w:rPr>
            </w:r>
            <w:r/>
          </w:p>
        </w:tc>
        <w:tc>
          <w:tcPr>
            <w:tcW w:w="699" w:type="dxa"/>
            <w:vAlign w:val="center"/>
            <w:textDirection w:val="lrTb"/>
            <w:noWrap w:val="false"/>
          </w:tcPr>
          <w:p>
            <w:pPr>
              <w:pStyle w:val="893"/>
              <w:jc w:val="center"/>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495" w:type="dxa"/>
            <w:vAlign w:val="center"/>
            <w:textDirection w:val="lrTb"/>
            <w:noWrap w:val="false"/>
          </w:tcPr>
          <w:p>
            <w:pPr>
              <w:pStyle w:val="89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9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9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86" w:name="_Toc120614281"/>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49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7"/>
        <w:gridCol w:w="1619"/>
        <w:gridCol w:w="7680"/>
      </w:tblGrid>
      <w:tr>
        <w:trPr>
          <w:trHeight w:val="90"/>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b/>
                <w:color w:val="000000"/>
                <w:sz w:val="22"/>
                <w:szCs w:val="22"/>
                <w:highlight w:val="none"/>
              </w:rPr>
            </w:pPr>
            <w:r>
              <w:rPr>
                <w:rFonts w:hint="eastAsia" w:ascii="Times New Roman Regular" w:hAnsi="Times New Roman Regular" w:cs="Times New Roman Regular"/>
                <w:b/>
                <w:color w:val="000000"/>
                <w:sz w:val="22"/>
                <w:szCs w:val="22"/>
                <w:highlight w:val="none"/>
                <w:lang w:eastAsia="zh-CN" w:bidi="ar"/>
              </w:rPr>
              <w:t xml:space="preserve">序号</w:t>
            </w:r>
            <w:r>
              <w:rPr>
                <w:rFonts w:ascii="Times New Roman Regular" w:hAnsi="Times New Roman Regular" w:cs="Times New Roman Regular"/>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jc w:val="center"/>
              <w:rPr>
                <w:rFonts w:ascii="Times New Roman Regular" w:hAnsi="Times New Roman Regular" w:cs="Times New Roman Regular"/>
                <w:b/>
                <w:color w:val="000000"/>
                <w:sz w:val="22"/>
                <w:szCs w:val="22"/>
                <w:highlight w:val="none"/>
              </w:rPr>
            </w:pPr>
            <w:r>
              <w:rPr>
                <w:rFonts w:hint="eastAsia" w:ascii="Times New Roman Regular" w:hAnsi="Times New Roman Regular" w:cs="Times New Roman Regular"/>
                <w:b/>
                <w:color w:val="000000"/>
                <w:sz w:val="22"/>
                <w:szCs w:val="22"/>
                <w:highlight w:val="none"/>
                <w:lang w:eastAsia="zh-CN" w:bidi="ar"/>
              </w:rPr>
              <w:t xml:space="preserve">名称</w:t>
            </w:r>
            <w:r>
              <w:rPr>
                <w:rFonts w:ascii="Times New Roman Regular" w:hAnsi="Times New Roman Regular" w:cs="Times New Roman Regular"/>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tcPr>
          <w:p>
            <w:pPr>
              <w:pStyle w:val="893"/>
              <w:jc w:val="center"/>
              <w:rPr>
                <w:rFonts w:ascii="Times New Roman Regular" w:hAnsi="Times New Roman Regular" w:cs="Times New Roman Regular"/>
                <w:b/>
                <w:color w:val="000000"/>
                <w:sz w:val="22"/>
                <w:szCs w:val="22"/>
                <w:highlight w:val="none"/>
              </w:rPr>
            </w:pPr>
            <w:r>
              <w:rPr>
                <w:rFonts w:hint="eastAsia" w:ascii="Times New Roman Regular" w:hAnsi="Times New Roman Regular" w:cs="Times New Roman Regular"/>
                <w:b/>
                <w:color w:val="000000"/>
                <w:sz w:val="22"/>
                <w:szCs w:val="22"/>
                <w:highlight w:val="none"/>
                <w:lang w:eastAsia="zh-CN" w:bidi="ar"/>
              </w:rPr>
              <w:t xml:space="preserve">功能、性能、配置要求不低于以下要求</w:t>
            </w:r>
            <w:r>
              <w:rPr>
                <w:rFonts w:ascii="Times New Roman Regular" w:hAnsi="Times New Roman Regular" w:cs="Times New Roman Regular"/>
                <w:b/>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1</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国产化适配模块</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w:t>
            </w:r>
            <w:r>
              <w:rPr>
                <w:rFonts w:hint="eastAsia" w:ascii="Times New Roman Regular" w:hAnsi="Times New Roman Regular" w:cs="Times New Roman Regular"/>
                <w:color w:val="000000"/>
                <w:sz w:val="22"/>
                <w:szCs w:val="22"/>
                <w:highlight w:val="none"/>
                <w:lang w:val="en-US" w:eastAsia="zh-CN" w:bidi="ar"/>
              </w:rPr>
              <w:t xml:space="preserve">1、</w:t>
            </w:r>
            <w:r>
              <w:rPr>
                <w:rFonts w:hint="eastAsia" w:ascii="Times New Roman Regular" w:hAnsi="Times New Roman Regular" w:cs="Times New Roman Regular"/>
                <w:color w:val="000000"/>
                <w:sz w:val="22"/>
                <w:szCs w:val="22"/>
                <w:highlight w:val="none"/>
                <w:lang w:eastAsia="zh-CN" w:bidi="ar"/>
              </w:rPr>
              <w:t xml:space="preserve">操作系统：适配国产操作系统。确保平台应用程序在国产操作系统环境下稳定运行。</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w:t>
            </w:r>
            <w:r>
              <w:rPr>
                <w:rFonts w:hint="eastAsia" w:ascii="Times New Roman Regular" w:hAnsi="Times New Roman Regular" w:cs="Times New Roman Regular"/>
                <w:color w:val="000000"/>
                <w:sz w:val="22"/>
                <w:szCs w:val="22"/>
                <w:highlight w:val="none"/>
                <w:lang w:val="en-US" w:eastAsia="zh-CN" w:bidi="ar"/>
              </w:rPr>
              <w:t xml:space="preserve">2、</w:t>
            </w:r>
            <w:r>
              <w:rPr>
                <w:rFonts w:hint="eastAsia" w:ascii="Times New Roman Regular" w:hAnsi="Times New Roman Regular" w:cs="Times New Roman Regular"/>
                <w:color w:val="000000"/>
                <w:sz w:val="22"/>
                <w:szCs w:val="22"/>
                <w:highlight w:val="none"/>
                <w:lang w:eastAsia="zh-CN" w:bidi="ar"/>
              </w:rPr>
              <w:t xml:space="preserve">数据库：替换为国产品牌数据库，完成全量数据迁移与适配。支持TB级数据存储；数据库TPS（每秒事务处理数）不少于1000；支持ACID事务特性；复杂查询响应时间不超过5秒，简单查询响应时间不超过1秒。</w:t>
            </w:r>
            <w:r>
              <w:rPr>
                <w:rFonts w:ascii="Times New Roman Regular" w:hAnsi="Times New Roman Regular" w:cs="Times New Roman Regular"/>
                <w:color w:val="000000"/>
                <w:sz w:val="22"/>
                <w:szCs w:val="22"/>
                <w:highlight w:val="none"/>
                <w:lang w:eastAsia="zh-CN" w:bidi="ar"/>
              </w:rPr>
            </w:r>
            <w:r/>
          </w:p>
          <w:p>
            <w:pPr>
              <w:pStyle w:val="893"/>
              <w:numPr>
                <w:ilvl w:val="0"/>
                <w:numId w:val="7"/>
              </w:numPr>
              <w:jc w:val="left"/>
              <w:spacing w:after="0"/>
              <w:rPr>
                <w:rFonts w:hint="eastAsia"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中间件/开发环境：适配国产中间件及开发环境。开发环境适配国产品牌产品；反向代理适配国产品牌产品。</w:t>
            </w:r>
            <w:r>
              <w:rPr>
                <w:rFonts w:hint="eastAsia" w:ascii="Times New Roman Regular" w:hAnsi="Times New Roman Regular" w:cs="Times New Roman Regular"/>
                <w:color w:val="000000"/>
                <w:sz w:val="22"/>
                <w:szCs w:val="22"/>
                <w:highlight w:val="none"/>
                <w:lang w:eastAsia="zh-CN" w:bidi="ar"/>
              </w:rPr>
            </w:r>
            <w:r/>
          </w:p>
          <w:p>
            <w:pPr>
              <w:pStyle w:val="893"/>
              <w:numPr>
                <w:ilvl w:val="0"/>
                <w:numId w:val="0"/>
              </w:numPr>
              <w:ind w:left="0"/>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val="en-US" w:eastAsia="zh-CN" w:bidi="ar"/>
              </w:rPr>
              <w:t xml:space="preserve">4、</w:t>
            </w:r>
            <w:r>
              <w:rPr>
                <w:rFonts w:hint="eastAsia" w:ascii="Times New Roman Regular" w:hAnsi="Times New Roman Regular" w:cs="Times New Roman Regular"/>
                <w:color w:val="000000"/>
                <w:sz w:val="22"/>
                <w:szCs w:val="22"/>
                <w:highlight w:val="none"/>
                <w:lang w:eastAsia="zh-CN" w:bidi="ar"/>
              </w:rPr>
              <w:t xml:space="preserve">缓存/消息队列：适配国产缓存及消息队列。缓存系统适配国产品牌产品。</w:t>
            </w:r>
            <w:r>
              <w:rPr>
                <w:rFonts w:ascii="Times New Roman Regular" w:hAnsi="Times New Roman Regular" w:cs="Times New Roman Regular"/>
                <w:color w:val="000000"/>
                <w:sz w:val="22"/>
                <w:szCs w:val="22"/>
                <w:highlight w:val="none"/>
                <w:lang w:eastAsia="zh-CN" w:bidi="ar"/>
              </w:rPr>
            </w:r>
            <w:r/>
          </w:p>
          <w:p>
            <w:pPr>
              <w:pStyle w:val="991"/>
              <w:ind w:left="0" w:firstLine="0"/>
              <w:jc w:val="left"/>
              <w:spacing w:after="0"/>
              <w:rPr>
                <w:rFonts w:ascii="Times New Roman Regular" w:hAnsi="Times New Roman Regular" w:cs="Times New Roman Regular"/>
                <w:color w:val="000000"/>
                <w:sz w:val="22"/>
                <w:szCs w:val="22"/>
                <w:highlight w:val="none"/>
                <w:lang w:eastAsia="zh-CN"/>
              </w:rPr>
            </w:pPr>
            <w:r>
              <w:rPr>
                <w:rFonts w:hint="eastAsia" w:ascii="Times New Roman Regular" w:hAnsi="Times New Roman Regular" w:cs="Times New Roman Regular"/>
                <w:color w:val="000000"/>
                <w:sz w:val="22"/>
                <w:szCs w:val="22"/>
                <w:highlight w:val="none"/>
                <w:lang w:eastAsia="zh-CN" w:bidi="ar"/>
              </w:rPr>
              <w:t xml:space="preserve">缓存命中率不低于95%，缓存响应时间不超过10ms。消息队列适配国产品牌产品。消息处理能力不少于10000条/秒，消息延迟不超过100ms。</w:t>
            </w:r>
            <w:r>
              <w:rPr>
                <w:rFonts w:ascii="Times New Roman Regular" w:hAnsi="Times New Roman Regular" w:cs="Times New Roman Regular"/>
                <w:color w:val="000000"/>
                <w:sz w:val="22"/>
                <w:szCs w:val="22"/>
                <w:highlight w:val="none"/>
                <w:lang w:eastAsia="zh-CN"/>
              </w:rPr>
            </w:r>
            <w:r/>
          </w:p>
        </w:tc>
      </w:tr>
      <w:tr>
        <w:trPr>
          <w:trHeight w:val="629"/>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2</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系统功能完整性模块</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pStyle w:val="893"/>
              <w:numPr>
                <w:ilvl w:val="0"/>
                <w:numId w:val="8"/>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lang w:eastAsia="zh-CN" w:bidi="ar"/>
              </w:rPr>
              <w:t xml:space="preserve">现有功能保留与优化：保留并优化现有体检、体测、视力防控、国网上报、</w:t>
            </w:r>
            <w:r>
              <w:rPr>
                <w:rFonts w:hint="eastAsia" w:ascii="Times New Roman Regular" w:hAnsi="Times New Roman Regular" w:cs="Times New Roman Regular"/>
                <w:color w:val="000000"/>
                <w:sz w:val="22"/>
                <w:szCs w:val="22"/>
                <w:highlight w:val="none"/>
                <w:u w:val="none"/>
                <w:lang w:eastAsia="zh-CN" w:bidi="ar"/>
              </w:rPr>
              <w:t xml:space="preserve">家长端公众号全功能。</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rPr>
                <w:rFonts w:hint="eastAsia" w:ascii="Times New Roman Regular" w:hAnsi="Times New Roman Regular" w:eastAsia="宋体" w:cs="Times New Roman Regular"/>
                <w:color w:val="000000"/>
                <w:sz w:val="22"/>
                <w:highlight w:val="none"/>
                <w:lang w:eastAsia="zh-CN" w:bidi="ar"/>
              </w:rPr>
            </w:pPr>
            <w:r>
              <w:rPr>
                <w:rFonts w:hint="eastAsia" w:ascii="Times New Roman Regular" w:hAnsi="Times New Roman Regular" w:eastAsia="宋体" w:cs="Times New Roman Regular"/>
                <w:color w:val="000000"/>
                <w:sz w:val="22"/>
                <w:szCs w:val="22"/>
                <w:highlight w:val="none"/>
                <w:u w:val="none"/>
                <w:lang w:eastAsia="zh-CN" w:bidi="ar"/>
              </w:rPr>
              <w:t xml:space="preserve">（</w:t>
            </w:r>
            <w:r>
              <w:rPr>
                <w:rFonts w:hint="eastAsia" w:ascii="Times New Roman Regular" w:hAnsi="Times New Roman Regular" w:eastAsia="宋体" w:cs="Times New Roman Regular"/>
                <w:color w:val="000000"/>
                <w:sz w:val="22"/>
                <w:szCs w:val="22"/>
                <w:highlight w:val="none"/>
                <w:u w:val="none"/>
                <w:lang w:val="en-US" w:eastAsia="zh-CN" w:bidi="ar"/>
              </w:rPr>
              <w:t xml:space="preserve">1</w:t>
            </w:r>
            <w:r>
              <w:rPr>
                <w:rFonts w:hint="eastAsia" w:ascii="Times New Roman Regular" w:hAnsi="Times New Roman Regular" w:eastAsia="宋体" w:cs="Times New Roman Regular"/>
                <w:color w:val="000000"/>
                <w:sz w:val="22"/>
                <w:szCs w:val="22"/>
                <w:highlight w:val="none"/>
                <w:u w:val="none"/>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bidi="ar"/>
              </w:rPr>
              <w:t xml:space="preserve">学生基础档案：支持学生基础信息导入、学校班级关联、学生健康档案建档及持续维护。</w:t>
            </w:r>
            <w:r>
              <w:rPr>
                <w:rFonts w:hint="eastAsia" w:ascii="Times New Roman Regular" w:hAnsi="Times New Roman Regular" w:eastAsia="宋体" w:cs="Times New Roman Regular"/>
                <w:color w:val="000000"/>
                <w:sz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2</w:t>
            </w:r>
            <w:r>
              <w:rPr>
                <w:rFonts w:hint="eastAsia" w:ascii="Times New Roman Regular" w:hAnsi="Times New Roman Regular" w:cs="Times New Roman Regular"/>
                <w:color w:val="000000"/>
                <w:sz w:val="22"/>
                <w:szCs w:val="22"/>
                <w:highlight w:val="none"/>
                <w:u w:val="none"/>
                <w:lang w:eastAsia="zh-CN" w:bidi="ar"/>
              </w:rPr>
              <w:t xml:space="preserve">）体检系统：学生身高、体重、血压、心率、视力、听力、口腔、血常规等全面体检项目的数据采集、存储和分析；建立学生健康档案；自动生成</w:t>
            </w:r>
            <w:r>
              <w:rPr>
                <w:rFonts w:hint="eastAsia" w:ascii="Times New Roman Regular" w:hAnsi="Times New Roman Regular" w:cs="Times New Roman Regular"/>
                <w:color w:val="000000"/>
                <w:sz w:val="22"/>
                <w:szCs w:val="22"/>
                <w:highlight w:val="none"/>
                <w:u w:val="none"/>
                <w:lang w:val="en-US" w:eastAsia="zh-CN" w:bidi="ar"/>
              </w:rPr>
              <w:t xml:space="preserve">个体和各管理层级</w:t>
            </w:r>
            <w:r>
              <w:rPr>
                <w:rFonts w:hint="eastAsia" w:ascii="Times New Roman Regular" w:hAnsi="Times New Roman Regular" w:cs="Times New Roman Regular"/>
                <w:color w:val="000000"/>
                <w:sz w:val="22"/>
                <w:szCs w:val="22"/>
                <w:highlight w:val="none"/>
                <w:u w:val="none"/>
                <w:lang w:eastAsia="zh-CN" w:bidi="ar"/>
              </w:rPr>
              <w:t xml:space="preserve">体检报告。</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3</w:t>
            </w:r>
            <w:r>
              <w:rPr>
                <w:rFonts w:hint="eastAsia" w:ascii="Times New Roman Regular" w:hAnsi="Times New Roman Regular" w:cs="Times New Roman Regular"/>
                <w:color w:val="000000"/>
                <w:sz w:val="22"/>
                <w:szCs w:val="22"/>
                <w:highlight w:val="none"/>
                <w:u w:val="none"/>
                <w:lang w:eastAsia="zh-CN" w:bidi="ar"/>
              </w:rPr>
              <w:t xml:space="preserve">）体测系统：50米跑、立定跳远、肺活量、坐位体前屈、仰卧起坐等体能测试项目的数据管理；体质健康评估；智能设备数据对接。</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4</w:t>
            </w:r>
            <w:r>
              <w:rPr>
                <w:rFonts w:hint="eastAsia" w:ascii="Times New Roman Regular" w:hAnsi="Times New Roman Regular" w:cs="Times New Roman Regular"/>
                <w:color w:val="000000"/>
                <w:sz w:val="22"/>
                <w:szCs w:val="22"/>
                <w:highlight w:val="none"/>
                <w:u w:val="none"/>
                <w:lang w:eastAsia="zh-CN" w:bidi="ar"/>
              </w:rPr>
              <w:t xml:space="preserve">）视力防控系统：视力筛查、近视预警、干预跟踪的全流程监测；屈光度、眼轴长度等专业指标管理；预警消息推送。</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5</w:t>
            </w:r>
            <w:r>
              <w:rPr>
                <w:rFonts w:hint="eastAsia" w:ascii="Times New Roman Regular" w:hAnsi="Times New Roman Regular" w:cs="Times New Roman Regular"/>
                <w:color w:val="000000"/>
                <w:sz w:val="22"/>
                <w:szCs w:val="22"/>
                <w:highlight w:val="none"/>
                <w:u w:val="none"/>
                <w:lang w:eastAsia="zh-CN" w:bidi="ar"/>
              </w:rPr>
              <w:t xml:space="preserve">）国网上报系统：按照教育部要求，向国家学生体质健康标准数据管理系统标准化上报；支持数据质量控制。</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6</w:t>
            </w:r>
            <w:r>
              <w:rPr>
                <w:rFonts w:hint="eastAsia" w:ascii="Times New Roman Regular" w:hAnsi="Times New Roman Regular" w:cs="Times New Roman Regular"/>
                <w:color w:val="000000"/>
                <w:sz w:val="22"/>
                <w:szCs w:val="22"/>
                <w:highlight w:val="none"/>
                <w:u w:val="none"/>
                <w:lang w:eastAsia="zh-CN" w:bidi="ar"/>
              </w:rPr>
              <w:t xml:space="preserve">）家长端公众号</w:t>
            </w:r>
            <w:r>
              <w:rPr>
                <w:rFonts w:hint="eastAsia" w:ascii="Times New Roman Regular" w:hAnsi="Times New Roman Regular" w:eastAsia="宋体" w:cs="Times New Roman Regular"/>
                <w:color w:val="000000"/>
                <w:sz w:val="22"/>
                <w:szCs w:val="22"/>
                <w:highlight w:val="none"/>
                <w:u w:val="none"/>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bidi="ar"/>
              </w:rPr>
              <w:t xml:space="preserve">支持家长端学生绑定、学生基础信息和健康档案查询、体检</w:t>
            </w:r>
            <w:r>
              <w:rPr>
                <w:rFonts w:hint="eastAsia" w:ascii="Times New Roman Regular" w:hAnsi="Times New Roman Regular" w:eastAsia="宋体" w:cs="Times New Roman Regular"/>
                <w:color w:val="000000"/>
                <w:sz w:val="22"/>
                <w:highlight w:val="none"/>
                <w:shd w:val="clear" w:color="auto" w:fill="auto"/>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bidi="ar"/>
              </w:rPr>
              <w:t xml:space="preserve">体测</w:t>
            </w:r>
            <w:r>
              <w:rPr>
                <w:rFonts w:hint="eastAsia" w:ascii="Times New Roman Regular" w:hAnsi="Times New Roman Regular" w:eastAsia="宋体" w:cs="Times New Roman Regular"/>
                <w:color w:val="000000"/>
                <w:sz w:val="22"/>
                <w:highlight w:val="none"/>
                <w:shd w:val="clear" w:color="auto" w:fill="auto"/>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bidi="ar"/>
              </w:rPr>
              <w:t xml:space="preserve">视力</w:t>
            </w:r>
            <w:r>
              <w:rPr>
                <w:rFonts w:hint="eastAsia" w:ascii="Times New Roman Regular" w:hAnsi="Times New Roman Regular" w:eastAsia="宋体" w:cs="Times New Roman Regular"/>
                <w:color w:val="000000"/>
                <w:sz w:val="22"/>
                <w:highlight w:val="none"/>
                <w:shd w:val="clear" w:color="auto" w:fill="auto"/>
                <w:lang w:val="en-US" w:eastAsia="zh-CN" w:bidi="ar"/>
              </w:rPr>
              <w:t xml:space="preserve">等</w:t>
            </w:r>
            <w:r>
              <w:rPr>
                <w:rFonts w:hint="eastAsia" w:ascii="Times New Roman Regular" w:hAnsi="Times New Roman Regular" w:cs="Times New Roman Regular"/>
                <w:color w:val="000000"/>
                <w:sz w:val="22"/>
                <w:szCs w:val="22"/>
                <w:highlight w:val="none"/>
                <w:u w:val="none"/>
                <w:lang w:eastAsia="zh-CN" w:bidi="ar"/>
              </w:rPr>
              <w:t xml:space="preserve">健康数据查询、报告下载、健康咨询等服务；健康预警信息推送。</w:t>
            </w:r>
            <w:r>
              <w:rPr>
                <w:rFonts w:ascii="Times New Roman Regular" w:hAnsi="Times New Roman Regular" w:cs="Times New Roman Regular"/>
                <w:color w:val="000000"/>
                <w:sz w:val="22"/>
                <w:szCs w:val="22"/>
                <w:highlight w:val="none"/>
                <w:u w:val="none"/>
                <w:lang w:eastAsia="zh-CN" w:bidi="ar"/>
              </w:rPr>
            </w:r>
            <w:r/>
          </w:p>
          <w:p>
            <w:pPr>
              <w:pStyle w:val="893"/>
              <w:numPr>
                <w:ilvl w:val="0"/>
                <w:numId w:val="8"/>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管理体系要求：支持市-区-校三级管理、数据采集、统计分析、报告生成、家校查询等核心业务。</w:t>
            </w:r>
            <w:r>
              <w:rPr>
                <w:rFonts w:ascii="Times New Roman Regular" w:hAnsi="Times New Roman Regular" w:cs="Times New Roman Regular"/>
                <w:color w:val="000000"/>
                <w:sz w:val="22"/>
                <w:szCs w:val="22"/>
                <w:highlight w:val="none"/>
                <w:u w:val="none"/>
                <w:lang w:eastAsia="zh-CN" w:bidi="ar"/>
              </w:rPr>
            </w:r>
            <w:r/>
          </w:p>
          <w:p>
            <w:pPr>
              <w:pStyle w:val="893"/>
              <w:ind w:firstLine="0"/>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组织机构管理：市、区、校三级组织架构管理；数据采集：支持人工录入、批量导入、设备自动采集；统计分析：多维度数据统计分析、趋势预测</w:t>
            </w:r>
            <w:r>
              <w:rPr>
                <w:rFonts w:hint="eastAsia" w:ascii="Times New Roman Regular" w:hAnsi="Times New Roman Regular" w:eastAsia="宋体" w:cs="Times New Roman Regular"/>
                <w:color w:val="000000"/>
                <w:sz w:val="22"/>
                <w:szCs w:val="22"/>
                <w:highlight w:val="none"/>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bidi="ar"/>
              </w:rPr>
              <w:t xml:space="preserve">支持按市、区、校、年级等维度开展学生健康统计分析看板、趋势分析和结果展示；</w:t>
            </w:r>
            <w:r>
              <w:rPr>
                <w:rFonts w:hint="eastAsia" w:ascii="Times New Roman Regular" w:hAnsi="Times New Roman Regular" w:cs="Times New Roman Regular"/>
                <w:color w:val="000000"/>
                <w:sz w:val="22"/>
                <w:szCs w:val="22"/>
                <w:highlight w:val="none"/>
                <w:lang w:eastAsia="zh-CN" w:bidi="ar"/>
              </w:rPr>
              <w:t xml:space="preserve">报告生成：个人健康报告、班级统计报告、区域分析报告；家校查询：家长端查询学生健康状况。</w:t>
            </w:r>
            <w:r>
              <w:rPr>
                <w:rFonts w:ascii="Times New Roman Regular" w:hAnsi="Times New Roman Regular" w:cs="Times New Roman Regular"/>
                <w:color w:val="000000"/>
                <w:sz w:val="22"/>
                <w:szCs w:val="22"/>
                <w:highlight w:val="none"/>
                <w:lang w:eastAsia="zh-CN" w:bidi="ar"/>
              </w:rPr>
            </w:r>
            <w:r/>
          </w:p>
          <w:p>
            <w:pPr>
              <w:pStyle w:val="893"/>
              <w:numPr>
                <w:ilvl w:val="0"/>
                <w:numId w:val="8"/>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食堂信息化管理系统：新增食堂信息化管理系统，包含移动端小程序和PC端管理平台。</w:t>
            </w:r>
            <w:r>
              <w:rPr>
                <w:rFonts w:ascii="Times New Roman Regular" w:hAnsi="Times New Roman Regular" w:cs="Times New Roman Regular"/>
                <w:color w:val="000000"/>
                <w:sz w:val="22"/>
                <w:szCs w:val="22"/>
                <w:highlight w:val="none"/>
                <w:lang w:eastAsia="zh-CN" w:bidi="ar"/>
              </w:rPr>
            </w:r>
            <w:r/>
          </w:p>
          <w:p>
            <w:pPr>
              <w:pStyle w:val="893"/>
              <w:numPr>
                <w:ilvl w:val="0"/>
                <w:numId w:val="9"/>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移动端食堂用户管理小程序：食材上报：按标准化目录录入当日食材（名称、数量、供应商、检验编号）；一周食谱上报：用模板填报早午餐菜品，系统自动关联营养数据生成配比预览；整改反馈：接收PC端整改通知，上传整改照片与说明。</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rPr>
            </w:pPr>
            <w:r>
              <w:rPr>
                <w:rFonts w:hint="eastAsia" w:ascii="Times New Roman Regular" w:hAnsi="Times New Roman Regular" w:cs="Times New Roman Regular"/>
                <w:color w:val="000000"/>
                <w:sz w:val="22"/>
                <w:szCs w:val="22"/>
                <w:highlight w:val="none"/>
                <w:lang w:eastAsia="zh-CN" w:bidi="ar"/>
              </w:rPr>
              <w:t xml:space="preserve">（2）PC端食堂管理平台</w:t>
            </w:r>
            <w:r>
              <w:rPr>
                <w:rFonts w:hint="eastAsia" w:ascii="Times New Roman Regular" w:hAnsi="Times New Roman Regular" w:eastAsia="宋体" w:cs="Times New Roman Regular"/>
                <w:color w:val="000000"/>
                <w:sz w:val="22"/>
                <w:szCs w:val="22"/>
                <w:highlight w:val="none"/>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bidi="ar"/>
              </w:rPr>
              <w:t xml:space="preserve">食材基础信息、营养成分信息和营养库管理，菜品信息维护、菜品构成管理和标准化调用；</w:t>
            </w:r>
            <w:r>
              <w:rPr>
                <w:rFonts w:hint="eastAsia" w:ascii="Times New Roman Regular" w:hAnsi="Times New Roman Regular" w:eastAsia="宋体" w:cs="Times New Roman Regular"/>
                <w:color w:val="000000"/>
                <w:sz w:val="22"/>
                <w:szCs w:val="22"/>
                <w:highlight w:val="none"/>
                <w:lang w:eastAsia="zh-CN" w:bidi="ar"/>
              </w:rPr>
              <w:t xml:space="preserve">学校/食堂/送餐公司管理：</w:t>
            </w:r>
            <w:r>
              <w:rPr>
                <w:rFonts w:hint="eastAsia" w:ascii="Times New Roman Regular" w:hAnsi="Times New Roman Regular" w:eastAsia="宋体" w:cs="Times New Roman Regular"/>
                <w:color w:val="000000"/>
                <w:sz w:val="22"/>
                <w:highlight w:val="none"/>
                <w:shd w:val="clear" w:color="auto" w:fill="auto"/>
                <w:lang w:bidi="ar"/>
              </w:rPr>
              <w:t xml:space="preserve">支持学校、食堂、送餐公司基础信息统一维护</w:t>
            </w:r>
            <w:r>
              <w:rPr>
                <w:rFonts w:hint="eastAsia" w:ascii="Times New Roman Regular" w:hAnsi="Times New Roman Regular" w:eastAsia="宋体" w:cs="Times New Roman Regular"/>
                <w:color w:val="000000"/>
                <w:sz w:val="22"/>
                <w:highlight w:val="none"/>
                <w:shd w:val="clear" w:color="auto" w:fill="auto"/>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val="en-US" w:eastAsia="zh-CN" w:bidi="ar"/>
              </w:rPr>
              <w:t xml:space="preserve">包括</w:t>
            </w:r>
            <w:r>
              <w:rPr>
                <w:rFonts w:hint="eastAsia" w:ascii="Times New Roman Regular" w:hAnsi="Times New Roman Regular" w:eastAsia="宋体" w:cs="Times New Roman Regular"/>
                <w:color w:val="000000"/>
                <w:sz w:val="22"/>
                <w:szCs w:val="22"/>
                <w:highlight w:val="none"/>
                <w:lang w:eastAsia="zh-CN" w:bidi="ar"/>
              </w:rPr>
              <w:t xml:space="preserve">维护学校基础信息、食堂详情、送餐公司资质</w:t>
            </w:r>
            <w:r>
              <w:rPr>
                <w:rFonts w:hint="eastAsia" w:ascii="Times New Roman Regular" w:hAnsi="Times New Roman Regular" w:eastAsia="宋体" w:cs="Times New Roman Regular"/>
                <w:color w:val="000000"/>
                <w:sz w:val="22"/>
                <w:szCs w:val="22"/>
                <w:highlight w:val="none"/>
                <w:lang w:val="en-US" w:eastAsia="zh-CN" w:bidi="ar"/>
              </w:rPr>
              <w:t xml:space="preserve">等）</w:t>
            </w:r>
            <w:r>
              <w:rPr>
                <w:rFonts w:hint="eastAsia" w:ascii="Times New Roman Regular" w:hAnsi="Times New Roman Regular" w:eastAsia="宋体" w:cs="Times New Roman Regular"/>
                <w:color w:val="000000"/>
                <w:sz w:val="22"/>
                <w:szCs w:val="22"/>
                <w:highlight w:val="none"/>
                <w:lang w:eastAsia="zh-CN" w:bidi="ar"/>
              </w:rPr>
              <w:t xml:space="preserve">；食材/菜品/食谱管理：</w:t>
            </w:r>
            <w:r>
              <w:rPr>
                <w:rFonts w:hint="eastAsia" w:ascii="Times New Roman Regular" w:hAnsi="Times New Roman Regular" w:eastAsia="宋体" w:cs="Times New Roman Regular"/>
                <w:color w:val="000000"/>
                <w:sz w:val="22"/>
                <w:highlight w:val="none"/>
                <w:shd w:val="clear" w:color="auto" w:fill="auto"/>
                <w:lang w:bidi="ar"/>
              </w:rPr>
              <w:t xml:space="preserve">食材基础信息、营养成分信息和营养库管理，菜品信息维护、菜品构成管理和标准化调用；</w:t>
            </w:r>
            <w:r>
              <w:rPr>
                <w:rFonts w:hint="eastAsia" w:ascii="Times New Roman Regular" w:hAnsi="Times New Roman Regular" w:eastAsia="宋体" w:cs="Times New Roman Regular"/>
                <w:color w:val="000000"/>
                <w:sz w:val="22"/>
                <w:szCs w:val="22"/>
                <w:highlight w:val="none"/>
                <w:lang w:eastAsia="zh-CN" w:bidi="ar"/>
              </w:rPr>
              <w:t xml:space="preserve">；一周营养统计：自动汇总营养总量，生成趋势图；</w:t>
            </w:r>
            <w:r>
              <w:rPr>
                <w:rFonts w:hint="eastAsia" w:ascii="Times New Roman Regular" w:hAnsi="Times New Roman Regular" w:eastAsia="宋体" w:cs="Times New Roman Regular"/>
                <w:color w:val="000000"/>
                <w:sz w:val="22"/>
                <w:highlight w:val="none"/>
                <w:shd w:val="clear" w:color="auto" w:fill="auto"/>
                <w:lang w:bidi="ar"/>
              </w:rPr>
              <w:t xml:space="preserve">支持一周食谱编制、营养结构自动测算和营养达标分析；</w:t>
            </w:r>
            <w:r>
              <w:rPr>
                <w:rFonts w:hint="eastAsia" w:ascii="Times New Roman Regular" w:hAnsi="Times New Roman Regular" w:eastAsia="宋体" w:cs="Times New Roman Regular"/>
                <w:color w:val="000000"/>
                <w:sz w:val="22"/>
                <w:szCs w:val="22"/>
                <w:highlight w:val="none"/>
                <w:lang w:eastAsia="zh-CN" w:bidi="ar"/>
              </w:rPr>
              <w:t xml:space="preserve">；食堂检查：管理端录入检查问题并推送整改通知，</w:t>
            </w:r>
            <w:r>
              <w:rPr>
                <w:rFonts w:hint="eastAsia" w:ascii="Times New Roman Regular" w:hAnsi="Times New Roman Regular" w:eastAsia="宋体" w:cs="Times New Roman Regular"/>
                <w:color w:val="000000"/>
                <w:sz w:val="22"/>
                <w:highlight w:val="none"/>
                <w:shd w:val="clear" w:color="auto" w:fill="auto"/>
                <w:lang w:bidi="ar"/>
              </w:rPr>
              <w:t xml:space="preserve">支持食堂安全检查问题登记、整改要求下发、移动端上传整改说明及图片、监管端复核确认的闭环管理；</w:t>
            </w:r>
            <w:r>
              <w:rPr>
                <w:rFonts w:hint="eastAsia" w:ascii="Times New Roman Regular" w:hAnsi="Times New Roman Regular" w:eastAsia="宋体" w:cs="Times New Roman Regular"/>
                <w:color w:val="000000"/>
                <w:sz w:val="22"/>
                <w:szCs w:val="22"/>
                <w:highlight w:val="none"/>
                <w:lang w:eastAsia="zh-CN" w:bidi="ar"/>
              </w:rPr>
              <w:t xml:space="preserve">；食品安全普及：建立题库并分配答题任务，</w:t>
            </w:r>
            <w:r>
              <w:rPr>
                <w:rFonts w:hint="eastAsia" w:ascii="Times New Roman Regular" w:hAnsi="Times New Roman Regular" w:eastAsia="宋体" w:cs="Times New Roman Regular"/>
                <w:color w:val="000000"/>
                <w:sz w:val="22"/>
                <w:highlight w:val="none"/>
                <w:shd w:val="clear" w:color="auto" w:fill="auto"/>
                <w:lang w:bidi="ar"/>
              </w:rPr>
              <w:t xml:space="preserve">支持食品安全知识学习、在线答题和答题结果统计</w:t>
            </w:r>
            <w:r>
              <w:rPr>
                <w:rFonts w:hint="eastAsia" w:ascii="Times New Roman Regular" w:hAnsi="Times New Roman Regular" w:eastAsia="宋体" w:cs="Times New Roman Regular"/>
                <w:color w:val="000000"/>
                <w:sz w:val="22"/>
                <w:szCs w:val="22"/>
                <w:highlight w:val="none"/>
                <w:lang w:eastAsia="zh-CN" w:bidi="ar"/>
              </w:rPr>
              <w:t xml:space="preserve">；早午餐统计：汇总上报及时率、营养达标率；</w:t>
            </w:r>
            <w:r>
              <w:rPr>
                <w:rFonts w:hint="eastAsia" w:ascii="Times New Roman Regular" w:hAnsi="Times New Roman Regular" w:eastAsia="宋体" w:cs="Times New Roman Regular"/>
                <w:color w:val="000000"/>
                <w:sz w:val="22"/>
                <w:szCs w:val="22"/>
                <w:highlight w:val="none"/>
                <w:lang w:val="en-US" w:eastAsia="zh-CN" w:bidi="ar"/>
              </w:rPr>
              <w:t xml:space="preserve">统计报表：</w:t>
            </w:r>
            <w:r>
              <w:rPr>
                <w:rFonts w:hint="eastAsia" w:ascii="Times New Roman Regular" w:hAnsi="Times New Roman Regular" w:eastAsia="宋体" w:cs="Times New Roman Regular"/>
                <w:color w:val="000000"/>
                <w:sz w:val="22"/>
                <w:highlight w:val="none"/>
                <w:shd w:val="clear" w:color="auto" w:fill="auto"/>
                <w:lang w:bidi="ar"/>
              </w:rPr>
              <w:t xml:space="preserve">支持不同权限角色下的市、区、校三级监管查看和综合统计报表</w:t>
            </w:r>
            <w:r>
              <w:rPr>
                <w:rFonts w:hint="eastAsia" w:ascii="Times New Roman Regular" w:hAnsi="Times New Roman Regular" w:eastAsia="宋体" w:cs="Times New Roman Regular"/>
                <w:color w:val="000000"/>
                <w:sz w:val="22"/>
                <w:szCs w:val="22"/>
                <w:highlight w:val="none"/>
                <w:lang w:eastAsia="zh-CN" w:bidi="ar"/>
              </w:rPr>
              <w:t xml:space="preserve">。</w:t>
            </w:r>
            <w:r>
              <w:rPr>
                <w:rFonts w:ascii="Times New Roman Regular" w:hAnsi="Times New Roman Regular" w:cs="Times New Roman Regular"/>
                <w:color w:val="000000"/>
                <w:sz w:val="22"/>
                <w:szCs w:val="22"/>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3</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性能指标模块</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pStyle w:val="991"/>
              <w:ind w:left="0" w:firstLine="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1</w:t>
            </w: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并</w:t>
            </w:r>
            <w:r>
              <w:rPr>
                <w:rFonts w:hint="eastAsia" w:ascii="Times New Roman Regular" w:hAnsi="Times New Roman Regular" w:cs="Times New Roman Regular"/>
                <w:color w:val="000000"/>
                <w:sz w:val="22"/>
                <w:szCs w:val="22"/>
                <w:highlight w:val="none"/>
                <w:u w:val="none"/>
                <w:lang w:eastAsia="zh-CN" w:bidi="ar"/>
              </w:rPr>
              <w:t xml:space="preserve">发处理能力：支持峰值1000+并发用户。</w:t>
            </w:r>
            <w:r>
              <w:rPr>
                <w:rFonts w:ascii="Times New Roman Regular" w:hAnsi="Times New Roman Regular" w:cs="Times New Roman Regular"/>
                <w:color w:val="000000"/>
                <w:sz w:val="22"/>
                <w:szCs w:val="22"/>
                <w:highlight w:val="none"/>
                <w:u w:val="none"/>
                <w:lang w:eastAsia="zh-CN" w:bidi="ar"/>
              </w:rPr>
            </w:r>
            <w:r/>
          </w:p>
          <w:p>
            <w:pPr>
              <w:pStyle w:val="991"/>
              <w:ind w:left="0" w:firstLine="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用户登录响应时间不超过0.5秒；常规数据查询响应时间不超过3秒；复杂统计报表生成时间不超过5秒；支持不少于2000个并发用户同时访问；峰值并发处理能力不少于5000个用户。</w:t>
            </w:r>
            <w:r>
              <w:rPr>
                <w:rFonts w:ascii="Times New Roman Regular" w:hAnsi="Times New Roman Regular" w:cs="Times New Roman Regular"/>
                <w:color w:val="000000"/>
                <w:sz w:val="22"/>
                <w:szCs w:val="22"/>
                <w:highlight w:val="none"/>
                <w:u w:val="none"/>
                <w:lang w:eastAsia="zh-CN" w:bidi="ar"/>
              </w:rPr>
            </w:r>
            <w:r/>
          </w:p>
          <w:p>
            <w:pPr>
              <w:pStyle w:val="991"/>
              <w:ind w:left="0" w:firstLine="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2、</w:t>
            </w:r>
            <w:r>
              <w:rPr>
                <w:rFonts w:hint="eastAsia" w:ascii="Times New Roman Regular" w:hAnsi="Times New Roman Regular" w:cs="Times New Roman Regular"/>
                <w:color w:val="000000"/>
                <w:sz w:val="22"/>
                <w:szCs w:val="22"/>
                <w:highlight w:val="none"/>
                <w:u w:val="none"/>
                <w:lang w:eastAsia="zh-CN" w:bidi="ar"/>
              </w:rPr>
              <w:t xml:space="preserve">数据库性能：数据库并发处理≥1000次/秒。</w:t>
            </w:r>
            <w:r>
              <w:rPr>
                <w:rFonts w:ascii="Times New Roman Regular" w:hAnsi="Times New Roman Regular" w:cs="Times New Roman Regular"/>
                <w:color w:val="000000"/>
                <w:sz w:val="22"/>
                <w:szCs w:val="22"/>
                <w:highlight w:val="none"/>
                <w:u w:val="none"/>
                <w:lang w:eastAsia="zh-CN" w:bidi="ar"/>
              </w:rPr>
            </w:r>
            <w:r/>
          </w:p>
          <w:p>
            <w:pPr>
              <w:pStyle w:val="991"/>
              <w:ind w:left="0" w:firstLine="0"/>
              <w:rPr>
                <w:rFonts w:hint="eastAsia"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数据库TPS不少于1000；复杂查询响应时间不超过5秒；简单查询响应时间不超过1秒；支持TB级数据存储；数据压缩率不低于30%。</w:t>
            </w:r>
            <w:r>
              <w:rPr>
                <w:rFonts w:hint="eastAsia" w:ascii="Times New Roman Regular" w:hAnsi="Times New Roman Regular" w:cs="Times New Roman Regular"/>
                <w:color w:val="000000"/>
                <w:sz w:val="22"/>
                <w:szCs w:val="22"/>
                <w:highlight w:val="none"/>
                <w:u w:val="none"/>
                <w:lang w:eastAsia="zh-CN" w:bidi="ar"/>
              </w:rPr>
            </w:r>
            <w:r/>
          </w:p>
          <w:p>
            <w:pPr>
              <w:pStyle w:val="991"/>
              <w:ind w:left="0" w:firstLine="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3、</w:t>
            </w:r>
            <w:r>
              <w:rPr>
                <w:rFonts w:hint="eastAsia" w:ascii="Times New Roman Regular" w:hAnsi="Times New Roman Regular" w:cs="Times New Roman Regular"/>
                <w:color w:val="000000"/>
                <w:sz w:val="22"/>
                <w:szCs w:val="22"/>
                <w:highlight w:val="none"/>
                <w:u w:val="none"/>
                <w:lang w:eastAsia="zh-CN" w:bidi="ar"/>
              </w:rPr>
              <w:t xml:space="preserve">系统稳定性：系统7×24小时稳定运行，故障恢复时间≤30分钟。</w:t>
            </w:r>
            <w:r>
              <w:rPr>
                <w:rFonts w:ascii="Times New Roman Regular" w:hAnsi="Times New Roman Regular" w:cs="Times New Roman Regular"/>
                <w:color w:val="000000"/>
                <w:sz w:val="22"/>
                <w:szCs w:val="22"/>
                <w:highlight w:val="none"/>
                <w:u w:val="none"/>
                <w:lang w:eastAsia="zh-CN" w:bidi="ar"/>
              </w:rPr>
            </w:r>
            <w:r/>
          </w:p>
          <w:p>
            <w:pPr>
              <w:pStyle w:val="991"/>
              <w:ind w:left="0" w:firstLine="0"/>
              <w:jc w:val="left"/>
              <w:spacing w:after="0"/>
              <w:rPr>
                <w:rFonts w:ascii="Times New Roman Regular" w:hAnsi="Times New Roman Regular" w:cs="Times New Roman Regular"/>
                <w:color w:val="000000"/>
                <w:sz w:val="22"/>
                <w:szCs w:val="22"/>
                <w:highlight w:val="none"/>
                <w:u w:val="none"/>
                <w:lang w:eastAsia="zh-CN"/>
              </w:rPr>
            </w:pPr>
            <w:r>
              <w:rPr>
                <w:rFonts w:hint="eastAsia" w:ascii="Times New Roman Regular" w:hAnsi="Times New Roman Regular" w:cs="Times New Roman Regular"/>
                <w:color w:val="000000"/>
                <w:sz w:val="22"/>
                <w:szCs w:val="22"/>
                <w:highlight w:val="none"/>
                <w:u w:val="none"/>
                <w:lang w:eastAsia="zh-CN" w:bidi="ar"/>
              </w:rPr>
              <w:t xml:space="preserve">系统可用性不低于99.9%；年度停机时间不超过8.76小时；系统故障后自动恢复时间不超过5分钟；数据恢复时间不超过30分钟。</w:t>
            </w:r>
            <w:r>
              <w:rPr>
                <w:rFonts w:ascii="Times New Roman Regular" w:hAnsi="Times New Roman Regular" w:cs="Times New Roman Regular"/>
                <w:color w:val="000000"/>
                <w:sz w:val="22"/>
                <w:szCs w:val="22"/>
                <w:highlight w:val="none"/>
                <w:u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4</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安全合规模块</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1、</w:t>
            </w:r>
            <w:r>
              <w:rPr>
                <w:rFonts w:hint="eastAsia" w:ascii="Times New Roman Regular" w:hAnsi="Times New Roman Regular" w:cs="Times New Roman Regular"/>
                <w:color w:val="000000"/>
                <w:sz w:val="22"/>
                <w:szCs w:val="22"/>
                <w:highlight w:val="none"/>
                <w:u w:val="none"/>
                <w:lang w:eastAsia="zh-CN" w:bidi="ar"/>
              </w:rPr>
              <w:t xml:space="preserve">等级保护：</w:t>
            </w:r>
            <w:r>
              <w:rPr>
                <w:rFonts w:ascii="Times New Roman Regular" w:hAnsi="Times New Roman Regular" w:cs="Times New Roman Regular"/>
                <w:color w:val="000000"/>
                <w:sz w:val="22"/>
                <w:szCs w:val="22"/>
                <w:highlight w:val="none"/>
                <w:u w:val="none"/>
                <w:lang w:eastAsia="zh-CN" w:bidi="ar"/>
              </w:rPr>
            </w:r>
            <w:r/>
          </w:p>
          <w:p>
            <w:pPr>
              <w:pStyle w:val="893"/>
              <w:ind w:firstLine="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符合网络安全等级保护三级、密码应用安全性评估三级要求。</w:t>
            </w:r>
            <w:r>
              <w:rPr>
                <w:rFonts w:ascii="Times New Roman Regular" w:hAnsi="Times New Roman Regular" w:cs="Times New Roman Regular"/>
                <w:color w:val="000000"/>
                <w:sz w:val="22"/>
                <w:szCs w:val="22"/>
                <w:highlight w:val="none"/>
                <w:u w:val="none"/>
                <w:lang w:eastAsia="zh-CN" w:bidi="ar"/>
              </w:rPr>
            </w:r>
            <w:r/>
          </w:p>
          <w:p>
            <w:pPr>
              <w:pStyle w:val="893"/>
              <w:ind w:firstLine="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依据《信息安全技术网络安全等级保护基本要求》（GB/T22239-2019）、《信息安全技术信息系统密码应用基本要求》（GB/T39786-2021）、《网络安全等级保护测评指南》（GB/T28448-2019）。</w:t>
            </w:r>
            <w:r>
              <w:rPr>
                <w:rFonts w:ascii="Times New Roman Regular" w:hAnsi="Times New Roman Regular" w:cs="Times New Roman Regular"/>
                <w:color w:val="000000"/>
                <w:sz w:val="22"/>
                <w:szCs w:val="22"/>
                <w:highlight w:val="none"/>
                <w:u w:val="none"/>
                <w:lang w:eastAsia="zh-CN" w:bidi="ar"/>
              </w:rPr>
            </w:r>
            <w:r/>
          </w:p>
          <w:p>
            <w:pPr>
              <w:pStyle w:val="893"/>
              <w:ind w:firstLine="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2、</w:t>
            </w:r>
            <w:r>
              <w:rPr>
                <w:rFonts w:hint="eastAsia" w:ascii="Times New Roman Regular" w:hAnsi="Times New Roman Regular" w:cs="Times New Roman Regular"/>
                <w:color w:val="000000"/>
                <w:sz w:val="22"/>
                <w:szCs w:val="22"/>
                <w:highlight w:val="none"/>
                <w:u w:val="none"/>
                <w:lang w:eastAsia="zh-CN" w:bidi="ar"/>
              </w:rPr>
              <w:t xml:space="preserve">数据加密：学生敏感数据（身份证号、体检报告等）采用国密算法加密存储/传输。传输加密：采用国密SSL证书（SM2算法），HTTPS强制启用TLS1.3协议；存储加密：敏感字段采用国密SM4算法加密存储；密钥管理：建立完善的密钥管理体系，加密密钥定期更换。</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3、</w:t>
            </w:r>
            <w:r>
              <w:rPr>
                <w:rFonts w:hint="eastAsia" w:ascii="Times New Roman Regular" w:hAnsi="Times New Roman Regular" w:cs="Times New Roman Regular"/>
                <w:color w:val="000000"/>
                <w:sz w:val="22"/>
                <w:szCs w:val="22"/>
                <w:highlight w:val="none"/>
                <w:u w:val="none"/>
                <w:lang w:eastAsia="zh-CN" w:bidi="ar"/>
              </w:rPr>
              <w:t xml:space="preserve">安全防护能力：具备完整安全审计、日志留存、漏洞防护能力，支持数据脱敏与访问权限管控。安全审计：记录所有用户操作（增删改查），支持按时间、IP、操作类型溯源；日志留存：建立完善的日志留存机制；漏洞防护：具备漏洞扫描和防护能力；数据脱敏：支持动态脱敏和静态脱敏；访问权限管控：基于RBAC模型的权限管理。</w:t>
            </w:r>
            <w:r>
              <w:rPr>
                <w:rFonts w:ascii="Times New Roman Regular" w:hAnsi="Times New Roman Regular" w:cs="Times New Roman Regular"/>
                <w:color w:val="000000"/>
                <w:sz w:val="22"/>
                <w:szCs w:val="22"/>
                <w:highlight w:val="none"/>
                <w:u w:val="none"/>
                <w:lang w:eastAsia="zh-CN" w:bidi="ar"/>
              </w:rPr>
            </w:r>
            <w:r/>
          </w:p>
          <w:p>
            <w:pPr>
              <w:pStyle w:val="893"/>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4、云计算服务安全保障：依托南京市电子政务云提供的安全服务能力，构建多层次安全防护体系。</w:t>
            </w:r>
            <w:r>
              <w:rPr>
                <w:rFonts w:ascii="Times New Roman Regular" w:hAnsi="Times New Roman Regular" w:cs="Times New Roman Regular"/>
                <w:color w:val="000000"/>
                <w:sz w:val="22"/>
                <w:szCs w:val="22"/>
                <w:highlight w:val="none"/>
                <w:u w:val="none"/>
                <w:lang w:eastAsia="zh-CN" w:bidi="ar"/>
              </w:rPr>
            </w:r>
            <w:r/>
          </w:p>
          <w:p>
            <w:pPr>
              <w:pStyle w:val="893"/>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1）云WAF防护：部署云Web应用防火墙（WAF），通过对HTTP（S）请求进行检测，识别并阻断SQL注入、跨站脚本攻击、网页木马上传、命令/代码注入、文件包含、敏感文件访问、第三方应用漏洞攻击、CC攻击、恶意爬虫扫描、跨站请求伪造等攻击，保护Web服务安全稳定。</w:t>
            </w:r>
            <w:r>
              <w:rPr>
                <w:rFonts w:ascii="Times New Roman Regular" w:hAnsi="Times New Roman Regular" w:cs="Times New Roman Regular"/>
                <w:color w:val="000000"/>
                <w:sz w:val="22"/>
                <w:szCs w:val="22"/>
                <w:highlight w:val="none"/>
                <w:u w:val="none"/>
                <w:lang w:eastAsia="zh-CN" w:bidi="ar"/>
              </w:rPr>
            </w:r>
            <w:r/>
          </w:p>
          <w:p>
            <w:pPr>
              <w:pStyle w:val="893"/>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★（2）云堡垒机：部署云堡垒机，提供运维操作全程审计，建立面向用户的集中、主动的运维安全管控模式，降低人为安全风险，满足合规要求。</w:t>
            </w:r>
            <w:r>
              <w:rPr>
                <w:rFonts w:ascii="Times New Roman Regular" w:hAnsi="Times New Roman Regular" w:cs="Times New Roman Regular"/>
                <w:color w:val="000000"/>
                <w:sz w:val="22"/>
                <w:szCs w:val="22"/>
                <w:highlight w:val="none"/>
                <w:u w:val="none"/>
                <w:lang w:eastAsia="zh-CN" w:bidi="ar"/>
              </w:rPr>
            </w:r>
            <w:r/>
          </w:p>
          <w:p>
            <w:pPr>
              <w:pStyle w:val="893"/>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（3）云数据库审计：部署云数据库审计服务，提供智能的数据库安全防护服务。基于反向代理及机器学习机制，提供敏感数据发现、数据脱敏、数据库审计和防注入攻击等功能，保障云上数据库的安全。</w:t>
            </w:r>
            <w:r>
              <w:rPr>
                <w:rFonts w:ascii="Times New Roman Regular" w:hAnsi="Times New Roman Regular" w:cs="Times New Roman Regular"/>
                <w:color w:val="000000"/>
                <w:sz w:val="22"/>
                <w:szCs w:val="22"/>
                <w:highlight w:val="none"/>
                <w:u w:val="none"/>
                <w:lang w:eastAsia="zh-CN" w:bidi="ar"/>
              </w:rPr>
            </w:r>
            <w:r/>
          </w:p>
          <w:p>
            <w:pPr>
              <w:pStyle w:val="893"/>
              <w:jc w:val="left"/>
              <w:spacing w:after="0"/>
              <w:rPr>
                <w:rFonts w:hint="eastAsia"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（4）网页防篡改：部署云网页防篡改服务，提供Web网站监测和篡改恢复能力，保护Web应用免遭恶意篡改。</w:t>
            </w:r>
            <w:r>
              <w:rPr>
                <w:rFonts w:hint="eastAsia" w:ascii="Times New Roman Regular" w:hAnsi="Times New Roman Regular" w:cs="Times New Roman Regular"/>
                <w:color w:val="000000"/>
                <w:sz w:val="22"/>
                <w:szCs w:val="22"/>
                <w:highlight w:val="none"/>
                <w:u w:val="none"/>
                <w:lang w:eastAsia="zh-CN" w:bidi="ar"/>
              </w:rPr>
            </w:r>
            <w:r/>
          </w:p>
          <w:p>
            <w:pPr>
              <w:pStyle w:val="893"/>
              <w:jc w:val="left"/>
              <w:spacing w:after="0"/>
              <w:rPr>
                <w:rFonts w:ascii="Times New Roman Regular" w:hAnsi="Times New Roman Regular" w:cs="Times New Roman Regular"/>
                <w:color w:val="000000"/>
                <w:sz w:val="22"/>
                <w:szCs w:val="22"/>
                <w:highlight w:val="none"/>
                <w:u w:val="none"/>
                <w:lang w:eastAsia="zh-CN"/>
              </w:rPr>
            </w:pPr>
            <w:r>
              <w:rPr>
                <w:rFonts w:hint="eastAsia" w:ascii="Times New Roman Regular" w:hAnsi="Times New Roman Regular" w:cs="Times New Roman Regular"/>
                <w:color w:val="000000"/>
                <w:sz w:val="22"/>
                <w:szCs w:val="22"/>
                <w:highlight w:val="none"/>
                <w:u w:val="none"/>
                <w:lang w:eastAsia="zh-CN" w:bidi="ar"/>
              </w:rPr>
              <w:t xml:space="preserve">（5）日志审计：部署日志审计服务，提供云资源的日志记录，通过日志记录实现安全分析、资源变更、合规审计、问题定位等场景。</w:t>
            </w:r>
            <w:r>
              <w:rPr>
                <w:rFonts w:ascii="Times New Roman Regular" w:hAnsi="Times New Roman Regular" w:cs="Times New Roman Regular"/>
                <w:color w:val="000000"/>
                <w:sz w:val="22"/>
                <w:szCs w:val="22"/>
                <w:highlight w:val="none"/>
                <w:u w:val="none"/>
                <w:lang w:eastAsia="zh-CN"/>
              </w:rPr>
            </w:r>
            <w:r/>
          </w:p>
        </w:tc>
      </w:tr>
      <w:tr>
        <w:trPr>
          <w:trHeight w:val="823"/>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5</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接口适配模块</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pStyle w:val="893"/>
              <w:numPr>
                <w:ilvl w:val="0"/>
                <w:numId w:val="1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政务平台对接：实现与以下政务平台的安全、高效对接。</w:t>
            </w:r>
            <w:r>
              <w:rPr>
                <w:rFonts w:ascii="Times New Roman Regular" w:hAnsi="Times New Roman Regular" w:cs="Times New Roman Regular"/>
                <w:color w:val="000000"/>
                <w:sz w:val="22"/>
                <w:szCs w:val="22"/>
                <w:highlight w:val="none"/>
                <w:lang w:eastAsia="zh-CN" w:bidi="ar"/>
              </w:rPr>
            </w:r>
            <w:r/>
          </w:p>
          <w:p>
            <w:pPr>
              <w:pStyle w:val="893"/>
              <w:numPr>
                <w:ilvl w:val="0"/>
                <w:numId w:val="11"/>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南京市电子政务云：充分利用南京市电子政务云提供的计算、存储、网络资源，完成系统部署和运行。</w:t>
            </w:r>
            <w:r>
              <w:rPr>
                <w:rFonts w:ascii="Times New Roman Regular" w:hAnsi="Times New Roman Regular" w:cs="Times New Roman Regular"/>
                <w:color w:val="000000"/>
                <w:sz w:val="22"/>
                <w:szCs w:val="22"/>
                <w:highlight w:val="none"/>
                <w:u w:val="none"/>
                <w:lang w:eastAsia="zh-CN" w:bidi="ar"/>
              </w:rPr>
            </w:r>
            <w:r/>
          </w:p>
          <w:p>
            <w:pPr>
              <w:pStyle w:val="893"/>
              <w:numPr>
                <w:ilvl w:val="0"/>
                <w:numId w:val="11"/>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"我的南京"政务版/APP：工作人员端应用接入"我的南京"政务版工作台，复用用户中心、权限分配、消息推送等平台能力；面向家长端通过"我的南京"APP提供学生健康信息查询、报告推送、健康提醒等服务。</w:t>
            </w:r>
            <w:r>
              <w:rPr>
                <w:rFonts w:ascii="Times New Roman Regular" w:hAnsi="Times New Roman Regular" w:cs="Times New Roman Regular"/>
                <w:color w:val="000000"/>
                <w:sz w:val="22"/>
                <w:szCs w:val="22"/>
                <w:highlight w:val="none"/>
                <w:u w:val="none"/>
                <w:lang w:eastAsia="zh-CN" w:bidi="ar"/>
              </w:rPr>
            </w:r>
            <w:r/>
          </w:p>
          <w:p>
            <w:pPr>
              <w:pStyle w:val="893"/>
              <w:numPr>
                <w:ilvl w:val="0"/>
                <w:numId w:val="11"/>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市统一身份认证平台：对接南京市统一身份认证平台，实现用户统一登录和权限管理。</w:t>
            </w:r>
            <w:r>
              <w:rPr>
                <w:rFonts w:ascii="Times New Roman Regular" w:hAnsi="Times New Roman Regular" w:cs="Times New Roman Regular"/>
                <w:color w:val="000000"/>
                <w:sz w:val="22"/>
                <w:szCs w:val="22"/>
                <w:highlight w:val="none"/>
                <w:u w:val="none"/>
                <w:lang w:eastAsia="zh-CN" w:bidi="ar"/>
              </w:rPr>
            </w:r>
            <w:r/>
          </w:p>
          <w:p>
            <w:pPr>
              <w:pStyle w:val="893"/>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2、数据共享接口：支持教育、卫健等部门数据共享接口，兼容国标数据格式。接口协议：HTTPS+RESTful API；数据格式：JSON格式，符合相关接口规范；安全机制：使用国密SM2数字证书进行身份认证；支持向上级教育平台提供标准化数据接口。</w:t>
            </w:r>
            <w:r>
              <w:rPr>
                <w:rFonts w:ascii="Times New Roman Regular" w:hAnsi="Times New Roman Regular" w:cs="Times New Roman Regular"/>
                <w:color w:val="000000"/>
                <w:sz w:val="22"/>
                <w:szCs w:val="22"/>
                <w:highlight w:val="none"/>
                <w:u w:val="none"/>
                <w:lang w:eastAsia="zh-CN" w:bidi="ar"/>
              </w:rPr>
            </w:r>
            <w:r/>
          </w:p>
          <w:p>
            <w:pPr>
              <w:pStyle w:val="991"/>
              <w:numPr>
                <w:ilvl w:val="0"/>
                <w:numId w:val="0"/>
              </w:numPr>
              <w:ind w:left="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val="en-US" w:eastAsia="zh-CN" w:bidi="ar"/>
              </w:rPr>
              <w:t xml:space="preserve">3、</w:t>
            </w:r>
            <w:r>
              <w:rPr>
                <w:rFonts w:hint="eastAsia" w:ascii="Times New Roman Regular" w:hAnsi="Times New Roman Regular" w:cs="Times New Roman Regular"/>
                <w:color w:val="000000"/>
                <w:sz w:val="22"/>
                <w:szCs w:val="22"/>
                <w:highlight w:val="none"/>
                <w:u w:val="none"/>
                <w:lang w:eastAsia="zh-CN" w:bidi="ar"/>
              </w:rPr>
              <w:t xml:space="preserve">政务服务平台对接：实现与以下政务服务平台的安全、高效对接。</w:t>
            </w:r>
            <w:r>
              <w:rPr>
                <w:rFonts w:ascii="Times New Roman Regular" w:hAnsi="Times New Roman Regular" w:cs="Times New Roman Regular"/>
                <w:color w:val="000000"/>
                <w:sz w:val="22"/>
                <w:szCs w:val="22"/>
                <w:highlight w:val="none"/>
                <w:u w:val="none"/>
                <w:lang w:eastAsia="zh-CN" w:bidi="ar"/>
              </w:rPr>
            </w:r>
            <w:r/>
          </w:p>
          <w:p>
            <w:pPr>
              <w:pStyle w:val="893"/>
              <w:numPr>
                <w:ilvl w:val="0"/>
                <w:numId w:val="12"/>
              </w:numPr>
              <w:ind w:firstLine="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中国南京"网站对接：对接"中国南京"门户网站，提供学生健康管理相关信息的公开查询服务。支持健康政策、通知公告等信息公开发布；提供标准化数据接口，兼容"中国南京"网站数据格式要求；接口安全采用HTTPS协议，数据传输加密。</w:t>
            </w:r>
            <w:r>
              <w:rPr>
                <w:rFonts w:ascii="Times New Roman Regular" w:hAnsi="Times New Roman Regular" w:cs="Times New Roman Regular"/>
                <w:color w:val="000000"/>
                <w:sz w:val="22"/>
                <w:szCs w:val="22"/>
                <w:highlight w:val="none"/>
                <w:u w:val="none"/>
                <w:lang w:eastAsia="zh-CN" w:bidi="ar"/>
              </w:rPr>
            </w:r>
            <w:r/>
          </w:p>
          <w:p>
            <w:pPr>
              <w:pStyle w:val="893"/>
              <w:numPr>
                <w:ilvl w:val="0"/>
                <w:numId w:val="12"/>
              </w:numPr>
              <w:ind w:firstLine="0"/>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市统一支付平台对接：对接南京市统一支付平台，支持相关业务的在线支付功能。</w:t>
            </w:r>
            <w:r>
              <w:rPr>
                <w:rFonts w:hint="eastAsia" w:ascii="Times New Roman Regular" w:hAnsi="Times New Roman Regular" w:cs="Times New Roman Regular"/>
                <w:color w:val="000000"/>
                <w:sz w:val="22"/>
                <w:szCs w:val="22"/>
                <w:highlight w:val="none"/>
                <w:lang w:eastAsia="zh-CN" w:bidi="ar"/>
              </w:rPr>
              <w:t xml:space="preserve">对接市统一支付平台接口规范；支持安全的支付流程和交易记录管理；支付数据采用国密算法加密传输。</w:t>
            </w:r>
            <w:r>
              <w:rPr>
                <w:rFonts w:ascii="Times New Roman Regular" w:hAnsi="Times New Roman Regular" w:cs="Times New Roman Regular"/>
                <w:color w:val="000000"/>
                <w:sz w:val="22"/>
                <w:szCs w:val="22"/>
                <w:highlight w:val="none"/>
                <w:lang w:eastAsia="zh-CN" w:bidi="ar"/>
              </w:rPr>
            </w:r>
            <w:r/>
          </w:p>
          <w:p>
            <w:pPr>
              <w:pStyle w:val="893"/>
              <w:numPr>
                <w:ilvl w:val="0"/>
                <w:numId w:val="12"/>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南京市政务数据共享交换平台对接：对接南京市政务数据共享交换平台，实现教育健康数据的安全共享。按照政务数据共享交换平台接口规范提供数据接口；支持JSON格式数据交换，字段包括机构编码、学生人数、达标率等；数据共享需经过申请、审批、授权等流程；接口调用采用HTTPS协议，使用国密SM2证书进行加密传输；支持按需订阅数据变更消息，实时获取数据更新通知。</w:t>
            </w:r>
            <w:r>
              <w:rPr>
                <w:rFonts w:ascii="Times New Roman Regular" w:hAnsi="Times New Roman Regular" w:cs="Times New Roman Regular"/>
                <w:color w:val="000000"/>
                <w:sz w:val="22"/>
                <w:szCs w:val="22"/>
                <w:highlight w:val="none"/>
                <w:lang w:eastAsia="zh-CN" w:bidi="ar"/>
              </w:rPr>
            </w:r>
            <w:r/>
          </w:p>
          <w:p>
            <w:pPr>
              <w:pStyle w:val="991"/>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w:t>
            </w:r>
            <w:r>
              <w:rPr>
                <w:rFonts w:hint="eastAsia" w:ascii="Times New Roman Regular" w:hAnsi="Times New Roman Regular" w:cs="Times New Roman Regular"/>
                <w:color w:val="000000"/>
                <w:sz w:val="22"/>
                <w:szCs w:val="22"/>
                <w:highlight w:val="none"/>
                <w:lang w:val="en-US" w:eastAsia="zh-CN" w:bidi="ar"/>
              </w:rPr>
              <w:t xml:space="preserve">4</w:t>
            </w:r>
            <w:r>
              <w:rPr>
                <w:rFonts w:hint="eastAsia" w:ascii="Times New Roman Regular" w:hAnsi="Times New Roman Regular" w:cs="Times New Roman Regular"/>
                <w:color w:val="000000"/>
                <w:sz w:val="22"/>
                <w:szCs w:val="22"/>
                <w:highlight w:val="none"/>
                <w:lang w:eastAsia="zh-CN" w:bidi="ar"/>
              </w:rPr>
              <w:t xml:space="preserve">）接口联调机制：建立完善的接口联调机制，确保各系统对接的顺利实施。制定详细的接口联调计划，明确联调时间节点和参与方；建立联调测试环境，提供接口模拟和测试工具；建立联调问题跟踪机制，及时发现和解决接口对接问题；联调完成后出具联调测试报告，确认接口功能和性能达标。</w:t>
            </w:r>
            <w:r>
              <w:rPr>
                <w:rFonts w:ascii="Times New Roman Regular" w:hAnsi="Times New Roman Regular" w:cs="Times New Roman Regular"/>
                <w:color w:val="000000"/>
                <w:sz w:val="22"/>
                <w:szCs w:val="22"/>
                <w:highlight w:val="none"/>
                <w:lang w:eastAsia="zh-CN" w:bidi="ar"/>
              </w:rPr>
            </w:r>
            <w:r/>
          </w:p>
          <w:p>
            <w:pPr>
              <w:pStyle w:val="923"/>
              <w:numPr>
                <w:ilvl w:val="0"/>
                <w:numId w:val="0"/>
              </w:numPr>
              <w:ind w:left="0" w:firstLine="0"/>
              <w:jc w:val="left"/>
              <w:spacing w:after="0"/>
              <w:tabs>
                <w:tab w:val="left" w:pos="360" w:leader="none"/>
              </w:tabs>
              <w:rPr>
                <w:rFonts w:ascii="Times New Roman Regular" w:hAnsi="Times New Roman Regular" w:eastAsia="方正仿宋_GBK" w:cs="Times New Roman Regular"/>
                <w:color w:val="000000"/>
                <w:sz w:val="24"/>
                <w:szCs w:val="24"/>
                <w:highlight w:val="none"/>
                <w:lang w:eastAsia="zh-CN"/>
              </w:rPr>
            </w:pPr>
            <w:r>
              <w:rPr>
                <w:rFonts w:hint="eastAsia" w:ascii="Times New Roman Regular" w:hAnsi="Times New Roman Regular" w:cs="Times New Roman Regular"/>
                <w:color w:val="000000"/>
                <w:sz w:val="22"/>
                <w:szCs w:val="22"/>
                <w:highlight w:val="none"/>
                <w:lang w:eastAsia="zh-CN" w:bidi="ar"/>
              </w:rPr>
              <w:t xml:space="preserve">（5）数据扩展：预留心理健康、幼儿园儿童健康等后续业务扩展接口</w:t>
            </w:r>
            <w:r>
              <w:rPr>
                <w:rFonts w:ascii="Times New Roman Regular" w:hAnsi="Times New Roman Regular" w:eastAsia="方正仿宋_GBK" w:cs="Times New Roman Regular"/>
                <w:color w:val="000000"/>
                <w:sz w:val="24"/>
                <w:szCs w:val="24"/>
                <w:highlight w:val="none"/>
                <w:lang w:eastAsia="zh-CN"/>
              </w:rPr>
            </w:r>
            <w:r/>
          </w:p>
        </w:tc>
      </w:tr>
      <w:tr>
        <w:trPr>
          <w:trHeight w:val="773"/>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6</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rPr>
                <w:rFonts w:ascii="Times New Roman Regular" w:hAnsi="Times New Roman Regular" w:cs="Times New Roman Regular"/>
                <w:color w:val="000000"/>
                <w:sz w:val="22"/>
                <w:szCs w:val="22"/>
                <w:highlight w:val="none"/>
                <w:lang w:eastAsia="zh-CN"/>
              </w:rPr>
            </w:pPr>
            <w:r>
              <w:rPr>
                <w:rFonts w:hint="eastAsia" w:ascii="Times New Roman Regular" w:hAnsi="Times New Roman Regular" w:cs="Times New Roman Regular"/>
                <w:color w:val="000000"/>
                <w:sz w:val="22"/>
                <w:szCs w:val="22"/>
                <w:highlight w:val="none"/>
                <w:lang w:eastAsia="zh-CN" w:bidi="ar"/>
              </w:rPr>
              <w:t xml:space="preserve">数据治理与平台支撑能力模块</w:t>
            </w:r>
            <w:r>
              <w:rPr>
                <w:rFonts w:ascii="Times New Roman Regular" w:hAnsi="Times New Roman Regular" w:cs="Times New Roman Regular"/>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pStyle w:val="893"/>
              <w:numPr>
                <w:ilvl w:val="0"/>
                <w:numId w:val="13"/>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数据资源汇聚能力：建立多源数据汇聚机制，实现各类数据的统一接入和整合。</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ind w:firstLine="0"/>
              <w:jc w:val="left"/>
              <w:spacing w:after="0"/>
              <w:rPr>
                <w:rFonts w:hint="eastAsia" w:ascii="Times New Roman Regular" w:hAnsi="Times New Roman Regular" w:eastAsia="宋体"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（1）</w:t>
            </w:r>
            <w:r>
              <w:rPr>
                <w:rFonts w:hint="eastAsia" w:ascii="Times New Roman Regular" w:hAnsi="Times New Roman Regular" w:eastAsia="宋体" w:cs="Times New Roman Regular"/>
                <w:color w:val="000000"/>
                <w:sz w:val="22"/>
                <w:szCs w:val="22"/>
                <w:highlight w:val="none"/>
                <w:u w:val="none"/>
                <w:lang w:eastAsia="zh-CN" w:bidi="ar"/>
              </w:rPr>
              <w:t xml:space="preserve">健康数据汇聚：</w:t>
            </w:r>
            <w:r>
              <w:rPr>
                <w:rFonts w:hint="eastAsia" w:ascii="Times New Roman Regular" w:hAnsi="Times New Roman Regular" w:eastAsia="宋体" w:cs="Times New Roman Regular"/>
                <w:color w:val="000000"/>
                <w:sz w:val="22"/>
                <w:highlight w:val="none"/>
                <w:shd w:val="clear" w:color="auto" w:fill="auto"/>
                <w:lang w:bidi="ar"/>
              </w:rPr>
              <w:t xml:space="preserve">支持学生健康档案、体检、体测、视力筛查等数据统一归集、统一展示和持续维护，</w:t>
            </w:r>
            <w:r>
              <w:rPr>
                <w:rFonts w:hint="eastAsia" w:ascii="Times New Roman Regular" w:hAnsi="Times New Roman Regular" w:eastAsia="宋体" w:cs="Times New Roman Regular"/>
                <w:color w:val="000000"/>
                <w:sz w:val="22"/>
                <w:szCs w:val="22"/>
                <w:highlight w:val="none"/>
                <w:u w:val="none"/>
                <w:lang w:eastAsia="zh-CN" w:bidi="ar"/>
              </w:rPr>
              <w:t xml:space="preserve">建立学生体检、体测、视力防控等多维度健康数据的统一汇聚机制，支持来自不同检测设备、不同时间段、不同检测机构的数据统一接入。</w:t>
            </w:r>
            <w:r>
              <w:rPr>
                <w:rFonts w:hint="eastAsia" w:ascii="Times New Roman Regular" w:hAnsi="Times New Roman Regular" w:eastAsia="宋体" w:cs="Times New Roman Regular"/>
                <w:color w:val="000000"/>
                <w:sz w:val="22"/>
                <w:szCs w:val="22"/>
                <w:highlight w:val="none"/>
                <w:u w:val="none"/>
                <w:lang w:eastAsia="zh-CN" w:bidi="ar"/>
              </w:rPr>
            </w:r>
            <w:r/>
          </w:p>
          <w:p>
            <w:pPr>
              <w:pStyle w:val="893"/>
              <w:numPr>
                <w:ilvl w:val="0"/>
                <w:numId w:val="0"/>
              </w:numPr>
              <w:ind w:firstLine="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eastAsia="宋体" w:cs="Times New Roman Regular"/>
                <w:color w:val="000000"/>
                <w:sz w:val="22"/>
                <w:szCs w:val="22"/>
                <w:highlight w:val="none"/>
                <w:u w:val="none"/>
                <w:lang w:eastAsia="zh-CN" w:bidi="ar"/>
              </w:rPr>
              <w:t xml:space="preserve">（2）营养数据汇聚：</w:t>
            </w:r>
            <w:r>
              <w:rPr>
                <w:rFonts w:hint="eastAsia" w:ascii="Times New Roman Regular" w:hAnsi="Times New Roman Regular" w:eastAsia="宋体" w:cs="Times New Roman Regular"/>
                <w:color w:val="000000"/>
                <w:sz w:val="22"/>
                <w:highlight w:val="none"/>
                <w:shd w:val="clear" w:color="auto" w:fill="auto"/>
                <w:lang w:bidi="ar"/>
              </w:rPr>
              <w:t xml:space="preserve">支持食材、菜品、食谱、早午餐供应、营养成分等数据集中管理，</w:t>
            </w:r>
            <w:r>
              <w:rPr>
                <w:rFonts w:hint="eastAsia" w:ascii="Times New Roman Regular" w:hAnsi="Times New Roman Regular" w:eastAsia="宋体" w:cs="Times New Roman Regular"/>
                <w:color w:val="000000"/>
                <w:sz w:val="22"/>
                <w:szCs w:val="22"/>
                <w:highlight w:val="none"/>
                <w:u w:val="none"/>
                <w:lang w:eastAsia="zh-CN" w:bidi="ar"/>
              </w:rPr>
              <w:t xml:space="preserve">构</w:t>
            </w:r>
            <w:r>
              <w:rPr>
                <w:rFonts w:hint="eastAsia" w:ascii="Times New Roman Regular" w:hAnsi="Times New Roman Regular" w:cs="Times New Roman Regular"/>
                <w:color w:val="000000"/>
                <w:sz w:val="22"/>
                <w:szCs w:val="22"/>
                <w:highlight w:val="none"/>
                <w:u w:val="none"/>
                <w:lang w:eastAsia="zh-CN" w:bidi="ar"/>
              </w:rPr>
              <w:t xml:space="preserve">建食堂食材、菜品、营养成分等数据的集中汇聚平台，整合《中国食物成分表》标准数据与实际食材采购数据。</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（3）管理数据汇聚：汇聚学校基础信息、人员信息、组织架构等管理数据，形成统一的基础数据资源池。</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（4）数据接入方式：支持以下数据接入方式。</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ind w:firstLine="44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实时接入服务：支持体测设备、视力检测设备等智能设备的实时数据接入，采用标准化接口协议；</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ind w:firstLine="44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批量接入服务：支持Excel模板、CSV文件等批量数据导入，提供数据格式校验和转换服务；</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ind w:firstLine="440"/>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API接入服务：提供标准化RESTful API接口，支持第三方系统数据接入和数据交换。</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2、数据规范管理能力：建立统一的数据规范管理体系，确保数据的一致性、完整性和可识别性。</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（1）数据标准化服务：建立统一的数据编码体系，包括学生编码、学校编码、检测项目编码等</w:t>
            </w:r>
            <w:r>
              <w:rPr>
                <w:rFonts w:hint="eastAsia" w:ascii="Times New Roman Regular" w:hAnsi="Times New Roman Regular" w:eastAsia="宋体" w:cs="Times New Roman Regular"/>
                <w:color w:val="000000"/>
                <w:sz w:val="22"/>
                <w:szCs w:val="22"/>
                <w:highlight w:val="none"/>
                <w:u w:val="none"/>
                <w:lang w:eastAsia="zh-CN" w:bidi="ar"/>
              </w:rPr>
              <w:t xml:space="preserve">，</w:t>
            </w:r>
            <w:r>
              <w:rPr>
                <w:rFonts w:hint="eastAsia" w:ascii="Times New Roman Regular" w:hAnsi="Times New Roman Regular" w:eastAsia="宋体" w:cs="Times New Roman Regular"/>
                <w:color w:val="000000"/>
                <w:sz w:val="22"/>
                <w:highlight w:val="none"/>
                <w:shd w:val="clear" w:color="auto" w:fill="auto"/>
                <w:lang w:bidi="ar"/>
              </w:rPr>
              <w:t xml:space="preserve">以及班级、食堂、送餐公司、食材、菜品、食谱等业务对象编码，</w:t>
            </w:r>
            <w:r>
              <w:rPr>
                <w:rFonts w:hint="eastAsia" w:ascii="Times New Roman Regular" w:hAnsi="Times New Roman Regular" w:eastAsia="宋体" w:cs="Times New Roman Regular"/>
                <w:color w:val="000000"/>
                <w:sz w:val="22"/>
                <w:szCs w:val="22"/>
                <w:highlight w:val="none"/>
                <w:u w:val="none"/>
                <w:lang w:eastAsia="zh-CN" w:bidi="ar"/>
              </w:rPr>
              <w:t xml:space="preserve">确保数据的唯</w:t>
            </w:r>
            <w:r>
              <w:rPr>
                <w:rFonts w:hint="eastAsia" w:ascii="Times New Roman Regular" w:hAnsi="Times New Roman Regular" w:cs="Times New Roman Regular"/>
                <w:color w:val="000000"/>
                <w:sz w:val="22"/>
                <w:szCs w:val="22"/>
                <w:highlight w:val="none"/>
                <w:u w:val="none"/>
                <w:lang w:eastAsia="zh-CN" w:bidi="ar"/>
              </w:rPr>
              <w:t xml:space="preserve">一性和可识别性。制定统一的数据格式规范，包括日期格式、数值精度、文本长度等，保证数据的一致性。建立完整的数据字典，定义各类数据的含义、取值范围、约束条件等。</w:t>
            </w:r>
            <w:r>
              <w:rPr>
                <w:rFonts w:ascii="Times New Roman Regular" w:hAnsi="Times New Roman Regular" w:cs="Times New Roman Regular"/>
                <w:color w:val="000000"/>
                <w:sz w:val="22"/>
                <w:szCs w:val="22"/>
                <w:highlight w:val="none"/>
                <w:u w:val="none"/>
                <w:lang w:eastAsia="zh-CN" w:bidi="ar"/>
              </w:rPr>
            </w:r>
            <w:r/>
          </w:p>
          <w:p>
            <w:pPr>
              <w:pStyle w:val="893"/>
              <w:numPr>
                <w:ilvl w:val="0"/>
                <w:numId w:val="0"/>
              </w:numPr>
              <w:ind w:firstLine="0"/>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（2）数据质量管理服务：提供数据完整性、准确性、一致性校验功能，自动识别和标记异常数据。</w:t>
            </w:r>
            <w:r>
              <w:rPr>
                <w:rFonts w:hint="eastAsia" w:ascii="Times New Roman Regular" w:hAnsi="Times New Roman Regular" w:cs="Times New Roman Regular"/>
                <w:color w:val="000000"/>
                <w:sz w:val="22"/>
                <w:szCs w:val="22"/>
                <w:highlight w:val="none"/>
                <w:lang w:eastAsia="zh-CN" w:bidi="ar"/>
              </w:rPr>
              <w:t xml:space="preserve">建立数据清洗规则库，自动处理重复数据、错误数据、缺失数据等问题。建立数据质量监控指标体系，实时监控数据质量状况。</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（3）元数据管理服务：自动采集系统中各类数据的元数据信息，包括数据来源、数据结构、数据关系等。建立统一的元数据存储库，提供元数据的集中管理和维护。为数据使用者提供元数据查询和浏览服务。</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3、数据加工处理能力：提供数据计算、转换、</w:t>
            </w:r>
            <w:r>
              <w:rPr>
                <w:rFonts w:hint="eastAsia" w:ascii="Times New Roman Regular" w:hAnsi="Times New Roman Regular" w:cs="Times New Roman Regular"/>
                <w:color w:val="000000"/>
                <w:sz w:val="22"/>
                <w:szCs w:val="22"/>
                <w:highlight w:val="none"/>
                <w:lang w:val="en-US" w:eastAsia="zh-CN" w:bidi="ar"/>
              </w:rPr>
              <w:t xml:space="preserve">统计</w:t>
            </w:r>
            <w:r>
              <w:rPr>
                <w:rFonts w:hint="eastAsia" w:ascii="Times New Roman Regular" w:hAnsi="Times New Roman Regular" w:cs="Times New Roman Regular"/>
                <w:color w:val="000000"/>
                <w:sz w:val="22"/>
                <w:szCs w:val="22"/>
                <w:highlight w:val="none"/>
                <w:lang w:eastAsia="zh-CN" w:bidi="ar"/>
              </w:rPr>
              <w:t xml:space="preserve">和挖掘服务，支撑业务分析和决策支持。</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（1）数据计算服务：提供BMI指数、体质等级、视力等级等健康指标的自动计算服务。</w:t>
            </w:r>
            <w:r>
              <w:rPr>
                <w:rFonts w:hint="eastAsia" w:ascii="Times New Roman Regular" w:hAnsi="Times New Roman Regular" w:eastAsia="宋体" w:cs="Times New Roman Regular"/>
                <w:color w:val="000000"/>
                <w:sz w:val="22"/>
                <w:highlight w:val="none"/>
                <w:shd w:val="clear" w:color="auto" w:fill="auto"/>
                <w:lang w:bidi="ar"/>
              </w:rPr>
              <w:t xml:space="preserve">支持营养含量、膳食均衡性、营养达标率、早午餐上报及时率等指标自动计算。</w:t>
            </w:r>
            <w:r>
              <w:rPr>
                <w:rFonts w:hint="eastAsia" w:ascii="Times New Roman Regular" w:hAnsi="Times New Roman Regular" w:eastAsia="宋体" w:cs="Times New Roman Regular"/>
                <w:color w:val="000000"/>
                <w:sz w:val="22"/>
                <w:szCs w:val="22"/>
                <w:highlight w:val="none"/>
                <w:lang w:eastAsia="zh-CN" w:bidi="ar"/>
              </w:rPr>
              <w:t xml:space="preserve">基</w:t>
            </w:r>
            <w:r>
              <w:rPr>
                <w:rFonts w:hint="eastAsia" w:ascii="Times New Roman Regular" w:hAnsi="Times New Roman Regular" w:cs="Times New Roman Regular"/>
                <w:color w:val="000000"/>
                <w:sz w:val="22"/>
                <w:szCs w:val="22"/>
                <w:highlight w:val="none"/>
                <w:lang w:eastAsia="zh-CN" w:bidi="ar"/>
              </w:rPr>
              <w:t xml:space="preserve">于食材营养成分数据，自动计算菜品营养含量、膳食均衡性等指标。提供多维度数据统计分析服务，包括趋势分析、对比分析、相关性分析等。</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hint="eastAsia"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（2）数据转换服务：支持不同数据格式间的转换，如Excel转JSON、CSV转XML等。支持不同编码格式的数据转换，确保数据在不同系统间的正确传输。支持数据结构的转换和映射，适应不同系统的数据结构要求。</w:t>
            </w:r>
            <w:r>
              <w:rPr>
                <w:rFonts w:hint="eastAsia" w:ascii="Times New Roman Regular" w:hAnsi="Times New Roman Regular" w:cs="Times New Roman Regular"/>
                <w:color w:val="000000"/>
                <w:sz w:val="22"/>
                <w:szCs w:val="22"/>
                <w:highlight w:val="none"/>
                <w:lang w:eastAsia="zh-CN" w:bidi="ar"/>
              </w:rPr>
            </w:r>
            <w:r/>
          </w:p>
          <w:p>
            <w:pPr>
              <w:pStyle w:val="893"/>
              <w:jc w:val="left"/>
              <w:rPr>
                <w:rFonts w:hint="eastAsia" w:ascii="Times New Roman Regular" w:hAnsi="Times New Roman Regular" w:eastAsia="宋体" w:cs="Times New Roman Regular"/>
                <w:color w:val="000000"/>
                <w:sz w:val="22"/>
                <w:highlight w:val="none"/>
                <w:lang w:val="en-US" w:eastAsia="zh-CN" w:bidi="ar"/>
              </w:rPr>
            </w:pPr>
            <w:r>
              <w:rPr>
                <w:rFonts w:hint="eastAsia" w:ascii="Times New Roman Regular" w:hAnsi="Times New Roman Regular" w:cs="Times New Roman Regular"/>
                <w:color w:val="000000"/>
                <w:sz w:val="22"/>
                <w:szCs w:val="22"/>
                <w:highlight w:val="none"/>
                <w:lang w:eastAsia="zh-CN" w:bidi="ar"/>
              </w:rPr>
              <w:t xml:space="preserve">（</w:t>
            </w:r>
            <w:r>
              <w:rPr>
                <w:rFonts w:hint="eastAsia" w:ascii="Times New Roman Regular" w:hAnsi="Times New Roman Regular" w:cs="Times New Roman Regular"/>
                <w:color w:val="000000"/>
                <w:sz w:val="22"/>
                <w:szCs w:val="22"/>
                <w:highlight w:val="none"/>
                <w:lang w:val="en-US" w:eastAsia="zh-CN" w:bidi="ar"/>
              </w:rPr>
              <w:t xml:space="preserve">3</w:t>
            </w:r>
            <w:r>
              <w:rPr>
                <w:rFonts w:hint="eastAsia" w:ascii="Times New Roman Regular" w:hAnsi="Times New Roman Regular" w:cs="Times New Roman Regular"/>
                <w:color w:val="000000"/>
                <w:sz w:val="22"/>
                <w:szCs w:val="22"/>
                <w:highlight w:val="none"/>
                <w:lang w:eastAsia="zh-CN" w:bidi="ar"/>
              </w:rPr>
              <w:t xml:space="preserve">）</w:t>
            </w:r>
            <w:r>
              <w:rPr>
                <w:rFonts w:hint="eastAsia" w:ascii="Times New Roman Regular" w:hAnsi="Times New Roman Regular" w:cs="Times New Roman Regular"/>
                <w:color w:val="000000"/>
                <w:sz w:val="22"/>
                <w:szCs w:val="22"/>
                <w:highlight w:val="none"/>
                <w:lang w:val="en-US" w:eastAsia="zh-CN" w:bidi="ar"/>
              </w:rPr>
              <w:t xml:space="preserve">数据统计服务：</w:t>
            </w:r>
            <w:r>
              <w:rPr>
                <w:rFonts w:hint="eastAsia" w:ascii="Times New Roman Regular" w:hAnsi="Times New Roman Regular" w:eastAsia="宋体" w:cs="Times New Roman Regular"/>
                <w:color w:val="000000"/>
                <w:sz w:val="22"/>
                <w:highlight w:val="none"/>
                <w:lang w:val="en-US" w:eastAsia="zh-CN" w:bidi="ar"/>
              </w:rPr>
              <w:t xml:space="preserve">数据统计服务：</w:t>
            </w:r>
            <w:r>
              <w:rPr>
                <w:rFonts w:hint="eastAsia" w:ascii="Times New Roman Regular" w:hAnsi="Times New Roman Regular" w:eastAsia="宋体" w:cs="Times New Roman Regular"/>
                <w:color w:val="000000"/>
                <w:sz w:val="22"/>
                <w:highlight w:val="none"/>
                <w:shd w:val="clear" w:color="auto" w:fill="auto"/>
                <w:lang w:bidi="ar"/>
              </w:rPr>
              <w:t xml:space="preserve">支持学生健康管理平台与食堂信息化管理平台数据联动分析，形成学生健康状况、食堂营养供给、食品安全整改、宣教答题等综合分析结果，为市、区、校三级监管和综合决策报表提供数据支撑。</w:t>
            </w:r>
            <w:r>
              <w:rPr>
                <w:rFonts w:hint="eastAsia" w:ascii="Times New Roman Regular" w:hAnsi="Times New Roman Regular" w:eastAsia="宋体" w:cs="Times New Roman Regular"/>
                <w:color w:val="000000"/>
                <w:sz w:val="22"/>
                <w:highlight w:val="none"/>
                <w:lang w:val="en-US"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w:t>
            </w:r>
            <w:r>
              <w:rPr>
                <w:rFonts w:hint="eastAsia" w:ascii="Times New Roman Regular" w:hAnsi="Times New Roman Regular" w:cs="Times New Roman Regular"/>
                <w:color w:val="000000"/>
                <w:sz w:val="22"/>
                <w:szCs w:val="22"/>
                <w:highlight w:val="none"/>
                <w:lang w:val="en-US" w:eastAsia="zh-CN" w:bidi="ar"/>
              </w:rPr>
              <w:t xml:space="preserve">4</w:t>
            </w:r>
            <w:r>
              <w:rPr>
                <w:rFonts w:hint="eastAsia" w:ascii="Times New Roman Regular" w:hAnsi="Times New Roman Regular" w:cs="Times New Roman Regular"/>
                <w:color w:val="000000"/>
                <w:sz w:val="22"/>
                <w:szCs w:val="22"/>
                <w:highlight w:val="none"/>
                <w:lang w:eastAsia="zh-CN" w:bidi="ar"/>
              </w:rPr>
              <w:t xml:space="preserve">）数据挖掘服务：通过数据挖掘技术识别学生健康数据中的规律和模式。基于历史数据建立预测模型，预测学生健康发展趋势。分析不同健康指标间的关联关系，为健康干预提供科学依据。</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4、数据质量服务能力：建立完善的数据质量服务体系，确保数据的准确性和可靠性。</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（1）数据质量评估服务：建立数据质量评估指标体系，包括完整性、准确性、一致性、时效性等维度。定期生成数据质量评估报告，为数据管理提供决策支持。分析数据质量变化趋势，及时发现质量下降问题。</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（2）数据质量改进服务：自动诊断数据质量问题的根本原因，提供针对性</w:t>
            </w:r>
            <w:r>
              <w:rPr>
                <w:rFonts w:hint="eastAsia" w:ascii="Times New Roman Regular" w:hAnsi="Times New Roman Regular" w:cs="Times New Roman Regular"/>
                <w:color w:val="000000"/>
                <w:sz w:val="22"/>
                <w:szCs w:val="22"/>
                <w:highlight w:val="none"/>
                <w:lang w:val="en-US" w:eastAsia="zh-CN" w:bidi="ar"/>
              </w:rPr>
              <w:t xml:space="preserve">的</w:t>
            </w:r>
            <w:r>
              <w:rPr>
                <w:rFonts w:hint="eastAsia" w:ascii="Times New Roman Regular" w:hAnsi="Times New Roman Regular" w:cs="Times New Roman Regular"/>
                <w:color w:val="000000"/>
                <w:sz w:val="22"/>
                <w:szCs w:val="22"/>
                <w:highlight w:val="none"/>
                <w:lang w:eastAsia="zh-CN" w:bidi="ar"/>
              </w:rPr>
              <w:t xml:space="preserve">改进建议。支持用户自定义数据质量规则，满足不同业务场景的质量要求。建立数据质量监控预警机制，及时发现和处理质量异常。</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spacing w:after="0"/>
              <w:rPr>
                <w:rFonts w:ascii="Times New Roman Regular" w:hAnsi="Times New Roman Regular" w:cs="Times New Roman Regular"/>
                <w:color w:val="000000"/>
                <w:sz w:val="22"/>
                <w:szCs w:val="22"/>
                <w:highlight w:val="none"/>
                <w:lang w:eastAsia="zh-CN"/>
              </w:rPr>
            </w:pPr>
            <w:r>
              <w:rPr>
                <w:rFonts w:hint="eastAsia" w:ascii="Times New Roman Regular" w:hAnsi="Times New Roman Regular" w:cs="Times New Roman Regular"/>
                <w:color w:val="000000"/>
                <w:sz w:val="22"/>
                <w:szCs w:val="22"/>
                <w:highlight w:val="none"/>
                <w:lang w:eastAsia="zh-CN" w:bidi="ar"/>
              </w:rPr>
              <w:t xml:space="preserve">（3）数据质量治理服务：建立数据质量治理流程，明确责任分工和处理机制。定期评估数据质量治理效果，持续优化治理策略。建立数据质量治理知识库，积累治理经验和最佳实践。</w:t>
            </w:r>
            <w:r>
              <w:rPr>
                <w:rFonts w:ascii="Times New Roman Regular" w:hAnsi="Times New Roman Regular" w:cs="Times New Roman Regular"/>
                <w:color w:val="000000"/>
                <w:sz w:val="22"/>
                <w:szCs w:val="22"/>
                <w:highlight w:val="none"/>
                <w:lang w:eastAsia="zh-CN"/>
              </w:rPr>
            </w:r>
            <w:r/>
          </w:p>
        </w:tc>
      </w:tr>
      <w:tr>
        <w:trPr>
          <w:trHeight w:val="198"/>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893"/>
              <w:jc w:val="center"/>
              <w:rPr>
                <w:rFonts w:ascii="Times New Roman Regular" w:hAnsi="Times New Roman Regular" w:cs="Times New Roman Regular"/>
                <w:color w:val="000000"/>
                <w:sz w:val="22"/>
                <w:szCs w:val="22"/>
                <w:highlight w:val="none"/>
              </w:rPr>
            </w:pPr>
            <w:r>
              <w:rPr>
                <w:rFonts w:hint="eastAsia" w:ascii="Times New Roman Regular" w:hAnsi="Times New Roman Regular" w:cs="Times New Roman Regular"/>
                <w:color w:val="000000"/>
                <w:sz w:val="22"/>
                <w:szCs w:val="22"/>
                <w:highlight w:val="none"/>
                <w:lang w:eastAsia="zh-CN" w:bidi="ar"/>
              </w:rPr>
              <w:t xml:space="preserve">7</w:t>
            </w:r>
            <w:r>
              <w:rPr>
                <w:rFonts w:ascii="Times New Roman Regular" w:hAnsi="Times New Roman Regular" w:cs="Times New Roman Regula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93"/>
              <w:rPr>
                <w:rFonts w:ascii="Times New Roman Regular" w:hAnsi="Times New Roman Regular" w:cs="Times New Roman Regular"/>
                <w:color w:val="000000"/>
                <w:sz w:val="22"/>
                <w:szCs w:val="22"/>
                <w:highlight w:val="none"/>
                <w:lang w:eastAsia="zh-CN"/>
              </w:rPr>
            </w:pPr>
            <w:r>
              <w:rPr>
                <w:rFonts w:hint="eastAsia" w:ascii="Times New Roman Regular" w:hAnsi="Times New Roman Regular" w:cs="Times New Roman Regular"/>
                <w:color w:val="000000"/>
                <w:sz w:val="22"/>
                <w:szCs w:val="22"/>
                <w:highlight w:val="none"/>
                <w:lang w:eastAsia="zh-CN" w:bidi="ar"/>
              </w:rPr>
              <w:t xml:space="preserve">备份容灾与数据恢复模块</w:t>
            </w:r>
            <w:r>
              <w:rPr>
                <w:rFonts w:ascii="Times New Roman Regular" w:hAnsi="Times New Roman Regular" w:cs="Times New Roman Regular"/>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pStyle w:val="893"/>
              <w:numPr>
                <w:ilvl w:val="0"/>
                <w:numId w:val="14"/>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备份架构要求：建立多层次、全场景的备份体系，覆盖数据、应用、配置的备份与恢复需求。</w:t>
            </w:r>
            <w:r>
              <w:rPr>
                <w:rFonts w:ascii="Times New Roman Regular" w:hAnsi="Times New Roman Regular" w:cs="Times New Roman Regular"/>
                <w:color w:val="000000"/>
                <w:sz w:val="22"/>
                <w:szCs w:val="22"/>
                <w:highlight w:val="none"/>
                <w:lang w:eastAsia="zh-CN" w:bidi="ar"/>
              </w:rPr>
            </w:r>
            <w:r/>
          </w:p>
          <w:p>
            <w:pPr>
              <w:pStyle w:val="893"/>
              <w:numPr>
                <w:ilvl w:val="0"/>
                <w:numId w:val="15"/>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分层备份模型：采用分层备份模型。数据层备份：数据库全量备份、增量备份、Binlog日志备份；应用层备份：应用程序配置、部署脚本、版本包备份；系统层备份：操作系统镜像、中间件配置备份。</w:t>
            </w:r>
            <w:r>
              <w:rPr>
                <w:rFonts w:ascii="Times New Roman Regular" w:hAnsi="Times New Roman Regular" w:cs="Times New Roman Regular"/>
                <w:color w:val="000000"/>
                <w:sz w:val="22"/>
                <w:szCs w:val="22"/>
                <w:highlight w:val="none"/>
                <w:lang w:eastAsia="zh-CN" w:bidi="ar"/>
              </w:rPr>
            </w:r>
            <w:r/>
          </w:p>
          <w:p>
            <w:pPr>
              <w:pStyle w:val="991"/>
              <w:numPr>
                <w:ilvl w:val="0"/>
                <w:numId w:val="0"/>
              </w:numPr>
              <w:jc w:val="left"/>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w:t>
            </w:r>
            <w:r>
              <w:rPr>
                <w:rFonts w:hint="eastAsia" w:ascii="Times New Roman Regular" w:hAnsi="Times New Roman Regular" w:cs="Times New Roman Regular"/>
                <w:color w:val="000000"/>
                <w:sz w:val="22"/>
                <w:szCs w:val="22"/>
                <w:highlight w:val="none"/>
                <w:u w:val="none"/>
                <w:lang w:val="en-US" w:eastAsia="zh-CN" w:bidi="ar"/>
              </w:rPr>
              <w:t xml:space="preserve">2</w:t>
            </w:r>
            <w:r>
              <w:rPr>
                <w:rFonts w:hint="eastAsia" w:ascii="Times New Roman Regular" w:hAnsi="Times New Roman Regular" w:cs="Times New Roman Regular"/>
                <w:color w:val="000000"/>
                <w:sz w:val="22"/>
                <w:szCs w:val="22"/>
                <w:highlight w:val="none"/>
                <w:u w:val="none"/>
                <w:lang w:eastAsia="zh-CN" w:bidi="ar"/>
              </w:rPr>
              <w:t xml:space="preserve">）3-2-1备份规则：遵循3-2-1备份原则。</w:t>
            </w:r>
            <w:r>
              <w:rPr>
                <w:rFonts w:ascii="Times New Roman Regular" w:hAnsi="Times New Roman Regular" w:cs="Times New Roman Regular"/>
                <w:color w:val="000000"/>
                <w:sz w:val="22"/>
                <w:szCs w:val="22"/>
                <w:highlight w:val="none"/>
                <w:u w:val="none"/>
                <w:lang w:eastAsia="zh-CN" w:bidi="ar"/>
              </w:rPr>
            </w:r>
            <w:r/>
          </w:p>
          <w:p>
            <w:pPr>
              <w:pStyle w:val="893"/>
              <w:ind w:left="-118" w:firstLine="440"/>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至少保留3份备份数据；存储在2种不同介质；其中1份异地保存。</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（3）国产化兼容：备份全流程采用信创技术组件，确保备份方案与国产化环境完全兼容。</w:t>
            </w:r>
            <w:r>
              <w:rPr>
                <w:rFonts w:ascii="Times New Roman Regular" w:hAnsi="Times New Roman Regular" w:cs="Times New Roman Regular"/>
                <w:color w:val="000000"/>
                <w:sz w:val="22"/>
                <w:szCs w:val="22"/>
                <w:highlight w:val="none"/>
                <w:lang w:eastAsia="zh-CN" w:bidi="ar"/>
              </w:rPr>
            </w:r>
            <w:r/>
          </w:p>
          <w:p>
            <w:pPr>
              <w:pStyle w:val="893"/>
              <w:numPr>
                <w:ilvl w:val="0"/>
                <w:numId w:val="14"/>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备份频率要求：制定明确的备份频率策略，确保数据安全性。</w:t>
            </w:r>
            <w:r>
              <w:rPr>
                <w:rFonts w:ascii="Times New Roman Regular" w:hAnsi="Times New Roman Regular" w:cs="Times New Roman Regular"/>
                <w:color w:val="000000"/>
                <w:sz w:val="22"/>
                <w:szCs w:val="22"/>
                <w:highlight w:val="none"/>
                <w:lang w:eastAsia="zh-CN" w:bidi="ar"/>
              </w:rPr>
            </w:r>
            <w:r/>
          </w:p>
          <w:p>
            <w:pPr>
              <w:pStyle w:val="893"/>
              <w:numPr>
                <w:ilvl w:val="0"/>
                <w:numId w:val="16"/>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全量备份：每日凌晨2:00-4:00通过数据库工具对分布式存储进行全量备份，备份数据存储至异地灾备中心，保留最近7天的全量备份。</w:t>
            </w:r>
            <w:r>
              <w:rPr>
                <w:rFonts w:ascii="Times New Roman Regular" w:hAnsi="Times New Roman Regular" w:cs="Times New Roman Regular"/>
                <w:color w:val="000000"/>
                <w:sz w:val="22"/>
                <w:szCs w:val="22"/>
                <w:highlight w:val="none"/>
                <w:lang w:eastAsia="zh-CN" w:bidi="ar"/>
              </w:rPr>
            </w:r>
            <w:r/>
          </w:p>
          <w:p>
            <w:pPr>
              <w:pStyle w:val="893"/>
              <w:numPr>
                <w:ilvl w:val="0"/>
                <w:numId w:val="16"/>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增量备份：实时捕获数据库Binlog日志，通过消息队列同步至灾备集群，增量备份周期不超过1小时。（3）配置备份：系统配置、应用配置等变更后立即触发备份，确保配置可追溯。</w:t>
            </w:r>
            <w:r>
              <w:rPr>
                <w:rFonts w:ascii="Times New Roman Regular" w:hAnsi="Times New Roman Regular" w:cs="Times New Roman Regular"/>
                <w:color w:val="000000"/>
                <w:sz w:val="22"/>
                <w:szCs w:val="22"/>
                <w:highlight w:val="none"/>
                <w:lang w:eastAsia="zh-CN" w:bidi="ar"/>
              </w:rPr>
            </w:r>
            <w:r/>
          </w:p>
          <w:p>
            <w:pPr>
              <w:pStyle w:val="893"/>
              <w:numPr>
                <w:ilvl w:val="0"/>
                <w:numId w:val="14"/>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恢复时限要求：明确数据恢复的时限指标，保障业务连续性。</w:t>
            </w:r>
            <w:r>
              <w:rPr>
                <w:rFonts w:ascii="Times New Roman Regular" w:hAnsi="Times New Roman Regular" w:cs="Times New Roman Regular"/>
                <w:color w:val="000000"/>
                <w:sz w:val="22"/>
                <w:szCs w:val="22"/>
                <w:highlight w:val="none"/>
                <w:lang w:eastAsia="zh-CN" w:bidi="ar"/>
              </w:rPr>
            </w:r>
            <w:r/>
          </w:p>
          <w:p>
            <w:pPr>
              <w:pStyle w:val="893"/>
              <w:numPr>
                <w:ilvl w:val="0"/>
                <w:numId w:val="17"/>
              </w:numPr>
              <w:jc w:val="left"/>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恢复点目标RPO：RPO（恢复点目标）不超过5分钟，确保数据丢失量控制在可接受范围内。</w:t>
            </w:r>
            <w:r>
              <w:rPr>
                <w:rFonts w:ascii="Times New Roman Regular" w:hAnsi="Times New Roman Regular" w:cs="Times New Roman Regular"/>
                <w:color w:val="000000"/>
                <w:sz w:val="22"/>
                <w:szCs w:val="22"/>
                <w:highlight w:val="none"/>
                <w:u w:val="none"/>
                <w:lang w:eastAsia="zh-CN" w:bidi="ar"/>
              </w:rPr>
            </w:r>
            <w:r/>
          </w:p>
          <w:p>
            <w:pPr>
              <w:pStyle w:val="893"/>
              <w:numPr>
                <w:ilvl w:val="0"/>
                <w:numId w:val="17"/>
              </w:numPr>
              <w:jc w:val="left"/>
              <w:rPr>
                <w:rFonts w:ascii="Times New Roman Regular" w:hAnsi="Times New Roman Regular" w:cs="Times New Roman Regular"/>
                <w:color w:val="000000"/>
                <w:sz w:val="22"/>
                <w:szCs w:val="22"/>
                <w:highlight w:val="none"/>
                <w:u w:val="none"/>
                <w:lang w:eastAsia="zh-CN" w:bidi="ar"/>
              </w:rPr>
            </w:pPr>
            <w:r>
              <w:rPr>
                <w:rFonts w:hint="eastAsia" w:ascii="Times New Roman Regular" w:hAnsi="Times New Roman Regular" w:cs="Times New Roman Regular"/>
                <w:color w:val="000000"/>
                <w:sz w:val="22"/>
                <w:szCs w:val="22"/>
                <w:highlight w:val="none"/>
                <w:u w:val="none"/>
                <w:lang w:eastAsia="zh-CN" w:bidi="ar"/>
              </w:rPr>
              <w:t xml:space="preserve">恢复时间目标RTO：RTO（恢复时间目标）不超过30分钟，确保系统故障后能够快速恢复服务。</w:t>
            </w:r>
            <w:r>
              <w:rPr>
                <w:rFonts w:ascii="Times New Roman Regular" w:hAnsi="Times New Roman Regular" w:cs="Times New Roman Regular"/>
                <w:color w:val="000000"/>
                <w:sz w:val="22"/>
                <w:szCs w:val="22"/>
                <w:highlight w:val="none"/>
                <w:u w:val="none"/>
                <w:lang w:eastAsia="zh-CN" w:bidi="ar"/>
              </w:rPr>
            </w:r>
            <w:r/>
          </w:p>
          <w:p>
            <w:pPr>
              <w:pStyle w:val="893"/>
              <w:numPr>
                <w:ilvl w:val="0"/>
                <w:numId w:val="17"/>
              </w:numPr>
              <w:jc w:val="left"/>
              <w:rPr>
                <w:rFonts w:ascii="Times New Roman Regular" w:hAnsi="Times New Roman Regular" w:cs="Times New Roman Regular"/>
                <w:color w:val="000000"/>
                <w:sz w:val="22"/>
                <w:szCs w:val="22"/>
                <w:highlight w:val="none"/>
                <w:lang w:eastAsia="zh-CN" w:bidi="ar"/>
              </w:rPr>
            </w:pPr>
            <w:r>
              <w:rPr>
                <w:rFonts w:hint="eastAsia" w:ascii="Times New Roman Regular" w:hAnsi="Times New Roman Regular" w:cs="Times New Roman Regular"/>
                <w:color w:val="000000"/>
                <w:sz w:val="22"/>
                <w:szCs w:val="22"/>
                <w:highlight w:val="none"/>
                <w:lang w:eastAsia="zh-CN" w:bidi="ar"/>
              </w:rPr>
              <w:t xml:space="preserve">数据一致性：确保多副本数据的强一致性，数据同步延迟不超过1秒。</w:t>
            </w:r>
            <w:r>
              <w:rPr>
                <w:rFonts w:ascii="Times New Roman Regular" w:hAnsi="Times New Roman Regular" w:cs="Times New Roman Regular"/>
                <w:color w:val="000000"/>
                <w:sz w:val="22"/>
                <w:szCs w:val="22"/>
                <w:highlight w:val="none"/>
                <w:lang w:eastAsia="zh-CN" w:bidi="ar"/>
              </w:rPr>
            </w:r>
            <w:r/>
          </w:p>
          <w:p>
            <w:pPr>
              <w:pStyle w:val="893"/>
              <w:numPr>
                <w:ilvl w:val="0"/>
                <w:numId w:val="0"/>
              </w:numPr>
              <w:jc w:val="left"/>
              <w:rPr>
                <w:rFonts w:ascii="Times New Roman Regular" w:hAnsi="Times New Roman Regular" w:cs="Times New Roman Regular"/>
                <w:color w:val="000000"/>
                <w:sz w:val="22"/>
                <w:szCs w:val="22"/>
                <w:highlight w:val="none"/>
                <w:lang w:eastAsia="zh-CN"/>
              </w:rPr>
            </w:pPr>
            <w:r>
              <w:rPr>
                <w:rFonts w:hint="eastAsia" w:ascii="Times New Roman Regular" w:hAnsi="Times New Roman Regular" w:cs="Times New Roman Regular"/>
                <w:color w:val="000000"/>
                <w:sz w:val="22"/>
                <w:szCs w:val="22"/>
                <w:highlight w:val="none"/>
                <w:lang w:eastAsia="zh-CN" w:bidi="ar"/>
              </w:rPr>
              <w:t xml:space="preserve">4、恢复演练要求：定期进行数据恢复演练，验证备份数据的有效性和恢复流程的可行性。每季度至少进行1次数据恢复演练；演练内容包括数据库恢复、应用恢复、全系统恢复；演练后出具恢复演练报告，记录恢复时间、数据完整性验证结果；根据演练结果优化备份策略和恢复流程。</w:t>
            </w:r>
            <w:r>
              <w:rPr>
                <w:rFonts w:ascii="Times New Roman Regular" w:hAnsi="Times New Roman Regular" w:cs="Times New Roman Regular"/>
                <w:color w:val="000000"/>
                <w:sz w:val="22"/>
                <w:szCs w:val="22"/>
                <w:highlight w:val="none"/>
                <w:lang w:eastAsia="zh-CN"/>
              </w:rPr>
            </w:r>
            <w:r/>
          </w:p>
        </w:tc>
      </w:tr>
    </w:tbl>
    <w:p>
      <w:pPr>
        <w:pStyle w:val="893"/>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93"/>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9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87" w:name="OLE_LINK1"/>
      <w:r>
        <w:rPr>
          <w:rFonts w:hint="eastAsia" w:ascii="宋体" w:hAnsi="宋体" w:eastAsia="宋体" w:cs="宋体"/>
          <w:color w:val="000000"/>
          <w:sz w:val="24"/>
          <w:szCs w:val="24"/>
          <w:highlight w:val="none"/>
          <w:lang w:val="en-US" w:eastAsia="zh-CN"/>
        </w:rPr>
        <w:t xml:space="preserve">供应商应制定详细的项目实施计划，明确各阶段任务、时间节点和交付成果；建立完善的项目管理机制，包括进度管理、质量管理、风险管理等并接受监理单位的全程监督。</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（1）总体要求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项目覆盖规模（规模为根据目前全市中小学校及学生数量估算）</w:t>
      </w:r>
      <w:r>
        <w:rPr>
          <w:rFonts w:hint="eastAsia" w:ascii="宋体" w:hAnsi="宋体" w:eastAsia="宋体" w:cs="宋体"/>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7"/>
        <w:gridCol w:w="4317"/>
      </w:tblGrid>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指标</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数值</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覆盖学校</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全市738所中小学</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学生信息</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950,829条</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平台用户</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466,280人</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年访问量</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959,145次（2024年）</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业务峰值</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同时在线用户数1,693人</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当前数据存储总量</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206.22 GB</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五年数据存储预估</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约759 GB</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食堂单位</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约1,200个</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食堂管理人员</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约2,400人</w:t>
            </w:r>
            <w:r>
              <w:rPr>
                <w:rFonts w:ascii="宋体" w:hAnsi="宋体" w:eastAsia="宋体" w:cs="宋体"/>
                <w:color w:val="000000"/>
                <w:sz w:val="24"/>
                <w:szCs w:val="24"/>
                <w:highlight w:val="none"/>
                <w:lang w:eastAsia="zh-CN"/>
              </w:rPr>
            </w:r>
            <w:r/>
          </w:p>
        </w:tc>
      </w:tr>
      <w:tr>
        <w:trPr/>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送餐公司</w:t>
            </w:r>
            <w:r>
              <w:rPr>
                <w:rFonts w:ascii="宋体" w:hAnsi="宋体" w:eastAsia="宋体" w:cs="宋体"/>
                <w:color w:val="000000"/>
                <w:sz w:val="24"/>
                <w:szCs w:val="24"/>
                <w:highlight w:val="none"/>
                <w:lang w:eastAsia="zh-CN"/>
              </w:rPr>
            </w:r>
            <w:r/>
          </w:p>
        </w:tc>
        <w:tc>
          <w:tcPr>
            <w:tcW w:w="4317"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约150家</w:t>
            </w:r>
            <w:r>
              <w:rPr>
                <w:rFonts w:ascii="宋体" w:hAnsi="宋体" w:eastAsia="宋体" w:cs="宋体"/>
                <w:color w:val="000000"/>
                <w:sz w:val="24"/>
                <w:szCs w:val="24"/>
                <w:highlight w:val="none"/>
                <w:lang w:eastAsia="zh-CN"/>
              </w:rPr>
            </w:r>
            <w:r/>
          </w:p>
        </w:tc>
      </w:tr>
    </w:tbl>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对现有南京市学生体质与健康管理平台与南京市中小学食堂信息化管理平台进行全面的信息技术应用创新改造：</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　数据库信创改造：替换为国产数据库，完成全量数据迁移与适配</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　操作系统信创改造：替换为国产操作系统</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　中间件信创改造：替换为国产中间件、开发环境</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　代码适配与迁移</w:t>
      </w:r>
      <w:bookmarkStart w:id="88" w:name="OLE_LINK6"/>
      <w:r>
        <w:rPr>
          <w:rFonts w:hint="eastAsia" w:ascii="宋体" w:hAnsi="宋体" w:eastAsia="宋体" w:cs="宋体"/>
          <w:color w:val="000000"/>
          <w:sz w:val="24"/>
          <w:szCs w:val="24"/>
          <w:highlight w:val="none"/>
          <w:lang w:val="en-US" w:eastAsia="zh-CN"/>
        </w:rPr>
        <w:t xml:space="preserve">：</w:t>
      </w:r>
      <w:bookmarkEnd w:id="88"/>
      <w:r>
        <w:rPr>
          <w:rFonts w:hint="eastAsia" w:ascii="宋体" w:hAnsi="宋体" w:eastAsia="宋体" w:cs="宋体"/>
          <w:color w:val="000000"/>
          <w:sz w:val="24"/>
          <w:szCs w:val="24"/>
          <w:highlight w:val="none"/>
          <w:lang w:val="en-US" w:eastAsia="zh-CN"/>
        </w:rPr>
        <w:t xml:space="preserve">对平台代码进行全面梳理和适配迁移</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应用系统定制开发服务：食堂信息化管理系统建设等功能模块：</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　移动端食堂用户管理小程序</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PC端食堂管理平台</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　与学生健康管理平台的数据融合</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严格按照磋商文件及合同约定履行服务，接受监理单位全程监督，配合项目质量管理、进度管理、信息管理。</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（3）验收要求</w:t>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完整的技术文档如需求规格、设计文档等，用户手册和运维手册，源代码和部署文档，文档应规范、完整、准确）。</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项目成果交付清单：</w:t>
      </w:r>
      <w:r>
        <w:rPr>
          <w:rFonts w:hint="eastAsia" w:ascii="宋体" w:hAnsi="宋体" w:eastAsia="宋体" w:cs="宋体"/>
          <w:color w:val="000000"/>
          <w:sz w:val="24"/>
          <w:szCs w:val="24"/>
          <w:highlight w:val="none"/>
          <w:lang w:val="zh-CN"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10"/>
        <w:gridCol w:w="3212"/>
        <w:gridCol w:w="2156"/>
      </w:tblGrid>
      <w:tr>
        <w:trPr>
          <w:trHeight w:val="90"/>
        </w:trPr>
        <w:tc>
          <w:tcPr>
            <w:tcW w:w="84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ascii="宋体" w:hAnsi="宋体" w:eastAsia="宋体" w:cs="宋体"/>
                <w:color w:val="000000"/>
                <w:sz w:val="24"/>
                <w:szCs w:val="24"/>
                <w:highlight w:val="none"/>
                <w:lang w:eastAsia="zh-CN"/>
              </w:rPr>
            </w:r>
            <w:r/>
          </w:p>
        </w:tc>
        <w:tc>
          <w:tcPr>
            <w:tcW w:w="2410"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交付物名称</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交付标准</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验收要求</w:t>
            </w:r>
            <w:r>
              <w:rPr>
                <w:rFonts w:ascii="宋体" w:hAnsi="宋体" w:eastAsia="宋体" w:cs="宋体"/>
                <w:color w:val="000000"/>
                <w:sz w:val="24"/>
                <w:szCs w:val="24"/>
                <w:highlight w:val="none"/>
                <w:lang w:eastAsia="zh-CN"/>
              </w:rPr>
            </w:r>
            <w:r/>
          </w:p>
        </w:tc>
      </w:tr>
      <w:tr>
        <w:trPr/>
        <w:tc>
          <w:tcPr>
            <w:tcW w:w="84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ascii="宋体" w:hAnsi="宋体" w:eastAsia="宋体" w:cs="宋体"/>
                <w:color w:val="000000"/>
                <w:sz w:val="24"/>
                <w:szCs w:val="24"/>
                <w:highlight w:val="none"/>
                <w:lang w:eastAsia="zh-CN"/>
              </w:rPr>
            </w:r>
            <w:r/>
          </w:p>
        </w:tc>
        <w:tc>
          <w:tcPr>
            <w:tcW w:w="2410"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信创适配改造完成的平台系统</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全栈国产化部署，含操作系统、数据库、中间件等</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系统稳定运行，功能完整，性能达标</w:t>
            </w:r>
            <w:r>
              <w:rPr>
                <w:rFonts w:ascii="宋体" w:hAnsi="宋体" w:eastAsia="宋体" w:cs="宋体"/>
                <w:color w:val="000000"/>
                <w:sz w:val="24"/>
                <w:szCs w:val="24"/>
                <w:highlight w:val="none"/>
                <w:lang w:eastAsia="zh-CN"/>
              </w:rPr>
            </w:r>
            <w:r/>
          </w:p>
        </w:tc>
      </w:tr>
      <w:tr>
        <w:trPr/>
        <w:tc>
          <w:tcPr>
            <w:tcW w:w="84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ascii="宋体" w:hAnsi="宋体" w:eastAsia="宋体" w:cs="宋体"/>
                <w:color w:val="000000"/>
                <w:sz w:val="24"/>
                <w:szCs w:val="24"/>
                <w:highlight w:val="none"/>
                <w:lang w:eastAsia="zh-CN"/>
              </w:rPr>
            </w:r>
            <w:r/>
          </w:p>
        </w:tc>
        <w:tc>
          <w:tcPr>
            <w:tcW w:w="2410"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食堂信息化管理系统</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含移动端小程序+PC端管理平台</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功能完整，用户体验良好</w:t>
            </w:r>
            <w:r>
              <w:rPr>
                <w:rFonts w:ascii="宋体" w:hAnsi="宋体" w:eastAsia="宋体" w:cs="宋体"/>
                <w:color w:val="000000"/>
                <w:sz w:val="24"/>
                <w:szCs w:val="24"/>
                <w:highlight w:val="none"/>
                <w:lang w:eastAsia="zh-CN"/>
              </w:rPr>
            </w:r>
            <w:r/>
          </w:p>
        </w:tc>
      </w:tr>
      <w:tr>
        <w:trPr/>
        <w:tc>
          <w:tcPr>
            <w:tcW w:w="84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ascii="宋体" w:hAnsi="宋体" w:eastAsia="宋体" w:cs="宋体"/>
                <w:color w:val="000000"/>
                <w:sz w:val="24"/>
                <w:szCs w:val="24"/>
                <w:highlight w:val="none"/>
                <w:lang w:eastAsia="zh-CN"/>
              </w:rPr>
            </w:r>
            <w:r/>
          </w:p>
        </w:tc>
        <w:tc>
          <w:tcPr>
            <w:tcW w:w="2410"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全量数据迁移完成</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原有206GB+数据完整迁移至国产数据库</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数据完整、准确、一致</w:t>
            </w:r>
            <w:r>
              <w:rPr>
                <w:rFonts w:ascii="宋体" w:hAnsi="宋体" w:eastAsia="宋体" w:cs="宋体"/>
                <w:color w:val="000000"/>
                <w:sz w:val="24"/>
                <w:szCs w:val="24"/>
                <w:highlight w:val="none"/>
                <w:lang w:eastAsia="zh-CN"/>
              </w:rPr>
            </w:r>
            <w:r/>
          </w:p>
        </w:tc>
      </w:tr>
      <w:tr>
        <w:trPr/>
        <w:tc>
          <w:tcPr>
            <w:tcW w:w="84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ascii="宋体" w:hAnsi="宋体" w:eastAsia="宋体" w:cs="宋体"/>
                <w:color w:val="000000"/>
                <w:sz w:val="24"/>
                <w:szCs w:val="24"/>
                <w:highlight w:val="none"/>
                <w:lang w:eastAsia="zh-CN"/>
              </w:rPr>
            </w:r>
            <w:r/>
          </w:p>
        </w:tc>
        <w:tc>
          <w:tcPr>
            <w:tcW w:w="2410"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技术文档</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需求规格、设计文档、测试报告、用户手册等</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文档完整、规范、准确</w:t>
            </w:r>
            <w:r>
              <w:rPr>
                <w:rFonts w:ascii="宋体" w:hAnsi="宋体" w:eastAsia="宋体" w:cs="宋体"/>
                <w:color w:val="000000"/>
                <w:sz w:val="24"/>
                <w:szCs w:val="24"/>
                <w:highlight w:val="none"/>
                <w:lang w:eastAsia="zh-CN"/>
              </w:rPr>
            </w:r>
            <w:r/>
          </w:p>
        </w:tc>
      </w:tr>
      <w:tr>
        <w:trPr/>
        <w:tc>
          <w:tcPr>
            <w:tcW w:w="84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ascii="宋体" w:hAnsi="宋体" w:eastAsia="宋体" w:cs="宋体"/>
                <w:color w:val="000000"/>
                <w:sz w:val="24"/>
                <w:szCs w:val="24"/>
                <w:highlight w:val="none"/>
                <w:lang w:eastAsia="zh-CN"/>
              </w:rPr>
            </w:r>
            <w:r/>
          </w:p>
        </w:tc>
        <w:tc>
          <w:tcPr>
            <w:tcW w:w="2410"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源代码及交付验收资料</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完整源代码、部署文档、运维手册</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代码规范、文档完整</w:t>
            </w:r>
            <w:r>
              <w:rPr>
                <w:rFonts w:ascii="宋体" w:hAnsi="宋体" w:eastAsia="宋体" w:cs="宋体"/>
                <w:color w:val="000000"/>
                <w:sz w:val="24"/>
                <w:szCs w:val="24"/>
                <w:highlight w:val="none"/>
                <w:lang w:eastAsia="zh-CN"/>
              </w:rPr>
            </w:r>
            <w:r/>
          </w:p>
        </w:tc>
      </w:tr>
      <w:tr>
        <w:trPr/>
        <w:tc>
          <w:tcPr>
            <w:tcW w:w="846" w:type="dxa"/>
            <w:vAlign w:val="top"/>
            <w:textDirection w:val="lrTb"/>
            <w:noWrap w:val="false"/>
          </w:tcPr>
          <w:p>
            <w:pPr>
              <w:pStyle w:val="893"/>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eastAsia="zh-CN"/>
              </w:rPr>
            </w:r>
            <w:r/>
          </w:p>
        </w:tc>
        <w:tc>
          <w:tcPr>
            <w:tcW w:w="2410"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培训材料及记录</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培训方案、培训记录、考核结果</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培训完成，考核通过</w:t>
            </w:r>
            <w:r>
              <w:rPr>
                <w:rFonts w:ascii="宋体" w:hAnsi="宋体" w:eastAsia="宋体" w:cs="宋体"/>
                <w:color w:val="000000"/>
                <w:sz w:val="24"/>
                <w:szCs w:val="24"/>
                <w:highlight w:val="none"/>
                <w:lang w:eastAsia="zh-CN"/>
              </w:rPr>
            </w:r>
            <w:r/>
          </w:p>
        </w:tc>
      </w:tr>
      <w:tr>
        <w:trPr/>
        <w:tc>
          <w:tcPr>
            <w:tcW w:w="846" w:type="dxa"/>
            <w:vAlign w:val="top"/>
            <w:textDirection w:val="lrTb"/>
            <w:noWrap w:val="false"/>
          </w:tcPr>
          <w:p>
            <w:pPr>
              <w:pStyle w:val="893"/>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eastAsia="zh-CN"/>
              </w:rPr>
            </w:r>
            <w:r/>
          </w:p>
        </w:tc>
        <w:tc>
          <w:tcPr>
            <w:tcW w:w="2410"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备份容灾方案文档</w:t>
            </w:r>
            <w:r>
              <w:rPr>
                <w:rFonts w:ascii="宋体" w:hAnsi="宋体" w:eastAsia="宋体" w:cs="宋体"/>
                <w:color w:val="000000"/>
                <w:sz w:val="24"/>
                <w:szCs w:val="24"/>
                <w:highlight w:val="none"/>
                <w:lang w:eastAsia="zh-CN"/>
              </w:rPr>
            </w:r>
            <w:r/>
          </w:p>
        </w:tc>
        <w:tc>
          <w:tcPr>
            <w:tcW w:w="3212"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备份架构、备份策略、恢复流程、演练计划</w:t>
            </w:r>
            <w:r>
              <w:rPr>
                <w:rFonts w:ascii="宋体" w:hAnsi="宋体" w:eastAsia="宋体" w:cs="宋体"/>
                <w:color w:val="000000"/>
                <w:sz w:val="24"/>
                <w:szCs w:val="24"/>
                <w:highlight w:val="none"/>
                <w:lang w:eastAsia="zh-CN"/>
              </w:rPr>
            </w:r>
            <w:r/>
          </w:p>
        </w:tc>
        <w:tc>
          <w:tcPr>
            <w:tcW w:w="2156" w:type="dxa"/>
            <w:vAlign w:val="top"/>
            <w:textDirection w:val="lrTb"/>
            <w:noWrap w:val="false"/>
          </w:tcPr>
          <w:p>
            <w:pPr>
              <w:pStyle w:val="893"/>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方案完整、可执行</w:t>
            </w:r>
            <w:r>
              <w:rPr>
                <w:rFonts w:ascii="宋体" w:hAnsi="宋体" w:eastAsia="宋体" w:cs="宋体"/>
                <w:color w:val="000000"/>
                <w:sz w:val="24"/>
                <w:szCs w:val="24"/>
                <w:highlight w:val="none"/>
                <w:lang w:eastAsia="zh-CN"/>
              </w:rPr>
            </w:r>
            <w:r/>
          </w:p>
        </w:tc>
      </w:tr>
    </w:tbl>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（4）运维要求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提供一年运维服务(包含软件升级、软件维护、应急保障服务，服务形式包括且不限于电话咨询、企业微信群支持、邮件互动、上门技术支持、远程支持等)。运维期自项目整体交付之日起计算，费用包含在总报价内，运维期内满足如下指标：</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系统运行指标</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　系统可用性：≥99.9%</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　平均响应时间：≤3秒</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　故障恢复时间：≤30分钟</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　数据备份成功率：100%</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业务服务指标</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　用户满意度：≥90%</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　数据准确率：≥99.5%</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　报告生成及时率：≥98%</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　接口调用成功率：≥99.9%</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安全管理指标</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　安全事件响应时间：≤15分钟</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　漏洞修复及时率：100%</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　安全培训覆盖率：100%</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　等保测评通过率：100%</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2）供应商提供7×24小时技术支持；紧急故障15分钟内响应、2小时内处置；定期系统巡检和性能优化。</w:t>
      </w:r>
      <w:r>
        <w:rPr>
          <w:rFonts w:hint="eastAsia" w:ascii="宋体" w:hAnsi="宋体" w:eastAsia="宋体" w:cs="宋体"/>
          <w:color w:val="000000"/>
          <w:sz w:val="24"/>
          <w:szCs w:val="24"/>
          <w:highlight w:val="none"/>
          <w:lang w:val="en-US" w:eastAsia="zh-CN"/>
        </w:rPr>
      </w:r>
      <w:r/>
    </w:p>
    <w:p>
      <w:pPr>
        <w:pStyle w:val="893"/>
        <w:ind w:firstLine="48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3）运维期满后，如供应商提供运维服务，年度运维费用不高于此次合同总金额的5%。</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（5）人员要求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①项目经理：1人，具有5年及以上信息化项目管理工作经验，项目开发期间须驻场服务，不得兼任其他岗位。</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②技术负责人：1人，具有5年及以上信息化项目技术管理工作经验，项目开发期间须驻场服务，不得兼任其他岗位。</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③开发实施人员：不少于2人，具有信息化工作经验，项目开发期间须1人驻场服务。</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④运维服务人员：不少于1人，具有信息化工作经验，运维期须驻场服务。</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⑤项目组所有人员必须为供应商正式工作人员，不得兼任其他项目工作，未经采购人同意，人员不得更换。</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u w:val="none"/>
          <w:lang w:eastAsia="zh-CN" w:bidi="ar"/>
        </w:rPr>
        <w:t xml:space="preserve">培训要求：</w:t>
      </w:r>
      <w:r>
        <w:rPr>
          <w:rFonts w:hint="eastAsia" w:ascii="宋体" w:hAnsi="宋体" w:eastAsia="宋体" w:cs="宋体"/>
          <w:color w:val="000000"/>
          <w:sz w:val="24"/>
          <w:szCs w:val="24"/>
          <w:highlight w:val="none"/>
          <w:u w:val="none"/>
          <w:lang w:eastAsia="zh-CN" w:bidi="ar"/>
        </w:rPr>
      </w:r>
      <w:r/>
    </w:p>
    <w:p>
      <w:pPr>
        <w:pStyle w:val="893"/>
        <w:numPr>
          <w:ilvl w:val="0"/>
          <w:numId w:val="0"/>
        </w:num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①为市/区/校管理员、教师、家长提供专项操作培训，提供培训方案、培训材料、培训记录，确保用户能够熟练使用系统。</w:t>
      </w:r>
      <w:r>
        <w:rPr>
          <w:rFonts w:hint="eastAsia" w:ascii="宋体" w:hAnsi="宋体" w:eastAsia="宋体" w:cs="宋体"/>
          <w:color w:val="000000"/>
          <w:sz w:val="24"/>
          <w:szCs w:val="24"/>
          <w:highlight w:val="none"/>
          <w:lang w:val="en-US" w:eastAsia="zh-CN"/>
        </w:rPr>
      </w:r>
      <w:r/>
    </w:p>
    <w:p>
      <w:pPr>
        <w:pStyle w:val="893"/>
        <w:numPr>
          <w:ilvl w:val="0"/>
          <w:numId w:val="0"/>
        </w:num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u w:val="none"/>
          <w:lang w:eastAsia="zh-CN" w:bidi="ar"/>
        </w:rPr>
        <w:t xml:space="preserve">建立定期安全培训机制，提升相关人员的安全意识和技能。培训内容涵盖密码相关法律法规和标准规范、商用密码应用、商用密码应用安全性评估等；培训对象包括系统管理员、安全管理员、审计员等关键岗位人员；培训结束后进行考核，确保相关人员掌握安全知识和操作技能。</w:t>
      </w:r>
      <w:r>
        <w:rPr>
          <w:rFonts w:hint="eastAsia" w:ascii="宋体" w:hAnsi="宋体" w:eastAsia="宋体" w:cs="宋体"/>
          <w:color w:val="000000"/>
          <w:sz w:val="24"/>
          <w:szCs w:val="24"/>
          <w:highlight w:val="none"/>
          <w:lang w:val="en-US" w:eastAsia="zh-CN"/>
        </w:rPr>
      </w:r>
      <w:r/>
    </w:p>
    <w:p>
      <w:pPr>
        <w:pStyle w:val="893"/>
        <w:numPr>
          <w:ilvl w:val="0"/>
          <w:numId w:val="0"/>
        </w:num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（7）知识产权及保密要求</w:t>
      </w:r>
      <w:r>
        <w:rPr>
          <w:rFonts w:hint="eastAsia" w:ascii="宋体" w:hAnsi="宋体" w:eastAsia="宋体" w:cs="宋体"/>
          <w:color w:val="000000"/>
          <w:sz w:val="24"/>
          <w:szCs w:val="24"/>
          <w:highlight w:val="none"/>
          <w:lang w:val="en-US" w:eastAsia="zh-CN"/>
        </w:rPr>
      </w:r>
      <w:r/>
    </w:p>
    <w:p>
      <w:pPr>
        <w:pStyle w:val="893"/>
        <w:numPr>
          <w:ilvl w:val="0"/>
          <w:numId w:val="0"/>
        </w:num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满足采购人需求的、完整的、可最终良好运行的系统。</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提供项目的最终版本部署包及产品永久授权。</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（8）建设成果要求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①项目启动阶段：项目实施方案。</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②业务需求分析阶段：需求调研方案、需求分析说明书。</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③系统设计、开发阶段：需求规格说明书、概要设计说明书、详细设计说明书、数据库设计说明书、系统接口说明书。</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④系统实施阶段：系统上线部署方案、软件安装说明书、软件使用说明书、系统安装光盘、系统培训方案、系统培训手册。</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⑤项目验收阶段：测试报告、项目验收方案、系统运行报告、项目验收报告。</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⑥运行维护阶段：系统维护方案、系统维护手册、系统运行维护记录。</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（9）信创适配要求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项目涉及的软件、硬件产品满足信创要求。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（10）网络安全等级保护测评要求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供应商配合采购人，做好系统通过等保测评相关准备工作。</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（11）系统对接要求</w:t>
      </w: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供应商在提供定制软件开发服务时，需满足以下对接要求：</w:t>
      </w:r>
      <w:r>
        <w:rPr>
          <w:rFonts w:hint="eastAsia" w:ascii="宋体" w:hAnsi="宋体" w:eastAsia="宋体" w:cs="宋体"/>
          <w:color w:val="000000"/>
          <w:sz w:val="24"/>
          <w:szCs w:val="24"/>
          <w:highlight w:val="none"/>
          <w:lang w:val="en-US" w:eastAsia="zh-CN"/>
        </w:rPr>
        <w:t xml:space="preserve">原系统接口情况详见本章附件，对接工作联系人：朱先生，联系电话：025-84501132。</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（12）网络安全和数据安全要求，外包网络安全管理要求</w:t>
      </w:r>
      <w:r>
        <w:rPr>
          <w:rFonts w:hint="eastAsia" w:ascii="宋体" w:hAnsi="宋体" w:eastAsia="宋体" w:cs="宋体"/>
          <w:color w:val="000000"/>
          <w:sz w:val="24"/>
          <w:szCs w:val="24"/>
          <w:highlight w:val="none"/>
          <w:lang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符合南京市级网络安全、数据安全相关规定（可咨询采购人）。</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（1）交付时间：</w:t>
      </w:r>
      <w:r>
        <w:rPr>
          <w:rFonts w:hint="eastAsia" w:ascii="宋体" w:hAnsi="宋体" w:eastAsia="宋体" w:cs="宋体"/>
          <w:color w:val="000000"/>
          <w:sz w:val="24"/>
          <w:szCs w:val="24"/>
          <w:highlight w:val="none"/>
          <w:lang w:val="en-US" w:eastAsia="zh-CN"/>
        </w:rPr>
        <w:t xml:space="preserve">合同签订后180天完成系统开发，30天完成项目验收及整体交付工作。</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（2）交付地点：采购人指定地点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供应商未按磋商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9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93"/>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评审方法与评审标准”。</w:t>
      </w:r>
      <w:r>
        <w:rPr>
          <w:rFonts w:hint="eastAsia" w:ascii="宋体" w:hAnsi="宋体" w:eastAsia="宋体" w:cs="Times New Roman"/>
          <w:color w:val="000000"/>
          <w:sz w:val="24"/>
          <w:szCs w:val="24"/>
          <w:highlight w:val="none"/>
          <w:lang w:val="en-US" w:eastAsia="zh-CN"/>
        </w:rPr>
      </w:r>
      <w:r/>
    </w:p>
    <w:p>
      <w:pPr>
        <w:pStyle w:val="893"/>
        <w:spacing w:line="264" w:lineRule="auto"/>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93"/>
        <w:ind w:firstLine="482"/>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893"/>
        <w:numPr>
          <w:ilvl w:val="0"/>
          <w:numId w:val="0"/>
        </w:numPr>
        <w:ind w:firstLine="420"/>
        <w:keepLines w:val="0"/>
        <w:keepNext w:val="0"/>
        <w:pageBreakBefore w:val="0"/>
        <w:spacing w:line="288"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原系统接口情况</w:t>
      </w:r>
      <w:r>
        <w:rPr>
          <w:rFonts w:hint="eastAsia" w:ascii="宋体" w:hAnsi="宋体" w:eastAsia="宋体" w:cs="宋体"/>
          <w:b w:val="0"/>
          <w:bCs w:val="0"/>
          <w:color w:val="000000"/>
          <w:sz w:val="24"/>
          <w:szCs w:val="24"/>
          <w:highlight w:val="none"/>
          <w:u w:val="none"/>
          <w:lang w:val="en-US"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南京市学生体质与健康管理平台核心业务接口，涵盖体检、体测、近视防控、食堂管理四大子系统的主要功能接口。接口采用标准化设计，支持JSON数据格式交互。</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接口协议：</w:t>
      </w:r>
      <w:r>
        <w:rPr>
          <w:rFonts w:hint="eastAsia"/>
          <w:color w:val="000000"/>
          <w:sz w:val="22"/>
          <w:szCs w:val="22"/>
          <w:highlight w:val="none"/>
          <w:lang w:eastAsia="zh-CN"/>
        </w:rPr>
        <w:t xml:space="preserve">RESTful API</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数据格式：</w:t>
      </w:r>
      <w:r>
        <w:rPr>
          <w:rFonts w:hint="eastAsia"/>
          <w:color w:val="000000"/>
          <w:sz w:val="22"/>
          <w:szCs w:val="22"/>
          <w:highlight w:val="none"/>
          <w:lang w:eastAsia="zh-CN"/>
        </w:rPr>
        <w:t xml:space="preserve">JSON</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认证方式：</w:t>
      </w:r>
      <w:r>
        <w:rPr>
          <w:rFonts w:hint="eastAsia"/>
          <w:color w:val="000000"/>
          <w:sz w:val="22"/>
          <w:szCs w:val="22"/>
          <w:highlight w:val="none"/>
          <w:lang w:eastAsia="zh-CN"/>
        </w:rPr>
        <w:t xml:space="preserve">统一身份认证</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4"/>
        <w:ind w:left="636" w:firstLine="0"/>
        <w:rPr>
          <w:b/>
          <w:bCs/>
          <w:color w:val="000000"/>
          <w:sz w:val="28"/>
          <w:szCs w:val="28"/>
          <w:highlight w:val="none"/>
          <w:lang w:eastAsia="zh-CN"/>
        </w:rPr>
      </w:pPr>
      <w:r>
        <w:rPr>
          <w:rFonts w:hint="eastAsia"/>
          <w:b/>
          <w:bCs/>
          <w:color w:val="000000"/>
          <w:sz w:val="28"/>
          <w:szCs w:val="28"/>
          <w:highlight w:val="none"/>
          <w:lang w:eastAsia="zh-CN"/>
        </w:rPr>
        <w:t xml:space="preserve">接口清单</w:t>
      </w:r>
      <w:r>
        <w:rPr>
          <w:b/>
          <w:bCs/>
          <w:color w:val="000000"/>
          <w:sz w:val="28"/>
          <w:szCs w:val="28"/>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以下为各子系统核心接口列表，共计20个接口。</w:t>
      </w:r>
      <w:r>
        <w:rPr>
          <w:rFonts w:hint="eastAsia"/>
          <w:color w:val="000000"/>
          <w:sz w:val="22"/>
          <w:szCs w:val="22"/>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2292"/>
        <w:gridCol w:w="1656"/>
        <w:gridCol w:w="4452"/>
      </w:tblGrid>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序号</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接口名称</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请求方式</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功能说明</w:t>
            </w: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【体检系统】</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体检项目登录</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POST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用户登录体检系统，返回登录状态和用户信息</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2</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体检学校列表</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分页查询体检学校列表，支持按条件筛选</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3</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体检学生列表</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查询指定学校下的学生列表</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4</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体检数据录入</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POST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手动录入学生体检数据，支持批量保存</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5</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体检统计图表</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获取体检统计数据，用于图表展示</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6</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体检学生详情</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查询学生体检详细信息</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7</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体检报告查询</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查询体检报告数据</w:t>
            </w: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8</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体检报告导出</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导出体检报告文档</w:t>
            </w: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【体测系统】</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9</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体测项目登录</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POST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用户登录体测系统</w:t>
            </w: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10</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体测学校列表</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分页查询体测学校列表</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11</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体测学生数据</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查询学生体测项目数据及成绩</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22"/>
                <w:szCs w:val="22"/>
                <w:highlight w:val="none"/>
                <w:lang w:eastAsia="zh-CN"/>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【近视防控系统】</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12</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近视防控</w:t>
            </w:r>
            <w:r>
              <w:rPr>
                <w:rFonts w:hint="eastAsia"/>
                <w:color w:val="000000"/>
                <w:sz w:val="18"/>
                <w:szCs w:val="22"/>
                <w:highlight w:val="none"/>
                <w:lang w:val="en-US" w:eastAsia="zh-CN"/>
              </w:rPr>
              <w:t xml:space="preserve">项目</w:t>
            </w:r>
            <w:r>
              <w:rPr>
                <w:rFonts w:hint="eastAsia"/>
                <w:color w:val="000000"/>
                <w:sz w:val="18"/>
                <w:szCs w:val="22"/>
                <w:highlight w:val="none"/>
              </w:rPr>
              <w:t xml:space="preserve">登录</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POST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用户登录近视防控系统</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13</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视力筛查数据</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查询视力筛查学生数据列表</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14</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视力检查结果</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查询学生视力检查详细结果</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15</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学生信息查询</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查询近视防控学生基本信息</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22"/>
                <w:szCs w:val="22"/>
                <w:highlight w:val="none"/>
                <w:lang w:eastAsia="zh-CN"/>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【食堂管理系统】</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22"/>
                <w:szCs w:val="22"/>
                <w:highlight w:val="none"/>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16</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lang w:val="en-US" w:eastAsia="zh-CN"/>
              </w:rPr>
              <w:t xml:space="preserve">食堂</w:t>
            </w:r>
            <w:r>
              <w:rPr>
                <w:rFonts w:hint="eastAsia"/>
                <w:color w:val="000000"/>
                <w:sz w:val="18"/>
                <w:szCs w:val="22"/>
                <w:highlight w:val="none"/>
              </w:rPr>
              <w:t xml:space="preserve">管理</w:t>
            </w:r>
            <w:r>
              <w:rPr>
                <w:rFonts w:hint="eastAsia"/>
                <w:color w:val="000000"/>
                <w:sz w:val="18"/>
                <w:szCs w:val="22"/>
                <w:highlight w:val="none"/>
                <w:lang w:val="en-US" w:eastAsia="zh-CN"/>
              </w:rPr>
              <w:t xml:space="preserve">系统</w:t>
            </w:r>
            <w:r>
              <w:rPr>
                <w:rFonts w:hint="eastAsia"/>
                <w:color w:val="000000"/>
                <w:sz w:val="18"/>
                <w:szCs w:val="22"/>
                <w:highlight w:val="none"/>
              </w:rPr>
              <w:t xml:space="preserve">登录</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POST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用户登录食堂管理系统</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17</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食堂列表查询</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分页查询学校食堂信息列表</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18</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菜谱列表查询</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查询学校菜谱信息，支持按时间筛选</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19</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采样列表查询</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查询索票索证采样抽查记录</w:t>
            </w:r>
            <w:r>
              <w:rPr>
                <w:rFonts w:hint="eastAsia"/>
                <w:color w:val="000000"/>
                <w:sz w:val="22"/>
                <w:szCs w:val="22"/>
                <w:highlight w:val="none"/>
                <w:lang w:eastAsia="zh-CN"/>
              </w:rPr>
            </w:r>
            <w:r/>
          </w:p>
        </w:tc>
      </w:tr>
      <w:tr>
        <w:trPr/>
        <w:tc>
          <w:tcPr>
            <w:tcW w:w="1254"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20</w:t>
            </w:r>
            <w:r>
              <w:rPr>
                <w:rFonts w:hint="eastAsia"/>
                <w:color w:val="000000"/>
                <w:sz w:val="22"/>
                <w:szCs w:val="22"/>
                <w:highlight w:val="none"/>
              </w:rPr>
            </w:r>
            <w:r/>
          </w:p>
        </w:tc>
        <w:tc>
          <w:tcPr>
            <w:tcW w:w="2292"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学校信息查询</w:t>
            </w:r>
            <w:r>
              <w:rPr>
                <w:rFonts w:hint="eastAsia"/>
                <w:color w:val="000000"/>
                <w:sz w:val="22"/>
                <w:szCs w:val="22"/>
                <w:highlight w:val="none"/>
              </w:rPr>
            </w:r>
            <w:r/>
          </w:p>
        </w:tc>
        <w:tc>
          <w:tcPr>
            <w:tcW w:w="1656"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GET</w:t>
            </w:r>
            <w:r>
              <w:rPr>
                <w:rFonts w:hint="eastAsia"/>
                <w:color w:val="000000"/>
                <w:sz w:val="22"/>
                <w:szCs w:val="22"/>
                <w:highlight w:val="none"/>
              </w:rPr>
            </w:r>
            <w:r/>
          </w:p>
        </w:tc>
        <w:tc>
          <w:tcPr>
            <w:tcW w:w="4452" w:type="dxa"/>
            <w:vAlign w:val="top"/>
            <w:textDirection w:val="lrTb"/>
            <w:noWrap w:val="false"/>
          </w:tcPr>
          <w:p>
            <w:pPr>
              <w:pStyle w:val="893"/>
              <w:ind w:left="636" w:firstLine="0"/>
              <w:jc w:val="center"/>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查询食堂管理学校基本信息</w:t>
            </w:r>
            <w:r>
              <w:rPr>
                <w:rFonts w:hint="eastAsia"/>
                <w:color w:val="000000"/>
                <w:sz w:val="22"/>
                <w:szCs w:val="22"/>
                <w:highlight w:val="none"/>
                <w:lang w:eastAsia="zh-CN"/>
              </w:rPr>
            </w:r>
            <w:r/>
          </w:p>
        </w:tc>
      </w:tr>
    </w:tbl>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4"/>
        <w:ind w:left="636" w:firstLine="0"/>
        <w:rPr>
          <w:color w:val="000000"/>
          <w:sz w:val="28"/>
          <w:szCs w:val="28"/>
          <w:highlight w:val="none"/>
          <w:lang w:eastAsia="zh-CN"/>
        </w:rPr>
      </w:pPr>
      <w:r>
        <w:rPr>
          <w:rFonts w:hint="eastAsia"/>
          <w:b/>
          <w:bCs/>
          <w:color w:val="000000"/>
          <w:sz w:val="28"/>
          <w:szCs w:val="28"/>
          <w:highlight w:val="none"/>
          <w:lang w:eastAsia="zh-CN"/>
        </w:rPr>
        <w:t xml:space="preserve">接口详细说明</w:t>
      </w:r>
      <w:r>
        <w:rPr>
          <w:color w:val="000000"/>
          <w:sz w:val="28"/>
          <w:szCs w:val="28"/>
          <w:highlight w:val="none"/>
          <w:lang w:eastAsia="zh-CN"/>
        </w:rPr>
      </w:r>
      <w:r/>
    </w:p>
    <w:p>
      <w:pPr>
        <w:pStyle w:val="895"/>
        <w:ind w:left="636" w:firstLine="0"/>
        <w:rPr>
          <w:color w:val="000000"/>
          <w:sz w:val="26"/>
          <w:szCs w:val="26"/>
          <w:highlight w:val="none"/>
          <w:lang w:eastAsia="zh-CN"/>
        </w:rPr>
      </w:pPr>
      <w:r>
        <w:rPr>
          <w:color w:val="000000"/>
          <w:sz w:val="26"/>
          <w:szCs w:val="26"/>
          <w:highlight w:val="none"/>
          <w:lang w:eastAsia="zh-CN"/>
        </w:rPr>
        <w:t xml:space="preserve">1 </w:t>
      </w:r>
      <w:r>
        <w:rPr>
          <w:rFonts w:hint="eastAsia"/>
          <w:color w:val="000000"/>
          <w:sz w:val="26"/>
          <w:szCs w:val="26"/>
          <w:highlight w:val="none"/>
          <w:lang w:eastAsia="zh-CN"/>
        </w:rPr>
        <w:t xml:space="preserve">体检系统接口</w:t>
      </w:r>
      <w:r>
        <w:rPr>
          <w:color w:val="000000"/>
          <w:sz w:val="26"/>
          <w:szCs w:val="26"/>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体检项目登录</w:t>
      </w:r>
      <w:r>
        <w:rPr>
          <w:rFonts w:hint="eastAsia"/>
          <w:color w:val="000000"/>
          <w:sz w:val="22"/>
          <w:szCs w:val="22"/>
          <w:highlight w:val="none"/>
          <w:lang w:eastAsia="zh-CN"/>
        </w:rPr>
        <w:t xml:space="preserve">：用户登录体检系统，验证用户身份信息</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请求方式：POST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请求参数：无参数（通过Session获取认证信息）</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响应数据：LoginOutDTO（包含状态码、状态信息、用户信息）</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体检学校列表</w:t>
      </w:r>
      <w:r>
        <w:rPr>
          <w:rFonts w:hint="eastAsia"/>
          <w:color w:val="000000"/>
          <w:sz w:val="22"/>
          <w:szCs w:val="22"/>
          <w:highlight w:val="none"/>
          <w:lang w:eastAsia="zh-CN"/>
        </w:rPr>
        <w:t xml:space="preserve">：分页查询体检学校列表，支持按条件筛选</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请求参数：PageForm（分页参数）、DatanjDomain（查询条件）</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响应数据：PageableList&lt;DatanjDomain&gt;（分页学校列表）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体检学生列表</w:t>
      </w:r>
      <w:r>
        <w:rPr>
          <w:rFonts w:hint="eastAsia"/>
          <w:color w:val="000000"/>
          <w:sz w:val="22"/>
          <w:szCs w:val="22"/>
          <w:highlight w:val="none"/>
          <w:lang w:eastAsia="zh-CN"/>
        </w:rPr>
        <w:t xml:space="preserve">：查询指定学校下的学生列表</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请求参数：PageForm（分页参数）、Student（学生查询条件）</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响应数据：PageableList&lt;DatanjStuContent&gt;（分页学生列表）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体检数据录入</w:t>
      </w:r>
      <w:r>
        <w:rPr>
          <w:rFonts w:hint="eastAsia"/>
          <w:color w:val="000000"/>
          <w:sz w:val="22"/>
          <w:szCs w:val="22"/>
          <w:highlight w:val="none"/>
          <w:lang w:eastAsia="zh-CN"/>
        </w:rPr>
        <w:t xml:space="preserve">：手动录入学生体检数据，支持批量保存</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请求方式：POST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请求参数：NjTjDataDTO（体检数据）、params（附加参数）</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响应数据：BaseDTO（操作结果）</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体检统计图表</w:t>
      </w:r>
      <w:r>
        <w:rPr>
          <w:rFonts w:hint="eastAsia"/>
          <w:color w:val="000000"/>
          <w:sz w:val="22"/>
          <w:szCs w:val="22"/>
          <w:highlight w:val="none"/>
          <w:lang w:eastAsia="zh-CN"/>
        </w:rPr>
        <w:t xml:space="preserve">：获取体检统计数据，用于图表展示</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请求参数：Statistics（统计条件）</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响应数据：TableDTO&lt;TjStatisticsDTO&gt;（统计数据表格）</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体检学生详情</w:t>
      </w:r>
      <w:r>
        <w:rPr>
          <w:rFonts w:hint="eastAsia"/>
          <w:color w:val="000000"/>
          <w:sz w:val="22"/>
          <w:szCs w:val="22"/>
          <w:highlight w:val="none"/>
          <w:lang w:eastAsia="zh-CN"/>
        </w:rPr>
        <w:t xml:space="preserve">：查询学生体检详细信息</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请求参数：Statistics（统计条件）、PageForm（分页参数）</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响应数据：PageableList&lt;TjContentDTO&gt;（学生详情列表）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体检报告查询</w:t>
      </w:r>
      <w:r>
        <w:rPr>
          <w:rFonts w:hint="eastAsia"/>
          <w:color w:val="000000"/>
          <w:sz w:val="22"/>
          <w:szCs w:val="22"/>
          <w:highlight w:val="none"/>
          <w:lang w:eastAsia="zh-CN"/>
        </w:rPr>
        <w:t xml:space="preserve">：查询江苏省体检用表数据</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请求参数：studentId（学生ID）、cityId（城市ID）、endYear（学年）</w:t>
      </w: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响应数据：ShowMessage（体检报告数据）</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南京体检报告</w:t>
      </w:r>
      <w:r>
        <w:rPr>
          <w:rFonts w:hint="eastAsia"/>
          <w:color w:val="000000"/>
          <w:sz w:val="22"/>
          <w:szCs w:val="22"/>
          <w:highlight w:val="none"/>
          <w:lang w:eastAsia="zh-CN"/>
        </w:rPr>
        <w:t xml:space="preserve">：查询、</w:t>
      </w:r>
      <w:r>
        <w:rPr>
          <w:rFonts w:hint="eastAsia"/>
          <w:color w:val="000000"/>
          <w:sz w:val="22"/>
          <w:szCs w:val="22"/>
          <w:highlight w:val="none"/>
          <w:lang w:val="en-US" w:eastAsia="zh-CN"/>
        </w:rPr>
        <w:t xml:space="preserve">导出</w:t>
      </w:r>
      <w:r>
        <w:rPr>
          <w:rFonts w:hint="eastAsia"/>
          <w:color w:val="000000"/>
          <w:sz w:val="22"/>
          <w:szCs w:val="22"/>
          <w:highlight w:val="none"/>
          <w:lang w:eastAsia="zh-CN"/>
        </w:rPr>
        <w:t xml:space="preserve">南京地区专用体检报告</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请求参数：studentId（学生ID）、cityId（城市ID）、endYear（学年）</w:t>
      </w: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响应数据：ShowMessage（南京体检报告数据）</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5"/>
        <w:ind w:left="636" w:firstLine="0"/>
        <w:rPr>
          <w:color w:val="000000"/>
          <w:sz w:val="26"/>
          <w:szCs w:val="26"/>
          <w:highlight w:val="none"/>
          <w:lang w:eastAsia="zh-CN"/>
        </w:rPr>
      </w:pPr>
      <w:r>
        <w:rPr>
          <w:color w:val="000000"/>
          <w:sz w:val="26"/>
          <w:szCs w:val="26"/>
          <w:highlight w:val="none"/>
          <w:lang w:eastAsia="zh-CN"/>
        </w:rPr>
        <w:t xml:space="preserve">2 </w:t>
      </w:r>
      <w:r>
        <w:rPr>
          <w:rFonts w:hint="eastAsia"/>
          <w:color w:val="000000"/>
          <w:sz w:val="26"/>
          <w:szCs w:val="26"/>
          <w:highlight w:val="none"/>
          <w:lang w:eastAsia="zh-CN"/>
        </w:rPr>
        <w:t xml:space="preserve">体测系统接口</w:t>
      </w:r>
      <w:r>
        <w:rPr>
          <w:color w:val="000000"/>
          <w:sz w:val="26"/>
          <w:szCs w:val="26"/>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体测项目登录</w:t>
      </w:r>
      <w:r>
        <w:rPr>
          <w:rFonts w:hint="eastAsia"/>
          <w:color w:val="000000"/>
          <w:sz w:val="22"/>
          <w:szCs w:val="22"/>
          <w:highlight w:val="none"/>
          <w:lang w:eastAsia="zh-CN"/>
        </w:rPr>
        <w:t xml:space="preserve">：用户登录体测系统</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请求方式：POST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请求参数：无参数（通过Session获取认证信息）</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响应数据：LoginOutDTO（包含状态码、状态信息）</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体测学校列表</w:t>
      </w:r>
      <w:r>
        <w:rPr>
          <w:rFonts w:hint="eastAsia"/>
          <w:color w:val="000000"/>
          <w:sz w:val="22"/>
          <w:szCs w:val="22"/>
          <w:highlight w:val="none"/>
          <w:lang w:eastAsia="zh-CN"/>
        </w:rPr>
        <w:t xml:space="preserve">：分页查询体测学校列表</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请求参数：PageForm（分页参数）、DatamanageDTO（查询条件）</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响应数据：PageableList&lt;DatamanageDTO&gt;（分页学校列表）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体测学生数据</w:t>
      </w:r>
      <w:r>
        <w:rPr>
          <w:rFonts w:hint="eastAsia"/>
          <w:color w:val="000000"/>
          <w:sz w:val="22"/>
          <w:szCs w:val="22"/>
          <w:highlight w:val="none"/>
          <w:lang w:eastAsia="zh-CN"/>
        </w:rPr>
        <w:t xml:space="preserve">：查询学生体测项目数据及成绩</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请求参数：Student（学生信息，包含schoolId、endYear）</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响应数据：TableDTO&lt;StuDataDTO&gt;（体测数据表格）</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5"/>
        <w:ind w:left="636" w:firstLine="0"/>
        <w:rPr>
          <w:color w:val="000000"/>
          <w:sz w:val="26"/>
          <w:szCs w:val="26"/>
          <w:highlight w:val="none"/>
          <w:lang w:eastAsia="zh-CN"/>
        </w:rPr>
      </w:pPr>
      <w:r>
        <w:rPr>
          <w:color w:val="000000"/>
          <w:sz w:val="26"/>
          <w:szCs w:val="26"/>
          <w:highlight w:val="none"/>
          <w:lang w:eastAsia="zh-CN"/>
        </w:rPr>
        <w:t xml:space="preserve">3 </w:t>
      </w:r>
      <w:r>
        <w:rPr>
          <w:rFonts w:hint="eastAsia"/>
          <w:color w:val="000000"/>
          <w:sz w:val="26"/>
          <w:szCs w:val="26"/>
          <w:highlight w:val="none"/>
          <w:lang w:eastAsia="zh-CN"/>
        </w:rPr>
        <w:t xml:space="preserve">近视防控系统接口</w:t>
      </w:r>
      <w:r>
        <w:rPr>
          <w:color w:val="000000"/>
          <w:sz w:val="26"/>
          <w:szCs w:val="26"/>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w:t>
      </w:r>
      <w:r>
        <w:rPr>
          <w:rFonts w:hint="eastAsia"/>
          <w:b/>
          <w:color w:val="000000"/>
          <w:sz w:val="22"/>
          <w:szCs w:val="22"/>
          <w:highlight w:val="none"/>
          <w:lang w:val="en-US" w:eastAsia="zh-CN"/>
        </w:rPr>
        <w:t xml:space="preserve">近视防控</w:t>
      </w:r>
      <w:r>
        <w:rPr>
          <w:rFonts w:hint="eastAsia"/>
          <w:b/>
          <w:color w:val="000000"/>
          <w:sz w:val="22"/>
          <w:szCs w:val="22"/>
          <w:highlight w:val="none"/>
          <w:lang w:eastAsia="zh-CN"/>
        </w:rPr>
        <w:t xml:space="preserve">项目登录</w:t>
      </w:r>
      <w:r>
        <w:rPr>
          <w:rFonts w:hint="eastAsia"/>
          <w:color w:val="000000"/>
          <w:sz w:val="22"/>
          <w:szCs w:val="22"/>
          <w:highlight w:val="none"/>
          <w:lang w:eastAsia="zh-CN"/>
        </w:rPr>
        <w:t xml:space="preserve">：用户登录视力系统</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请求方式：POST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请求参数：无参数（通过Session获取认证信息）</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响应数据：LoginOutDTO（包含状态码、状态信息）</w:t>
      </w: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val="en-US" w:eastAsia="zh-CN"/>
        </w:rPr>
        <w:t xml:space="preserve">视力筛查</w:t>
      </w:r>
      <w:r>
        <w:rPr>
          <w:rFonts w:hint="eastAsia"/>
          <w:b/>
          <w:color w:val="000000"/>
          <w:sz w:val="22"/>
          <w:szCs w:val="22"/>
          <w:highlight w:val="none"/>
          <w:lang w:eastAsia="zh-CN"/>
        </w:rPr>
        <w:t xml:space="preserve">数据</w:t>
      </w:r>
      <w:r>
        <w:rPr>
          <w:rFonts w:hint="eastAsia"/>
          <w:color w:val="000000"/>
          <w:sz w:val="22"/>
          <w:szCs w:val="22"/>
          <w:highlight w:val="none"/>
          <w:lang w:eastAsia="zh-CN"/>
        </w:rPr>
        <w:t xml:space="preserve">：查询视力筛查学生数据列表</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请求参数：VisDataManage（查询条件）、PageForm（分页参数）</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响应数据：PageableList&lt;VisDataManage&gt;（分页学生数据列表）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视力检查结果</w:t>
      </w:r>
      <w:r>
        <w:rPr>
          <w:rFonts w:hint="eastAsia"/>
          <w:color w:val="000000"/>
          <w:sz w:val="22"/>
          <w:szCs w:val="22"/>
          <w:highlight w:val="none"/>
          <w:lang w:eastAsia="zh-CN"/>
        </w:rPr>
        <w:t xml:space="preserve">：查询学生视力检查详细结果</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请求参数：studentId（学生ID）、endYear（学年）、id（记录ID）</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响应数据：TableDTO&lt;VisDataManageDTO&gt;（视力检查数据表格）</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b/>
          <w:color w:val="000000"/>
          <w:sz w:val="22"/>
          <w:szCs w:val="22"/>
          <w:highlight w:val="none"/>
        </w:rPr>
        <w:t xml:space="preserve">• 学生信息</w:t>
      </w:r>
      <w:r>
        <w:rPr>
          <w:rFonts w:hint="eastAsia"/>
          <w:b/>
          <w:color w:val="000000"/>
          <w:sz w:val="22"/>
          <w:szCs w:val="22"/>
          <w:highlight w:val="none"/>
          <w:lang w:val="en-US" w:eastAsia="zh-CN"/>
        </w:rPr>
        <w:t xml:space="preserve">查询</w:t>
      </w:r>
      <w:r>
        <w:rPr>
          <w:rFonts w:hint="eastAsia"/>
          <w:color w:val="000000"/>
          <w:sz w:val="22"/>
          <w:szCs w:val="22"/>
          <w:highlight w:val="none"/>
        </w:rPr>
        <w:t xml:space="preserve">：查询视力筛查学生基本信息</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请求参数：dtree（树形条件JSON）、DataFiltering（数据筛选）、condition（条件JSON）、PageForm（分页参数）</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响应数据：PageableList&lt;VisStudentExamine&gt;（学生信息列表）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5"/>
        <w:ind w:left="636" w:firstLine="0"/>
        <w:rPr>
          <w:color w:val="000000"/>
          <w:sz w:val="26"/>
          <w:szCs w:val="26"/>
          <w:highlight w:val="none"/>
        </w:rPr>
      </w:pPr>
      <w:r>
        <w:rPr>
          <w:color w:val="000000"/>
          <w:sz w:val="26"/>
          <w:szCs w:val="26"/>
          <w:highlight w:val="none"/>
        </w:rPr>
        <w:t xml:space="preserve">4 </w:t>
      </w:r>
      <w:r>
        <w:rPr>
          <w:rFonts w:hint="eastAsia"/>
          <w:color w:val="000000"/>
          <w:sz w:val="26"/>
          <w:szCs w:val="26"/>
          <w:highlight w:val="none"/>
        </w:rPr>
        <w:t xml:space="preserve">食堂管理系统接口</w:t>
      </w:r>
      <w:r>
        <w:rPr>
          <w:color w:val="000000"/>
          <w:sz w:val="26"/>
          <w:szCs w:val="26"/>
          <w:highlight w:val="none"/>
        </w:rPr>
      </w:r>
      <w:r/>
    </w:p>
    <w:p>
      <w:pPr>
        <w:pStyle w:val="893"/>
        <w:ind w:left="636" w:firstLine="0"/>
        <w:rPr>
          <w:rFonts w:hint="eastAsia"/>
          <w:color w:val="000000"/>
          <w:sz w:val="22"/>
          <w:szCs w:val="22"/>
          <w:highlight w:val="none"/>
        </w:rPr>
      </w:pPr>
      <w:r>
        <w:rPr>
          <w:rFonts w:hint="eastAsia"/>
          <w:b/>
          <w:color w:val="000000"/>
          <w:sz w:val="22"/>
          <w:szCs w:val="22"/>
          <w:highlight w:val="none"/>
        </w:rPr>
        <w:t xml:space="preserve">• </w:t>
      </w:r>
      <w:r>
        <w:rPr>
          <w:rFonts w:hint="eastAsia"/>
          <w:b/>
          <w:color w:val="000000"/>
          <w:sz w:val="22"/>
          <w:szCs w:val="22"/>
          <w:highlight w:val="none"/>
          <w:lang w:val="en-US" w:eastAsia="zh-CN"/>
        </w:rPr>
        <w:t xml:space="preserve">食堂管理系统</w:t>
      </w:r>
      <w:r>
        <w:rPr>
          <w:rFonts w:hint="eastAsia"/>
          <w:b/>
          <w:color w:val="000000"/>
          <w:sz w:val="22"/>
          <w:szCs w:val="22"/>
          <w:highlight w:val="none"/>
        </w:rPr>
        <w:t xml:space="preserve">登录</w:t>
      </w:r>
      <w:r>
        <w:rPr>
          <w:rFonts w:hint="eastAsia"/>
          <w:color w:val="000000"/>
          <w:sz w:val="22"/>
          <w:szCs w:val="22"/>
          <w:highlight w:val="none"/>
        </w:rPr>
        <w:t xml:space="preserve">：用户登录食品卫生管理系统</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请求方式：POST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请求参数：无参数（通过Session获取认证信息）</w:t>
      </w: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响应数据：LoginOutDTO（包含状态码、状态信息）</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食堂列表查询</w:t>
      </w:r>
      <w:r>
        <w:rPr>
          <w:rFonts w:hint="eastAsia"/>
          <w:color w:val="000000"/>
          <w:sz w:val="22"/>
          <w:szCs w:val="22"/>
          <w:highlight w:val="none"/>
          <w:lang w:eastAsia="zh-CN"/>
        </w:rPr>
        <w:t xml:space="preserve">：分页查询学校食堂信息列表</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请求参数：Canteen（食堂查询条件）、PageForm（分页参数）</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响应数据：PageableList&lt;Canteen&gt;（分页食堂列表）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菜谱列表查询</w:t>
      </w:r>
      <w:r>
        <w:rPr>
          <w:rFonts w:hint="eastAsia"/>
          <w:color w:val="000000"/>
          <w:sz w:val="22"/>
          <w:szCs w:val="22"/>
          <w:highlight w:val="none"/>
          <w:lang w:eastAsia="zh-CN"/>
        </w:rPr>
        <w:t xml:space="preserve">：查询学校菜谱信息，支持按时间筛选</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请求参数：orgId（机构ID）、orgType（机构类型）、messName（食堂名称）、startTime/endTime（时间范围）、endYear（学年）、PageForm（分页参数）</w:t>
      </w:r>
      <w:r>
        <w:rPr>
          <w:rFonts w:hint="eastAsia"/>
          <w:color w:val="000000"/>
          <w:sz w:val="22"/>
          <w:szCs w:val="22"/>
          <w:highlight w:val="none"/>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响应数据：PageableList&lt;MenuDTO&gt;（分页菜谱列表）</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b/>
          <w:color w:val="000000"/>
          <w:sz w:val="22"/>
          <w:szCs w:val="22"/>
          <w:highlight w:val="none"/>
          <w:lang w:eastAsia="zh-CN"/>
        </w:rPr>
        <w:t xml:space="preserve">• 采样列表查询</w:t>
      </w:r>
      <w:r>
        <w:rPr>
          <w:rFonts w:hint="eastAsia"/>
          <w:color w:val="000000"/>
          <w:sz w:val="22"/>
          <w:szCs w:val="22"/>
          <w:highlight w:val="none"/>
          <w:lang w:eastAsia="zh-CN"/>
        </w:rPr>
        <w:t xml:space="preserve">：查询索票索证采样抽查记录</w:t>
      </w:r>
      <w:r>
        <w:rPr>
          <w:rFonts w:hint="eastAsia"/>
          <w:color w:val="000000"/>
          <w:sz w:val="22"/>
          <w:szCs w:val="22"/>
          <w:highlight w:val="none"/>
          <w:lang w:eastAsia="zh-CN"/>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请求参数：orgId（机构ID）、orgType（机构类型）、messName（食堂名称）、startTime/endTime（时间范围）、endYear（学年）、PageForm（分页参数）</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响应数据：PageableList&lt;SamplingDTO&gt;（分页采样记录列表）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b/>
          <w:color w:val="000000"/>
          <w:sz w:val="22"/>
          <w:szCs w:val="22"/>
          <w:highlight w:val="none"/>
        </w:rPr>
        <w:t xml:space="preserve">• 学校信息查询</w:t>
      </w:r>
      <w:r>
        <w:rPr>
          <w:rFonts w:hint="eastAsia"/>
          <w:color w:val="000000"/>
          <w:sz w:val="22"/>
          <w:szCs w:val="22"/>
          <w:highlight w:val="none"/>
        </w:rPr>
        <w:t xml:space="preserve">：查询食品卫生管理学校基本信息</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请求方式：GET   </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请求参数：orgId（机构ID）、orgType（机构类型）、name（学校名称）、endYear（学年）、PageForm（分页参数）</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t xml:space="preserve">响应数据：PageableList&lt;FoodHygieneSchool&gt;（分页学校列表）</w:t>
      </w:r>
      <w:r>
        <w:rPr>
          <w:rFonts w:hint="eastAsia"/>
          <w:color w:val="000000"/>
          <w:sz w:val="22"/>
          <w:szCs w:val="22"/>
          <w:highlight w:val="none"/>
        </w:rPr>
      </w:r>
      <w:r/>
    </w:p>
    <w:p>
      <w:pPr>
        <w:pStyle w:val="893"/>
        <w:ind w:left="636" w:firstLine="0"/>
        <w:rPr>
          <w:rFonts w:hint="eastAsia"/>
          <w:color w:val="000000"/>
          <w:sz w:val="22"/>
          <w:szCs w:val="22"/>
          <w:highlight w:val="none"/>
        </w:rPr>
      </w:pPr>
      <w:r>
        <w:rPr>
          <w:rFonts w:hint="eastAsia"/>
          <w:color w:val="000000"/>
          <w:sz w:val="22"/>
          <w:szCs w:val="22"/>
          <w:highlight w:val="none"/>
        </w:rPr>
      </w:r>
      <w:r/>
    </w:p>
    <w:p>
      <w:pPr>
        <w:pStyle w:val="894"/>
        <w:ind w:left="636" w:firstLine="0"/>
        <w:rPr>
          <w:color w:val="000000"/>
          <w:sz w:val="28"/>
          <w:szCs w:val="28"/>
          <w:highlight w:val="none"/>
        </w:rPr>
      </w:pPr>
      <w:r>
        <w:rPr>
          <w:rFonts w:hint="eastAsia"/>
          <w:b/>
          <w:bCs/>
          <w:color w:val="000000"/>
          <w:sz w:val="28"/>
          <w:szCs w:val="28"/>
          <w:highlight w:val="none"/>
        </w:rPr>
        <w:t xml:space="preserve">接口分类统计</w:t>
      </w:r>
      <w:r>
        <w:rPr>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0"/>
        <w:gridCol w:w="1290"/>
        <w:gridCol w:w="3030"/>
        <w:gridCol w:w="2160"/>
      </w:tblGrid>
      <w:tr>
        <w:trPr/>
        <w:tc>
          <w:tcPr>
            <w:tcW w:w="216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子系统</w:t>
            </w:r>
            <w:r>
              <w:rPr>
                <w:rFonts w:hint="eastAsia"/>
                <w:color w:val="000000"/>
                <w:sz w:val="22"/>
                <w:szCs w:val="22"/>
                <w:highlight w:val="none"/>
              </w:rPr>
            </w:r>
            <w:r/>
          </w:p>
        </w:tc>
        <w:tc>
          <w:tcPr>
            <w:tcW w:w="129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接口数量</w:t>
            </w:r>
            <w:r>
              <w:rPr>
                <w:rFonts w:hint="eastAsia"/>
                <w:color w:val="000000"/>
                <w:sz w:val="22"/>
                <w:szCs w:val="22"/>
                <w:highlight w:val="none"/>
              </w:rPr>
            </w:r>
            <w:r/>
          </w:p>
        </w:tc>
        <w:tc>
          <w:tcPr>
            <w:tcW w:w="303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主要功能</w:t>
            </w:r>
            <w:r>
              <w:rPr>
                <w:rFonts w:hint="eastAsia"/>
                <w:color w:val="000000"/>
                <w:sz w:val="22"/>
                <w:szCs w:val="22"/>
                <w:highlight w:val="none"/>
              </w:rPr>
            </w:r>
            <w:r/>
          </w:p>
        </w:tc>
        <w:tc>
          <w:tcPr>
            <w:tcW w:w="216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b/>
                <w:color w:val="000000"/>
                <w:sz w:val="20"/>
                <w:szCs w:val="22"/>
                <w:highlight w:val="none"/>
              </w:rPr>
              <w:t xml:space="preserve">应用场景</w:t>
            </w:r>
            <w:r>
              <w:rPr>
                <w:rFonts w:hint="eastAsia"/>
                <w:color w:val="000000"/>
                <w:sz w:val="22"/>
                <w:szCs w:val="22"/>
                <w:highlight w:val="none"/>
              </w:rPr>
            </w:r>
            <w:r/>
          </w:p>
        </w:tc>
      </w:tr>
      <w:tr>
        <w:trPr/>
        <w:tc>
          <w:tcPr>
            <w:tcW w:w="216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体检系统</w:t>
            </w:r>
            <w:r>
              <w:rPr>
                <w:rFonts w:hint="eastAsia"/>
                <w:color w:val="000000"/>
                <w:sz w:val="22"/>
                <w:szCs w:val="22"/>
                <w:highlight w:val="none"/>
              </w:rPr>
            </w:r>
            <w:r/>
          </w:p>
        </w:tc>
        <w:tc>
          <w:tcPr>
            <w:tcW w:w="129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8个</w:t>
            </w:r>
            <w:r>
              <w:rPr>
                <w:rFonts w:hint="eastAsia"/>
                <w:color w:val="000000"/>
                <w:sz w:val="22"/>
                <w:szCs w:val="22"/>
                <w:highlight w:val="none"/>
              </w:rPr>
            </w:r>
            <w:r/>
          </w:p>
        </w:tc>
        <w:tc>
          <w:tcPr>
            <w:tcW w:w="3030" w:type="dxa"/>
            <w:vAlign w:val="top"/>
            <w:textDirection w:val="lrTb"/>
            <w:noWrap w:val="false"/>
          </w:tcPr>
          <w:p>
            <w:pPr>
              <w:pStyle w:val="893"/>
              <w:jc w:val="both"/>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登录、数据管理、统计、报告</w:t>
            </w:r>
            <w:r>
              <w:rPr>
                <w:rFonts w:hint="eastAsia"/>
                <w:color w:val="000000"/>
                <w:sz w:val="22"/>
                <w:szCs w:val="22"/>
                <w:highlight w:val="none"/>
                <w:lang w:eastAsia="zh-CN"/>
              </w:rPr>
            </w:r>
            <w:r/>
          </w:p>
        </w:tc>
        <w:tc>
          <w:tcPr>
            <w:tcW w:w="2160" w:type="dxa"/>
            <w:vAlign w:val="top"/>
            <w:textDirection w:val="lrTb"/>
            <w:noWrap w:val="false"/>
          </w:tcPr>
          <w:p>
            <w:pPr>
              <w:pStyle w:val="893"/>
              <w:jc w:val="both"/>
              <w:spacing w:after="0" w:line="240" w:lineRule="auto"/>
              <w:rPr>
                <w:rFonts w:hint="eastAsia"/>
                <w:color w:val="000000"/>
                <w:sz w:val="22"/>
                <w:szCs w:val="22"/>
                <w:highlight w:val="none"/>
              </w:rPr>
            </w:pPr>
            <w:r>
              <w:rPr>
                <w:rFonts w:hint="eastAsia"/>
                <w:color w:val="000000"/>
                <w:sz w:val="18"/>
                <w:szCs w:val="22"/>
                <w:highlight w:val="none"/>
              </w:rPr>
              <w:t xml:space="preserve">学生健康体检管理</w:t>
            </w:r>
            <w:r>
              <w:rPr>
                <w:rFonts w:hint="eastAsia"/>
                <w:color w:val="000000"/>
                <w:sz w:val="22"/>
                <w:szCs w:val="22"/>
                <w:highlight w:val="none"/>
              </w:rPr>
            </w:r>
            <w:r/>
          </w:p>
        </w:tc>
      </w:tr>
      <w:tr>
        <w:trPr/>
        <w:tc>
          <w:tcPr>
            <w:tcW w:w="216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体测系统</w:t>
            </w:r>
            <w:r>
              <w:rPr>
                <w:rFonts w:hint="eastAsia"/>
                <w:color w:val="000000"/>
                <w:sz w:val="22"/>
                <w:szCs w:val="22"/>
                <w:highlight w:val="none"/>
              </w:rPr>
            </w:r>
            <w:r/>
          </w:p>
        </w:tc>
        <w:tc>
          <w:tcPr>
            <w:tcW w:w="129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3个</w:t>
            </w:r>
            <w:r>
              <w:rPr>
                <w:rFonts w:hint="eastAsia"/>
                <w:color w:val="000000"/>
                <w:sz w:val="22"/>
                <w:szCs w:val="22"/>
                <w:highlight w:val="none"/>
              </w:rPr>
            </w:r>
            <w:r/>
          </w:p>
        </w:tc>
        <w:tc>
          <w:tcPr>
            <w:tcW w:w="3030" w:type="dxa"/>
            <w:vAlign w:val="top"/>
            <w:textDirection w:val="lrTb"/>
            <w:noWrap w:val="false"/>
          </w:tcPr>
          <w:p>
            <w:pPr>
              <w:pStyle w:val="893"/>
              <w:jc w:val="both"/>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登录、数据管理、成绩查询</w:t>
            </w:r>
            <w:r>
              <w:rPr>
                <w:rFonts w:hint="eastAsia"/>
                <w:color w:val="000000"/>
                <w:sz w:val="22"/>
                <w:szCs w:val="22"/>
                <w:highlight w:val="none"/>
                <w:lang w:eastAsia="zh-CN"/>
              </w:rPr>
            </w:r>
            <w:r/>
          </w:p>
        </w:tc>
        <w:tc>
          <w:tcPr>
            <w:tcW w:w="2160" w:type="dxa"/>
            <w:vAlign w:val="top"/>
            <w:textDirection w:val="lrTb"/>
            <w:noWrap w:val="false"/>
          </w:tcPr>
          <w:p>
            <w:pPr>
              <w:pStyle w:val="893"/>
              <w:jc w:val="both"/>
              <w:spacing w:after="0" w:line="240" w:lineRule="auto"/>
              <w:rPr>
                <w:rFonts w:hint="eastAsia"/>
                <w:color w:val="000000"/>
                <w:sz w:val="22"/>
                <w:szCs w:val="22"/>
                <w:highlight w:val="none"/>
              </w:rPr>
            </w:pPr>
            <w:r>
              <w:rPr>
                <w:rFonts w:hint="eastAsia"/>
                <w:color w:val="000000"/>
                <w:sz w:val="18"/>
                <w:szCs w:val="22"/>
                <w:highlight w:val="none"/>
              </w:rPr>
              <w:t xml:space="preserve">学生体能测试管理</w:t>
            </w:r>
            <w:r>
              <w:rPr>
                <w:rFonts w:hint="eastAsia"/>
                <w:color w:val="000000"/>
                <w:sz w:val="22"/>
                <w:szCs w:val="22"/>
                <w:highlight w:val="none"/>
              </w:rPr>
            </w:r>
            <w:r/>
          </w:p>
        </w:tc>
      </w:tr>
      <w:tr>
        <w:trPr/>
        <w:tc>
          <w:tcPr>
            <w:tcW w:w="216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近视防控系统</w:t>
            </w:r>
            <w:r>
              <w:rPr>
                <w:rFonts w:hint="eastAsia"/>
                <w:color w:val="000000"/>
                <w:sz w:val="22"/>
                <w:szCs w:val="22"/>
                <w:highlight w:val="none"/>
              </w:rPr>
            </w:r>
            <w:r/>
          </w:p>
        </w:tc>
        <w:tc>
          <w:tcPr>
            <w:tcW w:w="129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4个</w:t>
            </w:r>
            <w:r>
              <w:rPr>
                <w:rFonts w:hint="eastAsia"/>
                <w:color w:val="000000"/>
                <w:sz w:val="22"/>
                <w:szCs w:val="22"/>
                <w:highlight w:val="none"/>
              </w:rPr>
            </w:r>
            <w:r/>
          </w:p>
        </w:tc>
        <w:tc>
          <w:tcPr>
            <w:tcW w:w="3030" w:type="dxa"/>
            <w:vAlign w:val="top"/>
            <w:textDirection w:val="lrTb"/>
            <w:noWrap w:val="false"/>
          </w:tcPr>
          <w:p>
            <w:pPr>
              <w:pStyle w:val="893"/>
              <w:jc w:val="both"/>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登录、数据管理、检查结果</w:t>
            </w:r>
            <w:r>
              <w:rPr>
                <w:rFonts w:hint="eastAsia"/>
                <w:color w:val="000000"/>
                <w:sz w:val="22"/>
                <w:szCs w:val="22"/>
                <w:highlight w:val="none"/>
                <w:lang w:eastAsia="zh-CN"/>
              </w:rPr>
            </w:r>
            <w:r/>
          </w:p>
        </w:tc>
        <w:tc>
          <w:tcPr>
            <w:tcW w:w="2160" w:type="dxa"/>
            <w:vAlign w:val="top"/>
            <w:textDirection w:val="lrTb"/>
            <w:noWrap w:val="false"/>
          </w:tcPr>
          <w:p>
            <w:pPr>
              <w:pStyle w:val="893"/>
              <w:jc w:val="both"/>
              <w:spacing w:after="0" w:line="240" w:lineRule="auto"/>
              <w:rPr>
                <w:rFonts w:hint="eastAsia"/>
                <w:color w:val="000000"/>
                <w:sz w:val="22"/>
                <w:szCs w:val="22"/>
                <w:highlight w:val="none"/>
              </w:rPr>
            </w:pPr>
            <w:r>
              <w:rPr>
                <w:rFonts w:hint="eastAsia"/>
                <w:color w:val="000000"/>
                <w:sz w:val="18"/>
                <w:szCs w:val="22"/>
                <w:highlight w:val="none"/>
              </w:rPr>
              <w:t xml:space="preserve">学生视力筛查管理</w:t>
            </w:r>
            <w:r>
              <w:rPr>
                <w:rFonts w:hint="eastAsia"/>
                <w:color w:val="000000"/>
                <w:sz w:val="22"/>
                <w:szCs w:val="22"/>
                <w:highlight w:val="none"/>
              </w:rPr>
            </w:r>
            <w:r/>
          </w:p>
        </w:tc>
      </w:tr>
      <w:tr>
        <w:trPr/>
        <w:tc>
          <w:tcPr>
            <w:tcW w:w="216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食堂管理系统</w:t>
            </w:r>
            <w:r>
              <w:rPr>
                <w:rFonts w:hint="eastAsia"/>
                <w:color w:val="000000"/>
                <w:sz w:val="22"/>
                <w:szCs w:val="22"/>
                <w:highlight w:val="none"/>
              </w:rPr>
            </w:r>
            <w:r/>
          </w:p>
        </w:tc>
        <w:tc>
          <w:tcPr>
            <w:tcW w:w="129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5个</w:t>
            </w:r>
            <w:r>
              <w:rPr>
                <w:rFonts w:hint="eastAsia"/>
                <w:color w:val="000000"/>
                <w:sz w:val="22"/>
                <w:szCs w:val="22"/>
                <w:highlight w:val="none"/>
              </w:rPr>
            </w:r>
            <w:r/>
          </w:p>
        </w:tc>
        <w:tc>
          <w:tcPr>
            <w:tcW w:w="3030" w:type="dxa"/>
            <w:vAlign w:val="top"/>
            <w:textDirection w:val="lrTb"/>
            <w:noWrap w:val="false"/>
          </w:tcPr>
          <w:p>
            <w:pPr>
              <w:pStyle w:val="893"/>
              <w:jc w:val="both"/>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登录、食堂管理、菜谱、采样</w:t>
            </w:r>
            <w:r>
              <w:rPr>
                <w:rFonts w:hint="eastAsia"/>
                <w:color w:val="000000"/>
                <w:sz w:val="22"/>
                <w:szCs w:val="22"/>
                <w:highlight w:val="none"/>
                <w:lang w:eastAsia="zh-CN"/>
              </w:rPr>
            </w:r>
            <w:r/>
          </w:p>
        </w:tc>
        <w:tc>
          <w:tcPr>
            <w:tcW w:w="2160" w:type="dxa"/>
            <w:vAlign w:val="top"/>
            <w:textDirection w:val="lrTb"/>
            <w:noWrap w:val="false"/>
          </w:tcPr>
          <w:p>
            <w:pPr>
              <w:pStyle w:val="893"/>
              <w:jc w:val="both"/>
              <w:spacing w:after="0" w:line="240" w:lineRule="auto"/>
              <w:rPr>
                <w:rFonts w:hint="eastAsia"/>
                <w:color w:val="000000"/>
                <w:sz w:val="22"/>
                <w:szCs w:val="22"/>
                <w:highlight w:val="none"/>
              </w:rPr>
            </w:pPr>
            <w:r>
              <w:rPr>
                <w:rFonts w:hint="eastAsia"/>
                <w:color w:val="000000"/>
                <w:sz w:val="18"/>
                <w:szCs w:val="22"/>
                <w:highlight w:val="none"/>
              </w:rPr>
              <w:t xml:space="preserve">学校食品安全管理</w:t>
            </w:r>
            <w:r>
              <w:rPr>
                <w:rFonts w:hint="eastAsia"/>
                <w:color w:val="000000"/>
                <w:sz w:val="22"/>
                <w:szCs w:val="22"/>
                <w:highlight w:val="none"/>
              </w:rPr>
            </w:r>
            <w:r/>
          </w:p>
        </w:tc>
      </w:tr>
      <w:tr>
        <w:trPr/>
        <w:tc>
          <w:tcPr>
            <w:tcW w:w="216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合计</w:t>
            </w:r>
            <w:r>
              <w:rPr>
                <w:rFonts w:hint="eastAsia"/>
                <w:color w:val="000000"/>
                <w:sz w:val="22"/>
                <w:szCs w:val="22"/>
                <w:highlight w:val="none"/>
              </w:rPr>
            </w:r>
            <w:r/>
          </w:p>
        </w:tc>
        <w:tc>
          <w:tcPr>
            <w:tcW w:w="129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20个</w:t>
            </w:r>
            <w:r>
              <w:rPr>
                <w:rFonts w:hint="eastAsia"/>
                <w:color w:val="000000"/>
                <w:sz w:val="22"/>
                <w:szCs w:val="22"/>
                <w:highlight w:val="none"/>
              </w:rPr>
            </w:r>
            <w:r/>
          </w:p>
        </w:tc>
        <w:tc>
          <w:tcPr>
            <w:tcW w:w="3030" w:type="dxa"/>
            <w:vAlign w:val="top"/>
            <w:textDirection w:val="lrTb"/>
            <w:noWrap w:val="false"/>
          </w:tcPr>
          <w:p>
            <w:pPr>
              <w:pStyle w:val="893"/>
              <w:ind w:left="636" w:firstLine="0"/>
              <w:jc w:val="center"/>
              <w:spacing w:after="0" w:line="240" w:lineRule="auto"/>
              <w:rPr>
                <w:rFonts w:hint="eastAsia"/>
                <w:color w:val="000000"/>
                <w:sz w:val="22"/>
                <w:szCs w:val="22"/>
                <w:highlight w:val="none"/>
              </w:rPr>
            </w:pPr>
            <w:r>
              <w:rPr>
                <w:rFonts w:hint="eastAsia"/>
                <w:color w:val="000000"/>
                <w:sz w:val="18"/>
                <w:szCs w:val="22"/>
                <w:highlight w:val="none"/>
              </w:rPr>
              <w:t xml:space="preserve">-</w:t>
            </w:r>
            <w:r>
              <w:rPr>
                <w:rFonts w:hint="eastAsia"/>
                <w:color w:val="000000"/>
                <w:sz w:val="22"/>
                <w:szCs w:val="22"/>
                <w:highlight w:val="none"/>
              </w:rPr>
            </w:r>
            <w:r/>
          </w:p>
        </w:tc>
        <w:tc>
          <w:tcPr>
            <w:tcW w:w="2160" w:type="dxa"/>
            <w:vAlign w:val="top"/>
            <w:textDirection w:val="lrTb"/>
            <w:noWrap w:val="false"/>
          </w:tcPr>
          <w:p>
            <w:pPr>
              <w:pStyle w:val="893"/>
              <w:jc w:val="both"/>
              <w:spacing w:after="0" w:line="240" w:lineRule="auto"/>
              <w:rPr>
                <w:rFonts w:hint="eastAsia"/>
                <w:color w:val="000000"/>
                <w:sz w:val="22"/>
                <w:szCs w:val="22"/>
                <w:highlight w:val="none"/>
                <w:lang w:eastAsia="zh-CN"/>
              </w:rPr>
            </w:pPr>
            <w:r>
              <w:rPr>
                <w:rFonts w:hint="eastAsia"/>
                <w:color w:val="000000"/>
                <w:sz w:val="18"/>
                <w:szCs w:val="22"/>
                <w:highlight w:val="none"/>
                <w:lang w:eastAsia="zh-CN"/>
              </w:rPr>
              <w:t xml:space="preserve">教育健康管理综合平台</w:t>
            </w:r>
            <w:r>
              <w:rPr>
                <w:rFonts w:hint="eastAsia"/>
                <w:color w:val="000000"/>
                <w:sz w:val="22"/>
                <w:szCs w:val="22"/>
                <w:highlight w:val="none"/>
                <w:lang w:eastAsia="zh-CN"/>
              </w:rPr>
            </w:r>
            <w:r/>
          </w:p>
        </w:tc>
      </w:tr>
    </w:tbl>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4"/>
        <w:ind w:left="636" w:firstLine="0"/>
        <w:rPr>
          <w:b/>
          <w:bCs/>
          <w:color w:val="000000"/>
          <w:sz w:val="28"/>
          <w:szCs w:val="28"/>
          <w:highlight w:val="none"/>
          <w:lang w:eastAsia="zh-CN"/>
        </w:rPr>
      </w:pPr>
      <w:r>
        <w:rPr>
          <w:rFonts w:hint="eastAsia"/>
          <w:b/>
          <w:bCs/>
          <w:color w:val="000000"/>
          <w:sz w:val="28"/>
          <w:szCs w:val="28"/>
          <w:highlight w:val="none"/>
          <w:lang w:eastAsia="zh-CN"/>
        </w:rPr>
        <w:t xml:space="preserve">技术特点</w:t>
      </w:r>
      <w:r>
        <w:rPr>
          <w:b/>
          <w:bCs/>
          <w:color w:val="000000"/>
          <w:sz w:val="28"/>
          <w:szCs w:val="28"/>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 统一认证机制：所有子系统采用统一的身份认证方式，支持单点登录</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 标准化接口设计：接口遵循RESTful规范，便于前端调用和系统集成</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 分页查询支持：列表接口均支持分页查询，优化大数据量场景性能</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 数据导入导出：支持Excel格式的数据批量导入导出功能</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 模块化架构：各子系统独立部署，支持灵活扩展和维护</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r>
      <w:r/>
    </w:p>
    <w:p>
      <w:pPr>
        <w:pStyle w:val="894"/>
        <w:ind w:left="636" w:firstLine="0"/>
        <w:rPr>
          <w:color w:val="000000"/>
          <w:sz w:val="28"/>
          <w:szCs w:val="28"/>
          <w:highlight w:val="none"/>
          <w:lang w:eastAsia="zh-CN"/>
        </w:rPr>
      </w:pPr>
      <w:r>
        <w:rPr>
          <w:rFonts w:hint="eastAsia"/>
          <w:b/>
          <w:bCs/>
          <w:color w:val="000000"/>
          <w:sz w:val="28"/>
          <w:szCs w:val="28"/>
          <w:highlight w:val="none"/>
          <w:lang w:eastAsia="zh-CN"/>
        </w:rPr>
        <w:t xml:space="preserve">接口调用说明</w:t>
      </w:r>
      <w:r>
        <w:rPr>
          <w:color w:val="000000"/>
          <w:sz w:val="28"/>
          <w:szCs w:val="28"/>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1. 接口调用前需先通过登录接口获取Session</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2. 后续请求需携带Session信息进行身份验证</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3. 请求参数通过URL Query参数或Request Body传递</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4. 响应数据统一为JSON格式，包含状态码和业务数据</w:t>
      </w:r>
      <w:r>
        <w:rPr>
          <w:rFonts w:hint="eastAsia"/>
          <w:color w:val="000000"/>
          <w:sz w:val="22"/>
          <w:szCs w:val="22"/>
          <w:highlight w:val="none"/>
          <w:lang w:eastAsia="zh-CN"/>
        </w:rPr>
      </w:r>
      <w:r/>
    </w:p>
    <w:p>
      <w:pPr>
        <w:pStyle w:val="893"/>
        <w:ind w:left="636" w:firstLine="0"/>
        <w:rPr>
          <w:rFonts w:hint="eastAsia"/>
          <w:color w:val="000000"/>
          <w:sz w:val="22"/>
          <w:szCs w:val="22"/>
          <w:highlight w:val="none"/>
          <w:lang w:eastAsia="zh-CN"/>
        </w:rPr>
      </w:pPr>
      <w:r>
        <w:rPr>
          <w:rFonts w:hint="eastAsia"/>
          <w:color w:val="000000"/>
          <w:sz w:val="22"/>
          <w:szCs w:val="22"/>
          <w:highlight w:val="none"/>
          <w:lang w:eastAsia="zh-CN"/>
        </w:rPr>
        <w:t xml:space="preserve">5. 分页接口返回PageableList对象，包含总数和分页数据</w:t>
      </w:r>
      <w:r>
        <w:rPr>
          <w:rFonts w:hint="eastAsia"/>
          <w:color w:val="000000"/>
          <w:sz w:val="22"/>
          <w:szCs w:val="22"/>
          <w:highlight w:val="none"/>
          <w:lang w:eastAsia="zh-CN"/>
        </w:rPr>
      </w:r>
      <w:r/>
    </w:p>
    <w:p>
      <w:pPr>
        <w:pStyle w:val="905"/>
        <w:numPr>
          <w:ilvl w:val="0"/>
          <w:numId w:val="0"/>
        </w:numPr>
        <w:ind w:left="420"/>
        <w:rPr>
          <w:color w:val="000000"/>
          <w:highlight w:val="none"/>
          <w:lang w:val="en-US" w:eastAsia="zh-CN"/>
        </w:rPr>
      </w:pPr>
      <w:r>
        <w:rPr>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bookmarkEnd w:id="87"/>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905"/>
        <w:rPr>
          <w:rFonts w:hint="eastAsia"/>
          <w:color w:val="000000"/>
          <w:highlight w:val="none"/>
          <w:lang w:val="en-US" w:eastAsia="zh-CN"/>
        </w:rPr>
      </w:pPr>
      <w:r>
        <w:rPr>
          <w:rFonts w:hint="eastAsia"/>
          <w:color w:val="000000"/>
          <w:highlight w:val="none"/>
          <w:lang w:val="en-US" w:eastAsia="zh-CN"/>
        </w:rPr>
      </w:r>
      <w:r/>
    </w:p>
    <w:p>
      <w:pPr>
        <w:pStyle w:val="893"/>
        <w:rPr>
          <w:rFonts w:hint="eastAsia"/>
          <w:color w:val="000000"/>
          <w:highlight w:val="none"/>
          <w:lang w:val="en-US" w:eastAsia="zh-CN"/>
        </w:rPr>
      </w:pPr>
      <w:r>
        <w:rPr>
          <w:rFonts w:hint="eastAsia"/>
          <w:color w:val="000000"/>
          <w:highlight w:val="none"/>
          <w:lang w:val="en-US" w:eastAsia="zh-CN"/>
        </w:rPr>
      </w:r>
      <w:r/>
    </w:p>
    <w:p>
      <w:pPr>
        <w:pStyle w:val="101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color w:val="000000"/>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9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9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93"/>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9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7"/>
        <w:gridCol w:w="1146"/>
        <w:gridCol w:w="6490"/>
        <w:gridCol w:w="709"/>
        <w:gridCol w:w="850"/>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7"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90"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2"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1.价</w:t>
            </w:r>
            <w:r>
              <w:rPr>
                <w:rFonts w:ascii="SimSun" w:hAnsi="SimSun" w:eastAsia="SimSun" w:cs="SimSun"/>
                <w:b/>
                <w:color w:val="000000"/>
                <w:spacing w:val="-2"/>
                <w:sz w:val="24"/>
              </w:rPr>
              <w:t xml:space="preserve">格</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5"/>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2"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2.技术</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产品技术参数全部满足磋商文件要求的得满分，打★指标为必须满足项，如有负偏离将作为无效响应，其余指标（共46项）有1项负偏离扣0.5分。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基础功能技术方案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根据本项目采购需求编制方案，主要是针对系统管理中心和基础应用的项目技术方案，内容包含：1.基础服务；2.数据库表国产数据库设计；3.定制化开发。以上每项内容逐项评分：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完整，对本项目技术要求理解深刻，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上述每项内容符合得2分；部分符合得1分；不符合或不提供不得分。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主观分</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业务模块技术方案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根据本项目采购需求编制方案，内容包含：1.数据库国产数据库设计；2.业务功能改造；3.业务功能扩展。以上每项内容逐项评分：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完整、详尽合理、技术先进可行，针对本项目业务场景定制设计，全面贴合采购需求，视为符合；方案内容整体合规、基本满足采购需求，具备一定针对性与技术可行性，但以通用技术方案为主，未完全适配本项目业务场景，部分契合采购需求，视为部分符合；方案内容针对性、合理性、技术先进性较差，脱离本项目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上述每项内容符合得2分，部分符合得1分，不符合或不提供不得分。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需求理解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根据本项目采购需求编制方案，内容包含：1.重点难点分析；2.服务目标分析；3.建设需求分析。以上每项内容逐项评分：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清晰完整，对本项目理解深刻，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上述每项内容符合得1分，部分符合得0.5分，不符合或不提供不得分。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系统对接方案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根据本项目采购需求编制方案，内容包含：1.对接实施计划；2.对接重点难点分析；3.系统开放接口数据同步措施；4.企业微信通讯录数据同步与管理措施。以上每项内容逐项评分：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完整、详尽合理、技术先进可行，针对本项目系统对接业务场景定制设计，接口适配、数据同步、通讯录管理等措施贴合项目实际需求，全面贴合采购需求，视为符合；方案内容整体合规、基本满足本项目系统对接采购需求，接口同步、通讯录管理相关措施具备一定针对性与技术可行性，但以通用化系统对接方案为主，未完全适配本项目专属业务场景与数据交互要求，部分契合采购需求，视为部分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方案内容针对性、合理性、技术先进性较差，接口同步、通讯录数据管理措施不完善、可落地性弱，脱离本项目系统对接采购需求，视为不符合。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上述每项内容符合得1分，部分符合得0.5分，不符合或不提供不得分。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系统安全解决方案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根据本项目采购需求编制方案，内容包含：1.防篡改措施；2.接口数据安全传输措施；3.数据库加密措施。以上每项内容逐项评分：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完整、详尽合理、技术先进可行，针对本项目系统安全业务场景定制设计，防篡改防护、接口数据安全传输、数据库加密等安全措施贴合项目实际需求，全面贴合采购需求，视为符合；方案内容整体合规、基本满足本项目系统安全采购需求，防篡改、接口数据安全传输、数据库加密相关措施具备一定针对性与技术可行性，但以通用化系统安全方案为主，未完全适配本项目专属业务场景与安全防护要求，部分契合采购需求，视为部分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方案内容针对性、合理性、技术先进性较差，防篡改防护、接口数据安全传输、数据库加密措施不完善、可落地性弱，脱离本项目系统安全采购需求，视为不符合。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上述每项内容符合得2分，部分符合得1分，不符合或不提供不得分。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根据本项目采购需求编制方案，内容包含：1.任务分解；2.时间及人员安排；3.风险管控措施；4.进度保障措施。</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以上每项内容逐项评分：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进度规划科学严谨、阶段划分清晰、节点设置合理、整体落地性强，完全贴合本项目实施场景及采购需求，视为符合；实施进度规划整体规范、逻辑通顺，进度安排较为科学，可满足项目基本实施要求，部分契合采购需求，视为部分符合。仅简单提及实施进度、规划内容粗略、缺乏完整阶段性安排，无法有效支撑项目实施，脱离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上述每项内容符合得1分，部分符合得0.5分，不符合或不提供不得分。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评委根据供应商提供的演示视频（总演示时间不超过20分钟）综合评分。演示视频包括以下内容：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1.学生基础档案建档：演示在完成国产数据库适配和历史数据迁移后，系统支持学生基础信息导入、学校班级关联和学生健康档案建档。</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2.学生健康数据综合管理：演示平台在信创环境下对学生体检、体测、视力等健康数据进行统一归集、统一展示；演示健康数据的录入、查询、报告生成、多层级多维度统计分析及评价等。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3.家长端学生绑定与档案查询：演示家长端绑定学生后查看学生基础信息和健康档案，并下载健康报告。</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4.食堂模块基本信息管理：包括学校、食堂、送餐公司基础信息管理、食材基础信息与营养库管理、菜品信息维护与标准化管理。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5.一周食谱编制与营养达标分析：演示食堂PC端编制一周食谱、自动测算营养结构并判断达标情况以及通过移动端填报一周食谱并生成营养配比预览。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6.移动端每日食材上报及早午餐供应统计：演示食堂人员通过移动端上报每日食材名称、数量、供应来源及检验信息；对早午餐供应情况、上报及时率和营养达标情况进行统计分析。</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7.食堂安全检查问题登记与反馈：演示监管人员或学校在PC端录入食堂安全检查问题、检查结果和整改要求，整改通知下发、食堂移动端上传整改说明及图片、监管端复核确认。</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8.食品安全知识宣教与答题统计：演示平台开展食品安全知识学习、在线答题和结果统计，体现食堂信息化管理的培训支撑能力。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9.学生健康与食堂营养数据融合分析：演示学生健康管理平台与食堂信息化管理平台数据联动分析，体现信创改造项目的平台融合价值。</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10.市、区、校三级监管与综合决策报表：演示不同权限角色下的监管查看、综合统计报表和决策分析，体现改造后平台对分级监管和管理决策的支撑能力。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采用类似真实系统演示，每小项能成功演示所有功能的得2分，最多得20分；每小项只能成功演示部分功能的得1分，最多得10分；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采用系统原型（DEMO）演示，每小项能成功演示所有功能的得1分，最多得10分；每小项只能成功演示部分功能的得0.5分，最多得5分；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采用PPT等方式演示，每小项能成功演示所有功能的得0.5分，最多得5分；每小项只能成功演示部分功能的得0.25分，最多得2.5分；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（未提供视频文件或因供应商自身原因视频文件无法打开或视频画面不清晰无法辨认的不得分。）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根据本项目采购需求编制方案，内容包含：1.服务措施；2.应急举措；3.服务流程及服务保障体系。以上每项内容逐项评分：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实、科学合理、落地可操作性强，完全贴合本项目运维服务场景及采购需求，视为符合；方案内容基本完整、整体合规合理，具备基础可操作性，可满足项目常规运维服务要求，部分契合采购需求，视为部分符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方案内容残缺不全、科学性与合理性不足、不具备实际可操作性，脱离采购需求，视为不符合。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上述每项内容符合得1分，部分符合得0.5分，不符合或不提供不得分。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根据本项目采购需求编制方案，内容包含：1.培训计划；2.培训内容规划；3.培训质量保障措施。以上每项内容逐项评分：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方案内容完整详实、细节完善、针对性极强，完全贴合本项目培训场景及采购需求，视为符合。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方案内容基本齐全、合规有效，具备一定针对性，能够满足项目基础培训要求，部分契合采购需求，视为部分符合。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方案内容针对性薄弱、内容粗糙，无法适配项目培训需求，脱离采购需求，视为不符合。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上述每项内容符合得1分，部分符合得0.5分，不符合或不提供不得分。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本地化服务能力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供应商成交后能够提供本地化服务的得2分。（提供承诺书或有效证明材料）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4.业绩</w:t>
            </w:r>
            <w:r/>
          </w:p>
        </w:tc>
      </w:tr>
      <w:tr>
        <w:trPr>
          <w:trHeight w:val="4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供应商业绩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供应商提供2023年1月1日（含）以来类似项目业绩（至少包含软件开发或系统开发或平台开发），每提供1个得2分。（时间以合同签订时间为准，提供有效合同，合同页须清晰可见相应内容）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2"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供应商拟派本项目</w:t>
            </w:r>
            <w:r>
              <w:rPr>
                <w:rFonts w:ascii="SimSun" w:hAnsi="SimSun" w:eastAsia="SimSun" w:cs="SimSun"/>
                <w:color w:val="000000"/>
                <w:sz w:val="24"/>
              </w:rPr>
              <w:t xml:space="preserve">的项目经理具有工信部和人社部颁发的信息系统项目管理师证书的，得2分。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（提供上述人员证书）</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供应商拟派本项目的团队成员（不含项目经理），具有工信部和人社部颁发的网络工程师、软件设计师、系统分析师、系统集成项目管理工程师证书的，每提供1个证书得1分，最多得2分。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（多人一证、一人多证不重复计分，提供团队成员证书）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w:t>
            </w:r>
            <w:r>
              <w:rPr>
                <w:rFonts w:ascii="SimSun" w:hAnsi="SimSun" w:eastAsia="SimSun" w:cs="SimSun"/>
                <w:color w:val="000000"/>
                <w:spacing w:val="-2"/>
                <w:sz w:val="24"/>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6"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100分</w:t>
            </w:r>
            <w:r/>
          </w:p>
        </w:tc>
      </w:tr>
    </w:tbl>
    <w:p>
      <w:pPr>
        <w:pStyle w:val="973"/>
        <w:keepLines w:val="0"/>
        <w:keepNext w:val="0"/>
        <w:pageBreakBefore w:val="0"/>
        <w:spacing w:line="288" w:lineRule="auto"/>
        <w:widowControl w:val="off"/>
        <w:rPr>
          <w:rFonts w:hint="eastAsia"/>
          <w:color w:val="000000"/>
          <w:highlight w:val="none"/>
        </w:rPr>
      </w:pPr>
      <w:r>
        <w:rPr>
          <w:rFonts w:hint="eastAsia"/>
          <w:color w:val="000000"/>
          <w:highlight w:val="none"/>
        </w:rPr>
      </w:r>
      <w:r/>
    </w:p>
    <w:p>
      <w:pPr>
        <w:pStyle w:val="89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4"/>
      <w:r/>
      <w:bookmarkEnd w:id="85"/>
      <w:r/>
      <w:bookmarkEnd w:id="86"/>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93"/>
        <w:jc w:val="center"/>
        <w:rPr>
          <w:rFonts w:hint="eastAsia" w:ascii="宋体" w:hAnsi="宋体"/>
          <w:b/>
          <w:color w:val="000000"/>
          <w:sz w:val="72"/>
          <w:szCs w:val="21"/>
          <w:highlight w:val="none"/>
        </w:rPr>
      </w:pPr>
      <w:r/>
      <w:bookmarkStart w:id="90" w:name="_Hlt26955039"/>
      <w:r/>
      <w:bookmarkEnd w:id="90"/>
      <w:r/>
      <w:bookmarkStart w:id="91" w:name="_Hlt26671244"/>
      <w:r/>
      <w:bookmarkEnd w:id="91"/>
      <w:r/>
      <w:bookmarkStart w:id="92" w:name="_Toc120614282"/>
      <w:r/>
      <w:bookmarkStart w:id="93" w:name="_Toc49090576"/>
      <w:r/>
      <w:bookmarkStart w:id="94" w:name="_Toc26554094"/>
      <w:r>
        <w:rPr>
          <w:rFonts w:hint="eastAsia" w:ascii="宋体" w:hAnsi="宋体"/>
          <w:b/>
          <w:color w:val="000000"/>
          <w:sz w:val="72"/>
          <w:szCs w:val="21"/>
          <w:highlight w:val="none"/>
        </w:rPr>
      </w:r>
      <w:r/>
    </w:p>
    <w:p>
      <w:pPr>
        <w:pStyle w:val="89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9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9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9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9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9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93"/>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93"/>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9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9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9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3"/>
        <w:spacing w:line="440" w:lineRule="exact"/>
        <w:rPr>
          <w:rFonts w:ascii="宋体" w:hAnsi="宋体"/>
          <w:color w:val="000000"/>
          <w:szCs w:val="21"/>
          <w:highlight w:val="none"/>
        </w:rPr>
      </w:pPr>
      <w:r>
        <w:rPr>
          <w:rFonts w:ascii="宋体" w:hAnsi="宋体"/>
          <w:color w:val="000000"/>
          <w:szCs w:val="21"/>
          <w:highlight w:val="none"/>
        </w:rPr>
      </w:r>
      <w:r/>
    </w:p>
    <w:p>
      <w:pPr>
        <w:pStyle w:val="893"/>
        <w:jc w:val="both"/>
        <w:spacing w:line="240" w:lineRule="auto"/>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r>
      <w:r/>
    </w:p>
    <w:p>
      <w:pPr>
        <w:pStyle w:val="89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9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89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89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hint="eastAsia" w:ascii="宋体" w:hAnsi="宋体" w:eastAsia="宋体" w:cs="宋体"/>
          <w:b w:val="0"/>
          <w:bCs w:val="0"/>
          <w:i w:val="0"/>
          <w:color w:val="000000"/>
          <w:sz w:val="28"/>
          <w:szCs w:val="28"/>
          <w:highlight w:val="none"/>
          <w:u w:val="none"/>
        </w:rPr>
      </w:r>
      <w:r/>
    </w:p>
    <w:p>
      <w:pPr>
        <w:pStyle w:val="89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eastAsia="zh-CN"/>
        </w:rPr>
        <w:t xml:space="preserve">（如有）</w:t>
      </w:r>
      <w:r>
        <w:rPr>
          <w:rFonts w:hint="eastAsia" w:ascii="宋体" w:hAnsi="宋体" w:eastAsia="宋体" w:cs="宋体"/>
          <w:b w:val="0"/>
          <w:bCs w:val="0"/>
          <w:i w:val="0"/>
          <w:color w:val="000000"/>
          <w:sz w:val="28"/>
          <w:szCs w:val="28"/>
          <w:highlight w:val="none"/>
          <w:u w:val="none"/>
          <w:lang w:val="en-US" w:eastAsia="zh-CN"/>
        </w:rPr>
      </w:r>
      <w:r/>
    </w:p>
    <w:p>
      <w:pPr>
        <w:pStyle w:val="89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893"/>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89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9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93"/>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9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9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89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9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9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9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9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9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9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9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9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9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9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93"/>
        <w:ind w:firstLine="492"/>
        <w:spacing w:line="460" w:lineRule="exact"/>
        <w:rPr>
          <w:color w:val="000000"/>
          <w:sz w:val="24"/>
          <w:szCs w:val="24"/>
          <w:highlight w:val="none"/>
        </w:rPr>
      </w:pPr>
      <w:r>
        <w:rPr>
          <w:color w:val="000000"/>
          <w:sz w:val="24"/>
          <w:szCs w:val="24"/>
          <w:highlight w:val="none"/>
        </w:rPr>
      </w:r>
      <w:r/>
    </w:p>
    <w:p>
      <w:pPr>
        <w:pStyle w:val="1013"/>
        <w:rPr>
          <w:color w:val="000000"/>
          <w:sz w:val="24"/>
          <w:szCs w:val="24"/>
          <w:highlight w:val="none"/>
        </w:rPr>
      </w:pPr>
      <w:r>
        <w:rPr>
          <w:color w:val="000000"/>
          <w:sz w:val="24"/>
          <w:szCs w:val="24"/>
          <w:highlight w:val="none"/>
        </w:rPr>
      </w:r>
      <w:r/>
    </w:p>
    <w:p>
      <w:pPr>
        <w:pStyle w:val="89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9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93"/>
        <w:rPr>
          <w:color w:val="000000"/>
          <w:sz w:val="24"/>
          <w:szCs w:val="24"/>
          <w:highlight w:val="none"/>
        </w:rPr>
      </w:pPr>
      <w:r>
        <w:rPr>
          <w:color w:val="000000"/>
          <w:sz w:val="24"/>
          <w:szCs w:val="24"/>
          <w:highlight w:val="none"/>
        </w:rPr>
      </w:r>
      <w:r/>
    </w:p>
    <w:p>
      <w:pPr>
        <w:pStyle w:val="893"/>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9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84"/>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8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的政府采购活动，由其代表我方办理上述项目在响应、磋商、澄清确认过程中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8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有效期届满之日止。</w:t>
      </w:r>
      <w:r>
        <w:rPr>
          <w:rFonts w:hint="eastAsia"/>
          <w:color w:val="000000"/>
          <w:sz w:val="24"/>
          <w:szCs w:val="24"/>
          <w:highlight w:val="none"/>
        </w:rPr>
      </w:r>
      <w:r/>
    </w:p>
    <w:p>
      <w:pPr>
        <w:pStyle w:val="984"/>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8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98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8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8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84"/>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12"/>
        <w:ind w:firstLine="0"/>
        <w:rPr>
          <w:rFonts w:hint="eastAsia"/>
          <w:color w:val="000000"/>
          <w:highlight w:val="none"/>
        </w:rPr>
      </w:pPr>
      <w:r>
        <w:rPr>
          <w:rFonts w:hint="eastAsia"/>
          <w:color w:val="000000"/>
          <w:highlight w:val="none"/>
        </w:rPr>
      </w:r>
      <w:r/>
    </w:p>
    <w:p>
      <w:pPr>
        <w:pStyle w:val="98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8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8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8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8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8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84"/>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5.未按磋商文件要求和格式提供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893"/>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End w:id="92"/>
      <w:r/>
      <w:bookmarkEnd w:id="93"/>
      <w:r/>
      <w:bookmarkEnd w:id="94"/>
      <w:r/>
      <w:bookmarkStart w:id="95"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93"/>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93"/>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Cs w:val="21"/>
          <w:highlight w:val="none"/>
        </w:rPr>
        <w:t xml:space="preserve">                    （采购人名称）</w:t>
      </w:r>
      <w:r>
        <w:rPr>
          <w:rFonts w:hint="eastAsia" w:ascii="宋体" w:hAnsi="宋体" w:eastAsia="宋体"/>
          <w:color w:val="000000"/>
          <w:sz w:val="24"/>
          <w:szCs w:val="21"/>
          <w:highlight w:val="none"/>
          <w:lang w:eastAsia="zh-CN"/>
        </w:rPr>
      </w:r>
      <w:r/>
    </w:p>
    <w:p>
      <w:pPr>
        <w:pStyle w:val="986"/>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93"/>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向贵方提供所需服务（包含与货物相关的服务及与服务相关的货物）。</w:t>
      </w:r>
      <w:r>
        <w:rPr>
          <w:rFonts w:hint="eastAsia" w:ascii="宋体" w:hAnsi="宋体"/>
          <w:color w:val="000000"/>
          <w:sz w:val="24"/>
          <w:szCs w:val="21"/>
          <w:highlight w:val="none"/>
        </w:rPr>
      </w:r>
      <w:r/>
    </w:p>
    <w:p>
      <w:pPr>
        <w:pStyle w:val="893"/>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893"/>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893"/>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89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89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交付贵方验收、使用。</w:t>
      </w:r>
      <w:r>
        <w:rPr>
          <w:rFonts w:hint="eastAsia" w:ascii="宋体" w:hAnsi="宋体" w:eastAsia="宋体" w:cs="Times New Roman"/>
          <w:color w:val="000000"/>
          <w:sz w:val="24"/>
          <w:szCs w:val="21"/>
          <w:highlight w:val="none"/>
        </w:rPr>
      </w:r>
      <w:r/>
    </w:p>
    <w:p>
      <w:pPr>
        <w:pStyle w:val="893"/>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05"/>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89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98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86"/>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8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8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8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8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93"/>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8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93"/>
        <w:rPr>
          <w:rFonts w:hint="eastAsia" w:ascii="宋体" w:hAnsi="宋体"/>
          <w:color w:val="000000"/>
          <w:szCs w:val="21"/>
          <w:highlight w:val="none"/>
        </w:rPr>
      </w:pPr>
      <w:r>
        <w:rPr>
          <w:rFonts w:hint="eastAsia" w:ascii="宋体" w:hAnsi="宋体"/>
          <w:color w:val="000000"/>
          <w:szCs w:val="21"/>
          <w:highlight w:val="none"/>
        </w:rPr>
      </w:r>
      <w:r/>
    </w:p>
    <w:p>
      <w:pPr>
        <w:pStyle w:val="89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color w:val="000000"/>
          <w:szCs w:val="21"/>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四、磋商报价表</w:t>
      </w:r>
      <w:r>
        <w:rPr>
          <w:rFonts w:hint="eastAsia" w:ascii="黑体" w:hAnsi="黑体" w:eastAsia="黑体" w:cs="Times New Roman"/>
          <w:i w:val="0"/>
          <w:color w:val="000000"/>
          <w:sz w:val="32"/>
          <w:szCs w:val="32"/>
          <w:highlight w:val="none"/>
          <w:u w:val="none"/>
          <w:lang w:val="en-US" w:eastAsia="zh-CN"/>
        </w:rPr>
      </w:r>
      <w:r/>
    </w:p>
    <w:p>
      <w:pPr>
        <w:pStyle w:val="89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93"/>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93"/>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89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eastAsia="zh-CN"/>
        </w:rPr>
        <w:t xml:space="preserve">采购包</w:t>
      </w:r>
      <w:r>
        <w:rPr>
          <w:rFonts w:hint="eastAsia" w:ascii="宋体" w:hAnsi="宋体" w:eastAsia="宋体" w:cs="Times New Roman"/>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93"/>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8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93"/>
        <w:rPr>
          <w:rFonts w:ascii="宋体" w:hAnsi="宋体"/>
          <w:color w:val="000000"/>
          <w:sz w:val="24"/>
          <w:szCs w:val="24"/>
          <w:highlight w:val="none"/>
        </w:rPr>
      </w:pPr>
      <w:r>
        <w:rPr>
          <w:rFonts w:ascii="宋体" w:hAnsi="宋体"/>
          <w:color w:val="000000"/>
          <w:sz w:val="24"/>
          <w:szCs w:val="24"/>
          <w:highlight w:val="none"/>
        </w:rPr>
      </w:r>
      <w:r/>
    </w:p>
    <w:p>
      <w:pPr>
        <w:pStyle w:val="893"/>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93"/>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93"/>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93"/>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93"/>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93"/>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93"/>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05"/>
        <w:ind w:firstLine="0"/>
        <w:rPr>
          <w:rFonts w:hint="eastAsia"/>
          <w:color w:val="000000"/>
          <w:highlight w:val="none"/>
        </w:rPr>
      </w:pPr>
      <w:r>
        <w:rPr>
          <w:rFonts w:hint="eastAsia"/>
          <w:color w:val="000000"/>
          <w:highlight w:val="none"/>
        </w:rPr>
      </w:r>
      <w:r/>
    </w:p>
    <w:p>
      <w:pPr>
        <w:pStyle w:val="97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93"/>
        <w:rPr>
          <w:rFonts w:hint="eastAsia"/>
          <w:color w:val="000000"/>
          <w:highlight w:val="none"/>
        </w:rPr>
      </w:pPr>
      <w:r>
        <w:rPr>
          <w:rFonts w:hint="eastAsia"/>
          <w:color w:val="000000"/>
          <w:highlight w:val="none"/>
        </w:rPr>
      </w:r>
      <w:r/>
    </w:p>
    <w:p>
      <w:pPr>
        <w:pStyle w:val="89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73"/>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93"/>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ascii="黑体" w:hAnsi="黑体" w:eastAsia="黑体" w:cs="Times New Roman"/>
          <w:i w:val="0"/>
          <w:color w:val="000000"/>
          <w:sz w:val="32"/>
          <w:szCs w:val="32"/>
          <w:highlight w:val="none"/>
          <w:u w:val="none"/>
          <w:lang w:val="en-US" w:eastAsia="zh-CN"/>
        </w:rPr>
      </w:r>
      <w:r/>
    </w:p>
    <w:p>
      <w:pPr>
        <w:pStyle w:val="89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9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9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93"/>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93"/>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93"/>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93"/>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9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9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9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9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9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93"/>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93"/>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9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9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9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9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9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93"/>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93"/>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6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6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6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6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6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6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9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82"/>
      <w:r/>
      <w:bookmarkEnd w:id="83"/>
      <w:r/>
      <w:bookmarkEnd w:id="95"/>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89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9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9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93"/>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89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9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60"/>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val="en-US" w:eastAsia="zh-CN"/>
        </w:rPr>
        <w:t xml:space="preserve">供应商</w:t>
      </w:r>
      <w:r>
        <w:rPr>
          <w:rFonts w:hint="eastAsia"/>
          <w:b/>
          <w:bCs/>
          <w:color w:val="000000"/>
          <w:highlight w:val="none"/>
        </w:rPr>
        <w:t xml:space="preserve">须对</w:t>
      </w:r>
      <w:r>
        <w:rPr>
          <w:rFonts w:hint="eastAsia"/>
          <w:b/>
          <w:bCs/>
          <w:color w:val="000000"/>
          <w:highlight w:val="none"/>
          <w:lang w:val="en-US" w:eastAsia="zh-CN"/>
        </w:rPr>
        <w:t xml:space="preserve">磋商</w:t>
      </w:r>
      <w:r>
        <w:rPr>
          <w:rFonts w:hint="eastAsia"/>
          <w:b/>
          <w:bCs/>
          <w:color w:val="000000"/>
          <w:highlight w:val="none"/>
        </w:rPr>
        <w:t xml:space="preserve">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w:t>
      </w:r>
      <w:r>
        <w:rPr>
          <w:rFonts w:hint="eastAsia"/>
          <w:b/>
          <w:bCs/>
          <w:color w:val="000000"/>
          <w:highlight w:val="none"/>
          <w:lang w:val="en-US" w:eastAsia="zh-CN"/>
        </w:rPr>
        <w:t xml:space="preserve">响应</w:t>
      </w:r>
      <w:r>
        <w:rPr>
          <w:rFonts w:hint="eastAsia"/>
          <w:b/>
          <w:bCs/>
          <w:color w:val="000000"/>
          <w:highlight w:val="none"/>
        </w:rPr>
        <w:t xml:space="preserve">。</w:t>
      </w:r>
      <w:r>
        <w:rPr>
          <w:rFonts w:hint="eastAsia"/>
          <w:b/>
          <w:bCs/>
          <w:color w:val="000000"/>
          <w:highlight w:val="none"/>
        </w:rPr>
      </w:r>
      <w:r/>
    </w:p>
    <w:p>
      <w:pPr>
        <w:pStyle w:val="960"/>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w:t>
      </w:r>
      <w:r>
        <w:rPr>
          <w:rFonts w:hint="eastAsia"/>
          <w:b/>
          <w:bCs/>
          <w:color w:val="000000"/>
          <w:highlight w:val="none"/>
          <w:lang w:val="en-US" w:eastAsia="zh-CN"/>
        </w:rPr>
        <w:t xml:space="preserve">成交供应商</w:t>
      </w:r>
      <w:r>
        <w:rPr>
          <w:rFonts w:hint="eastAsia"/>
          <w:b/>
          <w:bCs/>
          <w:color w:val="000000"/>
          <w:highlight w:val="none"/>
        </w:rPr>
        <w:t xml:space="preserve">应按</w:t>
      </w:r>
      <w:r>
        <w:rPr>
          <w:rFonts w:hint="eastAsia"/>
          <w:b/>
          <w:bCs/>
          <w:color w:val="000000"/>
          <w:highlight w:val="none"/>
          <w:lang w:val="en-US" w:eastAsia="zh-CN"/>
        </w:rPr>
        <w:t xml:space="preserve">磋商</w:t>
      </w:r>
      <w:r>
        <w:rPr>
          <w:rFonts w:hint="eastAsia"/>
          <w:b/>
          <w:bCs/>
          <w:color w:val="000000"/>
          <w:highlight w:val="none"/>
        </w:rPr>
        <w:t xml:space="preserve">文件要求和</w:t>
      </w:r>
      <w:r>
        <w:rPr>
          <w:rFonts w:hint="eastAsia"/>
          <w:b/>
          <w:bCs/>
          <w:color w:val="000000"/>
          <w:highlight w:val="none"/>
          <w:lang w:val="en-US" w:eastAsia="zh-CN"/>
        </w:rPr>
        <w:t xml:space="preserve">响应</w:t>
      </w:r>
      <w:r>
        <w:rPr>
          <w:rFonts w:hint="eastAsia"/>
          <w:b/>
          <w:bCs/>
          <w:color w:val="000000"/>
          <w:highlight w:val="none"/>
        </w:rPr>
        <w:t xml:space="preserve">文件内容提供相应证明材料供采购人核验，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b/>
          <w:bCs/>
          <w:color w:val="000000"/>
          <w:highlight w:val="none"/>
        </w:rPr>
      </w:r>
      <w:r/>
    </w:p>
    <w:p>
      <w:pPr>
        <w:pStyle w:val="9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93"/>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00"/>
          <w:sz w:val="36"/>
          <w:szCs w:val="21"/>
          <w:highlight w:val="none"/>
        </w:rPr>
        <w:br w:type="page" w:clear="all"/>
      </w:r>
      <w:r>
        <w:rPr>
          <w:rFonts w:hint="eastAsia" w:ascii="黑体" w:hAnsi="黑体" w:eastAsia="黑体" w:cs="Times New Roman"/>
          <w:b w:val="0"/>
          <w:iCs/>
          <w:color w:val="000000"/>
          <w:sz w:val="32"/>
          <w:szCs w:val="32"/>
          <w:highlight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w:t>
      </w:r>
      <w:r>
        <w:rPr>
          <w:rFonts w:hint="eastAsia" w:ascii="黑体" w:hAnsi="黑体" w:eastAsia="黑体" w:cs="Times New Roman"/>
          <w:i w:val="0"/>
          <w:iCs/>
          <w:color w:val="000000"/>
          <w:sz w:val="32"/>
          <w:szCs w:val="32"/>
          <w:highlight w:val="none"/>
          <w:u w:val="none"/>
          <w:lang w:val="en-US" w:eastAsia="zh-CN"/>
        </w:rPr>
        <w:t xml:space="preserve">商务要求响应及偏离表</w:t>
      </w:r>
      <w:r>
        <w:rPr>
          <w:rFonts w:hint="eastAsia" w:ascii="黑体" w:hAnsi="黑体" w:eastAsia="黑体" w:cs="Times New Roman"/>
          <w:i w:val="0"/>
          <w:iCs/>
          <w:color w:val="000000"/>
          <w:sz w:val="32"/>
          <w:szCs w:val="32"/>
          <w:highlight w:val="none"/>
          <w:u w:val="none"/>
          <w:lang w:val="en-US" w:eastAsia="zh-CN"/>
        </w:rPr>
      </w:r>
      <w:r/>
    </w:p>
    <w:p>
      <w:pPr>
        <w:pStyle w:val="89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9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9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93"/>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93"/>
              <w:jc w:val="center"/>
              <w:rPr>
                <w:rFonts w:hint="eastAsia" w:ascii="宋体" w:hAnsi="宋体"/>
                <w:color w:val="000000"/>
                <w:sz w:val="24"/>
                <w:szCs w:val="24"/>
                <w:highlight w:val="none"/>
              </w:rPr>
            </w:pPr>
            <w:r/>
            <w:bookmarkStart w:id="96" w:name="_Hlt26782999"/>
            <w:r/>
            <w:bookmarkEnd w:id="96"/>
            <w:r/>
            <w:bookmarkStart w:id="97" w:name="_Hlt24879081"/>
            <w:r/>
            <w:bookmarkEnd w:id="97"/>
            <w:r/>
            <w:bookmarkStart w:id="98" w:name="_Hlt26955064"/>
            <w:r/>
            <w:bookmarkEnd w:id="98"/>
            <w:r/>
            <w:bookmarkStart w:id="99" w:name="_Hlt26955056"/>
            <w:r/>
            <w:bookmarkEnd w:id="99"/>
            <w:r/>
            <w:bookmarkStart w:id="100" w:name="_Hlt26671343"/>
            <w:r/>
            <w:bookmarkEnd w:id="100"/>
            <w:r/>
            <w:bookmarkStart w:id="101" w:name="_Hlt26671372"/>
            <w:r/>
            <w:bookmarkEnd w:id="101"/>
            <w:r/>
            <w:bookmarkStart w:id="102" w:name="_Hlt26580838"/>
            <w:r/>
            <w:bookmarkEnd w:id="102"/>
            <w:r/>
            <w:bookmarkStart w:id="103" w:name="_Hlt26609391"/>
            <w:r/>
            <w:bookmarkEnd w:id="10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89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9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9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60"/>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93"/>
        <w:rPr>
          <w:color w:val="000000"/>
          <w:highlight w:val="none"/>
        </w:rPr>
      </w:pPr>
      <w:r>
        <w:rPr>
          <w:color w:val="000000"/>
          <w:highlight w:val="none"/>
        </w:rPr>
      </w:r>
      <w:r/>
    </w:p>
    <w:p>
      <w:pPr>
        <w:pStyle w:val="893"/>
        <w:rPr>
          <w:rFonts w:hint="eastAsia" w:ascii="黑体" w:hAnsi="黑体" w:eastAsia="黑体" w:cs="Times New Roman"/>
          <w:i w:val="0"/>
          <w:iCs/>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9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9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93"/>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93"/>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9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93"/>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73"/>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93"/>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9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93"/>
        <w:ind w:firstLine="6000"/>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93"/>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93"/>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93"/>
        <w:ind w:firstLine="482"/>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。磋商文件第四章采购需求“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93"/>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9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93"/>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9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73"/>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93"/>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9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9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9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9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3"/>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黑体" w:hAnsi="黑体" w:eastAsia="黑体"/>
          <w:b/>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9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9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9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9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3"/>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93"/>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9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9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93"/>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9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9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9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9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9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9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93"/>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Times New Roman Regular">
    <w:panose1 w:val="020206030504050203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68"/>
        <w:rFonts w:ascii="宋体" w:hAnsi="宋体"/>
      </w:rPr>
      <w:framePr w:wrap="around" w:vAnchor="text" w:hAnchor="margin" w:xAlign="center" w:y="1"/>
    </w:pPr>
    <w:r>
      <w:rPr>
        <w:rFonts w:ascii="宋体" w:hAnsi="宋体"/>
      </w:rPr>
      <w:fldChar w:fldCharType="begin"/>
    </w:r>
    <w:r>
      <w:rPr>
        <w:rStyle w:val="968"/>
        <w:rFonts w:ascii="宋体" w:hAnsi="宋体"/>
      </w:rPr>
      <w:instrText xml:space="preserve">PAGE  </w:instrText>
    </w:r>
    <w:r>
      <w:rPr>
        <w:rFonts w:ascii="宋体" w:hAnsi="宋体"/>
      </w:rPr>
      <w:fldChar w:fldCharType="separate"/>
    </w:r>
    <w:r>
      <w:rPr>
        <w:rStyle w:val="968"/>
        <w:rFonts w:ascii="宋体" w:hAnsi="宋体"/>
      </w:rPr>
      <w:t xml:space="preserve">３９</w:t>
    </w:r>
    <w:r>
      <w:rPr>
        <w:rFonts w:ascii="宋体" w:hAnsi="宋体"/>
      </w:rPr>
      <w:fldChar w:fldCharType="end"/>
    </w:r>
    <w:r>
      <w:rPr>
        <w:rStyle w:val="968"/>
        <w:rFonts w:ascii="宋体" w:hAnsi="宋体"/>
      </w:rPr>
    </w:r>
    <w:r/>
  </w:p>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rPr>
        <w:rStyle w:val="968"/>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1">
    <w:multiLevelType w:val="hybridMultilevel"/>
    <w:lvl w:ilvl="0">
      <w:start w:val="3"/>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4">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5">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6">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7">
    <w:multiLevelType w:val="hybridMultilevel"/>
    <w:lvl w:ilvl="0">
      <w:start w:val="3"/>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9">
    <w:multiLevelType w:val="hybridMultilevel"/>
    <w:lvl w:ilvl="0">
      <w:start w:val="1"/>
      <w:numFmt w:val="upperLetter"/>
      <w:pStyle w:val="978"/>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23"/>
      <w:isLgl w:val="false"/>
      <w:suff w:val="tab"/>
      <w:lvlText w:val=""/>
      <w:lvlJc w:val="left"/>
      <w:pPr>
        <w:pStyle w:val="89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12">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13">
    <w:multiLevelType w:val="hybridMultilevel"/>
    <w:lvl w:ilvl="0">
      <w:start w:val="1"/>
      <w:numFmt w:val="decimal"/>
      <w:pStyle w:val="995"/>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15">
    <w:multiLevelType w:val="hybridMultilevel"/>
    <w:lvl w:ilvl="0">
      <w:start w:val="1"/>
      <w:numFmt w:val="decimal"/>
      <w:isLgl w:val="false"/>
      <w:suff w:val="nothing"/>
      <w:lvlText w:val="%1、"/>
      <w:lvlJc w:val="left"/>
      <w:pPr>
        <w:pStyle w:val="893"/>
      </w:pPr>
      <w:rPr>
        <w:u w:val="none"/>
      </w:rPr>
    </w:lvl>
    <w:lvl w:ilvl="1">
      <w:start w:val="1"/>
      <w:numFmt w:val="decimal"/>
      <w:isLgl w:val="false"/>
      <w:suff w:val="tab"/>
      <w:lvlText w:val=""/>
      <w:lvlJc w:val="left"/>
      <w:pPr>
        <w:pStyle w:val="893"/>
      </w:pPr>
    </w:lvl>
    <w:lvl w:ilvl="2">
      <w:start w:val="1"/>
      <w:numFmt w:val="decimal"/>
      <w:isLgl w:val="false"/>
      <w:suff w:val="tab"/>
      <w:lvlText w:val=""/>
      <w:lvlJc w:val="left"/>
      <w:pPr>
        <w:pStyle w:val="893"/>
      </w:pPr>
    </w:lvl>
    <w:lvl w:ilvl="3">
      <w:start w:val="1"/>
      <w:numFmt w:val="decimal"/>
      <w:isLgl w:val="false"/>
      <w:suff w:val="tab"/>
      <w:lvlText w:val=""/>
      <w:lvlJc w:val="left"/>
      <w:pPr>
        <w:pStyle w:val="893"/>
      </w:pPr>
    </w:lvl>
    <w:lvl w:ilvl="4">
      <w:start w:val="1"/>
      <w:numFmt w:val="decimal"/>
      <w:isLgl w:val="false"/>
      <w:suff w:val="tab"/>
      <w:lvlText w:val=""/>
      <w:lvlJc w:val="left"/>
      <w:pPr>
        <w:pStyle w:val="893"/>
      </w:pPr>
    </w:lvl>
    <w:lvl w:ilvl="5">
      <w:start w:val="1"/>
      <w:numFmt w:val="decimal"/>
      <w:isLgl w:val="false"/>
      <w:suff w:val="tab"/>
      <w:lvlText w:val=""/>
      <w:lvlJc w:val="left"/>
      <w:pPr>
        <w:pStyle w:val="893"/>
      </w:pPr>
    </w:lvl>
    <w:lvl w:ilvl="6">
      <w:start w:val="1"/>
      <w:numFmt w:val="decimal"/>
      <w:isLgl w:val="false"/>
      <w:suff w:val="tab"/>
      <w:lvlText w:val=""/>
      <w:lvlJc w:val="left"/>
      <w:pPr>
        <w:pStyle w:val="893"/>
      </w:pPr>
    </w:lvl>
    <w:lvl w:ilvl="7">
      <w:start w:val="1"/>
      <w:numFmt w:val="decimal"/>
      <w:isLgl w:val="false"/>
      <w:suff w:val="tab"/>
      <w:lvlText w:val=""/>
      <w:lvlJc w:val="left"/>
      <w:pPr>
        <w:pStyle w:val="893"/>
      </w:pPr>
    </w:lvl>
    <w:lvl w:ilvl="8">
      <w:start w:val="1"/>
      <w:numFmt w:val="decimal"/>
      <w:isLgl w:val="false"/>
      <w:suff w:val="tab"/>
      <w:lvlText w:val=""/>
      <w:lvlJc w:val="left"/>
      <w:pPr>
        <w:pStyle w:val="893"/>
      </w:pPr>
    </w:lvl>
  </w:abstractNum>
  <w:abstractNum w:abstractNumId="16">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num w:numId="1">
    <w:abstractNumId w:val="16"/>
  </w:num>
  <w:num w:numId="2">
    <w:abstractNumId w:val="10"/>
  </w:num>
  <w:num w:numId="3">
    <w:abstractNumId w:val="9"/>
  </w:num>
  <w:num w:numId="4">
    <w:abstractNumId w:val="13"/>
  </w:num>
  <w:num w:numId="5">
    <w:abstractNumId w:val="2"/>
  </w:num>
  <w:num w:numId="6">
    <w:abstractNumId w:val="7"/>
  </w:num>
  <w:num w:numId="7">
    <w:abstractNumId w:val="1"/>
  </w:num>
  <w:num w:numId="8">
    <w:abstractNumId w:val="12"/>
  </w:num>
  <w:num w:numId="9">
    <w:abstractNumId w:val="8"/>
  </w:num>
  <w:num w:numId="10">
    <w:abstractNumId w:val="15"/>
  </w:num>
  <w:num w:numId="11">
    <w:abstractNumId w:val="3"/>
  </w:num>
  <w:num w:numId="12">
    <w:abstractNumId w:val="14"/>
  </w:num>
  <w:num w:numId="13">
    <w:abstractNumId w:val="6"/>
  </w:num>
  <w:num w:numId="14">
    <w:abstractNumId w:val="11"/>
  </w:num>
  <w:num w:numId="15">
    <w:abstractNumId w:val="5"/>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3"/>
    <w:next w:val="893"/>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3"/>
    <w:next w:val="893"/>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3"/>
    <w:next w:val="893"/>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3"/>
    <w:next w:val="893"/>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3"/>
    <w:next w:val="893"/>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3"/>
    <w:next w:val="893"/>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3"/>
    <w:next w:val="893"/>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3"/>
    <w:next w:val="893"/>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3"/>
    <w:next w:val="893"/>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905"/>
    <w:link w:val="893"/>
    <w:qFormat/>
    <w:pPr>
      <w:jc w:val="both"/>
      <w:widowControl w:val="off"/>
    </w:pPr>
    <w:rPr>
      <w:rFonts w:ascii="Times New Roman" w:hAnsi="Times New Roman" w:eastAsia="宋体" w:cs="Times New Roman"/>
      <w:sz w:val="21"/>
      <w:szCs w:val="22"/>
      <w:lang w:val="en-US" w:eastAsia="zh-CN" w:bidi="ar-SA"/>
    </w:rPr>
  </w:style>
  <w:style w:type="paragraph" w:styleId="894">
    <w:name w:val="标题 1"/>
    <w:basedOn w:val="893"/>
    <w:next w:val="893"/>
    <w:link w:val="910"/>
    <w:qFormat/>
    <w:pPr>
      <w:jc w:val="center"/>
      <w:keepNext/>
      <w:outlineLvl w:val="0"/>
    </w:pPr>
    <w:rPr>
      <w:rFonts w:ascii="楷体_GB2312" w:hAnsi="Times New Roman" w:eastAsia="楷体_GB2312" w:cs="Times New Roman"/>
      <w:sz w:val="28"/>
      <w:szCs w:val="28"/>
    </w:rPr>
  </w:style>
  <w:style w:type="paragraph" w:styleId="895">
    <w:name w:val="标题 2"/>
    <w:basedOn w:val="893"/>
    <w:next w:val="912"/>
    <w:link w:val="911"/>
    <w:qFormat/>
    <w:pPr>
      <w:jc w:val="center"/>
      <w:keepLines/>
      <w:keepNext/>
      <w:spacing w:before="260" w:after="260" w:line="416" w:lineRule="auto"/>
      <w:outlineLvl w:val="1"/>
    </w:pPr>
    <w:rPr>
      <w:rFonts w:ascii="Arial" w:hAnsi="Arial" w:eastAsia="幼圆" w:cs="Arial"/>
      <w:b/>
      <w:bCs/>
      <w:sz w:val="44"/>
      <w:szCs w:val="44"/>
    </w:rPr>
  </w:style>
  <w:style w:type="paragraph" w:styleId="896">
    <w:name w:val="标题 3"/>
    <w:basedOn w:val="893"/>
    <w:next w:val="912"/>
    <w:link w:val="91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7">
    <w:name w:val="标题 4"/>
    <w:basedOn w:val="893"/>
    <w:next w:val="912"/>
    <w:link w:val="915"/>
    <w:qFormat/>
    <w:pPr>
      <w:keepLines/>
      <w:keepNext/>
      <w:spacing w:before="280" w:after="290" w:line="376" w:lineRule="auto"/>
      <w:outlineLvl w:val="3"/>
    </w:pPr>
    <w:rPr>
      <w:rFonts w:ascii="Arial" w:hAnsi="Arial" w:eastAsia="黑体" w:cs="Arial"/>
      <w:b/>
      <w:bCs/>
      <w:sz w:val="28"/>
      <w:szCs w:val="28"/>
    </w:rPr>
  </w:style>
  <w:style w:type="paragraph" w:styleId="898">
    <w:name w:val="标题 5"/>
    <w:basedOn w:val="893"/>
    <w:next w:val="912"/>
    <w:link w:val="916"/>
    <w:qFormat/>
    <w:pPr>
      <w:keepNext/>
      <w:outlineLvl w:val="4"/>
    </w:pPr>
    <w:rPr>
      <w:rFonts w:ascii="宋体" w:hAnsi="Times New Roman" w:eastAsia="宋体" w:cs="Times New Roman"/>
      <w:color w:val="000000"/>
      <w:sz w:val="28"/>
      <w:szCs w:val="28"/>
    </w:rPr>
  </w:style>
  <w:style w:type="paragraph" w:styleId="899">
    <w:name w:val="标题 6"/>
    <w:basedOn w:val="893"/>
    <w:next w:val="893"/>
    <w:link w:val="91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0">
    <w:name w:val="标题 7"/>
    <w:basedOn w:val="893"/>
    <w:next w:val="893"/>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1">
    <w:name w:val="标题 8"/>
    <w:basedOn w:val="893"/>
    <w:next w:val="893"/>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2">
    <w:name w:val="标题 9"/>
    <w:basedOn w:val="893"/>
    <w:next w:val="893"/>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3">
    <w:name w:val="默认段落字体"/>
    <w:next w:val="903"/>
    <w:link w:val="893"/>
    <w:uiPriority w:val="1"/>
    <w:unhideWhenUsed/>
  </w:style>
  <w:style w:type="table" w:styleId="904">
    <w:name w:val="普通表格"/>
    <w:next w:val="904"/>
    <w:link w:val="893"/>
    <w:uiPriority w:val="99"/>
    <w:unhideWhenUsed/>
    <w:qFormat/>
    <w:tblPr/>
  </w:style>
  <w:style w:type="paragraph" w:styleId="905">
    <w:name w:val="正文首行缩进 2"/>
    <w:basedOn w:val="906"/>
    <w:next w:val="893"/>
    <w:link w:val="909"/>
    <w:pPr>
      <w:ind w:left="0" w:firstLine="420"/>
      <w:spacing w:after="0" w:line="360" w:lineRule="auto"/>
    </w:pPr>
    <w:rPr>
      <w:rFonts w:ascii="宋体" w:hAnsi="宋体" w:eastAsia="宋体" w:cs="Times New Roman"/>
      <w:szCs w:val="20"/>
    </w:rPr>
  </w:style>
  <w:style w:type="paragraph" w:styleId="906">
    <w:name w:val="正文文本缩进"/>
    <w:basedOn w:val="893"/>
    <w:next w:val="908"/>
    <w:link w:val="907"/>
    <w:unhideWhenUsed/>
    <w:qFormat/>
    <w:pPr>
      <w:ind w:left="420"/>
      <w:spacing w:after="120"/>
    </w:pPr>
  </w:style>
  <w:style w:type="character" w:styleId="907">
    <w:name w:val="正文文本缩进 Char"/>
    <w:basedOn w:val="903"/>
    <w:next w:val="907"/>
    <w:link w:val="906"/>
    <w:uiPriority w:val="99"/>
    <w:semiHidden/>
    <w:qFormat/>
  </w:style>
  <w:style w:type="paragraph" w:styleId="908">
    <w:name w:val="寄信人地址"/>
    <w:basedOn w:val="893"/>
    <w:next w:val="908"/>
    <w:link w:val="893"/>
    <w:qFormat/>
    <w:rPr>
      <w:rFonts w:ascii="Arial" w:hAnsi="Arial" w:eastAsia="宋体" w:cs="宋体"/>
    </w:rPr>
  </w:style>
  <w:style w:type="character" w:styleId="909">
    <w:name w:val="正文首行缩进 2 Char"/>
    <w:next w:val="909"/>
    <w:link w:val="905"/>
    <w:rPr>
      <w:rFonts w:ascii="宋体" w:hAnsi="宋体" w:eastAsia="宋体" w:cs="Times New Roman"/>
      <w:szCs w:val="20"/>
    </w:rPr>
  </w:style>
  <w:style w:type="character" w:styleId="910">
    <w:name w:val="标题 1 Char"/>
    <w:next w:val="910"/>
    <w:link w:val="894"/>
    <w:rPr>
      <w:rFonts w:ascii="楷体_GB2312" w:hAnsi="Times New Roman" w:eastAsia="楷体_GB2312" w:cs="Times New Roman"/>
      <w:sz w:val="28"/>
      <w:szCs w:val="28"/>
    </w:rPr>
  </w:style>
  <w:style w:type="character" w:styleId="911">
    <w:name w:val="标题 2 Char"/>
    <w:next w:val="911"/>
    <w:link w:val="895"/>
    <w:qFormat/>
    <w:rPr>
      <w:rFonts w:ascii="Arial" w:hAnsi="Arial" w:eastAsia="幼圆" w:cs="Arial"/>
      <w:b/>
      <w:bCs/>
      <w:sz w:val="44"/>
      <w:szCs w:val="44"/>
    </w:rPr>
  </w:style>
  <w:style w:type="paragraph" w:styleId="912">
    <w:name w:val="正文缩进"/>
    <w:basedOn w:val="893"/>
    <w:next w:val="912"/>
    <w:link w:val="913"/>
    <w:qFormat/>
    <w:pPr>
      <w:ind w:firstLine="420"/>
    </w:pPr>
    <w:rPr>
      <w:szCs w:val="21"/>
    </w:rPr>
  </w:style>
  <w:style w:type="character" w:styleId="913">
    <w:name w:val="正文缩进 Char"/>
    <w:next w:val="913"/>
    <w:link w:val="912"/>
    <w:qFormat/>
    <w:rPr>
      <w:szCs w:val="21"/>
    </w:rPr>
  </w:style>
  <w:style w:type="character" w:styleId="914">
    <w:name w:val="标题 3 Char"/>
    <w:next w:val="914"/>
    <w:link w:val="896"/>
    <w:qFormat/>
    <w:rPr>
      <w:rFonts w:ascii="Times New Roman" w:hAnsi="Times New Roman" w:eastAsia="宋体" w:cs="Times New Roman"/>
      <w:b/>
      <w:bCs/>
      <w:sz w:val="32"/>
      <w:szCs w:val="32"/>
    </w:rPr>
  </w:style>
  <w:style w:type="character" w:styleId="915">
    <w:name w:val="标题 4 Char"/>
    <w:next w:val="915"/>
    <w:link w:val="897"/>
    <w:qFormat/>
    <w:rPr>
      <w:rFonts w:ascii="Arial" w:hAnsi="Arial" w:eastAsia="黑体" w:cs="Arial"/>
      <w:b/>
      <w:bCs/>
      <w:sz w:val="28"/>
      <w:szCs w:val="28"/>
    </w:rPr>
  </w:style>
  <w:style w:type="character" w:styleId="916">
    <w:name w:val="标题 5 Char"/>
    <w:next w:val="916"/>
    <w:link w:val="898"/>
    <w:qFormat/>
    <w:rPr>
      <w:rFonts w:ascii="宋体" w:hAnsi="Times New Roman" w:eastAsia="宋体" w:cs="Times New Roman"/>
      <w:color w:val="000000"/>
      <w:sz w:val="28"/>
      <w:szCs w:val="28"/>
    </w:rPr>
  </w:style>
  <w:style w:type="character" w:styleId="917">
    <w:name w:val="标题 6 Char"/>
    <w:next w:val="917"/>
    <w:link w:val="899"/>
    <w:qFormat/>
    <w:rPr>
      <w:rFonts w:ascii="Arial" w:hAnsi="Arial" w:eastAsia="黑体" w:cs="Times New Roman"/>
      <w:b/>
      <w:bCs/>
      <w:sz w:val="24"/>
      <w:szCs w:val="24"/>
    </w:rPr>
  </w:style>
  <w:style w:type="character" w:styleId="918">
    <w:name w:val="标题 7 Char"/>
    <w:next w:val="918"/>
    <w:link w:val="900"/>
    <w:qFormat/>
    <w:rPr>
      <w:rFonts w:ascii="Times New Roman" w:hAnsi="Times New Roman" w:eastAsia="宋体" w:cs="Times New Roman"/>
      <w:b/>
      <w:bCs/>
      <w:sz w:val="24"/>
      <w:szCs w:val="24"/>
    </w:rPr>
  </w:style>
  <w:style w:type="character" w:styleId="919">
    <w:name w:val="标题 8 Char"/>
    <w:next w:val="919"/>
    <w:link w:val="901"/>
    <w:qFormat/>
    <w:rPr>
      <w:rFonts w:ascii="Arial" w:hAnsi="Arial" w:eastAsia="黑体" w:cs="Times New Roman"/>
      <w:sz w:val="24"/>
      <w:szCs w:val="24"/>
    </w:rPr>
  </w:style>
  <w:style w:type="character" w:styleId="920">
    <w:name w:val="标题 9 Char"/>
    <w:next w:val="920"/>
    <w:link w:val="902"/>
    <w:qFormat/>
    <w:rPr>
      <w:rFonts w:ascii="Arial" w:hAnsi="Arial" w:eastAsia="黑体" w:cs="Times New Roman"/>
      <w:szCs w:val="21"/>
    </w:rPr>
  </w:style>
  <w:style w:type="paragraph" w:styleId="921">
    <w:name w:val="列表 3"/>
    <w:basedOn w:val="893"/>
    <w:next w:val="921"/>
    <w:link w:val="893"/>
    <w:pPr>
      <w:ind w:left="100" w:hanging="200"/>
    </w:pPr>
    <w:rPr>
      <w:rFonts w:ascii="Times New Roman" w:hAnsi="Times New Roman" w:eastAsia="宋体" w:cs="Times New Roman"/>
      <w:szCs w:val="21"/>
    </w:rPr>
  </w:style>
  <w:style w:type="paragraph" w:styleId="922">
    <w:name w:val="目录 7"/>
    <w:basedOn w:val="893"/>
    <w:next w:val="893"/>
    <w:link w:val="893"/>
    <w:semiHidden/>
    <w:pPr>
      <w:ind w:left="1260"/>
      <w:jc w:val="left"/>
    </w:pPr>
    <w:rPr>
      <w:rFonts w:ascii="Times New Roman" w:hAnsi="Times New Roman" w:eastAsia="宋体" w:cs="Times New Roman"/>
      <w:szCs w:val="21"/>
    </w:rPr>
  </w:style>
  <w:style w:type="paragraph" w:styleId="923">
    <w:name w:val="列表项目符号"/>
    <w:basedOn w:val="893"/>
    <w:next w:val="923"/>
    <w:link w:val="893"/>
    <w:uiPriority w:val="99"/>
    <w:unhideWhenUsed/>
    <w:pPr>
      <w:numPr>
        <w:ilvl w:val="0"/>
        <w:numId w:val="2"/>
      </w:numPr>
      <w:tabs>
        <w:tab w:val="left" w:pos="360" w:leader="none"/>
      </w:tabs>
    </w:pPr>
  </w:style>
  <w:style w:type="paragraph" w:styleId="924">
    <w:name w:val="文档结构图"/>
    <w:basedOn w:val="893"/>
    <w:next w:val="924"/>
    <w:link w:val="925"/>
    <w:semiHidden/>
    <w:pPr>
      <w:shd w:val="clear" w:color="auto" w:fill="000080"/>
    </w:pPr>
    <w:rPr>
      <w:rFonts w:ascii="Times New Roman" w:hAnsi="Times New Roman" w:eastAsia="宋体" w:cs="Times New Roman"/>
      <w:szCs w:val="21"/>
    </w:rPr>
  </w:style>
  <w:style w:type="character" w:styleId="925">
    <w:name w:val="文档结构图 Char"/>
    <w:next w:val="925"/>
    <w:link w:val="924"/>
    <w:semiHidden/>
    <w:qFormat/>
    <w:rPr>
      <w:rFonts w:ascii="Times New Roman" w:hAnsi="Times New Roman" w:eastAsia="宋体" w:cs="Times New Roman"/>
      <w:szCs w:val="21"/>
      <w:shd w:val="clear" w:color="auto" w:fill="000080"/>
    </w:rPr>
  </w:style>
  <w:style w:type="paragraph" w:styleId="926">
    <w:name w:val="批注文字"/>
    <w:basedOn w:val="893"/>
    <w:next w:val="926"/>
    <w:link w:val="927"/>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27">
    <w:name w:val="批注文字 Char"/>
    <w:basedOn w:val="903"/>
    <w:next w:val="927"/>
    <w:link w:val="926"/>
    <w:uiPriority w:val="99"/>
    <w:semiHidden/>
    <w:qFormat/>
  </w:style>
  <w:style w:type="paragraph" w:styleId="928">
    <w:name w:val="正文文本 3"/>
    <w:basedOn w:val="893"/>
    <w:next w:val="928"/>
    <w:link w:val="929"/>
    <w:rPr>
      <w:rFonts w:ascii="仿宋_GB2312" w:hAnsi="Arial" w:eastAsia="仿宋_GB2312" w:cs="Times New Roman"/>
      <w:sz w:val="32"/>
      <w:szCs w:val="32"/>
    </w:rPr>
  </w:style>
  <w:style w:type="character" w:styleId="929">
    <w:name w:val="正文文本 3 Char"/>
    <w:next w:val="929"/>
    <w:link w:val="928"/>
    <w:qFormat/>
    <w:rPr>
      <w:rFonts w:ascii="仿宋_GB2312" w:hAnsi="Arial" w:eastAsia="仿宋_GB2312" w:cs="Times New Roman"/>
      <w:sz w:val="32"/>
      <w:szCs w:val="32"/>
    </w:rPr>
  </w:style>
  <w:style w:type="paragraph" w:styleId="930">
    <w:name w:val="正文文本"/>
    <w:basedOn w:val="893"/>
    <w:next w:val="930"/>
    <w:link w:val="931"/>
    <w:qFormat/>
    <w:rPr>
      <w:rFonts w:ascii="楷体_GB2312" w:hAnsi="Arial" w:eastAsia="楷体_GB2312" w:cs="Times New Roman"/>
      <w:sz w:val="28"/>
      <w:szCs w:val="28"/>
    </w:rPr>
  </w:style>
  <w:style w:type="character" w:styleId="931">
    <w:name w:val="正文文本 Char"/>
    <w:next w:val="931"/>
    <w:link w:val="930"/>
    <w:rPr>
      <w:rFonts w:ascii="楷体_GB2312" w:hAnsi="Arial" w:eastAsia="楷体_GB2312" w:cs="Times New Roman"/>
      <w:sz w:val="28"/>
      <w:szCs w:val="28"/>
    </w:rPr>
  </w:style>
  <w:style w:type="paragraph" w:styleId="932">
    <w:name w:val="列表 2"/>
    <w:basedOn w:val="893"/>
    <w:next w:val="932"/>
    <w:link w:val="893"/>
    <w:qFormat/>
    <w:pPr>
      <w:ind w:left="100" w:hanging="200"/>
    </w:pPr>
    <w:rPr>
      <w:rFonts w:ascii="Times New Roman" w:hAnsi="Times New Roman" w:eastAsia="宋体" w:cs="Times New Roman"/>
      <w:szCs w:val="21"/>
    </w:rPr>
  </w:style>
  <w:style w:type="paragraph" w:styleId="933">
    <w:name w:val="索引 4"/>
    <w:basedOn w:val="893"/>
    <w:next w:val="893"/>
    <w:link w:val="893"/>
    <w:semiHidden/>
    <w:qFormat/>
    <w:pPr>
      <w:ind w:left="1260"/>
    </w:pPr>
    <w:rPr>
      <w:rFonts w:ascii="Calibri" w:hAnsi="Calibri" w:eastAsia="Calibri" w:cs="宋体"/>
      <w:sz w:val="20"/>
      <w:lang w:val="zh-CN"/>
    </w:rPr>
  </w:style>
  <w:style w:type="paragraph" w:styleId="934">
    <w:name w:val="目录 5"/>
    <w:basedOn w:val="893"/>
    <w:next w:val="893"/>
    <w:link w:val="893"/>
    <w:semiHidden/>
    <w:qFormat/>
    <w:pPr>
      <w:ind w:left="840"/>
      <w:jc w:val="left"/>
    </w:pPr>
    <w:rPr>
      <w:rFonts w:ascii="Times New Roman" w:hAnsi="Times New Roman" w:eastAsia="宋体" w:cs="Times New Roman"/>
      <w:szCs w:val="21"/>
    </w:rPr>
  </w:style>
  <w:style w:type="paragraph" w:styleId="935">
    <w:name w:val="目录 3"/>
    <w:basedOn w:val="893"/>
    <w:next w:val="893"/>
    <w:link w:val="893"/>
    <w:semiHidden/>
    <w:qFormat/>
    <w:pPr>
      <w:ind w:left="420"/>
      <w:jc w:val="left"/>
    </w:pPr>
    <w:rPr>
      <w:rFonts w:ascii="Times New Roman" w:hAnsi="Times New Roman" w:eastAsia="宋体" w:cs="Times New Roman"/>
      <w:i/>
      <w:iCs/>
      <w:szCs w:val="24"/>
    </w:rPr>
  </w:style>
  <w:style w:type="paragraph" w:styleId="936">
    <w:name w:val="纯文本"/>
    <w:basedOn w:val="893"/>
    <w:next w:val="936"/>
    <w:link w:val="937"/>
    <w:qFormat/>
    <w:rPr>
      <w:rFonts w:ascii="宋体" w:hAnsi="Courier New" w:eastAsia="宋体" w:cs="Courier New"/>
      <w:szCs w:val="21"/>
    </w:rPr>
  </w:style>
  <w:style w:type="character" w:styleId="937">
    <w:name w:val="纯文本 Char"/>
    <w:next w:val="937"/>
    <w:link w:val="936"/>
    <w:rPr>
      <w:rFonts w:ascii="宋体" w:hAnsi="Courier New" w:eastAsia="宋体" w:cs="Courier New"/>
      <w:szCs w:val="21"/>
    </w:rPr>
  </w:style>
  <w:style w:type="paragraph" w:styleId="938">
    <w:name w:val="目录 8"/>
    <w:basedOn w:val="893"/>
    <w:next w:val="893"/>
    <w:link w:val="893"/>
    <w:semiHidden/>
    <w:qFormat/>
    <w:pPr>
      <w:ind w:left="1470"/>
      <w:jc w:val="left"/>
    </w:pPr>
    <w:rPr>
      <w:rFonts w:ascii="Times New Roman" w:hAnsi="Times New Roman" w:eastAsia="宋体" w:cs="Times New Roman"/>
      <w:szCs w:val="21"/>
    </w:rPr>
  </w:style>
  <w:style w:type="paragraph" w:styleId="939">
    <w:name w:val="日期"/>
    <w:basedOn w:val="893"/>
    <w:next w:val="893"/>
    <w:link w:val="940"/>
    <w:qFormat/>
    <w:rPr>
      <w:rFonts w:ascii="Times New Roman" w:hAnsi="Times New Roman" w:eastAsia="宋体" w:cs="Times New Roman"/>
      <w:sz w:val="24"/>
      <w:szCs w:val="24"/>
    </w:rPr>
  </w:style>
  <w:style w:type="character" w:styleId="940">
    <w:name w:val="日期 Char"/>
    <w:next w:val="940"/>
    <w:link w:val="939"/>
    <w:qFormat/>
    <w:rPr>
      <w:rFonts w:ascii="Times New Roman" w:hAnsi="Times New Roman" w:eastAsia="宋体" w:cs="Times New Roman"/>
      <w:sz w:val="24"/>
      <w:szCs w:val="24"/>
    </w:rPr>
  </w:style>
  <w:style w:type="paragraph" w:styleId="941">
    <w:name w:val="正文文本缩进 2"/>
    <w:basedOn w:val="893"/>
    <w:next w:val="941"/>
    <w:link w:val="942"/>
    <w:qFormat/>
    <w:pPr>
      <w:ind w:left="630" w:firstLine="645"/>
    </w:pPr>
    <w:rPr>
      <w:rFonts w:ascii="Arial" w:hAnsi="Arial" w:eastAsia="仿宋_GB2312" w:cs="Arial"/>
      <w:sz w:val="32"/>
      <w:szCs w:val="32"/>
    </w:rPr>
  </w:style>
  <w:style w:type="character" w:styleId="942">
    <w:name w:val="正文文本缩进 2 Char"/>
    <w:next w:val="942"/>
    <w:link w:val="941"/>
    <w:qFormat/>
    <w:rPr>
      <w:rFonts w:ascii="Arial" w:hAnsi="Arial" w:eastAsia="仿宋_GB2312" w:cs="Arial"/>
      <w:sz w:val="32"/>
      <w:szCs w:val="32"/>
    </w:rPr>
  </w:style>
  <w:style w:type="paragraph" w:styleId="943">
    <w:name w:val="批注框文本"/>
    <w:basedOn w:val="893"/>
    <w:next w:val="943"/>
    <w:link w:val="944"/>
    <w:semiHidden/>
    <w:rPr>
      <w:rFonts w:ascii="Times New Roman" w:hAnsi="Times New Roman" w:eastAsia="宋体" w:cs="Times New Roman"/>
      <w:sz w:val="18"/>
      <w:szCs w:val="18"/>
    </w:rPr>
  </w:style>
  <w:style w:type="character" w:styleId="944">
    <w:name w:val="批注框文本 Char"/>
    <w:next w:val="944"/>
    <w:link w:val="943"/>
    <w:semiHidden/>
    <w:qFormat/>
    <w:rPr>
      <w:rFonts w:ascii="Times New Roman" w:hAnsi="Times New Roman" w:eastAsia="宋体" w:cs="Times New Roman"/>
      <w:sz w:val="18"/>
      <w:szCs w:val="18"/>
    </w:rPr>
  </w:style>
  <w:style w:type="paragraph" w:styleId="945">
    <w:name w:val="页脚"/>
    <w:basedOn w:val="893"/>
    <w:next w:val="945"/>
    <w:link w:val="946"/>
    <w:qFormat/>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Char"/>
    <w:next w:val="946"/>
    <w:link w:val="945"/>
    <w:qFormat/>
    <w:rPr>
      <w:rFonts w:ascii="Times New Roman" w:hAnsi="Times New Roman" w:eastAsia="宋体" w:cs="Times New Roman"/>
      <w:sz w:val="18"/>
      <w:szCs w:val="18"/>
    </w:rPr>
  </w:style>
  <w:style w:type="paragraph" w:styleId="947">
    <w:name w:val="页眉"/>
    <w:basedOn w:val="893"/>
    <w:next w:val="947"/>
    <w:link w:val="94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Char"/>
    <w:next w:val="948"/>
    <w:link w:val="947"/>
    <w:rPr>
      <w:rFonts w:ascii="Times New Roman" w:hAnsi="Times New Roman" w:eastAsia="宋体" w:cs="Times New Roman"/>
      <w:sz w:val="18"/>
      <w:szCs w:val="18"/>
    </w:rPr>
  </w:style>
  <w:style w:type="paragraph" w:styleId="949">
    <w:name w:val="目录 1"/>
    <w:basedOn w:val="893"/>
    <w:next w:val="893"/>
    <w:link w:val="8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3"/>
    <w:next w:val="893"/>
    <w:link w:val="893"/>
    <w:semiHidden/>
    <w:pPr>
      <w:ind w:left="630"/>
      <w:jc w:val="left"/>
    </w:pPr>
    <w:rPr>
      <w:rFonts w:ascii="Times New Roman" w:hAnsi="Times New Roman" w:eastAsia="宋体" w:cs="Times New Roman"/>
      <w:szCs w:val="21"/>
    </w:rPr>
  </w:style>
  <w:style w:type="paragraph" w:styleId="951">
    <w:name w:val="列表"/>
    <w:basedOn w:val="893"/>
    <w:next w:val="951"/>
    <w:link w:val="893"/>
    <w:qFormat/>
    <w:pPr>
      <w:ind w:left="200" w:hanging="200"/>
    </w:pPr>
    <w:rPr>
      <w:rFonts w:ascii="Times New Roman" w:hAnsi="Times New Roman" w:eastAsia="宋体" w:cs="Times New Roman"/>
      <w:szCs w:val="21"/>
    </w:rPr>
  </w:style>
  <w:style w:type="paragraph" w:styleId="952">
    <w:name w:val="目录 6"/>
    <w:basedOn w:val="893"/>
    <w:next w:val="893"/>
    <w:link w:val="893"/>
    <w:semiHidden/>
    <w:qFormat/>
    <w:pPr>
      <w:ind w:left="1050"/>
      <w:jc w:val="left"/>
    </w:pPr>
    <w:rPr>
      <w:rFonts w:ascii="Times New Roman" w:hAnsi="Times New Roman" w:eastAsia="宋体" w:cs="Times New Roman"/>
      <w:szCs w:val="21"/>
    </w:rPr>
  </w:style>
  <w:style w:type="paragraph" w:styleId="953">
    <w:name w:val="正文文本缩进 3"/>
    <w:basedOn w:val="893"/>
    <w:next w:val="953"/>
    <w:link w:val="954"/>
    <w:pPr>
      <w:ind w:left="645" w:firstLine="645"/>
    </w:pPr>
    <w:rPr>
      <w:rFonts w:ascii="Arial" w:hAnsi="Arial" w:eastAsia="仿宋_GB2312" w:cs="Arial"/>
      <w:color w:val="ffff00"/>
      <w:sz w:val="32"/>
      <w:szCs w:val="32"/>
    </w:rPr>
  </w:style>
  <w:style w:type="character" w:styleId="954">
    <w:name w:val="正文文本缩进 3 Char"/>
    <w:next w:val="954"/>
    <w:link w:val="953"/>
    <w:rPr>
      <w:rFonts w:ascii="Arial" w:hAnsi="Arial" w:eastAsia="仿宋_GB2312" w:cs="Arial"/>
      <w:color w:val="ffff00"/>
      <w:sz w:val="32"/>
      <w:szCs w:val="32"/>
    </w:rPr>
  </w:style>
  <w:style w:type="paragraph" w:styleId="955">
    <w:name w:val="图表目录"/>
    <w:basedOn w:val="893"/>
    <w:next w:val="893"/>
    <w:link w:val="893"/>
    <w:semiHidden/>
    <w:qFormat/>
    <w:pPr>
      <w:ind w:left="840" w:hanging="420"/>
    </w:pPr>
    <w:rPr>
      <w:rFonts w:ascii="Times New Roman" w:hAnsi="Times New Roman" w:eastAsia="宋体" w:cs="Times New Roman"/>
      <w:szCs w:val="21"/>
    </w:rPr>
  </w:style>
  <w:style w:type="paragraph" w:styleId="956">
    <w:name w:val="目录 2"/>
    <w:basedOn w:val="893"/>
    <w:next w:val="893"/>
    <w:link w:val="893"/>
    <w:semiHidden/>
    <w:pPr>
      <w:ind w:left="210"/>
      <w:jc w:val="left"/>
    </w:pPr>
    <w:rPr>
      <w:rFonts w:ascii="Times New Roman" w:hAnsi="Times New Roman" w:eastAsia="宋体" w:cs="Times New Roman"/>
      <w:smallCaps/>
      <w:szCs w:val="24"/>
    </w:rPr>
  </w:style>
  <w:style w:type="paragraph" w:styleId="957">
    <w:name w:val="目录 9"/>
    <w:basedOn w:val="893"/>
    <w:next w:val="893"/>
    <w:link w:val="893"/>
    <w:semiHidden/>
    <w:pPr>
      <w:ind w:left="1680"/>
      <w:jc w:val="left"/>
    </w:pPr>
    <w:rPr>
      <w:rFonts w:ascii="Times New Roman" w:hAnsi="Times New Roman" w:eastAsia="宋体" w:cs="Times New Roman"/>
      <w:szCs w:val="21"/>
    </w:rPr>
  </w:style>
  <w:style w:type="paragraph" w:styleId="958">
    <w:name w:val="正文文本 2"/>
    <w:basedOn w:val="893"/>
    <w:next w:val="958"/>
    <w:link w:val="959"/>
    <w:qFormat/>
    <w:pPr>
      <w:jc w:val="center"/>
      <w:widowControl/>
    </w:pPr>
    <w:rPr>
      <w:rFonts w:ascii="楷体_GB2312" w:hAnsi="Times New Roman" w:eastAsia="楷体_GB2312" w:cs="Times New Roman"/>
      <w:sz w:val="28"/>
      <w:szCs w:val="28"/>
    </w:rPr>
  </w:style>
  <w:style w:type="character" w:styleId="959">
    <w:name w:val="正文文本 2 Char"/>
    <w:next w:val="959"/>
    <w:link w:val="958"/>
    <w:qFormat/>
    <w:rPr>
      <w:rFonts w:ascii="楷体_GB2312" w:hAnsi="Times New Roman" w:eastAsia="楷体_GB2312" w:cs="Times New Roman"/>
      <w:sz w:val="28"/>
      <w:szCs w:val="28"/>
    </w:rPr>
  </w:style>
  <w:style w:type="paragraph" w:styleId="960">
    <w:name w:val="普通(网站)"/>
    <w:basedOn w:val="893"/>
    <w:next w:val="960"/>
    <w:link w:val="893"/>
    <w:uiPriority w:val="99"/>
    <w:qFormat/>
    <w:pPr>
      <w:jc w:val="left"/>
      <w:spacing w:before="100" w:beforeAutospacing="1" w:after="100" w:afterAutospacing="1"/>
      <w:widowControl/>
    </w:pPr>
    <w:rPr>
      <w:rFonts w:ascii="宋体" w:hAnsi="宋体" w:eastAsia="宋体" w:cs="宋体"/>
      <w:sz w:val="24"/>
      <w:szCs w:val="24"/>
    </w:rPr>
  </w:style>
  <w:style w:type="paragraph" w:styleId="961">
    <w:name w:val="索引 1"/>
    <w:basedOn w:val="893"/>
    <w:next w:val="893"/>
    <w:link w:val="893"/>
    <w:semiHidden/>
    <w:pPr>
      <w:spacing w:line="240" w:lineRule="atLeast"/>
    </w:pPr>
    <w:rPr>
      <w:rFonts w:ascii="Times New Roman" w:hAnsi="Times New Roman" w:eastAsia="宋体" w:cs="Times New Roman"/>
      <w:b/>
      <w:bCs/>
      <w:szCs w:val="21"/>
    </w:rPr>
  </w:style>
  <w:style w:type="paragraph" w:styleId="962">
    <w:name w:val="批注主题"/>
    <w:basedOn w:val="926"/>
    <w:next w:val="926"/>
    <w:link w:val="963"/>
    <w:semiHidden/>
    <w:qFormat/>
    <w:rPr>
      <w:rFonts w:ascii="Times New Roman" w:hAnsi="Times New Roman" w:eastAsia="宋体" w:cs="Times New Roman"/>
      <w:b/>
      <w:bCs/>
      <w:szCs w:val="21"/>
    </w:rPr>
  </w:style>
  <w:style w:type="character" w:styleId="963">
    <w:name w:val="批注主题 Char"/>
    <w:next w:val="963"/>
    <w:link w:val="962"/>
    <w:semiHidden/>
    <w:qFormat/>
    <w:rPr>
      <w:rFonts w:ascii="Times New Roman" w:hAnsi="Times New Roman" w:eastAsia="宋体" w:cs="Times New Roman"/>
      <w:b/>
      <w:bCs/>
      <w:szCs w:val="21"/>
    </w:rPr>
  </w:style>
  <w:style w:type="paragraph" w:styleId="964">
    <w:name w:val="正文首行缩进"/>
    <w:basedOn w:val="893"/>
    <w:next w:val="964"/>
    <w:link w:val="965"/>
    <w:pPr>
      <w:ind w:firstLine="200"/>
      <w:spacing w:line="360" w:lineRule="auto"/>
    </w:pPr>
    <w:rPr>
      <w:rFonts w:ascii="仿宋_GB2312" w:hAnsi="Times New Roman" w:eastAsia="仿宋_GB2312" w:cs="Times New Roman"/>
      <w:sz w:val="30"/>
      <w:szCs w:val="30"/>
    </w:rPr>
  </w:style>
  <w:style w:type="character" w:styleId="965">
    <w:name w:val="正文首行缩进 Char"/>
    <w:next w:val="965"/>
    <w:link w:val="964"/>
    <w:qFormat/>
    <w:rPr>
      <w:rFonts w:ascii="仿宋_GB2312" w:hAnsi="Times New Roman" w:eastAsia="仿宋_GB2312" w:cs="Times New Roman"/>
      <w:sz w:val="30"/>
      <w:szCs w:val="30"/>
    </w:rPr>
  </w:style>
  <w:style w:type="table" w:styleId="966">
    <w:name w:val="网格型"/>
    <w:basedOn w:val="904"/>
    <w:next w:val="966"/>
    <w:link w:val="893"/>
    <w:qFormat/>
    <w:pPr>
      <w:jc w:val="both"/>
      <w:widowControl w:val="off"/>
    </w:pPr>
    <w:rPr>
      <w:rFonts w:ascii="Times New Roman" w:hAnsi="Times New Roman" w:eastAsia="宋体" w:cs="Times New Roman"/>
      <w:sz w:val="20"/>
      <w:szCs w:val="20"/>
    </w:rPr>
    <w:tblPr/>
  </w:style>
  <w:style w:type="character" w:styleId="967">
    <w:name w:val="要点"/>
    <w:next w:val="967"/>
    <w:link w:val="893"/>
    <w:qFormat/>
    <w:rPr>
      <w:b/>
      <w:bCs/>
    </w:rPr>
  </w:style>
  <w:style w:type="character" w:styleId="968">
    <w:name w:val="页码"/>
    <w:next w:val="968"/>
    <w:link w:val="893"/>
    <w:qFormat/>
  </w:style>
  <w:style w:type="character" w:styleId="969">
    <w:name w:val="已访问的超链接"/>
    <w:next w:val="969"/>
    <w:link w:val="893"/>
    <w:rPr>
      <w:color w:val="800080"/>
      <w:u w:val="single"/>
    </w:rPr>
  </w:style>
  <w:style w:type="character" w:styleId="970">
    <w:name w:val="强调"/>
    <w:next w:val="970"/>
    <w:link w:val="893"/>
    <w:qFormat/>
    <w:rPr>
      <w:i/>
    </w:rPr>
  </w:style>
  <w:style w:type="character" w:styleId="971">
    <w:name w:val="超链接"/>
    <w:next w:val="971"/>
    <w:link w:val="893"/>
    <w:rPr>
      <w:color w:val="0000ff"/>
      <w:u w:val="single"/>
    </w:rPr>
  </w:style>
  <w:style w:type="character" w:styleId="972">
    <w:name w:val="批注引用"/>
    <w:next w:val="972"/>
    <w:link w:val="893"/>
    <w:semiHidden/>
    <w:qFormat/>
    <w:rPr>
      <w:sz w:val="21"/>
      <w:szCs w:val="21"/>
    </w:rPr>
  </w:style>
  <w:style w:type="paragraph" w:styleId="973">
    <w:name w:val="索引 41"/>
    <w:basedOn w:val="893"/>
    <w:next w:val="893"/>
    <w:link w:val="893"/>
    <w:semiHidden/>
    <w:qFormat/>
    <w:pPr>
      <w:ind w:left="1260"/>
    </w:pPr>
    <w:rPr>
      <w:rFonts w:ascii="Calibri" w:hAnsi="Calibri" w:eastAsia="Calibri" w:cs="宋体"/>
      <w:sz w:val="20"/>
      <w:lang w:val="zh-CN"/>
    </w:rPr>
  </w:style>
  <w:style w:type="paragraph" w:styleId="974">
    <w:name w:val="正文文本缩进1"/>
    <w:basedOn w:val="893"/>
    <w:next w:val="975"/>
    <w:link w:val="893"/>
    <w:unhideWhenUsed/>
    <w:qFormat/>
    <w:pPr>
      <w:ind w:left="420"/>
      <w:spacing w:after="120"/>
    </w:pPr>
  </w:style>
  <w:style w:type="paragraph" w:styleId="975">
    <w:name w:val="正文文本首行缩进 2"/>
    <w:basedOn w:val="974"/>
    <w:next w:val="975"/>
    <w:link w:val="893"/>
    <w:qFormat/>
    <w:pPr>
      <w:ind w:left="0" w:firstLine="420"/>
      <w:spacing w:after="0" w:line="360" w:lineRule="auto"/>
    </w:pPr>
    <w:rPr>
      <w:rFonts w:ascii="宋体" w:hAnsi="宋体"/>
      <w:sz w:val="20"/>
      <w:szCs w:val="20"/>
      <w:lang w:val="en-US" w:eastAsia="en-US"/>
    </w:rPr>
  </w:style>
  <w:style w:type="character" w:styleId="976">
    <w:name w:val="font5 Char"/>
    <w:next w:val="976"/>
    <w:link w:val="893"/>
    <w:rPr>
      <w:rFonts w:ascii="宋体" w:hAnsi="宋体" w:eastAsia="宋体"/>
      <w:sz w:val="28"/>
      <w:szCs w:val="28"/>
      <w:lang w:val="en-US" w:eastAsia="zh-CN" w:bidi="ar-SA"/>
    </w:rPr>
  </w:style>
  <w:style w:type="character" w:styleId="977">
    <w:name w:val="二级目录 Char"/>
    <w:next w:val="977"/>
    <w:link w:val="978"/>
    <w:qFormat/>
    <w:rPr>
      <w:b/>
      <w:sz w:val="30"/>
      <w:szCs w:val="28"/>
    </w:rPr>
  </w:style>
  <w:style w:type="paragraph" w:styleId="978">
    <w:name w:val="二级目录"/>
    <w:next w:val="893"/>
    <w:link w:val="977"/>
    <w:pPr>
      <w:numPr>
        <w:ilvl w:val="0"/>
        <w:numId w:val="3"/>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9">
    <w:name w:val="列出段落 Char"/>
    <w:next w:val="979"/>
    <w:link w:val="980"/>
    <w:qFormat/>
    <w:rPr>
      <w:rFonts w:ascii="Calibri" w:hAnsi="Calibri"/>
      <w:sz w:val="24"/>
      <w:szCs w:val="24"/>
      <w:lang w:eastAsia="en-US" w:bidi="en-US"/>
    </w:rPr>
  </w:style>
  <w:style w:type="paragraph" w:styleId="980">
    <w:name w:val="列出段落1"/>
    <w:basedOn w:val="893"/>
    <w:next w:val="980"/>
    <w:link w:val="979"/>
    <w:qFormat/>
    <w:pPr>
      <w:contextualSpacing/>
      <w:ind w:left="720"/>
      <w:jc w:val="left"/>
      <w:widowControl/>
    </w:pPr>
    <w:rPr>
      <w:rFonts w:ascii="Calibri" w:hAnsi="Calibri"/>
      <w:sz w:val="24"/>
      <w:szCs w:val="24"/>
      <w:lang w:eastAsia="en-US" w:bidi="en-US"/>
    </w:rPr>
  </w:style>
  <w:style w:type="paragraph" w:styleId="981">
    <w:name w:val="Body Text(ch)"/>
    <w:basedOn w:val="893"/>
    <w:next w:val="930"/>
    <w:link w:val="893"/>
    <w:qFormat/>
    <w:pPr>
      <w:spacing w:after="120"/>
    </w:pPr>
    <w:rPr>
      <w:rFonts w:ascii="宋体" w:hAnsi="Arial" w:eastAsia="宋体" w:cs="Times New Roman"/>
      <w:bCs/>
      <w:iCs/>
      <w:szCs w:val="24"/>
    </w:rPr>
  </w:style>
  <w:style w:type="paragraph" w:styleId="982">
    <w:name w:val="xl27"/>
    <w:basedOn w:val="893"/>
    <w:next w:val="982"/>
    <w:link w:val="8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xl26"/>
    <w:basedOn w:val="893"/>
    <w:next w:val="983"/>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Char"/>
    <w:basedOn w:val="893"/>
    <w:next w:val="984"/>
    <w:link w:val="893"/>
    <w:pPr>
      <w:ind w:firstLine="200"/>
      <w:tabs>
        <w:tab w:val="left" w:pos="360" w:leader="none"/>
      </w:tabs>
    </w:pPr>
    <w:rPr>
      <w:rFonts w:ascii="Times New Roman" w:hAnsi="Times New Roman" w:eastAsia="宋体" w:cs="Times New Roman"/>
      <w:sz w:val="28"/>
      <w:szCs w:val="30"/>
    </w:rPr>
  </w:style>
  <w:style w:type="paragraph" w:styleId="985">
    <w:name w:val=" Char"/>
    <w:basedOn w:val="924"/>
    <w:next w:val="985"/>
    <w:link w:val="893"/>
    <w:rPr>
      <w:rFonts w:ascii="Tahoma" w:hAnsi="Tahoma"/>
      <w:sz w:val="24"/>
      <w:szCs w:val="24"/>
    </w:rPr>
  </w:style>
  <w:style w:type="paragraph" w:styleId="986">
    <w:name w:val="普通正文"/>
    <w:basedOn w:val="893"/>
    <w:next w:val="986"/>
    <w:link w:val="893"/>
    <w:qFormat/>
    <w:pPr>
      <w:ind w:firstLine="480"/>
      <w:jc w:val="left"/>
      <w:spacing w:before="120" w:after="120" w:line="360" w:lineRule="auto"/>
    </w:pPr>
    <w:rPr>
      <w:rFonts w:ascii="Arial" w:hAnsi="Arial" w:eastAsia="宋体" w:cs="Times New Roman"/>
      <w:sz w:val="24"/>
      <w:szCs w:val="24"/>
    </w:rPr>
  </w:style>
  <w:style w:type="paragraph" w:styleId="987">
    <w:name w:val="table_lines"/>
    <w:basedOn w:val="893"/>
    <w:next w:val="987"/>
    <w:link w:val="893"/>
    <w:qFormat/>
    <w:pPr>
      <w:jc w:val="left"/>
      <w:widowControl/>
    </w:pPr>
    <w:rPr>
      <w:rFonts w:ascii="Times New Roman" w:hAnsi="Times New Roman" w:eastAsia="宋体" w:cs="Times New Roman"/>
      <w:sz w:val="20"/>
      <w:szCs w:val="20"/>
      <w:lang w:val="de-DE" w:eastAsia="de-DE"/>
    </w:rPr>
  </w:style>
  <w:style w:type="paragraph" w:styleId="988">
    <w:name w:val="附录1"/>
    <w:next w:val="988"/>
    <w:link w:val="893"/>
    <w:pPr>
      <w:numPr>
        <w:ilvl w:val="0"/>
        <w:numId w:val="3"/>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9">
    <w:name w:val="font7"/>
    <w:basedOn w:val="893"/>
    <w:next w:val="989"/>
    <w:link w:val="893"/>
    <w:pPr>
      <w:jc w:val="left"/>
      <w:spacing w:before="100" w:beforeAutospacing="1" w:after="100" w:afterAutospacing="1"/>
      <w:widowControl/>
    </w:pPr>
    <w:rPr>
      <w:rFonts w:hint="eastAsia" w:ascii="宋体" w:hAnsi="宋体" w:eastAsia="宋体" w:cs="Times New Roman"/>
      <w:sz w:val="18"/>
      <w:szCs w:val="18"/>
    </w:rPr>
  </w:style>
  <w:style w:type="paragraph" w:styleId="990">
    <w:name w:val=" Char Char Char Char"/>
    <w:basedOn w:val="924"/>
    <w:next w:val="990"/>
    <w:link w:val="893"/>
    <w:pPr>
      <w:spacing w:line="360" w:lineRule="auto"/>
    </w:pPr>
    <w:rPr>
      <w:rFonts w:ascii="Tahoma" w:hAnsi="Tahoma"/>
      <w:sz w:val="24"/>
      <w:szCs w:val="24"/>
    </w:rPr>
  </w:style>
  <w:style w:type="paragraph" w:styleId="991">
    <w:name w:val="List Paragraph"/>
    <w:basedOn w:val="893"/>
    <w:next w:val="991"/>
    <w:link w:val="893"/>
    <w:qFormat/>
    <w:pPr>
      <w:contextualSpacing/>
      <w:ind w:left="720"/>
      <w:jc w:val="left"/>
      <w:widowControl/>
    </w:pPr>
    <w:rPr>
      <w:rFonts w:ascii="Calibri" w:hAnsi="Calibri" w:eastAsia="宋体" w:cs="Times New Roman"/>
      <w:sz w:val="24"/>
      <w:szCs w:val="24"/>
      <w:lang w:eastAsia="en-US" w:bidi="en-US"/>
    </w:rPr>
  </w:style>
  <w:style w:type="paragraph" w:styleId="992">
    <w:name w:val="4"/>
    <w:basedOn w:val="893"/>
    <w:next w:val="953"/>
    <w:link w:val="893"/>
    <w:qFormat/>
    <w:pPr>
      <w:ind w:firstLine="420"/>
      <w:spacing w:line="360" w:lineRule="auto"/>
    </w:pPr>
    <w:rPr>
      <w:rFonts w:ascii="Times New Roman" w:hAnsi="Times New Roman" w:eastAsia="宋体" w:cs="Times New Roman"/>
      <w:color w:val="ff0000"/>
      <w:sz w:val="24"/>
      <w:szCs w:val="24"/>
    </w:rPr>
  </w:style>
  <w:style w:type="paragraph" w:styleId="993">
    <w:name w:val="普通 (Web)"/>
    <w:basedOn w:val="893"/>
    <w:next w:val="993"/>
    <w:link w:val="893"/>
    <w:pPr>
      <w:jc w:val="left"/>
      <w:spacing w:before="100" w:beforeAutospacing="1" w:after="100" w:afterAutospacing="1"/>
      <w:widowControl/>
    </w:pPr>
    <w:rPr>
      <w:rFonts w:ascii="宋体" w:hAnsi="宋体" w:eastAsia="宋体" w:cs="Times New Roman"/>
      <w:sz w:val="24"/>
      <w:szCs w:val="24"/>
    </w:rPr>
  </w:style>
  <w:style w:type="paragraph" w:styleId="994">
    <w:name w:val=" Char Char Char Char Char Char Char Char Char Char"/>
    <w:basedOn w:val="893"/>
    <w:next w:val="994"/>
    <w:link w:val="893"/>
    <w:qFormat/>
    <w:pPr>
      <w:spacing w:line="360" w:lineRule="auto"/>
    </w:pPr>
    <w:rPr>
      <w:rFonts w:ascii="Times New Roman" w:hAnsi="Times New Roman" w:eastAsia="宋体" w:cs="Times New Roman"/>
      <w:sz w:val="24"/>
      <w:szCs w:val="20"/>
    </w:rPr>
  </w:style>
  <w:style w:type="paragraph" w:styleId="995">
    <w:name w:val="样式1"/>
    <w:basedOn w:val="893"/>
    <w:next w:val="995"/>
    <w:link w:val="893"/>
    <w:pPr>
      <w:numPr>
        <w:ilvl w:val="0"/>
        <w:numId w:val="4"/>
      </w:numPr>
      <w:tabs>
        <w:tab w:val="left" w:pos="709" w:leader="none"/>
      </w:tabs>
    </w:pPr>
    <w:rPr>
      <w:rFonts w:ascii="宋体" w:hAnsi="宋体" w:eastAsia="宋体" w:cs="Times New Roman"/>
      <w:szCs w:val="21"/>
    </w:rPr>
  </w:style>
  <w:style w:type="paragraph" w:styleId="996">
    <w:name w:val="font6"/>
    <w:basedOn w:val="893"/>
    <w:next w:val="996"/>
    <w:link w:val="893"/>
    <w:pPr>
      <w:jc w:val="left"/>
      <w:spacing w:before="100" w:beforeAutospacing="1" w:after="100" w:afterAutospacing="1"/>
      <w:widowControl/>
    </w:pPr>
    <w:rPr>
      <w:rFonts w:hint="eastAsia" w:ascii="宋体" w:hAnsi="宋体" w:eastAsia="宋体" w:cs="Times New Roman"/>
      <w:sz w:val="28"/>
      <w:szCs w:val="28"/>
      <w:u w:val="single"/>
    </w:rPr>
  </w:style>
  <w:style w:type="paragraph" w:styleId="997">
    <w:name w:val="xl25"/>
    <w:basedOn w:val="893"/>
    <w:next w:val="997"/>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3"/>
    <w:next w:val="893"/>
    <w:link w:val="8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name w:val="标题3"/>
    <w:basedOn w:val="893"/>
    <w:next w:val="893"/>
    <w:link w:val="893"/>
    <w:pPr>
      <w:ind w:firstLine="624"/>
      <w:spacing w:line="590" w:lineRule="atLeast"/>
    </w:pPr>
    <w:rPr>
      <w:rFonts w:ascii="方正黑体_GBK" w:hAnsi="Times New Roman" w:eastAsia="方正黑体_GBK" w:cs="Times New Roman"/>
      <w:sz w:val="32"/>
      <w:szCs w:val="32"/>
    </w:rPr>
  </w:style>
  <w:style w:type="paragraph" w:styleId="1000">
    <w:name w:val="xl24"/>
    <w:basedOn w:val="893"/>
    <w:next w:val="1000"/>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name w:val="xl29"/>
    <w:basedOn w:val="893"/>
    <w:next w:val="1001"/>
    <w:link w:val="893"/>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2">
    <w:name w:val="Char Char Char Char Char Char Char Char"/>
    <w:basedOn w:val="893"/>
    <w:next w:val="1002"/>
    <w:link w:val="893"/>
    <w:qFormat/>
    <w:pPr>
      <w:jc w:val="left"/>
      <w:spacing w:after="160" w:line="240" w:lineRule="exact"/>
      <w:widowControl/>
    </w:pPr>
    <w:rPr>
      <w:rFonts w:ascii="Verdana" w:hAnsi="Verdana" w:eastAsia="宋体" w:cs="Times New Roman"/>
      <w:sz w:val="20"/>
      <w:szCs w:val="20"/>
      <w:lang w:eastAsia="en-US"/>
    </w:rPr>
  </w:style>
  <w:style w:type="paragraph" w:styleId="1003">
    <w:name w:val="xl28"/>
    <w:basedOn w:val="893"/>
    <w:next w:val="1003"/>
    <w:link w:val="89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4">
    <w:name w:val=" Char Char Char Char Char Char Char Char"/>
    <w:basedOn w:val="893"/>
    <w:next w:val="1004"/>
    <w:link w:val="893"/>
    <w:qFormat/>
    <w:pPr>
      <w:jc w:val="left"/>
      <w:spacing w:after="160" w:line="240" w:lineRule="exact"/>
      <w:widowControl/>
    </w:pPr>
    <w:rPr>
      <w:rFonts w:ascii="Verdana" w:hAnsi="Verdana" w:eastAsia="宋体" w:cs="Times New Roman"/>
      <w:sz w:val="20"/>
      <w:szCs w:val="20"/>
      <w:lang w:eastAsia="en-US"/>
    </w:rPr>
  </w:style>
  <w:style w:type="paragraph" w:styleId="1005">
    <w:name w:val="xl30"/>
    <w:basedOn w:val="893"/>
    <w:next w:val="1005"/>
    <w:link w:val="893"/>
    <w:qFormat/>
    <w:pPr>
      <w:jc w:val="center"/>
      <w:spacing w:before="100" w:beforeAutospacing="1" w:after="100" w:afterAutospacing="1"/>
      <w:widowControl/>
    </w:pPr>
    <w:rPr>
      <w:rFonts w:ascii="宋体" w:hAnsi="宋体" w:eastAsia="宋体" w:cs="Times New Roman"/>
      <w:b/>
      <w:bCs/>
      <w:sz w:val="36"/>
      <w:szCs w:val="36"/>
    </w:rPr>
  </w:style>
  <w:style w:type="paragraph" w:styleId="1006">
    <w:name w:val="Char Char Char Char"/>
    <w:basedOn w:val="924"/>
    <w:next w:val="1006"/>
    <w:link w:val="893"/>
    <w:pPr>
      <w:spacing w:line="360" w:lineRule="auto"/>
    </w:pPr>
    <w:rPr>
      <w:rFonts w:ascii="Tahoma" w:hAnsi="Tahoma"/>
      <w:sz w:val="24"/>
      <w:szCs w:val="24"/>
    </w:rPr>
  </w:style>
  <w:style w:type="paragraph" w:styleId="1007">
    <w:name w:val="table_1stline"/>
    <w:basedOn w:val="893"/>
    <w:next w:val="1007"/>
    <w:link w:val="893"/>
    <w:pPr>
      <w:jc w:val="left"/>
      <w:spacing w:before="120"/>
      <w:widowControl/>
    </w:pPr>
    <w:rPr>
      <w:rFonts w:ascii="Times New Roman" w:hAnsi="Times New Roman" w:eastAsia="宋体" w:cs="Times New Roman"/>
      <w:bCs/>
      <w:sz w:val="20"/>
      <w:szCs w:val="20"/>
      <w:lang w:val="de-DE" w:eastAsia="de-DE"/>
    </w:rPr>
  </w:style>
  <w:style w:type="paragraph" w:styleId="1008">
    <w:name w:val="font5"/>
    <w:basedOn w:val="893"/>
    <w:next w:val="1008"/>
    <w:link w:val="893"/>
    <w:pPr>
      <w:jc w:val="left"/>
      <w:spacing w:before="100" w:beforeAutospacing="1" w:after="100" w:afterAutospacing="1"/>
      <w:widowControl/>
    </w:pPr>
    <w:rPr>
      <w:rFonts w:hint="eastAsia" w:ascii="宋体" w:hAnsi="宋体" w:eastAsia="宋体" w:cs="Times New Roman"/>
      <w:sz w:val="28"/>
      <w:szCs w:val="28"/>
    </w:rPr>
  </w:style>
  <w:style w:type="paragraph" w:styleId="1009">
    <w:name w:val="标题1"/>
    <w:basedOn w:val="893"/>
    <w:next w:val="893"/>
    <w:link w:val="8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0">
    <w:name w:val="_Style 112"/>
    <w:next w:val="1010"/>
    <w:link w:val="893"/>
    <w:uiPriority w:val="99"/>
    <w:semiHidden/>
    <w:rPr>
      <w:rFonts w:ascii="Times New Roman" w:hAnsi="Times New Roman" w:eastAsia="宋体" w:cs="Times New Roman"/>
      <w:sz w:val="21"/>
      <w:szCs w:val="21"/>
      <w:lang w:val="en-US" w:eastAsia="zh-CN" w:bidi="ar-SA"/>
    </w:rPr>
  </w:style>
  <w:style w:type="paragraph" w:styleId="1011">
    <w:name w:val="No Spacing"/>
    <w:next w:val="1011"/>
    <w:link w:val="893"/>
    <w:uiPriority w:val="99"/>
    <w:qFormat/>
    <w:pPr>
      <w:jc w:val="both"/>
      <w:widowControl w:val="off"/>
    </w:pPr>
    <w:rPr>
      <w:rFonts w:ascii="Times New Roman" w:hAnsi="Times New Roman" w:eastAsia="宋体" w:cs="Times New Roman"/>
      <w:sz w:val="21"/>
      <w:szCs w:val="21"/>
      <w:lang w:val="en-US" w:eastAsia="zh-CN" w:bidi="ar-SA"/>
    </w:rPr>
  </w:style>
  <w:style w:type="table" w:styleId="1012">
    <w:name w:val="Table Normal"/>
    <w:next w:val="1012"/>
    <w:link w:val="893"/>
    <w:qFormat/>
    <w:tblPr/>
  </w:style>
  <w:style w:type="paragraph" w:styleId="1013">
    <w:name w:val="正文文本 211"/>
    <w:basedOn w:val="893"/>
    <w:next w:val="1013"/>
    <w:link w:val="893"/>
    <w:uiPriority w:val="99"/>
    <w:qFormat/>
    <w:pPr>
      <w:jc w:val="center"/>
    </w:pPr>
    <w:rPr>
      <w:b/>
      <w:bCs/>
      <w:sz w:val="20"/>
      <w:szCs w:val="20"/>
    </w:rPr>
  </w:style>
  <w:style w:type="paragraph" w:styleId="1014">
    <w:name w:val="正文文本1"/>
    <w:basedOn w:val="893"/>
    <w:next w:val="893"/>
    <w:link w:val="893"/>
    <w:semiHidden/>
    <w:qFormat/>
    <w:rPr>
      <w:rFonts w:ascii="Arial" w:hAnsi="Arial" w:eastAsia="Arial" w:cs="Arial"/>
      <w:sz w:val="21"/>
      <w:szCs w:val="21"/>
      <w:lang w:val="en-US" w:eastAsia="en-US" w:bidi="ar-SA"/>
    </w:rPr>
  </w:style>
  <w:style w:type="paragraph" w:styleId="1015">
    <w:name w:val="正文文本12"/>
    <w:basedOn w:val="893"/>
    <w:next w:val="1015"/>
    <w:link w:val="893"/>
    <w:uiPriority w:val="1"/>
    <w:qFormat/>
    <w:pPr>
      <w:ind w:left="120"/>
    </w:pPr>
    <w:rPr>
      <w:rFonts w:ascii="宋体" w:hAnsi="宋体" w:eastAsia="宋体" w:cs="宋体"/>
      <w:sz w:val="21"/>
      <w:szCs w:val="21"/>
      <w:lang w:val="zh-CN" w:eastAsia="zh-CN" w:bidi="zh-CN"/>
    </w:rPr>
  </w:style>
  <w:style w:type="paragraph" w:styleId="1016">
    <w:name w:val="纯文本1"/>
    <w:basedOn w:val="893"/>
    <w:next w:val="1016"/>
    <w:link w:val="893"/>
    <w:qFormat/>
    <w:rPr>
      <w:rFonts w:ascii="宋体" w:hAnsi="Courier New" w:cs="Courier New"/>
    </w:rPr>
  </w:style>
  <w:style w:type="table" w:styleId="1017">
    <w:name w:val="网格型1"/>
    <w:basedOn w:val="1018"/>
    <w:next w:val="1017"/>
    <w:link w:val="893"/>
    <w:qFormat/>
    <w:pPr>
      <w:jc w:val="both"/>
      <w:widowControl w:val="off"/>
    </w:pPr>
    <w:tblPr/>
  </w:style>
  <w:style w:type="table" w:styleId="1018">
    <w:name w:val="普通表格1"/>
    <w:next w:val="1018"/>
    <w:link w:val="893"/>
    <w:uiPriority w:val="99"/>
    <w:unhideWhenUsed/>
    <w:qFormat/>
    <w:tblPr/>
  </w:style>
  <w:style w:type="character" w:styleId="1019">
    <w:name w:val="15"/>
    <w:basedOn w:val="903"/>
    <w:next w:val="1019"/>
    <w:link w:val="893"/>
    <w:rPr>
      <w:rFonts w:ascii="Times New Roman" w:hAnsi="Times New Roman" w:cs="Times New Roman"/>
    </w:rPr>
  </w:style>
  <w:style w:type="paragraph" w:styleId="1020">
    <w:name w:val="正文首行缩进 211"/>
    <w:basedOn w:val="1021"/>
    <w:next w:val="893"/>
    <w:link w:val="893"/>
    <w:qFormat/>
    <w:pPr>
      <w:ind w:left="0" w:firstLine="420"/>
      <w:spacing w:after="0" w:line="360" w:lineRule="auto"/>
    </w:pPr>
    <w:rPr>
      <w:rFonts w:ascii="宋体" w:hAnsi="宋体" w:eastAsia="宋体" w:cs="Times New Roman"/>
      <w:szCs w:val="20"/>
    </w:rPr>
  </w:style>
  <w:style w:type="paragraph" w:styleId="1021">
    <w:name w:val="正文文本缩进11"/>
    <w:basedOn w:val="893"/>
    <w:next w:val="1022"/>
    <w:link w:val="893"/>
    <w:unhideWhenUsed/>
    <w:qFormat/>
    <w:pPr>
      <w:ind w:left="420"/>
      <w:spacing w:after="120"/>
    </w:pPr>
  </w:style>
  <w:style w:type="paragraph" w:styleId="1022">
    <w:name w:val="寄信人地址1"/>
    <w:basedOn w:val="893"/>
    <w:next w:val="1022"/>
    <w:link w:val="893"/>
    <w:qFormat/>
    <w:rPr>
      <w:rFonts w:ascii="Arial" w:hAnsi="Arial" w:eastAsia="宋体" w:cs="宋体"/>
    </w:rPr>
  </w:style>
  <w:style w:type="paragraph" w:styleId="1023">
    <w:name w:val="Table Paragraph"/>
    <w:basedOn w:val="893"/>
    <w:next w:val="1023"/>
    <w:link w:val="893"/>
    <w:uiPriority w:val="1"/>
    <w:qFormat/>
    <w:pPr>
      <w:jc w:val="left"/>
    </w:pPr>
    <w:rPr>
      <w:rFonts w:ascii="宋体" w:hAnsi="宋体" w:eastAsia="宋体" w:cs="宋体"/>
      <w:sz w:val="22"/>
      <w:szCs w:val="22"/>
      <w:lang w:val="zh-CN" w:bidi="zh-CN"/>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2023-03-27T07:28:00Z</dcterms:created>
  <dcterms:modified xsi:type="dcterms:W3CDTF">2026-09-01T06:57:06Z</dcterms:modified>
</cp:coreProperties>
</file>