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采购编号：JSZC-320591-PMJS-G2026-0024 </w:t>
      </w:r>
      <w:r/>
    </w:p>
    <w:p>
      <w:pPr>
        <w:ind w:left="256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采购名称：2026年娄葑街道社工站(室)运营项目</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采购人：苏州工业园区娄葑街道办事处</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37848"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2026年09月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30543" w:history="1">
        <w:r>
          <w:rPr>
            <w:rStyle w:val="871"/>
            <w:rFonts w:ascii="SimHei" w:hAnsi="SimHei" w:eastAsia="SimHei" w:cs="SimHei"/>
            <w:color w:val="0000ee"/>
            <w:sz w:val="28"/>
            <w:u w:val="single"/>
          </w:rPr>
          <w:t xml:space="preserve">前附表</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3103" w:history="1">
        <w:r>
          <w:rPr>
            <w:rStyle w:val="871"/>
            <w:rFonts w:ascii="SimHei" w:hAnsi="SimHei" w:eastAsia="SimHei" w:cs="SimHei"/>
            <w:color w:val="0000ee"/>
            <w:sz w:val="28"/>
            <w:u w:val="single"/>
          </w:rPr>
          <w:t xml:space="preserve">招标公告</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3879" w:history="1">
        <w:r>
          <w:rPr>
            <w:rStyle w:val="871"/>
            <w:rFonts w:ascii="SimHei" w:hAnsi="SimHei" w:eastAsia="SimHei" w:cs="SimHei"/>
            <w:color w:val="0000ee"/>
            <w:sz w:val="28"/>
            <w:u w:val="single"/>
          </w:rPr>
          <w:t xml:space="preserve">第一章</w:t>
        </w:r>
        <w:r>
          <w:rPr>
            <w:rStyle w:val="871"/>
            <w:rFonts w:ascii="SimHei" w:hAnsi="SimHei" w:eastAsia="SimHei" w:cs="SimHei"/>
            <w:color w:val="0000ee"/>
            <w:sz w:val="28"/>
            <w:u w:val="none"/>
          </w:rPr>
          <w:t xml:space="preserve">  </w:t>
        </w:r>
        <w:r>
          <w:rPr>
            <w:rStyle w:val="871"/>
            <w:rFonts w:ascii="SimHei" w:hAnsi="SimHei" w:eastAsia="SimHei" w:cs="SimHei"/>
            <w:color w:val="0000ee"/>
            <w:sz w:val="28"/>
            <w:u w:val="single"/>
          </w:rPr>
          <w:t xml:space="preserve">投标邀请函</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9316" w:history="1">
        <w:r>
          <w:rPr>
            <w:rStyle w:val="871"/>
            <w:rFonts w:ascii="SimHei" w:hAnsi="SimHei" w:eastAsia="SimHei" w:cs="SimHei"/>
            <w:color w:val="0000ee"/>
            <w:sz w:val="28"/>
            <w:u w:val="single"/>
          </w:rPr>
          <w:t xml:space="preserve">第二章</w:t>
        </w:r>
        <w:r>
          <w:rPr>
            <w:rStyle w:val="871"/>
            <w:rFonts w:ascii="SimHei" w:hAnsi="SimHei" w:eastAsia="SimHei" w:cs="SimHei"/>
            <w:color w:val="0000ee"/>
            <w:sz w:val="28"/>
            <w:u w:val="none"/>
          </w:rPr>
          <w:t xml:space="preserve">  </w:t>
        </w:r>
        <w:r>
          <w:rPr>
            <w:rStyle w:val="871"/>
            <w:rFonts w:ascii="SimHei" w:hAnsi="SimHei" w:eastAsia="SimHei" w:cs="SimHei"/>
            <w:color w:val="0000ee"/>
            <w:sz w:val="28"/>
            <w:u w:val="single"/>
          </w:rPr>
          <w:t xml:space="preserve">投标人须知</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5170" w:history="1">
        <w:r>
          <w:rPr>
            <w:rStyle w:val="871"/>
            <w:rFonts w:ascii="SimHei" w:hAnsi="SimHei" w:eastAsia="SimHei" w:cs="SimHei"/>
            <w:color w:val="0000ee"/>
            <w:sz w:val="28"/>
            <w:u w:val="single"/>
          </w:rPr>
          <w:t xml:space="preserve">第三章</w:t>
        </w:r>
        <w:r>
          <w:rPr>
            <w:rStyle w:val="871"/>
            <w:rFonts w:ascii="SimHei" w:hAnsi="SimHei" w:eastAsia="SimHei" w:cs="SimHei"/>
            <w:color w:val="0000ee"/>
            <w:sz w:val="28"/>
            <w:u w:val="none"/>
          </w:rPr>
          <w:t xml:space="preserve">  </w:t>
        </w:r>
        <w:r>
          <w:rPr>
            <w:rStyle w:val="871"/>
            <w:rFonts w:ascii="SimHei" w:hAnsi="SimHei" w:eastAsia="SimHei" w:cs="SimHei"/>
            <w:color w:val="0000ee"/>
            <w:sz w:val="28"/>
            <w:u w:val="single"/>
          </w:rPr>
          <w:t xml:space="preserve">投标文件格式</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8987" w:history="1">
        <w:r>
          <w:rPr>
            <w:rStyle w:val="871"/>
            <w:rFonts w:ascii="SimHei" w:hAnsi="SimHei" w:eastAsia="SimHei" w:cs="SimHei"/>
            <w:color w:val="0000ee"/>
            <w:sz w:val="28"/>
            <w:u w:val="single"/>
          </w:rPr>
          <w:t xml:space="preserve">第四章</w:t>
        </w:r>
        <w:r>
          <w:rPr>
            <w:rStyle w:val="871"/>
            <w:rFonts w:ascii="SimHei" w:hAnsi="SimHei" w:eastAsia="SimHei" w:cs="SimHei"/>
            <w:color w:val="0000ee"/>
            <w:sz w:val="28"/>
            <w:u w:val="none"/>
          </w:rPr>
          <w:t xml:space="preserve"> </w:t>
        </w:r>
        <w:r>
          <w:rPr>
            <w:rStyle w:val="871"/>
            <w:rFonts w:ascii="SimHei" w:hAnsi="SimHei" w:eastAsia="SimHei" w:cs="SimHei"/>
            <w:color w:val="0000ee"/>
            <w:sz w:val="28"/>
            <w:u w:val="single"/>
          </w:rPr>
          <w:t xml:space="preserve">招标书</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30006" w:history="1">
        <w:r>
          <w:rPr>
            <w:rStyle w:val="871"/>
            <w:rFonts w:ascii="SimHei" w:hAnsi="SimHei" w:eastAsia="SimHei" w:cs="SimHei"/>
            <w:color w:val="0000ee"/>
            <w:sz w:val="28"/>
            <w:u w:val="single"/>
          </w:rPr>
          <w:t xml:space="preserve">第五章</w:t>
        </w:r>
        <w:r>
          <w:rPr>
            <w:rStyle w:val="871"/>
            <w:rFonts w:ascii="SimHei" w:hAnsi="SimHei" w:eastAsia="SimHei" w:cs="SimHei"/>
            <w:color w:val="0000ee"/>
            <w:sz w:val="28"/>
            <w:u w:val="none"/>
          </w:rPr>
          <w:t xml:space="preserve"> </w:t>
        </w:r>
        <w:r>
          <w:rPr>
            <w:rStyle w:val="871"/>
            <w:rFonts w:ascii="SimHei" w:hAnsi="SimHei" w:eastAsia="SimHei" w:cs="SimHei"/>
            <w:color w:val="0000ee"/>
            <w:sz w:val="28"/>
            <w:u w:val="single"/>
          </w:rPr>
          <w:t xml:space="preserve">合同主要条款</w:t>
        </w:r>
        <w:r>
          <w:rPr>
            <w:rStyle w:val="871"/>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29939" w:history="1">
        <w:r>
          <w:rPr>
            <w:rStyle w:val="871"/>
            <w:rFonts w:ascii="SimHei" w:hAnsi="SimHei" w:eastAsia="SimHei" w:cs="SimHei"/>
            <w:color w:val="0000ee"/>
            <w:sz w:val="28"/>
            <w:u w:val="single"/>
          </w:rPr>
          <w:t xml:space="preserve">第六章</w:t>
        </w:r>
        <w:r>
          <w:rPr>
            <w:rStyle w:val="871"/>
            <w:rFonts w:ascii="SimHei" w:hAnsi="SimHei" w:eastAsia="SimHei" w:cs="SimHei"/>
            <w:color w:val="0000ee"/>
            <w:sz w:val="28"/>
            <w:u w:val="none"/>
          </w:rPr>
          <w:t xml:space="preserve"> </w:t>
        </w:r>
        <w:r>
          <w:rPr>
            <w:rStyle w:val="871"/>
            <w:rFonts w:ascii="SimHei" w:hAnsi="SimHei" w:eastAsia="SimHei" w:cs="SimHei"/>
            <w:color w:val="0000ee"/>
            <w:sz w:val="28"/>
            <w:u w:val="single"/>
          </w:rPr>
          <w:t xml:space="preserve">评分标准</w:t>
        </w:r>
        <w:r>
          <w:rPr>
            <w:rStyle w:val="871"/>
            <w:rFonts w:ascii="Times New Roman" w:hAnsi="Times New Roman" w:eastAsia="Times New Roman" w:cs="Times New Roman"/>
            <w:color w:val="0000ee"/>
            <w:sz w:val="28"/>
            <w:u w:val="single"/>
          </w:rPr>
          <w:tab/>
          <w:t xml:space="preserve">7</w:t>
        </w:r>
      </w:hyperlink>
      <w:r>
        <w:rPr>
          <w:rFonts w:ascii="Times New Roman" w:hAnsi="Times New Roman" w:eastAsia="Times New Roman" w:cs="Times New Roman"/>
          <w:color w:val="000000"/>
          <w:sz w:val="28"/>
        </w:rPr>
        <w:t xml:space="preserve">0</w:t>
      </w:r>
      <w:r/>
    </w:p>
    <w:p>
      <w:pPr>
        <w:shd w:val="nil"/>
        <w:rPr>
          <w:sz w:val="24"/>
          <w:szCs w:val="24"/>
        </w:rPr>
      </w:pPr>
      <w:r>
        <w:rPr>
          <w:sz w:val="24"/>
        </w:rPr>
        <w:br w:type="page" w:clear="all"/>
      </w:r>
      <w:r>
        <w:rPr>
          <w:sz w:val="24"/>
        </w:rPr>
      </w:r>
    </w:p>
    <w:p>
      <w:pPr>
        <w:ind w:left="0" w:right="0" w:firstLine="0"/>
        <w:jc w:val="center"/>
        <w:spacing w:before="240" w:after="240" w:line="113" w:lineRule="atLeast"/>
        <w:rPr>
          <w:sz w:val="24"/>
          <w:szCs w:val="24"/>
        </w:rPr>
        <w:pBdr>
          <w:top w:val="none" w:color="000000" w:sz="4" w:space="0"/>
          <w:left w:val="none" w:color="000000" w:sz="4" w:space="0"/>
          <w:bottom w:val="none" w:color="000000" w:sz="4" w:space="0"/>
          <w:right w:val="none" w:color="000000" w:sz="4" w:space="0"/>
        </w:pBdr>
      </w:pP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前附表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822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采购内容：2026年娄葑街道社工站(室)运营项目</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采购内容：见第四章采购需求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投标有效期：90日历天</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投标保证金：不提交，本项目招标文件内关于投标保证金的相关规定均不适用。</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签订合同：中标通知书发出之日起30日内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项目种类较为复杂，为达到准确报价要求，投标报价前请投标单位自行做好现场踏勘工作（可自行联系采购方现场人员踏勘现场）。开标后，投标单位不得以不了解现场情况为由提出费用调整。</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投标文件：应使用“苏采云”系统制作并提交电子版投标文件，未按要求线上递交电子投标文件将被拒收。供应商中标后须提供4套投标文件。</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履约保证金：本项目无需缴纳履约保证金，涉及的相关条款均不适用。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电子投标文件上传截止时间：2026年10月12日09:30（北京时间）</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 证书解密电子投标文件，如在系统规定的解密时间内未能完成解密的，视为放弃投标（响应）。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询问：获取招标文件成功的投标供应商在下载招标文件后，若对招标文件有疑问，可通过邮件（1214506206@qq.com）进行询问。采购代理机构通过邮件予以解答，询问人自行在邮件中查看解答信息。</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认为招标文件、采购过程、中标结果使自己的权益受到损害的，可以在知道或者应知其权益受到损害之日起7个工作日内，以书面形式向采购人提出质疑。投标人须在法定质疑期内一次性提出针对同一采购程序环节的质疑。投标人若质疑，应符合《政府采购质疑和投诉办法》（中华人民共和国财政部令第94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未依照采购公告要求依法获取招标文件的投标人，视为未参加该项政府采购活动，不具备对该政府采购项目提出质疑的法定权利。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本项目预算中已包含代理服务费，中标单位报价中综合考虑此费用。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代理服务费收费标准，由中标供应商在领取中标通知书时付清：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代理服务费：27100.00元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评标办法：详见第六章。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招标公告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2026年娄葑街道社工站(室)运营项目的潜在投标人应在“苏采云政府采购一体化平台”网站自行免费下载招标文件，并于2026年10月12日09点30分（北京时间）前提交投标文件。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采购编号：JSZC-320591-PMJS-G2026-0024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采购内容：2026年娄葑街道社工站(室)运营项目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预算金额：210万元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深化“示范特色+组织培育”特色、推动“专业服务+焦点治理”并行，一方面扩大娄葑街道示范社工室的服务区域，深入开展个案、小组、志愿、焦点治理等体系化社工室服务；同时持续组织开展微治理项目大赛，通过以赛促练、以赛促评的形式，重点开展组织培育和赋能，完善组织项目规范化运作和专业能力提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合同履行期限：以采购单位通知之日起至2027年12月底</w:t>
      </w:r>
      <w:r>
        <w:rPr>
          <w:rFonts w:ascii="Segoe UI" w:hAnsi="Segoe UI" w:eastAsia="Segoe UI" w:cs="Segoe UI"/>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地点：供应商登录苏州市政府采购网站首页下侧“苏采云—已参与项目”，根据提示下载招标（采购）文件。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2026年10月12日09:30（北京时间）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b/>
          <w:color w:val="000000"/>
          <w:sz w:val="24"/>
          <w:u w:val="none"/>
        </w:rPr>
        <w:t xml:space="preserve">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页面，点击“我要参与”并签章提交《投标供应商确认函》，提交《投标供应商确认函》的日期视同为依法获取招标文件的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供应商不需到现场参加开标会，开标阶段供应商在【供应商解密】环节必须使用 CA证书解密电子投标（响应）文件，如在系统规定的解密时间内未能完成解密的视为放弃投标（响应）。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CA办理及使用指南：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录页面右下角“【新CA办理指南】--江苏省政府采购数字证书（供应商）CA及电子签章办理指南”。苏州现场办理地址：苏州高新区邓尉路105号狮山科技馆1楼服务大厅，咨询电话：0512-65737</w:t>
      </w:r>
      <w:r>
        <w:rPr>
          <w:rFonts w:ascii="SimSun" w:hAnsi="SimSun" w:eastAsia="SimSun" w:cs="SimSun"/>
          <w:color w:val="000000"/>
          <w:sz w:val="24"/>
        </w:rPr>
        <w:t xml:space="preserve">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9.投标人（供应商）应自行在苏采云政府采购一体化平台上下载/获取招标（采购）文件及其澄清（答疑）、工程量清单（如有）、图纸等相关招标（采购）资料（如有），恕不另行通知。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（1）财政部、工业和信息化部《政府采购促进中小企业发展管理办法》财库〔2020〕46号。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促进残疾人就业政府采购政策的通知》（财库〔2017〕141号）；《关于政府采购支持监狱企业发展有关问题的通知》（财库〔2014〕68号）；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12.请贵单位领取本次采购文件后，认真阅读各项内容，进行必要的投标准备，按文件的要求详细填写和编制投标文件。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名称：苏州工业园区娄葑街道办事处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地址：苏州工业园区通园路28号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联系方式:0512-62809738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联系人：范腾方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项目联系人：顾苏芯、刘金华、周东星（项目负责人）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第一章</w:t>
      </w:r>
      <w:r>
        <w:rPr>
          <w:rFonts w:ascii="SimHei" w:hAnsi="SimHei" w:eastAsia="SimHei" w:cs="SimHei"/>
          <w:b/>
          <w:color w:val="000000"/>
          <w:sz w:val="48"/>
        </w:rPr>
        <w:t xml:space="preserve">  投标邀请函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江苏京苏项目管理咨询有限公司受苏州工业园区娄葑街道办事处的委托，就其所需的2026年娄葑街道社工站(室)运营项目进行国内公开招标。欢迎有条件的单位前来参加投标。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1.采购编号：</w:t>
      </w:r>
      <w:r>
        <w:rPr>
          <w:rFonts w:ascii="SimSun" w:hAnsi="SimSun" w:eastAsia="SimSun" w:cs="SimSun"/>
          <w:color w:val="000000"/>
          <w:sz w:val="24"/>
        </w:rPr>
        <w:t xml:space="preserve">JSZC-320591-PMJS-G2026-0024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2.1项目名称：2026年娄葑街道社工站(室)运营项目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2.2预算金额：210万元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2.3服务范围：详见招标文件第四章《招标书》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2.4采购需求：详见招标文件第四章《招标书》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2.5服务期限：</w:t>
      </w:r>
      <w:r>
        <w:rPr>
          <w:rFonts w:ascii="SimSun" w:hAnsi="SimSun" w:eastAsia="SimSun" w:cs="SimSun"/>
          <w:color w:val="000000"/>
          <w:sz w:val="24"/>
          <w:highlight w:val="white"/>
        </w:rPr>
        <w:t xml:space="preserve">以采购单位通知之日起至</w:t>
      </w:r>
      <w:r>
        <w:rPr>
          <w:rFonts w:ascii="Segoe UI" w:hAnsi="Segoe UI" w:eastAsia="Segoe UI" w:cs="Segoe UI"/>
          <w:color w:val="000000"/>
          <w:sz w:val="24"/>
          <w:highlight w:val="white"/>
        </w:rPr>
        <w:t xml:space="preserve">2027</w:t>
      </w:r>
      <w:r>
        <w:rPr>
          <w:rFonts w:ascii="SimSun" w:hAnsi="SimSun" w:eastAsia="SimSun" w:cs="SimSun"/>
          <w:color w:val="000000"/>
          <w:sz w:val="24"/>
          <w:highlight w:val="white"/>
        </w:rPr>
        <w:t xml:space="preserve">年</w:t>
      </w:r>
      <w:r>
        <w:rPr>
          <w:rFonts w:ascii="Segoe UI" w:hAnsi="Segoe UI" w:eastAsia="Segoe UI" w:cs="Segoe UI"/>
          <w:color w:val="000000"/>
          <w:sz w:val="24"/>
          <w:highlight w:val="white"/>
        </w:rPr>
        <w:t xml:space="preserve">12</w:t>
      </w:r>
      <w:r>
        <w:rPr>
          <w:rFonts w:ascii="SimSun" w:hAnsi="SimSun" w:eastAsia="SimSun" w:cs="SimSun"/>
          <w:color w:val="000000"/>
          <w:sz w:val="24"/>
          <w:highlight w:val="white"/>
        </w:rPr>
        <w:t xml:space="preserve">月底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3.1投标文件上传截止时间：2026年10月12日09:30（北京时间）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3.2投标文件递交地点：苏州市政府采购网站-苏采云系统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3.3时间：2026年10月12日09:30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3.4本项目支持网上不见面开标，</w:t>
      </w:r>
      <w:r>
        <w:rPr>
          <w:rFonts w:ascii="SimSun" w:hAnsi="SimSun" w:eastAsia="SimSun" w:cs="SimSun"/>
          <w:b/>
          <w:color w:val="000000"/>
          <w:sz w:val="24"/>
        </w:rPr>
        <w:t xml:space="preserve">供应商不需到现场参加开标会。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3.5本项目为不见面开标项目，开标阶段供应商在【供应商解密】环节必须使用 CA证书解密电子投标（响应）文件，如在系统规定的解密时间内未能完成解密的视为放弃投标（响应）。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3.6请供应商确保电脑、系统及其他设备（视频输入输出设备等）无误，且开标直至项目结束始终保持系统在线状态。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4.联系单位：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名称：苏州工业园区娄葑街道办事处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地址：苏州工业园区通园路28号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联系方式:0512-62809738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联系人：范腾方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项目联系人：顾苏芯、刘金华、周东星（项目负责人）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2026年09月18日</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1.1本招标文件仅适用于江苏京苏项目管理咨询有限公司组织的招标活动。</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2.7乙方（投标人）：合同中规定的向采购人提供货物和服务的法人或其他组织和自然人。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2.10服务地点：合同中明确约定的乙方服务的最终地点。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2.12实质性响应：满足有关本次采购标的、数量、质量、价款或者报酬、服务要求、履行期限、履行地点和方式、违约责任和解决争议方法等要求。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2.15扫描件：指原件的各种彩色复制件，包括扫描、照片等。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合格投标人的一般条件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5.1指全权代表投标人参加投标活动并签署投标文件的人，如果投标人代表不是法定代表人，须持有《法定代表人授权委托书》（详见统一格式）。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7.1如接受联合体参加投标的，由两个或两个以上法人组成一个联合体以一个投标人的身份共同响应时，联合体各方均应当符合政府采购法第二十二条规定的条件。同时还应符合以下要求：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7.1.3以联合体形式参加政府采购活动的，联合体各方不得再单独参加或者与其他投标人另外组成联合体参加同一合同项下的政府采购活动。出现上述情况者，其投标和与其有关的联合体的投标均作无效投标处理。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7.2除非另有规定或说明，本采购文件中“投标人”一词亦指联合体各成员。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阅读招标文件中所有的事项、格式、条款和规范要求等，若投标人的投标文件没有按招标文件要求提交全部资料，或投标文件没有对招标文件做出实质性响应，其风险由投标人自行承担，并根据有关条款规定，该电子投标文件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招标文件及其更正（补充）文件不是直接从苏采云系统获得的，采购代理机构对招标文件及其更正（补充）文件的真实性、完整性不承担任何责任。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招标文件的询问</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9.1投标人在收到招标文件后，若有问题需要询问，应按照前附表要求及时提出，采购代理机构将予以解答，但答复内容不得涉及商业秘密。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前，采购人、采购代理机构无论出于自己的考虑，还是出于对投标人提问的澄清，均可对招标文件用更正（补充）文件的方式在原公告发布媒体上对招标文件进行澄清或修改，澄清或修改不得改变采购标的和资格条件。更正（补充）文件将作为招标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10.2为使投标人有足够的时间按招标文件的修改要求考虑修正投标文件，或出于其他原因，采购人、采购代理机构有权推迟投标截止日期和开标日期。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10.3投标人应及时关注采购信息发布媒体上发布的更正（补充）公告，如有遗漏（包括但不限于文件未下载或下载不完整），所造成的投标失败或损失由投标人自行负责。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10.4招标文件的澄清、修改、补充等内容均以原公告发布媒体上发布的内容为准。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11.1根据自身投标需要，投标人对有关现场和周围环境进行考察，以获取编制投标文件和签署合同所需的信息。考察现场所发生的费用由投标人自己承担。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经采购人允许，投标人可为考察目的进入采购人的项目现场，但投标人不得因此使采购人承担有关的责任和蒙受损失。投标人应承担考察现场的责任和风险。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12.1投标人应仔细阅读招标文件的所有内容，按招标文件的要求提供投标文件，并保证所提供的全部数据的真实性，以使其投标对招标文件作出实质性响应，否则，其投标可能被拒绝。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12.2无论是否提交投标文件，投标人都应将招标文件及以后的所有通知、文件等视为保密文件。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投标文件计量单位和使用文字</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递交中文证明资料，投标文件中必须使用其它文字的，必须附有中文译本。对于未附有中文译本和中文译本不准确的投标文件可能引起的对投标人不利的后果，采购人或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14.1投标书一（报价部分）：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 （格式见第三章）；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14.1.4《投标报价明细表》；（格式见第三章）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投标书二（技术及资格证明部分）：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14.2.1关于资格文件的声明函（格式见第三章）；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14.2.2投标人情况表（格式见第三章）；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14.2.3供应商与其他单位存在控股、管理关系情况表（格式见第三章）；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14.2.4投标人企业法定代表人身份证扫描件；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14.2.5代理人身份证扫描件（如有授权）；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14.2.6投标人证明其满足合格投标人资格基本条件的证明材料：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（2）具有良好的商业信誉和健全的财务会计制度证明：包括但不限于最近一期财务报表，其他组织、自然人及成立未满一年的法人应提供银行出具的资信证明；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（3）履行合同所必备的设备和专业技术能力的证明材料或承诺函；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投标人参加本次政府采购活动前半年（至少一个月）依法缴纳税收和社会保障资金（专用收据或社会保险缴纳清单）的证明材料；如为依法免税或不需要缴纳的，投标人则须提供对应证明资料，否则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14.2.7服务要求对照偏离表（见格式）；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14.2.8商务条款偏离表（见格式）；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14.2.9中小企业声明函（格式见第三章）或残疾人福利性单位声明函（格式见第三章）或监狱企业证明文件；</w:t>
      </w:r>
      <w:r>
        <w:rPr>
          <w:rFonts w:ascii="SimSun" w:hAnsi="SimSun" w:eastAsia="SimSun" w:cs="SimSun"/>
          <w:b/>
          <w:color w:val="000000"/>
          <w:sz w:val="24"/>
          <w:u w:val="single"/>
        </w:rPr>
        <w:t xml:space="preserve">(注：未提供或者提供的中小企业声明函或残疾人福利性单位声明函、监狱企业证明文件未加盖有公章的彩色扫描件上传至电子投标文件中的均不享受相关政策。）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14.2.10针对本项目的人员配置表（见格式）；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14.2.11拟投入本项目的负责人简历表；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14.2.12投标人针对本项目人员配备方案，服务团队人员详细介绍；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14.2.13投标人针对本项目的详细服务方案；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14.2.14服务承诺说明；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14.2.15《类似业绩一览表》（格式见第三章）；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14.2.15其他可以证明投标人资信、资质和货物、服务质量的证书、文件、推荐信等资料；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14.2.16招标文件及评分标准中所涉及需提供的其他资料。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注：1、投标书二（技术及资格证明部分）中不得出现价格。</w:t>
      </w:r>
      <w:r/>
    </w:p>
    <w:p>
      <w:pPr>
        <w:ind w:left="0" w:right="0" w:firstLine="9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2.投标人必须提交上述14.1.1—14.2.8款规定的资料。否则，投标文件将因未实质响应招标文件而被拒绝。</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14.3投标文件由14.1、14.2款规定的内容共同组成。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电子投标文件编制及提交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为网上招投标项目，供应商应登录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电子投标（响应）文件制作完成后请于上传截止前成功上传，未按要求线上递交电子投标（响应）文件将被拒收，供应商参与多个标段投标的，应分别单独上传。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15.4投标（响应）文件制作完成后导出投标（响应）文件，在“参与详情”页面上传已制作完成的投标（响应）文件。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15.5投标（响应）文件提交后，供应商可通过模拟解密操作检测投标（响应）文件是否可以正常解密。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w:t>
      </w:r>
      <w:r>
        <w:rPr>
          <w:rFonts w:ascii="SimSun" w:hAnsi="SimSun" w:eastAsia="SimSun" w:cs="SimSun"/>
          <w:b/>
          <w:color w:val="000000"/>
          <w:sz w:val="24"/>
          <w:u w:val="single"/>
        </w:rPr>
        <w:t xml:space="preserve">因本章“14.投标文件的组成”要求的中小企业声明函、残疾人福利性单位声明函要求的文件需在中标公告时对外公示，故投标供应商如涉及需要提供“14.投标文件的组成”要求的中小企业声明函、残疾人福利性单位声明函的文件时，必须将签章上传至电子投标文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15.7供应商应在采购系统中选择已制作好的投标文件进行上传，上传必须在投标（响应）截止时间前完成。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15.8在投标文件递交截止时间止采购人收到的投标文件递交份数少于三份，采购人有权宣布本次采购失败。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15.9联合体投标：本项目不涉及。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备注：投标文件中的CA证书签章为有效签名章。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报价（编制）要求的说明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分项报价表》中的报价应包括但不限于完成本项目所需全部人工费、材料、机械、消耗品、管理、维护、保险、利润、税金、通讯器材、办公设备、国家规定的社会保障基金、各种税费、保险、劳保、政策性文件规定及合同包含的所有风险、责任等各项应有费用。同时，除非合同条款中另有规定，否则，响应单位所报价格在合同实施期间不因市场变化因素而变动。投标人应对所投项目的全部内容进行报价，只投其中部分内容者，其标书将被拒绝。投标报价为最终报价，除非因特殊原因并经双方协商同意，投标人不得再要求追加任何费</w:t>
      </w:r>
      <w:r>
        <w:rPr>
          <w:rFonts w:ascii="SimSun" w:hAnsi="SimSun" w:eastAsia="SimSun" w:cs="SimSun"/>
          <w:color w:val="000000"/>
          <w:sz w:val="24"/>
        </w:rPr>
        <w:t xml:space="preserve">用。同时，除非合同条款中另有规定，否则，投标人所报价格在合同实施期间不因市场变化因素而变动，政策性条款例外。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16.2投标报价编制要求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16.2.1根据提供的投标文件及有关资料单独编制相关的投标报价并汇总填入《分项报价表》；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按《分项报价表》中的全部服务计算单价和总价。《分项报价表》中的每一单项均应计算并填写单价和总价。如发现投标报价中有错算、漏算现象，一旦中标，投标人自行承担错算、漏算这部分的经济损失，视为包含在总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应对招标文件内所要采购的全部内容进行报价，只投其中部分内容者，其投标文件将被拒绝。但如果采购文件要求分标段投标的，则投标人可以有选择地只投其中一个或几个标段，也可以投全部标段，但各标段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16.5一项内容只允许一个报价，采购人不接受任何有选择性的报价。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投标保证金（本项目无需提交投标保证金，本招标文件内投标保证金相关规定均不适用）。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18.1投标文件的有效期见前附表，在此期间内，投标文件应保持有效。有效期短于这个规定期限的响应，将被拒绝。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18.2在特殊情况下，采购单位可与投标人协商延长投标文件的有效期。这种要求和答复都应以书面的形式进行。同意延长有效期的投标人不能修改投标文件。拒绝接受延期要求的投标人的投标将被拒绝。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19.1投标人在提交投标文件后开启前可在系统中对其投标文件进行修改或撤销。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开启后投标人不得撤回投标文件。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20.1本项目支持网上不见面开标，</w:t>
      </w:r>
      <w:r>
        <w:rPr>
          <w:rFonts w:ascii="SimSun" w:hAnsi="SimSun" w:eastAsia="SimSun" w:cs="SimSun"/>
          <w:b/>
          <w:color w:val="000000"/>
          <w:sz w:val="24"/>
        </w:rPr>
        <w:t xml:space="preserve">供应商不需到现场参加开标会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rPr>
          <w:rFonts w:ascii="SimSun" w:hAnsi="SimSun" w:eastAsia="SimSun" w:cs="SimSun"/>
          <w:b/>
          <w:color w:val="000000"/>
          <w:sz w:val="24"/>
        </w:rPr>
        <w:t xml:space="preserve">开标阶段供应商在【供应商解密】环节必须使用 CA证书解密电子投标（响应）文件，如在系统规定的解密时间内未能完成解密的视为放弃投标（响应）。</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20.4开评审结果会在评标结束后通过采购系统告知投标人，请投标人及时查看，否则导致对投标人不利的后果由投标人自行承担。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20.7本项目采用线上澄清：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评审中需要投标人进行澄清的通知会通过苏采云系统发出，投标人应及时登录采购系统查看澄清要求并在规定的时间内按要求进行线上答复。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评审结束后系统公告中会提示评审流程结束，投标人可离开电脑。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20.8由于开标现场监控传输路径与开标信息传输路径不同，会造成网页显示时间与监控图像显示时间不同。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21.1公开招标采购项目开标结束后，采购人或者采购代理机构应当依法对投标人的资格进行审查，</w:t>
      </w:r>
      <w:r>
        <w:rPr>
          <w:rFonts w:ascii="SimSun" w:hAnsi="SimSun" w:eastAsia="SimSun" w:cs="SimSun"/>
          <w:b/>
          <w:color w:val="000000"/>
          <w:sz w:val="24"/>
        </w:rPr>
        <w:t xml:space="preserve">未通过资格审查的投标无效。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21.2根据政府采购法及相关法规，以及苏州市财政局《关于印发苏州市市级政府采购信用记录查询和使用工作试行办法的通知》（苏财购〔2017〕11号）的规定，将对投标人进行信用查询。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21.2.1查询时间：投标文件递交截止时间。</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21.2.2查询渠道：在中国政府采购网（http://www.ccgp.gov.cn）、信用中国（www.creditchina.gov.cn）的网站输入投标人全称或统一社会信用代码查询信用记录，并将查询结果递交评审小组。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21.3经采购人或者采购代理机构审查供应商存在失信行为的，投标无效。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21.4合格投标人不足3家的，不得评标。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评标委员会或评标小组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22.1评标委员会或评标小组（以下简称评委会）成员依法组建，负责具体评标事务，并独立履行职责；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22.2评标委员会或评标小组与参加采购活动的投标人存在下列利害关系之一的，应当回避：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评标委员会或评标小组发现本人与参加采购活动的投标人有利害关系的，应当主动提出回避。采购人或采购代理机构发现评审专家与参加采购活动的投标人有利害关系的，应当要求其回避。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22.3评标委员会将对符合资格的投标人的投标文件进行符合性审查，以确定其是否满足招标文件的实质性要求。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22.4评委会组负责具体的评标事务，并独立履行以下职责：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22.4.1审查、评价投标文件是否符合招标文件的商务、技术等实质性要求；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22.4.2要求投标人对投标文件有关事项作出澄清或者说明；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22.4.3对投标文件进行比较和评价；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22.4.4确定中标候选人名单，以及根据采购人委托直接确定中标人；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22.4.5向采购人、采购代理机构或者有关部门报告评标中发现的违法行为。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22.5评委会成员应当履行下列义务：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22.5.2按照招标文件规定的评标办法和评标标准进行评标，对评审意见承担个人责任；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22.5.3对评标过程和结果，以及投标人的商业秘密保密；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22.5.4参与评标报告的起草；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22.5.5配合采购人、采购代理机构答复投标人提出的质疑；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评标内容的保密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23.1公开开标后，直到宣布授予中标单位合同为止，凡属于审查、澄清、评价和比较投标的所有数据，有关授予合同的信息都不应向投标人或与评标无关的其他人泄露。</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23.2在投标文件的审查、澄清、评价和比较以及授予合同的过程中，投标人对采购人、采购代理机构和评标委员会成员施加影响的任何行为，都将取消其中标资格。</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23.3在评标期间，采购人、采购代理机构将通过指定联络人与投标人进行联系。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对投标文件初审</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24.1.1投标文件未按照本招标文件规定对投标文件进行签章；</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24.1.2投标人拒绝修正错误；</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24.1.3投标人的报价是选择性的；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24.1.4投标人的报价只投了同一标段中部分内容；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24.1.5投标人的投标文件中出现评委会认为不应雷同的；</w:t>
      </w:r>
      <w:r/>
    </w:p>
    <w:p>
      <w:pPr>
        <w:ind w:left="0" w:right="0" w:firstLine="5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24.1.6不同投标人的“机器码一致”的情形；</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24.1.7其他被评委会认定无效的情况。</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实质性响应的投标应该是与招标文件要求的标的、数量、质量、价款或者报酬、履行期限、履行地点和方式、违约责任和解决争议方法等条款相符。不得限制合同中买方的权利或投标人的义务，也不得对其他实质性回应的投标人的竞争地位产生不公正影响。</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招标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24.5投标文件报价出现前后不一致的，除招标文件另有规定外，按照下列规定修正：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24.5.1投标文件中开标一览表（报价表）内容与投标文件中相应内容不一致的，以开标一览表（报价表）为准；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24.5.2大写金额和小写金额不一致的，以大写金额为准；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24.5.3单价金额小数点或者百分比有明显错位的，以开标一览表的总价为准，并修改单价；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24.5.4总价金额与按单价汇总金额不一致的，以单价金额计算结果为准。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24.6除上述情形外，对投标文件的判定，只依据投标文件本身，不依靠开标后的任何外来证明。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24.7采购代理机构将拒绝被确定为非实质性响应的投标，投标人不能通过修正或撤销不符之处而使其投标成为实质性响应的投标。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投标的澄清、说明或纠正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25.2投标人对投标文件的澄清不得改变投标的价格（校核时发现的算术错误除外）及实质内容。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25.3评审中需要供应商进行澄清的通知会通过苏采云系统发出，供应商应及时登录采购系统查看澄清要求并在规定的时间内按要求进行线上答复，否则视为未实质性响应。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据投标（响应）供应商不能提供书面说明、证明材料，或者提供的书面说明、证明材料不能证明其报价合理性的，评审委员会应当将其作为无效投标（响应）处理。由评标委员会根据专业经验，参考同类项目中标（成交）价格、类似产品市场价格水平、行业人工费用标准、国家有关部门指导行业协会发布的行业平均成本</w:t>
      </w:r>
      <w:r>
        <w:rPr>
          <w:rFonts w:ascii="SimSun" w:hAnsi="SimSun" w:eastAsia="SimSun" w:cs="SimSun"/>
          <w:b/>
          <w:color w:val="000000"/>
          <w:sz w:val="24"/>
        </w:rPr>
        <w:t xml:space="preserve">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 在招标过程中，出现下列情况之一的，应予废标：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27.1.1进入评审的实质响应的供应商不足三家的；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27.1.2出现影响采购公正的违法、违规行为的；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27.1.3投标人的报价均超过了采购预算的，采购方不能支付的；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27.1.4因重大变故，采购任务取消的；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27.2 废标后，采购人将把废标的理由通知所有投标人。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投标文件的评价和比较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28.1评标委员会将仅对按照本须知有关规定确定为实质性响应招标文件要求的投标文件进行评价和比较。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评价和比较采用综合评分法，评委会严格按照招标文件的规定要求、条件、评分标准，对投标人所提供货物或服务的先进性、可靠性、售后服务承诺、质量保证承诺等实质性响应内容进行比较评价。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中标单位的确认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29.1中标人的数量：1个。</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29.2评标委员会根据投标人资格审查情况，对投标文件进行评价和比较，按照评标办法和标准进行评标推荐中标候选人。评标委员会有权评定中标人，同时也有权拒绝任何或所有投标人中标。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标结果按评审后得分由高到低顺序排列。得分相同的，按投标报价由低到高顺序排列。得分且投标报价相同的并列，则由评标委员会以抽签方式确定中标候选人。投标文件满足招标文件全部实质性要求，且按照评审因素的量化指标评审得分最高的投标人为排名第一的中标候选人。</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29.4采购人或者采购代理机构应当自中标人确定之日起2个工作日内，在政府采购信息媒体上发布中标公告，中标公告期限为1个工作日。</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在公告中标结果的同时，采购人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和“评审得分与排序”的电子邮件地址，未按时提供电子邮件地址或提供信息有误的，视为自动放弃并自行承担相应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30.1中标通知书将成为合同的组成部分。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31.2如果乙方未能履行合同规定的任何义务，或因乙方责任应由乙方承担的赔偿或违约金支付未完成，甲方有权从履约保证金中取得补偿。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31.3履约保证金（无息）将在乙方履行完合同义务一个月内，凭乙方的收款收据退还余款给乙方。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31.4甲方逾期退还履约保证金的，乙方有权要求甲方自约定的退还期限届满次日起，每逾期一日，按应退还的履约保证金款项的0.03%支付违约金，直至实际退还之日为止。</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31.5乙方擅自解除合同，或因乙方违约导致甲方解除合同，或因乙方违约给甲方造成重大损失时，履约保证金不予退还。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32.1采购人应当自中标通知书发出之日起15日内，按照招标文件和中标人投标文件的规定，与中标人签订书面合同。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政府采购合同的双方当事人不得擅自变更、中止或者终止合同。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32.3政府采购合同继续履行将损害国家利益和社会公共利益的，双方当事人应当变更、中止或者终止合同。有过错的一方应当承担赔偿责任，双方都有过错的，各自承担相应的责任。</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32.4采购人在合同签订后，可以增加与合同标的相同的服务，在不改变合同其他条款的前提下，可以与投标人协商签订补充合同，但所有补充合同的采购金额不得超过原合同采购金额的百分之十。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33.4供应商提出质疑应当提交质疑函、交易文件下载确认单和必要的证明材料。质疑函应当包括下列内容：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33.11质疑联系方式详见采购公告。</w:t>
      </w:r>
      <w:r/>
    </w:p>
    <w:p>
      <w:pPr>
        <w:ind w:left="17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（1）针对中小型企业的评审：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的相关规定，供应商认定本企业提供的货物、工程或服务符合上述文件规定情形，供应商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的不享受相关扶持政策。服务类项目中供应商若使用退休人员，将不享受相关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服务由中小企业承接。如供应商属于小型或微型企业，对小型和微型企业的价格给予20%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根据《政府采购促进中小企业发展管理办法》（财库〔2020〕46号）及《中小企业划型标准规定》（工信部联企业〔2011〕300号），本采购项目对应的中小企业划分标准所属行业为：其他未列明行业（社会工作）。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根据《国务院办公厅关于在政府采购中实施本国产品标准及相关政策的通知》（国办发</w:t>
      </w:r>
      <w:r>
        <w:rPr>
          <w:rFonts w:ascii="SimSun" w:hAnsi="SimSun" w:eastAsia="SimSun" w:cs="SimSun"/>
          <w:color w:val="000000"/>
          <w:sz w:val="24"/>
        </w:rPr>
        <w:t xml:space="preserve">〔</w:t>
      </w:r>
      <w:r>
        <w:rPr>
          <w:rFonts w:ascii="SimSun" w:hAnsi="SimSun" w:eastAsia="SimSun" w:cs="SimSun"/>
          <w:b/>
          <w:color w:val="000000"/>
          <w:sz w:val="24"/>
        </w:rPr>
        <w:t xml:space="preserve">2025</w:t>
      </w:r>
      <w:r>
        <w:rPr>
          <w:rFonts w:ascii="SimSun" w:hAnsi="SimSun" w:eastAsia="SimSun" w:cs="SimSun"/>
          <w:color w:val="000000"/>
          <w:sz w:val="24"/>
        </w:rPr>
        <w:t xml:space="preserve">〕</w:t>
      </w:r>
      <w:r>
        <w:rPr>
          <w:rFonts w:ascii="SimSun" w:hAnsi="SimSun" w:eastAsia="SimSun" w:cs="SimSun"/>
          <w:b/>
          <w:color w:val="000000"/>
          <w:sz w:val="24"/>
        </w:rPr>
        <w:t xml:space="preserve">34号）的规定，本项目为服务类项目，本项目不涉及属于采购本国产品政策支持范围内的产品</w:t>
      </w:r>
      <w:r>
        <w:rPr>
          <w:rFonts w:ascii="SimSun" w:hAnsi="SimSun" w:eastAsia="SimSun" w:cs="SimSun"/>
          <w:color w:val="000000"/>
          <w:sz w:val="24"/>
        </w:rPr>
        <w:t xml:space="preserve">。</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代理服务费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35.1中标单位须按前附表的规定计算并支付代理服务费，该费用应在中标通知书发出时付清。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35.2中标单位如果未按规定缴纳代理服务费，采购人或采购代理机构保留诉讼的权利。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，投标方可根据自身情况进行补充和修改，但补充和修改不得造成与本格式内容有实质性的违背。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号采购文件，经仔细阅读和研究，我们决定参加投标，并承诺如下：</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招标项目的所有内容，我们的投标报价包括但不限于完成本项目所需全部人工费、材料、机械、消耗品、管理、维护、保险、利润、税金、通讯器材、办公设备、国家规定的社会保障基金、各种税费、保险、劳保、政策性文件规定及合同包含的所有风险、责任等各项应有费用。我单位的投标报价为最终报价，除非因特殊原因并经双方协商同意，我单位不再要求追加任何费用。我单位所报价格在合同实施期间不因市场变化因素而变动，政策性条款例外。</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2.如果我们的投标书被接受，我们将严格履行招标文件中规定的每一项要求，严格履行合同的责任和义务，保证按期、按质履行合同，完成服务的全部工作。</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8.我们同意中标方若无法按约定条款履行义务等行为，招标方有权取消我们的中标资格，并可就因我方未能履约而导致采购方损失的向我方进行索赔。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9.如果我们中标，我们愿意按前附表规定的收费标准支付中标服务费，逾期按中国人民银行公布的同期人民币贷款最高利率计付利息；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1"/>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号的投标活动。授权代表在投标活动过程中所签署的一切文件和处理与这有关的一切事务，我均予以承认。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授权代表在授权委托书有效期内签署的所有文件不因授权委托的撤销而失效，除非有撤销授权委托的书面通知，本授权委托书自投标活动开始至合同履行完毕止。</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0"/>
        <w:gridCol w:w="4111"/>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投标报价（元）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26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投标总价（元）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大写：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1915"/>
        <w:gridCol w:w="1009"/>
        <w:gridCol w:w="1443"/>
        <w:gridCol w:w="1731"/>
        <w:gridCol w:w="1427"/>
      </w:tblGrid>
      <w:tr>
        <w:trPr>
          <w:trHeight w:val="7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bl>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注：本次投标报价包含代理服务费。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格式五、人员配备一览表</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734"/>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专业资格证书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（2）拟投入本项目的负责人简历表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w:t>
            </w:r>
            <w:r>
              <w:rPr>
                <w:rFonts w:ascii="SimSun" w:hAnsi="SimSun" w:eastAsia="SimSun" w:cs="SimSun"/>
                <w:color w:val="000000"/>
                <w:sz w:val="21"/>
              </w:rPr>
              <w:t xml:space="preserve"> </w:t>
            </w:r>
            <w:r>
              <w:rPr>
                <w:rFonts w:ascii="SimSun" w:hAnsi="SimSun" w:eastAsia="SimSun" w:cs="SimSun"/>
                <w:color w:val="000000"/>
                <w:sz w:val="22"/>
              </w:rPr>
              <w:t xml:space="preserve">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w:t>
            </w:r>
            <w:r>
              <w:rPr>
                <w:rFonts w:ascii="SimSun" w:hAnsi="SimSun" w:eastAsia="SimSun" w:cs="SimSun"/>
                <w:color w:val="000000"/>
                <w:sz w:val="21"/>
              </w:rPr>
              <w:t xml:space="preserve"> </w:t>
            </w:r>
            <w:r>
              <w:rPr>
                <w:rFonts w:ascii="SimSun" w:hAnsi="SimSun" w:eastAsia="SimSun" w:cs="SimSun"/>
                <w:color w:val="000000"/>
                <w:sz w:val="22"/>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w:t>
            </w:r>
            <w:r>
              <w:rPr>
                <w:rFonts w:ascii="SimSun" w:hAnsi="SimSun" w:eastAsia="SimSun" w:cs="SimSun"/>
                <w:color w:val="000000"/>
                <w:sz w:val="21"/>
              </w:rPr>
              <w:t xml:space="preserve"> </w:t>
            </w:r>
            <w:r>
              <w:rPr>
                <w:rFonts w:ascii="SimSun" w:hAnsi="SimSun" w:eastAsia="SimSun" w:cs="SimSun"/>
                <w:color w:val="000000"/>
                <w:sz w:val="22"/>
              </w:rPr>
              <w:t xml:space="preserve"> 要</w:t>
            </w:r>
            <w:r>
              <w:rPr>
                <w:rFonts w:ascii="SimSun" w:hAnsi="SimSun" w:eastAsia="SimSun" w:cs="SimSun"/>
                <w:color w:val="000000"/>
                <w:sz w:val="21"/>
              </w:rPr>
              <w:t xml:space="preserve"> </w:t>
            </w:r>
            <w:r>
              <w:rPr>
                <w:rFonts w:ascii="SimSun" w:hAnsi="SimSun" w:eastAsia="SimSun" w:cs="SimSun"/>
                <w:color w:val="000000"/>
                <w:sz w:val="22"/>
              </w:rPr>
              <w:t xml:space="preserve"> 经</w:t>
            </w:r>
            <w:r>
              <w:rPr>
                <w:rFonts w:ascii="SimSun" w:hAnsi="SimSun" w:eastAsia="SimSun" w:cs="SimSun"/>
                <w:color w:val="000000"/>
                <w:sz w:val="21"/>
              </w:rPr>
              <w:t xml:space="preserve"> </w:t>
            </w:r>
            <w:r>
              <w:rPr>
                <w:rFonts w:ascii="SimSun" w:hAnsi="SimSun" w:eastAsia="SimSun" w:cs="SimSun"/>
                <w:color w:val="000000"/>
                <w:sz w:val="22"/>
              </w:rPr>
              <w:t xml:space="preserve">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w:t>
            </w:r>
            <w:r>
              <w:rPr>
                <w:rFonts w:ascii="SimSun" w:hAnsi="SimSun" w:eastAsia="SimSun" w:cs="SimSun"/>
                <w:color w:val="000000"/>
                <w:sz w:val="21"/>
              </w:rPr>
              <w:t xml:space="preserve"> </w:t>
            </w:r>
            <w:r>
              <w:rPr>
                <w:rFonts w:ascii="SimSun" w:hAnsi="SimSun" w:eastAsia="SimSun" w:cs="SimSun"/>
                <w:color w:val="000000"/>
                <w:sz w:val="22"/>
              </w:rPr>
              <w:t xml:space="preserve">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附件六、服务要求对照偏离表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服务要求对照偏离表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961"/>
        <w:gridCol w:w="1766"/>
        <w:gridCol w:w="1569"/>
        <w:gridCol w:w="1853"/>
        <w:gridCol w:w="98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格式七、商务条款偏离表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3243"/>
        <w:gridCol w:w="2154"/>
        <w:gridCol w:w="2026"/>
        <w:gridCol w:w="961"/>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格式八、类似业绩一览表</w:t>
      </w:r>
      <w:r/>
    </w:p>
    <w:p>
      <w:pPr>
        <w:ind w:left="0" w:right="0" w:firstLine="3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类似业绩一览表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格式九、资格证明文件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7"/>
        <w:gridCol w:w="1788"/>
        <w:gridCol w:w="1446"/>
        <w:gridCol w:w="2049"/>
        <w:gridCol w:w="1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21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注：投标单位应当按实填写所有与之有控股、管理关系的情况。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其他未列明行业（社会工作）</w:t>
      </w:r>
      <w:r>
        <w:rPr>
          <w:rFonts w:ascii="SimSun" w:hAnsi="SimSun" w:eastAsia="SimSun" w:cs="SimSun"/>
          <w:color w:val="000000"/>
          <w:sz w:val="24"/>
        </w:rPr>
        <w:t xml:space="preserve">；承建（承接）企业为  </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（中型企业、小型企业、微型企业，三者选一填写）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7.中标单位为中小微企业的，《中小企业声明函》将随中标结果同时公告。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注：提供的残疾人福利性单位声明函须加盖有公章的彩色扫描件上传至电子投标文件中（如属于）。否则不可享受相应扶持政策。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第四章 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江苏京苏项目管理咨询有限公司作为招标代理机构，受苏州工业园区娄葑街道办事处的委托，就其所需的2026年娄葑街道社工站(室)运营项目进行国内公开招标。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：JSZC-320591-PMJS-G2026-0024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二、招标项目：</w:t>
      </w:r>
      <w:r>
        <w:rPr>
          <w:rFonts w:ascii="SimSun" w:hAnsi="SimSun" w:eastAsia="SimSun" w:cs="SimSun"/>
          <w:color w:val="000000"/>
          <w:sz w:val="24"/>
        </w:rPr>
        <w:t xml:space="preserve">2026年娄葑街道社工站(室)运营项目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三、采购预算：</w:t>
      </w:r>
      <w:r>
        <w:rPr>
          <w:rFonts w:ascii="SimSun" w:hAnsi="SimSun" w:eastAsia="SimSun" w:cs="SimSun"/>
          <w:color w:val="000000"/>
          <w:sz w:val="24"/>
        </w:rPr>
        <w:t xml:space="preserve">人民币贰佰壹拾万元整（¥：2100000.00元）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民政部及江苏省、苏州市、苏州工业园区相继出台专项工作部署，明确要求加快社工站规范化、专业化建设，推动专业社会工作深度嵌入基层治理。娄葑街道严格对标上级要求，将社工站（室）建设作为提升基层服务效能、深化社区精细化治理的核心抓手，持续深耕推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娄葑街道社会工作站作为街道级枢纽平台，以“幸福六个一”为服务品牌，构建形成“党建引领、常态运营、治理创新”三位一体的成熟工作体系。社工站立足专业赋能定位，系统开展社工人才培育与社区社会组织孵化协助，整合搭建辖区多元服务资源库，推动形成党建带社建、站室协同联动的工作格局；以社区微治理大赛为实践载体，搭建全链条培育平台，以“焦点治理”有效激发社区多元主体参与治理的内生动力。与此同时，街道深化特色社工室片区化建设，提炼推广各社区社工室优秀经验，聚焦“一老一小一新一青一志”多领域，持续扩大示范社工室服务辐射范围，深</w:t>
      </w:r>
      <w:r>
        <w:rPr>
          <w:rFonts w:ascii="SimSun" w:hAnsi="SimSun" w:eastAsia="SimSun" w:cs="SimSun"/>
          <w:color w:val="000000"/>
          <w:sz w:val="24"/>
        </w:rPr>
        <w:t xml:space="preserve">入开展个案、小组、志愿服务、队伍建设等体系化专业服务，推动社工服务提质扩面。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以社工站规范化、专业化建设为核心，依托街道社工站枢纽平台与社区社工室服务终端推动专业社会工作深度嵌入基层治理。社工站不断完善党建工作，整合辖区多元服务资源搭建资源库；同时发挥专业赋能职能，系统协助社工人才与社区社会组织建设，以及以社区需求为导向，以社区微治理大赛为载体，以公共性和公益性为目标因地制宜开展焦点治理服务。此外推进特色社工室片区化建设，复制推广优秀建设经验以扩大示范服务辐射范围，依托社工室常态化开展个案辅导、小组工作、志愿服务、队伍建设等体系化专业服务，关注不同人群需求，推动社工服务下沉社区、</w:t>
      </w:r>
      <w:r>
        <w:rPr>
          <w:rFonts w:ascii="SimSun" w:hAnsi="SimSun" w:eastAsia="SimSun" w:cs="SimSun"/>
          <w:color w:val="000000"/>
          <w:sz w:val="24"/>
        </w:rPr>
        <w:t xml:space="preserve">精准触达居民。</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项目指标</w:t>
      </w:r>
      <w:r/>
    </w:p>
    <w:p>
      <w:pPr>
        <w:numPr>
          <w:ilvl w:val="0"/>
          <w:numId w:val="6"/>
        </w:numP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社会工作站服务内容及指标</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1429"/>
        <w:gridCol w:w="4162"/>
        <w:gridCol w:w="2500"/>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服务板块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服务指标</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党建引领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主题党日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积极落实支部建在站上的行动，通过开展日常主题党日活动、三会一课等，发挥社工站党支部在基层社会工作服务与资源联动的整合作用和先锋带领作用，并从协助社区品牌更新、大型品牌活动着手不断渗透专业，做到“双融双促”，将党建工作与基层服务有效融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党建主题活动12次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社区品牌规划4次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品牌活动3次</w:t>
            </w:r>
            <w:r/>
          </w:p>
        </w:tc>
      </w:tr>
      <w:tr>
        <w:trPr>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平台运营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维护社工站现有阵地空间资源，常态化运营开展，结合社工站的考评节点，开展社会工作站的迎检、督查和评估等工作。同时，结合实际积极参与评奖评优，并进行综合性宣传，提升社工站的影响力。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月刊12份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案例输出2个</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宣传报道不少于20篇</w:t>
            </w:r>
            <w:r/>
          </w:p>
        </w:tc>
      </w:tr>
      <w:tr>
        <w:trPr>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资源整合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发挥社工站资源枢纽职能，积极挖掘内外部资源，并畅通资源对接渠道，关注困难人群需求，吸纳社会慈善资源。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微心愿1次</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专业赋能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参访学习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持续聚焦社区党组织书记、一线工作人员能力培育与职业成长，搭建常态化学习交流平台，组织外出参访调研，对标先进地区社区治理典型案例，学习借鉴基层治理、为民服务、品牌打造等方面成熟做法与创新经验，推动先进理念转化为社区治理实操举措，不断夯实基层工作队伍综合素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外出参访1次</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社工培训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街道针对社工、社区工作者、政务服务窗口工作人员等，提供专业赋能培训、业务督导、台账规范指导、专项工作协办、，提升其专业能力和服务水平。培训内容包括应急管理、实务操作、心理辅导技巧等（根据实际调整课程），确保新社工能够快速融入工作环境并发挥作用，并协助街道社工增能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新社工培训4场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协助街道社工增能活动4次</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攻坚协助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社区攻坚项目的治理难点与民生需求，依托社会工作专业理念与方法，配合街道、社区开展攻坚工作，协助建立社区能力库，系统梳理和整合社区内的人力、物力、组织及文化资源，帮助社区骨干挖掘与培育，分类建档，定期培训赋能。梳理社区内人、财、物、组织、文化五类资源，形成动态更新的社区资源清单，协助社区社会组织注册备案，提供财务管理、项目策划等内部资源短缺时积极链接企业、高校等外部资源，为社区治理提供持续内生动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项目周期内围绕攻坚项目开展专家支持、资源链接、案例优化、赋能培训等不少于16次。</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在街道统筹指导下，以条线联动、资源互通、服务协同为导向，开展区域综合为老服务中心的专业化支持。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完善站点社工能力提升清单并开展系统赋能6场；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形成为老服务课程清单，并开展区域化为老服务示范活动6场；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协助支持娄葑街道综合为老服务品牌建设。</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社会组织规范化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更好地规范社会组织内部管理，拓宽内部运营思维，同时挖掘优秀社会组织，更好地发挥它们的能力，促进社会组织事业的发展，社工站从园区社会组织管理出发，提供年检、等级评估、变更、注销等规范化工作协助，并在日常咨询中提供资源嫁接、解难答疑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形成年检、换届、注销协助记录表1份</w:t>
            </w:r>
            <w:r/>
          </w:p>
        </w:tc>
      </w:tr>
      <w:tr>
        <w:trPr>
          <w:trHeight w:val="19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焦点治理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第二届社志融合微治理项目大赛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通过组织开展项目申报—遴选—优化—提升—赋能—监管—评估等流程开展微新治理大赛，聚焦本土组织能力提升为目标，助力社会组织参与社区治理、提升多元主体参与社区治理的能力。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项目申报动员1次（包括需求征集和项目征集）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项目评审会1次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项目签约说明会1次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项目过程监管至少16次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项目结项评估说明1次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项目结项评审会1次</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numPr>
          <w:ilvl w:val="0"/>
          <w:numId w:val="6"/>
        </w:numP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社会工作室服务内容及指标</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2"/>
        <w:gridCol w:w="1391"/>
        <w:gridCol w:w="4147"/>
        <w:gridCol w:w="2524"/>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服务板块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服务指标</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个案工作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提供入户探访、心理评测、个案服务、资源链接、危机干预、朋辈支持等服务。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项目周期内开展个案或个案管理不少于8个</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小组工作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聚焦人群需求，针对至少两类群体开展不少于4个小组。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小组不少于4个。</w:t>
            </w:r>
            <w:r/>
          </w:p>
        </w:tc>
      </w:tr>
      <w:tr>
        <w:trPr>
          <w:trHeight w:val="1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特色社工室服务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全龄段大健康服务主题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辖区人口老龄化、居民健康意识薄弱等现实困境，打造健康主题的服务品牌，以预防性介入思路构建覆盖全生命周期、分层分类的闭环式大健康专业服务体系。面向老年、青年、青少年群体分别提供康养照护、情绪调适、成长引导等精准服务；联动医疗、教育、公益等多方资源搭建健康公益平台，培育本土健康志愿队伍；同步为特殊需求居民开展精准个案帮扶，形成“分层服务+资源联动+志愿支撑+精准兜底”的全周期服务模式，实现“老有康养、青有解压、小有健心”的服务目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围绕不同年龄段的健康主题活动、宣传市集等不少于20场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“邻里+”为老服务主题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社区老年人口占比较高，养老服务需求日益凸显问题，深化“邻里+”互助志愿增能服务，对高龄长者需求进行摸排建档、扩容招募与管理志愿队伍、开展养老服务技能系列培训与参访学习，设计并落地个性化养老服务方案与文化活动，落实志愿队伍激励表彰机制及社区养老互助品牌打造等全流程专业服务，构建可复制、可长效运营的邻里养老互助服务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开展长期走访、志愿服务提升、互助文化市集等活动不少于20场</w:t>
            </w:r>
            <w:r/>
          </w:p>
        </w:tc>
      </w:tr>
      <w:tr>
        <w:trPr>
          <w:trHeight w:val="4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老年友好服务主题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度推进老年友好社区打造，围绕“服务友好、参与友好、信息友好”三维构建特色服务优势。整合老年高频服务需求，将老年服务嵌入社区“精网微格”治理体系，挖掘“银龄微网格员”，拓展志愿服务场景，完善参与激励机制；同时细化养老服务网格实现需求“一图知晓”，开设“银龄数字课程”破解老年人就医挂号、信息辨别等数字应用难题，全方位打造适配老年群体的友好社区生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结合“精网微格”建设要求与老年友好社区服务要求，开展志愿服务提升、长效运行机制探索等服务不少于20场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银龄手作服务主题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足社区银发群体社会参与需求，以公益自造血为核心方向，进一步培育“银发巧匠”志愿队伍，通过系统化手作技能培训与组织能力建设实现队伍赋能；推动手工作品向标准化、创意化升级，夯实市场接受度与公益变现基础；打通“作品—商品”转化链路，依托多形式活动实现公益资金造血；同步搭建覆盖队伍管理、资金流转、慈善反哺的闭环机制，打造“银龄小铺”概念载体，完善志愿激励与产品溯源规则，保障公益金精准回馈民生；最终探索“银发+造血”差异化模式，形成自造血机制探索报告，为同类社区提供可复制的实践样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围绕商品开发、自造血机制探索等主题开展服务不少于20场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老年空间活化主题服务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锚定老年服务提升核心定位，以闲置老年活动室升级改造为抓手，打造综合性银龄康养服务枢纽。通过培育“银龄守望”志愿服务队与银龄自治小组，构建服务自主运转循环；搭建“信息管理、精准帮扶、资源嵌入、文化服务”四维服务体系，实现“安全可依、健康可护、情感可寄、记忆可循”的守护目标，打造差异化为老服务品牌，推动从“物理空间改造”向“服务生态重塑”的深度跨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围绕空间管理开展队伍组建、配套制度等开展服务不少于20场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新业态群体社区融合共治服务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新业态群体服务与治理需求，深化新业态服务品牌化建设，打造全年周期服务体系，按月推出主题化暖新服务，形成全年常态化服务闭环；搭建小哥议事协商、社区共治参与平台，以“人员招募、机制搭建、服务赋能、选拔典型”四维培育为核心，推动骑手群体从“路人”转变为“社区共治合伙人”；同步设置法律维权、心理关爱双专业咨询窗口，以预约制定期面向新业态群体开放，构建周期化、系统化、专业化的新业态服务治理格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开设法律专业咨询、心理关爱、治理合伙人等暖新服务不少于20场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青少年心理健康服务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一步深化社区“家校社企共育平台”品牌影响力，聚焦青少年心理健康与小微矛盾预防，以“青少年解压”为切入点，构建“空间营造+活动赋能+个案支持”三位一体模式。探索“社区组织+企业资源+学校支持+专业帮扶”四方联动机制，形成“活动观察—需求识别—个案跟进”闭环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开展氛围升级布置、解压活动、心理咨询等服务不少于20场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邻里互助共治服务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党建引领+空间塑形+社志融合+邻里共治为核心，围绕空间微更新、邻里强自治、韧性育未来方向，依托“一平米家园计划”开展协商议事、空间共创、邻里集市等服务；深化社志融合，梳理能人库、培育社团主理人，探索邻里互助低偿模式；依托“韧性小孩”微空间开设心理健康课程，打造复合型社区治理特色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开展能人挖掘、邻里低偿服务探索、青少年服务等活动不少于20场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党建引领精网微格社区共治服务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托社区活动阵地，结合党建“精网微格”治理体系，在已有社团基础上持续挖掘手工、书画、调解等领域的居民能人，建立能人库；孵化培育新的自治社团，推动社团自主维系、常态化开展服务；并丰富资源对接渠道，建立积分双向兑换机制，形成标准化服务清单，积极发挥能人特长开展主题活动，构建党建引领、网格赋能、多元协同的社区治理特色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围绕能人库建立、治理参与、宣传深入等服务开展不少于20场</w:t>
            </w:r>
            <w:r/>
          </w:p>
        </w:tc>
      </w:tr>
      <w:tr>
        <w:trPr>
          <w:trHeight w:val="1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社志商融合共生计划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商圈内停车场、闲置角落等群众关切的痛点空间开展微更新，邀请儿童参与创意设计、组织居民投票优选方案，联动商户出资赞助、志愿者动手彩绘落地，共同盘活低效空间；常态化开展主题公益日活动，由商户轮值牵头、志愿者统筹运营，打造益市集、益舞台、益学堂、益挑战多元服务场景，持续供给便民公益内容；同步搭建积分体系，志愿者参与服务、居民投身共建、商户提供物资场地等资源支持均可获得益币，积分可在商圈内进行兑换，以积分纽带激活多方主体，真正实现企业、居民、社会组织在商圈内共建、共治、共享、共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开展商圈公益服务挖掘、微空间改造等服务不少于20场</w:t>
            </w:r>
            <w:r/>
          </w:p>
        </w:tc>
      </w:tr>
    </w:tbl>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拟投入人员配备要求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组建接受过一定的专业训练，具备相应的服务能力和经验的9人及以上项目团队，团队人员须具备社工站（室）统筹管理经验、社区工作服务经验以及持有社会工作师证书。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1、投标单位按以上要求制定出具体的工作方案，达到的标准，提供的人力、物力。响应单位所提供的服务能够至少达到以上要求，同时明确详细的服务方案。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2、供应商必须承诺采购文件中提出的全部要求，如果其中某些条款不响应时，应在文件中逐条列出，未列出的视同响应。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3、供应商应对所投项目的全部内容进行报价，只投其中部分内容者，其投标文件将被拒绝；采购方不接受可选择性的报价方案。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4、中标后，本项目服务人员在服务期间原则上不允许更换，如确实需要更换的，必须至少提前一个月跟采购人报备，更换后的人员同样须在本单位缴纳社保，否则采购人有权终止合同。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5、服务期间，采购人有权不定期抽查服务人员与成交单位的雇佣关系，如发现有增减人员未报备采购人的情况，采购人有权终止合同。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总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全部服务的费用应包括完成该项工作所需的所有服务管理费、人工费用(基本工资、绩效工资、全年福利，年终奖金等)、服务所需配套设备、其它临时性杂项应急服务费、保险、利润、税金以及投标人企业利润和政策性文件规定及合同包含的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8、中标单位必须严格按照国家法律法规相关规定，进行各项工作安排，杜绝安全事故发生（包括：人员安排、工作安排以及合法用工等）。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9、如遇特殊情况，服务中止，合同服务期顺延。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10、采购人与中标单位不发生任何劳动和雇佣关系，项目人员由中标单位自行管理，并应遵守安全操作规章制度，若发生人身伤害等工伤事故，由中标单位自负，与采购人无涉。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11.1中标单位因完成本项目而产生的知识产权属采购人所有，未经采购人书面同意，无论是否被采购人所采用，中标单位不得以任何方式向任何第三方提供也不得用于本项目以外的用途。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11.2采购人提供的所有资料文件，中标单位负有保密义务，未经采购人书面同意，不得以任何方式向任何第三方提供。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11.3中标单位为本项目而引用、收集其他社会上的文件、软件所涉及的知识产权费用和法律纠纷由中标单位自行负责。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中标单位确认其设计中所使用的字体、图片、音乐等设计元素已获得权利方授权，不侵犯第三人合法权益，如因中标单位使用的设计元素侵犯他人知识产权的行为而引起的索赔或诉讼，中标单位应承担全部责任，并保障采购人免于承担由此造成的一切损害和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12、付款方式：详见合同主要条款。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13、若中标单位在服务期间，违反下列规定将被解除服务合同，并扣除剩余待支付费用：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13.1严禁将服务转包他人。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13.2出现重大责任问题。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13.3泄露相关保密信息。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14、中标单位对服务缺陷不予更正，采购人有权另请其他单位更正，所发生的费用由中标单位承担。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15、中标单位工作人员在岗履行职责期间（包括上下班途中），发生自身的人身伤害、伤亡，均由中标单位负责处理并承担经济和道义上的责任，采购单位不承担任何责任。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中标单位需严格按采购单位规定的时间完成项目的全部工作内容，如在实施的过程中出现错误，误差，需负责及时更正直至采购单位确认，并经主管部门验收合格，中标单位在项目进行过程中产生的任何安全、损坏等责任事故一律由中标单位自行承担。如遇突发情况，中标单位需协助采购单位完成需要中标单位配合的服务。</w:t>
      </w:r>
      <w:r/>
    </w:p>
    <w:p>
      <w:pPr>
        <w:ind w:left="0" w:right="0" w:firstLine="480"/>
        <w:spacing w:before="240" w:after="240" w:line="85" w:lineRule="atLeast"/>
        <w:tabs>
          <w:tab w:val="left" w:pos="4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17、服务期限：以采购单位通知之日起至2027年12月底</w:t>
      </w:r>
      <w:r>
        <w:rPr>
          <w:rFonts w:ascii="Segoe UI" w:hAnsi="Segoe UI" w:eastAsia="Segoe UI" w:cs="Segoe UI"/>
          <w:color w:val="000000"/>
          <w:sz w:val="24"/>
          <w:highlight w:val="whit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18、服务地点：采购单位指定地点。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19、付款方式：详见合同主要条款。</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20、投标单位具有质量管理、环境管理、信息安全管理、培训管理体系内控制度</w:t>
      </w:r>
      <w:r>
        <w:rPr>
          <w:rFonts w:ascii="SimSun" w:hAnsi="SimSun" w:eastAsia="SimSun" w:cs="SimSun"/>
          <w:color w:val="000000"/>
          <w:spacing w:val="-7"/>
          <w:sz w:val="24"/>
        </w:rPr>
        <w:t xml:space="preserve">。</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21.1中标单位应按照采购文件的要求提供合格的服务，提供服务均为按国家规格条例的合格正规服务、符合设计规范要求。</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21.2验收标准：完全符合现行国家规范及要求，以验收通过为准。</w:t>
      </w:r>
      <w:r/>
    </w:p>
    <w:p>
      <w:pPr>
        <w:ind w:left="0" w:right="-159"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21.3</w:t>
      </w:r>
      <w:r>
        <w:rPr>
          <w:rFonts w:ascii="SimSun" w:hAnsi="SimSun" w:eastAsia="SimSun" w:cs="SimSun"/>
          <w:color w:val="000000"/>
          <w:sz w:val="24"/>
        </w:rPr>
        <w:t xml:space="preserve">本项目将根据政府采购法及相关法规，《江苏省政府采购履约验收管理办法》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22、凡涉及采购文件的补充说明和修改，均以苏州政府采购网发布的内容为准。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2026年娄葑街道社工站(室)运营</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          （以下简称甲方）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根据《中华人民共和国民法典》有关规定，为明确采购人（甲方）和供应商（乙方）购销过程中的权利、义务和经济责任，经双方友好协商，甲乙双方就</w:t>
      </w:r>
      <w:r>
        <w:rPr>
          <w:rFonts w:ascii="SimSun" w:hAnsi="SimSun" w:eastAsia="SimSun" w:cs="SimSun"/>
          <w:color w:val="0000ff"/>
          <w:sz w:val="24"/>
          <w:u w:val="single"/>
        </w:rPr>
        <w:t xml:space="preserve">2026年娄葑街道社工站(室)运营</w:t>
      </w:r>
      <w:r>
        <w:rPr>
          <w:rFonts w:ascii="SimSun" w:hAnsi="SimSun" w:eastAsia="SimSun" w:cs="SimSun"/>
          <w:color w:val="000000"/>
          <w:sz w:val="24"/>
          <w:u w:val="single"/>
        </w:rPr>
        <w:t xml:space="preserve">项目</w:t>
      </w:r>
      <w:r>
        <w:rPr>
          <w:rFonts w:ascii="SimSun" w:hAnsi="SimSun" w:eastAsia="SimSun" w:cs="SimSun"/>
          <w:color w:val="000000"/>
          <w:sz w:val="24"/>
        </w:rPr>
        <w:t xml:space="preserve">事宜，采购编号：</w:t>
      </w:r>
      <w:r>
        <w:rPr>
          <w:rFonts w:ascii="SimSun" w:hAnsi="SimSun" w:eastAsia="SimSun" w:cs="SimSun"/>
          <w:color w:val="000000"/>
          <w:sz w:val="24"/>
          <w:u w:val="single"/>
        </w:rPr>
        <w:t xml:space="preserve"> JSZC-320591-PMJS-G2026-0024，</w:t>
      </w:r>
      <w:r>
        <w:rPr>
          <w:rFonts w:ascii="SimSun" w:hAnsi="SimSun" w:eastAsia="SimSun" w:cs="SimSun"/>
          <w:color w:val="000000"/>
          <w:sz w:val="24"/>
        </w:rPr>
        <w:t xml:space="preserve">签订本合同书。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一、合同的标的物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w:t>
      </w:r>
      <w:r>
        <w:rPr>
          <w:rFonts w:ascii="SimSun" w:hAnsi="SimSun" w:eastAsia="SimSun" w:cs="SimSun"/>
          <w:color w:val="0000ff"/>
          <w:sz w:val="24"/>
          <w:u w:val="single"/>
        </w:rPr>
        <w:t xml:space="preserve">2026年娄葑街道社工站(室)运营</w:t>
      </w:r>
      <w:r>
        <w:rPr>
          <w:rFonts w:ascii="SimSun" w:hAnsi="SimSun" w:eastAsia="SimSun" w:cs="SimSun"/>
          <w:color w:val="000000"/>
          <w:sz w:val="24"/>
          <w:u w:val="single"/>
        </w:rPr>
        <w:t xml:space="preserve">项目</w:t>
      </w:r>
      <w:r>
        <w:rPr>
          <w:rFonts w:ascii="SimSun" w:hAnsi="SimSun" w:eastAsia="SimSun" w:cs="SimSun"/>
          <w:color w:val="000000"/>
          <w:sz w:val="24"/>
        </w:rPr>
        <w:t xml:space="preserve">服务工作。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2、服务期限：以采购单位通知之日起至2027年12月底。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3、服务内容及要求：详见采购文件。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③乙方中标的投标书；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④乙方在招投标过程中所作的其它承诺、声明、书面澄清等。</w:t>
      </w:r>
      <w:r/>
    </w:p>
    <w:p>
      <w:pPr>
        <w:ind w:left="5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二、合同价款与支付</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2.1本合同含税人民币（总价）（大写）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元)</w:t>
      </w:r>
      <w:r>
        <w:rPr>
          <w:rFonts w:ascii="SimSun" w:hAnsi="SimSun" w:eastAsia="SimSun" w:cs="SimSun"/>
          <w:color w:val="000000"/>
          <w:sz w:val="24"/>
        </w:rPr>
        <w:t xml:space="preserve">。合同价格包括完成该项工作所需的所有服务管理费、人工费用(基本工资、绩效工资、全年福利，年终奖金等)、服务所需配套设备、其它临时性杂项应急服务费、保险、利润、税金以及投标人企业利润和政策性文件规定及合同包含的各项应有费用</w:t>
      </w:r>
      <w:r>
        <w:rPr>
          <w:rFonts w:ascii="SimSun" w:hAnsi="SimSun" w:eastAsia="SimSun" w:cs="SimSun"/>
          <w:color w:val="0000ff"/>
          <w:sz w:val="24"/>
          <w:u w:val="single"/>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2.2付款方式：</w:t>
      </w:r>
      <w:r>
        <w:rPr>
          <w:rFonts w:ascii="SimSun" w:hAnsi="SimSun" w:eastAsia="SimSun" w:cs="SimSun"/>
          <w:color w:val="000000"/>
          <w:sz w:val="24"/>
          <w:u w:val="none"/>
        </w:rPr>
        <w:t xml:space="preserve">合同生效后30个日历天内，甲方向乙方支付合同价的50%作为预付款，结项评估合格后30个日历天内，甲方支付合同</w:t>
      </w:r>
      <w:r>
        <w:rPr>
          <w:rFonts w:ascii="SimSun" w:hAnsi="SimSun" w:eastAsia="SimSun" w:cs="SimSun"/>
          <w:color w:val="0000ff"/>
          <w:sz w:val="24"/>
          <w:u w:val="single"/>
        </w:rPr>
        <w:t xml:space="preserve">剩余款项</w:t>
      </w:r>
      <w:r>
        <w:rPr>
          <w:rFonts w:ascii="SimSun" w:hAnsi="SimSun" w:eastAsia="SimSun" w:cs="SimSun"/>
          <w:color w:val="000000"/>
          <w:sz w:val="24"/>
        </w:rPr>
        <w:t xml:space="preserve">。</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注：上述付款方式可在甲乙双方签订合同时根据《</w:t>
      </w:r>
      <w:r>
        <w:rPr>
          <w:rFonts w:ascii="SimSun" w:hAnsi="SimSun" w:eastAsia="SimSun" w:cs="SimSun"/>
          <w:color w:val="000000"/>
          <w:sz w:val="24"/>
          <w:u w:val="none"/>
        </w:rPr>
        <w:t xml:space="preserve">苏财购[2020]42号</w:t>
      </w:r>
      <w:r>
        <w:rPr>
          <w:rFonts w:ascii="SimSun" w:hAnsi="SimSun" w:eastAsia="SimSun" w:cs="SimSun"/>
          <w:color w:val="000000"/>
          <w:sz w:val="24"/>
        </w:rPr>
        <w:t xml:space="preserve">》文件相关内容进行调整。</w:t>
      </w:r>
      <w:r/>
    </w:p>
    <w:p>
      <w:pPr>
        <w:ind w:left="0" w:right="57"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2.3根据现行税法对甲方征收的与本合同有关的一切税费均由甲方承担；根据现行税法对乙方征收的与本合同有关的一切税费均由乙方承担。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2.4支付方式：银行转账、银行汇票或转账支票，具体支付方式甲方有权根据财务安排自主选择。以甲方实际支付方式为准。付款前，乙方须先向甲方提供确认数量的核准凭证，以甲方具体要求为准。</w:t>
      </w:r>
      <w:r/>
    </w:p>
    <w:p>
      <w:pPr>
        <w:ind w:left="0" w:right="-161"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2.5付款前，乙方需先向甲方提供：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A、合格的发票。</w:t>
      </w:r>
      <w:r/>
    </w:p>
    <w:p>
      <w:pPr>
        <w:ind w:left="0" w:right="-161"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B、结项评估合格后，需方与供方双方验收签属 《政府采购履约验收书（服务类）》。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2.6乙方收款的开户银行名称、地址、账号为：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除双方另有约定外，未经双方书面协商一致，乙方不得擅自变更收款账户信息，也不得转让债权；未经甲方书面同意的债权转让对甲方不发生法律效力，甲方仍有权按照合同约定账户支付费用。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1、甲方指派专人对乙方的的工作进行监督检查，发现质量问题及时要求乙方整改。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2、甲方有权要求乙方遵守甲方的各项管理制度，乙方各项违章行为需承担违约责任。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3、及时支付合同款。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1、乙方必须按甲方的要求进行服务，严格按甲方的指令执行。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2、确保人员及现场的安全，承担由于乙方作业造成事故的一切责任和损失。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若乙方服务行为受到行政处罚，所产生的一切后果由乙方自行承担。</w:t>
      </w:r>
      <w:r>
        <w:rPr>
          <w:rFonts w:ascii="SimSun" w:hAnsi="SimSun" w:eastAsia="SimSun" w:cs="SimSun"/>
          <w:color w:val="0000ff"/>
          <w:sz w:val="24"/>
          <w:u w:val="single"/>
        </w:rPr>
        <w:t xml:space="preserve">如因此给甲方造成损失的，乙方应予以赔偿。</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1、乙方应按照招标文件的要求提供合格的服务，提供服务均为按国家规格条例的合格正规服务、符合设计规范要求</w:t>
      </w:r>
      <w:r>
        <w:rPr>
          <w:rFonts w:ascii="SimSun" w:hAnsi="SimSun" w:eastAsia="SimSun" w:cs="SimSun"/>
          <w:color w:val="0000ff"/>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2、验收标准：完全符合现行国家规范及要求，以验收通过为准。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将根据政府采购法及相关法规，《江苏省政府采购履约验收管理办法》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4、乙方应能保证所提供服务涉及到的知识产权是合法取得，并享有完整的知识产权，不会因为甲方的使用而被责令停止使用、追偿或要求赔偿损失，如出现此情况，一切经济和法律责任均由供方承担。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5、甲方对乙方进行考核，同时不定时对服务工作进行抽查。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1、合同一方不履行合同义务或者履行合同义务不符合约定的，应当承担继续履行、采取补救措施或赔偿损失等违约责任。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2、甲方违约责任。甲方未按照约定时间支付合同价款的，应当承担逾期付款违约责任。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w:t>
      </w:r>
      <w:r/>
    </w:p>
    <w:p>
      <w:pPr>
        <w:ind w:left="406" w:right="0" w:hanging="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3.1甲方有权引入专业团队协助完成项目的评估，并按照评估的规定要求乙方承担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相应责任。</w:t>
      </w:r>
      <w:r/>
    </w:p>
    <w:p>
      <w:pPr>
        <w:ind w:left="406" w:right="0" w:hanging="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3.2乙方承担的违约金不足以赔偿甲方实际损失的，甲方有权要求乙方继续赔偿。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3.3乙方履行合同不符合合同要求的或评估不合格，甲方有权责令乙方立即改正，</w:t>
      </w:r>
      <w:r>
        <w:rPr>
          <w:rFonts w:ascii="SimSun" w:hAnsi="SimSun" w:eastAsia="SimSun" w:cs="SimSun"/>
          <w:color w:val="0000ff"/>
          <w:sz w:val="24"/>
          <w:u w:val="single"/>
        </w:rPr>
        <w:t xml:space="preserve">并要求乙方按合同总价款5%支付违约金。</w:t>
      </w:r>
      <w:r>
        <w:rPr>
          <w:rFonts w:ascii="SimSun" w:hAnsi="SimSun" w:eastAsia="SimSun" w:cs="SimSun"/>
          <w:color w:val="000000"/>
          <w:sz w:val="24"/>
        </w:rPr>
        <w:t xml:space="preserve">乙方拒不改正或已经造成不良社会影响的，甲方有权</w:t>
      </w:r>
      <w:r>
        <w:rPr>
          <w:rFonts w:ascii="SimSun" w:hAnsi="SimSun" w:eastAsia="SimSun" w:cs="SimSun"/>
          <w:color w:val="0000ff"/>
          <w:sz w:val="24"/>
          <w:u w:val="single"/>
        </w:rPr>
        <w:t xml:space="preserve">解除本合同，并要求乙方按照合同总金额的20%承担违约责任。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3.4 乙方违约，依据本合同应向甲方赔偿损失或支付违约金的，甲方有权从应付款项中直接予以相应扣除，乙方不持异议。款项不足抵扣的，甲方有权就不足部分继续向乙方追偿。</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八、合同的解除和转让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2.1因不可抗力致使不能实现合同目的，未受不可抗力影响的一方有权解除合同；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2.2因合同一方违约导致合同不能履行，另一方有权解除合同</w:t>
      </w:r>
      <w:r>
        <w:rPr>
          <w:rFonts w:ascii="SimSun" w:hAnsi="SimSun" w:eastAsia="SimSun" w:cs="SimSun"/>
          <w:color w:val="0000ff"/>
          <w:sz w:val="24"/>
          <w:u w:val="singl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3、</w:t>
      </w:r>
      <w:r>
        <w:rPr>
          <w:rFonts w:ascii="SimSun" w:hAnsi="SimSun" w:eastAsia="SimSun" w:cs="SimSun"/>
          <w:color w:val="000000"/>
          <w:sz w:val="24"/>
        </w:rPr>
        <w:t xml:space="preserve">有权解除合同的一方，应当在违约事实或不可抗力发生之后及时书面通知对方以主张解除合同，合同在书面通知到达对方时解除。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4</w:t>
      </w:r>
      <w:r>
        <w:rPr>
          <w:rFonts w:ascii="SimSun" w:hAnsi="SimSun" w:eastAsia="SimSun" w:cs="SimSun"/>
          <w:color w:val="000000"/>
          <w:sz w:val="24"/>
        </w:rPr>
        <w:t xml:space="preserve">、合同的部分和全部都不得转让。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双方协商一致同意，在本合同签订后，若因乙方办理“园采贷”信用融资的需要，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及相关融资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2、本合同所有附件及政府采购文件均为合同的有效组成部分，与本合同具有同等法律效力。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3、在执行本合同的过程中，所有经双方签署确认的文件（包括会议纪要、补充协议、往来信函）即成为本合同的有效组成部分。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4、如一方地址、联系人及电话（本合同首部载明）有变更，应在变更当日内书面通知对方，否则，应自行承担相应送达不能的责任。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1、合同份数：本合同一式肆份，甲方、乙方各执壹份，政府采购监督管理部门壹份，采购代理机构壹份。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2、本合同文件使用中文书写、解释和说明。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3、本合同履行过程中产生的纪要、协议以及中标通知书、投标文件和招标文件为本合同的附件，与合同具有同等效力。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4、本合同在甲乙双方法人代表或其授权代表签字盖章后生效。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5、未尽事宜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本合同未尽事宜应按照《中华人民共和国民法典》之规定解释。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法定代表人或授权代理人：法定代表人或授权代理人：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第六章 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1、评标采用综合评分法，即指投标文件满足采购文件全部实质性要求，且按照评审因素的量化指标评审得分最高的供应商为排名第一的中标候选人的评审方法。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2、评标小组各成员独立对每个进入打分程序的有效投标供应商的投标文件技术和资质部分以打分的形式进行评审和评价。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单位的得分，加上价格得分即为每个投标单位的综合得分。评审结果按评审后得分由高到低顺序排列。得分相同的，按投标报价由低到高顺序排列。得分且投标报价相同的并列。投标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4、评审小组根据采购人的授权，按照中标候选人的顺序在中标候选人中直接确定中标单位。</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(一）价格分（20分）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第一步：投标报价低于或等于采购预算的，为有效投标报价；超采购预算为无效投标报价。无效投标报价的投标文件不进行评审，也不得标。</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第二步：在所有有效投标报价中满足招标文件要求，且评审价格最低的评审报价为评标基准价，其价格分为20分，其他投标单位的价格分按照下列公式计算（计算结果四舍五入保留两位小数）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投标报价得分＝（评标基准价/投标报价）×20×100％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（二）服务技术方案（36分）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查报告比较（8分）：根据各响应单位针对社区的需求调查报告，资料是否详实，分析是否准确进行综合比较：整体详实具体，分析准确，可行性高的得8分；整体较为详实具体，分析较为准确，可行性较高的得5分；整体不够详实具体，分析不够准确，可行性较低的得3分；未提供的不得分。</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目标设定（6分）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制定针对本项目的年度服务目标，目标明确、可执行性强得6分；目标基本明确，有一定可执行性得4分；目标设定合理性一般、不易执行的得2分；未提供的不得分。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3、进度安排（6分）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有明确的项目进度安排，时间节点明确，任务分解清晰具体得6分；进度安排、时间节点不太明确，任务分解不太清晰的得4分，进度安排、时间节点较乱，任务分解不当的得2分；未提供的不得分。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方案切实操作性比较（8分）：根据各磋商响应单位服务方案是否切合街道实际情况，及服务方案的操作性进行综合比较：服务方案具体详细，切合实际，可行性高的得8分；服务方案较为具体详细，基本切合实际，可行性较高的得5分；服务方案不够具体详细，与实际情况切合度较低，可行性较低的得3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5、可持续性方案（8分）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方案有目的地培育项目后续支持系统，为项目成果延续提供有力支撑的得8分；有一定可持续性得5分，可持续性欠佳得3分；未提供的不得分。</w:t>
      </w:r>
      <w:r/>
    </w:p>
    <w:p>
      <w:pPr>
        <w:ind w:left="0" w:right="0" w:firstLine="0"/>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（三）投标人项目管理水平（18分）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1、项目团队管理（4分）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架构清晰，工作人员岗位明确，团队管理各项制度完善得4分；项目团队架构基本清晰，有工作人员岗位划分，各项团队管理制度基本完整得2分；项目团队架构、工作人员岗位较混乱，团队管理相关制度有所缺失得1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2、资源筹措及调配（4分）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资源统筹配置以及拓展外部资源方案。配置方案详细合理,可行性高的得4分；配置方案较为详细合理,可行性一般的得2分；配置方案不够详细合理,基本可行性的得1分；未提供的不得分。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3、服务质量控制及风险管理机制（4分）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预测应对机制、自我评估机制、投诉渠道和服务投诉处理机制的设定。机制完善，风险管控得当，可提高服务质量的得4分；机制基本完善，有一定风险管控能力，对服务质量有一定保障的得2分；机制存在漏洞，未良好避免风险，无法完全保障服务质量的得1分；未提供的不得分。</w:t>
      </w:r>
      <w:r/>
    </w:p>
    <w:p>
      <w:pPr>
        <w:numPr>
          <w:ilvl w:val="0"/>
          <w:numId w:val="7"/>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档案管理（3分）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服务档案管理制度、各类常规性工作表格样表。制度完善，样表贴合实际需要，易于操作简化的得3分；制度基本完善，样表基本满足实际需要得2分；制度不太完整，样表设计复杂，不易操作的得1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5、宣传推广（3分）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有针对本项目的宣传推广计划，能提高项目的知晓度与社区居民的认同度得3分；宣传计划可行性低得2分；宣传计划不易推广的得1分；未提供的不得分。</w:t>
      </w:r>
      <w:r/>
    </w:p>
    <w:p>
      <w:pPr>
        <w:ind w:left="0" w:right="0" w:firstLine="0"/>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（四）专业水平及评价比较（26分）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1、拟配备项目执行团队（10分）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(1)为本项目投入专业督导的得2分。（提供相关资质证明、社保、督导服务意向协议、既往督导服务记录等。）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项目组成员中具备助理社会工作师（初级）及以上证书资质，且均具有2年及以上绩效评价经验的，每提供一人得2分，最高得8分。（提供人员证书复印件、响应单位为其缴纳的近三个月内社保证明材料及劳动合同复印件、相关工作经验的证明材料复印件。材料不提供或提供不全或无法认定的，此项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2、类似经验（16分）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至今（合同签订日期为准），投标单位有承接类似社工站、社区服务类项目经验且评估结果为优秀的，每个得4分，最高16分。（提供对应合同扫描件、对应合同任意一期发票扫描件及由采购单位或第三方评估机构出具的正式评估结果，未按上述要求提供的，对应业绩不得分。）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1、以上评分标准中的得分要素，均须由磋商供应商在响应文件中提供相应的证明资料，否则视为其不具备该条得分条件。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2、报价超过采购预算的将不进入综合评审程序，也不得标。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footerReference w:type="default" r:id="rId10"/>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ambria">
    <w:panose1 w:val="02040503050406030204"/>
  </w:font>
  <w:font w:name="方正大黑简体">
    <w:panose1 w:val="020B050302020202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2944844</wp:posOffset>
              </wp:positionH>
              <wp:positionV relativeFrom="paragraph">
                <wp:posOffset>0</wp:posOffset>
              </wp:positionV>
              <wp:extent cx="57785" cy="131445"/>
              <wp:effectExtent l="0" t="0" r="0" b="0"/>
              <wp:wrapNone/>
              <wp:docPr id="2" name="Text Box 1"/>
              <wp:cNvGraphicFramePr/>
              <a:graphic xmlns:a="http://schemas.openxmlformats.org/drawingml/2006/main">
                <a:graphicData uri="http://schemas.microsoft.com/office/word/2010/wordprocessingShape">
                  <wps:wsp>
                    <wps:cNvPr id="0" name=""/>
                    <wps:cNvSpPr txBox="1"/>
                    <wps:spPr bwMode="auto">
                      <a:xfrm>
                        <a:off x="0" y="0"/>
                        <a:ext cx="57184" cy="131445"/>
                      </a:xfrm>
                      <a:prstGeom prst="rect">
                        <a:avLst/>
                      </a:prstGeom>
                      <a:noFill/>
                      <a:ln>
                        <a:noFill/>
                      </a:ln>
                    </wps:spPr>
                    <wps:txbx>
                      <w:txbxContent>
                        <w:p>
                          <w:pPr>
                            <w:pStyle w:val="848"/>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231.9pt;mso-position-horizontal:absolute;mso-position-vertical-relative:text;margin-top:0.0pt;mso-position-vertical:absolute;width:4.5pt;height:10.3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left="412"/>
      <w:spacing w:before="16" w:line="191" w:lineRule="auto"/>
      <w:rPr>
        <w:rFonts w:ascii="宋体" w:hAnsi="宋体" w:cs="宋体"/>
        <w:bCs/>
        <w:sz w:val="18"/>
        <w:szCs w:val="18"/>
      </w:rPr>
    </w:pPr>
    <w:r>
      <w:rPr>
        <w:rFonts w:hint="eastAsia" w:ascii="宋体" w:hAnsi="宋体" w:cs="宋体"/>
        <w:bCs/>
        <w:sz w:val="18"/>
        <w:szCs w:val="18"/>
      </w:rPr>
      <w:t xml:space="preserve">江苏京苏项目管理咨询有限公司</w:t>
    </w:r>
    <w:r>
      <w:rPr>
        <w:rFonts w:ascii="宋体" w:hAnsi="宋体" w:cs="宋体"/>
        <w:bCs/>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257810</wp:posOffset>
              </wp:positionH>
              <wp:positionV relativeFrom="paragraph">
                <wp:posOffset>117475</wp:posOffset>
              </wp:positionV>
              <wp:extent cx="5542280" cy="5080"/>
              <wp:effectExtent l="0" t="0" r="0" b="0"/>
              <wp:wrapNone/>
              <wp:docPr id="1" name="自选图形 2"/>
              <wp:cNvGraphicFramePr/>
              <a:graphic xmlns:a="http://schemas.openxmlformats.org/drawingml/2006/main">
                <a:graphicData uri="http://schemas.microsoft.com/office/word/2010/wordprocessingShape">
                  <wps:wsp>
                    <wps:cNvPr id="0" name=""/>
                    <wps:cNvSpPr/>
                    <wps:spPr bwMode="auto">
                      <a:xfrm>
                        <a:off x="0" y="0"/>
                        <a:ext cx="5542280" cy="5080"/>
                      </a:xfrm>
                      <a:custGeom>
                        <a:avLst/>
                        <a:gdLst/>
                        <a:ahLst/>
                        <a:cxnLst/>
                        <a:rect l="0" t="0" r="r" b="b"/>
                        <a:pathLst>
                          <a:path w="8727" h="8" fill="norm" stroke="1" extrusionOk="0">
                            <a:moveTo>
                              <a:pt x="0" y="3"/>
                            </a:moveTo>
                            <a:lnTo>
                              <a:pt x="8727" y="3"/>
                            </a:lnTo>
                          </a:path>
                        </a:pathLst>
                      </a:custGeom>
                      <a:noFill/>
                      <a:ln w="4572"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0.3pt;mso-position-horizontal:absolute;mso-position-vertical-relative:text;margin-top:9.2pt;mso-position-vertical:absolute;width:436.4pt;height:0.4pt;mso-wrap-distance-left:9.0pt;mso-wrap-distance-top:0.0pt;mso-wrap-distance-right:9.0pt;mso-wrap-distance-bottom:0.0pt;visibility:visible;" path="m0,37500l100000,37500e" coordsize="100000,100000" filled="f" strokecolor="#000000" strokeweight="0.36pt">
              <v:path textboxrect="0,0,100000,100000"/>
              <v:stroke dashstyle="solid"/>
            </v:shape>
          </w:pict>
        </mc:Fallback>
      </mc:AlternateContent>
    </w:r>
    <w:r>
      <w:rPr>
        <w:rFonts w:hint="eastAsia" w:ascii="宋体" w:hAnsi="宋体" w:cs="宋体"/>
        <w:bCs/>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pStyle w:val="1058"/>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7"/>
    <w:basedOn w:val="822"/>
    <w:next w:val="822"/>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822"/>
    <w:next w:val="822"/>
    <w:link w:val="894"/>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822"/>
    <w:next w:val="822"/>
    <w:link w:val="896"/>
    <w:uiPriority w:val="9"/>
    <w:unhideWhenUsed/>
    <w:qFormat/>
    <w:pPr>
      <w:keepLines/>
      <w:keepNext/>
      <w:spacing w:before="320" w:after="200"/>
      <w:outlineLvl w:val="8"/>
    </w:pPr>
    <w:rPr>
      <w:rFonts w:ascii="Arial" w:hAnsi="Arial" w:eastAsia="Arial" w:cs="Arial"/>
      <w:i/>
      <w:iCs/>
      <w:sz w:val="21"/>
      <w:szCs w:val="21"/>
    </w:rPr>
  </w:style>
  <w:style w:type="paragraph" w:styleId="791">
    <w:name w:val="No Spacing"/>
    <w:uiPriority w:val="1"/>
    <w:qFormat/>
    <w:pPr>
      <w:spacing w:before="0" w:after="0" w:line="240" w:lineRule="auto"/>
    </w:pPr>
  </w:style>
  <w:style w:type="character" w:styleId="792">
    <w:name w:val="Title Char"/>
    <w:basedOn w:val="829"/>
    <w:link w:val="862"/>
    <w:uiPriority w:val="10"/>
    <w:rPr>
      <w:sz w:val="48"/>
      <w:szCs w:val="48"/>
    </w:rPr>
  </w:style>
  <w:style w:type="character" w:styleId="793">
    <w:name w:val="Subtitle Char"/>
    <w:basedOn w:val="829"/>
    <w:link w:val="852"/>
    <w:uiPriority w:val="11"/>
    <w:rPr>
      <w:sz w:val="24"/>
      <w:szCs w:val="24"/>
    </w:rPr>
  </w:style>
  <w:style w:type="paragraph" w:styleId="794">
    <w:name w:val="Quote"/>
    <w:basedOn w:val="822"/>
    <w:next w:val="822"/>
    <w:link w:val="795"/>
    <w:uiPriority w:val="29"/>
    <w:qFormat/>
    <w:pPr>
      <w:ind w:left="720" w:right="720"/>
    </w:pPr>
    <w:rPr>
      <w:i/>
    </w:rPr>
  </w:style>
  <w:style w:type="character" w:styleId="795">
    <w:name w:val="Quote Char"/>
    <w:link w:val="794"/>
    <w:uiPriority w:val="29"/>
    <w:rPr>
      <w:i/>
    </w:rPr>
  </w:style>
  <w:style w:type="paragraph" w:styleId="796">
    <w:name w:val="Intense Quote"/>
    <w:basedOn w:val="822"/>
    <w:next w:val="822"/>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Caption"/>
    <w:basedOn w:val="822"/>
    <w:next w:val="822"/>
    <w:uiPriority w:val="35"/>
    <w:semiHidden/>
    <w:unhideWhenUsed/>
    <w:qFormat/>
    <w:pPr>
      <w:spacing w:line="276" w:lineRule="auto"/>
    </w:pPr>
    <w:rPr>
      <w:b/>
      <w:bCs/>
      <w:color w:val="4f81bd" w:themeColor="accent1"/>
      <w:sz w:val="18"/>
      <w:szCs w:val="18"/>
    </w:rPr>
  </w:style>
  <w:style w:type="table" w:styleId="79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8">
    <w:name w:val="Footnote Text Char"/>
    <w:link w:val="853"/>
    <w:uiPriority w:val="99"/>
    <w:rPr>
      <w:sz w:val="18"/>
    </w:rPr>
  </w:style>
  <w:style w:type="character" w:styleId="819">
    <w:name w:val="Endnote Text Char"/>
    <w:link w:val="846"/>
    <w:uiPriority w:val="99"/>
    <w:rPr>
      <w:sz w:val="20"/>
    </w:r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next w:val="831"/>
    <w:uiPriority w:val="0"/>
    <w:qFormat/>
    <w:rPr>
      <w:rFonts w:ascii="Times New Roman" w:hAnsi="Times New Roman" w:eastAsia="宋体" w:cs="Times New Roman"/>
      <w:lang w:val="en-US" w:eastAsia="zh-CN" w:bidi="ar-SA"/>
    </w:rPr>
  </w:style>
  <w:style w:type="paragraph" w:styleId="823">
    <w:name w:val="Heading 1"/>
    <w:basedOn w:val="822"/>
    <w:next w:val="822"/>
    <w:link w:val="1069"/>
    <w:uiPriority w:val="0"/>
    <w:qFormat/>
    <w:pPr>
      <w:keepLines/>
      <w:keepNext/>
      <w:spacing w:before="340" w:after="330" w:line="578" w:lineRule="auto"/>
      <w:outlineLvl w:val="0"/>
    </w:pPr>
    <w:rPr>
      <w:b/>
      <w:sz w:val="44"/>
    </w:rPr>
  </w:style>
  <w:style w:type="paragraph" w:styleId="824">
    <w:name w:val="Heading 2"/>
    <w:basedOn w:val="822"/>
    <w:next w:val="822"/>
    <w:uiPriority w:val="0"/>
    <w:qFormat/>
    <w:pPr>
      <w:keepLines/>
      <w:keepNext/>
      <w:outlineLvl w:val="1"/>
    </w:pPr>
    <w:rPr>
      <w:rFonts w:ascii="宋体" w:hAnsi="宋体"/>
      <w:b/>
    </w:rPr>
  </w:style>
  <w:style w:type="paragraph" w:styleId="825">
    <w:name w:val="Heading 3"/>
    <w:basedOn w:val="822"/>
    <w:next w:val="822"/>
    <w:uiPriority w:val="0"/>
    <w:qFormat/>
    <w:pPr>
      <w:keepLines/>
      <w:keepNext/>
      <w:outlineLvl w:val="2"/>
    </w:pPr>
    <w:rPr>
      <w:b/>
    </w:rPr>
  </w:style>
  <w:style w:type="paragraph" w:styleId="826">
    <w:name w:val="Heading 4"/>
    <w:basedOn w:val="822"/>
    <w:next w:val="822"/>
    <w:uiPriority w:val="0"/>
    <w:qFormat/>
    <w:pPr>
      <w:keepLines/>
      <w:keepNext/>
      <w:spacing w:before="280" w:after="290" w:line="376" w:lineRule="auto"/>
      <w:outlineLvl w:val="3"/>
    </w:pPr>
    <w:rPr>
      <w:rFonts w:ascii="Arial" w:hAnsi="Arial" w:eastAsia="黑体"/>
      <w:b/>
      <w:bCs/>
      <w:sz w:val="28"/>
      <w:szCs w:val="28"/>
    </w:rPr>
  </w:style>
  <w:style w:type="paragraph" w:styleId="827">
    <w:name w:val="Heading 5"/>
    <w:basedOn w:val="822"/>
    <w:next w:val="822"/>
    <w:uiPriority w:val="0"/>
    <w:qFormat/>
    <w:pPr>
      <w:keepLines/>
      <w:keepNext/>
      <w:spacing w:before="280" w:after="290" w:line="376" w:lineRule="auto"/>
      <w:outlineLvl w:val="4"/>
    </w:pPr>
    <w:rPr>
      <w:rFonts w:eastAsia="楷体_GB2312"/>
      <w:b/>
      <w:bCs/>
      <w:sz w:val="28"/>
      <w:szCs w:val="28"/>
    </w:rPr>
  </w:style>
  <w:style w:type="paragraph" w:styleId="828">
    <w:name w:val="Heading 6"/>
    <w:basedOn w:val="822"/>
    <w:next w:val="822"/>
    <w:uiPriority w:val="0"/>
    <w:qFormat/>
    <w:pPr>
      <w:keepLines/>
      <w:keepNext/>
      <w:spacing w:before="240" w:after="64" w:line="320" w:lineRule="auto"/>
      <w:outlineLvl w:val="5"/>
    </w:pPr>
    <w:rPr>
      <w:rFonts w:ascii="Arial" w:hAnsi="Arial" w:eastAsia="黑体"/>
      <w:b/>
      <w:bCs/>
      <w:sz w:val="24"/>
      <w:szCs w:val="24"/>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customStyle="1">
    <w:name w:val="正文文本缩进11"/>
    <w:basedOn w:val="822"/>
    <w:next w:val="832"/>
    <w:uiPriority w:val="0"/>
    <w:qFormat/>
    <w:pPr>
      <w:ind w:firstLine="420"/>
      <w:spacing w:line="360" w:lineRule="exact"/>
    </w:pPr>
    <w:rPr>
      <w:sz w:val="24"/>
    </w:rPr>
  </w:style>
  <w:style w:type="paragraph" w:styleId="832" w:customStyle="1">
    <w:name w:val="寄信人地址1"/>
    <w:basedOn w:val="822"/>
    <w:uiPriority w:val="0"/>
    <w:qFormat/>
    <w:rPr>
      <w:rFonts w:ascii="Arial" w:hAnsi="Arial"/>
    </w:rPr>
  </w:style>
  <w:style w:type="paragraph" w:styleId="833">
    <w:name w:val="toc 7"/>
    <w:next w:val="822"/>
    <w:uiPriority w:val="39"/>
    <w:unhideWhenUsed/>
    <w:qFormat/>
    <w:pPr>
      <w:ind w:left="1701"/>
      <w:spacing w:after="57"/>
    </w:pPr>
    <w:rPr>
      <w:rFonts w:ascii="Times New Roman" w:hAnsi="Times New Roman" w:eastAsia="宋体" w:cs="Times New Roman"/>
      <w:lang w:val="en-US" w:eastAsia="zh-CN" w:bidi="ar-SA"/>
    </w:rPr>
  </w:style>
  <w:style w:type="paragraph" w:styleId="834">
    <w:name w:val="Normal Indent"/>
    <w:basedOn w:val="822"/>
    <w:uiPriority w:val="99"/>
    <w:unhideWhenUsed/>
    <w:qFormat/>
    <w:pPr>
      <w:ind w:firstLine="420"/>
    </w:pPr>
  </w:style>
  <w:style w:type="paragraph" w:styleId="835">
    <w:name w:val="Document Map"/>
    <w:basedOn w:val="822"/>
    <w:uiPriority w:val="0"/>
    <w:qFormat/>
    <w:pPr>
      <w:shd w:val="clear" w:color="000080" w:fill="000080"/>
    </w:pPr>
  </w:style>
  <w:style w:type="paragraph" w:styleId="836">
    <w:name w:val="annotation text"/>
    <w:basedOn w:val="822"/>
    <w:link w:val="1048"/>
    <w:uiPriority w:val="0"/>
    <w:semiHidden/>
    <w:qFormat/>
    <w:rPr>
      <w:rFonts w:eastAsia="楷体_GB2312"/>
      <w:sz w:val="26"/>
    </w:rPr>
  </w:style>
  <w:style w:type="paragraph" w:styleId="837">
    <w:name w:val="Body Text"/>
    <w:basedOn w:val="822"/>
    <w:next w:val="822"/>
    <w:uiPriority w:val="0"/>
    <w:qFormat/>
    <w:pPr>
      <w:spacing w:line="400" w:lineRule="exact"/>
    </w:pPr>
    <w:rPr>
      <w:rFonts w:ascii="楷体_GB2312"/>
      <w:sz w:val="28"/>
    </w:rPr>
  </w:style>
  <w:style w:type="paragraph" w:styleId="838">
    <w:name w:val="Body Text Indent"/>
    <w:basedOn w:val="822"/>
    <w:link w:val="1045"/>
    <w:uiPriority w:val="0"/>
    <w:qFormat/>
    <w:pPr>
      <w:ind w:left="570"/>
      <w:spacing w:line="520" w:lineRule="exact"/>
    </w:pPr>
    <w:rPr>
      <w:rFonts w:ascii="方正仿宋简体" w:hAnsi="创艺简仿宋" w:eastAsia="方正仿宋简体"/>
      <w:sz w:val="24"/>
    </w:rPr>
  </w:style>
  <w:style w:type="paragraph" w:styleId="839">
    <w:name w:val="Block Text"/>
    <w:basedOn w:val="822"/>
    <w:uiPriority w:val="0"/>
    <w:qFormat/>
    <w:pPr>
      <w:ind w:left="1440" w:right="700"/>
    </w:pPr>
  </w:style>
  <w:style w:type="paragraph" w:styleId="840">
    <w:name w:val="toc 5"/>
    <w:next w:val="822"/>
    <w:uiPriority w:val="39"/>
    <w:unhideWhenUsed/>
    <w:qFormat/>
    <w:pPr>
      <w:ind w:left="1134"/>
      <w:spacing w:after="57"/>
    </w:pPr>
    <w:rPr>
      <w:rFonts w:ascii="Times New Roman" w:hAnsi="Times New Roman" w:eastAsia="宋体" w:cs="Times New Roman"/>
      <w:lang w:val="en-US" w:eastAsia="zh-CN" w:bidi="ar-SA"/>
    </w:rPr>
  </w:style>
  <w:style w:type="paragraph" w:styleId="841">
    <w:name w:val="toc 3"/>
    <w:basedOn w:val="822"/>
    <w:next w:val="822"/>
    <w:uiPriority w:val="0"/>
    <w:qFormat/>
    <w:pPr>
      <w:ind w:left="840"/>
    </w:pPr>
  </w:style>
  <w:style w:type="paragraph" w:styleId="842">
    <w:name w:val="Plain Text"/>
    <w:basedOn w:val="822"/>
    <w:link w:val="1041"/>
    <w:uiPriority w:val="0"/>
    <w:qFormat/>
    <w:rPr>
      <w:rFonts w:ascii="宋体" w:hAnsi="Courier New" w:eastAsia="楷体_GB2312"/>
      <w:sz w:val="26"/>
    </w:rPr>
  </w:style>
  <w:style w:type="paragraph" w:styleId="843">
    <w:name w:val="toc 8"/>
    <w:next w:val="822"/>
    <w:uiPriority w:val="39"/>
    <w:unhideWhenUsed/>
    <w:qFormat/>
    <w:pPr>
      <w:ind w:left="1984"/>
      <w:spacing w:after="57"/>
    </w:pPr>
    <w:rPr>
      <w:rFonts w:ascii="Times New Roman" w:hAnsi="Times New Roman" w:eastAsia="宋体" w:cs="Times New Roman"/>
      <w:lang w:val="en-US" w:eastAsia="zh-CN" w:bidi="ar-SA"/>
    </w:rPr>
  </w:style>
  <w:style w:type="paragraph" w:styleId="844">
    <w:name w:val="Date"/>
    <w:basedOn w:val="822"/>
    <w:next w:val="822"/>
    <w:link w:val="1046"/>
    <w:uiPriority w:val="0"/>
    <w:qFormat/>
    <w:rPr>
      <w:rFonts w:ascii="宋体" w:hAnsi="宋体" w:eastAsia="楷体_GB2312"/>
      <w:sz w:val="24"/>
    </w:rPr>
  </w:style>
  <w:style w:type="paragraph" w:styleId="845">
    <w:name w:val="Body Text Indent 2"/>
    <w:basedOn w:val="822"/>
    <w:uiPriority w:val="0"/>
    <w:qFormat/>
    <w:pPr>
      <w:ind w:firstLine="502"/>
      <w:spacing w:line="360" w:lineRule="auto"/>
      <w:tabs>
        <w:tab w:val="left" w:pos="0" w:leader="none"/>
      </w:tabs>
    </w:pPr>
    <w:rPr>
      <w:rFonts w:ascii="宋体"/>
      <w:b/>
      <w:bCs/>
      <w:sz w:val="24"/>
    </w:rPr>
  </w:style>
  <w:style w:type="paragraph" w:styleId="846">
    <w:name w:val="endnote text"/>
    <w:link w:val="1037"/>
    <w:uiPriority w:val="99"/>
    <w:unhideWhenUsed/>
    <w:qFormat/>
    <w:rPr>
      <w:rFonts w:ascii="Times New Roman" w:hAnsi="Times New Roman" w:eastAsia="宋体" w:cs="Times New Roman"/>
      <w:lang w:val="en-US" w:eastAsia="zh-CN" w:bidi="ar-SA"/>
    </w:rPr>
  </w:style>
  <w:style w:type="paragraph" w:styleId="847">
    <w:name w:val="Balloon Text"/>
    <w:basedOn w:val="822"/>
    <w:uiPriority w:val="0"/>
    <w:qFormat/>
    <w:rPr>
      <w:sz w:val="18"/>
      <w:szCs w:val="18"/>
    </w:rPr>
  </w:style>
  <w:style w:type="paragraph" w:styleId="848">
    <w:name w:val="Footer"/>
    <w:basedOn w:val="822"/>
    <w:link w:val="1044"/>
    <w:uiPriority w:val="0"/>
    <w:qFormat/>
    <w:pPr>
      <w:tabs>
        <w:tab w:val="center" w:pos="4153" w:leader="none"/>
        <w:tab w:val="right" w:pos="8306" w:leader="none"/>
      </w:tabs>
    </w:pPr>
    <w:rPr>
      <w:rFonts w:eastAsia="楷体_GB2312"/>
      <w:sz w:val="18"/>
    </w:rPr>
  </w:style>
  <w:style w:type="paragraph" w:styleId="849">
    <w:name w:val="Header"/>
    <w:basedOn w:val="822"/>
    <w:uiPriority w:val="0"/>
    <w:qFormat/>
    <w:pPr>
      <w:jc w:val="center"/>
      <w:tabs>
        <w:tab w:val="center" w:pos="4153" w:leader="none"/>
        <w:tab w:val="right" w:pos="8306" w:leader="none"/>
      </w:tabs>
      <w:pBdr>
        <w:bottom w:val="single" w:color="000000" w:sz="6" w:space="1"/>
      </w:pBdr>
    </w:pPr>
    <w:rPr>
      <w:sz w:val="18"/>
    </w:rPr>
  </w:style>
  <w:style w:type="paragraph" w:styleId="850">
    <w:name w:val="toc 1"/>
    <w:basedOn w:val="822"/>
    <w:next w:val="822"/>
    <w:uiPriority w:val="0"/>
    <w:qFormat/>
    <w:rPr>
      <w:sz w:val="24"/>
    </w:rPr>
  </w:style>
  <w:style w:type="paragraph" w:styleId="851">
    <w:name w:val="toc 4"/>
    <w:next w:val="822"/>
    <w:uiPriority w:val="39"/>
    <w:unhideWhenUsed/>
    <w:qFormat/>
    <w:pPr>
      <w:ind w:left="850"/>
      <w:spacing w:after="57"/>
    </w:pPr>
    <w:rPr>
      <w:rFonts w:ascii="Times New Roman" w:hAnsi="Times New Roman" w:eastAsia="宋体" w:cs="Times New Roman"/>
      <w:lang w:val="en-US" w:eastAsia="zh-CN" w:bidi="ar-SA"/>
    </w:rPr>
  </w:style>
  <w:style w:type="paragraph" w:styleId="852">
    <w:name w:val="Subtitle"/>
    <w:link w:val="900"/>
    <w:uiPriority w:val="11"/>
    <w:qFormat/>
    <w:pPr>
      <w:spacing w:before="200" w:after="200"/>
    </w:pPr>
    <w:rPr>
      <w:rFonts w:ascii="Times New Roman" w:hAnsi="Times New Roman" w:eastAsia="宋体" w:cs="Times New Roman"/>
      <w:sz w:val="24"/>
      <w:szCs w:val="24"/>
      <w:lang w:val="en-US" w:eastAsia="zh-CN" w:bidi="ar-SA"/>
    </w:rPr>
  </w:style>
  <w:style w:type="paragraph" w:styleId="853">
    <w:name w:val="footnote text"/>
    <w:link w:val="1036"/>
    <w:uiPriority w:val="99"/>
    <w:unhideWhenUsed/>
    <w:qFormat/>
    <w:pPr>
      <w:spacing w:after="40"/>
    </w:pPr>
    <w:rPr>
      <w:rFonts w:ascii="Times New Roman" w:hAnsi="Times New Roman" w:eastAsia="宋体" w:cs="Times New Roman"/>
      <w:sz w:val="18"/>
      <w:lang w:val="en-US" w:eastAsia="zh-CN" w:bidi="ar-SA"/>
    </w:rPr>
  </w:style>
  <w:style w:type="paragraph" w:styleId="854">
    <w:name w:val="toc 6"/>
    <w:next w:val="822"/>
    <w:uiPriority w:val="39"/>
    <w:unhideWhenUsed/>
    <w:qFormat/>
    <w:pPr>
      <w:ind w:left="1417"/>
      <w:spacing w:after="57"/>
    </w:pPr>
    <w:rPr>
      <w:rFonts w:ascii="Times New Roman" w:hAnsi="Times New Roman" w:eastAsia="宋体" w:cs="Times New Roman"/>
      <w:lang w:val="en-US" w:eastAsia="zh-CN" w:bidi="ar-SA"/>
    </w:rPr>
  </w:style>
  <w:style w:type="paragraph" w:styleId="855">
    <w:name w:val="Body Text Indent 3"/>
    <w:basedOn w:val="822"/>
    <w:uiPriority w:val="0"/>
    <w:qFormat/>
    <w:pPr>
      <w:ind w:firstLine="617"/>
      <w:spacing w:line="360" w:lineRule="auto"/>
    </w:pPr>
    <w:rPr>
      <w:sz w:val="24"/>
      <w:szCs w:val="24"/>
    </w:rPr>
  </w:style>
  <w:style w:type="paragraph" w:styleId="856">
    <w:name w:val="index 7"/>
    <w:basedOn w:val="822"/>
    <w:next w:val="822"/>
    <w:uiPriority w:val="0"/>
    <w:semiHidden/>
    <w:qFormat/>
    <w:pPr>
      <w:ind w:left="2520"/>
    </w:pPr>
    <w:rPr>
      <w:sz w:val="28"/>
    </w:rPr>
  </w:style>
  <w:style w:type="paragraph" w:styleId="857">
    <w:name w:val="toc 2"/>
    <w:next w:val="822"/>
    <w:uiPriority w:val="39"/>
    <w:unhideWhenUsed/>
    <w:qFormat/>
    <w:pPr>
      <w:ind w:left="283"/>
      <w:spacing w:after="57"/>
    </w:pPr>
    <w:rPr>
      <w:rFonts w:ascii="Times New Roman" w:hAnsi="Times New Roman" w:eastAsia="宋体" w:cs="Times New Roman"/>
      <w:lang w:val="en-US" w:eastAsia="zh-CN" w:bidi="ar-SA"/>
    </w:rPr>
  </w:style>
  <w:style w:type="paragraph" w:styleId="858">
    <w:name w:val="toc 9"/>
    <w:next w:val="822"/>
    <w:uiPriority w:val="39"/>
    <w:unhideWhenUsed/>
    <w:qFormat/>
    <w:pPr>
      <w:ind w:left="2268"/>
      <w:spacing w:after="57"/>
    </w:pPr>
    <w:rPr>
      <w:rFonts w:ascii="Times New Roman" w:hAnsi="Times New Roman" w:eastAsia="宋体" w:cs="Times New Roman"/>
      <w:lang w:val="en-US" w:eastAsia="zh-CN" w:bidi="ar-SA"/>
    </w:rPr>
  </w:style>
  <w:style w:type="paragraph" w:styleId="859">
    <w:name w:val="HTML Preformatted"/>
    <w:basedOn w:val="82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860">
    <w:name w:val="Normal (Web)"/>
    <w:basedOn w:val="822"/>
    <w:uiPriority w:val="0"/>
    <w:qFormat/>
    <w:pPr>
      <w:spacing w:before="100" w:beforeAutospacing="1" w:after="100" w:afterAutospacing="1"/>
    </w:pPr>
    <w:rPr>
      <w:rFonts w:ascii="宋体" w:hAnsi="宋体"/>
      <w:sz w:val="24"/>
      <w:szCs w:val="24"/>
    </w:rPr>
  </w:style>
  <w:style w:type="paragraph" w:styleId="861">
    <w:name w:val="index 1"/>
    <w:basedOn w:val="822"/>
    <w:next w:val="822"/>
    <w:uiPriority w:val="0"/>
    <w:qFormat/>
  </w:style>
  <w:style w:type="paragraph" w:styleId="862">
    <w:name w:val="Title"/>
    <w:link w:val="899"/>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63">
    <w:name w:val="annotation subject"/>
    <w:basedOn w:val="836"/>
    <w:next w:val="836"/>
    <w:uiPriority w:val="0"/>
    <w:semiHidden/>
    <w:qFormat/>
    <w:rPr>
      <w:b/>
      <w:bCs/>
    </w:rPr>
  </w:style>
  <w:style w:type="paragraph" w:styleId="864">
    <w:name w:val="Body Text First Indent 2"/>
    <w:basedOn w:val="838"/>
    <w:uiPriority w:val="99"/>
    <w:unhideWhenUsed/>
    <w:qFormat/>
    <w:pPr>
      <w:ind w:firstLine="420"/>
    </w:pPr>
  </w:style>
  <w:style w:type="table" w:styleId="865">
    <w:name w:val="Table Grid"/>
    <w:basedOn w:val="83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29"/>
    <w:uiPriority w:val="22"/>
    <w:qFormat/>
    <w:rPr>
      <w:b/>
    </w:rPr>
  </w:style>
  <w:style w:type="character" w:styleId="867">
    <w:name w:val="endnote reference"/>
    <w:uiPriority w:val="99"/>
    <w:unhideWhenUsed/>
    <w:qFormat/>
    <w:rPr>
      <w:vertAlign w:val="superscript"/>
    </w:rPr>
  </w:style>
  <w:style w:type="character" w:styleId="868">
    <w:name w:val="page number"/>
    <w:basedOn w:val="829"/>
    <w:uiPriority w:val="0"/>
    <w:qFormat/>
  </w:style>
  <w:style w:type="character" w:styleId="869">
    <w:name w:val="FollowedHyperlink"/>
    <w:basedOn w:val="829"/>
    <w:uiPriority w:val="99"/>
    <w:semiHidden/>
    <w:unhideWhenUsed/>
    <w:qFormat/>
    <w:rPr>
      <w:color w:val="333333"/>
      <w:u w:val="none"/>
    </w:rPr>
  </w:style>
  <w:style w:type="character" w:styleId="870">
    <w:name w:val="Emphasis"/>
    <w:basedOn w:val="829"/>
    <w:uiPriority w:val="20"/>
    <w:qFormat/>
  </w:style>
  <w:style w:type="character" w:styleId="871">
    <w:name w:val="Hyperlink"/>
    <w:uiPriority w:val="0"/>
    <w:qFormat/>
    <w:rPr>
      <w:color w:val="0000ff"/>
      <w:u w:val="single"/>
    </w:rPr>
  </w:style>
  <w:style w:type="character" w:styleId="872">
    <w:name w:val="annotation reference"/>
    <w:uiPriority w:val="99"/>
    <w:qFormat/>
    <w:rPr>
      <w:sz w:val="21"/>
      <w:szCs w:val="21"/>
    </w:rPr>
  </w:style>
  <w:style w:type="character" w:styleId="873">
    <w:name w:val="footnote reference"/>
    <w:uiPriority w:val="99"/>
    <w:unhideWhenUsed/>
    <w:qFormat/>
    <w:rPr>
      <w:vertAlign w:val="superscript"/>
    </w:rPr>
  </w:style>
  <w:style w:type="paragraph" w:styleId="874" w:customStyle="1">
    <w:name w:val="目录 51"/>
    <w:next w:val="822"/>
    <w:uiPriority w:val="0"/>
    <w:qFormat/>
    <w:pPr>
      <w:ind w:left="1275"/>
      <w:jc w:val="both"/>
    </w:pPr>
    <w:rPr>
      <w:rFonts w:ascii="Times New Roman" w:hAnsi="Times New Roman" w:eastAsia="宋体" w:cs="Times New Roman"/>
      <w:sz w:val="21"/>
      <w:lang w:val="en-US" w:eastAsia="zh-CN" w:bidi="ar-SA"/>
    </w:rPr>
  </w:style>
  <w:style w:type="paragraph" w:styleId="875" w:customStyle="1">
    <w:name w:val="正文文本缩进1"/>
    <w:basedOn w:val="822"/>
    <w:next w:val="822"/>
    <w:uiPriority w:val="99"/>
    <w:unhideWhenUsed/>
    <w:qFormat/>
    <w:pPr>
      <w:ind w:firstLine="570"/>
    </w:pPr>
    <w:rPr>
      <w:rFonts w:ascii="宋体"/>
      <w:sz w:val="28"/>
    </w:rPr>
  </w:style>
  <w:style w:type="paragraph" w:styleId="876" w:customStyle="1">
    <w:name w:val="正文首行缩进 211"/>
    <w:basedOn w:val="831"/>
    <w:uiPriority w:val="0"/>
    <w:qFormat/>
    <w:pPr>
      <w:ind w:left="420"/>
      <w:spacing w:after="120" w:line="240" w:lineRule="auto"/>
    </w:pPr>
    <w:rPr>
      <w:sz w:val="21"/>
    </w:rPr>
  </w:style>
  <w:style w:type="paragraph" w:styleId="877" w:customStyle="1">
    <w:name w:val="正文1"/>
    <w:next w:val="822"/>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878" w:customStyle="1">
    <w:name w:val="首行缩进"/>
    <w:basedOn w:val="822"/>
    <w:uiPriority w:val="0"/>
    <w:qFormat/>
    <w:pPr>
      <w:ind w:firstLine="480"/>
    </w:pPr>
    <w:rPr>
      <w:lang w:val="zh-CN"/>
    </w:rPr>
  </w:style>
  <w:style w:type="paragraph" w:styleId="879" w:customStyle="1">
    <w:name w:val="标题 11"/>
    <w:link w:val="880"/>
    <w:uiPriority w:val="9"/>
    <w:qFormat/>
    <w:pPr>
      <w:keepLines/>
      <w:keepNext/>
      <w:spacing w:before="480" w:after="200"/>
      <w:outlineLvl w:val="0"/>
    </w:pPr>
    <w:rPr>
      <w:rFonts w:ascii="Arial" w:hAnsi="Arial" w:eastAsia="Arial" w:cs="Times New Roman"/>
      <w:sz w:val="40"/>
      <w:szCs w:val="40"/>
      <w:lang w:val="en-US" w:eastAsia="zh-CN" w:bidi="ar-SA"/>
    </w:rPr>
  </w:style>
  <w:style w:type="character" w:styleId="880" w:customStyle="1">
    <w:name w:val="Heading 1 Char"/>
    <w:link w:val="879"/>
    <w:uiPriority w:val="9"/>
    <w:qFormat/>
    <w:rPr>
      <w:rFonts w:ascii="Arial" w:hAnsi="Arial" w:eastAsia="Arial"/>
      <w:sz w:val="40"/>
      <w:szCs w:val="40"/>
      <w:lang w:bidi="ar-SA"/>
    </w:rPr>
  </w:style>
  <w:style w:type="paragraph" w:styleId="881" w:customStyle="1">
    <w:name w:val="标题 21"/>
    <w:link w:val="882"/>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882" w:customStyle="1">
    <w:name w:val="Heading 2 Char"/>
    <w:link w:val="881"/>
    <w:uiPriority w:val="9"/>
    <w:qFormat/>
    <w:rPr>
      <w:rFonts w:ascii="Arial" w:hAnsi="Arial" w:eastAsia="Arial"/>
      <w:sz w:val="34"/>
      <w:lang w:bidi="ar-SA"/>
    </w:rPr>
  </w:style>
  <w:style w:type="paragraph" w:styleId="883" w:customStyle="1">
    <w:name w:val="标题 31"/>
    <w:link w:val="884"/>
    <w:uiPriority w:val="9"/>
    <w:unhideWhenUsed/>
    <w:qFormat/>
    <w:pPr>
      <w:keepLines/>
      <w:keepNext/>
      <w:spacing w:before="320" w:after="200"/>
      <w:outlineLvl w:val="2"/>
    </w:pPr>
    <w:rPr>
      <w:rFonts w:ascii="Arial" w:hAnsi="Arial" w:eastAsia="Arial" w:cs="Times New Roman"/>
      <w:sz w:val="30"/>
      <w:szCs w:val="30"/>
      <w:lang w:val="en-US" w:eastAsia="zh-CN" w:bidi="ar-SA"/>
    </w:rPr>
  </w:style>
  <w:style w:type="character" w:styleId="884" w:customStyle="1">
    <w:name w:val="Heading 3 Char"/>
    <w:link w:val="883"/>
    <w:uiPriority w:val="9"/>
    <w:qFormat/>
    <w:rPr>
      <w:rFonts w:ascii="Arial" w:hAnsi="Arial" w:eastAsia="Arial"/>
      <w:sz w:val="30"/>
      <w:szCs w:val="30"/>
      <w:lang w:bidi="ar-SA"/>
    </w:rPr>
  </w:style>
  <w:style w:type="paragraph" w:styleId="885" w:customStyle="1">
    <w:name w:val="标题 41"/>
    <w:link w:val="886"/>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character" w:styleId="886" w:customStyle="1">
    <w:name w:val="Heading 4 Char"/>
    <w:link w:val="885"/>
    <w:uiPriority w:val="9"/>
    <w:qFormat/>
    <w:rPr>
      <w:rFonts w:ascii="Arial" w:hAnsi="Arial" w:eastAsia="Arial"/>
      <w:b/>
      <w:bCs/>
      <w:sz w:val="26"/>
      <w:szCs w:val="26"/>
      <w:lang w:bidi="ar-SA"/>
    </w:rPr>
  </w:style>
  <w:style w:type="paragraph" w:styleId="887" w:customStyle="1">
    <w:name w:val="标题 51"/>
    <w:link w:val="888"/>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character" w:styleId="888" w:customStyle="1">
    <w:name w:val="Heading 5 Char"/>
    <w:link w:val="887"/>
    <w:uiPriority w:val="9"/>
    <w:qFormat/>
    <w:rPr>
      <w:rFonts w:ascii="Arial" w:hAnsi="Arial" w:eastAsia="Arial"/>
      <w:b/>
      <w:bCs/>
      <w:sz w:val="24"/>
      <w:szCs w:val="24"/>
      <w:lang w:bidi="ar-SA"/>
    </w:rPr>
  </w:style>
  <w:style w:type="paragraph" w:styleId="889" w:customStyle="1">
    <w:name w:val="标题 61"/>
    <w:link w:val="890"/>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character" w:styleId="890" w:customStyle="1">
    <w:name w:val="Heading 6 Char"/>
    <w:link w:val="889"/>
    <w:uiPriority w:val="9"/>
    <w:qFormat/>
    <w:rPr>
      <w:rFonts w:ascii="Arial" w:hAnsi="Arial" w:eastAsia="Arial"/>
      <w:b/>
      <w:bCs/>
      <w:sz w:val="22"/>
      <w:szCs w:val="22"/>
      <w:lang w:bidi="ar-SA"/>
    </w:rPr>
  </w:style>
  <w:style w:type="paragraph" w:styleId="891" w:customStyle="1">
    <w:name w:val="标题 71"/>
    <w:link w:val="892"/>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892" w:customStyle="1">
    <w:name w:val="Heading 7 Char"/>
    <w:link w:val="891"/>
    <w:uiPriority w:val="9"/>
    <w:qFormat/>
    <w:rPr>
      <w:rFonts w:ascii="Arial" w:hAnsi="Arial" w:eastAsia="Arial"/>
      <w:b/>
      <w:bCs/>
      <w:i/>
      <w:iCs/>
      <w:sz w:val="22"/>
      <w:szCs w:val="22"/>
      <w:lang w:bidi="ar-SA"/>
    </w:rPr>
  </w:style>
  <w:style w:type="paragraph" w:styleId="893" w:customStyle="1">
    <w:name w:val="标题 81"/>
    <w:link w:val="894"/>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character" w:styleId="894" w:customStyle="1">
    <w:name w:val="Heading 8 Char"/>
    <w:link w:val="893"/>
    <w:uiPriority w:val="9"/>
    <w:qFormat/>
    <w:rPr>
      <w:rFonts w:ascii="Arial" w:hAnsi="Arial" w:eastAsia="Arial"/>
      <w:i/>
      <w:iCs/>
      <w:sz w:val="22"/>
      <w:szCs w:val="22"/>
      <w:lang w:bidi="ar-SA"/>
    </w:rPr>
  </w:style>
  <w:style w:type="paragraph" w:styleId="895" w:customStyle="1">
    <w:name w:val="标题 91"/>
    <w:link w:val="896"/>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896" w:customStyle="1">
    <w:name w:val="Heading 9 Char"/>
    <w:link w:val="895"/>
    <w:uiPriority w:val="9"/>
    <w:qFormat/>
    <w:rPr>
      <w:rFonts w:ascii="Arial" w:hAnsi="Arial" w:eastAsia="Arial"/>
      <w:i/>
      <w:iCs/>
      <w:sz w:val="21"/>
      <w:szCs w:val="21"/>
      <w:lang w:bidi="ar-SA"/>
    </w:rPr>
  </w:style>
  <w:style w:type="paragraph" w:styleId="897" w:customStyle="1">
    <w:name w:val="列表段落1"/>
    <w:basedOn w:val="822"/>
    <w:uiPriority w:val="0"/>
    <w:qFormat/>
    <w:pPr>
      <w:ind w:firstLine="420"/>
    </w:pPr>
  </w:style>
  <w:style w:type="paragraph" w:styleId="898" w:customStyle="1">
    <w:name w:val="无间隔1"/>
    <w:uiPriority w:val="1"/>
    <w:qFormat/>
    <w:rPr>
      <w:rFonts w:ascii="Times New Roman" w:hAnsi="Times New Roman" w:eastAsia="宋体" w:cs="Times New Roman"/>
      <w:lang w:val="en-US" w:eastAsia="zh-CN" w:bidi="ar-SA"/>
    </w:rPr>
  </w:style>
  <w:style w:type="character" w:styleId="899" w:customStyle="1">
    <w:name w:val="标题 Char"/>
    <w:link w:val="862"/>
    <w:uiPriority w:val="10"/>
    <w:qFormat/>
    <w:rPr>
      <w:sz w:val="48"/>
      <w:szCs w:val="48"/>
      <w:lang w:bidi="ar-SA"/>
    </w:rPr>
  </w:style>
  <w:style w:type="character" w:styleId="900" w:customStyle="1">
    <w:name w:val="副标题 Char"/>
    <w:link w:val="852"/>
    <w:uiPriority w:val="11"/>
    <w:qFormat/>
    <w:rPr>
      <w:sz w:val="24"/>
      <w:szCs w:val="24"/>
      <w:lang w:bidi="ar-SA"/>
    </w:rPr>
  </w:style>
  <w:style w:type="paragraph" w:styleId="901" w:customStyle="1">
    <w:name w:val="引用1"/>
    <w:link w:val="902"/>
    <w:uiPriority w:val="29"/>
    <w:qFormat/>
    <w:pPr>
      <w:ind w:left="720" w:right="720"/>
    </w:pPr>
    <w:rPr>
      <w:rFonts w:ascii="Times New Roman" w:hAnsi="Times New Roman" w:eastAsia="宋体" w:cs="Times New Roman"/>
      <w:i/>
      <w:lang w:val="en-US" w:eastAsia="zh-CN" w:bidi="ar-SA"/>
    </w:rPr>
  </w:style>
  <w:style w:type="character" w:styleId="902" w:customStyle="1">
    <w:name w:val="引用 Char"/>
    <w:link w:val="901"/>
    <w:uiPriority w:val="29"/>
    <w:qFormat/>
    <w:rPr>
      <w:i/>
      <w:lang w:val="en-US" w:eastAsia="zh-CN" w:bidi="ar-SA"/>
    </w:rPr>
  </w:style>
  <w:style w:type="paragraph" w:styleId="903" w:customStyle="1">
    <w:name w:val="明显引用1"/>
    <w:link w:val="904"/>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4" w:customStyle="1">
    <w:name w:val="明显引用 Char"/>
    <w:link w:val="903"/>
    <w:uiPriority w:val="30"/>
    <w:qFormat/>
    <w:rPr>
      <w:i/>
      <w:shd w:val="clear" w:color="f2f2f2" w:fill="f2f2f2"/>
      <w:lang w:val="en-US" w:eastAsia="zh-CN" w:bidi="ar-SA"/>
    </w:rPr>
  </w:style>
  <w:style w:type="paragraph" w:styleId="905" w:customStyle="1">
    <w:name w:val="页眉1"/>
    <w:link w:val="90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06" w:customStyle="1">
    <w:name w:val="Header Char"/>
    <w:link w:val="905"/>
    <w:uiPriority w:val="99"/>
    <w:qFormat/>
    <w:rPr>
      <w:lang w:val="en-US" w:eastAsia="zh-CN" w:bidi="ar-SA"/>
    </w:rPr>
  </w:style>
  <w:style w:type="paragraph" w:styleId="907" w:customStyle="1">
    <w:name w:val="页脚1"/>
    <w:link w:val="91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08" w:customStyle="1">
    <w:name w:val="Footer Char"/>
    <w:uiPriority w:val="99"/>
    <w:qFormat/>
  </w:style>
  <w:style w:type="paragraph" w:styleId="909" w:customStyle="1">
    <w:name w:val="题注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character" w:styleId="910" w:customStyle="1">
    <w:name w:val="Caption Char"/>
    <w:link w:val="907"/>
    <w:uiPriority w:val="99"/>
    <w:qFormat/>
    <w:rPr>
      <w:lang w:val="en-US" w:eastAsia="zh-CN" w:bidi="ar-SA"/>
    </w:rPr>
  </w:style>
  <w:style w:type="table" w:styleId="9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4" w:customStyle="1">
    <w:name w:val="无格式表格 31"/>
    <w:uiPriority w:val="99"/>
    <w:qFormat/>
    <w:tblPr>
      <w:tblCellMar>
        <w:left w:w="0" w:type="dxa"/>
        <w:top w:w="0" w:type="dxa"/>
        <w:right w:w="0" w:type="dxa"/>
        <w:bottom w:w="0" w:type="dxa"/>
      </w:tblCellMar>
    </w:tblPr>
  </w:style>
  <w:style w:type="table" w:styleId="915" w:customStyle="1">
    <w:name w:val="无格式表格 41"/>
    <w:uiPriority w:val="99"/>
    <w:qFormat/>
    <w:tblPr>
      <w:tblCellMar>
        <w:left w:w="0" w:type="dxa"/>
        <w:top w:w="0" w:type="dxa"/>
        <w:right w:w="0" w:type="dxa"/>
        <w:bottom w:w="0" w:type="dxa"/>
      </w:tblCellMar>
    </w:tblPr>
  </w:style>
  <w:style w:type="table" w:styleId="916" w:customStyle="1">
    <w:name w:val="无格式表格 51"/>
    <w:uiPriority w:val="99"/>
    <w:qFormat/>
    <w:tblPr>
      <w:tblCellMar>
        <w:left w:w="0" w:type="dxa"/>
        <w:top w:w="0" w:type="dxa"/>
        <w:right w:w="0" w:type="dxa"/>
        <w:bottom w:w="0" w:type="dxa"/>
      </w:tblCellMar>
    </w:tblPr>
  </w:style>
  <w:style w:type="table" w:styleId="9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6" w:customStyle="1">
    <w:name w:val="清单表 1 浅色1"/>
    <w:uiPriority w:val="99"/>
    <w:qFormat/>
    <w:tblPr>
      <w:tblCellMar>
        <w:left w:w="0" w:type="dxa"/>
        <w:top w:w="0" w:type="dxa"/>
        <w:right w:w="0" w:type="dxa"/>
        <w:bottom w:w="0" w:type="dxa"/>
      </w:tblCellMar>
    </w:tblPr>
  </w:style>
  <w:style w:type="table" w:styleId="967" w:customStyle="1">
    <w:name w:val="List Table 1 Light - Accent 1"/>
    <w:uiPriority w:val="99"/>
    <w:qFormat/>
    <w:tblPr>
      <w:tblCellMar>
        <w:left w:w="0" w:type="dxa"/>
        <w:top w:w="0" w:type="dxa"/>
        <w:right w:w="0" w:type="dxa"/>
        <w:bottom w:w="0" w:type="dxa"/>
      </w:tblCellMar>
    </w:tblPr>
  </w:style>
  <w:style w:type="table" w:styleId="968" w:customStyle="1">
    <w:name w:val="List Table 1 Light - Accent 2"/>
    <w:uiPriority w:val="99"/>
    <w:qFormat/>
    <w:tblPr>
      <w:tblCellMar>
        <w:left w:w="0" w:type="dxa"/>
        <w:top w:w="0" w:type="dxa"/>
        <w:right w:w="0" w:type="dxa"/>
        <w:bottom w:w="0" w:type="dxa"/>
      </w:tblCellMar>
    </w:tblPr>
  </w:style>
  <w:style w:type="table" w:styleId="969" w:customStyle="1">
    <w:name w:val="List Table 1 Light - Accent 3"/>
    <w:uiPriority w:val="99"/>
    <w:qFormat/>
    <w:tblPr>
      <w:tblCellMar>
        <w:left w:w="0" w:type="dxa"/>
        <w:top w:w="0" w:type="dxa"/>
        <w:right w:w="0" w:type="dxa"/>
        <w:bottom w:w="0" w:type="dxa"/>
      </w:tblCellMar>
    </w:tblPr>
  </w:style>
  <w:style w:type="table" w:styleId="970" w:customStyle="1">
    <w:name w:val="List Table 1 Light - Accent 4"/>
    <w:uiPriority w:val="99"/>
    <w:qFormat/>
    <w:tblPr>
      <w:tblCellMar>
        <w:left w:w="0" w:type="dxa"/>
        <w:top w:w="0" w:type="dxa"/>
        <w:right w:w="0" w:type="dxa"/>
        <w:bottom w:w="0" w:type="dxa"/>
      </w:tblCellMar>
    </w:tblPr>
  </w:style>
  <w:style w:type="table" w:styleId="971" w:customStyle="1">
    <w:name w:val="List Table 1 Light - Accent 5"/>
    <w:uiPriority w:val="99"/>
    <w:qFormat/>
    <w:tblPr>
      <w:tblCellMar>
        <w:left w:w="0" w:type="dxa"/>
        <w:top w:w="0" w:type="dxa"/>
        <w:right w:w="0" w:type="dxa"/>
        <w:bottom w:w="0" w:type="dxa"/>
      </w:tblCellMar>
    </w:tblPr>
  </w:style>
  <w:style w:type="table" w:styleId="972" w:customStyle="1">
    <w:name w:val="List Table 1 Light - Accent 6"/>
    <w:uiPriority w:val="99"/>
    <w:qFormat/>
    <w:tblPr>
      <w:tblCellMar>
        <w:left w:w="0" w:type="dxa"/>
        <w:top w:w="0" w:type="dxa"/>
        <w:right w:w="0" w:type="dxa"/>
        <w:bottom w:w="0" w:type="dxa"/>
      </w:tblCellMar>
    </w:tblPr>
  </w:style>
  <w:style w:type="table" w:styleId="9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5" w:customStyle="1">
    <w:name w:val="Lined - Accent"/>
    <w:uiPriority w:val="99"/>
    <w:qFormat/>
    <w:rPr>
      <w:color w:val="404040"/>
    </w:rPr>
    <w:tblPr>
      <w:tblCellMar>
        <w:left w:w="0" w:type="dxa"/>
        <w:top w:w="0" w:type="dxa"/>
        <w:right w:w="0" w:type="dxa"/>
        <w:bottom w:w="0" w:type="dxa"/>
      </w:tblCellMar>
    </w:tblPr>
  </w:style>
  <w:style w:type="table" w:styleId="1016" w:customStyle="1">
    <w:name w:val="Lined - Accent 1"/>
    <w:uiPriority w:val="99"/>
    <w:qFormat/>
    <w:rPr>
      <w:color w:val="404040"/>
    </w:rPr>
    <w:tblPr>
      <w:tblCellMar>
        <w:left w:w="0" w:type="dxa"/>
        <w:top w:w="0" w:type="dxa"/>
        <w:right w:w="0" w:type="dxa"/>
        <w:bottom w:w="0" w:type="dxa"/>
      </w:tblCellMar>
    </w:tblPr>
  </w:style>
  <w:style w:type="table" w:styleId="1017" w:customStyle="1">
    <w:name w:val="Lined - Accent 2"/>
    <w:uiPriority w:val="99"/>
    <w:qFormat/>
    <w:rPr>
      <w:color w:val="404040"/>
    </w:rPr>
    <w:tblPr>
      <w:tblCellMar>
        <w:left w:w="0" w:type="dxa"/>
        <w:top w:w="0" w:type="dxa"/>
        <w:right w:w="0" w:type="dxa"/>
        <w:bottom w:w="0" w:type="dxa"/>
      </w:tblCellMar>
    </w:tblPr>
  </w:style>
  <w:style w:type="table" w:styleId="1018" w:customStyle="1">
    <w:name w:val="Lined - Accent 3"/>
    <w:uiPriority w:val="99"/>
    <w:qFormat/>
    <w:rPr>
      <w:color w:val="404040"/>
    </w:rPr>
    <w:tblPr>
      <w:tblCellMar>
        <w:left w:w="0" w:type="dxa"/>
        <w:top w:w="0" w:type="dxa"/>
        <w:right w:w="0" w:type="dxa"/>
        <w:bottom w:w="0" w:type="dxa"/>
      </w:tblCellMar>
    </w:tblPr>
  </w:style>
  <w:style w:type="table" w:styleId="1019" w:customStyle="1">
    <w:name w:val="Lined - Accent 4"/>
    <w:uiPriority w:val="99"/>
    <w:qFormat/>
    <w:rPr>
      <w:color w:val="404040"/>
    </w:rPr>
    <w:tblPr>
      <w:tblCellMar>
        <w:left w:w="0" w:type="dxa"/>
        <w:top w:w="0" w:type="dxa"/>
        <w:right w:w="0" w:type="dxa"/>
        <w:bottom w:w="0" w:type="dxa"/>
      </w:tblCellMar>
    </w:tblPr>
  </w:style>
  <w:style w:type="table" w:styleId="1020" w:customStyle="1">
    <w:name w:val="Lined - Accent 5"/>
    <w:uiPriority w:val="99"/>
    <w:qFormat/>
    <w:rPr>
      <w:color w:val="404040"/>
    </w:rPr>
    <w:tblPr>
      <w:tblCellMar>
        <w:left w:w="0" w:type="dxa"/>
        <w:top w:w="0" w:type="dxa"/>
        <w:right w:w="0" w:type="dxa"/>
        <w:bottom w:w="0" w:type="dxa"/>
      </w:tblCellMar>
    </w:tblPr>
  </w:style>
  <w:style w:type="table" w:styleId="1021" w:customStyle="1">
    <w:name w:val="Lined - Accent 6"/>
    <w:uiPriority w:val="99"/>
    <w:qFormat/>
    <w:rPr>
      <w:color w:val="404040"/>
    </w:rPr>
    <w:tblPr>
      <w:tblCellMar>
        <w:left w:w="0" w:type="dxa"/>
        <w:top w:w="0" w:type="dxa"/>
        <w:right w:w="0" w:type="dxa"/>
        <w:bottom w:w="0" w:type="dxa"/>
      </w:tblCellMar>
    </w:tblPr>
  </w:style>
  <w:style w:type="table" w:styleId="10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6" w:customStyle="1">
    <w:name w:val="脚注文本 Char"/>
    <w:link w:val="853"/>
    <w:uiPriority w:val="99"/>
    <w:semiHidden/>
    <w:qFormat/>
    <w:rPr>
      <w:sz w:val="18"/>
      <w:lang w:bidi="ar-SA"/>
    </w:rPr>
  </w:style>
  <w:style w:type="character" w:styleId="1037" w:customStyle="1">
    <w:name w:val="尾注文本 Char"/>
    <w:link w:val="846"/>
    <w:uiPriority w:val="99"/>
    <w:semiHidden/>
    <w:qFormat/>
    <w:rPr>
      <w:lang w:val="en-US" w:eastAsia="zh-CN" w:bidi="ar-SA"/>
    </w:rPr>
  </w:style>
  <w:style w:type="paragraph" w:styleId="1038" w:customStyle="1">
    <w:name w:val="TOC 标题1"/>
    <w:basedOn w:val="823"/>
    <w:next w:val="822"/>
    <w:uiPriority w:val="0"/>
    <w:qFormat/>
    <w:pPr>
      <w:spacing w:before="480" w:after="0" w:line="276" w:lineRule="auto"/>
      <w:outlineLvl w:val="9"/>
    </w:pPr>
    <w:rPr>
      <w:rFonts w:ascii="Cambria" w:hAnsi="Cambria"/>
      <w:bCs/>
      <w:color w:val="365f91"/>
      <w:sz w:val="28"/>
      <w:szCs w:val="28"/>
    </w:rPr>
  </w:style>
  <w:style w:type="character" w:styleId="1039" w:customStyle="1">
    <w:name w:val="Plain Text Char Char"/>
    <w:uiPriority w:val="0"/>
    <w:qFormat/>
    <w:rPr>
      <w:rFonts w:ascii="宋体" w:hAnsi="Courier New" w:eastAsia="楷体_GB2312"/>
      <w:sz w:val="26"/>
      <w:lang w:val="en-US" w:eastAsia="zh-CN" w:bidi="ar-SA"/>
    </w:rPr>
  </w:style>
  <w:style w:type="character" w:styleId="1040" w:customStyle="1">
    <w:name w:val="s2"/>
    <w:basedOn w:val="829"/>
    <w:uiPriority w:val="0"/>
    <w:qFormat/>
  </w:style>
  <w:style w:type="character" w:styleId="1041" w:customStyle="1">
    <w:name w:val="纯文本 Char"/>
    <w:link w:val="842"/>
    <w:uiPriority w:val="0"/>
    <w:qFormat/>
    <w:rPr>
      <w:rFonts w:ascii="宋体" w:hAnsi="Courier New" w:eastAsia="楷体_GB2312"/>
      <w:sz w:val="26"/>
      <w:lang w:val="en-US" w:eastAsia="zh-CN" w:bidi="ar-SA"/>
    </w:rPr>
  </w:style>
  <w:style w:type="character" w:styleId="1042" w:customStyle="1">
    <w:name w:val="正文缩进 Char"/>
    <w:link w:val="1043"/>
    <w:uiPriority w:val="0"/>
    <w:qFormat/>
    <w:rPr>
      <w:rFonts w:eastAsia="楷体_GB2312"/>
      <w:sz w:val="24"/>
      <w:lang w:val="en-US" w:eastAsia="zh-CN" w:bidi="ar-SA"/>
    </w:rPr>
  </w:style>
  <w:style w:type="paragraph" w:styleId="1043" w:customStyle="1">
    <w:name w:val="正文缩进1"/>
    <w:basedOn w:val="822"/>
    <w:link w:val="1042"/>
    <w:uiPriority w:val="0"/>
    <w:qFormat/>
    <w:pPr>
      <w:ind w:firstLine="420"/>
    </w:pPr>
    <w:rPr>
      <w:rFonts w:eastAsia="楷体_GB2312"/>
      <w:sz w:val="24"/>
    </w:rPr>
  </w:style>
  <w:style w:type="character" w:styleId="1044" w:customStyle="1">
    <w:name w:val="页脚 Char"/>
    <w:link w:val="848"/>
    <w:uiPriority w:val="0"/>
    <w:qFormat/>
    <w:rPr>
      <w:rFonts w:eastAsia="楷体_GB2312"/>
      <w:sz w:val="18"/>
    </w:rPr>
  </w:style>
  <w:style w:type="character" w:styleId="1045" w:customStyle="1">
    <w:name w:val="正文文本缩进 Char"/>
    <w:link w:val="838"/>
    <w:uiPriority w:val="0"/>
    <w:qFormat/>
    <w:rPr>
      <w:rFonts w:ascii="方正仿宋简体" w:hAnsi="创艺简仿宋" w:eastAsia="方正仿宋简体"/>
      <w:sz w:val="24"/>
    </w:rPr>
  </w:style>
  <w:style w:type="character" w:styleId="1046" w:customStyle="1">
    <w:name w:val="日期 Char"/>
    <w:link w:val="844"/>
    <w:uiPriority w:val="0"/>
    <w:qFormat/>
    <w:rPr>
      <w:rFonts w:ascii="宋体" w:hAnsi="宋体" w:eastAsia="楷体_GB2312"/>
      <w:sz w:val="24"/>
    </w:rPr>
  </w:style>
  <w:style w:type="character" w:styleId="1047" w:customStyle="1">
    <w:name w:val="普通文字 Char Char"/>
    <w:uiPriority w:val="0"/>
    <w:qFormat/>
    <w:rPr>
      <w:rFonts w:ascii="宋体" w:hAnsi="Courier New" w:eastAsia="楷体_GB2312"/>
      <w:sz w:val="26"/>
      <w:lang w:val="en-US" w:eastAsia="zh-CN" w:bidi="ar-SA"/>
    </w:rPr>
  </w:style>
  <w:style w:type="character" w:styleId="1048" w:customStyle="1">
    <w:name w:val="批注文字 Char"/>
    <w:link w:val="836"/>
    <w:uiPriority w:val="0"/>
    <w:semiHidden/>
    <w:qFormat/>
    <w:rPr>
      <w:rFonts w:eastAsia="楷体_GB2312"/>
      <w:sz w:val="26"/>
    </w:rPr>
  </w:style>
  <w:style w:type="paragraph" w:styleId="1049" w:customStyle="1">
    <w:name w:val="样式2"/>
    <w:basedOn w:val="850"/>
    <w:uiPriority w:val="0"/>
    <w:qFormat/>
    <w:pPr>
      <w:jc w:val="both"/>
      <w:tabs>
        <w:tab w:val="right" w:pos="9026" w:leader="dot"/>
      </w:tabs>
    </w:pPr>
    <w:rPr>
      <w:rFonts w:ascii="宋体" w:hAnsi="宋体"/>
      <w:b/>
      <w:bCs/>
      <w:sz w:val="30"/>
    </w:rPr>
  </w:style>
  <w:style w:type="paragraph" w:styleId="1050" w:customStyle="1">
    <w:name w:val="p2"/>
    <w:basedOn w:val="822"/>
    <w:uiPriority w:val="0"/>
    <w:qFormat/>
    <w:pPr>
      <w:spacing w:before="100" w:beforeAutospacing="1" w:after="100" w:afterAutospacing="1"/>
    </w:pPr>
    <w:rPr>
      <w:rFonts w:ascii="宋体" w:hAnsi="宋体"/>
      <w:sz w:val="24"/>
      <w:szCs w:val="24"/>
    </w:rPr>
  </w:style>
  <w:style w:type="paragraph" w:styleId="1051" w:customStyle="1">
    <w:name w:val="Plain Text1"/>
    <w:basedOn w:val="822"/>
    <w:uiPriority w:val="0"/>
    <w:qFormat/>
    <w:rPr>
      <w:rFonts w:ascii="宋体" w:hAnsi="Courier New"/>
      <w:sz w:val="28"/>
    </w:rPr>
  </w:style>
  <w:style w:type="paragraph" w:styleId="1052" w:customStyle="1">
    <w:name w:val="_Style 12"/>
    <w:basedOn w:val="835"/>
    <w:uiPriority w:val="0"/>
    <w:qFormat/>
    <w:pPr>
      <w:spacing w:line="360" w:lineRule="auto"/>
    </w:pPr>
    <w:rPr>
      <w:sz w:val="21"/>
      <w:szCs w:val="24"/>
    </w:rPr>
  </w:style>
  <w:style w:type="paragraph" w:styleId="1053" w:customStyle="1">
    <w:name w:val="Char1"/>
    <w:basedOn w:val="822"/>
    <w:uiPriority w:val="0"/>
    <w:qFormat/>
    <w:rPr>
      <w:rFonts w:ascii="Tahoma" w:hAnsi="Tahoma"/>
      <w:sz w:val="24"/>
    </w:rPr>
  </w:style>
  <w:style w:type="paragraph" w:styleId="1054" w:customStyle="1">
    <w:name w:val="Char"/>
    <w:basedOn w:val="822"/>
    <w:uiPriority w:val="0"/>
    <w:qFormat/>
    <w:rPr>
      <w:sz w:val="21"/>
      <w:szCs w:val="24"/>
    </w:rPr>
  </w:style>
  <w:style w:type="paragraph" w:styleId="1055" w:customStyle="1">
    <w:name w:val="纯文本1"/>
    <w:basedOn w:val="822"/>
    <w:uiPriority w:val="0"/>
    <w:qFormat/>
    <w:rPr>
      <w:rFonts w:ascii="宋体" w:hAnsi="Courier New"/>
      <w:sz w:val="24"/>
      <w:szCs w:val="24"/>
    </w:rPr>
  </w:style>
  <w:style w:type="paragraph" w:styleId="1056" w:customStyle="1">
    <w:name w:val="正文 A"/>
    <w:uiPriority w:val="0"/>
    <w:qFormat/>
    <w:pPr>
      <w:jc w:val="both"/>
      <w:widowControl w:val="off"/>
      <w:framePr w:wrap="around" w:vAnchor="margin" w:hAnchor="text" w:y="1"/>
    </w:pPr>
    <w:rPr>
      <w:rFonts w:ascii="Times New Roman" w:hAnsi="Arial Unicode MS" w:eastAsia="Times New Roman" w:cs="Times New Roman"/>
      <w:color w:val="000000"/>
      <w:sz w:val="21"/>
      <w:szCs w:val="21"/>
      <w:lang w:val="en-US" w:eastAsia="zh-CN" w:bidi="ar-SA"/>
    </w:rPr>
  </w:style>
  <w:style w:type="paragraph" w:styleId="1057" w:customStyle="1">
    <w:name w:val="font7"/>
    <w:basedOn w:val="822"/>
    <w:uiPriority w:val="0"/>
    <w:qFormat/>
    <w:pPr>
      <w:spacing w:before="100" w:beforeAutospacing="1" w:after="100" w:afterAutospacing="1"/>
    </w:pPr>
  </w:style>
  <w:style w:type="paragraph" w:styleId="1058" w:customStyle="1">
    <w:name w:val="Char Char Char"/>
    <w:basedOn w:val="822"/>
    <w:uiPriority w:val="0"/>
    <w:qFormat/>
    <w:pPr>
      <w:numPr>
        <w:ilvl w:val="0"/>
        <w:numId w:val="1"/>
      </w:numPr>
      <w:tabs>
        <w:tab w:val="left" w:pos="840" w:leader="none"/>
      </w:tabs>
    </w:pPr>
  </w:style>
  <w:style w:type="paragraph" w:styleId="1059" w:customStyle="1">
    <w:name w:val="Char2"/>
    <w:basedOn w:val="822"/>
    <w:uiPriority w:val="0"/>
    <w:qFormat/>
    <w:rPr>
      <w:rFonts w:ascii="Tahoma" w:hAnsi="Tahoma"/>
      <w:sz w:val="24"/>
    </w:rPr>
  </w:style>
  <w:style w:type="paragraph" w:styleId="1060" w:customStyle="1">
    <w:name w:val="默认段落字体 Para Char Char Char Char Char Char Char"/>
    <w:basedOn w:val="822"/>
    <w:uiPriority w:val="0"/>
    <w:qFormat/>
    <w:rPr>
      <w:sz w:val="21"/>
      <w:szCs w:val="24"/>
    </w:rPr>
  </w:style>
  <w:style w:type="paragraph" w:styleId="1061" w:customStyle="1">
    <w:name w:val="样式1"/>
    <w:basedOn w:val="850"/>
    <w:uiPriority w:val="0"/>
    <w:qFormat/>
    <w:pPr>
      <w:jc w:val="both"/>
      <w:tabs>
        <w:tab w:val="right" w:pos="9026" w:leader="dot"/>
      </w:tabs>
    </w:pPr>
    <w:rPr>
      <w:rFonts w:ascii="宋体" w:hAnsi="宋体"/>
      <w:b/>
      <w:bCs/>
      <w:sz w:val="30"/>
    </w:rPr>
  </w:style>
  <w:style w:type="paragraph" w:styleId="1062" w:customStyle="1">
    <w:name w:val="hidinshow"/>
    <w:basedOn w:val="822"/>
    <w:uiPriority w:val="0"/>
    <w:qFormat/>
    <w:pPr>
      <w:spacing w:before="100" w:beforeAutospacing="1" w:after="100" w:afterAutospacing="1"/>
    </w:pPr>
    <w:rPr>
      <w:rFonts w:ascii="宋体" w:hAnsi="宋体"/>
      <w:sz w:val="24"/>
      <w:szCs w:val="24"/>
    </w:rPr>
  </w:style>
  <w:style w:type="character" w:styleId="1063" w:customStyle="1">
    <w:name w:val="正文缩进 Char1"/>
    <w:uiPriority w:val="0"/>
    <w:qFormat/>
    <w:rPr>
      <w:rFonts w:ascii="Times New Roman" w:hAnsi="Times New Roman" w:eastAsia="楷体_GB2312"/>
      <w:sz w:val="24"/>
      <w:szCs w:val="20"/>
    </w:rPr>
  </w:style>
  <w:style w:type="paragraph" w:styleId="1064" w:customStyle="1">
    <w:name w:val="修订1"/>
    <w:hidden/>
    <w:uiPriority w:val="99"/>
    <w:semiHidden/>
    <w:qFormat/>
    <w:rPr>
      <w:rFonts w:ascii="Times New Roman" w:hAnsi="Times New Roman" w:eastAsia="宋体" w:cs="Times New Roman"/>
      <w:lang w:val="en-US" w:eastAsia="zh-CN" w:bidi="ar-SA"/>
    </w:rPr>
  </w:style>
  <w:style w:type="table" w:styleId="1065" w:customStyle="1">
    <w:name w:val="Table Normal"/>
    <w:uiPriority w:val="0"/>
    <w:unhideWhenUsed/>
    <w:qFormat/>
    <w:tblPr>
      <w:tblCellMar>
        <w:left w:w="0" w:type="dxa"/>
        <w:top w:w="0" w:type="dxa"/>
        <w:right w:w="0" w:type="dxa"/>
        <w:bottom w:w="0" w:type="dxa"/>
      </w:tblCellMar>
    </w:tblPr>
  </w:style>
  <w:style w:type="paragraph" w:styleId="1066" w:customStyle="1">
    <w:name w:val="纯文本2"/>
    <w:basedOn w:val="822"/>
    <w:uiPriority w:val="0"/>
    <w:qFormat/>
    <w:rPr>
      <w:rFonts w:ascii="宋体" w:hAnsi="Courier New" w:eastAsia="楷体_GB2312"/>
      <w:sz w:val="28"/>
    </w:rPr>
  </w:style>
  <w:style w:type="paragraph" w:styleId="1067" w:customStyle="1">
    <w:name w:val="纯文本21"/>
    <w:basedOn w:val="822"/>
    <w:uiPriority w:val="0"/>
    <w:qFormat/>
    <w:rPr>
      <w:rFonts w:ascii="宋体" w:hAnsi="Courier New"/>
      <w:sz w:val="28"/>
    </w:rPr>
  </w:style>
  <w:style w:type="paragraph" w:styleId="1068" w:customStyle="1">
    <w:name w:val="纯文本3"/>
    <w:basedOn w:val="822"/>
    <w:uiPriority w:val="0"/>
    <w:qFormat/>
    <w:rPr>
      <w:rFonts w:ascii="宋体" w:hAnsi="Courier New"/>
      <w:sz w:val="28"/>
    </w:rPr>
  </w:style>
  <w:style w:type="character" w:styleId="1069" w:customStyle="1">
    <w:name w:val="标题 1 Char"/>
    <w:link w:val="823"/>
    <w:uiPriority w:val="0"/>
    <w:qFormat/>
    <w:rPr>
      <w:b/>
      <w:sz w:val="44"/>
    </w:rPr>
  </w:style>
  <w:style w:type="paragraph" w:styleId="1070" w:customStyle="1">
    <w:name w:val="Default"/>
    <w:next w:val="822"/>
    <w:uiPriority w:val="99"/>
    <w:unhideWhenUsed/>
    <w:qFormat/>
    <w:pPr>
      <w:widowControl w:val="off"/>
    </w:pPr>
    <w:rPr>
      <w:rFonts w:ascii="宋体" w:hAnsi="宋体" w:eastAsia="宋体" w:cs="Times New Roman"/>
      <w:color w:val="000000"/>
      <w:sz w:val="24"/>
      <w:szCs w:val="24"/>
      <w:lang w:val="en-US" w:eastAsia="zh-CN" w:bidi="ar-SA"/>
    </w:rPr>
  </w:style>
  <w:style w:type="paragraph" w:styleId="1071" w:customStyle="1">
    <w:name w:val="段"/>
    <w:next w:val="822"/>
    <w:uiPriority w:val="0"/>
    <w:qFormat/>
    <w:pPr>
      <w:ind w:firstLine="200"/>
      <w:jc w:val="both"/>
    </w:pPr>
    <w:rPr>
      <w:rFonts w:ascii="宋体" w:hAnsi="Times New Roman" w:eastAsia="宋体" w:cs="Times New Roman"/>
      <w:sz w:val="21"/>
      <w:lang w:val="en-US" w:eastAsia="zh-CN" w:bidi="ar-SA"/>
    </w:rPr>
  </w:style>
  <w:style w:type="paragraph" w:styleId="1072" w:customStyle="1">
    <w:name w:val="_正文段落"/>
    <w:basedOn w:val="822"/>
    <w:uiPriority w:val="0"/>
    <w:qFormat/>
    <w:pPr>
      <w:ind w:firstLine="480"/>
      <w:spacing w:line="360" w:lineRule="auto"/>
    </w:pPr>
    <w:rPr>
      <w:rFonts w:ascii="宋体" w:hAnsi="宋体"/>
      <w:sz w:val="24"/>
      <w:szCs w:val="24"/>
    </w:rPr>
  </w:style>
  <w:style w:type="paragraph" w:styleId="1073" w:customStyle="1">
    <w:name w:val="纯文本4"/>
    <w:basedOn w:val="822"/>
    <w:uiPriority w:val="0"/>
    <w:qFormat/>
    <w:rPr>
      <w:rFonts w:ascii="宋体" w:hAnsi="Courier New" w:eastAsia="楷体_GB2312"/>
      <w:sz w:val="28"/>
    </w:rPr>
  </w:style>
  <w:style w:type="paragraph" w:styleId="1074" w:customStyle="1">
    <w:name w:val="文档结构图1"/>
    <w:basedOn w:val="822"/>
    <w:uiPriority w:val="99"/>
    <w:qFormat/>
    <w:pPr>
      <w:shd w:val="clear" w:color="auto" w:fill="000080"/>
    </w:pPr>
  </w:style>
  <w:style w:type="paragraph" w:styleId="1075" w:customStyle="1">
    <w:name w:val="Table Text"/>
    <w:basedOn w:val="822"/>
    <w:uiPriority w:val="0"/>
    <w:semiHidden/>
    <w:qFormat/>
    <w:rPr>
      <w:rFonts w:ascii="宋体" w:hAnsi="宋体" w:cs="宋体"/>
    </w:rPr>
  </w:style>
  <w:style w:type="paragraph" w:styleId="1076" w:customStyle="1">
    <w:name w:val="msolistparagraph"/>
    <w:basedOn w:val="822"/>
    <w:uiPriority w:val="0"/>
    <w:qFormat/>
    <w:pPr>
      <w:ind w:firstLine="420"/>
      <w:jc w:val="both"/>
      <w:widowControl w:val="off"/>
    </w:pPr>
    <w:rPr>
      <w:rFonts w:ascii="Calibri" w:hAnsi="Calibri"/>
      <w:sz w:val="21"/>
      <w:szCs w:val="22"/>
    </w:rPr>
  </w:style>
  <w:style w:type="character" w:styleId="1077" w:customStyle="1">
    <w:name w:val="NormalCharacter"/>
    <w:uiPriority w:val="0"/>
    <w:semiHidden/>
    <w:qFormat/>
  </w:style>
  <w:style w:type="paragraph" w:styleId="1078" w:customStyle="1">
    <w:name w:val="_Style 5"/>
    <w:basedOn w:val="822"/>
    <w:uiPriority w:val="34"/>
    <w:qFormat/>
    <w:pPr>
      <w:ind w:firstLine="420"/>
    </w:pPr>
    <w:rPr>
      <w:sz w:val="24"/>
    </w:rPr>
  </w:style>
  <w:style w:type="paragraph" w:styleId="1079">
    <w:name w:val="List Paragraph"/>
    <w:basedOn w:val="822"/>
    <w:uiPriority w:val="34"/>
    <w:qFormat/>
    <w:pPr>
      <w:ind w:firstLine="420"/>
    </w:pPr>
    <w:rPr>
      <w:sz w:val="21"/>
      <w:szCs w:val="24"/>
    </w:rPr>
  </w:style>
  <w:style w:type="paragraph" w:styleId="1080" w:customStyle="1">
    <w:name w:val="正文文本1"/>
    <w:basedOn w:val="822"/>
    <w:uiPriority w:val="0"/>
    <w:qFormat/>
    <w:pPr>
      <w:jc w:val="center"/>
    </w:pPr>
    <w:rPr>
      <w:rFonts w:ascii="方正大黑简体" w:hAnsi="Tahoma" w:eastAsia="方正大黑简体"/>
      <w:position w:val="6"/>
      <w:sz w:val="30"/>
      <w:lang w:eastAsia="en-US"/>
    </w:rPr>
  </w:style>
  <w:style w:type="paragraph" w:styleId="1081" w:customStyle="1">
    <w:name w:val="注释标题1"/>
    <w:basedOn w:val="822"/>
    <w:next w:val="822"/>
    <w:uiPriority w:val="0"/>
    <w:qFormat/>
    <w:pPr>
      <w:jc w:val="center"/>
    </w:pPr>
    <w:rPr>
      <w:sz w:val="20"/>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54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03"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87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16"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987"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006"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93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4286af19-c2de-4d9c-875e-865e31364c10</errorID>
      <errorWord>招标（采购）</errorWord>
      <group>L1_AI</group>
      <groupName>深度校对</groupName>
      <ability>L2_AI_Grammar</ability>
      <abilityName>语法纠错</abilityName>
      <candidateList>
        <item>招标</item>
      </candidateList>
      <explain/>
      <paraID>5B3AD1DB</paraID>
      <start>39</start>
      <end>45</end>
      <status>unmodified</status>
      <modifiedWord/>
      <trackRevisions>false</trackRevisions>
    </reviewItem>
    <reviewItem>
      <errorID>64246483-9e2e-4777-b167-2d71d808c8f1</errorID>
      <errorWord>。</errorWord>
      <group>L1_AI</group>
      <groupName>深度校对</groupName>
      <ability>L2_AI_Punc</ability>
      <abilityName>标点纠错</abilityName>
      <candidateList>
        <item>，</item>
      </candidateList>
      <explain/>
      <paraID>34A00248</paraID>
      <start>51</start>
      <end>52</end>
      <status>unmodified</status>
      <modifiedWord/>
      <trackRevisions>false</trackRevisions>
    </reviewItem>
    <reviewItem>
      <errorID>eca409db-5992-4f9b-9c5b-832dc3a8d1a7</errorID>
      <errorWord>：</errorWord>
      <group>L1_Punc</group>
      <groupName>标点问题</groupName>
      <ability>L2_Punc</ability>
      <abilityName>标点符号检查</abilityName>
      <candidateList/>
      <explain/>
      <paraID>25DFEB8F</paraID>
      <start>44</start>
      <end>45</end>
      <status>unmodified</status>
      <modifiedWord/>
      <trackRevisions>false</trackRevisions>
    </reviewItem>
    <reviewItem>
      <errorID>70fdb0b0-e81d-46fc-a2b9-b93db5d9f7c7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EE4960</paraID>
      <start>51</start>
      <end>52</end>
      <status>unmodified</status>
      <modifiedWord/>
      <trackRevisions>false</trackRevisions>
    </reviewItem>
    <reviewItem>
      <errorID>3ca02b16-6ff8-4ee5-a9e6-8f778cd80be7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6D6B2C37</paraID>
      <start>50</start>
      <end>51</end>
      <status>unmodified</status>
      <modifiedWord/>
      <trackRevisions>false</trackRevisions>
    </reviewItem>
    <reviewItem>
      <errorID>c3aa243b-f292-4281-9bf6-efca17d71c71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3EFD8564</paraID>
      <start>50</start>
      <end>51</end>
      <status>unmodified</status>
      <modifiedWord/>
      <trackRevisions>false</trackRevisions>
    </reviewItem>
    <reviewItem>
      <errorID>a8a8d144-8dc1-4353-a04e-9f4849095868</errorID>
      <errorWord>：</errorWord>
      <group>L1_Punc</group>
      <groupName>标点问题</groupName>
      <ability>L2_Punc</ability>
      <abilityName>标点符号检查</abilityName>
      <candidateList/>
      <explain/>
      <paraID>42B4EEF2</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D7F5961-B511-4297-9E0B-9226C0D64A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ruyi</dc:creator>
  <cp:lastModifiedBy>俞莉</cp:lastModifiedBy>
  <cp:revision>42</cp:revision>
  <dcterms:created xsi:type="dcterms:W3CDTF">2023-04-06T13:23:00Z</dcterms:created>
  <dcterms:modified xsi:type="dcterms:W3CDTF">2026-09-18T07:38:59Z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BFD3F8EFFECC438498B902EA51BD4821_13</vt:lpwstr>
  </property>
  <property fmtid="{D5CDD505-2E9C-101B-9397-08002B2CF9AE}" pid="4" name="KSOTemplateDocerSaveRecord">
    <vt:lpwstr>eyJoZGlkIjoiZTljYzUxZDIxMjIyOTQ5MTdiMjczMzEzYTBjYzFjZGEiLCJ1c2VySWQiOiIyOTQ1NzYwNTUifQ==</vt:lpwstr>
  </property>
</Properties>
</file>