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843"/>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p>
    <w:p>
      <w:pPr>
        <w:pStyle w:val="84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84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84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JSZC-320200-JZCG-G2026-0073</w:t>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市民中心保洁服务外包</w:t>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无锡市机关事务管理局</w:t>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84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84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84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843"/>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p>
    <w:p>
      <w:pPr>
        <w:pStyle w:val="843"/>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二〇二六年八月</w:t>
      </w:r>
      <w:r/>
    </w:p>
    <w:p>
      <w:pPr>
        <w:pStyle w:val="836"/>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br w:type="page" w:clear="all"/>
      </w:r>
      <w:r>
        <w:rPr>
          <w:b/>
          <w:bCs/>
          <w:color w:val="000000" w:themeColor="text1"/>
          <w:spacing w:val="26"/>
          <w:sz w:val="44"/>
          <w:szCs w:val="44"/>
          <w:highlight w:val="none"/>
        </w:rPr>
        <w:t xml:space="preserve">总目录</w:t>
      </w:r>
      <w:r/>
    </w:p>
    <w:p>
      <w:pPr>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56</w:t>
      </w:r>
      <w:r>
        <w:rPr>
          <w:b/>
          <w:bCs/>
          <w:color w:val="000000" w:themeColor="text1"/>
          <w:spacing w:val="-8"/>
          <w:highlight w:val="none"/>
        </w:rPr>
        <w:fldChar w:fldCharType="end"/>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64</w:t>
      </w:r>
      <w:r>
        <w:rPr>
          <w:b/>
          <w:bCs/>
          <w:color w:val="000000" w:themeColor="text1"/>
          <w:spacing w:val="4"/>
          <w:highlight w:val="none"/>
        </w:rPr>
        <w:fldChar w:fldCharType="end"/>
      </w:r>
      <w:r/>
    </w:p>
    <w:p>
      <w:pPr>
        <w:pStyle w:val="836"/>
        <w:ind w:left="3497"/>
        <w:keepLines w:val="0"/>
        <w:keepNext w:val="0"/>
        <w:pageBreakBefore w:val="0"/>
        <w:spacing w:before="105" w:line="214" w:lineRule="auto"/>
        <w:widowControl/>
        <w:rPr>
          <w:color w:val="000000" w:themeColor="text1"/>
          <w:sz w:val="44"/>
          <w:szCs w:val="44"/>
          <w:highlight w:val="none"/>
        </w:rPr>
        <w:outlineLvl w:val="0"/>
      </w:pPr>
      <w:r/>
      <w:bookmarkStart w:id="0" w:name="bookmark1"/>
      <w:r/>
      <w:bookmarkEnd w:id="0"/>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p>
    <w:p>
      <w:pPr>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p>
    <w:p>
      <w:pPr>
        <w:ind w:left="9" w:right="44" w:firstLine="50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无锡市机关事务管理局</w:t>
      </w:r>
      <w:r>
        <w:rPr>
          <w:rFonts w:ascii="宋体" w:hAnsi="宋体" w:eastAsia="宋体" w:cs="宋体"/>
          <w:color w:val="000000" w:themeColor="text1"/>
          <w:spacing w:val="18"/>
          <w:sz w:val="21"/>
          <w:szCs w:val="21"/>
          <w:highlight w:val="none"/>
        </w:rPr>
        <w:t xml:space="preserve">的委托，无锡市公共资源交易中心就市民中心保洁服务外包（</w:t>
      </w:r>
      <w:r>
        <w:rPr>
          <w:rFonts w:hint="eastAsia" w:ascii="宋体" w:hAnsi="宋体" w:eastAsia="宋体" w:cs="宋体"/>
          <w:color w:val="000000" w:themeColor="text1"/>
          <w:spacing w:val="18"/>
          <w:sz w:val="21"/>
          <w:szCs w:val="21"/>
          <w:highlight w:val="none"/>
        </w:rPr>
        <w:t xml:space="preserve">JSZC-320200-JZCG-G2026-0073</w:t>
      </w:r>
      <w:r>
        <w:rPr>
          <w:rFonts w:ascii="宋体" w:hAnsi="宋体" w:eastAsia="宋体" w:cs="宋体"/>
          <w:color w:val="000000" w:themeColor="text1"/>
          <w:spacing w:val="20"/>
          <w:sz w:val="21"/>
          <w:szCs w:val="21"/>
          <w:highlight w:val="none"/>
        </w:rPr>
        <w:t xml:space="preserve">）进行公开招标采购，欢迎符合条件的供应商投标。</w:t>
      </w:r>
      <w:r/>
    </w:p>
    <w:p>
      <w:pPr>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p>
    <w:p>
      <w:pPr>
        <w:ind w:left="9" w:right="86" w:firstLine="127"/>
        <w:jc w:val="both"/>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市民中心保洁服务外包采购项目的潜在投标人应在“江苏政府采购网”自行浏览招标文件，如有投标意向须在本招标文件有效获取期内通过登录“江苏省政府采购（苏采云）平台”下载的方式依法获取招</w:t>
      </w:r>
      <w:r>
        <w:rPr>
          <w:rFonts w:ascii="宋体" w:hAnsi="宋体" w:eastAsia="宋体" w:cs="宋体"/>
          <w:color w:val="000000" w:themeColor="text1"/>
          <w:spacing w:val="17"/>
          <w:sz w:val="21"/>
          <w:szCs w:val="21"/>
          <w:highlight w:val="none"/>
        </w:rPr>
        <w:t xml:space="preserve">标文件，并于提交</w:t>
      </w:r>
      <w:r>
        <w:rPr>
          <w:rFonts w:ascii="宋体" w:hAnsi="宋体" w:eastAsia="宋体" w:cs="宋体"/>
          <w:color w:val="000000" w:themeColor="text1"/>
          <w:spacing w:val="64"/>
          <w:sz w:val="21"/>
          <w:szCs w:val="21"/>
          <w:highlight w:val="none"/>
        </w:rPr>
        <w:t xml:space="preserve"> </w:t>
      </w:r>
      <w:r>
        <w:rPr>
          <w:rFonts w:ascii="宋体" w:hAnsi="宋体" w:eastAsia="宋体" w:cs="宋体"/>
          <w:color w:val="000000" w:themeColor="text1"/>
          <w:spacing w:val="17"/>
          <w:sz w:val="21"/>
          <w:szCs w:val="21"/>
          <w:highlight w:val="none"/>
        </w:rPr>
        <w:t xml:space="preserve">投标文件接收截止时间前递交投标文件。</w:t>
      </w:r>
      <w:r/>
    </w:p>
    <w:p>
      <w:pPr>
        <w:pStyle w:val="836"/>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p>
    <w:p>
      <w:pPr>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rPr>
        <w:t xml:space="preserve">JSZC-320200-JZCG-G2026-0073</w:t>
      </w:r>
      <w:r/>
    </w:p>
    <w:p>
      <w:pPr>
        <w:ind w:left="10"/>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2.项目名称：  市民中心保洁服务外包</w:t>
      </w:r>
      <w:r/>
    </w:p>
    <w:p>
      <w:pPr>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p>
    <w:p>
      <w:pPr>
        <w:keepLines w:val="0"/>
        <w:keepNext w:val="0"/>
        <w:pageBreakBefore w:val="0"/>
        <w:spacing w:line="31" w:lineRule="exact"/>
        <w:widowControl/>
        <w:rPr>
          <w:color w:val="000000" w:themeColor="text1"/>
          <w:highlight w:val="none"/>
        </w:rPr>
      </w:pPr>
      <w:r>
        <w:rPr>
          <w:color w:val="000000" w:themeColor="text1"/>
          <w:highlight w:val="none"/>
        </w:rPr>
      </w:r>
      <w:r/>
    </w:p>
    <w:tbl>
      <w:tblPr>
        <w:tblStyle w:val="841"/>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4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p>
        </w:tc>
        <w:tc>
          <w:tcPr>
            <w:tcW w:w="3476" w:type="dxa"/>
            <w:vAlign w:val="top"/>
            <w:textDirection w:val="lrTb"/>
            <w:noWrap w:val="false"/>
          </w:tcPr>
          <w:p>
            <w:pPr>
              <w:pStyle w:val="842"/>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p>
        </w:tc>
        <w:tc>
          <w:tcPr>
            <w:tcW w:w="3484" w:type="dxa"/>
            <w:vAlign w:val="top"/>
            <w:textDirection w:val="lrTb"/>
            <w:noWrap w:val="false"/>
          </w:tcPr>
          <w:p>
            <w:pPr>
              <w:pStyle w:val="842"/>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p>
        </w:tc>
      </w:tr>
      <w:tr>
        <w:trPr>
          <w:trHeight w:val="532"/>
        </w:trPr>
        <w:tc>
          <w:tcPr>
            <w:tcW w:w="3484" w:type="dxa"/>
            <w:vAlign w:val="top"/>
            <w:textDirection w:val="lrTb"/>
            <w:noWrap w:val="false"/>
          </w:tcPr>
          <w:p>
            <w:pPr>
              <w:pStyle w:val="84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p>
        </w:tc>
        <w:tc>
          <w:tcPr>
            <w:tcW w:w="3476" w:type="dxa"/>
            <w:vAlign w:val="top"/>
            <w:textDirection w:val="lrTb"/>
            <w:noWrap w:val="false"/>
          </w:tcPr>
          <w:p>
            <w:pPr>
              <w:pStyle w:val="842"/>
              <w:ind w:left="141"/>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1840.4247</w:t>
            </w:r>
            <w:r/>
          </w:p>
        </w:tc>
        <w:tc>
          <w:tcPr>
            <w:tcW w:w="3484" w:type="dxa"/>
            <w:vAlign w:val="top"/>
            <w:textDirection w:val="lrTb"/>
            <w:noWrap w:val="false"/>
          </w:tcPr>
          <w:p>
            <w:pPr>
              <w:pStyle w:val="842"/>
              <w:ind w:left="147"/>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1840.4247</w:t>
            </w:r>
            <w:r/>
          </w:p>
        </w:tc>
      </w:tr>
    </w:tbl>
    <w:p>
      <w:pPr>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p>
    <w:p>
      <w:pPr>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p>
    <w:p>
      <w:pPr>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p>
    <w:p>
      <w:pPr>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p>
    <w:p>
      <w:pPr>
        <w:keepLines w:val="0"/>
        <w:keepNext w:val="0"/>
        <w:pageBreakBefore w:val="0"/>
        <w:spacing w:line="29"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4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p>
        </w:tc>
        <w:tc>
          <w:tcPr>
            <w:tcW w:w="2086" w:type="dxa"/>
            <w:vAlign w:val="top"/>
            <w:textDirection w:val="lrTb"/>
            <w:noWrap w:val="false"/>
          </w:tcPr>
          <w:p>
            <w:pPr>
              <w:pStyle w:val="842"/>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p>
        </w:tc>
        <w:tc>
          <w:tcPr>
            <w:tcW w:w="2086" w:type="dxa"/>
            <w:vAlign w:val="top"/>
            <w:textDirection w:val="lrTb"/>
            <w:noWrap w:val="false"/>
          </w:tcPr>
          <w:p>
            <w:pPr>
              <w:pStyle w:val="842"/>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p>
        </w:tc>
        <w:tc>
          <w:tcPr>
            <w:tcW w:w="2086" w:type="dxa"/>
            <w:vAlign w:val="top"/>
            <w:textDirection w:val="lrTb"/>
            <w:noWrap w:val="false"/>
          </w:tcPr>
          <w:p>
            <w:pPr>
              <w:pStyle w:val="842"/>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p>
        </w:tc>
        <w:tc>
          <w:tcPr>
            <w:tcW w:w="2094" w:type="dxa"/>
            <w:vAlign w:val="top"/>
            <w:textDirection w:val="lrTb"/>
            <w:noWrap w:val="false"/>
          </w:tcPr>
          <w:p>
            <w:pPr>
              <w:pStyle w:val="842"/>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p>
        </w:tc>
      </w:tr>
      <w:tr>
        <w:trPr>
          <w:trHeight w:val="534"/>
        </w:trPr>
        <w:tc>
          <w:tcPr>
            <w:tcW w:w="2093" w:type="dxa"/>
            <w:vAlign w:val="top"/>
            <w:textDirection w:val="lrTb"/>
            <w:noWrap w:val="false"/>
          </w:tcPr>
          <w:p>
            <w:pPr>
              <w:pStyle w:val="842"/>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p>
        </w:tc>
        <w:tc>
          <w:tcPr>
            <w:tcW w:w="2086" w:type="dxa"/>
            <w:vAlign w:val="top"/>
            <w:textDirection w:val="lrTb"/>
            <w:noWrap w:val="false"/>
          </w:tcPr>
          <w:p>
            <w:pPr>
              <w:pStyle w:val="842"/>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p>
        </w:tc>
        <w:tc>
          <w:tcPr>
            <w:tcW w:w="2086" w:type="dxa"/>
            <w:vAlign w:val="top"/>
            <w:textDirection w:val="lrTb"/>
            <w:noWrap w:val="false"/>
          </w:tcPr>
          <w:p>
            <w:pPr>
              <w:pStyle w:val="842"/>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p>
        </w:tc>
        <w:tc>
          <w:tcPr>
            <w:tcW w:w="2086" w:type="dxa"/>
            <w:vAlign w:val="top"/>
            <w:textDirection w:val="lrTb"/>
            <w:noWrap w:val="false"/>
          </w:tcPr>
          <w:p>
            <w:pPr>
              <w:pStyle w:val="842"/>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p>
        </w:tc>
        <w:tc>
          <w:tcPr>
            <w:tcW w:w="2094" w:type="dxa"/>
            <w:vAlign w:val="top"/>
            <w:textDirection w:val="lrTb"/>
            <w:noWrap w:val="false"/>
          </w:tcPr>
          <w:p>
            <w:pPr>
              <w:pStyle w:val="842"/>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p>
        </w:tc>
      </w:tr>
    </w:tbl>
    <w:p>
      <w:pPr>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p>
    <w:p>
      <w:pPr>
        <w:keepLines w:val="0"/>
        <w:keepNext w:val="0"/>
        <w:pageBreakBefore w:val="0"/>
        <w:spacing w:line="29"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42"/>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p>
        </w:tc>
        <w:tc>
          <w:tcPr>
            <w:tcW w:w="4068" w:type="dxa"/>
            <w:vAlign w:val="top"/>
            <w:textDirection w:val="lrTb"/>
            <w:noWrap w:val="false"/>
          </w:tcPr>
          <w:p>
            <w:pPr>
              <w:pStyle w:val="842"/>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p>
        </w:tc>
        <w:tc>
          <w:tcPr>
            <w:tcW w:w="1043" w:type="dxa"/>
            <w:vAlign w:val="top"/>
            <w:textDirection w:val="lrTb"/>
            <w:noWrap w:val="false"/>
          </w:tcPr>
          <w:p>
            <w:pPr>
              <w:pStyle w:val="842"/>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p>
        </w:tc>
        <w:tc>
          <w:tcPr>
            <w:tcW w:w="1043" w:type="dxa"/>
            <w:vAlign w:val="top"/>
            <w:textDirection w:val="lrTb"/>
            <w:noWrap w:val="false"/>
          </w:tcPr>
          <w:p>
            <w:pPr>
              <w:pStyle w:val="842"/>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p>
        </w:tc>
        <w:tc>
          <w:tcPr>
            <w:tcW w:w="1564" w:type="dxa"/>
            <w:vAlign w:val="top"/>
            <w:textDirection w:val="lrTb"/>
            <w:noWrap w:val="false"/>
          </w:tcPr>
          <w:p>
            <w:pPr>
              <w:pStyle w:val="842"/>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p>
        </w:tc>
        <w:tc>
          <w:tcPr>
            <w:tcW w:w="1043" w:type="dxa"/>
            <w:vAlign w:val="top"/>
            <w:textDirection w:val="lrTb"/>
            <w:noWrap w:val="false"/>
          </w:tcPr>
          <w:p>
            <w:pPr>
              <w:pStyle w:val="842"/>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p>
        </w:tc>
        <w:tc>
          <w:tcPr>
            <w:tcW w:w="1051" w:type="dxa"/>
            <w:vAlign w:val="top"/>
            <w:textDirection w:val="lrTb"/>
            <w:noWrap w:val="false"/>
          </w:tcPr>
          <w:p>
            <w:pPr>
              <w:pStyle w:val="842"/>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p>
        </w:tc>
      </w:tr>
      <w:tr>
        <w:trPr>
          <w:trHeight w:val="534"/>
        </w:trPr>
        <w:tc>
          <w:tcPr>
            <w:tcW w:w="633" w:type="dxa"/>
            <w:vAlign w:val="top"/>
            <w:textDirection w:val="lrTb"/>
            <w:noWrap w:val="false"/>
          </w:tcPr>
          <w:p>
            <w:pPr>
              <w:pStyle w:val="842"/>
              <w:ind w:left="143"/>
              <w:keepLines w:val="0"/>
              <w:keepNext w:val="0"/>
              <w:pageBreakBefore w:val="0"/>
              <w:spacing w:before="179"/>
              <w:widowControl/>
              <w:rPr>
                <w:color w:val="000000" w:themeColor="text1"/>
                <w:highlight w:val="none"/>
              </w:rPr>
            </w:pPr>
            <w:r>
              <w:rPr>
                <w:color w:val="000000" w:themeColor="text1"/>
                <w:highlight w:val="none"/>
              </w:rPr>
              <w:t xml:space="preserve">1</w:t>
            </w:r>
            <w:r/>
          </w:p>
        </w:tc>
        <w:tc>
          <w:tcPr>
            <w:tcW w:w="4068" w:type="dxa"/>
            <w:vAlign w:val="top"/>
            <w:textDirection w:val="lrTb"/>
            <w:noWrap w:val="false"/>
          </w:tcPr>
          <w:p>
            <w:pPr>
              <w:pStyle w:val="842"/>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p>
        </w:tc>
        <w:tc>
          <w:tcPr>
            <w:tcW w:w="1043" w:type="dxa"/>
            <w:vAlign w:val="top"/>
            <w:textDirection w:val="lrTb"/>
            <w:noWrap w:val="false"/>
          </w:tcPr>
          <w:p>
            <w:pPr>
              <w:pStyle w:val="842"/>
              <w:ind w:left="142"/>
              <w:keepLines w:val="0"/>
              <w:keepNext w:val="0"/>
              <w:pageBreakBefore w:val="0"/>
              <w:spacing w:before="179"/>
              <w:widowControl/>
              <w:rPr>
                <w:color w:val="000000" w:themeColor="text1"/>
                <w:highlight w:val="none"/>
              </w:rPr>
            </w:pPr>
            <w:r>
              <w:rPr>
                <w:color w:val="000000" w:themeColor="text1"/>
                <w:highlight w:val="none"/>
              </w:rPr>
              <w:t xml:space="preserve">1</w:t>
            </w:r>
            <w:r/>
          </w:p>
        </w:tc>
        <w:tc>
          <w:tcPr>
            <w:tcW w:w="1043" w:type="dxa"/>
            <w:vAlign w:val="top"/>
            <w:textDirection w:val="lrTb"/>
            <w:noWrap w:val="false"/>
          </w:tcPr>
          <w:p>
            <w:pPr>
              <w:pStyle w:val="842"/>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p>
        </w:tc>
        <w:tc>
          <w:tcPr>
            <w:tcW w:w="1564" w:type="dxa"/>
            <w:vAlign w:val="top"/>
            <w:textDirection w:val="lrTb"/>
            <w:noWrap w:val="false"/>
          </w:tcPr>
          <w:p>
            <w:pPr>
              <w:pStyle w:val="842"/>
              <w:ind w:left="145"/>
              <w:keepLines w:val="0"/>
              <w:keepNext w:val="0"/>
              <w:pageBreakBefore w:val="0"/>
              <w:spacing w:before="178" w:line="239" w:lineRule="auto"/>
              <w:widowControl/>
              <w:rPr>
                <w:color w:val="000000" w:themeColor="text1"/>
                <w:highlight w:val="none"/>
              </w:rPr>
            </w:pPr>
            <w:r>
              <w:rPr>
                <w:color w:val="000000" w:themeColor="text1"/>
                <w:spacing w:val="15"/>
                <w:highlight w:val="none"/>
              </w:rPr>
              <w:t xml:space="preserve">18404247</w:t>
            </w:r>
            <w:r/>
          </w:p>
        </w:tc>
        <w:tc>
          <w:tcPr>
            <w:tcW w:w="1043" w:type="dxa"/>
            <w:vAlign w:val="top"/>
            <w:textDirection w:val="lrTb"/>
            <w:noWrap w:val="false"/>
          </w:tcPr>
          <w:p>
            <w:pPr>
              <w:pStyle w:val="842"/>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p>
        </w:tc>
        <w:tc>
          <w:tcPr>
            <w:tcW w:w="1051" w:type="dxa"/>
            <w:vAlign w:val="top"/>
            <w:textDirection w:val="lrTb"/>
            <w:noWrap w:val="false"/>
          </w:tcPr>
          <w:p>
            <w:pPr>
              <w:pStyle w:val="842"/>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p>
        </w:tc>
      </w:tr>
    </w:tbl>
    <w:p>
      <w:pPr>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p>
    <w:p>
      <w:pPr>
        <w:pStyle w:val="836"/>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p>
    <w:p>
      <w:pPr>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p>
    <w:p>
      <w:pPr>
        <w:keepLines w:val="0"/>
        <w:keepNext w:val="0"/>
        <w:pageBreakBefore w:val="0"/>
        <w:spacing w:line="30"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4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p>
        </w:tc>
        <w:tc>
          <w:tcPr>
            <w:tcW w:w="5223" w:type="dxa"/>
            <w:vAlign w:val="top"/>
            <w:textDirection w:val="lrTb"/>
            <w:noWrap w:val="false"/>
          </w:tcPr>
          <w:p>
            <w:pPr>
              <w:pStyle w:val="84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p>
        </w:tc>
      </w:tr>
      <w:tr>
        <w:trPr>
          <w:trHeight w:val="2044"/>
        </w:trPr>
        <w:tc>
          <w:tcPr>
            <w:tcW w:w="5222" w:type="dxa"/>
            <w:vAlign w:val="top"/>
            <w:textDirection w:val="lrTb"/>
            <w:noWrap w:val="false"/>
          </w:tcPr>
          <w:p>
            <w:pPr>
              <w:pStyle w:val="842"/>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p>
        </w:tc>
        <w:tc>
          <w:tcPr>
            <w:tcW w:w="5223" w:type="dxa"/>
            <w:vAlign w:val="top"/>
            <w:textDirection w:val="lrTb"/>
            <w:noWrap w:val="false"/>
          </w:tcPr>
          <w:p>
            <w:pPr>
              <w:pStyle w:val="842"/>
              <w:ind w:left="129" w:right="257" w:firstLine="3"/>
              <w:jc w:val="both"/>
              <w:keepLines w:val="0"/>
              <w:keepNext w:val="0"/>
              <w:pageBreakBefore w:val="0"/>
              <w:spacing w:before="173" w:line="297" w:lineRule="auto"/>
              <w:widowControl/>
              <w:rPr>
                <w:color w:val="000000" w:themeColor="text1"/>
                <w:spacing w:val="19"/>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p>
          <w:p>
            <w:pPr>
              <w:pStyle w:val="842"/>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p>
        </w:tc>
      </w:tr>
      <w:tr>
        <w:trPr>
          <w:trHeight w:val="883"/>
        </w:trPr>
        <w:tc>
          <w:tcPr>
            <w:tcW w:w="5222" w:type="dxa"/>
            <w:vAlign w:val="top"/>
            <w:textDirection w:val="lrTb"/>
            <w:noWrap w:val="false"/>
          </w:tcPr>
          <w:p>
            <w:pPr>
              <w:pStyle w:val="842"/>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p>
        </w:tc>
        <w:tc>
          <w:tcPr>
            <w:tcW w:w="5223" w:type="dxa"/>
            <w:vAlign w:val="top"/>
            <w:textDirection w:val="lrTb"/>
            <w:noWrap w:val="false"/>
          </w:tcPr>
          <w:p>
            <w:pPr>
              <w:pStyle w:val="842"/>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p>
        </w:tc>
      </w:tr>
      <w:tr>
        <w:trPr>
          <w:trHeight w:val="2290"/>
        </w:trPr>
        <w:tc>
          <w:tcPr>
            <w:tcW w:w="5222" w:type="dxa"/>
            <w:vAlign w:val="top"/>
            <w:textDirection w:val="lrTb"/>
            <w:noWrap w:val="false"/>
          </w:tcPr>
          <w:p>
            <w:pPr>
              <w:pStyle w:val="842"/>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p>
        </w:tc>
        <w:tc>
          <w:tcPr>
            <w:tcW w:w="5223" w:type="dxa"/>
            <w:vAlign w:val="top"/>
            <w:textDirection w:val="lrTb"/>
            <w:noWrap w:val="false"/>
          </w:tcPr>
          <w:p>
            <w:pPr>
              <w:pStyle w:val="842"/>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p>
          <w:p>
            <w:pPr>
              <w:pStyle w:val="842"/>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p>
        </w:tc>
      </w:tr>
      <w:tr>
        <w:trPr>
          <w:trHeight w:val="1234"/>
        </w:trPr>
        <w:tc>
          <w:tcPr>
            <w:tcW w:w="5222" w:type="dxa"/>
            <w:vAlign w:val="top"/>
            <w:textDirection w:val="lrTb"/>
            <w:noWrap w:val="false"/>
          </w:tcPr>
          <w:p>
            <w:pPr>
              <w:pStyle w:val="842"/>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p>
        </w:tc>
        <w:tc>
          <w:tcPr>
            <w:tcW w:w="5223" w:type="dxa"/>
            <w:vAlign w:val="top"/>
            <w:textDirection w:val="lrTb"/>
            <w:noWrap w:val="false"/>
          </w:tcPr>
          <w:p>
            <w:pPr>
              <w:pStyle w:val="842"/>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p>
          <w:p>
            <w:pPr>
              <w:pStyle w:val="842"/>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p>
        </w:tc>
      </w:tr>
      <w:tr>
        <w:trPr>
          <w:trHeight w:val="1235"/>
        </w:trPr>
        <w:tc>
          <w:tcPr>
            <w:tcW w:w="5222" w:type="dxa"/>
            <w:vAlign w:val="top"/>
            <w:textDirection w:val="lrTb"/>
            <w:noWrap w:val="false"/>
          </w:tcPr>
          <w:p>
            <w:pPr>
              <w:pStyle w:val="842"/>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p>
        </w:tc>
        <w:tc>
          <w:tcPr>
            <w:tcW w:w="5223" w:type="dxa"/>
            <w:vAlign w:val="top"/>
            <w:textDirection w:val="lrTb"/>
            <w:noWrap w:val="false"/>
          </w:tcPr>
          <w:p>
            <w:pPr>
              <w:pStyle w:val="842"/>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p>
          <w:p>
            <w:pPr>
              <w:pStyle w:val="842"/>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p>
        </w:tc>
      </w:tr>
      <w:tr>
        <w:trPr>
          <w:trHeight w:val="890"/>
        </w:trPr>
        <w:tc>
          <w:tcPr>
            <w:tcW w:w="5222" w:type="dxa"/>
            <w:vAlign w:val="top"/>
            <w:textDirection w:val="lrTb"/>
            <w:noWrap w:val="false"/>
          </w:tcPr>
          <w:p>
            <w:pPr>
              <w:pStyle w:val="842"/>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p>
        </w:tc>
        <w:tc>
          <w:tcPr>
            <w:tcW w:w="5223" w:type="dxa"/>
            <w:vAlign w:val="top"/>
            <w:textDirection w:val="lrTb"/>
            <w:noWrap w:val="false"/>
          </w:tcPr>
          <w:p>
            <w:pPr>
              <w:pStyle w:val="842"/>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p>
    <w:p>
      <w:pPr>
        <w:keepLines w:val="0"/>
        <w:keepNext w:val="0"/>
        <w:pageBreakBefore w:val="0"/>
        <w:spacing w:line="30"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4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p>
        </w:tc>
        <w:tc>
          <w:tcPr>
            <w:tcW w:w="5223" w:type="dxa"/>
            <w:vAlign w:val="top"/>
            <w:textDirection w:val="lrTb"/>
            <w:noWrap w:val="false"/>
          </w:tcPr>
          <w:p>
            <w:pPr>
              <w:pStyle w:val="84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p>
        </w:tc>
      </w:tr>
      <w:tr>
        <w:trPr>
          <w:trHeight w:val="881"/>
        </w:trPr>
        <w:tc>
          <w:tcPr>
            <w:tcW w:w="5222" w:type="dxa"/>
            <w:vAlign w:val="top"/>
            <w:textDirection w:val="lrTb"/>
            <w:noWrap w:val="false"/>
          </w:tcPr>
          <w:p>
            <w:pPr>
              <w:pStyle w:val="842"/>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p>
        </w:tc>
        <w:tc>
          <w:tcPr>
            <w:tcW w:w="5223" w:type="dxa"/>
            <w:vAlign w:val="top"/>
            <w:textDirection w:val="lrTb"/>
            <w:noWrap w:val="false"/>
          </w:tcPr>
          <w:p>
            <w:pPr>
              <w:pStyle w:val="842"/>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p>
        </w:tc>
      </w:tr>
      <w:tr>
        <w:trPr>
          <w:trHeight w:val="2293"/>
        </w:trPr>
        <w:tc>
          <w:tcPr>
            <w:tcW w:w="5222" w:type="dxa"/>
            <w:vAlign w:val="top"/>
            <w:textDirection w:val="lrTb"/>
            <w:noWrap w:val="false"/>
          </w:tcPr>
          <w:p>
            <w:pPr>
              <w:pStyle w:val="842"/>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p>
        </w:tc>
        <w:tc>
          <w:tcPr>
            <w:tcW w:w="5223" w:type="dxa"/>
            <w:vAlign w:val="top"/>
            <w:textDirection w:val="lrTb"/>
            <w:noWrap w:val="false"/>
          </w:tcPr>
          <w:p>
            <w:pPr>
              <w:pStyle w:val="842"/>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p>
          <w:p>
            <w:pPr>
              <w:pStyle w:val="842"/>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p>
        </w:tc>
      </w:tr>
    </w:tbl>
    <w:p>
      <w:pPr>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p>
    <w:p>
      <w:pPr>
        <w:keepLines w:val="0"/>
        <w:keepNext w:val="0"/>
        <w:pageBreakBefore w:val="0"/>
        <w:spacing w:line="29"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4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p>
        </w:tc>
        <w:tc>
          <w:tcPr>
            <w:tcW w:w="5223" w:type="dxa"/>
            <w:vAlign w:val="top"/>
            <w:textDirection w:val="lrTb"/>
            <w:noWrap w:val="false"/>
          </w:tcPr>
          <w:p>
            <w:pPr>
              <w:pStyle w:val="84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p>
        </w:tc>
      </w:tr>
      <w:tr>
        <w:trPr>
          <w:trHeight w:val="532"/>
        </w:trPr>
        <w:tc>
          <w:tcPr>
            <w:tcW w:w="5222" w:type="dxa"/>
            <w:vAlign w:val="top"/>
            <w:textDirection w:val="lrTb"/>
            <w:noWrap w:val="false"/>
          </w:tcPr>
          <w:p>
            <w:pPr>
              <w:pStyle w:val="842"/>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p>
        </w:tc>
        <w:tc>
          <w:tcPr>
            <w:tcW w:w="5223" w:type="dxa"/>
            <w:vAlign w:val="top"/>
            <w:textDirection w:val="lrTb"/>
            <w:noWrap w:val="false"/>
          </w:tcPr>
          <w:p>
            <w:pPr>
              <w:pStyle w:val="842"/>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p>
        </w:tc>
      </w:tr>
    </w:tbl>
    <w:p>
      <w:pPr>
        <w:pStyle w:val="836"/>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p>
    <w:p>
      <w:pPr>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p>
    <w:p>
      <w:pPr>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p>
    <w:p>
      <w:pPr>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hint="eastAsia" w:ascii="宋体" w:hAnsi="宋体" w:eastAsia="宋体" w:cs="宋体"/>
          <w:color w:val="000000" w:themeColor="text1"/>
          <w:sz w:val="21"/>
          <w:szCs w:val="21"/>
          <w:highlight w:val="none"/>
          <w:lang w:val="en-US" w:eastAsia="zh-CN"/>
        </w:rPr>
        <w:t xml:space="preserve">s</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p>
    <w:p>
      <w:pPr>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p>
    <w:p>
      <w:pPr>
        <w:pStyle w:val="836"/>
        <w:ind w:left="13"/>
        <w:keepLines w:val="0"/>
        <w:keepNext w:val="0"/>
        <w:pageBreakBefore w:val="0"/>
        <w:spacing w:before="51" w:line="213" w:lineRule="auto"/>
        <w:widowControl/>
        <w:rPr>
          <w:color w:val="000000" w:themeColor="text1"/>
          <w:sz w:val="21"/>
          <w:szCs w:val="21"/>
          <w:highlight w:val="none"/>
        </w:rPr>
      </w:pPr>
      <w:r/>
      <w:bookmarkStart w:id="1" w:name="bookmark7"/>
      <w:r/>
      <w:bookmarkEnd w:id="1"/>
      <w:r>
        <w:rPr>
          <w:b/>
          <w:bCs/>
          <w:color w:val="000000" w:themeColor="text1"/>
          <w:spacing w:val="19"/>
          <w:sz w:val="21"/>
          <w:szCs w:val="21"/>
          <w:highlight w:val="none"/>
        </w:rPr>
        <w:t xml:space="preserve">四、提交投标文件截止时间、开标时间和地点</w:t>
      </w:r>
      <w:r/>
    </w:p>
    <w:p>
      <w:pPr>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z w:val="21"/>
          <w:szCs w:val="21"/>
          <w:highlight w:val="none"/>
        </w:rPr>
        <w:t xml:space="preserve">2026年9月10日9点30</w:t>
      </w:r>
      <w:r>
        <w:rPr>
          <w:rFonts w:ascii="宋体" w:hAnsi="宋体" w:eastAsia="宋体" w:cs="宋体"/>
          <w:color w:val="000000" w:themeColor="text1"/>
          <w:sz w:val="21"/>
          <w:szCs w:val="21"/>
          <w:highlight w:val="none"/>
        </w:rPr>
        <w:t xml:space="preserve">分</w:t>
      </w:r>
      <w:r>
        <w:rPr>
          <w:rFonts w:ascii="宋体" w:hAnsi="宋体" w:eastAsia="宋体" w:cs="宋体"/>
          <w:color w:val="000000" w:themeColor="text1"/>
          <w:sz w:val="21"/>
          <w:szCs w:val="21"/>
          <w:highlight w:val="none"/>
        </w:rPr>
      </w:r>
      <w:r/>
    </w:p>
    <w:p>
      <w:pPr>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p>
    <w:p>
      <w:pPr>
        <w:pStyle w:val="836"/>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p>
    <w:p>
      <w:pPr>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p>
    <w:p>
      <w:pPr>
        <w:pStyle w:val="836"/>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p>
    <w:p>
      <w:pPr>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p>
    <w:p>
      <w:pPr>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p>
    <w:p>
      <w:pPr>
        <w:pStyle w:val="836"/>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p>
    <w:p>
      <w:pPr>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p>
    <w:p>
      <w:pPr>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无锡市机关事务管理局</w:t>
      </w:r>
      <w:r/>
    </w:p>
    <w:p>
      <w:pPr>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无锡市观山路199号市民中心8号楼</w:t>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p>
    <w:p>
      <w:pPr>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p>
    <w:p>
      <w:pPr>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p>
    <w:p>
      <w:pPr>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p>
    <w:p>
      <w:pPr>
        <w:ind w:left="7"/>
        <w:keepLines w:val="0"/>
        <w:keepNext w:val="0"/>
        <w:pageBreakBefore w:val="0"/>
        <w:spacing w:before="130" w:line="218" w:lineRule="auto"/>
        <w:widowControl/>
        <w:rPr>
          <w:rFonts w:hint="eastAsia" w:ascii="宋体" w:hAnsi="宋体" w:eastAsia="宋体" w:cs="宋体"/>
          <w:color w:val="000000" w:themeColor="text1"/>
          <w:spacing w:val="8"/>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hint="eastAsia" w:ascii="Calibri" w:hAnsi="Calibri" w:eastAsia="宋体" w:cs="Calibri"/>
          <w:color w:val="000000" w:themeColor="text1"/>
          <w:sz w:val="21"/>
          <w:highlight w:val="none"/>
          <w:shd w:val="clear" w:color="auto" w:fill="auto"/>
          <w:lang w:val="en-US" w:eastAsia="zh-CN"/>
        </w:rPr>
        <w:t xml:space="preserve">孙建峰</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pacing w:val="8"/>
          <w:sz w:val="21"/>
          <w:szCs w:val="21"/>
          <w:highlight w:val="none"/>
        </w:rPr>
        <w:t xml:space="preserve">0510-81825359</w:t>
      </w:r>
      <w:r/>
    </w:p>
    <w:p>
      <w:pPr>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hint="eastAsia" w:ascii="Calibri" w:hAnsi="Calibri" w:eastAsia="宋体" w:cs="Calibri"/>
          <w:color w:val="000000" w:themeColor="text1"/>
          <w:sz w:val="21"/>
          <w:highlight w:val="none"/>
          <w:shd w:val="clear" w:color="auto" w:fill="auto"/>
          <w:lang w:val="en-US" w:eastAsia="zh-CN"/>
        </w:rPr>
        <w:t xml:space="preserve">孙建峰</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pacing w:val="8"/>
          <w:sz w:val="21"/>
          <w:szCs w:val="21"/>
          <w:highlight w:val="none"/>
        </w:rPr>
        <w:t xml:space="preserve">0510-81825359</w:t>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Calibri" w:hAnsi="Calibri" w:eastAsia="宋体" w:cs="Calibri"/>
          <w:color w:val="000000" w:themeColor="text1"/>
          <w:sz w:val="21"/>
          <w:highlight w:val="none"/>
          <w:shd w:val="clear" w:color="auto" w:fill="auto"/>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p>
    <w:p>
      <w:pPr>
        <w:pStyle w:val="836"/>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p>
    <w:p>
      <w:pPr>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p>
    <w:p>
      <w:pPr>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p>
    <w:p>
      <w:pPr>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p>
    <w:p>
      <w:pPr>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hint="eastAsia" w:ascii="宋体" w:hAnsi="宋体" w:eastAsia="宋体" w:cs="宋体"/>
          <w:color w:val="000000" w:themeColor="text1"/>
          <w:sz w:val="21"/>
          <w:szCs w:val="21"/>
          <w:highlight w:val="none"/>
          <w:lang w:val="en-US" w:eastAsia="zh-CN"/>
        </w:rPr>
        <w:t xml:space="preserve">s</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p>
    <w:p>
      <w:pPr>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p>
    <w:p>
      <w:pPr>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p>
    <w:p>
      <w:pPr>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p>
    <w:p>
      <w:pPr>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p>
    <w:p>
      <w:pPr>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p>
    <w:p>
      <w:pPr>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p>
    <w:p>
      <w:pPr>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p>
    <w:p>
      <w:pPr>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p>
    <w:p>
      <w:pPr>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p>
    <w:p>
      <w:pPr>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p>
    <w:p>
      <w:pPr>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p>
    <w:p>
      <w:pPr>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p>
    <w:p>
      <w:pPr>
        <w:pStyle w:val="836"/>
        <w:ind w:left="3260"/>
        <w:keepLines w:val="0"/>
        <w:keepNext w:val="0"/>
        <w:pageBreakBefore w:val="0"/>
        <w:spacing w:before="106" w:line="213" w:lineRule="auto"/>
        <w:widowControl/>
        <w:rPr>
          <w:color w:val="000000" w:themeColor="text1"/>
          <w:sz w:val="44"/>
          <w:szCs w:val="44"/>
          <w:highlight w:val="none"/>
        </w:rPr>
        <w:outlineLvl w:val="0"/>
      </w:pPr>
      <w:r/>
      <w:bookmarkStart w:id="2" w:name="bookmark2"/>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p>
    <w:p>
      <w:pPr>
        <w:pStyle w:val="836"/>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p>
    <w:p>
      <w:pPr>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p>
    <w:p>
      <w:pPr>
        <w:pStyle w:val="836"/>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p>
    <w:p>
      <w:pPr>
        <w:pStyle w:val="836"/>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p>
    <w:p>
      <w:pPr>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p>
    <w:p>
      <w:pPr>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p>
    <w:p>
      <w:pPr>
        <w:pStyle w:val="836"/>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p>
    <w:p>
      <w:pPr>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p>
    <w:p>
      <w:pPr>
        <w:pStyle w:val="836"/>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p>
    <w:p>
      <w:pPr>
        <w:pStyle w:val="836"/>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p>
    <w:p>
      <w:pPr>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p>
    <w:p>
      <w:pPr>
        <w:pStyle w:val="836"/>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pStyle w:val="836"/>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p>
    <w:p>
      <w:pPr>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p>
    <w:p>
      <w:pPr>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p>
    <w:p>
      <w:pPr>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p>
    <w:p>
      <w:pPr>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p>
    <w:p>
      <w:pPr>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p>
    <w:p>
      <w:pPr>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p>
    <w:p>
      <w:pPr>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p>
    <w:p>
      <w:pPr>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p>
    <w:p>
      <w:pPr>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p>
    <w:p>
      <w:pPr>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p>
    <w:p>
      <w:pPr>
        <w:pStyle w:val="836"/>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p>
    <w:p>
      <w:pPr>
        <w:pStyle w:val="836"/>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p>
    <w:p>
      <w:pPr>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p>
    <w:p>
      <w:pPr>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p>
    <w:p>
      <w:pPr>
        <w:pStyle w:val="836"/>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pStyle w:val="836"/>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p>
    <w:p>
      <w:pPr>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p>
    <w:p>
      <w:pPr>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p>
    <w:p>
      <w:pPr>
        <w:pStyle w:val="836"/>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p>
    <w:p>
      <w:pPr>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p>
    <w:p>
      <w:pPr>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p>
    <w:p>
      <w:pPr>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p>
    <w:p>
      <w:pPr>
        <w:pStyle w:val="836"/>
        <w:ind w:right="147" w:firstLine="26"/>
        <w:keepLines w:val="0"/>
        <w:keepNext w:val="0"/>
        <w:pageBreakBefore w:val="0"/>
        <w:spacing w:before="108" w:line="252" w:lineRule="auto"/>
        <w:widowControl/>
        <w:rPr>
          <w:color w:val="000000" w:themeColor="text1"/>
          <w:sz w:val="21"/>
          <w:szCs w:val="21"/>
          <w:highlight w:val="none"/>
        </w:rPr>
      </w:pPr>
      <w:r>
        <w:rPr>
          <w:b/>
          <w:bCs/>
          <w:color w:val="000000" w:themeColor="text1"/>
          <w:spacing w:val="20"/>
          <w:sz w:val="21"/>
          <w:szCs w:val="21"/>
          <w:highlight w:val="none"/>
          <w:u w:val="single"/>
          <w:shd w:val="clear" w:color="auto" w:fill="50e3c2"/>
        </w:rPr>
        <w:t xml:space="preserve">10.</w:t>
      </w:r>
      <w:r>
        <w:rPr>
          <w:b/>
          <w:bCs/>
          <w:color w:val="000000" w:themeColor="text1"/>
          <w:spacing w:val="-31"/>
          <w:sz w:val="21"/>
          <w:szCs w:val="21"/>
          <w:highlight w:val="none"/>
          <w:u w:val="single"/>
          <w:shd w:val="clear" w:color="auto" w:fill="50e3c2"/>
        </w:rPr>
        <w:t xml:space="preserve"> </w:t>
      </w:r>
      <w:r>
        <w:rPr>
          <w:b/>
          <w:bCs/>
          <w:color w:val="000000" w:themeColor="text1"/>
          <w:spacing w:val="20"/>
          <w:sz w:val="21"/>
          <w:szCs w:val="21"/>
          <w:highlight w:val="none"/>
          <w:u w:val="single"/>
          <w:shd w:val="clear" w:color="auto" w:fill="50e3c2"/>
        </w:rPr>
        <w:t xml:space="preserve">4特别注意：本项目采用暗标形式，投标人须按第</w:t>
      </w:r>
      <w:r>
        <w:rPr>
          <w:b/>
          <w:bCs/>
          <w:color w:val="000000" w:themeColor="text1"/>
          <w:spacing w:val="19"/>
          <w:sz w:val="21"/>
          <w:szCs w:val="21"/>
          <w:highlight w:val="none"/>
          <w:u w:val="single"/>
          <w:shd w:val="clear" w:color="auto" w:fill="50e3c2"/>
        </w:rPr>
        <w:t xml:space="preserve">五章《评标方法与评标标准》的相关要求对商务</w:t>
      </w:r>
      <w:r>
        <w:rPr>
          <w:b/>
          <w:bCs/>
          <w:color w:val="000000" w:themeColor="text1"/>
          <w:spacing w:val="21"/>
          <w:sz w:val="21"/>
          <w:szCs w:val="21"/>
          <w:highlight w:val="none"/>
          <w:u w:val="single"/>
          <w:shd w:val="clear" w:color="auto" w:fill="50e3c2"/>
        </w:rPr>
        <w:t xml:space="preserve">部分和技术部分分别进行制作。其中技术部</w:t>
      </w:r>
      <w:r>
        <w:rPr>
          <w:b/>
          <w:bCs/>
          <w:color w:val="000000" w:themeColor="text1"/>
          <w:spacing w:val="20"/>
          <w:sz w:val="21"/>
          <w:szCs w:val="21"/>
          <w:highlight w:val="none"/>
          <w:u w:val="single"/>
          <w:shd w:val="clear" w:color="auto" w:fill="50e3c2"/>
        </w:rPr>
        <w:t xml:space="preserve">分属于暗标，投标人在制作技术部分相关内容时不得有体现</w:t>
      </w:r>
      <w:r>
        <w:rPr>
          <w:b/>
          <w:bCs/>
          <w:color w:val="000000" w:themeColor="text1"/>
          <w:spacing w:val="10"/>
          <w:sz w:val="21"/>
          <w:szCs w:val="21"/>
          <w:highlight w:val="none"/>
          <w:u w:val="single"/>
          <w:shd w:val="clear" w:color="auto" w:fill="50e3c2"/>
        </w:rPr>
        <w:t xml:space="preserve">投标人身份的内容，否则投标无效。</w:t>
      </w:r>
      <w:r>
        <w:rPr>
          <w:b/>
          <w:bCs/>
          <w:color w:val="000000" w:themeColor="text1"/>
          <w:spacing w:val="2"/>
          <w:sz w:val="21"/>
          <w:szCs w:val="21"/>
          <w:highlight w:val="none"/>
          <w:u w:val="single"/>
          <w:shd w:val="clear" w:color="auto" w:fill="50e3c2"/>
        </w:rPr>
        <w:t xml:space="preserve">   </w:t>
      </w:r>
      <w:r/>
    </w:p>
    <w:p>
      <w:pPr>
        <w:pStyle w:val="836"/>
        <w:ind w:left="2"/>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shd w:val="clear" w:color="auto" w:fill="50e3c2"/>
        </w:rPr>
        <w:t xml:space="preserve">上述《评标方法与评标标准》中技术部分不得有体</w:t>
      </w:r>
      <w:r>
        <w:rPr>
          <w:b/>
          <w:bCs/>
          <w:color w:val="000000" w:themeColor="text1"/>
          <w:spacing w:val="17"/>
          <w:sz w:val="21"/>
          <w:szCs w:val="21"/>
          <w:highlight w:val="none"/>
          <w:shd w:val="clear" w:color="auto" w:fill="50e3c2"/>
        </w:rPr>
        <w:t xml:space="preserve">现投标人身份的内容是指：</w:t>
      </w:r>
      <w:r>
        <w:rPr>
          <w:b/>
          <w:bCs/>
          <w:color w:val="000000" w:themeColor="text1"/>
          <w:sz w:val="21"/>
          <w:szCs w:val="21"/>
          <w:highlight w:val="none"/>
          <w:shd w:val="clear" w:color="auto" w:fill="50e3c2"/>
        </w:rPr>
        <w:t xml:space="preserve">  </w:t>
      </w:r>
      <w:r/>
    </w:p>
    <w:p>
      <w:pPr>
        <w:pStyle w:val="836"/>
        <w:ind w:left="26"/>
        <w:keepLines w:val="0"/>
        <w:keepNext w:val="0"/>
        <w:pageBreakBefore w:val="0"/>
        <w:spacing w:before="57" w:line="214" w:lineRule="auto"/>
        <w:widowControl/>
        <w:rPr>
          <w:color w:val="000000" w:themeColor="text1"/>
          <w:sz w:val="21"/>
          <w:szCs w:val="21"/>
          <w:highlight w:val="none"/>
        </w:rPr>
      </w:pPr>
      <w:r>
        <w:rPr>
          <w:b/>
          <w:bCs/>
          <w:color w:val="000000" w:themeColor="text1"/>
          <w:spacing w:val="17"/>
          <w:sz w:val="21"/>
          <w:szCs w:val="21"/>
          <w:highlight w:val="none"/>
          <w:shd w:val="clear" w:color="auto" w:fill="50e3c2"/>
        </w:rPr>
        <w:t xml:space="preserve">10.4.</w:t>
      </w:r>
      <w:r>
        <w:rPr>
          <w:b/>
          <w:bCs/>
          <w:color w:val="000000" w:themeColor="text1"/>
          <w:spacing w:val="-12"/>
          <w:sz w:val="21"/>
          <w:szCs w:val="21"/>
          <w:highlight w:val="none"/>
          <w:shd w:val="clear" w:color="auto" w:fill="50e3c2"/>
        </w:rPr>
        <w:t xml:space="preserve"> </w:t>
      </w:r>
      <w:r>
        <w:rPr>
          <w:b/>
          <w:bCs/>
          <w:color w:val="000000" w:themeColor="text1"/>
          <w:spacing w:val="17"/>
          <w:sz w:val="21"/>
          <w:szCs w:val="21"/>
          <w:highlight w:val="none"/>
          <w:shd w:val="clear" w:color="auto" w:fill="50e3c2"/>
        </w:rPr>
        <w:t xml:space="preserve">1技术部分不得出现能够体现投标人身份、名称的相关描述、材</w:t>
      </w:r>
      <w:r>
        <w:rPr>
          <w:b/>
          <w:bCs/>
          <w:color w:val="000000" w:themeColor="text1"/>
          <w:spacing w:val="16"/>
          <w:sz w:val="21"/>
          <w:szCs w:val="21"/>
          <w:highlight w:val="none"/>
          <w:shd w:val="clear" w:color="auto" w:fill="50e3c2"/>
        </w:rPr>
        <w:t xml:space="preserve">料、文件等内容；</w:t>
      </w:r>
      <w:r>
        <w:rPr>
          <w:b/>
          <w:bCs/>
          <w:color w:val="000000" w:themeColor="text1"/>
          <w:sz w:val="21"/>
          <w:szCs w:val="21"/>
          <w:highlight w:val="none"/>
          <w:shd w:val="clear" w:color="auto" w:fill="50e3c2"/>
        </w:rPr>
        <w:t xml:space="preserve">  </w:t>
      </w:r>
      <w:r/>
    </w:p>
    <w:p>
      <w:pPr>
        <w:pStyle w:val="836"/>
        <w:ind w:left="6" w:right="269" w:firstLine="19"/>
        <w:keepLines w:val="0"/>
        <w:keepNext w:val="0"/>
        <w:pageBreakBefore w:val="0"/>
        <w:spacing w:before="55" w:line="252" w:lineRule="auto"/>
        <w:widowControl/>
        <w:rPr>
          <w:color w:val="000000" w:themeColor="text1"/>
          <w:sz w:val="21"/>
          <w:szCs w:val="21"/>
          <w:highlight w:val="none"/>
        </w:rPr>
      </w:pPr>
      <w:r>
        <w:rPr>
          <w:b/>
          <w:bCs/>
          <w:color w:val="000000" w:themeColor="text1"/>
          <w:spacing w:val="17"/>
          <w:sz w:val="21"/>
          <w:szCs w:val="21"/>
          <w:highlight w:val="none"/>
          <w:shd w:val="clear" w:color="auto" w:fill="50e3c2"/>
        </w:rPr>
        <w:t xml:space="preserve">10.4.</w:t>
      </w:r>
      <w:r>
        <w:rPr>
          <w:b/>
          <w:bCs/>
          <w:color w:val="000000" w:themeColor="text1"/>
          <w:spacing w:val="-26"/>
          <w:sz w:val="21"/>
          <w:szCs w:val="21"/>
          <w:highlight w:val="none"/>
          <w:shd w:val="clear" w:color="auto" w:fill="50e3c2"/>
        </w:rPr>
        <w:t xml:space="preserve"> </w:t>
      </w:r>
      <w:r>
        <w:rPr>
          <w:b/>
          <w:bCs/>
          <w:color w:val="000000" w:themeColor="text1"/>
          <w:spacing w:val="17"/>
          <w:sz w:val="21"/>
          <w:szCs w:val="21"/>
          <w:highlight w:val="none"/>
          <w:shd w:val="clear" w:color="auto" w:fill="50e3c2"/>
        </w:rPr>
        <w:t xml:space="preserve">2技术部分不得更改，不得在其中涂改、标注或做</w:t>
      </w:r>
      <w:r>
        <w:rPr>
          <w:b/>
          <w:bCs/>
          <w:color w:val="000000" w:themeColor="text1"/>
          <w:spacing w:val="16"/>
          <w:sz w:val="21"/>
          <w:szCs w:val="21"/>
          <w:highlight w:val="none"/>
          <w:shd w:val="clear" w:color="auto" w:fill="50e3c2"/>
        </w:rPr>
        <w:t xml:space="preserve">任何可以辨认投标人及所属人员身份的名称、  </w:t>
      </w:r>
      <w:r>
        <w:rPr>
          <w:b/>
          <w:bCs/>
          <w:color w:val="000000" w:themeColor="text1"/>
          <w:spacing w:val="8"/>
          <w:sz w:val="21"/>
          <w:szCs w:val="21"/>
          <w:highlight w:val="none"/>
          <w:shd w:val="clear" w:color="auto" w:fill="50e3c2"/>
        </w:rPr>
        <w:t xml:space="preserve">印章、商标等标记；</w:t>
      </w:r>
      <w:r>
        <w:rPr>
          <w:b/>
          <w:bCs/>
          <w:color w:val="000000" w:themeColor="text1"/>
          <w:sz w:val="21"/>
          <w:szCs w:val="21"/>
          <w:highlight w:val="none"/>
          <w:shd w:val="clear" w:color="auto" w:fill="50e3c2"/>
        </w:rPr>
        <w:t xml:space="preserve">  </w:t>
      </w:r>
      <w:r/>
    </w:p>
    <w:p>
      <w:pPr>
        <w:pStyle w:val="836"/>
        <w:ind w:right="290" w:firstLine="26"/>
        <w:keepLines w:val="0"/>
        <w:keepNext w:val="0"/>
        <w:pageBreakBefore w:val="0"/>
        <w:spacing w:before="2" w:line="251" w:lineRule="auto"/>
        <w:widowControl/>
        <w:rPr>
          <w:color w:val="000000" w:themeColor="text1"/>
          <w:sz w:val="21"/>
          <w:szCs w:val="21"/>
          <w:highlight w:val="none"/>
        </w:rPr>
      </w:pPr>
      <w:r>
        <w:rPr>
          <w:b/>
          <w:bCs/>
          <w:color w:val="000000" w:themeColor="text1"/>
          <w:spacing w:val="19"/>
          <w:sz w:val="21"/>
          <w:szCs w:val="21"/>
          <w:highlight w:val="none"/>
          <w:shd w:val="clear" w:color="auto" w:fill="50e3c2"/>
        </w:rPr>
        <w:t xml:space="preserve">10.4.</w:t>
      </w:r>
      <w:r>
        <w:rPr>
          <w:b/>
          <w:bCs/>
          <w:color w:val="000000" w:themeColor="text1"/>
          <w:spacing w:val="-4"/>
          <w:sz w:val="21"/>
          <w:szCs w:val="21"/>
          <w:highlight w:val="none"/>
          <w:shd w:val="clear" w:color="auto" w:fill="50e3c2"/>
        </w:rPr>
        <w:t xml:space="preserve"> </w:t>
      </w:r>
      <w:r>
        <w:rPr>
          <w:b/>
          <w:bCs/>
          <w:color w:val="000000" w:themeColor="text1"/>
          <w:spacing w:val="19"/>
          <w:sz w:val="21"/>
          <w:szCs w:val="21"/>
          <w:highlight w:val="none"/>
          <w:shd w:val="clear" w:color="auto" w:fill="50e3c2"/>
        </w:rPr>
        <w:t xml:space="preserve">3技术部分应当版面整洁、字迹清楚、不许批注或进行底纹、阴影、水印等特殊设置，不得采用</w:t>
      </w:r>
      <w:r>
        <w:rPr>
          <w:b/>
          <w:bCs/>
          <w:color w:val="000000" w:themeColor="text1"/>
          <w:spacing w:val="16"/>
          <w:sz w:val="21"/>
          <w:szCs w:val="21"/>
          <w:highlight w:val="none"/>
          <w:shd w:val="clear" w:color="auto" w:fill="50e3c2"/>
        </w:rPr>
        <w:t xml:space="preserve">任何不符合常规、有别于其他投标人的特殊做法；</w:t>
      </w:r>
      <w:r>
        <w:rPr>
          <w:b/>
          <w:bCs/>
          <w:color w:val="000000" w:themeColor="text1"/>
          <w:sz w:val="21"/>
          <w:szCs w:val="21"/>
          <w:highlight w:val="none"/>
          <w:shd w:val="clear" w:color="auto" w:fill="50e3c2"/>
        </w:rPr>
        <w:t xml:space="preserve">  </w:t>
      </w:r>
      <w:r/>
    </w:p>
    <w:p>
      <w:pPr>
        <w:pStyle w:val="836"/>
        <w:ind w:left="26"/>
        <w:keepLines w:val="0"/>
        <w:keepNext w:val="0"/>
        <w:pageBreakBefore w:val="0"/>
        <w:spacing w:before="1" w:line="213" w:lineRule="auto"/>
        <w:widowControl/>
        <w:rPr>
          <w:color w:val="000000" w:themeColor="text1"/>
          <w:sz w:val="21"/>
          <w:szCs w:val="21"/>
          <w:highlight w:val="none"/>
        </w:rPr>
      </w:pPr>
      <w:r>
        <w:rPr>
          <w:b/>
          <w:bCs/>
          <w:color w:val="000000" w:themeColor="text1"/>
          <w:spacing w:val="11"/>
          <w:sz w:val="21"/>
          <w:szCs w:val="21"/>
          <w:highlight w:val="none"/>
          <w:shd w:val="clear" w:color="auto" w:fill="50e3c2"/>
        </w:rPr>
        <w:t xml:space="preserve">10.4.</w:t>
      </w:r>
      <w:r>
        <w:rPr>
          <w:b/>
          <w:bCs/>
          <w:color w:val="000000" w:themeColor="text1"/>
          <w:spacing w:val="-20"/>
          <w:sz w:val="21"/>
          <w:szCs w:val="21"/>
          <w:highlight w:val="none"/>
          <w:shd w:val="clear" w:color="auto" w:fill="50e3c2"/>
        </w:rPr>
        <w:t xml:space="preserve"> </w:t>
      </w:r>
      <w:r>
        <w:rPr>
          <w:b/>
          <w:bCs/>
          <w:color w:val="000000" w:themeColor="text1"/>
          <w:spacing w:val="11"/>
          <w:sz w:val="21"/>
          <w:szCs w:val="21"/>
          <w:highlight w:val="none"/>
          <w:shd w:val="clear" w:color="auto" w:fill="50e3c2"/>
        </w:rPr>
        <w:t xml:space="preserve">4不得有其他体现投标人身份的内容。</w:t>
      </w:r>
      <w:r>
        <w:rPr>
          <w:b/>
          <w:bCs/>
          <w:color w:val="000000" w:themeColor="text1"/>
          <w:sz w:val="21"/>
          <w:szCs w:val="21"/>
          <w:highlight w:val="none"/>
          <w:shd w:val="clear" w:color="auto" w:fill="50e3c2"/>
        </w:rPr>
        <w:t xml:space="preserve">   </w:t>
      </w:r>
      <w:r/>
    </w:p>
    <w:p>
      <w:pPr>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p>
    <w:p>
      <w:pPr>
        <w:pStyle w:val="836"/>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p>
    <w:p>
      <w:pPr>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p>
    <w:p>
      <w:pPr>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p>
    <w:p>
      <w:pPr>
        <w:pStyle w:val="836"/>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p>
    <w:p>
      <w:pPr>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p>
    <w:p>
      <w:pPr>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p>
    <w:p>
      <w:pPr>
        <w:pStyle w:val="836"/>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p>
    <w:p>
      <w:pPr>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p>
    <w:p>
      <w:pPr>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p>
    <w:p>
      <w:pPr>
        <w:pStyle w:val="836"/>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p>
    <w:p>
      <w:pPr>
        <w:pStyle w:val="836"/>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p>
    <w:p>
      <w:pPr>
        <w:pStyle w:val="836"/>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p>
    <w:p>
      <w:pPr>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p>
    <w:p>
      <w:pPr>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p>
    <w:p>
      <w:pPr>
        <w:pStyle w:val="836"/>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pStyle w:val="836"/>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p>
    <w:p>
      <w:pPr>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p>
    <w:p>
      <w:pPr>
        <w:pStyle w:val="836"/>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p>
    <w:p>
      <w:pPr>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p>
    <w:p>
      <w:pPr>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p>
    <w:p>
      <w:pPr>
        <w:pStyle w:val="836"/>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p>
    <w:p>
      <w:pPr>
        <w:pStyle w:val="836"/>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p>
    <w:p>
      <w:pPr>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p>
    <w:p>
      <w:pPr>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p>
    <w:p>
      <w:pPr>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pStyle w:val="836"/>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p>
    <w:p>
      <w:pPr>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p>
    <w:p>
      <w:pPr>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p>
    <w:p>
      <w:pPr>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p>
    <w:p>
      <w:pPr>
        <w:pStyle w:val="836"/>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p>
    <w:p>
      <w:pPr>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p>
    <w:p>
      <w:pPr>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p>
    <w:p>
      <w:pPr>
        <w:pStyle w:val="836"/>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p>
    <w:p>
      <w:pPr>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p>
    <w:p>
      <w:pPr>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p>
    <w:p>
      <w:pPr>
        <w:pStyle w:val="83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p>
    <w:p>
      <w:pPr>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p>
    <w:p>
      <w:pPr>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p>
    <w:p>
      <w:pPr>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p>
    <w:p>
      <w:pPr>
        <w:pStyle w:val="83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p>
    <w:p>
      <w:pPr>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p>
    <w:p>
      <w:pPr>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p>
    <w:p>
      <w:pPr>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p>
    <w:p>
      <w:pPr>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p>
    <w:p>
      <w:pPr>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p>
    <w:p>
      <w:pPr>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p>
    <w:p>
      <w:pPr>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p>
    <w:p>
      <w:pPr>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p>
    <w:p>
      <w:pPr>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p>
    <w:p>
      <w:pPr>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p>
    <w:p>
      <w:pPr>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p>
    <w:p>
      <w:pPr>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p>
    <w:p>
      <w:pPr>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p>
    <w:p>
      <w:pPr>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p>
    <w:p>
      <w:pPr>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p>
    <w:p>
      <w:pPr>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p>
    <w:p>
      <w:pPr>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p>
    <w:p>
      <w:pPr>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p>
    <w:p>
      <w:pPr>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p>
    <w:p>
      <w:pPr>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p>
    <w:p>
      <w:pPr>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p>
    <w:p>
      <w:pPr>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p>
    <w:p>
      <w:pPr>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p>
    <w:p>
      <w:pPr>
        <w:ind w:left="23"/>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)项情形的，投标系统“报价符合性审查”模块中</w:t>
      </w:r>
      <w:r>
        <w:rPr>
          <w:rFonts w:ascii="宋体" w:hAnsi="宋体" w:eastAsia="宋体" w:cs="宋体"/>
          <w:color w:val="000000" w:themeColor="text1"/>
          <w:spacing w:val="21"/>
          <w:sz w:val="21"/>
          <w:szCs w:val="21"/>
          <w:highlight w:val="none"/>
        </w:rPr>
        <w:t xml:space="preserve">可无需上传证明材料（可直接填写“无”）。</w:t>
      </w:r>
      <w:r/>
    </w:p>
    <w:p>
      <w:pPr>
        <w:ind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p>
    <w:p>
      <w:pPr>
        <w:ind w:left="17" w:right="62"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p>
    <w:p>
      <w:pPr>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p>
    <w:p>
      <w:pPr>
        <w:pStyle w:val="836"/>
        <w:ind w:left="7"/>
        <w:keepLines w:val="0"/>
        <w:keepNext w:val="0"/>
        <w:pageBreakBefore w:val="0"/>
        <w:spacing w:before="257"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p>
    <w:p>
      <w:pPr>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p>
    <w:p>
      <w:pPr>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p>
    <w:p>
      <w:pPr>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p>
    <w:p>
      <w:pPr>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p>
    <w:p>
      <w:pPr>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p>
    <w:p>
      <w:pPr>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p>
    <w:p>
      <w:pPr>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p>
    <w:p>
      <w:pPr>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p>
    <w:p>
      <w:pPr>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p>
    <w:p>
      <w:pPr>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p>
    <w:p>
      <w:pPr>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p>
    <w:p>
      <w:pPr>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p>
    <w:p>
      <w:pPr>
        <w:ind w:left="7" w:right="104" w:hanging="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t xml:space="preserve">务的。</w:t>
      </w:r>
      <w:r/>
    </w:p>
    <w:p>
      <w:pPr>
        <w:ind w:left="3" w:right="10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1.24投标系统中不同投标人的标书制作设备</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地址一致或标书制作客户端唯一标识码一致的。</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p>
    <w:p>
      <w:pPr>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p>
    <w:p>
      <w:pPr>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p>
    <w:p>
      <w:pPr>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p>
    <w:p>
      <w:pPr>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p>
    <w:p>
      <w:pPr>
        <w:pStyle w:val="836"/>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pStyle w:val="836"/>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p>
    <w:p>
      <w:pPr>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p>
    <w:p>
      <w:pPr>
        <w:ind w:left="6"/>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p>
    <w:p>
      <w:pPr>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p>
    <w:p>
      <w:pPr>
        <w:ind w:left="7" w:hanging="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p>
    <w:p>
      <w:pPr>
        <w:ind w:left="4"/>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p>
    <w:p>
      <w:pPr>
        <w:pStyle w:val="836"/>
        <w:ind w:left="8"/>
        <w:keepLines w:val="0"/>
        <w:keepNext w:val="0"/>
        <w:pageBreakBefore w:val="0"/>
        <w:spacing w:before="90" w:line="213" w:lineRule="auto"/>
        <w:widowControl/>
        <w:rPr>
          <w:color w:val="000000" w:themeColor="text1"/>
          <w:sz w:val="21"/>
          <w:szCs w:val="21"/>
          <w:highlight w:val="none"/>
        </w:rPr>
      </w:pPr>
      <w:r/>
      <w:bookmarkStart w:id="3" w:name="bookmark8"/>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p>
    <w:p>
      <w:pPr>
        <w:ind w:right="42"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p>
    <w:p>
      <w:pPr>
        <w:ind w:left="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p>
    <w:p>
      <w:pPr>
        <w:ind w:left="4"/>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p>
    <w:p>
      <w:pPr>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p>
    <w:p>
      <w:pPr>
        <w:ind w:right="42" w:firstLine="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p>
    <w:p>
      <w:pPr>
        <w:ind w:firstLine="3"/>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p>
    <w:p>
      <w:pPr>
        <w:ind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p>
    <w:p>
      <w:pPr>
        <w:ind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p>
    <w:p>
      <w:pPr>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p>
    <w:p>
      <w:pPr>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p>
    <w:p>
      <w:pPr>
        <w:ind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p>
    <w:p>
      <w:pPr>
        <w:pStyle w:val="83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p>
    <w:p>
      <w:pPr>
        <w:ind w:left="5"/>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数字证书登录“苏采云”系统及时下载中标通知书。因系统存储空间有限，自中标结果公告</w:t>
      </w:r>
      <w:r>
        <w:rPr>
          <w:rFonts w:ascii="宋体" w:hAnsi="宋体" w:eastAsia="宋体" w:cs="宋体"/>
          <w:color w:val="000000" w:themeColor="text1"/>
          <w:spacing w:val="20"/>
          <w:sz w:val="21"/>
          <w:szCs w:val="21"/>
          <w:highlight w:val="none"/>
        </w:rPr>
        <w:t xml:space="preserve">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p>
    <w:p>
      <w:pPr>
        <w:ind w:left="1" w:right="20" w:firstLine="4"/>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p>
    <w:p>
      <w:pPr>
        <w:pStyle w:val="836"/>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pStyle w:val="836"/>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p>
    <w:p>
      <w:pPr>
        <w:ind w:left="2" w:right="20" w:firstLine="5"/>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p>
    <w:p>
      <w:pPr>
        <w:ind w:left="2" w:right="20"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p>
    <w:p>
      <w:pPr>
        <w:ind w:left="3" w:right="20"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p>
    <w:p>
      <w:pPr>
        <w:ind w:left="2" w:right="63"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p>
    <w:p>
      <w:pPr>
        <w:pStyle w:val="836"/>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p>
    <w:p>
      <w:pPr>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p>
    <w:p>
      <w:pPr>
        <w:ind w:left="2" w:right="20"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p>
    <w:p>
      <w:pPr>
        <w:pStyle w:val="836"/>
        <w:ind w:left="3496"/>
        <w:keepLines w:val="0"/>
        <w:keepNext w:val="0"/>
        <w:pageBreakBefore w:val="0"/>
        <w:spacing w:before="105" w:line="214" w:lineRule="auto"/>
        <w:widowControl/>
        <w:rPr>
          <w:color w:val="000000" w:themeColor="text1"/>
          <w:sz w:val="44"/>
          <w:szCs w:val="44"/>
          <w:highlight w:val="none"/>
        </w:rPr>
        <w:outlineLvl w:val="0"/>
      </w:pPr>
      <w:r/>
      <w:bookmarkStart w:id="4" w:name="bookmark3"/>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p>
    <w:p>
      <w:pPr>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p>
    <w:p>
      <w:pPr>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p>
    <w:p>
      <w:pPr>
        <w:pStyle w:val="836"/>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p>
    <w:p>
      <w:pPr>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p>
    <w:p>
      <w:pPr>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p>
    <w:p>
      <w:pPr>
        <w:pStyle w:val="836"/>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p>
    <w:p>
      <w:pPr>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p>
    <w:p>
      <w:pPr>
        <w:pStyle w:val="836"/>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p>
    <w:p>
      <w:pPr>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pStyle w:val="836"/>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p>
    <w:p>
      <w:pPr>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p>
    <w:p>
      <w:pPr>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p>
    <w:p>
      <w:pPr>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p>
    <w:p>
      <w:pPr>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p>
    <w:p>
      <w:pPr>
        <w:pStyle w:val="836"/>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p>
    <w:p>
      <w:pPr>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p>
    <w:p>
      <w:pPr>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p>
    <w:p>
      <w:pPr>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p>
    <w:p>
      <w:pPr>
        <w:pStyle w:val="836"/>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p>
    <w:p>
      <w:pPr>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p>
    <w:p>
      <w:pPr>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p>
    <w:p>
      <w:pPr>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p>
    <w:p>
      <w:pPr>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p>
    <w:p>
      <w:pPr>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p>
    <w:p>
      <w:pPr>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p>
    <w:p>
      <w:pPr>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p>
    <w:p>
      <w:pPr>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p>
    <w:p>
      <w:pPr>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p>
    <w:p>
      <w:pPr>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p>
    <w:p>
      <w:pPr>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p>
    <w:p>
      <w:pPr>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p>
    <w:p>
      <w:pPr>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p>
    <w:p>
      <w:pPr>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p>
    <w:p>
      <w:pPr>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p>
    <w:p>
      <w:pPr>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p>
    <w:p>
      <w:pPr>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bookmarkStart w:id="5" w:name="bookmark9"/>
      <w:r/>
      <w:bookmarkEnd w:id="5"/>
      <w:r>
        <w:rPr>
          <w:rFonts w:ascii="宋体" w:hAnsi="宋体" w:eastAsia="宋体" w:cs="宋体"/>
          <w:color w:val="000000" w:themeColor="text1"/>
          <w:spacing w:val="17"/>
          <w:sz w:val="21"/>
          <w:szCs w:val="21"/>
          <w:highlight w:val="none"/>
        </w:rPr>
        <w:t xml:space="preserve">（三）因甲方或第三者之故意、重大过失所致的损害；</w:t>
      </w:r>
      <w:r/>
    </w:p>
    <w:p>
      <w:pPr>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p>
    <w:p>
      <w:pPr>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p>
    <w:p>
      <w:pPr>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p>
    <w:p>
      <w:pPr>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p>
    <w:p>
      <w:pPr>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p>
    <w:p>
      <w:pPr>
        <w:pStyle w:val="836"/>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p>
    <w:p>
      <w:pPr>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p>
    <w:p>
      <w:pPr>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p>
    <w:p>
      <w:pPr>
        <w:pStyle w:val="836"/>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p>
    <w:p>
      <w:pPr>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p>
    <w:p>
      <w:pPr>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p>
    <w:p>
      <w:pPr>
        <w:pStyle w:val="836"/>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p>
    <w:p>
      <w:pPr>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p>
    <w:p>
      <w:pPr>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p>
    <w:p>
      <w:pPr>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p>
    <w:p>
      <w:pPr>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p>
    <w:p>
      <w:pPr>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p>
    <w:p>
      <w:pPr>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p>
    <w:p>
      <w:pPr>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p>
    <w:p>
      <w:pPr>
        <w:pStyle w:val="836"/>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p>
    <w:p>
      <w:pPr>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p>
    <w:p>
      <w:pPr>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p>
    <w:p>
      <w:pPr>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p>
    <w:p>
      <w:pPr>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p>
    <w:p>
      <w:pPr>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p>
    <w:p>
      <w:pPr>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p>
    <w:p>
      <w:pPr>
        <w:pStyle w:val="836"/>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p>
    <w:p>
      <w:pPr>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p>
    <w:p>
      <w:pPr>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p>
    <w:p>
      <w:pPr>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p>
    <w:p>
      <w:pPr>
        <w:pStyle w:val="836"/>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p>
    <w:p>
      <w:pPr>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p>
    <w:p>
      <w:pPr>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p>
    <w:p>
      <w:pPr>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p>
    <w:p>
      <w:pPr>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p>
    <w:p>
      <w:pPr>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p>
    <w:p>
      <w:pPr>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p>
    <w:p>
      <w:pPr>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p>
    <w:p>
      <w:pPr>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p>
    <w:p>
      <w:pPr>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p>
    <w:p>
      <w:pPr>
        <w:pStyle w:val="836"/>
        <w:ind w:left="3497"/>
        <w:keepLines w:val="0"/>
        <w:keepNext w:val="0"/>
        <w:pageBreakBefore w:val="0"/>
        <w:spacing w:before="106" w:line="214" w:lineRule="auto"/>
        <w:widowControl/>
        <w:rPr>
          <w:color w:val="000000" w:themeColor="text1"/>
          <w:sz w:val="44"/>
          <w:szCs w:val="44"/>
          <w:highlight w:val="none"/>
        </w:rPr>
        <w:outlineLvl w:val="0"/>
      </w:pPr>
      <w:r/>
      <w:bookmarkStart w:id="6" w:name="bookmark4"/>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p>
    <w:p>
      <w:pPr>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p>
    <w:p>
      <w:pPr>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p>
    <w:p>
      <w:pPr>
        <w:pStyle w:val="836"/>
        <w:keepLines w:val="0"/>
        <w:keepNext w:val="0"/>
        <w:pageBreakBefore w:val="0"/>
        <w:spacing w:before="110" w:line="198"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4"/>
        </w:trPr>
        <w:tc>
          <w:tcPr>
            <w:tcW w:w="1497" w:type="dxa"/>
            <w:vAlign w:val="top"/>
            <w:textDirection w:val="lrTb"/>
            <w:noWrap w:val="false"/>
          </w:tcPr>
          <w:p>
            <w:pPr>
              <w:pStyle w:val="842"/>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p>
        </w:tc>
        <w:tc>
          <w:tcPr>
            <w:tcW w:w="1490" w:type="dxa"/>
            <w:vAlign w:val="top"/>
            <w:textDirection w:val="lrTb"/>
            <w:noWrap w:val="false"/>
          </w:tcPr>
          <w:p>
            <w:pPr>
              <w:pStyle w:val="842"/>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p>
        </w:tc>
        <w:tc>
          <w:tcPr>
            <w:tcW w:w="1490" w:type="dxa"/>
            <w:vAlign w:val="top"/>
            <w:textDirection w:val="lrTb"/>
            <w:noWrap w:val="false"/>
          </w:tcPr>
          <w:p>
            <w:pPr>
              <w:pStyle w:val="842"/>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p>
        </w:tc>
        <w:tc>
          <w:tcPr>
            <w:tcW w:w="1490" w:type="dxa"/>
            <w:vAlign w:val="top"/>
            <w:textDirection w:val="lrTb"/>
            <w:noWrap w:val="false"/>
          </w:tcPr>
          <w:p>
            <w:pPr>
              <w:pStyle w:val="84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p>
        </w:tc>
        <w:tc>
          <w:tcPr>
            <w:tcW w:w="1490" w:type="dxa"/>
            <w:vAlign w:val="top"/>
            <w:textDirection w:val="lrTb"/>
            <w:noWrap w:val="false"/>
          </w:tcPr>
          <w:p>
            <w:pPr>
              <w:pStyle w:val="842"/>
              <w:ind w:left="130" w:right="324"/>
              <w:keepLines w:val="0"/>
              <w:keepNext w:val="0"/>
              <w:pageBreakBefore w:val="0"/>
              <w:spacing w:before="177" w:line="306"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p>
        </w:tc>
        <w:tc>
          <w:tcPr>
            <w:tcW w:w="1490" w:type="dxa"/>
            <w:vAlign w:val="top"/>
            <w:textDirection w:val="lrTb"/>
            <w:noWrap w:val="false"/>
          </w:tcPr>
          <w:p>
            <w:pPr>
              <w:pStyle w:val="842"/>
              <w:ind w:left="163" w:right="217" w:hanging="27"/>
              <w:keepLines w:val="0"/>
              <w:keepNext w:val="0"/>
              <w:pageBreakBefore w:val="0"/>
              <w:spacing w:before="177" w:line="306"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p>
        </w:tc>
        <w:tc>
          <w:tcPr>
            <w:tcW w:w="1498" w:type="dxa"/>
            <w:vAlign w:val="top"/>
            <w:textDirection w:val="lrTb"/>
            <w:noWrap w:val="false"/>
          </w:tcPr>
          <w:p>
            <w:pPr>
              <w:pStyle w:val="842"/>
              <w:ind w:left="151" w:right="223" w:hanging="13"/>
              <w:keepLines w:val="0"/>
              <w:keepNext w:val="0"/>
              <w:pageBreakBefore w:val="0"/>
              <w:spacing w:before="177" w:line="306"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p>
        </w:tc>
      </w:tr>
      <w:tr>
        <w:trPr>
          <w:trHeight w:val="885"/>
        </w:trPr>
        <w:tc>
          <w:tcPr>
            <w:tcW w:w="1497" w:type="dxa"/>
            <w:vAlign w:val="top"/>
            <w:textDirection w:val="lrTb"/>
            <w:noWrap w:val="false"/>
          </w:tcPr>
          <w:p>
            <w:pPr>
              <w:pStyle w:val="842"/>
              <w:ind w:left="143"/>
              <w:keepLines w:val="0"/>
              <w:keepNext w:val="0"/>
              <w:pageBreakBefore w:val="0"/>
              <w:spacing w:before="178"/>
              <w:widowControl/>
              <w:rPr>
                <w:color w:val="000000" w:themeColor="text1"/>
                <w:highlight w:val="none"/>
              </w:rPr>
            </w:pPr>
            <w:r>
              <w:rPr>
                <w:color w:val="000000" w:themeColor="text1"/>
                <w:highlight w:val="none"/>
              </w:rPr>
              <w:t xml:space="preserve">1</w:t>
            </w:r>
            <w:r/>
          </w:p>
        </w:tc>
        <w:tc>
          <w:tcPr>
            <w:tcW w:w="1490" w:type="dxa"/>
            <w:vAlign w:val="top"/>
            <w:textDirection w:val="lrTb"/>
            <w:noWrap w:val="false"/>
          </w:tcPr>
          <w:p>
            <w:pPr>
              <w:pStyle w:val="842"/>
              <w:ind w:left="127" w:right="225" w:hanging="4"/>
              <w:keepLines w:val="0"/>
              <w:keepNext w:val="0"/>
              <w:pageBreakBefore w:val="0"/>
              <w:spacing w:before="178"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p>
        </w:tc>
        <w:tc>
          <w:tcPr>
            <w:tcW w:w="1490" w:type="dxa"/>
            <w:vAlign w:val="top"/>
            <w:textDirection w:val="lrTb"/>
            <w:noWrap w:val="false"/>
          </w:tcPr>
          <w:p>
            <w:pPr>
              <w:pStyle w:val="842"/>
              <w:ind w:left="140"/>
              <w:keepLines w:val="0"/>
              <w:keepNext w:val="0"/>
              <w:pageBreakBefore w:val="0"/>
              <w:spacing w:before="178"/>
              <w:widowControl/>
              <w:rPr>
                <w:color w:val="000000" w:themeColor="text1"/>
                <w:highlight w:val="none"/>
              </w:rPr>
            </w:pPr>
            <w:r>
              <w:rPr>
                <w:color w:val="000000" w:themeColor="text1"/>
                <w:highlight w:val="none"/>
              </w:rPr>
              <w:t xml:space="preserve">1</w:t>
            </w:r>
            <w:r/>
          </w:p>
        </w:tc>
        <w:tc>
          <w:tcPr>
            <w:tcW w:w="1490" w:type="dxa"/>
            <w:vAlign w:val="top"/>
            <w:textDirection w:val="lrTb"/>
            <w:noWrap w:val="false"/>
          </w:tcPr>
          <w:p>
            <w:pPr>
              <w:pStyle w:val="842"/>
              <w:ind w:left="128"/>
              <w:keepLines w:val="0"/>
              <w:keepNext w:val="0"/>
              <w:pageBreakBefore w:val="0"/>
              <w:spacing w:before="178" w:line="219" w:lineRule="auto"/>
              <w:widowControl/>
              <w:rPr>
                <w:color w:val="000000" w:themeColor="text1"/>
                <w:highlight w:val="none"/>
              </w:rPr>
            </w:pPr>
            <w:r>
              <w:rPr>
                <w:color w:val="000000" w:themeColor="text1"/>
                <w:highlight w:val="none"/>
              </w:rPr>
              <w:t xml:space="preserve">项</w:t>
            </w:r>
            <w:r/>
          </w:p>
        </w:tc>
        <w:tc>
          <w:tcPr>
            <w:tcW w:w="1490" w:type="dxa"/>
            <w:vAlign w:val="top"/>
            <w:textDirection w:val="lrTb"/>
            <w:noWrap w:val="false"/>
          </w:tcPr>
          <w:p>
            <w:pPr>
              <w:pStyle w:val="842"/>
              <w:ind w:left="145"/>
              <w:keepLines w:val="0"/>
              <w:keepNext w:val="0"/>
              <w:pageBreakBefore w:val="0"/>
              <w:spacing w:before="177" w:line="239" w:lineRule="auto"/>
              <w:widowControl/>
              <w:rPr>
                <w:color w:val="000000" w:themeColor="text1"/>
                <w:highlight w:val="none"/>
              </w:rPr>
            </w:pPr>
            <w:r>
              <w:rPr>
                <w:color w:val="000000" w:themeColor="text1"/>
                <w:spacing w:val="15"/>
                <w:highlight w:val="none"/>
              </w:rPr>
              <w:t xml:space="preserve">18404247</w:t>
            </w:r>
            <w:r/>
          </w:p>
        </w:tc>
        <w:tc>
          <w:tcPr>
            <w:tcW w:w="1490" w:type="dxa"/>
            <w:vAlign w:val="top"/>
            <w:textDirection w:val="lrTb"/>
            <w:noWrap w:val="false"/>
          </w:tcPr>
          <w:p>
            <w:pPr>
              <w:pStyle w:val="842"/>
              <w:ind w:left="135"/>
              <w:keepLines w:val="0"/>
              <w:keepNext w:val="0"/>
              <w:pageBreakBefore w:val="0"/>
              <w:spacing w:before="178" w:line="219" w:lineRule="auto"/>
              <w:widowControl/>
              <w:rPr>
                <w:color w:val="000000" w:themeColor="text1"/>
                <w:highlight w:val="none"/>
              </w:rPr>
            </w:pPr>
            <w:r>
              <w:rPr>
                <w:color w:val="000000" w:themeColor="text1"/>
                <w:highlight w:val="none"/>
              </w:rPr>
              <w:t xml:space="preserve">否</w:t>
            </w:r>
            <w:r/>
          </w:p>
        </w:tc>
        <w:tc>
          <w:tcPr>
            <w:tcW w:w="1498" w:type="dxa"/>
            <w:vAlign w:val="top"/>
            <w:textDirection w:val="lrTb"/>
            <w:noWrap w:val="false"/>
          </w:tcPr>
          <w:p>
            <w:pPr>
              <w:pStyle w:val="842"/>
              <w:ind w:left="138"/>
              <w:keepLines w:val="0"/>
              <w:keepNext w:val="0"/>
              <w:pageBreakBefore w:val="0"/>
              <w:spacing w:before="178" w:line="222" w:lineRule="auto"/>
              <w:widowControl/>
              <w:rPr>
                <w:color w:val="000000" w:themeColor="text1"/>
                <w:highlight w:val="none"/>
              </w:rPr>
            </w:pPr>
            <w:r>
              <w:rPr>
                <w:color w:val="000000" w:themeColor="text1"/>
                <w:highlight w:val="none"/>
              </w:rPr>
              <w:t xml:space="preserve">是</w:t>
            </w:r>
            <w:r/>
          </w:p>
        </w:tc>
      </w:tr>
    </w:tbl>
    <w:p>
      <w:pPr>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p>
    <w:p>
      <w:pPr>
        <w:pStyle w:val="836"/>
        <w:ind w:left="29"/>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p>
    <w:p>
      <w:pPr>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p>
    <w:p>
      <w:pPr>
        <w:ind w:left="10" w:right="1092" w:hanging="1"/>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项目位于无锡市观山路199号；项目占地面积17. 29 万平方米，总建筑面积36.45万平方米，其中地上22.69万平方米，地下13.76万平方米。地上建筑由13幢楼房组成，此次采购</w:t>
      </w:r>
      <w:r>
        <w:rPr>
          <w:rFonts w:ascii="宋体" w:hAnsi="宋体" w:eastAsia="宋体" w:cs="宋体"/>
          <w:color w:val="000000" w:themeColor="text1"/>
          <w:spacing w:val="-1"/>
          <w:sz w:val="21"/>
          <w:szCs w:val="21"/>
          <w:highlight w:val="none"/>
        </w:rPr>
        <w:t xml:space="preserve">主要是10幢楼的保洁服务</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,分别为：2号楼(3889.275㎡）、3号楼（3558.22</w:t>
      </w:r>
      <w:r>
        <w:rPr>
          <w:rFonts w:ascii="宋体" w:hAnsi="宋体" w:eastAsia="宋体" w:cs="宋体"/>
          <w:color w:val="000000" w:themeColor="text1"/>
          <w:spacing w:val="1"/>
          <w:sz w:val="21"/>
          <w:szCs w:val="21"/>
          <w:highlight w:val="none"/>
        </w:rPr>
        <w:t xml:space="preserve">5㎡）、4号楼（4816.3625㎡）、5号楼（4816.36</w:t>
      </w:r>
      <w:r>
        <w:rPr>
          <w:rFonts w:ascii="宋体" w:hAnsi="宋体" w:eastAsia="宋体" w:cs="宋体"/>
          <w:color w:val="000000" w:themeColor="text1"/>
          <w:sz w:val="21"/>
          <w:szCs w:val="21"/>
          <w:highlight w:val="none"/>
        </w:rPr>
        <w:t xml:space="preserve">25㎡）、6号楼(4574.3175㎡）、7号楼（3428.7625㎡）、8号楼（6019.7</w:t>
      </w:r>
      <w:r>
        <w:rPr>
          <w:rFonts w:ascii="宋体" w:hAnsi="宋体" w:eastAsia="宋体" w:cs="宋体"/>
          <w:color w:val="000000" w:themeColor="text1"/>
          <w:spacing w:val="-1"/>
          <w:sz w:val="21"/>
          <w:szCs w:val="21"/>
          <w:highlight w:val="none"/>
        </w:rPr>
        <w:t xml:space="preserve">㎡）、9号楼（6019.7㎡）</w:t>
      </w:r>
      <w:r>
        <w:rPr>
          <w:rFonts w:ascii="宋体" w:hAnsi="宋体" w:eastAsia="宋体" w:cs="宋体"/>
          <w:color w:val="000000" w:themeColor="text1"/>
          <w:spacing w:val="17"/>
          <w:sz w:val="21"/>
          <w:szCs w:val="21"/>
          <w:highlight w:val="none"/>
        </w:rPr>
        <w:t xml:space="preserve">、10号楼(6705</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.5㎡）、11号楼（67</w:t>
      </w:r>
      <w:r>
        <w:rPr>
          <w:rFonts w:ascii="宋体" w:hAnsi="宋体" w:eastAsia="宋体" w:cs="宋体"/>
          <w:color w:val="000000" w:themeColor="text1"/>
          <w:spacing w:val="16"/>
          <w:sz w:val="21"/>
          <w:szCs w:val="21"/>
          <w:highlight w:val="none"/>
        </w:rPr>
        <w:t xml:space="preserve">05.5㎡）。</w:t>
      </w:r>
      <w:r/>
    </w:p>
    <w:p>
      <w:pPr>
        <w:ind w:left="7" w:right="98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地下建筑两层，地下一层层高5.  1米，地下二层层高4米，全部贯通，除停车场外，设置变电所、网络</w:t>
      </w:r>
      <w:r>
        <w:rPr>
          <w:rFonts w:ascii="宋体" w:hAnsi="宋体" w:eastAsia="宋体" w:cs="宋体"/>
          <w:color w:val="000000" w:themeColor="text1"/>
          <w:spacing w:val="19"/>
          <w:sz w:val="21"/>
          <w:szCs w:val="21"/>
          <w:highlight w:val="none"/>
        </w:rPr>
        <w:t xml:space="preserve">机房、功能用房、水泵房、消控中心、监控室、餐厅和设备用房等配套设施用房。</w:t>
      </w:r>
      <w:r/>
    </w:p>
    <w:p>
      <w:pPr>
        <w:ind w:left="2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采购人可提供的场地等保障用房</w:t>
      </w:r>
      <w:r/>
    </w:p>
    <w:p>
      <w:pPr>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1.2.</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5"/>
          <w:sz w:val="21"/>
          <w:szCs w:val="21"/>
          <w:highlight w:val="none"/>
        </w:rPr>
        <w:t xml:space="preserve">1采购人可提供的保障用房</w:t>
      </w:r>
      <w:r/>
    </w:p>
    <w:p>
      <w:pPr>
        <w:ind w:left="7" w:right="788" w:firstLine="6"/>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（1）提供保洁办公室1间（</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
          <w:sz w:val="21"/>
          <w:szCs w:val="21"/>
          <w:highlight w:val="none"/>
        </w:rPr>
        <w:t xml:space="preserve">E28/E29</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pacing w:val="91"/>
          <w:sz w:val="21"/>
          <w:szCs w:val="21"/>
          <w:highlight w:val="none"/>
        </w:rPr>
        <w:t xml:space="preserve"> </w:t>
      </w:r>
      <w:r>
        <w:rPr>
          <w:rFonts w:ascii="宋体" w:hAnsi="宋体" w:eastAsia="宋体" w:cs="宋体"/>
          <w:color w:val="000000" w:themeColor="text1"/>
          <w:spacing w:val="-1"/>
          <w:sz w:val="21"/>
          <w:szCs w:val="21"/>
          <w:highlight w:val="none"/>
        </w:rPr>
        <w:t xml:space="preserve">面积60㎡。配备挂机空调2台及相关照明；其他如：办公桌、</w:t>
      </w:r>
      <w:r>
        <w:rPr>
          <w:rFonts w:ascii="宋体" w:hAnsi="宋体" w:eastAsia="宋体" w:cs="宋体"/>
          <w:color w:val="000000" w:themeColor="text1"/>
          <w:sz w:val="21"/>
          <w:szCs w:val="21"/>
          <w:highlight w:val="none"/>
        </w:rPr>
        <w:t xml:space="preserve">会议桌、沙发、文件柜、电脑、打印机、饮水机等相关办公用品及设备由中标单位</w:t>
      </w:r>
      <w:r>
        <w:rPr>
          <w:rFonts w:ascii="宋体" w:hAnsi="宋体" w:eastAsia="宋体" w:cs="宋体"/>
          <w:color w:val="000000" w:themeColor="text1"/>
          <w:spacing w:val="-1"/>
          <w:sz w:val="21"/>
          <w:szCs w:val="21"/>
          <w:highlight w:val="none"/>
        </w:rPr>
        <w:t xml:space="preserve">自行配备，企业文化</w:t>
      </w:r>
      <w:r>
        <w:rPr>
          <w:rFonts w:ascii="宋体" w:hAnsi="宋体" w:eastAsia="宋体" w:cs="宋体"/>
          <w:color w:val="000000" w:themeColor="text1"/>
          <w:spacing w:val="18"/>
          <w:sz w:val="21"/>
          <w:szCs w:val="21"/>
          <w:highlight w:val="none"/>
        </w:rPr>
        <w:t xml:space="preserve">及制度标准等由中标单位按相关要求制作上墙。</w:t>
      </w:r>
      <w:r/>
    </w:p>
    <w:p>
      <w:pPr>
        <w:ind w:left="10" w:right="788"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（2）提供易耗品仓库2间（</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
          <w:sz w:val="21"/>
          <w:szCs w:val="21"/>
          <w:highlight w:val="none"/>
        </w:rPr>
        <w:t xml:space="preserve">E30/E34</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99"/>
          <w:sz w:val="21"/>
          <w:szCs w:val="21"/>
          <w:highlight w:val="none"/>
        </w:rPr>
        <w:t xml:space="preserve"> </w:t>
      </w:r>
      <w:r>
        <w:rPr>
          <w:rFonts w:ascii="宋体" w:hAnsi="宋体" w:eastAsia="宋体" w:cs="宋体"/>
          <w:color w:val="000000" w:themeColor="text1"/>
          <w:spacing w:val="-1"/>
          <w:sz w:val="21"/>
          <w:szCs w:val="21"/>
          <w:highlight w:val="none"/>
        </w:rPr>
        <w:t xml:space="preserve">总面积60㎡，配备挂机空调2台及相关照明；其他如：货架、</w:t>
      </w:r>
      <w:r>
        <w:rPr>
          <w:rFonts w:ascii="宋体" w:hAnsi="宋体" w:eastAsia="宋体" w:cs="宋体"/>
          <w:color w:val="000000" w:themeColor="text1"/>
          <w:spacing w:val="18"/>
          <w:sz w:val="21"/>
          <w:szCs w:val="21"/>
          <w:highlight w:val="none"/>
        </w:rPr>
        <w:t xml:space="preserve">桌椅及管理制度等由中标单位自行配备或制作张贴上墙。</w:t>
      </w:r>
      <w:r/>
    </w:p>
    <w:p>
      <w:pPr>
        <w:ind w:left="9" w:right="100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（3）提供机械停放仓库1间（6#  负一层风机房），面积20㎡，主要用于</w:t>
      </w:r>
      <w:r>
        <w:rPr>
          <w:rFonts w:ascii="宋体" w:hAnsi="宋体" w:eastAsia="宋体" w:cs="宋体"/>
          <w:color w:val="000000" w:themeColor="text1"/>
          <w:spacing w:val="-1"/>
          <w:sz w:val="21"/>
          <w:szCs w:val="21"/>
          <w:highlight w:val="none"/>
        </w:rPr>
        <w:t xml:space="preserve">小型机械设备，如洗地机、高</w:t>
      </w:r>
      <w:r>
        <w:rPr>
          <w:rFonts w:ascii="宋体" w:hAnsi="宋体" w:eastAsia="宋体" w:cs="宋体"/>
          <w:color w:val="000000" w:themeColor="text1"/>
          <w:spacing w:val="20"/>
          <w:sz w:val="21"/>
          <w:szCs w:val="21"/>
          <w:highlight w:val="none"/>
        </w:rPr>
        <w:t xml:space="preserve">压水枪、架手机等设备及物资器材存放，配备简</w:t>
      </w:r>
      <w:r>
        <w:rPr>
          <w:rFonts w:ascii="宋体" w:hAnsi="宋体" w:eastAsia="宋体" w:cs="宋体"/>
          <w:color w:val="000000" w:themeColor="text1"/>
          <w:spacing w:val="19"/>
          <w:sz w:val="21"/>
          <w:szCs w:val="21"/>
          <w:highlight w:val="none"/>
        </w:rPr>
        <w:t xml:space="preserve">易充电装置；其他所需由中标单位自行添加。</w:t>
      </w:r>
      <w:r/>
    </w:p>
    <w:p>
      <w:pPr>
        <w:ind w:left="9" w:right="800"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（4）提供更衣室2间（  A31/A32</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98"/>
          <w:sz w:val="21"/>
          <w:szCs w:val="21"/>
          <w:highlight w:val="none"/>
        </w:rPr>
        <w:t xml:space="preserve"> </w:t>
      </w:r>
      <w:r>
        <w:rPr>
          <w:rFonts w:ascii="宋体" w:hAnsi="宋体" w:eastAsia="宋体" w:cs="宋体"/>
          <w:color w:val="000000" w:themeColor="text1"/>
          <w:sz w:val="21"/>
          <w:szCs w:val="21"/>
          <w:highlight w:val="none"/>
        </w:rPr>
        <w:t xml:space="preserve">总面积60㎡，配备挂机空调2台；其他如：储物柜、打卡机、桌椅</w:t>
      </w:r>
      <w:r>
        <w:rPr>
          <w:rFonts w:ascii="宋体" w:hAnsi="宋体" w:eastAsia="宋体" w:cs="宋体"/>
          <w:color w:val="000000" w:themeColor="text1"/>
          <w:spacing w:val="16"/>
          <w:sz w:val="21"/>
          <w:szCs w:val="21"/>
          <w:highlight w:val="none"/>
        </w:rPr>
        <w:t xml:space="preserve">等相关设备及制作由中标方配置。</w:t>
      </w:r>
      <w:r/>
    </w:p>
    <w:p>
      <w:pPr>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1.2.2</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采购人可提供的管理服务设备、设施</w:t>
      </w:r>
      <w:r/>
    </w:p>
    <w:p>
      <w:pPr>
        <w:ind w:left="10" w:right="1019"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（1）采购人配备生活垃圾房转运房1处，主要</w:t>
      </w:r>
      <w:r>
        <w:rPr>
          <w:rFonts w:ascii="宋体" w:hAnsi="宋体" w:eastAsia="宋体" w:cs="宋体"/>
          <w:color w:val="000000" w:themeColor="text1"/>
          <w:spacing w:val="-1"/>
          <w:sz w:val="21"/>
          <w:szCs w:val="21"/>
          <w:highlight w:val="none"/>
        </w:rPr>
        <w:t xml:space="preserve">用于市民中心生活垃圾临时转运存放用，转运房内相关设</w:t>
      </w:r>
      <w:r>
        <w:rPr>
          <w:rFonts w:ascii="宋体" w:hAnsi="宋体" w:eastAsia="宋体" w:cs="宋体"/>
          <w:color w:val="000000" w:themeColor="text1"/>
          <w:spacing w:val="18"/>
          <w:sz w:val="21"/>
          <w:szCs w:val="21"/>
          <w:highlight w:val="none"/>
        </w:rPr>
        <w:t xml:space="preserve">备及器具由采购人配备，如：风扇、灭蝇灯、大型垃圾桶、清洗设备等；</w:t>
      </w:r>
      <w:r/>
    </w:p>
    <w:p>
      <w:pPr>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（2）采购人配备防汛防冻专用电动三轮车1辆，主要</w:t>
      </w:r>
      <w:r>
        <w:rPr>
          <w:rFonts w:ascii="宋体" w:hAnsi="宋体" w:eastAsia="宋体" w:cs="宋体"/>
          <w:color w:val="000000" w:themeColor="text1"/>
          <w:spacing w:val="19"/>
          <w:sz w:val="21"/>
          <w:szCs w:val="21"/>
          <w:highlight w:val="none"/>
        </w:rPr>
        <w:t xml:space="preserve">用于应急物资运输，供供应商应急情况下使用。</w:t>
      </w:r>
      <w:r/>
    </w:p>
    <w:p>
      <w:pPr>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1.2.3</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采购人可提供的食堂，餐费由供应商自理</w:t>
      </w:r>
      <w:r/>
    </w:p>
    <w:p>
      <w:pPr>
        <w:ind w:left="34" w:right="1010" w:hanging="3"/>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采购人提供食堂，工作日中餐在市民中心3号餐厅用餐，休息日和节假日在1号餐厅</w:t>
      </w:r>
      <w:r>
        <w:rPr>
          <w:rFonts w:ascii="宋体" w:hAnsi="宋体" w:eastAsia="宋体" w:cs="宋体"/>
          <w:color w:val="000000" w:themeColor="text1"/>
          <w:spacing w:val="-1"/>
          <w:sz w:val="21"/>
          <w:szCs w:val="21"/>
          <w:highlight w:val="none"/>
        </w:rPr>
        <w:t xml:space="preserve">用餐，餐费供应商自</w:t>
      </w:r>
      <w:r>
        <w:rPr>
          <w:rFonts w:ascii="宋体" w:hAnsi="宋体" w:eastAsia="宋体" w:cs="宋体"/>
          <w:color w:val="000000" w:themeColor="text1"/>
          <w:spacing w:val="-5"/>
          <w:sz w:val="21"/>
          <w:szCs w:val="21"/>
          <w:highlight w:val="none"/>
        </w:rPr>
        <w:t xml:space="preserve">理。</w:t>
      </w:r>
      <w:r/>
    </w:p>
    <w:p>
      <w:pPr>
        <w:ind w:left="4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1.2.4</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采购人可提供的住宿</w:t>
      </w:r>
      <w:r/>
    </w:p>
    <w:p>
      <w:pPr>
        <w:ind w:left="32" w:right="863" w:firstLine="10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采购人提供值班室1间（  E23</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1"/>
          <w:sz w:val="21"/>
          <w:szCs w:val="21"/>
          <w:highlight w:val="none"/>
        </w:rPr>
        <w:t xml:space="preserve">面积30㎡，供极端天气及特殊情况下值班用，配备挂机空调1台；其</w:t>
      </w:r>
      <w:r>
        <w:rPr>
          <w:rFonts w:ascii="宋体" w:hAnsi="宋体" w:eastAsia="宋体" w:cs="宋体"/>
          <w:color w:val="000000" w:themeColor="text1"/>
          <w:spacing w:val="19"/>
          <w:sz w:val="21"/>
          <w:szCs w:val="21"/>
          <w:highlight w:val="none"/>
        </w:rPr>
        <w:t xml:space="preserve">他如：床、储物柜、桌椅、生活用品等由中标单</w:t>
      </w:r>
      <w:r>
        <w:rPr>
          <w:rFonts w:ascii="宋体" w:hAnsi="宋体" w:eastAsia="宋体" w:cs="宋体"/>
          <w:color w:val="000000" w:themeColor="text1"/>
          <w:spacing w:val="18"/>
          <w:sz w:val="21"/>
          <w:szCs w:val="21"/>
          <w:highlight w:val="none"/>
        </w:rPr>
        <w:t xml:space="preserve">位自行配备。</w:t>
      </w:r>
      <w:r/>
    </w:p>
    <w:p>
      <w:pPr>
        <w:ind w:left="48"/>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1.2.5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6"/>
          <w:sz w:val="21"/>
          <w:szCs w:val="21"/>
          <w:highlight w:val="none"/>
        </w:rPr>
        <w:t xml:space="preserve">采购人可提供的客耗品</w:t>
      </w:r>
      <w:r/>
    </w:p>
    <w:p>
      <w:pPr>
        <w:ind w:left="33" w:right="1115" w:hanging="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保洁区域日常耗品：</w:t>
      </w:r>
      <w:r>
        <w:rPr>
          <w:rFonts w:hint="eastAsia" w:eastAsia="宋体"/>
          <w:color w:val="000000" w:themeColor="text1"/>
          <w:highlight w:val="none"/>
          <w:lang w:val="en-US" w:eastAsia="zh-CN"/>
        </w:rPr>
        <w:t xml:space="preserve">包括：</w:t>
      </w:r>
      <w:r>
        <w:rPr>
          <w:rFonts w:ascii="宋体" w:hAnsi="宋体" w:eastAsia="宋体" w:cs="宋体"/>
          <w:color w:val="000000" w:themeColor="text1"/>
          <w:sz w:val="21"/>
          <w:szCs w:val="21"/>
          <w:highlight w:val="none"/>
        </w:rPr>
        <w:t xml:space="preserve">卷纸约、擦手纸、</w:t>
      </w:r>
      <w:r>
        <w:rPr>
          <w:rFonts w:hint="eastAsia" w:ascii="宋体" w:hAnsi="宋体" w:eastAsia="宋体" w:cs="宋体"/>
          <w:color w:val="000000" w:themeColor="text1"/>
          <w:sz w:val="21"/>
          <w:szCs w:val="21"/>
          <w:highlight w:val="none"/>
          <w:lang w:val="en-US" w:eastAsia="zh-CN"/>
        </w:rPr>
        <w:t xml:space="preserve">大小</w:t>
      </w:r>
      <w:r>
        <w:rPr>
          <w:rFonts w:ascii="宋体" w:hAnsi="宋体" w:eastAsia="宋体" w:cs="宋体"/>
          <w:color w:val="000000" w:themeColor="text1"/>
          <w:sz w:val="21"/>
          <w:szCs w:val="21"/>
          <w:highlight w:val="none"/>
        </w:rPr>
        <w:t xml:space="preserve">抽纸</w:t>
      </w:r>
      <w:r>
        <w:rPr>
          <w:rFonts w:ascii="宋体" w:hAnsi="宋体" w:eastAsia="宋体" w:cs="宋体"/>
          <w:color w:val="000000" w:themeColor="text1"/>
          <w:spacing w:val="-1"/>
          <w:sz w:val="21"/>
          <w:szCs w:val="21"/>
          <w:highlight w:val="none"/>
        </w:rPr>
        <w:t xml:space="preserve">、中心抽纸</w:t>
      </w:r>
      <w:r>
        <w:rPr>
          <w:rFonts w:ascii="宋体" w:hAnsi="宋体" w:eastAsia="宋体" w:cs="宋体"/>
          <w:color w:val="000000" w:themeColor="text1"/>
          <w:sz w:val="21"/>
          <w:szCs w:val="21"/>
          <w:highlight w:val="none"/>
        </w:rPr>
        <w:t xml:space="preserve">、蓝月亮洗手液、桶装洗手液、润肤乳、全能清洁剂、</w:t>
      </w:r>
      <w:r>
        <w:rPr>
          <w:rFonts w:ascii="宋体" w:hAnsi="宋体" w:eastAsia="宋体" w:cs="宋体"/>
          <w:color w:val="000000" w:themeColor="text1"/>
          <w:spacing w:val="-1"/>
          <w:sz w:val="21"/>
          <w:szCs w:val="21"/>
          <w:highlight w:val="none"/>
        </w:rPr>
        <w:t xml:space="preserve">除油剂、消泡剂</w:t>
      </w:r>
      <w:r>
        <w:rPr>
          <w:rFonts w:ascii="宋体" w:hAnsi="宋体" w:eastAsia="宋体" w:cs="宋体"/>
          <w:color w:val="000000" w:themeColor="text1"/>
          <w:sz w:val="21"/>
          <w:szCs w:val="21"/>
          <w:highlight w:val="none"/>
        </w:rPr>
        <w:t xml:space="preserve">、小便斗除味片、废纸篓、垃圾桶、茶叶篓、</w:t>
      </w:r>
      <w:r>
        <w:rPr>
          <w:rFonts w:ascii="宋体" w:hAnsi="宋体" w:eastAsia="宋体" w:cs="宋体"/>
          <w:color w:val="000000" w:themeColor="text1"/>
          <w:spacing w:val="-1"/>
          <w:sz w:val="21"/>
          <w:szCs w:val="21"/>
          <w:highlight w:val="none"/>
        </w:rPr>
        <w:t xml:space="preserve">大</w:t>
      </w:r>
      <w:r>
        <w:rPr>
          <w:rFonts w:hint="eastAsia" w:ascii="宋体" w:hAnsi="宋体" w:eastAsia="宋体" w:cs="宋体"/>
          <w:color w:val="000000" w:themeColor="text1"/>
          <w:spacing w:val="-1"/>
          <w:sz w:val="21"/>
          <w:szCs w:val="21"/>
          <w:highlight w:val="none"/>
          <w:lang w:val="en-US" w:eastAsia="zh-CN"/>
        </w:rPr>
        <w:t xml:space="preserve">小</w:t>
      </w:r>
      <w:r>
        <w:rPr>
          <w:rFonts w:ascii="宋体" w:hAnsi="宋体" w:eastAsia="宋体" w:cs="宋体"/>
          <w:color w:val="000000" w:themeColor="text1"/>
          <w:spacing w:val="-1"/>
          <w:sz w:val="21"/>
          <w:szCs w:val="21"/>
          <w:highlight w:val="none"/>
        </w:rPr>
        <w:t xml:space="preserve">垃圾袋</w:t>
      </w:r>
      <w:r>
        <w:rPr>
          <w:rFonts w:hint="eastAsia" w:ascii="宋体" w:hAnsi="宋体" w:eastAsia="宋体" w:cs="宋体"/>
          <w:color w:val="000000" w:themeColor="text1"/>
          <w:spacing w:val="-1"/>
          <w:sz w:val="21"/>
          <w:szCs w:val="21"/>
          <w:highlight w:val="none"/>
          <w:lang w:val="en-US" w:eastAsia="zh-CN"/>
        </w:rPr>
        <w:t xml:space="preserve">等</w:t>
      </w:r>
      <w:r>
        <w:rPr>
          <w:rFonts w:ascii="宋体" w:hAnsi="宋体" w:eastAsia="宋体" w:cs="宋体"/>
          <w:color w:val="000000" w:themeColor="text1"/>
          <w:spacing w:val="17"/>
          <w:sz w:val="21"/>
          <w:szCs w:val="21"/>
          <w:highlight w:val="none"/>
        </w:rPr>
        <w:t xml:space="preserve">。</w:t>
      </w:r>
      <w:r/>
    </w:p>
    <w:p>
      <w:pPr>
        <w:ind w:left="32"/>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应急用品：如防汛沙包、防滑草垫、工业用盐、铲雪板、铁锹、防滑</w:t>
      </w:r>
      <w:r>
        <w:rPr>
          <w:rFonts w:ascii="宋体" w:hAnsi="宋体" w:eastAsia="宋体" w:cs="宋体"/>
          <w:color w:val="000000" w:themeColor="text1"/>
          <w:spacing w:val="19"/>
          <w:sz w:val="21"/>
          <w:szCs w:val="21"/>
          <w:highlight w:val="none"/>
        </w:rPr>
        <w:t xml:space="preserve">地毯、大扫把、地刮水器等若干。</w:t>
      </w:r>
      <w:r/>
    </w:p>
    <w:p>
      <w:pPr>
        <w:ind w:left="46" w:right="1010" w:hanging="14"/>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供应商应当承担除以上所列场地、设施、设备、材料外，与物业管理服务有关的</w:t>
      </w:r>
      <w:r>
        <w:rPr>
          <w:rFonts w:ascii="宋体" w:hAnsi="宋体" w:eastAsia="宋体" w:cs="宋体"/>
          <w:color w:val="000000" w:themeColor="text1"/>
          <w:spacing w:val="-1"/>
          <w:sz w:val="21"/>
          <w:szCs w:val="21"/>
          <w:highlight w:val="none"/>
        </w:rPr>
        <w:t xml:space="preserve">其他场地、设施、设备</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6"/>
          <w:sz w:val="21"/>
          <w:szCs w:val="21"/>
          <w:highlight w:val="none"/>
        </w:rPr>
        <w:t xml:space="preserve">、材料等。</w:t>
      </w:r>
      <w:r/>
    </w:p>
    <w:p>
      <w:pPr>
        <w:pStyle w:val="836"/>
        <w:ind w:left="35"/>
        <w:keepLines w:val="0"/>
        <w:keepNext w:val="0"/>
        <w:pageBreakBefore w:val="0"/>
        <w:spacing w:before="1" w:line="213" w:lineRule="auto"/>
        <w:widowControl/>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p>
    <w:p>
      <w:pPr>
        <w:pStyle w:val="844"/>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t xml:space="preserve">（1）物业管理（建筑物）</w:t>
      </w:r>
      <w:r/>
    </w:p>
    <w:tbl>
      <w:tblPr>
        <w:tblStyle w:val="839"/>
        <w:tblW w:w="0" w:type="auto"/>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6"/>
        <w:gridCol w:w="1406"/>
        <w:gridCol w:w="5719"/>
        <w:gridCol w:w="1857"/>
      </w:tblGrid>
      <w:tr>
        <w:trPr>
          <w:trHeight w:val="454"/>
        </w:trPr>
        <w:tc>
          <w:tcPr>
            <w:gridSpan w:val="2"/>
            <w:tcW w:w="3112" w:type="dxa"/>
            <w:vAlign w:val="center"/>
            <w:textDirection w:val="lrTb"/>
            <w:noWrap w:val="false"/>
          </w:tcPr>
          <w:p>
            <w:pPr>
              <w:jc w:val="center"/>
              <w:pageBreakBefore w:val="0"/>
              <w:spacing w:after="0" w:line="300" w:lineRule="auto"/>
              <w:rPr>
                <w:rFonts w:ascii="Calibri" w:hAnsi="Calibri" w:eastAsia="宋体" w:cs="Calibri"/>
                <w:b/>
                <w:bCs/>
                <w:color w:val="000000" w:themeColor="text1"/>
                <w:szCs w:val="21"/>
                <w:highlight w:val="none"/>
                <w:shd w:val="clear" w:color="auto" w:fill="auto"/>
              </w:rPr>
            </w:pPr>
            <w:r>
              <w:rPr>
                <w:rFonts w:hint="eastAsia" w:ascii="Calibri" w:hAnsi="Calibri" w:cs="Calibri"/>
                <w:b/>
                <w:bCs/>
                <w:color w:val="000000" w:themeColor="text1"/>
                <w:highlight w:val="none"/>
                <w:shd w:val="clear" w:color="auto" w:fill="auto"/>
                <w:lang w:val="en-US" w:eastAsia="zh-CN"/>
              </w:rPr>
              <w:t xml:space="preserve">名称</w:t>
            </w:r>
            <w:r/>
          </w:p>
        </w:tc>
        <w:tc>
          <w:tcPr>
            <w:tcW w:w="5719" w:type="dxa"/>
            <w:vAlign w:val="center"/>
            <w:textDirection w:val="lrTb"/>
            <w:noWrap w:val="false"/>
          </w:tcPr>
          <w:p>
            <w:pPr>
              <w:jc w:val="center"/>
              <w:pageBreakBefore w:val="0"/>
              <w:spacing w:after="0" w:line="300" w:lineRule="auto"/>
              <w:rPr>
                <w:rFonts w:hint="eastAsia" w:ascii="Calibri" w:hAnsi="Calibri" w:eastAsia="宋体" w:cs="Calibri"/>
                <w:b/>
                <w:bCs/>
                <w:color w:val="000000" w:themeColor="text1"/>
                <w:szCs w:val="21"/>
                <w:highlight w:val="none"/>
                <w:shd w:val="clear" w:color="auto" w:fill="auto"/>
              </w:rPr>
            </w:pPr>
            <w:r>
              <w:rPr>
                <w:rFonts w:ascii="Calibri" w:hAnsi="Calibri" w:cs="Calibri"/>
                <w:b/>
                <w:bCs/>
                <w:color w:val="000000" w:themeColor="text1"/>
                <w:highlight w:val="none"/>
                <w:shd w:val="clear" w:color="auto" w:fill="auto"/>
              </w:rPr>
              <w:t xml:space="preserve">明细</w:t>
            </w:r>
            <w:r/>
          </w:p>
        </w:tc>
        <w:tc>
          <w:tcPr>
            <w:tcW w:w="1857" w:type="dxa"/>
            <w:vAlign w:val="center"/>
            <w:textDirection w:val="lrTb"/>
            <w:noWrap w:val="false"/>
          </w:tcPr>
          <w:p>
            <w:pPr>
              <w:jc w:val="center"/>
              <w:pageBreakBefore w:val="0"/>
              <w:spacing w:after="0" w:line="300" w:lineRule="auto"/>
              <w:rPr>
                <w:rFonts w:ascii="Calibri" w:hAnsi="Calibri" w:eastAsia="宋体" w:cs="Calibri"/>
                <w:b/>
                <w:bCs/>
                <w:color w:val="000000" w:themeColor="text1"/>
                <w:highlight w:val="none"/>
                <w:shd w:val="clear" w:color="auto" w:fill="auto"/>
              </w:rPr>
            </w:pPr>
            <w:r>
              <w:rPr>
                <w:rFonts w:hint="eastAsia" w:cs="Calibri"/>
                <w:b/>
                <w:bCs/>
                <w:color w:val="000000" w:themeColor="text1"/>
                <w:highlight w:val="none"/>
                <w:shd w:val="clear" w:color="auto" w:fill="auto"/>
                <w:lang w:val="en-US" w:eastAsia="zh-CN"/>
              </w:rPr>
              <w:t xml:space="preserve">服务内容及标准</w:t>
            </w:r>
            <w:r/>
          </w:p>
        </w:tc>
      </w:tr>
      <w:tr>
        <w:trPr>
          <w:trHeight w:val="454"/>
        </w:trPr>
        <w:tc>
          <w:tcPr>
            <w:gridSpan w:val="2"/>
            <w:tcW w:w="3112"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Cs w:val="21"/>
                <w:highlight w:val="none"/>
                <w:shd w:val="clear" w:color="auto" w:fill="auto"/>
              </w:rPr>
            </w:pPr>
            <w:r>
              <w:rPr>
                <w:rFonts w:hint="eastAsia" w:cs="Calibri"/>
                <w:color w:val="000000" w:themeColor="text1"/>
                <w:highlight w:val="none"/>
                <w:shd w:val="clear" w:color="auto" w:fill="auto"/>
                <w:lang w:val="en-US" w:eastAsia="zh-CN"/>
              </w:rPr>
              <w:t xml:space="preserve">无锡市市民中心</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2号楼（6-15层，19-21层），3号楼（6-14层，19-21层）4、5、6号楼（1-7层），7号楼（1、2、5、6、7层），8、9、10、11号楼（1-7层），地下负一层公共区域，地下负二层停车场，室外内环路，1、2、3、12、13号楼南北平台台阶以下区域，星巴克周围区域，内庭院区域，市民中心汽车进出口坡道及顶部，东西光伏停车场，东西花园，非机动车库，垃圾房日常管理，保洁范围内3米以下玻璃，樱花季、极端天气、特殊情况应急保障等。</w:t>
            </w:r>
            <w:r/>
          </w:p>
        </w:tc>
        <w:tc>
          <w:tcPr>
            <w:tcW w:w="1857" w:type="dxa"/>
            <w:vAlign w:val="center"/>
            <w:textDirection w:val="lrTb"/>
            <w:noWrap w:val="false"/>
          </w:tcPr>
          <w:p>
            <w:pPr>
              <w:pStyle w:val="842"/>
              <w:ind w:left="135"/>
              <w:spacing w:before="170" w:after="0" w:line="219" w:lineRule="auto"/>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vMerge w:val="restart"/>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Cs w:val="21"/>
                <w:highlight w:val="none"/>
                <w:shd w:val="clear" w:color="auto" w:fill="auto"/>
              </w:rPr>
            </w:pPr>
            <w:r>
              <w:rPr>
                <w:rFonts w:hint="eastAsia" w:cs="Calibri"/>
                <w:color w:val="000000" w:themeColor="text1"/>
                <w:highlight w:val="none"/>
                <w:shd w:val="clear" w:color="auto" w:fill="auto"/>
                <w:lang w:val="en-US" w:eastAsia="zh-CN"/>
              </w:rPr>
              <w:t xml:space="preserve">总面积</w:t>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outlineLvl w:val="9"/>
            </w:pPr>
            <w:r>
              <w:rPr>
                <w:rFonts w:ascii="Calibri" w:hAnsi="Calibri" w:cs="Calibri"/>
                <w:color w:val="000000" w:themeColor="text1"/>
                <w:highlight w:val="none"/>
                <w:shd w:val="clear" w:color="auto" w:fill="auto"/>
              </w:rPr>
              <w:t xml:space="preserve">建筑面积</w:t>
            </w:r>
            <w:r>
              <w:rPr>
                <w:rFonts w:hint="eastAsia" w:ascii="Calibri" w:hAnsi="Calibri" w:eastAsia="宋体" w:cs="Calibri"/>
                <w:color w:val="000000" w:themeColor="text1"/>
                <w:highlight w:val="none"/>
                <w:shd w:val="clear" w:color="auto" w:fill="auto"/>
                <w:lang w:eastAsia="zh-CN"/>
              </w:rPr>
              <w:t xml:space="preserve">（</w:t>
            </w:r>
            <w:r>
              <w:rPr>
                <w:rFonts w:ascii="Calibri" w:hAnsi="Calibri" w:cs="Calibri"/>
                <w:color w:val="000000" w:themeColor="text1"/>
                <w:highlight w:val="none"/>
                <w:shd w:val="clear" w:color="auto" w:fill="auto"/>
              </w:rPr>
              <w:t xml:space="preserve">㎡</w:t>
            </w:r>
            <w:r>
              <w:rPr>
                <w:rFonts w:ascii="Calibri" w:hAnsi="Calibri"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 36</w:t>
            </w:r>
            <w:r>
              <w:rPr>
                <w:rFonts w:hint="eastAsia" w:ascii="Times New Roman" w:hAnsi="Times New Roman" w:eastAsia="方正仿宋_GBK" w:cs="Times New Roman"/>
                <w:color w:val="000000" w:themeColor="text1"/>
                <w:highlight w:val="none"/>
                <w:shd w:val="clear" w:color="auto" w:fill="auto"/>
                <w:lang w:val="en-US" w:eastAsia="zh-CN"/>
              </w:rPr>
              <w:t xml:space="preserve">45</w:t>
            </w:r>
            <w:r>
              <w:rPr>
                <w:rFonts w:ascii="Times New Roman" w:hAnsi="Times New Roman" w:eastAsia="方正仿宋_GBK" w:cs="Times New Roman"/>
                <w:color w:val="000000" w:themeColor="text1"/>
                <w:highlight w:val="none"/>
                <w:shd w:val="clear" w:color="auto" w:fill="auto"/>
                <w:lang w:val="en-US" w:eastAsia="zh-CN"/>
              </w:rPr>
              <w:t xml:space="preserve">00.0㎡</w:t>
            </w:r>
            <w:r/>
          </w:p>
        </w:tc>
        <w:tc>
          <w:tcPr>
            <w:tcW w:w="1857" w:type="dxa"/>
            <w:vAlign w:val="center"/>
            <w:textDirection w:val="lrTb"/>
            <w:noWrap w:val="false"/>
          </w:tcPr>
          <w:p>
            <w:pPr>
              <w:pStyle w:val="845"/>
              <w:numPr>
                <w:ilvl w:val="1"/>
                <w:numId w:val="0"/>
              </w:numPr>
              <w:jc w:val="center"/>
              <w:spacing w:before="156" w:after="156" w:line="240" w:lineRule="auto"/>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rPr>
            </w:r>
            <w:r/>
          </w:p>
        </w:tc>
      </w:tr>
      <w:tr>
        <w:trPr>
          <w:trHeight w:val="454"/>
        </w:trPr>
        <w:tc>
          <w:tcPr>
            <w:tcW w:w="1706" w:type="dxa"/>
            <w:vAlign w:val="center"/>
            <w:vMerge w:val="continue"/>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szCs w:val="21"/>
                <w:highlight w:val="none"/>
                <w:shd w:val="clear" w:color="auto" w:fill="auto"/>
              </w:rPr>
            </w:pPr>
            <w:r>
              <w:rPr>
                <w:rFonts w:ascii="Calibri" w:hAnsi="Calibri" w:eastAsia="宋体" w:cs="Calibri"/>
                <w:color w:val="000000"/>
                <w:szCs w:val="21"/>
                <w:highlight w:val="none"/>
                <w:shd w:val="clear" w:color="auto" w:fill="auto"/>
              </w:rPr>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ascii="Calibri" w:hAnsi="Calibri" w:cs="Calibri"/>
                <w:color w:val="000000" w:themeColor="text1"/>
                <w:highlight w:val="none"/>
                <w:shd w:val="clear" w:color="auto" w:fill="auto"/>
              </w:rPr>
              <w:t xml:space="preserve">需保洁面积</w:t>
            </w:r>
            <w:r>
              <w:rPr>
                <w:rFonts w:ascii="Calibri" w:hAnsi="Calibri" w:cs="Calibri"/>
                <w:color w:val="000000" w:themeColor="text1"/>
                <w:highlight w:val="none"/>
                <w:shd w:val="clear" w:color="auto" w:fill="auto"/>
                <w:lang w:eastAsia="zh-CN"/>
              </w:rPr>
              <w:t xml:space="preserve">（</w:t>
            </w:r>
            <w:r>
              <w:rPr>
                <w:rFonts w:ascii="Calibri" w:hAnsi="Calibri" w:cs="Calibri"/>
                <w:color w:val="000000" w:themeColor="text1"/>
                <w:highlight w:val="none"/>
                <w:shd w:val="clear" w:color="auto" w:fill="auto"/>
              </w:rPr>
              <w:t xml:space="preserve">㎡</w:t>
            </w:r>
            <w:r>
              <w:rPr>
                <w:rFonts w:ascii="Calibri" w:hAnsi="Calibri"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231660.13㎡，其中室内公共区域56552.23㎡，地下负一层64468.6㎡，地下负二层72987.3㎡</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Cs w:val="21"/>
                <w:highlight w:val="none"/>
                <w:shd w:val="clear" w:color="auto" w:fill="auto"/>
              </w:rPr>
            </w:pPr>
            <w:r>
              <w:rPr>
                <w:rFonts w:hint="eastAsia" w:ascii="Calibri" w:hAnsi="Calibri" w:cs="Calibri"/>
                <w:color w:val="000000" w:themeColor="text1"/>
                <w:szCs w:val="21"/>
                <w:highlight w:val="none"/>
                <w:shd w:val="clear" w:color="auto" w:fill="auto"/>
                <w:lang w:val="en-US" w:eastAsia="zh-CN"/>
              </w:rPr>
              <w:t xml:space="preserve">卫生间</w:t>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ascii="Calibri" w:hAnsi="Calibri" w:cs="Calibri"/>
                <w:color w:val="000000" w:themeColor="text1"/>
                <w:szCs w:val="21"/>
                <w:highlight w:val="none"/>
                <w:shd w:val="clear" w:color="auto" w:fill="auto"/>
                <w:lang w:val="en-US" w:eastAsia="zh-CN"/>
              </w:rPr>
              <w:t xml:space="preserve">数量</w:t>
            </w:r>
            <w:r>
              <w:rPr>
                <w:rFonts w:hint="eastAsia" w:cs="Calibri"/>
                <w:color w:val="000000" w:themeColor="text1"/>
                <w:szCs w:val="21"/>
                <w:highlight w:val="none"/>
                <w:shd w:val="clear" w:color="auto" w:fill="auto"/>
                <w:lang w:val="en-US" w:eastAsia="zh-CN"/>
              </w:rPr>
              <w:t xml:space="preserve">（间）</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263间卫生间</w:t>
            </w:r>
            <w:r>
              <w:rPr>
                <w:rFonts w:hint="eastAsia" w:ascii="Times New Roman" w:hAnsi="Times New Roman" w:eastAsia="方正仿宋_GBK" w:cs="Times New Roman"/>
                <w:color w:val="000000" w:themeColor="text1"/>
                <w:highlight w:val="none"/>
                <w:shd w:val="clear" w:color="auto" w:fill="auto"/>
                <w:lang w:val="en-US" w:eastAsia="zh-CN"/>
              </w:rPr>
              <w:t xml:space="preserve">。</w:t>
            </w:r>
            <w:r>
              <w:rPr>
                <w:rFonts w:ascii="Times New Roman" w:hAnsi="Times New Roman" w:eastAsia="方正仿宋_GBK" w:cs="Times New Roman"/>
                <w:color w:val="000000" w:themeColor="text1"/>
                <w:highlight w:val="none"/>
                <w:shd w:val="clear" w:color="auto" w:fill="auto"/>
                <w:lang w:val="en-US" w:eastAsia="zh-CN"/>
              </w:rPr>
              <w:t xml:space="preserve">1137个厕位，每日清洁地面、墙体及配套设施，及时补充各类易耗品；588个小便池每月深度清洗、清理下水口及滤网，同步 小便池除味片投放；244个擦手纸盒按需补纸；卫生间1150个垃圾桶及时清运、更换垃圾袋。</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茶水间</w:t>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数量（间）</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132间茶水间、264个茶水间分类</w:t>
            </w:r>
            <w:r>
              <w:rPr>
                <w:rFonts w:hint="eastAsia" w:ascii="Times New Roman" w:hAnsi="Times New Roman" w:eastAsia="方正仿宋_GBK" w:cs="Times New Roman"/>
                <w:color w:val="000000" w:themeColor="text1"/>
                <w:highlight w:val="none"/>
                <w:shd w:val="clear" w:color="auto" w:fill="auto"/>
                <w:lang w:val="en-US" w:eastAsia="zh-CN"/>
              </w:rPr>
              <w:t xml:space="preserve">垃圾桶</w:t>
            </w:r>
            <w:r>
              <w:rPr>
                <w:rFonts w:ascii="Times New Roman" w:hAnsi="Times New Roman" w:eastAsia="方正仿宋_GBK" w:cs="Times New Roman"/>
                <w:color w:val="000000" w:themeColor="text1"/>
                <w:highlight w:val="none"/>
                <w:shd w:val="clear" w:color="auto" w:fill="auto"/>
                <w:lang w:val="en-US" w:eastAsia="zh-CN"/>
              </w:rPr>
              <w:t xml:space="preserve">、132个开水炉，每日清洁地面、墙体、茶叶收集桶、沥水桶、拖把清洗池、水杯清洗池等配套设备，管控开水炉送电、断电；每季度深度清理开水炉水箱内水垢；每日定期分类收集楼层垃圾并始终保持桶身洁净。</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电梯</w:t>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ascii="Calibri" w:hAnsi="Calibri" w:cs="Calibri"/>
                <w:color w:val="000000" w:themeColor="text1"/>
                <w:highlight w:val="none"/>
                <w:shd w:val="clear" w:color="auto" w:fill="auto"/>
                <w:lang w:val="en-US" w:eastAsia="zh-CN"/>
              </w:rPr>
              <w:t xml:space="preserve">数量（</w:t>
            </w:r>
            <w:r>
              <w:rPr>
                <w:rFonts w:hint="eastAsia" w:cs="Calibri"/>
                <w:color w:val="000000" w:themeColor="text1"/>
                <w:highlight w:val="none"/>
                <w:shd w:val="clear" w:color="auto" w:fill="auto"/>
                <w:lang w:val="en-US" w:eastAsia="zh-CN"/>
              </w:rPr>
              <w:t xml:space="preserve">台</w:t>
            </w:r>
            <w:r>
              <w:rPr>
                <w:rFonts w:hint="eastAsia" w:ascii="Calibri" w:hAnsi="Calibri" w:cs="Calibri"/>
                <w:color w:val="000000" w:themeColor="text1"/>
                <w:highlight w:val="none"/>
                <w:shd w:val="clear" w:color="auto" w:fill="auto"/>
                <w:lang w:val="en-US"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74台电梯、1364扇电梯层门，电梯轿厢、移门、层门、轿厢地面，每日保洁消毒不少于4次；电梯地面每年2次晶面保养，候梯厅308处抽纸盒随时补充抽纸，电梯口318个垃圾桶每日清运并擦拭桶身。</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应急通道</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楼栋应急通道（步梯），总面积12220㎡，每日清扫并擦拭步行梯不锈钢扶手，每周地面拖洗不少于2次，每周不定期清扫墙体蜘蛛网。</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室内地面</w:t>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若干，包括楼层通道、公共大厅、地下负一/负二层相关区域：楼层通道每日清扫湿拖；大厅、负一层等重点区域每日清扫油拖并搭配机械同步清洗，全天候巡回保洁；负二层停车场利用休息日（节假日等）开展地毯式清洗，各楼栋楼层分片依次开展机械深度清洗。</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玻璃移门</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数量（扇）</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67扇玻璃移门，其中车库42扇、楼层25扇，每日双面擦拭并消毒，每月含不锈钢边框深度清洗。</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室内门</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数量（扇）</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约4986扇门，包括消防通道常闭门、办公室门等，每日擦拭保洁，每周深度保洁</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幕墙玻璃及百叶窗</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面积约19760㎡，主要包括1层大厅3米以下幕墙玻璃（含玻璃门）及挑檐以下3米以上高位玻璃（需架设脚手架作业），双面周保洁，日擦拭、月深度清洗，季度深度清洗。</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室内露天小天井</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主要包括楼内通风井（负一层、负二层），面积609㎡，58个小天井每周清扫1次，梅雨季节定期巡查，同步清掏下水管道口，确保下水通畅。</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室内通风百叶风口</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面积若干，每日除浮尘，每周全面擦拭风口百叶。</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排水沟</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若干：每天拾捡烟头等杂物，定期清掏淤泥。</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室内墙面（顶面）</w:t>
            </w:r>
            <w:r/>
          </w:p>
        </w:tc>
        <w:tc>
          <w:tcPr>
            <w:tcW w:w="1406" w:type="dxa"/>
            <w:vAlign w:val="center"/>
            <w:textDirection w:val="lrTb"/>
            <w:noWrap w:val="false"/>
          </w:tcPr>
          <w:p>
            <w:pPr>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主要包括清理灰尘和蜘蛛网，每周清理1次，可视现场情况增加作业频次。</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服务柜台</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数量（个）</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共8个，大厅服务柜台每天擦拭，无人服务台物品摆放规范，无灰尘、无垃圾。</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指示导引牌</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数量（若干）</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每日浮尘清理，每周全面擦拭</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垃圾桶</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数量（个）</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数量若干，主要位于楼层公共区域（不含茶水间、卫生间），每日清运、定期更换垃圾袋、擦拭桶身，垃圾堆放不</w:t>
            </w:r>
            <w:r>
              <w:rPr>
                <w:rFonts w:hint="eastAsia" w:ascii="Times New Roman" w:hAnsi="Times New Roman" w:eastAsia="方正仿宋_GBK" w:cs="Times New Roman"/>
                <w:color w:val="000000" w:themeColor="text1"/>
                <w:highlight w:val="none"/>
                <w:shd w:val="clear" w:color="auto" w:fill="auto"/>
                <w:lang w:val="en-US" w:eastAsia="zh-CN"/>
              </w:rPr>
              <w:t xml:space="preserve">超过</w:t>
            </w:r>
            <w:r>
              <w:rPr>
                <w:rFonts w:ascii="Times New Roman" w:hAnsi="Times New Roman" w:eastAsia="方正仿宋_GBK" w:cs="Times New Roman"/>
                <w:color w:val="000000" w:themeColor="text1"/>
                <w:highlight w:val="none"/>
                <w:shd w:val="clear" w:color="auto" w:fill="auto"/>
                <w:lang w:val="en-US" w:eastAsia="zh-CN"/>
              </w:rPr>
              <w:t xml:space="preserve">容积三分之二。</w:t>
            </w:r>
            <w:r/>
          </w:p>
        </w:tc>
        <w:tc>
          <w:tcPr>
            <w:tcW w:w="1857" w:type="dxa"/>
            <w:vAlign w:val="center"/>
            <w:textDirection w:val="lrTb"/>
            <w:noWrap w:val="false"/>
          </w:tcPr>
          <w:p>
            <w:pPr>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垃圾暂存点</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数量（间）</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数量10间，位于每栋楼宇一层，主要用于楼层可回收、可利用垃圾存放，每日清扫保洁、定期清理，定期消杀除味，垃圾桶摆放规整，无散落垃圾、无污水淤积、无异味。</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消防设施</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数量（个）</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数量若干，主要位于公共区域，仅限外观表面擦拭每日除尘，每周擦净表面污渍。</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休闲区设施</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数量（处）</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数量8处，主要包括桌椅等，每日擦拭，清理表面杂物污渍。</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车库导向镜</w:t>
            </w:r>
            <w:r/>
          </w:p>
        </w:tc>
        <w:tc>
          <w:tcPr>
            <w:tcW w:w="14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数量（个）</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数量若干，每日扫除浮灰，始终保持干净明亮。</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ascii="Calibri" w:hAnsi="Calibri" w:cs="Calibri"/>
                <w:color w:val="000000" w:themeColor="text1"/>
                <w:highlight w:val="none"/>
                <w:shd w:val="clear" w:color="auto" w:fill="auto"/>
                <w:lang w:val="en-US" w:eastAsia="zh-CN"/>
              </w:rPr>
              <w:t xml:space="preserve">人行</w:t>
            </w:r>
            <w:r>
              <w:rPr>
                <w:rFonts w:hint="eastAsia" w:cs="Calibri"/>
                <w:color w:val="000000" w:themeColor="text1"/>
                <w:highlight w:val="none"/>
                <w:shd w:val="clear" w:color="auto" w:fill="auto"/>
                <w:lang w:val="en-US" w:eastAsia="zh-CN"/>
              </w:rPr>
              <w:t xml:space="preserve">入</w:t>
            </w:r>
            <w:r>
              <w:rPr>
                <w:rFonts w:ascii="Calibri" w:hAnsi="Calibri" w:cs="Calibri"/>
                <w:color w:val="000000" w:themeColor="text1"/>
                <w:highlight w:val="none"/>
                <w:shd w:val="clear" w:color="auto" w:fill="auto"/>
                <w:lang w:val="en-US" w:eastAsia="zh-CN"/>
              </w:rPr>
              <w:t xml:space="preserve">口</w:t>
            </w:r>
            <w:r/>
          </w:p>
        </w:tc>
        <w:tc>
          <w:tcPr>
            <w:tcW w:w="1406" w:type="dxa"/>
            <w:vAlign w:val="center"/>
            <w:textDirection w:val="lrTb"/>
            <w:noWrap w:val="false"/>
          </w:tcPr>
          <w:p>
            <w:pPr>
              <w:jc w:val="center"/>
              <w:keepLines w:val="0"/>
              <w:keepNext w:val="0"/>
              <w:pageBreakBefore w:val="0"/>
              <w:spacing w:after="0" w:line="300" w:lineRule="exact"/>
              <w:widowControl/>
              <w:rPr>
                <w:rFonts w:ascii="Calibri" w:hAnsi="Calibri" w:eastAsia="宋体" w:cs="Calibri"/>
                <w:color w:val="000000" w:themeColor="text1"/>
                <w:sz w:val="21"/>
                <w:szCs w:val="24"/>
                <w:highlight w:val="none"/>
                <w:shd w:val="clear" w:color="auto" w:fill="auto"/>
              </w:rPr>
            </w:pPr>
            <w:r>
              <w:rPr>
                <w:rFonts w:hint="eastAsia" w:cs="Calibri"/>
                <w:color w:val="000000" w:themeColor="text1"/>
                <w:sz w:val="21"/>
                <w:szCs w:val="24"/>
                <w:highlight w:val="none"/>
                <w:shd w:val="clear" w:color="auto" w:fill="auto"/>
                <w:lang w:val="en-US" w:eastAsia="zh-CN" w:bidi="ar-SA"/>
              </w:rPr>
              <w:t xml:space="preserve">数量（条）</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32条，每月清扫，每月冲洗。</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应急保洁</w:t>
            </w:r>
            <w:r/>
          </w:p>
        </w:tc>
        <w:tc>
          <w:tcPr>
            <w:tcW w:w="1406" w:type="dxa"/>
            <w:vAlign w:val="center"/>
            <w:textDirection w:val="lrTb"/>
            <w:noWrap w:val="false"/>
          </w:tcPr>
          <w:p>
            <w:pPr>
              <w:jc w:val="center"/>
              <w:keepLines w:val="0"/>
              <w:keepNext w:val="0"/>
              <w:pageBreakBefore w:val="0"/>
              <w:spacing w:after="0" w:line="300" w:lineRule="exact"/>
              <w:widowControl/>
              <w:rPr>
                <w:rFonts w:cs="Calibri"/>
                <w:color w:val="000000" w:themeColor="text1"/>
                <w:sz w:val="21"/>
                <w:szCs w:val="24"/>
                <w:highlight w:val="none"/>
                <w:shd w:val="clear" w:color="auto" w:fill="auto"/>
              </w:rPr>
            </w:pPr>
            <w:r>
              <w:rPr>
                <w:rFonts w:hint="eastAsia" w:cs="Calibri"/>
                <w:color w:val="000000" w:themeColor="text1"/>
                <w:sz w:val="21"/>
                <w:szCs w:val="24"/>
                <w:highlight w:val="none"/>
                <w:shd w:val="clear" w:color="auto" w:fill="auto"/>
                <w:lang w:val="en-US" w:eastAsia="zh-CN" w:bidi="ar-SA"/>
              </w:rPr>
              <w:t xml:space="preserve">项</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主要是应对极端天气及特殊时节，梅雨季及时清除车库返潮积水与设备凝露；汛期车库出入口摆放防汛沙袋，加强值班巡查，疏通排水沟、快速清理雨水积水</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center"/>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人防区</w:t>
            </w:r>
            <w:r/>
          </w:p>
        </w:tc>
        <w:tc>
          <w:tcPr>
            <w:tcW w:w="1406" w:type="dxa"/>
            <w:vAlign w:val="center"/>
            <w:textDirection w:val="lrTb"/>
            <w:noWrap w:val="false"/>
          </w:tcPr>
          <w:p>
            <w:pPr>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面积若干，定期清理，干净、整洁，无杂物、无乱堆乱放，无安全隐患。</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公共区域地砖晶面及养护</w:t>
            </w:r>
            <w:r/>
          </w:p>
        </w:tc>
        <w:tc>
          <w:tcPr>
            <w:tcW w:w="1406" w:type="dxa"/>
            <w:vAlign w:val="center"/>
            <w:textDirection w:val="lrTb"/>
            <w:noWrap w:val="false"/>
          </w:tcPr>
          <w:p>
            <w:pPr>
              <w:jc w:val="center"/>
              <w:keepLines w:val="0"/>
              <w:keepNext w:val="0"/>
              <w:pageBreakBefore w:val="0"/>
              <w:spacing w:after="0" w:line="300" w:lineRule="exact"/>
              <w:widowControl/>
              <w:rPr>
                <w:rFonts w:hint="eastAsia"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p>
        </w:tc>
        <w:tc>
          <w:tcPr>
            <w:tcW w:w="5719" w:type="dxa"/>
            <w:vAlign w:val="center"/>
            <w:textDirection w:val="lrTb"/>
            <w:noWrap w:val="false"/>
          </w:tcPr>
          <w:p>
            <w:pPr>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面积若干，每半年养护不少于一次。</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1706" w:type="dxa"/>
            <w:vAlign w:val="center"/>
            <w:textDirection w:val="lrTb"/>
            <w:noWrap w:val="false"/>
          </w:tcPr>
          <w:p>
            <w:pPr>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配合做好卫生城市创建及控烟工作</w:t>
            </w:r>
            <w:r/>
          </w:p>
        </w:tc>
        <w:tc>
          <w:tcPr>
            <w:tcW w:w="1406" w:type="dxa"/>
            <w:vAlign w:val="center"/>
            <w:textDirection w:val="lrTb"/>
            <w:noWrap w:val="false"/>
          </w:tcPr>
          <w:p>
            <w:pPr>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项</w:t>
            </w:r>
            <w:r/>
          </w:p>
        </w:tc>
        <w:tc>
          <w:tcPr>
            <w:tcW w:w="5719" w:type="dxa"/>
            <w:vAlign w:val="center"/>
            <w:textDirection w:val="lrTb"/>
            <w:noWrap w:val="false"/>
          </w:tcPr>
          <w:p>
            <w:pPr>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控烟工作日常督查，卫生城市创建工作按通知要求落实。</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专项通知</w:t>
            </w:r>
            <w:r/>
          </w:p>
        </w:tc>
      </w:tr>
      <w:tr>
        <w:trPr>
          <w:trHeight w:val="454"/>
        </w:trPr>
        <w:tc>
          <w:tcPr>
            <w:tcW w:w="1706" w:type="dxa"/>
            <w:vAlign w:val="center"/>
            <w:textDirection w:val="lrTb"/>
            <w:noWrap w:val="false"/>
          </w:tcPr>
          <w:p>
            <w:pPr>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配合做好健康城市及控虫工作</w:t>
            </w:r>
            <w:r/>
          </w:p>
        </w:tc>
        <w:tc>
          <w:tcPr>
            <w:tcW w:w="1406" w:type="dxa"/>
            <w:vAlign w:val="center"/>
            <w:textDirection w:val="lrTb"/>
            <w:noWrap w:val="false"/>
          </w:tcPr>
          <w:p>
            <w:pPr>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次数</w:t>
            </w:r>
            <w:r/>
          </w:p>
        </w:tc>
        <w:tc>
          <w:tcPr>
            <w:tcW w:w="5719" w:type="dxa"/>
            <w:vAlign w:val="center"/>
            <w:textDirection w:val="lrTb"/>
            <w:noWrap w:val="false"/>
          </w:tcPr>
          <w:p>
            <w:pPr>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每月不少于一次。</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专项通知</w:t>
            </w:r>
            <w:r/>
          </w:p>
        </w:tc>
      </w:tr>
      <w:tr>
        <w:trPr>
          <w:trHeight w:val="454"/>
        </w:trPr>
        <w:tc>
          <w:tcPr>
            <w:tcW w:w="1706" w:type="dxa"/>
            <w:vAlign w:val="center"/>
            <w:textDirection w:val="lrTb"/>
            <w:noWrap w:val="false"/>
          </w:tcPr>
          <w:p>
            <w:pPr>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新装修办公区开荒</w:t>
            </w:r>
            <w:r/>
          </w:p>
        </w:tc>
        <w:tc>
          <w:tcPr>
            <w:tcW w:w="1406" w:type="dxa"/>
            <w:vAlign w:val="center"/>
            <w:textDirection w:val="lrTb"/>
            <w:noWrap w:val="false"/>
          </w:tcPr>
          <w:p>
            <w:pPr>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次数</w:t>
            </w:r>
            <w:r/>
          </w:p>
        </w:tc>
        <w:tc>
          <w:tcPr>
            <w:tcW w:w="5719" w:type="dxa"/>
            <w:vAlign w:val="center"/>
            <w:textDirection w:val="lrTb"/>
            <w:noWrap w:val="false"/>
          </w:tcPr>
          <w:p>
            <w:pPr>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根据实际情况由采购单位统一安排。</w:t>
            </w:r>
            <w:r/>
          </w:p>
        </w:tc>
        <w:tc>
          <w:tcPr>
            <w:tcW w:w="1857" w:type="dxa"/>
            <w:vAlign w:val="center"/>
            <w:textDirection w:val="lrTb"/>
            <w:noWrap w:val="false"/>
          </w:tcPr>
          <w:p>
            <w:pPr>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bl>
    <w:p>
      <w:pPr>
        <w:pStyle w:val="844"/>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r>
      <w:r/>
    </w:p>
    <w:p>
      <w:pPr>
        <w:pStyle w:val="844"/>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r>
      <w:r/>
    </w:p>
    <w:p>
      <w:pPr>
        <w:pStyle w:val="844"/>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r>
      <w:r/>
    </w:p>
    <w:p>
      <w:pPr>
        <w:pStyle w:val="844"/>
        <w:numPr>
          <w:ilvl w:val="0"/>
          <w:numId w:val="2"/>
        </w:numPr>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t xml:space="preserve">物业管理（室外）</w:t>
      </w:r>
      <w:r/>
    </w:p>
    <w:tbl>
      <w:tblPr>
        <w:tblStyle w:val="839"/>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9"/>
        <w:gridCol w:w="6159"/>
        <w:gridCol w:w="1928"/>
      </w:tblGrid>
      <w:tr>
        <w:trPr>
          <w:trHeight w:val="454"/>
        </w:trPr>
        <w:tc>
          <w:tcPr>
            <w:tcW w:w="2539" w:type="dxa"/>
            <w:vAlign w:val="center"/>
            <w:textDirection w:val="lrTb"/>
            <w:noWrap w:val="false"/>
          </w:tcPr>
          <w:p>
            <w:pPr>
              <w:jc w:val="center"/>
              <w:pageBreakBefore w:val="0"/>
              <w:spacing w:after="0" w:line="300" w:lineRule="auto"/>
              <w:rPr>
                <w:rFonts w:hint="eastAsia" w:ascii="Calibri" w:hAnsi="Calibri" w:eastAsia="宋体" w:cs="Calibri"/>
                <w:b/>
                <w:bCs/>
                <w:color w:val="000000" w:themeColor="text1"/>
                <w:sz w:val="21"/>
                <w:szCs w:val="21"/>
                <w:highlight w:val="none"/>
                <w:shd w:val="clear" w:color="auto" w:fill="auto"/>
              </w:rPr>
            </w:pPr>
            <w:r>
              <w:rPr>
                <w:rFonts w:hint="eastAsia" w:ascii="Calibri" w:hAnsi="Calibri" w:cs="Calibri"/>
                <w:b/>
                <w:bCs/>
                <w:color w:val="000000" w:themeColor="text1"/>
                <w:highlight w:val="none"/>
                <w:shd w:val="clear" w:color="auto" w:fill="auto"/>
                <w:lang w:val="en-US" w:eastAsia="zh-CN"/>
              </w:rPr>
              <w:t xml:space="preserve">名称</w:t>
            </w:r>
            <w:r/>
          </w:p>
        </w:tc>
        <w:tc>
          <w:tcPr>
            <w:tcW w:w="6159" w:type="dxa"/>
            <w:vAlign w:val="center"/>
            <w:textDirection w:val="lrTb"/>
            <w:noWrap w:val="false"/>
          </w:tcPr>
          <w:p>
            <w:pPr>
              <w:jc w:val="center"/>
              <w:pageBreakBefore w:val="0"/>
              <w:spacing w:after="0" w:line="300" w:lineRule="auto"/>
              <w:rPr>
                <w:rFonts w:hint="eastAsia" w:ascii="Calibri" w:hAnsi="Calibri" w:eastAsia="宋体" w:cs="Calibri"/>
                <w:b/>
                <w:bCs/>
                <w:color w:val="000000" w:themeColor="text1"/>
                <w:sz w:val="21"/>
                <w:szCs w:val="21"/>
                <w:highlight w:val="none"/>
                <w:shd w:val="clear" w:color="auto" w:fill="auto"/>
              </w:rPr>
            </w:pPr>
            <w:r>
              <w:rPr>
                <w:rFonts w:ascii="Calibri" w:hAnsi="Calibri" w:cs="Calibri"/>
                <w:b/>
                <w:bCs/>
                <w:color w:val="000000" w:themeColor="text1"/>
                <w:highlight w:val="none"/>
                <w:shd w:val="clear" w:color="auto" w:fill="auto"/>
              </w:rPr>
              <w:t xml:space="preserve">明细</w:t>
            </w:r>
            <w:r/>
          </w:p>
        </w:tc>
        <w:tc>
          <w:tcPr>
            <w:tcW w:w="1928" w:type="dxa"/>
            <w:vAlign w:val="center"/>
            <w:textDirection w:val="lrTb"/>
            <w:noWrap w:val="false"/>
          </w:tcPr>
          <w:p>
            <w:pPr>
              <w:jc w:val="center"/>
              <w:pageBreakBefore w:val="0"/>
              <w:spacing w:after="0" w:line="300" w:lineRule="auto"/>
              <w:rPr>
                <w:rFonts w:ascii="Calibri" w:hAnsi="Calibri" w:cs="Calibri"/>
                <w:b/>
                <w:bCs/>
                <w:color w:val="000000" w:themeColor="text1"/>
                <w:highlight w:val="none"/>
                <w:shd w:val="clear" w:color="auto" w:fill="auto"/>
              </w:rPr>
            </w:pPr>
            <w:r>
              <w:rPr>
                <w:rFonts w:hint="eastAsia" w:cs="Calibri"/>
                <w:b/>
                <w:bCs/>
                <w:color w:val="000000" w:themeColor="text1"/>
                <w:highlight w:val="none"/>
                <w:shd w:val="clear" w:color="auto" w:fill="auto"/>
                <w:lang w:val="en-US" w:eastAsia="zh-CN"/>
              </w:rPr>
              <w:t xml:space="preserve">服务内容及标准</w:t>
            </w:r>
            <w:r/>
          </w:p>
        </w:tc>
      </w:tr>
      <w:tr>
        <w:trPr>
          <w:trHeight w:val="454"/>
        </w:trPr>
        <w:tc>
          <w:tcPr>
            <w:tcW w:w="2539" w:type="dxa"/>
            <w:vAlign w:val="center"/>
            <w:textDirection w:val="lrTb"/>
            <w:noWrap w:val="false"/>
          </w:tcPr>
          <w:p>
            <w:pPr>
              <w:jc w:val="center"/>
              <w:spacing w:after="0"/>
              <w:rPr>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室外面积</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lang w:val="en-US" w:eastAsia="zh-CN"/>
              </w:rPr>
              <w:t xml:space="preserve"> 133648㎡</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道路/广场</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面积63572㎡；每天清扫不少于4次，落叶季增加频次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星巴克、东西花园</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面积1278㎡；每天清扫不少于4次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室外台阶、平台、无障碍坡道</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面积13588㎡；每天清扫不少于3次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非机动车库</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2处，东西各1处，面积4191㎡；每天清扫不少于2次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光伏车库</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2处，东西各1处，面积20524㎡；每天清扫不少于2次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露天停车场</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主要包括市民中心东西两侧停车场各1处，6、7</w:t>
            </w:r>
            <w:r>
              <w:rPr>
                <w:rFonts w:hint="eastAsia" w:ascii="Times New Roman" w:hAnsi="Times New Roman" w:eastAsia="方正仿宋_GBK" w:cs="Times New Roman"/>
                <w:color w:val="000000" w:themeColor="text1"/>
                <w:highlight w:val="none"/>
                <w:shd w:val="clear" w:color="auto" w:fill="auto"/>
                <w:lang w:val="en-US" w:eastAsia="zh-CN"/>
              </w:rPr>
              <w:t xml:space="preserve">号楼</w:t>
            </w:r>
            <w:r>
              <w:rPr>
                <w:rFonts w:ascii="Times New Roman" w:hAnsi="Times New Roman" w:eastAsia="方正仿宋_GBK" w:cs="Times New Roman"/>
                <w:color w:val="000000" w:themeColor="text1"/>
                <w:highlight w:val="none"/>
                <w:shd w:val="clear" w:color="auto" w:fill="auto"/>
                <w:lang w:val="en-US" w:eastAsia="zh-CN"/>
              </w:rPr>
              <w:t xml:space="preserve">南侧各1处，9号楼北侧1处，共5处，面积约4629㎡(不含路面临时停车位）；每天清扫不少于2次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室外内庭院</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面积：21835㎡，8个内庭院、5个下沉庭院每日清扫，庭院石材地面每年至少冲洗2次。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s="Calibri"/>
                <w:color w:val="000000" w:themeColor="text1"/>
                <w:szCs w:val="21"/>
                <w:highlight w:val="none"/>
                <w:shd w:val="clear" w:color="auto" w:fill="auto"/>
                <w:lang w:val="en-US" w:eastAsia="zh-CN"/>
              </w:rPr>
              <w:t xml:space="preserve">垃圾转运点</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1处，位于北2号门外，外来办事市民临时停车场内，面积约20</w:t>
            </w:r>
            <w:r>
              <w:rPr>
                <w:rFonts w:ascii="Times New Roman" w:hAnsi="Times New Roman" w:eastAsia="方正仿宋_GBK" w:cs="Times New Roman"/>
                <w:color w:val="000000" w:themeColor="text1"/>
                <w:highlight w:val="none"/>
                <w:shd w:val="clear" w:color="auto" w:fill="auto"/>
                <w:vertAlign w:val="baseline"/>
                <w:lang w:val="en-US" w:eastAsia="zh-CN"/>
              </w:rPr>
              <w:t xml:space="preserve">㎡；</w:t>
            </w:r>
            <w:r>
              <w:rPr>
                <w:rFonts w:ascii="Times New Roman" w:hAnsi="Times New Roman" w:eastAsia="方正仿宋_GBK" w:cs="Times New Roman"/>
                <w:color w:val="000000" w:themeColor="text1"/>
                <w:highlight w:val="none"/>
                <w:shd w:val="clear" w:color="auto" w:fill="auto"/>
                <w:lang w:val="en-US" w:eastAsia="zh-CN"/>
              </w:rPr>
              <w:t xml:space="preserve">垃圾分类分拣、垃圾桶身清洗、转运。</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路面收水井</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347个，每周清掏1次，梅雨季节增加频次。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坡道排水沟</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8条，每天捡拾烟头、垃圾，定期清理淤泥。</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柱子灯、景观灯</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130个，每周擦拭2次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宣传牌、指示牌</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62个，每周擦拭2次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监控立柱、广角镜</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116个，每周擦拭1次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连体分类垃圾桶</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lang w:val="en-US" w:eastAsia="zh-CN"/>
              </w:rPr>
              <w:t xml:space="preserve">14组，每天清收垃圾、擦拭</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室外灭火箱、灭火器桶</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64个，每周擦拭表面1次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室外配电箱</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vertAlign w:val="baseline"/>
                <w:lang w:val="en-US" w:eastAsia="zh-CN"/>
              </w:rPr>
              <w:t xml:space="preserve">102个，</w:t>
            </w:r>
            <w:r>
              <w:rPr>
                <w:rFonts w:ascii="Times New Roman" w:hAnsi="Times New Roman" w:eastAsia="方正仿宋_GBK" w:cs="Times New Roman"/>
                <w:color w:val="000000" w:themeColor="text1"/>
                <w:highlight w:val="none"/>
                <w:shd w:val="clear" w:color="auto" w:fill="auto"/>
                <w:lang w:val="en-US" w:eastAsia="zh-CN"/>
              </w:rPr>
              <w:t xml:space="preserve">周擦拭外表1次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汽车充电桩</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lang w:val="en-US" w:eastAsia="zh-CN"/>
              </w:rPr>
              <w:t xml:space="preserve">38个，每周擦拭1次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室外休闲长椅</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28个，每天擦拭1次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汽车坡道玻璃顶棚</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8个、面积3402㎡，每季度清洗1次</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ind w:left="0" w:firstLine="0"/>
              <w:jc w:val="center"/>
              <w:pageBreakBefore w:val="0"/>
              <w:spacing w:after="0" w:line="300" w:lineRule="auto"/>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吸烟区</w:t>
            </w:r>
            <w:r/>
          </w:p>
        </w:tc>
        <w:tc>
          <w:tcPr>
            <w:tcW w:w="6159" w:type="dxa"/>
            <w:vAlign w:val="center"/>
            <w:textDirection w:val="lrTb"/>
            <w:noWrap w:val="false"/>
          </w:tcPr>
          <w:p>
            <w:pPr>
              <w:ind w:left="0" w:firstLine="0"/>
              <w:jc w:val="left"/>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sz w:val="21"/>
                <w:szCs w:val="21"/>
                <w:highlight w:val="none"/>
                <w:shd w:val="clear" w:color="auto" w:fill="auto"/>
                <w:lang w:val="en-US" w:eastAsia="zh-CN" w:bidi="ar-SA"/>
              </w:rPr>
              <w:t xml:space="preserve">26处吸烟点位，每日巡查清理不少于2次。</w:t>
            </w:r>
            <w:r/>
          </w:p>
        </w:tc>
        <w:tc>
          <w:tcPr>
            <w:tcW w:w="1928" w:type="dxa"/>
            <w:vAlign w:val="center"/>
            <w:textDirection w:val="lrTb"/>
            <w:noWrap w:val="false"/>
          </w:tcPr>
          <w:p>
            <w:pPr>
              <w:jc w:val="center"/>
              <w:pageBreakBefore w:val="0"/>
              <w:spacing w:after="0" w:line="300" w:lineRule="auto"/>
              <w:rPr>
                <w:rFonts w:hint="eastAsia" w:ascii="楷体" w:hAnsi="楷体" w:eastAsia="楷体" w:cs="楷体"/>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rFonts w:hint="eastAsia"/>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绿化带</w:t>
            </w:r>
            <w:r/>
          </w:p>
        </w:tc>
        <w:tc>
          <w:tcPr>
            <w:tcW w:w="6159" w:type="dxa"/>
            <w:vAlign w:val="center"/>
            <w:textDirection w:val="lrTb"/>
            <w:noWrap w:val="false"/>
          </w:tcPr>
          <w:p>
            <w:pPr>
              <w:jc w:val="both"/>
              <w:spacing w:after="0"/>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定期捡拾垃圾。</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r>
        <w:trPr>
          <w:trHeight w:val="454"/>
        </w:trPr>
        <w:tc>
          <w:tcPr>
            <w:tcW w:w="2539" w:type="dxa"/>
            <w:vAlign w:val="center"/>
            <w:textDirection w:val="lrTb"/>
            <w:noWrap w:val="false"/>
          </w:tcPr>
          <w:p>
            <w:pPr>
              <w:jc w:val="center"/>
              <w:spacing w:after="0"/>
              <w:rPr>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极端天气预防工作</w:t>
            </w:r>
            <w:r/>
          </w:p>
        </w:tc>
        <w:tc>
          <w:tcPr>
            <w:tcW w:w="6159" w:type="dxa"/>
            <w:vAlign w:val="center"/>
            <w:textDirection w:val="lrTb"/>
            <w:noWrap w:val="false"/>
          </w:tcPr>
          <w:p>
            <w:pPr>
              <w:jc w:val="both"/>
              <w:spacing w:after="0"/>
              <w:rPr>
                <w:rFonts w:hint="eastAsia"/>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按采购人需求。</w:t>
            </w:r>
            <w:r/>
          </w:p>
        </w:tc>
        <w:tc>
          <w:tcPr>
            <w:tcW w:w="1928" w:type="dxa"/>
            <w:vAlign w:val="center"/>
            <w:textDirection w:val="lrTb"/>
            <w:noWrap w:val="false"/>
          </w:tcPr>
          <w:p>
            <w:pPr>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p>
        </w:tc>
      </w:tr>
    </w:tbl>
    <w:p>
      <w:pPr>
        <w:pStyle w:val="844"/>
        <w:ind w:left="20"/>
        <w:spacing w:before="90" w:line="213" w:lineRule="auto"/>
        <w:rPr>
          <w:b/>
          <w:bCs/>
          <w:color w:val="000000" w:themeColor="text1"/>
          <w:spacing w:val="15"/>
          <w:sz w:val="21"/>
          <w:szCs w:val="21"/>
          <w:highlight w:val="none"/>
          <w:shd w:val="clear" w:color="auto" w:fill="auto"/>
        </w:rPr>
      </w:pPr>
      <w:r>
        <w:rPr>
          <w:b/>
          <w:bCs/>
          <w:color w:val="000000" w:themeColor="text1"/>
          <w:spacing w:val="15"/>
          <w:sz w:val="21"/>
          <w:szCs w:val="21"/>
          <w:highlight w:val="none"/>
          <w:shd w:val="clear" w:color="auto" w:fill="auto"/>
        </w:rPr>
      </w:r>
      <w:r/>
    </w:p>
    <w:p>
      <w:pPr>
        <w:ind w:left="0" w:right="0" w:firstLine="48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 </w:t>
      </w:r>
      <w:r/>
    </w:p>
    <w:p>
      <w:pPr>
        <w:ind w:left="0" w:right="0" w:firstLine="482"/>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shd w:val="clear" w:color="auto" w:fill="auto"/>
        </w:rPr>
        <w:t xml:space="preserve">3.物业管理服务内容及标准</w:t>
      </w:r>
      <w:r/>
    </w:p>
    <w:p>
      <w:pPr>
        <w:ind w:left="6" w:right="130" w:firstLine="420"/>
        <w:keepLines w:val="0"/>
        <w:keepNext w:val="0"/>
        <w:pageBreakBefore w:val="0"/>
        <w:spacing w:before="76" w:line="324" w:lineRule="auto"/>
        <w:widowControl/>
        <w:rPr>
          <w:color w:val="000000" w:themeColor="text1"/>
          <w:highlight w:val="none"/>
          <w:shd w:val="clear" w:color="auto" w:fill="auto"/>
        </w:rPr>
        <w:outlineLvl w:val="9"/>
      </w:pPr>
      <w:r>
        <w:rPr>
          <w:rFonts w:ascii="宋体" w:hAnsi="宋体" w:eastAsia="宋体" w:cs="宋体"/>
          <w:color w:val="000000" w:themeColor="text1"/>
          <w:spacing w:val="19"/>
          <w:sz w:val="21"/>
          <w:szCs w:val="21"/>
          <w:highlight w:val="none"/>
          <w:shd w:val="clear" w:color="auto" w:fill="auto"/>
        </w:rPr>
        <w:t xml:space="preserve">鉴于</w:t>
      </w:r>
      <w:r>
        <w:rPr>
          <w:rFonts w:hint="eastAsia" w:ascii="宋体" w:hAnsi="宋体" w:eastAsia="宋体" w:cs="宋体"/>
          <w:color w:val="000000" w:themeColor="text1"/>
          <w:spacing w:val="19"/>
          <w:sz w:val="21"/>
          <w:szCs w:val="21"/>
          <w:highlight w:val="none"/>
          <w:shd w:val="clear" w:color="auto" w:fill="auto"/>
          <w:lang w:val="en-US" w:eastAsia="zh-CN"/>
        </w:rPr>
        <w:t xml:space="preserve">市民中心</w:t>
      </w:r>
      <w:r>
        <w:rPr>
          <w:rFonts w:ascii="宋体" w:hAnsi="宋体" w:eastAsia="宋体" w:cs="宋体"/>
          <w:color w:val="000000" w:themeColor="text1"/>
          <w:spacing w:val="19"/>
          <w:sz w:val="21"/>
          <w:szCs w:val="21"/>
          <w:highlight w:val="none"/>
          <w:shd w:val="clear" w:color="auto" w:fill="auto"/>
        </w:rPr>
        <w:t xml:space="preserve">的特殊性质，中标单位安排的物</w:t>
      </w:r>
      <w:r>
        <w:rPr>
          <w:rFonts w:hint="eastAsia" w:ascii="宋体" w:hAnsi="宋体" w:eastAsia="宋体" w:cs="宋体"/>
          <w:color w:val="000000" w:themeColor="text1"/>
          <w:spacing w:val="19"/>
          <w:sz w:val="21"/>
          <w:szCs w:val="21"/>
          <w:highlight w:val="none"/>
          <w:shd w:val="clear" w:color="auto" w:fill="auto"/>
          <w:lang w:val="en-US" w:eastAsia="zh-CN"/>
        </w:rPr>
        <w:t xml:space="preserve">保洁服务人</w:t>
      </w:r>
      <w:r>
        <w:rPr>
          <w:rFonts w:ascii="宋体" w:hAnsi="宋体" w:eastAsia="宋体" w:cs="宋体"/>
          <w:color w:val="000000" w:themeColor="text1"/>
          <w:spacing w:val="19"/>
          <w:sz w:val="21"/>
          <w:szCs w:val="21"/>
          <w:highlight w:val="none"/>
          <w:shd w:val="clear" w:color="auto" w:fill="auto"/>
        </w:rPr>
        <w:t xml:space="preserve">员相关审核工作由中标单位负责，采购方进行复审，</w:t>
      </w:r>
      <w:r>
        <w:rPr>
          <w:rFonts w:ascii="宋体" w:hAnsi="宋体" w:eastAsia="宋体" w:cs="宋体"/>
          <w:color w:val="000000" w:themeColor="text1"/>
          <w:spacing w:val="20"/>
          <w:sz w:val="21"/>
          <w:szCs w:val="21"/>
          <w:highlight w:val="none"/>
          <w:shd w:val="clear" w:color="auto" w:fill="auto"/>
        </w:rPr>
        <w:t xml:space="preserve">通过后签订保密协议。如因</w:t>
      </w:r>
      <w:r>
        <w:rPr>
          <w:rFonts w:hint="eastAsia" w:ascii="宋体" w:hAnsi="宋体" w:eastAsia="宋体" w:cs="宋体"/>
          <w:color w:val="000000" w:themeColor="text1"/>
          <w:spacing w:val="20"/>
          <w:sz w:val="21"/>
          <w:szCs w:val="21"/>
          <w:highlight w:val="none"/>
          <w:shd w:val="clear" w:color="auto" w:fill="auto"/>
          <w:lang w:val="en-US" w:eastAsia="zh-CN"/>
        </w:rPr>
        <w:t xml:space="preserve">保洁</w:t>
      </w:r>
      <w:r>
        <w:rPr>
          <w:rFonts w:ascii="宋体" w:hAnsi="宋体" w:eastAsia="宋体" w:cs="宋体"/>
          <w:color w:val="000000" w:themeColor="text1"/>
          <w:spacing w:val="20"/>
          <w:sz w:val="21"/>
          <w:szCs w:val="21"/>
          <w:highlight w:val="none"/>
          <w:shd w:val="clear" w:color="auto" w:fill="auto"/>
        </w:rPr>
        <w:t xml:space="preserve">服务人员泄密等造成</w:t>
      </w:r>
      <w:r>
        <w:rPr>
          <w:rFonts w:ascii="宋体" w:hAnsi="宋体" w:eastAsia="宋体" w:cs="宋体"/>
          <w:color w:val="000000" w:themeColor="text1"/>
          <w:spacing w:val="19"/>
          <w:sz w:val="21"/>
          <w:szCs w:val="21"/>
          <w:highlight w:val="none"/>
          <w:shd w:val="clear" w:color="auto" w:fill="auto"/>
        </w:rPr>
        <w:t xml:space="preserve">的后果中标单位及个人将承担相关责任。</w:t>
      </w:r>
      <w:r/>
    </w:p>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3.1  基本服务</w:t>
      </w:r>
      <w:r/>
    </w:p>
    <w:tbl>
      <w:tblPr>
        <w:tblStyle w:val="66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75"/>
        <w:gridCol w:w="1485"/>
        <w:gridCol w:w="8075"/>
      </w:tblGrid>
      <w:tr>
        <w:trPr>
          <w:trHeight w:val="286"/>
        </w:trPr>
        <w:tc>
          <w:tcPr>
            <w:tcW w:w="675" w:type="dxa"/>
            <w:vAlign w:val="center"/>
            <w:textDirection w:val="lrTb"/>
            <w:noWrap w:val="false"/>
          </w:tcPr>
          <w:p>
            <w:pPr>
              <w:jc w:val="center"/>
              <w:keepLines w:val="0"/>
              <w:keepNext w:val="0"/>
              <w:widowControl/>
              <w:rPr>
                <w:rFonts w:ascii="Calibri" w:hAnsi="Calibri" w:eastAsia="宋体" w:cs="Calibri"/>
                <w:b/>
                <w:i w:val="0"/>
                <w:color w:val="000000" w:themeColor="text1"/>
                <w:sz w:val="21"/>
                <w:szCs w:val="21"/>
                <w:highlight w:val="none"/>
                <w:u w:val="none"/>
                <w:shd w:val="clear" w:color="auto" w:fill="auto"/>
              </w:rPr>
              <w:suppressLineNumbers w:val="0"/>
            </w:pPr>
            <w:r>
              <w:rPr>
                <w:rFonts w:ascii="Calibri" w:hAnsi="Calibri" w:eastAsia="宋体" w:cs="Calibri"/>
                <w:b/>
                <w:i w:val="0"/>
                <w:color w:val="000000" w:themeColor="text1"/>
                <w:sz w:val="21"/>
                <w:szCs w:val="21"/>
                <w:highlight w:val="none"/>
                <w:u w:val="none"/>
                <w:shd w:val="clear" w:color="auto" w:fill="auto"/>
                <w:lang w:val="en-US" w:eastAsia="zh-CN" w:bidi="ar"/>
              </w:rPr>
              <w:t xml:space="preserve">序号</w:t>
            </w:r>
            <w:r/>
          </w:p>
        </w:tc>
        <w:tc>
          <w:tcPr>
            <w:tcW w:w="1485" w:type="dxa"/>
            <w:vAlign w:val="center"/>
            <w:textDirection w:val="lrTb"/>
            <w:noWrap w:val="false"/>
          </w:tcPr>
          <w:p>
            <w:pPr>
              <w:jc w:val="center"/>
              <w:keepLines w:val="0"/>
              <w:keepNext w:val="0"/>
              <w:widowControl/>
              <w:rPr>
                <w:rFonts w:ascii="Calibri" w:hAnsi="Calibri" w:eastAsia="宋体" w:cs="Calibri"/>
                <w:b/>
                <w:i w:val="0"/>
                <w:color w:val="000000" w:themeColor="text1"/>
                <w:sz w:val="21"/>
                <w:szCs w:val="21"/>
                <w:highlight w:val="none"/>
                <w:u w:val="none"/>
                <w:shd w:val="clear" w:color="auto" w:fill="auto"/>
              </w:rPr>
              <w:suppressLineNumbers w:val="0"/>
            </w:pPr>
            <w:r>
              <w:rPr>
                <w:rFonts w:ascii="Calibri" w:hAnsi="Calibri" w:eastAsia="宋体" w:cs="Calibri"/>
                <w:b/>
                <w:i w:val="0"/>
                <w:color w:val="000000" w:themeColor="text1"/>
                <w:sz w:val="21"/>
                <w:szCs w:val="21"/>
                <w:highlight w:val="none"/>
                <w:u w:val="none"/>
                <w:shd w:val="clear" w:color="auto" w:fill="auto"/>
                <w:lang w:val="en-US" w:eastAsia="zh-CN" w:bidi="ar"/>
              </w:rPr>
              <w:t xml:space="preserve">服务内容</w:t>
            </w:r>
            <w:r/>
          </w:p>
        </w:tc>
        <w:tc>
          <w:tcPr>
            <w:tcW w:w="8075" w:type="dxa"/>
            <w:vAlign w:val="center"/>
            <w:textDirection w:val="lrTb"/>
            <w:noWrap w:val="false"/>
          </w:tcPr>
          <w:p>
            <w:pPr>
              <w:jc w:val="center"/>
              <w:keepLines w:val="0"/>
              <w:keepNext w:val="0"/>
              <w:widowControl/>
              <w:rPr>
                <w:rFonts w:ascii="Calibri" w:hAnsi="Calibri" w:eastAsia="宋体" w:cs="Calibri"/>
                <w:b/>
                <w:i w:val="0"/>
                <w:color w:val="000000" w:themeColor="text1"/>
                <w:sz w:val="21"/>
                <w:szCs w:val="21"/>
                <w:highlight w:val="none"/>
                <w:u w:val="none"/>
                <w:shd w:val="clear" w:color="auto" w:fill="auto"/>
              </w:rPr>
              <w:suppressLineNumbers w:val="0"/>
            </w:pPr>
            <w:r>
              <w:rPr>
                <w:rFonts w:ascii="Calibri" w:hAnsi="Calibri" w:eastAsia="宋体" w:cs="Calibri"/>
                <w:b/>
                <w:i w:val="0"/>
                <w:color w:val="000000" w:themeColor="text1"/>
                <w:sz w:val="21"/>
                <w:szCs w:val="21"/>
                <w:highlight w:val="none"/>
                <w:u w:val="none"/>
                <w:shd w:val="clear" w:color="auto" w:fill="auto"/>
                <w:lang w:val="en-US" w:eastAsia="zh-CN" w:bidi="ar"/>
              </w:rPr>
              <w:t xml:space="preserve">服务标准</w:t>
            </w:r>
            <w:r/>
          </w:p>
        </w:tc>
      </w:tr>
      <w:tr>
        <w:trPr>
          <w:trHeight w:val="54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目标与责任</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结合采购人要求及物业服务实际情况，制定年度管理目标，明确责任分工，并制定配套实施方案。</w:t>
            </w:r>
            <w:r/>
          </w:p>
        </w:tc>
      </w:tr>
      <w:tr>
        <w:trPr>
          <w:trHeight w:val="404"/>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）落实标准化建设，细化各区域标准并张贴上墙，室内外卫生达标，清洁率达</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99%</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）落实规范化管理，建立健全组织架构，杜绝各类事故（含火灾责任事故、刑事案件、安全责任事故等）发生。</w:t>
            </w:r>
            <w:r/>
          </w:p>
        </w:tc>
      </w:tr>
      <w:tr>
        <w:trPr>
          <w:trHeight w:val="60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）落实专业化服务，清洁率达</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99%</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，服务有效投诉少于</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，处理率</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100%</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，回访率</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100%</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）落实智慧管理平台建设，提升服务保障质效，实现网上派单、网上巡查、网上反馈等闭环管理举措。</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）落实智能化保洁，引进智能设备，实现全天候作业。</w:t>
            </w:r>
            <w:r/>
          </w:p>
        </w:tc>
      </w:tr>
      <w:tr>
        <w:trPr>
          <w:trHeight w:val="41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管理与规范</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）制定完善的保洁细则，配备制式的保洁器材，定期开展岗位练兵和技能培训活动。</w:t>
            </w:r>
            <w:r/>
          </w:p>
        </w:tc>
      </w:tr>
      <w:tr>
        <w:trPr>
          <w:trHeight w:val="57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）按照标准化要求，完善督查机制，细化制定各岗位人员职责，制定科学可行的考核细则并张贴上墙。</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）建立完善的台账制度，规范日常数据统计与分析。</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）严格落实过紧日子要求，坚持厉行节约，勤俭办一切事要求。</w:t>
            </w:r>
            <w:r/>
          </w:p>
        </w:tc>
      </w:tr>
      <w:tr>
        <w:trPr>
          <w:trHeight w:val="54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服务人员要求</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每季度至少开展1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次岗位技能、职业素质、服务知识、客户文化、绿色节能环保等教育培训，并进行适当形式的考核。</w:t>
            </w:r>
            <w:r/>
          </w:p>
        </w:tc>
      </w:tr>
      <w:tr>
        <w:trPr>
          <w:trHeight w:val="31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根据采购人要求对服务人员进行从业资格审查，审查结果向采购人报备。</w:t>
            </w:r>
            <w:r/>
          </w:p>
        </w:tc>
      </w:tr>
      <w:tr>
        <w:trPr>
          <w:trHeight w:val="795"/>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服务人员的年龄、学历、工作经验及资格条件</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应当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与所在岗位能力要求相匹配，到岗前</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应当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经过必要的岗前培训以达到岗位能力要求，国家、行业规定应</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取得职业资格证书或特种作业证书的，应</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按规定持证上岗。</w:t>
            </w:r>
            <w:r/>
          </w:p>
        </w:tc>
      </w:tr>
      <w:tr>
        <w:trPr>
          <w:trHeight w:val="108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如采购人认为服务人员不适应岗位要求或存在其他影响工作的，可要求供应商进行调换。中标人不得随意更换人员，更换人员须经过采购人同意。更换比例不得超过本项目服务人员总数的10%。更换的人员需满足招标文件要求，并且不得低于投标时承诺。本项目服务人员不得在其他项目兼职</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着装</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分类</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统一，佩戴标识。仪容整洁、姿态端正、举止文明。用语文明礼貌，态度温和耐心。</w:t>
            </w:r>
            <w:r/>
          </w:p>
        </w:tc>
      </w:tr>
      <w:tr>
        <w:trPr>
          <w:trHeight w:val="57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）服务人员政审合格，政治清白，无违纪违法记录，勇于吃苦，爱岗敬业，能自觉遵守党政机关相关管理规定，自觉维护党政机关良好形象。</w:t>
            </w:r>
            <w:r/>
          </w:p>
        </w:tc>
      </w:tr>
      <w:tr>
        <w:trPr>
          <w:trHeight w:val="57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保密和</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思想政治</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教育</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建立保密管理制度。制度内容应</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包括但不限于：①</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明确重点要害岗位保密职责。</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②对涉密工作岗位的保密要求。</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根据采购人要求与涉密工作岗位的服务人员签订保密协议。保密协议应</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向采购人报备。</w:t>
            </w:r>
            <w:r/>
          </w:p>
        </w:tc>
      </w:tr>
      <w:tr>
        <w:trPr>
          <w:trHeight w:val="795"/>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每季度至少</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开展</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次对服务人员进行保密、思想政治</w:t>
            </w:r>
            <w:r>
              <w:rPr>
                <w:rStyle w:val="848"/>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教育</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培训，</w:t>
            </w:r>
            <w:r>
              <w:rPr>
                <w:rStyle w:val="847"/>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增强</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服务人员保密意识和思想政治意识。新入职员工应</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接受保密、思想政治教育培训，进行必要的</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人员经历</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审查，合格后签订保密协议方可上岗。</w:t>
            </w:r>
            <w:r/>
          </w:p>
        </w:tc>
      </w:tr>
      <w:tr>
        <w:trPr>
          <w:trHeight w:val="429"/>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发现服务人员</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违法违规或</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重大过失，及时报告采购人，并采取必要补救措施。</w:t>
            </w:r>
            <w:r/>
          </w:p>
        </w:tc>
      </w:tr>
      <w:tr>
        <w:trPr>
          <w:trHeight w:val="54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档案管理</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建立物业信息，准确、及时地对文件资料和服务记录进行归档保存，并确保其物理安全。</w:t>
            </w:r>
            <w:r/>
          </w:p>
        </w:tc>
      </w:tr>
      <w:tr>
        <w:trPr>
          <w:trHeight w:val="2761"/>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档案和记录齐全，包括但不限于：①</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采购人</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建议与投诉等。教育培训和考核记录。保密、思想政治教育培训记录。②</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服务人员花名册，包括姓名、岗位、联系方式、入职时间、身份证信息、健康证、岗前安全教育及培训记录</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。③</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考勤台账：每日签到、请假、调休、加班记录及排班表等。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④</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培训档案：日常保洁规范、消杀作业、安全操作、文明礼仪、保密纪律等各种培训及会议签到、课件及照片等。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⑤</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保洁服务：工作日志、清洁检查表、用品清单、客户反馈表等。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⑥</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绩效考核台账：月度考核、日常检查扣分、奖惩记录等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。⑦</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其他：客户信息、财务明细、合同协议、信报信息登记、大件物品进出登记、日常作业台账、物资耗材及设备档案、安全及内务档案、各类应急预案、采购方所配发的设备及器材管理档案</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等。</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遵守采购人的信息、档案资料保密要求，未经许可，不得将</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建筑物平面图等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资料转作其他用途</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或向其他单位、个人提供</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）履约结束后，相关资料交还采购人，采购人按政府采购相关规定存档。</w:t>
            </w:r>
            <w:r/>
          </w:p>
        </w:tc>
      </w:tr>
      <w:tr>
        <w:trPr>
          <w:trHeight w:val="286"/>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安全</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管理</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合理控制外包服务人员</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数量和</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流动率。</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根据采购人要求确定工作流程。</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明确安全管理责任和保密责任，签订安全管理责任书和保密责任书。</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开展服务检查和监管，评估服务效果，必要时进行服务流程调整。</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根据工作反馈意见与建议，持续提升服务品质。</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）抓好问题整改的闭环管理。</w:t>
            </w:r>
            <w:r/>
          </w:p>
        </w:tc>
      </w:tr>
      <w:tr>
        <w:trPr>
          <w:trHeight w:val="54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7</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服务改进</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明确负责人，定期对物业服务过程进行自查，结合反馈意见与评价结果采取改进措施，持续提升管理与服务水平。</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对不合格服务进行控制，对不合格服务的原因进行识别和分析，及时采取纠正措施，消除不合格的原因，防止不合格再发生。</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需整改问题</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及时</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整改完成。</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）做好回访工作。</w:t>
            </w:r>
            <w:r/>
          </w:p>
        </w:tc>
      </w:tr>
      <w:tr>
        <w:trPr>
          <w:trHeight w:val="54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8</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重大活动后勤保障</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制订流程。配合采购人制订重大活动后勤保障工作流程，需对任务进行详细了解，并根据工作安排制定详细的后勤保障计划。</w:t>
            </w:r>
            <w:r/>
          </w:p>
        </w:tc>
      </w:tr>
      <w:tr>
        <w:trPr>
          <w:trHeight w:val="795"/>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收尾工作。对现场进行检查，做好清理工作。</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）做好方案修订和提升工作。</w:t>
            </w:r>
            <w:r/>
          </w:p>
        </w:tc>
      </w:tr>
      <w:tr>
        <w:trPr>
          <w:trHeight w:val="97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9</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应急保障预案</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重点区域安全隐患排查。结合项目实际情况，对重点部位及危险隐患进行排查，并建立清单/</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台账；应当</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对危险隐患进行风险分析，制定相应措施进行控制或整改并定期监控；随着设施设备、服务内容的变化，及时更新清单/</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台账，使风险隐患始终处于受控状态。</w:t>
            </w:r>
            <w:r/>
          </w:p>
        </w:tc>
      </w:tr>
      <w:tr>
        <w:trPr>
          <w:trHeight w:val="97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应急预案的建立。根据办公楼隐患排查的结果和实际情况，制定专项预案，包括但不限于：火情火警紧急处理应急预案、紧急疏散应急预案、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停水</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停电应急预案、有限空间救援应急预案、高空作业救援应急预案、恶劣天气应对应急预案等</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795"/>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应急预案的培训和演练。应急预案定期培训和演练，组织相关岗位每半年至少开展一次专项应急预案演练；留存培训及演练记录和影像资料，并对预案进行评价，确保与实际情况相结合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795"/>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应急物资的管理。根据专项预案中的应对需要</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必要的应急物资，建立清单或台账，并由专人定期对应急物资进行检查，</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如有应急物资不足，及时通知采购人购置齐全，</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确保能够随时正常使用。</w:t>
            </w:r>
            <w:r/>
          </w:p>
        </w:tc>
      </w:tr>
      <w:tr>
        <w:trPr>
          <w:trHeight w:val="540"/>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10</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服务方案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及工作制度</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）制定工作制度，</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人员录用制度、</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档案管理制度</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物业服务管理制度</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、公用设施设备相关管理制度等。</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项目实施方案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交接</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方案、人员培训方案、人员稳定性方案、保密方案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物业服务方案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建筑物内各场所保洁方案、外场保洁方案、特种作业保洁</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方案</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、各类应急预案和樱花季保障方案等</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403"/>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）各区域按标准化要求进行规范，各类标准制度根据不同区域需制定并张贴卫上墙</w:t>
            </w:r>
            <w:r>
              <w:rPr>
                <w:rStyle w:val="849"/>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）特殊季节需增加清洁清扫次数。</w:t>
            </w:r>
            <w:r/>
          </w:p>
        </w:tc>
      </w:tr>
      <w:tr>
        <w:trPr>
          <w:trHeight w:val="540"/>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）樱花节期间，做好市民中心停车场保洁管理工作</w:t>
            </w:r>
            <w:r>
              <w:rPr>
                <w:rStyle w:val="848"/>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，在</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主要区域适时增加垃圾收集点，引导并督促外来人员正确堆放垃圾。</w:t>
            </w:r>
            <w:r/>
          </w:p>
        </w:tc>
      </w:tr>
      <w:tr>
        <w:trPr>
          <w:trHeight w:val="668"/>
        </w:trPr>
        <w:tc>
          <w:tcPr>
            <w:tcW w:w="6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11</w:t>
            </w:r>
            <w:r/>
          </w:p>
        </w:tc>
        <w:tc>
          <w:tcPr>
            <w:tcW w:w="14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值班制度</w:t>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落实应急值班制度，日常24 h值守，恶劣天气增加值班力量。值班人员应掌握相关应急处置能力，遇有情况时，能够按分工在10 min内响应，高效处置并随时报告情况。</w:t>
            </w:r>
            <w:r/>
          </w:p>
        </w:tc>
      </w:tr>
      <w:tr>
        <w:trPr>
          <w:trHeight w:val="667"/>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值班人员应及时巡查所属区域，及时发现隐患问题并排除，遇突发情况或难以应对的问题应及时报告。保持足够的支援保障，有需要时能够在30 min内赶到现场支援。</w:t>
            </w:r>
            <w:r/>
          </w:p>
        </w:tc>
      </w:tr>
      <w:tr>
        <w:trPr>
          <w:trHeight w:val="286"/>
        </w:trPr>
        <w:tc>
          <w:tcPr>
            <w:tcW w:w="6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）建立完善的投诉反馈机制。</w:t>
            </w:r>
            <w:r/>
          </w:p>
        </w:tc>
      </w:tr>
    </w:tbl>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p>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3.</w:t>
      </w:r>
      <w:r>
        <w:rPr>
          <w:rFonts w:hint="eastAsia" w:ascii="宋体" w:hAnsi="宋体" w:eastAsia="宋体" w:cs="宋体"/>
          <w:color w:val="000000" w:themeColor="text1"/>
          <w:sz w:val="24"/>
          <w:highlight w:val="none"/>
          <w:shd w:val="clear" w:color="auto" w:fill="auto"/>
          <w:lang w:val="en-US" w:eastAsia="zh-CN"/>
        </w:rPr>
        <w:t xml:space="preserve">2</w:t>
      </w:r>
      <w:r>
        <w:rPr>
          <w:rFonts w:ascii="宋体" w:hAnsi="宋体" w:eastAsia="宋体" w:cs="宋体"/>
          <w:color w:val="000000" w:themeColor="text1"/>
          <w:sz w:val="24"/>
          <w:highlight w:val="none"/>
          <w:shd w:val="clear" w:color="auto" w:fill="auto"/>
        </w:rPr>
        <w:t xml:space="preserve">  保洁服务</w:t>
      </w:r>
      <w:r/>
    </w:p>
    <w:p>
      <w:pPr>
        <w:pStyle w:val="844"/>
        <w:ind w:left="20"/>
        <w:spacing w:before="90" w:line="198" w:lineRule="auto"/>
        <w:rPr>
          <w:rFonts w:ascii="宋体" w:hAnsi="宋体" w:eastAsia="微软雅黑"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3.2.1</w:t>
      </w:r>
      <w:r>
        <w:rPr>
          <w:b/>
          <w:bCs/>
          <w:color w:val="000000" w:themeColor="text1"/>
          <w:spacing w:val="12"/>
          <w:sz w:val="21"/>
          <w:szCs w:val="21"/>
          <w:highlight w:val="none"/>
          <w:shd w:val="clear" w:color="auto" w:fill="auto"/>
        </w:rPr>
        <w:t xml:space="preserve">保洁服务</w:t>
      </w:r>
      <w:r>
        <w:rPr>
          <w:rFonts w:hint="eastAsia"/>
          <w:b/>
          <w:bCs/>
          <w:color w:val="000000" w:themeColor="text1"/>
          <w:spacing w:val="12"/>
          <w:sz w:val="21"/>
          <w:szCs w:val="21"/>
          <w:highlight w:val="none"/>
          <w:shd w:val="clear" w:color="auto" w:fill="auto"/>
          <w:lang w:eastAsia="zh-CN"/>
        </w:rPr>
        <w:t xml:space="preserve">（</w:t>
      </w:r>
      <w:r>
        <w:rPr>
          <w:rFonts w:hint="eastAsia"/>
          <w:b/>
          <w:bCs/>
          <w:color w:val="000000" w:themeColor="text1"/>
          <w:spacing w:val="12"/>
          <w:sz w:val="21"/>
          <w:szCs w:val="21"/>
          <w:highlight w:val="none"/>
          <w:shd w:val="clear" w:color="auto" w:fill="auto"/>
          <w:lang w:val="en-US" w:eastAsia="zh-CN"/>
        </w:rPr>
        <w:t xml:space="preserve">室内）</w:t>
      </w:r>
      <w:r/>
    </w:p>
    <w:tbl>
      <w:tblPr>
        <w:tblStyle w:val="66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85"/>
        <w:gridCol w:w="1475"/>
        <w:gridCol w:w="8153"/>
      </w:tblGrid>
      <w:tr>
        <w:trPr>
          <w:trHeight w:val="286"/>
        </w:trPr>
        <w:tc>
          <w:tcPr>
            <w:tcW w:w="685"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序号</w:t>
            </w:r>
            <w:r/>
          </w:p>
        </w:tc>
        <w:tc>
          <w:tcPr>
            <w:tcW w:w="1475"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服务内容</w:t>
            </w:r>
            <w:r/>
          </w:p>
        </w:tc>
        <w:tc>
          <w:tcPr>
            <w:tcW w:w="8153"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服务标准</w:t>
            </w:r>
            <w:r/>
          </w:p>
        </w:tc>
      </w:tr>
      <w:tr>
        <w:trPr>
          <w:trHeight w:val="286"/>
        </w:trPr>
        <w:tc>
          <w:tcPr>
            <w:tcW w:w="6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w:t>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基本要求</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（1）机关办公区域环境卫生设备完备，设有垃圾箱、果皮箱、垃圾分类处置收集点。</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（2）清洁卫生实行责任制，有专职的</w:t>
            </w:r>
            <w:r>
              <w:rPr>
                <w:rStyle w:val="850"/>
                <w:rFonts w:ascii="Times New Roman" w:hAnsi="Times New Roman" w:eastAsia="方正仿宋_GBK" w:cs="Times New Roman"/>
                <w:color w:val="000000" w:themeColor="text1"/>
                <w:sz w:val="21"/>
                <w:szCs w:val="21"/>
                <w:highlight w:val="none"/>
                <w:shd w:val="clear" w:color="auto" w:fill="auto"/>
                <w:lang w:val="en-US" w:eastAsia="zh-CN" w:bidi="ar"/>
              </w:rPr>
              <w:t xml:space="preserve">清洁人员</w:t>
            </w:r>
            <w:r>
              <w:rPr>
                <w:rStyle w:val="851"/>
                <w:rFonts w:ascii="Times New Roman" w:hAnsi="Times New Roman" w:eastAsia="方正仿宋_GBK" w:cs="Times New Roman"/>
                <w:color w:val="000000" w:themeColor="text1"/>
                <w:sz w:val="21"/>
                <w:szCs w:val="21"/>
                <w:highlight w:val="none"/>
                <w:shd w:val="clear" w:color="auto" w:fill="auto"/>
                <w:lang w:val="en-US" w:eastAsia="zh-CN" w:bidi="ar"/>
              </w:rPr>
              <w:t xml:space="preserve">和明确的责任范围，实行标准化保洁。</w:t>
            </w:r>
            <w:r/>
          </w:p>
        </w:tc>
      </w:tr>
      <w:tr>
        <w:trPr>
          <w:trHeight w:val="37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（3）机关办公区域垃圾日产日清，定期卫生消毒灭杀。污染物排放符合法律法规规定，外墙无污染。</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（4）房屋共用部位保持清洁，无乱贴、乱画，无擅自占用和堆放杂物现象；办公楼楼梯扶栏、天台、共用玻璃窗等保持洁净；楼宇内共用场地无纸屑、烟头等废弃物。</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（5）按规定定期清洗楼宇物业外立面，保持建筑物外立面整洁。</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（6）大理石特种保洁：采用专业石材清洁设备及专用药剂，对机关大厅区域内大理石地面依次开展全面除尘、规范清洗、精细抛光等专业化作业，保持地面洁净、光泽度良好且延长石材使用寿命。</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（7）涉及政务服务等开放大厅管理有序、服务温馨、办事畅通，符合文明城市标准。</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（8）机关办公区域内无违反规定饲养宠物、家禽、家畜。</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（9）对机关办公楼内部、天台、屋顶等绿化有管理措施并落实。</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（10）突发污渍（如咖啡渍、油渍）1 h内响应处理，垃圾、积水实时清理，不滞留；垃圾桶内垃圾不</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超过</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筒身1/2。</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（11）清洁剂符合省标环保要求，不损伤墙面、地面及设施材质；清洁过程中如需要使用水、化学药等，</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设置警示标识，避免安全隐患。</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（12）各区域清洁后，需维持至下一次清洁周期，无明显灰尘、污渍复现，整体洁净度统一。</w:t>
            </w:r>
            <w:r/>
          </w:p>
        </w:tc>
      </w:tr>
      <w:tr>
        <w:trPr>
          <w:trHeight w:val="450"/>
        </w:trPr>
        <w:tc>
          <w:tcPr>
            <w:tcW w:w="6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w:t>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大厅</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（1）地面：每日清洁2次，无浮尘、无污渍、无积水，清洁后光洁明亮，每周清理缝隙1次；每半年晶面保养1次，石材地面光泽均匀。</w:t>
            </w:r>
            <w:r/>
          </w:p>
        </w:tc>
      </w:tr>
      <w:tr>
        <w:trPr>
          <w:trHeight w:val="675"/>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设施与台面：每日清洁不少于3次，表面无积尘，拐角无蛛网，包边（支架）无手印；每日检查1次，设施设置统一，摆放整齐有序，标识制作规范，张贴醒目，设施设备无损坏、区域无杂物；每周处理1次包边（支架）氧化层、锈渍。</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（3）其他：垃圾桶每日擦拭表面2次，无灰尘、痰迹；每日清运垃圾2次，桶内垃圾不</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超过桶</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身1/2；接待或休息区沙发、茶几等每2 h整理1次，每日收工前深度清洁1次，按批次清理，随时保持清洁干净。</w:t>
            </w:r>
            <w:r/>
          </w:p>
        </w:tc>
      </w:tr>
      <w:tr>
        <w:trPr>
          <w:trHeight w:val="450"/>
        </w:trPr>
        <w:tc>
          <w:tcPr>
            <w:tcW w:w="6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w:t>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走廊</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（1）地面：每日循环清扫（每2 h巡回保洁1次），无垃圾、无污迹、无杂物；石材地面按每半年晶面保养1次，非石材地面无浮灰、无黏附物，无明显灰尘扬起。</w:t>
            </w:r>
            <w:r/>
          </w:p>
        </w:tc>
      </w:tr>
      <w:tr>
        <w:trPr>
          <w:trHeight w:val="675"/>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（2）墙面与设施：墙面（3 m以下）每日擦拭1次，无手印、无污渍，墙壁玻璃每日擦拭1次（与墙面清洁同步），通透无水印、无灰尘；开关、消防栓标识每日擦拭1次，无积尘；垃圾桶实时清理（满3/4及清运），无外溢、无异味。</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步梯</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（1）台阶与扶手：台阶（平台）每日巡回清扫3次，无垃圾、无积水；扶手（眼见手及处）每日擦拭2次，无积尘；每周彻底</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清理</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1次扶手缝隙、栏杆及台阶边缘，墙角无灰尘堆积，设施无损坏。</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（2）通道：上下通道每日巡查清扫2次，保持通畅无杂物、无堵塞，地面无明显磨损痕迹，整体整洁且符合安全通行要求，各类标识每日擦拭1次，指引规范。</w:t>
            </w:r>
            <w:r/>
          </w:p>
        </w:tc>
      </w:tr>
      <w:tr>
        <w:trPr>
          <w:trHeight w:val="90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电梯轿厢</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轿厢本体：每日保洁不少于3次，地面无杂物、无污渍、无损坏；内壁、顶部、踢脚线每日擦拭1次（与保洁同步），无手印、无浮尘；楼层按钮、呼梯面板每日擦拭3次，无指纹、标识清晰、张贴规范；通常每半年1次轿厢地面镜面养护，保养后光泽均匀；通风口、灯具每周清洁1次，无积尘、无损坏；地毯每日吸尘1次，每周深度清洁1次，无污渍、破损。</w:t>
            </w:r>
            <w:r/>
          </w:p>
        </w:tc>
      </w:tr>
      <w:tr>
        <w:trPr>
          <w:trHeight w:val="675"/>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（2）门体与周边：厅门、轿厢门每日擦拭2次，无手印、无氧化、无变形，门体开关顺畅；厅门周边每日巡回清扫3次，无垃圾、无积水，</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门槛</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每日清理2次（与门体擦拭同步），无异物，不影响门体正常运行。</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（3）设备与消毒：根据需要进行消毒，每日消毒不少于3次，轿厢内无异味；消毒后记录留存，确保符合卫生标准。</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茶水间</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（1）台面与水槽：台面每日擦拭3次，无水渍、无食物残渣，水槽每日清洁2次，无积水、无异味，下水通畅；水龙头每周除垢1次，无破损漏水，无堵塞，出水顺畅。</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（2）设备与器具：根据场地大小设置茶叶收集处和垃圾分类回收处，每日清理3次；电器外壳每日擦拭1次，无积尘、无水迹，设备功能每日开机前检查1次，通常上班时开，下班前关。</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（3）地面与垃圾：地面每日清扫2次，每4 h巡回保洁1次，无积水、无污渍，垃圾桶（袋）每日清空并更换、消毒2次，无外溢、无黏附物。</w:t>
            </w:r>
            <w:r/>
          </w:p>
        </w:tc>
      </w:tr>
      <w:tr>
        <w:trPr>
          <w:trHeight w:val="90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卫生间</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洁具：马桶（蹲便器）每日擦拭清洁不少于3次，内外无污渍、无破损，冲水功能正常；卫生间垃圾桶定期清理；小便器内无尿碱、无杂物，冲水功能每日巡检1次（清洁时同步确认）；残疾人设施每日巡检1次（清洁时同步确认）无损坏，功能齐全；洗手台（盆）每日擦拭3次，无积水、无水垢，台面整洁，清洗用品（如洗手液、润肤露、擦手纸、消毒水、棉签等）每1 h巡查1次按需补充。</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（2）环境：地面每日清扫2次，每2 h巡回保洁1次，干净</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干燥</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、无水渍、无杂物，墙面（3 m以下）每日擦拭1次，无污渍、无乱贴乱画；通风良好，无异味。</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（3）设备：门窗每日擦拭1次，洁净无灰尘，灯具完好无积尘、无损坏，开关面板每日擦拭1次，干净无污；卷筒纸架、放物架、挂衣（包）钩等每日巡查1次（清洁时同步确认），按需设置、无损坏。</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（4）消毒：每日消毒不少于3次，每1 h巡查1次，确保纸巾、洗手液等耗材及时补充，消毒记录留存完整。</w:t>
            </w:r>
            <w:r/>
          </w:p>
        </w:tc>
      </w:tr>
      <w:tr>
        <w:trPr>
          <w:trHeight w:val="450"/>
        </w:trPr>
        <w:tc>
          <w:tcPr>
            <w:tcW w:w="685" w:type="dxa"/>
            <w:vAlign w:val="center"/>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w:t>
            </w:r>
            <w:r/>
          </w:p>
        </w:tc>
        <w:tc>
          <w:tcPr>
            <w:tcW w:w="1475" w:type="dxa"/>
            <w:vAlign w:val="center"/>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工作室及仓库</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干净整洁，物品摆放整齐，符合安全规定，制度规定齐全，张贴规范，责任到人。</w:t>
            </w:r>
            <w:r/>
          </w:p>
        </w:tc>
      </w:tr>
      <w:tr>
        <w:trPr>
          <w:trHeight w:val="450"/>
        </w:trPr>
        <w:tc>
          <w:tcPr>
            <w:tcW w:w="685" w:type="dxa"/>
            <w:vAlign w:val="center"/>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w:t>
            </w:r>
            <w:r/>
          </w:p>
        </w:tc>
        <w:tc>
          <w:tcPr>
            <w:tcW w:w="1475" w:type="dxa"/>
            <w:vAlign w:val="center"/>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通道</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地面无有色垃圾，无堆积物、树叶、烟头、积水和淤泥，索引指示牌和宣传牌表面干净整洁，无污染、无积尘，定期进行巡回保洁。</w:t>
            </w:r>
            <w:r/>
          </w:p>
        </w:tc>
      </w:tr>
      <w:tr>
        <w:trPr>
          <w:trHeight w:val="286"/>
        </w:trPr>
        <w:tc>
          <w:tcPr>
            <w:tcW w:w="6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w:t>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接待室/</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会</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议室</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（1）沙发、桌椅每日擦拭1次，无污渍、无积尘，靠垫/抱枕每日整理2次，摆放整齐；</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（2）茶几每日擦拭2次，无杂物，表面洁净；照明灯具、空调出风口每周清洁1次，无灰尘；</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（3）地面每日清扫2次，每3 h巡回保洁1次，无垃圾、无浮尘，整体视觉整洁，无明显卫生死角，符合接待礼仪要求。</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（4）会议桌椅每次使用后</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擦拭1次，每日全面清洁1次，无污渍、水渍、笔迹，地毯每日吸尘1次，每周深度清洁1次，无杂物、毛发；</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（5）硬质地面每日清洁1次，每月抛光1次（石材地面），光亮无划痕，门窗玻璃每日擦拭1次，洁净无灰尘；</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（6）音响设备、空调、灯光等表面每日擦拭1次，无积尘，桌椅及会议用品前后各整理1次，保持摆放整齐。</w:t>
            </w:r>
            <w:r/>
          </w:p>
        </w:tc>
      </w:tr>
      <w:tr>
        <w:trPr>
          <w:trHeight w:val="450"/>
        </w:trPr>
        <w:tc>
          <w:tcPr>
            <w:tcW w:w="68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pPr>
            <w:r>
              <w:rPr>
                <w:rFonts w:ascii="Times New Roman" w:hAnsi="Times New Roman" w:eastAsia="方正仿宋_GBK" w:cs="Times New Roman"/>
                <w:i w:val="0"/>
                <w:color w:val="000000" w:themeColor="text1"/>
                <w:sz w:val="21"/>
                <w:szCs w:val="21"/>
                <w:highlight w:val="none"/>
                <w:u w:val="none"/>
                <w:shd w:val="clear" w:color="auto" w:fill="auto"/>
                <w:lang w:val="en-US" w:eastAsia="zh-CN"/>
              </w:rPr>
              <w:t xml:space="preserve">7</w:t>
            </w:r>
            <w:r/>
          </w:p>
        </w:tc>
        <w:tc>
          <w:tcPr>
            <w:tcW w:w="1475" w:type="dxa"/>
            <w:vAlign w:val="center"/>
            <w:vMerge w:val="restart"/>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内庭院</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（1）按国家卫生城市标准和要求对公共场所和周围环境定期进行保洁，花池和地面干净整洁，无垃圾、杂物、废物、树叶等，地面无顽渍。</w:t>
            </w:r>
            <w:r/>
          </w:p>
        </w:tc>
      </w:tr>
      <w:tr>
        <w:trPr>
          <w:trHeight w:val="450"/>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（2）内庭院设施完好无损坏，各类配套设施摆放有序，无乱堆乱放现象，下水沟通畅，排水顺畅，无杂物、淤泥。</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（3）花池及绿化带内无杂物、烟头和有色垃圾等。</w:t>
            </w:r>
            <w:r/>
          </w:p>
        </w:tc>
      </w:tr>
      <w:tr>
        <w:trPr>
          <w:trHeight w:val="286"/>
        </w:trPr>
        <w:tc>
          <w:tcPr>
            <w:tcW w:w="68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（4）地面无有色垃圾，无堆积物、树叶、烟头、积水和淤泥，索引指示牌和宣传牌表面干净整洁，无污染、无积尘，定期进行巡回保洁。</w:t>
            </w:r>
            <w:r/>
          </w:p>
        </w:tc>
      </w:tr>
      <w:tr>
        <w:trPr>
          <w:trHeight w:val="286"/>
        </w:trPr>
        <w:tc>
          <w:tcPr>
            <w:tcW w:w="685" w:type="dxa"/>
            <w:vAlign w:val="center"/>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pPr>
            <w:r>
              <w:rPr>
                <w:rFonts w:ascii="Times New Roman" w:hAnsi="Times New Roman" w:eastAsia="方正仿宋_GBK" w:cs="Times New Roman"/>
                <w:i w:val="0"/>
                <w:color w:val="000000" w:themeColor="text1"/>
                <w:sz w:val="21"/>
                <w:szCs w:val="21"/>
                <w:highlight w:val="none"/>
                <w:u w:val="none"/>
                <w:shd w:val="clear" w:color="auto" w:fill="auto"/>
                <w:lang w:val="en-US" w:eastAsia="zh-CN"/>
              </w:rPr>
              <w:t xml:space="preserve">8</w:t>
            </w:r>
            <w:r/>
          </w:p>
        </w:tc>
        <w:tc>
          <w:tcPr>
            <w:tcW w:w="1475" w:type="dxa"/>
            <w:vAlign w:val="center"/>
            <w:textDirection w:val="lrTb"/>
            <w:noWrap w:val="false"/>
          </w:tcPr>
          <w:p>
            <w:pPr>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pPr>
            <w:r>
              <w:rPr>
                <w:rFonts w:ascii="Times New Roman" w:hAnsi="Times New Roman" w:eastAsia="方正仿宋_GBK" w:cs="Times New Roman"/>
                <w:i w:val="0"/>
                <w:color w:val="000000" w:themeColor="text1"/>
                <w:sz w:val="21"/>
                <w:szCs w:val="21"/>
                <w:highlight w:val="none"/>
                <w:u w:val="none"/>
                <w:shd w:val="clear" w:color="auto" w:fill="auto"/>
                <w:lang w:val="en-US" w:eastAsia="zh-CN"/>
              </w:rPr>
              <w:t xml:space="preserve">室内各区域顶面</w:t>
            </w:r>
            <w:r/>
          </w:p>
        </w:tc>
        <w:tc>
          <w:tcPr>
            <w:tcW w:w="8153" w:type="dxa"/>
            <w:vAlign w:val="center"/>
            <w:textDirection w:val="lrTb"/>
            <w:noWrap w:val="false"/>
          </w:tcPr>
          <w:p>
            <w:pPr>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各区域顶面及角落保洁洁净，无蜘蛛网等。</w:t>
            </w:r>
            <w:r/>
          </w:p>
        </w:tc>
      </w:tr>
    </w:tbl>
    <w:p>
      <w:pPr>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rPr>
      </w:r>
      <w:r/>
    </w:p>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lang w:val="en-US" w:eastAsia="zh-CN"/>
        </w:rPr>
        <w:t xml:space="preserve">3.2.2保洁服务（室外）</w:t>
      </w:r>
      <w:r/>
    </w:p>
    <w:tbl>
      <w:tblPr>
        <w:tblStyle w:val="66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844"/>
        <w:gridCol w:w="1316"/>
        <w:gridCol w:w="8153"/>
      </w:tblGrid>
      <w:tr>
        <w:trPr>
          <w:trHeight w:val="286"/>
        </w:trPr>
        <w:tc>
          <w:tcPr>
            <w:tcW w:w="844"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序号</w:t>
            </w:r>
            <w:r/>
          </w:p>
        </w:tc>
        <w:tc>
          <w:tcPr>
            <w:tcW w:w="1316"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服务内容</w:t>
            </w:r>
            <w:r/>
          </w:p>
        </w:tc>
        <w:tc>
          <w:tcPr>
            <w:tcW w:w="8153"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服务标准</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公共区域</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（1）出入口岗亭、围栏、大门、台阶、坡道每日清洁2次，保持干净整洁；</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（2）雨棚（遮阳棚）每月清洁1次，无灰尘堆积、无污渍、无落叶。</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大楼入口</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（1）门头每周擦拭1次，绿植叶面每2周清洁1次，花盆内枯枝每日清理1次。</w:t>
            </w:r>
            <w:r/>
          </w:p>
        </w:tc>
      </w:tr>
      <w:tr>
        <w:trPr>
          <w:trHeight w:val="450"/>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（2）公共区域绿植叶面无浮尘，花盆外表面干净，门头无蛛网、无积灰、无乱贴乱画、无各类昆虫。</w:t>
            </w:r>
            <w:r/>
          </w:p>
        </w:tc>
      </w:tr>
      <w:tr>
        <w:trPr>
          <w:trHeight w:val="450"/>
        </w:trPr>
        <w:tc>
          <w:tcPr>
            <w:tcW w:w="844" w:type="dxa"/>
            <w:vAlign w:val="center"/>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w:t>
            </w:r>
            <w:r/>
          </w:p>
        </w:tc>
        <w:tc>
          <w:tcPr>
            <w:tcW w:w="1316" w:type="dxa"/>
            <w:vAlign w:val="center"/>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外立面</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低位（3 m以下）幕墙玻璃、建筑外墙（一层）、门窗外侧每月清洁1次，污渍严重时</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补清。</w:t>
            </w:r>
            <w:r/>
          </w:p>
        </w:tc>
      </w:tr>
      <w:tr>
        <w:trPr>
          <w:trHeight w:val="450"/>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地面保洁</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（1）园区主干道、人行道、广场、停车场地面清扫，垃圾捡拾，油污、污渍清除，积水排除，每日3次，高峰时段每2 h巡查捡拾1次；</w:t>
            </w:r>
            <w:r/>
          </w:p>
        </w:tc>
      </w:tr>
      <w:tr>
        <w:trPr>
          <w:trHeight w:val="450"/>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（2）春秋季（落叶旺季）每2 h清扫1次，非旺季每日清扫2次，大风、雨后1 h内补清扫，油污、顽固污渍发现后</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及时处理</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w:t>
            </w:r>
            <w:r/>
          </w:p>
        </w:tc>
      </w:tr>
      <w:tr>
        <w:trPr>
          <w:trHeight w:val="450"/>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（3）地面无落叶堆积（单区域落叶不超过5片/㎡），绿化带内无落叶散落，无落叶堵塞排水口。</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排水系统</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（1）排水沟、集水井、地漏每日巡查1次，每周全面清理1次；</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（2）雨季每3 d清理1次，雨后</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排查。</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（3）排水沟（井）盖无破损，放置平整无隐患，杂物及时清理防止堵塞。</w:t>
            </w:r>
            <w:r/>
          </w:p>
        </w:tc>
      </w:tr>
      <w:tr>
        <w:trPr>
          <w:trHeight w:val="450"/>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6</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设施</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（1）休闲区桌椅、健身器材、标识标牌、路灯杆等设施清洁，每日巡查擦拭1次，每周深度清洁1次；</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（2）垃圾桶（含底座）每日清洁1次，每周消毒1次；</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（3）主干道周边宣传栏（画）每日擦拭1次，每周检查1次完好性。</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（4）各类指引标识清晰准确，表面无灰尘、无破损。</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7</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星巴克广场</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（1）每天对地板垃圾进行清扫，清扫次数不少于4次；</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（2）门口石材等定期进行清洗，确保干净；</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（3）花架、花箱、桌椅等城市家具要定期清洗擦拭，标准达到全国卫生城市创建标准。</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8</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东、西花园</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（1）花园内无杂草、枯枝、有色垃圾；</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（2）花园内路面清洁，无积水、泥土；</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（3）花园内城市家具维护符合国家卫生城市创建要求；</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（4）各区域按标准化要求制作并张贴卫生保洁标准。</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9</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休闲区</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（1）地面、设施表面、桌椅每日擦拭并消毒1次，金属部件每月用专用剂养护1次；</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（2）烟灰柱内烟头实时清理（满1/2即清）。</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（3）地面无灰尘、无锈迹、无鸟粪等黏附物，金属部件无氧化；</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（4）设施无损坏、性能完好，桌椅连接稳固无松动、摆放间距均匀无歪斜；</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（5）各类标牌无破损、字迹清晰。</w:t>
            </w:r>
            <w:r/>
          </w:p>
        </w:tc>
      </w:tr>
      <w:tr>
        <w:trPr>
          <w:trHeight w:val="286"/>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10</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露天停车场/非机动车停车场</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（1）地面通常每日清扫不少于2次，巡查不少于3次（特殊情况视季节、天气调整）；</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（2）排水沟每周疏通1次，绿化带定期清扫（与园区绿化清洁同步）；</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（3）道闸/标识牌每日擦拭1次，减速带/挡车器每周清洁1次。</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（4）地面无垃圾、灰尘、油污、轮胎印，道闸/标识牌无积尘、无污渍、反光清晰；</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（5）减速带、挡车器无泥沙黏附、表面洁净，排水沟无堵塞。</w:t>
            </w:r>
            <w:r/>
          </w:p>
        </w:tc>
      </w:tr>
      <w:tr>
        <w:trPr>
          <w:trHeight w:val="450"/>
        </w:trPr>
        <w:tc>
          <w:tcPr>
            <w:tcW w:w="844"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11</w:t>
            </w:r>
            <w:r/>
          </w:p>
        </w:tc>
        <w:tc>
          <w:tcPr>
            <w:tcW w:w="1316" w:type="dxa"/>
            <w:vAlign w:val="center"/>
            <w:vMerge w:val="restart"/>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rPr>
              <w:t xml:space="preserve">垃圾中转站/垃圾桶（箱）</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（1）垃圾中转站日产日清（清理次数根据园区规模和日均产生垃圾量动态调整），日常清洁每日3次，高峰每4 h补清；</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（2）消毒除臭每日2次（夏季、雨季3次），每周深度清洁1次（死角+设施缝隙）。</w:t>
            </w:r>
            <w:r/>
          </w:p>
        </w:tc>
      </w:tr>
      <w:tr>
        <w:trPr>
          <w:trHeight w:val="450"/>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（3）垃圾桶内外洁净，工具分类存放且使用后</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清洗；垃圾分类存放不</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超过</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桶身2/3，无满溢混投；</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（4）地面无垃圾、积水、油污，墙面、门窗无积尘污渍；</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（5）无明显异味及蚊虫滋生，污水规范排放；保洁、消毒、清运记录完整可追溯。</w:t>
            </w:r>
            <w:r/>
          </w:p>
        </w:tc>
      </w:tr>
      <w:tr>
        <w:trPr>
          <w:trHeight w:val="286"/>
        </w:trPr>
        <w:tc>
          <w:tcPr>
            <w:tcW w:w="844"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（6）按规定收集并摆放，保持常年干净、整洁、无积水、无异味。</w:t>
            </w:r>
            <w:r/>
          </w:p>
        </w:tc>
      </w:tr>
      <w:tr>
        <w:trPr>
          <w:trHeight w:val="450"/>
        </w:trPr>
        <w:tc>
          <w:tcPr>
            <w:tcW w:w="844" w:type="dxa"/>
            <w:vAlign w:val="center"/>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12</w:t>
            </w:r>
            <w:r/>
          </w:p>
        </w:tc>
        <w:tc>
          <w:tcPr>
            <w:tcW w:w="1316" w:type="dxa"/>
            <w:vAlign w:val="center"/>
            <w:textDirection w:val="lrTb"/>
            <w:noWrap w:val="false"/>
          </w:tcPr>
          <w:p>
            <w:pPr>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绿化配套</w:t>
            </w:r>
            <w:r/>
          </w:p>
        </w:tc>
        <w:tc>
          <w:tcPr>
            <w:tcW w:w="8153" w:type="dxa"/>
            <w:vAlign w:val="center"/>
            <w:textDirection w:val="lrTb"/>
            <w:noWrap w:val="false"/>
          </w:tcPr>
          <w:p>
            <w:pPr>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绿化带、花丛中垃圾捡拾，落叶清扫，每日1次，落叶季加密至每日2～3次；绿植表面灰尘擦拭（低矮绿植），每周1次。友情提醒标识每日巡查1次，确保摆放规范。</w:t>
            </w:r>
            <w:r/>
          </w:p>
        </w:tc>
      </w:tr>
    </w:tbl>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p>
    <w:p>
      <w:pPr>
        <w:pStyle w:val="844"/>
        <w:ind w:left="20"/>
        <w:spacing w:before="90" w:line="198" w:lineRule="auto"/>
        <w:rPr>
          <w:rFonts w:eastAsia="微软雅黑"/>
          <w:b/>
          <w:bCs/>
          <w:color w:val="000000" w:themeColor="text1"/>
          <w:spacing w:val="12"/>
          <w:sz w:val="21"/>
          <w:szCs w:val="21"/>
          <w:highlight w:val="none"/>
          <w:shd w:val="clear" w:color="auto" w:fill="auto"/>
        </w:rPr>
      </w:pPr>
      <w:r>
        <w:rPr>
          <w:b/>
          <w:bCs/>
          <w:color w:val="000000" w:themeColor="text1"/>
          <w:spacing w:val="12"/>
          <w:sz w:val="21"/>
          <w:szCs w:val="21"/>
          <w:highlight w:val="none"/>
          <w:shd w:val="clear" w:color="auto" w:fill="auto"/>
        </w:rPr>
        <w:t xml:space="preserve">3.</w:t>
      </w:r>
      <w:r>
        <w:rPr>
          <w:rFonts w:hint="eastAsia"/>
          <w:b/>
          <w:bCs/>
          <w:color w:val="000000" w:themeColor="text1"/>
          <w:spacing w:val="12"/>
          <w:sz w:val="21"/>
          <w:szCs w:val="21"/>
          <w:highlight w:val="none"/>
          <w:shd w:val="clear" w:color="auto" w:fill="auto"/>
          <w:lang w:val="en-US" w:eastAsia="zh-CN"/>
        </w:rPr>
        <w:t xml:space="preserve">2.3</w:t>
      </w:r>
      <w:r>
        <w:rPr>
          <w:b/>
          <w:bCs/>
          <w:color w:val="000000" w:themeColor="text1"/>
          <w:spacing w:val="14"/>
          <w:sz w:val="21"/>
          <w:szCs w:val="21"/>
          <w:highlight w:val="none"/>
          <w:shd w:val="clear" w:color="auto" w:fill="auto"/>
        </w:rPr>
        <w:t xml:space="preserve">  </w:t>
      </w:r>
      <w:r>
        <w:rPr>
          <w:b/>
          <w:bCs/>
          <w:color w:val="000000" w:themeColor="text1"/>
          <w:spacing w:val="12"/>
          <w:sz w:val="21"/>
          <w:szCs w:val="21"/>
          <w:highlight w:val="none"/>
          <w:shd w:val="clear" w:color="auto" w:fill="auto"/>
        </w:rPr>
        <w:t xml:space="preserve">保洁服务</w:t>
      </w:r>
      <w:r>
        <w:rPr>
          <w:rFonts w:hint="eastAsia"/>
          <w:b/>
          <w:bCs/>
          <w:color w:val="000000" w:themeColor="text1"/>
          <w:spacing w:val="12"/>
          <w:sz w:val="21"/>
          <w:szCs w:val="21"/>
          <w:highlight w:val="none"/>
          <w:shd w:val="clear" w:color="auto" w:fill="auto"/>
          <w:lang w:eastAsia="zh-CN"/>
        </w:rPr>
        <w:t xml:space="preserve">（</w:t>
      </w:r>
      <w:r>
        <w:rPr>
          <w:rFonts w:hint="eastAsia"/>
          <w:b/>
          <w:bCs/>
          <w:color w:val="000000" w:themeColor="text1"/>
          <w:spacing w:val="12"/>
          <w:sz w:val="21"/>
          <w:szCs w:val="21"/>
          <w:highlight w:val="none"/>
          <w:shd w:val="clear" w:color="auto" w:fill="auto"/>
          <w:lang w:val="en-US" w:eastAsia="zh-CN"/>
        </w:rPr>
        <w:t xml:space="preserve">其他）</w:t>
      </w:r>
      <w:r/>
    </w:p>
    <w:tbl>
      <w:tblPr>
        <w:tblStyle w:val="66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344"/>
        <w:gridCol w:w="8962"/>
      </w:tblGrid>
      <w:tr>
        <w:trPr>
          <w:trHeight w:val="286"/>
        </w:trPr>
        <w:tc>
          <w:tcPr>
            <w:tcW w:w="1344"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服务内容</w:t>
            </w:r>
            <w:r/>
          </w:p>
        </w:tc>
        <w:tc>
          <w:tcPr>
            <w:tcW w:w="8962" w:type="dxa"/>
            <w:vAlign w:val="center"/>
            <w:textDirection w:val="lrTb"/>
            <w:noWrap w:val="false"/>
          </w:tcPr>
          <w:p>
            <w:pPr>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服务标准</w:t>
            </w:r>
            <w:r/>
          </w:p>
        </w:tc>
      </w:tr>
      <w:tr>
        <w:trPr>
          <w:trHeight w:val="450"/>
        </w:trPr>
        <w:tc>
          <w:tcPr>
            <w:tcW w:w="1344" w:type="dxa"/>
            <w:vAlign w:val="center"/>
            <w:vMerge w:val="restart"/>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石材类</w:t>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（1）地面养护实行“半年1次基础养护+高频区域月补养护”机制，室外石材地面每年清洗1次，顽固污渍随发现随处理；</w:t>
            </w:r>
            <w:r/>
          </w:p>
        </w:tc>
      </w:tr>
      <w:tr>
        <w:trPr>
          <w:trHeight w:val="450"/>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（2）养护后光泽均匀，无划痕、无顽固污渍（咖啡渍/油渍完全去除），防污防渗透效果达标；</w:t>
            </w:r>
            <w:r/>
          </w:p>
        </w:tc>
      </w:tr>
      <w:tr>
        <w:trPr>
          <w:trHeight w:val="450"/>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（3）缝隙无泥沙、无黑渍，美缝剂无脱落，边角无磨损；养护后石材表面触感平滑，无养护剂残留痕迹。</w:t>
            </w:r>
            <w:r/>
          </w:p>
        </w:tc>
      </w:tr>
      <w:tr>
        <w:trPr>
          <w:trHeight w:val="450"/>
        </w:trPr>
        <w:tc>
          <w:tcPr>
            <w:tcW w:w="1344" w:type="dxa"/>
            <w:vAlign w:val="center"/>
            <w:vMerge w:val="restart"/>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玻璃类</w:t>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（1）低位幕墙玻璃半月循环保洁1次，高位幕墙每半年保洁1次，专用玻璃（含室内隔断、转移门、门窗玻璃等）每月保洁1次，雨季/沙尘暴后1个月内补洗；</w:t>
            </w:r>
            <w:r/>
          </w:p>
        </w:tc>
      </w:tr>
      <w:tr>
        <w:trPr>
          <w:trHeight w:val="450"/>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（2）重点清理表面灰尘、手印、鸟粪等污渍，同步检查玻璃密封性及框架清洁，确保全区域洁净无死角，透光率不低于原玻璃90%；</w:t>
            </w:r>
            <w:r/>
          </w:p>
        </w:tc>
      </w:tr>
      <w:tr>
        <w:trPr>
          <w:trHeight w:val="286"/>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（3）玻璃幕墙金属框无氧化、无锈迹，开启扇轨道无杂物堵塞。</w:t>
            </w:r>
            <w:r/>
          </w:p>
        </w:tc>
      </w:tr>
      <w:tr>
        <w:trPr>
          <w:trHeight w:val="286"/>
        </w:trPr>
        <w:tc>
          <w:tcPr>
            <w:tcW w:w="1344" w:type="dxa"/>
            <w:vAlign w:val="center"/>
            <w:vMerge w:val="restart"/>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金属类</w:t>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（1）不锈钢件（电梯门/玻璃移门边框）每周1次基础擦拭、每月1次深度清洗；</w:t>
            </w:r>
            <w:r/>
          </w:p>
        </w:tc>
      </w:tr>
      <w:tr>
        <w:trPr>
          <w:trHeight w:val="286"/>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（2）铜器每季度1次除锈养护；金属结构（栏杆/支架）每季度1次防腐清洁；</w:t>
            </w:r>
            <w:r/>
          </w:p>
        </w:tc>
      </w:tr>
      <w:tr>
        <w:trPr>
          <w:trHeight w:val="450"/>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（3）不锈钢件表面光亮，无手印、无氧化层，反光均匀；除锈后无锈迹残留，保留金属原色，无腐蚀痕迹；金属结构清洁后无灰尘、无油污，防腐涂层无破损。</w:t>
            </w:r>
            <w:r/>
          </w:p>
        </w:tc>
      </w:tr>
      <w:tr>
        <w:trPr>
          <w:trHeight w:val="675"/>
        </w:trPr>
        <w:tc>
          <w:tcPr>
            <w:tcW w:w="1344" w:type="dxa"/>
            <w:vAlign w:val="center"/>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软装类</w:t>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地毯每半年1次深度清洗，沙发套/窗帘每季度1次拆洗，日常污渍</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局部处理；深度清洗后地毯无污渍、无异味，除螨率达95%以上，纤维蓬松不打结；沙发套/窗帘拆洗后无污渍、无缩水变形，晾晒后无异味；软装表面无残留清洁剂，触感舒适，不损伤材质。</w:t>
            </w:r>
            <w:r/>
          </w:p>
        </w:tc>
      </w:tr>
      <w:tr>
        <w:trPr>
          <w:trHeight w:val="450"/>
        </w:trPr>
        <w:tc>
          <w:tcPr>
            <w:tcW w:w="1344" w:type="dxa"/>
            <w:vAlign w:val="center"/>
            <w:vMerge w:val="restart"/>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设备类</w:t>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（1）空调风口每月1次擦拭，灯具每季度1次除尘，清洁后空调风口/管道无积尘、无霉菌，出风无异味，风量正常；</w:t>
            </w:r>
            <w:r/>
          </w:p>
        </w:tc>
      </w:tr>
      <w:tr>
        <w:trPr>
          <w:trHeight w:val="450"/>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（2）消防设施（灭火器/栓）每月1次外观清洁，消防设施外观无积尘、无污渍，标识清晰，部件完好。</w:t>
            </w:r>
            <w:r/>
          </w:p>
        </w:tc>
      </w:tr>
      <w:tr>
        <w:trPr>
          <w:trHeight w:val="286"/>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（3）吊顶每月1次清洁，灯具无灰尘、无蛛网，灯光照射无阴影遮挡；</w:t>
            </w:r>
            <w:r/>
          </w:p>
        </w:tc>
      </w:tr>
      <w:tr>
        <w:trPr>
          <w:trHeight w:val="286"/>
        </w:trPr>
        <w:tc>
          <w:tcPr>
            <w:tcW w:w="1344" w:type="dxa"/>
            <w:vAlign w:val="center"/>
            <w:vMerge w:val="restart"/>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环境类</w:t>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（1）高空蛛网每月1次清除，墙面清洁每季度1次，管道疏通按需进行，除臭每月1次；</w:t>
            </w:r>
            <w:r/>
          </w:p>
        </w:tc>
      </w:tr>
      <w:tr>
        <w:trPr>
          <w:trHeight w:val="286"/>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（2）清洁后高空蛛网完全清除，墙面瓷砖/涂料无污渍、无乱贴乱画，无霉斑；</w:t>
            </w:r>
            <w:r/>
          </w:p>
        </w:tc>
      </w:tr>
      <w:tr>
        <w:trPr>
          <w:trHeight w:val="286"/>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（3）卫生间管道排水顺畅，无堵塞，无异味，管道内壁无污垢附着；</w:t>
            </w:r>
            <w:r/>
          </w:p>
        </w:tc>
      </w:tr>
      <w:tr>
        <w:trPr>
          <w:trHeight w:val="286"/>
        </w:trPr>
        <w:tc>
          <w:tcPr>
            <w:tcW w:w="1344" w:type="dxa"/>
            <w:vAlign w:val="center"/>
            <w:vMerge w:val="continue"/>
            <w:textDirection w:val="lrTb"/>
            <w:noWrap w:val="false"/>
          </w:tcPr>
          <w:p>
            <w:pPr>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（4）无清洁工具残留，环境整洁，不影响正常使用。</w:t>
            </w:r>
            <w:r/>
          </w:p>
        </w:tc>
      </w:tr>
    </w:tbl>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p>
    <w:p>
      <w:pPr>
        <w:ind w:left="0" w:right="0" w:firstLine="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 </w:t>
      </w:r>
      <w:r/>
    </w:p>
    <w:p>
      <w:pPr>
        <w:ind w:left="0" w:right="0" w:firstLine="482"/>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shd w:val="clear" w:color="auto" w:fill="auto"/>
        </w:rPr>
        <w:t xml:space="preserve">4.供应商履行合同所需的设备</w:t>
      </w:r>
      <w:r/>
    </w:p>
    <w:p>
      <w:pPr>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根据项目需求，供应商</w:t>
      </w:r>
      <w:r>
        <w:rPr>
          <w:rFonts w:hint="eastAsia" w:ascii="宋体" w:hAnsi="宋体" w:eastAsia="宋体" w:cs="宋体"/>
          <w:color w:val="000000" w:themeColor="text1"/>
          <w:sz w:val="24"/>
          <w:highlight w:val="none"/>
          <w:shd w:val="clear" w:color="auto" w:fill="auto"/>
          <w:lang w:val="en-US" w:eastAsia="zh-CN"/>
        </w:rPr>
        <w:t xml:space="preserve">需</w:t>
      </w:r>
      <w:r>
        <w:rPr>
          <w:rFonts w:ascii="宋体" w:hAnsi="宋体" w:eastAsia="宋体" w:cs="宋体"/>
          <w:color w:val="000000" w:themeColor="text1"/>
          <w:sz w:val="24"/>
          <w:highlight w:val="none"/>
          <w:shd w:val="clear" w:color="auto" w:fill="auto"/>
        </w:rPr>
        <w:t xml:space="preserve">提供</w:t>
      </w:r>
      <w:r>
        <w:rPr>
          <w:rFonts w:hint="eastAsia" w:ascii="宋体" w:hAnsi="宋体" w:eastAsia="宋体" w:cs="宋体"/>
          <w:color w:val="000000" w:themeColor="text1"/>
          <w:sz w:val="24"/>
          <w:highlight w:val="none"/>
          <w:shd w:val="clear" w:color="auto" w:fill="auto"/>
          <w:lang w:val="en-US" w:eastAsia="zh-CN"/>
        </w:rPr>
        <w:t xml:space="preserve">以下</w:t>
      </w:r>
      <w:r>
        <w:rPr>
          <w:rFonts w:ascii="宋体" w:hAnsi="宋体" w:eastAsia="宋体" w:cs="宋体"/>
          <w:color w:val="000000" w:themeColor="text1"/>
          <w:sz w:val="24"/>
          <w:highlight w:val="none"/>
          <w:shd w:val="clear" w:color="auto" w:fill="auto"/>
        </w:rPr>
        <w:t xml:space="preserve">作业设备用于</w:t>
      </w:r>
      <w:r>
        <w:rPr>
          <w:rFonts w:hint="eastAsia" w:ascii="宋体" w:hAnsi="宋体" w:eastAsia="宋体" w:cs="宋体"/>
          <w:color w:val="000000" w:themeColor="text1"/>
          <w:sz w:val="24"/>
          <w:highlight w:val="none"/>
          <w:shd w:val="clear" w:color="auto" w:fill="auto"/>
          <w:lang w:val="en-US" w:eastAsia="zh-CN"/>
        </w:rPr>
        <w:t xml:space="preserve">保洁日常</w:t>
      </w:r>
      <w:r>
        <w:rPr>
          <w:rFonts w:ascii="宋体" w:hAnsi="宋体" w:eastAsia="宋体" w:cs="宋体"/>
          <w:color w:val="000000" w:themeColor="text1"/>
          <w:sz w:val="24"/>
          <w:highlight w:val="none"/>
          <w:shd w:val="clear" w:color="auto" w:fill="auto"/>
        </w:rPr>
        <w:t xml:space="preserve">管理服务，</w:t>
      </w:r>
      <w:r>
        <w:rPr>
          <w:rFonts w:hint="eastAsia" w:ascii="宋体" w:hAnsi="宋体" w:eastAsia="宋体" w:cs="宋体"/>
          <w:color w:val="000000" w:themeColor="text1"/>
          <w:sz w:val="24"/>
          <w:highlight w:val="none"/>
          <w:shd w:val="clear" w:color="auto" w:fill="auto"/>
          <w:lang w:val="en-US" w:eastAsia="zh-CN"/>
        </w:rPr>
        <w:t xml:space="preserve">如供应商认为在此基础上还需增加的，中标后自行配置，费用已包含在投标总费用中。</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89"/>
        <w:gridCol w:w="4876"/>
        <w:gridCol w:w="1125"/>
        <w:gridCol w:w="1085"/>
      </w:tblGrid>
      <w:tr>
        <w:trPr>
          <w:jc w:val="center"/>
          <w:trHeight w:val="336"/>
        </w:trPr>
        <w:tc>
          <w:tcPr>
            <w:tcW w:w="802" w:type="dxa"/>
            <w:vAlign w:val="center"/>
            <w:textDirection w:val="lrTb"/>
            <w:noWrap w:val="false"/>
          </w:tcPr>
          <w:p>
            <w:pPr>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ascii="Calibri" w:hAnsi="Calibri" w:eastAsia="宋体" w:cs="Calibri"/>
                <w:b/>
                <w:bCs/>
                <w:color w:val="000000" w:themeColor="text1"/>
                <w:szCs w:val="21"/>
                <w:highlight w:val="none"/>
                <w:shd w:val="clear" w:color="auto" w:fill="auto"/>
              </w:rPr>
              <w:t xml:space="preserve">序号</w:t>
            </w:r>
            <w:r/>
          </w:p>
        </w:tc>
        <w:tc>
          <w:tcPr>
            <w:tcW w:w="1789" w:type="dxa"/>
            <w:vAlign w:val="center"/>
            <w:textDirection w:val="lrTb"/>
            <w:noWrap w:val="false"/>
          </w:tcPr>
          <w:p>
            <w:pPr>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用途</w:t>
            </w:r>
            <w:r/>
          </w:p>
        </w:tc>
        <w:tc>
          <w:tcPr>
            <w:tcW w:w="4876" w:type="dxa"/>
            <w:vAlign w:val="center"/>
            <w:textDirection w:val="lrTb"/>
            <w:noWrap w:val="false"/>
          </w:tcPr>
          <w:p>
            <w:pPr>
              <w:ind w:left="0"/>
              <w:jc w:val="center"/>
              <w:pageBreakBefore w:val="0"/>
              <w:spacing w:line="300" w:lineRule="auto"/>
              <w:widowControl/>
              <w:rPr>
                <w:rFonts w:hint="eastAsia"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作业设备</w:t>
            </w:r>
            <w:r>
              <w:rPr>
                <w:rFonts w:ascii="Calibri" w:hAnsi="Calibri" w:eastAsia="宋体" w:cs="Calibri"/>
                <w:b/>
                <w:bCs/>
                <w:color w:val="000000" w:themeColor="text1"/>
                <w:szCs w:val="21"/>
                <w:highlight w:val="none"/>
                <w:shd w:val="clear" w:color="auto" w:fill="auto"/>
              </w:rPr>
              <w:t xml:space="preserve">名称</w:t>
            </w:r>
            <w:r/>
          </w:p>
        </w:tc>
        <w:tc>
          <w:tcPr>
            <w:tcW w:w="1125" w:type="dxa"/>
            <w:vAlign w:val="center"/>
            <w:textDirection w:val="lrTb"/>
            <w:noWrap w:val="false"/>
          </w:tcPr>
          <w:p>
            <w:pPr>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数量</w:t>
            </w:r>
            <w:r/>
          </w:p>
        </w:tc>
        <w:tc>
          <w:tcPr>
            <w:tcW w:w="1085" w:type="dxa"/>
            <w:vAlign w:val="center"/>
            <w:textDirection w:val="lrTb"/>
            <w:noWrap w:val="false"/>
          </w:tcPr>
          <w:p>
            <w:pPr>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单位</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w:t>
            </w:r>
            <w:r/>
          </w:p>
        </w:tc>
        <w:tc>
          <w:tcPr>
            <w:tcW w:w="1789" w:type="dxa"/>
            <w:vAlign w:val="center"/>
            <w:vMerge w:val="restart"/>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基本服务</w:t>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办公设备（电脑、打印机、</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电话机、办公</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桌椅、</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会议桌椅、饮水机、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资料柜、货架、更衣柜</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及更衣室配套用具</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等）</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若干</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工作服</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及工作胸卡</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若干</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件</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3</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值班生活</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用品、</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用具</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若干</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4</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考勤机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5</w:t>
            </w:r>
            <w:r/>
          </w:p>
        </w:tc>
        <w:tc>
          <w:tcPr>
            <w:tcW w:w="1789" w:type="dxa"/>
            <w:vAlign w:val="center"/>
            <w:vMerge w:val="restart"/>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t xml:space="preserve">保洁服务</w:t>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vertAlign w:val="baseline"/>
                <w:lang w:val="en-US" w:eastAsia="zh-CN"/>
              </w:rPr>
              <w:t xml:space="preserve">室外扫地车</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4</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辆</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6</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室内洗地机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7</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智能洗地机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8</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晶面机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9</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打蜡机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10</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高速抛光机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11</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吹干机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12</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高压水枪</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13</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多功能擦地机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14</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吸水机、吸尘器</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15</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保洁三轮车</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7</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16</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室内保洁推车</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65</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17</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平板小推车</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30</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18</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背负式吹风机</w:t>
            </w:r>
            <w:r/>
          </w:p>
        </w:tc>
        <w:tc>
          <w:tcPr>
            <w:tcW w:w="112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w:t>
            </w:r>
            <w:r/>
          </w:p>
        </w:tc>
        <w:tc>
          <w:tcPr>
            <w:tcW w:w="108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bl>
    <w:p>
      <w:pPr>
        <w:ind w:left="0" w:right="0" w:firstLine="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p>
    <w:p>
      <w:pPr>
        <w:ind w:left="0" w:right="0" w:firstLine="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注：</w:t>
      </w:r>
      <w:r>
        <w:rPr>
          <w:rFonts w:hint="eastAsia" w:ascii="方正仿宋_GBK" w:hAnsi="方正仿宋_GBK" w:eastAsia="方正仿宋_GBK" w:cs="方正仿宋_GBK"/>
          <w:color w:val="000000" w:themeColor="text1"/>
          <w:spacing w:val="20"/>
          <w:sz w:val="21"/>
          <w:szCs w:val="21"/>
          <w:highlight w:val="none"/>
          <w:shd w:val="clear" w:color="auto" w:fill="auto"/>
          <w:lang w:val="en-US" w:eastAsia="zh-CN"/>
        </w:rPr>
        <w:t xml:space="preserve">采购人已无偿提供的作业设备，不在此重复要求，另外采购方提供的设备在使用过程中出现故障，需由供应商负责维修，采购方不再支付相关费用。</w:t>
      </w:r>
      <w:r/>
    </w:p>
    <w:p>
      <w:pPr>
        <w:ind w:left="0" w:right="0" w:firstLine="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 </w:t>
      </w:r>
      <w:r/>
    </w:p>
    <w:p>
      <w:pPr>
        <w:numPr>
          <w:ilvl w:val="0"/>
          <w:numId w:val="3"/>
        </w:numPr>
        <w:jc w:val="both"/>
        <w:spacing w:before="0" w:after="0" w:line="85" w:lineRule="atLeast"/>
        <w:tabs>
          <w:tab w:val="left" w:pos="312" w:leader="none"/>
        </w:tabs>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shd w:val="clear" w:color="auto" w:fill="auto"/>
        </w:rPr>
        <w:t xml:space="preserve">物业管理服务人员需求</w:t>
      </w:r>
      <w:r/>
    </w:p>
    <w:p>
      <w:pPr>
        <w:ind w:left="0" w:right="0" w:firstLine="48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本项目是否允许配置按国家规定可不缴纳社保的人员（是/否）：</w:t>
      </w:r>
      <w:r>
        <w:rPr>
          <w:rFonts w:ascii="宋体" w:hAnsi="宋体" w:eastAsia="宋体" w:cs="宋体"/>
          <w:color w:val="000000" w:themeColor="text1"/>
          <w:sz w:val="24"/>
          <w:highlight w:val="none"/>
          <w:u w:val="single"/>
          <w:shd w:val="clear" w:color="auto" w:fill="auto"/>
        </w:rPr>
        <w:t xml:space="preserve"> </w:t>
      </w:r>
      <w:r>
        <w:rPr>
          <w:rFonts w:hint="eastAsia" w:ascii="宋体" w:hAnsi="宋体" w:eastAsia="宋体" w:cs="宋体"/>
          <w:color w:val="000000" w:themeColor="text1"/>
          <w:sz w:val="24"/>
          <w:highlight w:val="none"/>
          <w:u w:val="single"/>
          <w:shd w:val="clear" w:color="auto" w:fill="auto"/>
          <w:lang w:val="en-US" w:eastAsia="zh-CN"/>
        </w:rPr>
        <w:t xml:space="preserve">否</w:t>
      </w:r>
      <w:r>
        <w:rPr>
          <w:rFonts w:ascii="宋体" w:hAnsi="宋体" w:eastAsia="宋体" w:cs="宋体"/>
          <w:color w:val="000000" w:themeColor="text1"/>
          <w:sz w:val="24"/>
          <w:highlight w:val="none"/>
          <w:u w:val="single"/>
          <w:shd w:val="clear" w:color="auto" w:fill="auto"/>
        </w:rPr>
        <w:t xml:space="preserve"> </w:t>
      </w:r>
      <w:r/>
    </w:p>
    <w:p>
      <w:pPr>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lang w:val="en-US" w:eastAsia="zh-CN"/>
        </w:rPr>
        <w:t xml:space="preserve">具体岗位要求见5.1、5.2和5.3表</w:t>
      </w:r>
      <w:r/>
    </w:p>
    <w:p>
      <w:pPr>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rPr>
      </w:r>
      <w:r/>
    </w:p>
    <w:p>
      <w:pPr>
        <w:ind w:left="0" w:right="0" w:firstLine="480"/>
        <w:jc w:val="both"/>
        <w:spacing w:before="0" w:after="0" w:line="85" w:lineRule="atLeast"/>
        <w:rPr>
          <w:rFonts w:ascii="宋体" w:hAnsi="宋体" w:eastAsia="宋体" w:cs="宋体"/>
          <w:b/>
          <w:bCs/>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b/>
          <w:bCs/>
          <w:color w:val="000000" w:themeColor="text1"/>
          <w:highlight w:val="none"/>
          <w:shd w:val="clear" w:color="auto" w:fill="auto"/>
          <w:lang w:val="en-US" w:eastAsia="zh-CN"/>
        </w:rPr>
        <w:t xml:space="preserve">5.1岗位人员职责分工及要求</w:t>
      </w:r>
      <w:r/>
    </w:p>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48"/>
        <w:gridCol w:w="5255"/>
        <w:gridCol w:w="2437"/>
        <w:gridCol w:w="1501"/>
      </w:tblGrid>
      <w:tr>
        <w:trPr>
          <w:jc w:val="center"/>
          <w:trHeight w:val="469"/>
        </w:trPr>
        <w:tc>
          <w:tcPr>
            <w:tcW w:w="1348" w:type="dxa"/>
            <w:vAlign w:val="center"/>
            <w:textDirection w:val="lrTb"/>
            <w:noWrap w:val="false"/>
          </w:tcPr>
          <w:p>
            <w:pPr>
              <w:jc w:val="center"/>
              <w:keepLines w:val="0"/>
              <w:keepNext w:val="0"/>
              <w:pageBreakBefore w:val="0"/>
              <w:spacing w:after="0"/>
              <w:widowControl/>
              <w:rPr>
                <w:rFonts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岗位</w:t>
            </w:r>
            <w:r/>
          </w:p>
        </w:tc>
        <w:tc>
          <w:tcPr>
            <w:tcW w:w="5255" w:type="dxa"/>
            <w:vAlign w:val="center"/>
            <w:textDirection w:val="lrTb"/>
            <w:noWrap w:val="false"/>
          </w:tcPr>
          <w:p>
            <w:pPr>
              <w:jc w:val="center"/>
              <w:keepLines w:val="0"/>
              <w:keepNext w:val="0"/>
              <w:pageBreakBefore w:val="0"/>
              <w:spacing w:after="0"/>
              <w:widowControl/>
              <w:rPr>
                <w:rFonts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服务内容</w:t>
            </w:r>
            <w:r/>
          </w:p>
        </w:tc>
        <w:tc>
          <w:tcPr>
            <w:tcW w:w="2437" w:type="dxa"/>
            <w:vAlign w:val="center"/>
            <w:textDirection w:val="lrTb"/>
            <w:noWrap w:val="false"/>
          </w:tcPr>
          <w:p>
            <w:pPr>
              <w:jc w:val="center"/>
              <w:keepLines w:val="0"/>
              <w:keepNext w:val="0"/>
              <w:pageBreakBefore w:val="0"/>
              <w:spacing w:after="0"/>
              <w:widowControl/>
              <w:rPr>
                <w:rFonts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岗位要求</w:t>
            </w:r>
            <w:r/>
          </w:p>
        </w:tc>
        <w:tc>
          <w:tcPr>
            <w:tcW w:w="1501"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Cs w:val="21"/>
                <w:highlight w:val="none"/>
                <w:shd w:val="clear" w:color="auto" w:fill="auto"/>
              </w:rPr>
              <w:outlineLvl w:val="9"/>
            </w:pPr>
            <w:r>
              <w:rPr>
                <w:rFonts w:hint="eastAsia" w:ascii="宋体" w:hAnsi="宋体" w:eastAsia="宋体" w:cs="宋体"/>
                <w:color w:val="000000" w:themeColor="text1"/>
                <w:szCs w:val="21"/>
                <w:highlight w:val="none"/>
                <w:shd w:val="clear" w:color="auto" w:fill="auto"/>
                <w:lang w:val="en-US" w:eastAsia="zh-CN"/>
              </w:rPr>
              <w:t xml:space="preserve">人数要求</w:t>
            </w:r>
            <w:r/>
          </w:p>
        </w:tc>
      </w:tr>
      <w:tr>
        <w:trPr>
          <w:jc w:val="center"/>
          <w:trHeight w:val="570"/>
        </w:trPr>
        <w:tc>
          <w:tcPr>
            <w:tcW w:w="134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项目经理</w:t>
            </w:r>
            <w:r/>
          </w:p>
        </w:tc>
        <w:tc>
          <w:tcPr>
            <w:tcW w:w="5255"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负责项目的日常保洁管理与运作，定期与</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采购人</w:t>
            </w:r>
            <w:r>
              <w:rPr>
                <w:rFonts w:ascii="Times New Roman" w:hAnsi="Times New Roman" w:eastAsia="方正仿宋_GBK" w:cs="Times New Roman"/>
                <w:color w:val="000000" w:themeColor="text1"/>
                <w:sz w:val="20"/>
                <w:szCs w:val="20"/>
                <w:highlight w:val="none"/>
                <w:shd w:val="clear" w:color="auto" w:fill="auto"/>
              </w:rPr>
              <w:t xml:space="preserve">、</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中标人进行</w:t>
            </w:r>
            <w:r>
              <w:rPr>
                <w:rFonts w:ascii="Times New Roman" w:hAnsi="Times New Roman" w:eastAsia="方正仿宋_GBK" w:cs="Times New Roman"/>
                <w:color w:val="000000" w:themeColor="text1"/>
                <w:sz w:val="20"/>
                <w:szCs w:val="20"/>
                <w:highlight w:val="none"/>
                <w:shd w:val="clear" w:color="auto" w:fill="auto"/>
              </w:rPr>
              <w:t xml:space="preserve">沟通、汇报工作。</w:t>
            </w:r>
            <w:r/>
          </w:p>
        </w:tc>
        <w:tc>
          <w:tcPr>
            <w:tcW w:w="2437"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大专（含）以上学历，持证上岗，政历清白。</w:t>
            </w:r>
            <w:r/>
          </w:p>
        </w:tc>
        <w:tc>
          <w:tcPr>
            <w:tcW w:w="1501"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1</w:t>
            </w:r>
            <w:r/>
          </w:p>
        </w:tc>
      </w:tr>
      <w:tr>
        <w:trPr>
          <w:jc w:val="center"/>
          <w:trHeight w:val="623"/>
        </w:trPr>
        <w:tc>
          <w:tcPr>
            <w:tcW w:w="134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保洁</w:t>
            </w:r>
            <w:r>
              <w:rPr>
                <w:rFonts w:ascii="Times New Roman" w:hAnsi="Times New Roman" w:eastAsia="方正仿宋_GBK" w:cs="Times New Roman"/>
                <w:color w:val="000000" w:themeColor="text1"/>
                <w:sz w:val="20"/>
                <w:szCs w:val="20"/>
                <w:highlight w:val="none"/>
                <w:shd w:val="clear" w:color="auto" w:fill="auto"/>
              </w:rPr>
              <w:t xml:space="preserve">主管</w:t>
            </w:r>
            <w:r/>
          </w:p>
        </w:tc>
        <w:tc>
          <w:tcPr>
            <w:tcW w:w="5255"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协助项目经理负责现场的日常保洁管理。</w:t>
            </w:r>
            <w:r/>
          </w:p>
        </w:tc>
        <w:tc>
          <w:tcPr>
            <w:tcW w:w="2437"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高中（含）以上学历，</w:t>
            </w:r>
            <w:r>
              <w:rPr>
                <w:rFonts w:ascii="Times New Roman" w:hAnsi="Times New Roman" w:eastAsia="方正仿宋_GBK" w:cs="Times New Roman"/>
                <w:color w:val="000000" w:themeColor="text1"/>
                <w:sz w:val="20"/>
                <w:szCs w:val="20"/>
                <w:highlight w:val="none"/>
                <w:shd w:val="clear" w:color="auto" w:fill="auto"/>
                <w:lang w:val="en-US" w:eastAsia="zh-CN"/>
              </w:rPr>
              <w:t xml:space="preserve">持证上岗，</w:t>
            </w:r>
            <w:r>
              <w:rPr>
                <w:rFonts w:ascii="Times New Roman" w:hAnsi="Times New Roman" w:eastAsia="方正仿宋_GBK" w:cs="Times New Roman"/>
                <w:color w:val="000000" w:themeColor="text1"/>
                <w:sz w:val="20"/>
                <w:szCs w:val="20"/>
                <w:highlight w:val="none"/>
                <w:shd w:val="clear" w:color="auto" w:fill="auto"/>
              </w:rPr>
              <w:t xml:space="preserve">政历清白。</w:t>
            </w:r>
            <w:r/>
          </w:p>
        </w:tc>
        <w:tc>
          <w:tcPr>
            <w:tcW w:w="1501"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1</w:t>
            </w:r>
            <w:r/>
          </w:p>
        </w:tc>
      </w:tr>
      <w:tr>
        <w:trPr>
          <w:jc w:val="center"/>
          <w:trHeight w:val="570"/>
        </w:trPr>
        <w:tc>
          <w:tcPr>
            <w:tcW w:w="134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领班</w:t>
            </w:r>
            <w:r/>
          </w:p>
        </w:tc>
        <w:tc>
          <w:tcPr>
            <w:tcW w:w="5255"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负责各管辖区域的日常保洁管理工作，协助项目经理做好保洁人员的管理和培训工作。</w:t>
            </w:r>
            <w:r/>
          </w:p>
        </w:tc>
        <w:tc>
          <w:tcPr>
            <w:tcW w:w="2437"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高中（含）以上学历，政历清白。</w:t>
            </w:r>
            <w:r/>
          </w:p>
        </w:tc>
        <w:tc>
          <w:tcPr>
            <w:tcW w:w="1501"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6</w:t>
            </w:r>
            <w:r/>
          </w:p>
        </w:tc>
      </w:tr>
      <w:tr>
        <w:trPr>
          <w:jc w:val="center"/>
          <w:trHeight w:val="570"/>
        </w:trPr>
        <w:tc>
          <w:tcPr>
            <w:tcW w:w="134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质量管理员</w:t>
            </w:r>
            <w:r/>
          </w:p>
        </w:tc>
        <w:tc>
          <w:tcPr>
            <w:tcW w:w="5255"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负责</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保洁项目的总体质量把控，定期开展各类操作技能培训；承担</w:t>
            </w:r>
            <w:r>
              <w:rPr>
                <w:rFonts w:ascii="Times New Roman" w:hAnsi="Times New Roman" w:eastAsia="方正仿宋_GBK" w:cs="Times New Roman"/>
                <w:color w:val="000000" w:themeColor="text1"/>
                <w:sz w:val="20"/>
                <w:szCs w:val="20"/>
                <w:highlight w:val="none"/>
                <w:shd w:val="clear" w:color="auto" w:fill="auto"/>
              </w:rPr>
              <w:t xml:space="preserve">项目各类台账、人员档案等日常管理资料的收集、整理与归档；负责项目各类保洁物资耗材、设施设备的入库、整理、领用与登记。</w:t>
            </w:r>
            <w:r/>
          </w:p>
        </w:tc>
        <w:tc>
          <w:tcPr>
            <w:tcW w:w="2437"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大专（含）以上学历，政历清白。</w:t>
            </w:r>
            <w:r/>
          </w:p>
        </w:tc>
        <w:tc>
          <w:tcPr>
            <w:tcW w:w="1501"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2</w:t>
            </w:r>
            <w:r/>
          </w:p>
        </w:tc>
      </w:tr>
      <w:tr>
        <w:trPr>
          <w:jc w:val="center"/>
          <w:trHeight w:val="570"/>
        </w:trPr>
        <w:tc>
          <w:tcPr>
            <w:tcW w:w="134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常规保洁员</w:t>
            </w:r>
            <w:r/>
          </w:p>
        </w:tc>
        <w:tc>
          <w:tcPr>
            <w:tcW w:w="5255" w:type="dxa"/>
            <w:vAlign w:val="center"/>
            <w:textDirection w:val="lrTb"/>
            <w:noWrap w:val="false"/>
          </w:tcPr>
          <w:p>
            <w:pPr>
              <w:jc w:val="left"/>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负责公共区域地面、墙面、走廊通道顶部、卫生间、电梯、消防通道，外场道路、排水沟，地下车库地面、墙面、公共设施、排水沟等日常保洁。</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详细任务分配见表5.2。</w:t>
            </w:r>
            <w:r/>
          </w:p>
        </w:tc>
        <w:tc>
          <w:tcPr>
            <w:tcW w:w="2437"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身体健康，吃苦耐劳，政历清白。</w:t>
            </w:r>
            <w:r/>
          </w:p>
        </w:tc>
        <w:tc>
          <w:tcPr>
            <w:tcW w:w="1501"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85</w:t>
            </w:r>
            <w:r/>
          </w:p>
        </w:tc>
      </w:tr>
      <w:tr>
        <w:trPr>
          <w:jc w:val="center"/>
          <w:trHeight w:val="1649"/>
        </w:trPr>
        <w:tc>
          <w:tcPr>
            <w:tcW w:w="134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专项养护技工</w:t>
            </w:r>
            <w:r>
              <w:rPr>
                <w:rFonts w:ascii="Times New Roman" w:hAnsi="Times New Roman" w:eastAsia="方正仿宋_GBK" w:cs="Times New Roman"/>
                <w:color w:val="000000" w:themeColor="text1"/>
                <w:sz w:val="20"/>
                <w:szCs w:val="20"/>
                <w:highlight w:val="none"/>
                <w:shd w:val="clear" w:color="auto" w:fill="auto"/>
              </w:rPr>
              <w:t xml:space="preserve">（机动）</w:t>
            </w:r>
            <w:r/>
          </w:p>
        </w:tc>
        <w:tc>
          <w:tcPr>
            <w:tcW w:w="5255"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负责</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高空作业、石材养护、地毯清洗、地砖晶面养护等，工作范围包括：</w:t>
            </w:r>
            <w:r>
              <w:rPr>
                <w:rFonts w:ascii="Times New Roman" w:hAnsi="Times New Roman" w:eastAsia="方正仿宋_GBK" w:cs="Times New Roman"/>
                <w:color w:val="000000" w:themeColor="text1"/>
                <w:sz w:val="20"/>
                <w:szCs w:val="20"/>
                <w:highlight w:val="none"/>
                <w:shd w:val="clear" w:color="auto" w:fill="auto"/>
              </w:rPr>
              <w:t xml:space="preserve">大型清洁设备的使用，包括扫地机、洗地机、石材打蜡、</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清</w:t>
            </w:r>
            <w:r>
              <w:rPr>
                <w:rFonts w:ascii="Times New Roman" w:hAnsi="Times New Roman" w:eastAsia="方正仿宋_GBK" w:cs="Times New Roman"/>
                <w:color w:val="000000" w:themeColor="text1"/>
                <w:sz w:val="20"/>
                <w:szCs w:val="20"/>
                <w:highlight w:val="none"/>
                <w:shd w:val="clear" w:color="auto" w:fill="auto"/>
              </w:rPr>
              <w:t xml:space="preserve">洗地毯、</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一层挑檐以下（3米以上）</w:t>
            </w:r>
            <w:r>
              <w:rPr>
                <w:rFonts w:ascii="Times New Roman" w:hAnsi="Times New Roman" w:eastAsia="方正仿宋_GBK" w:cs="Times New Roman"/>
                <w:color w:val="000000" w:themeColor="text1"/>
                <w:sz w:val="20"/>
                <w:szCs w:val="20"/>
                <w:highlight w:val="none"/>
                <w:shd w:val="clear" w:color="auto" w:fill="auto"/>
              </w:rPr>
              <w:t xml:space="preserve">刮玻璃、清洗顶棚、冲洗地面等特种保洁；协助、配合</w:t>
            </w:r>
            <w:r>
              <w:rPr>
                <w:rFonts w:hint="eastAsia" w:ascii="Times New Roman" w:hAnsi="Times New Roman" w:eastAsia="方正仿宋_GBK" w:cs="Times New Roman"/>
                <w:color w:val="000000" w:themeColor="text1"/>
                <w:sz w:val="20"/>
                <w:szCs w:val="20"/>
                <w:highlight w:val="none"/>
                <w:shd w:val="clear" w:color="auto" w:fill="auto"/>
                <w:lang w:eastAsia="zh-CN"/>
              </w:rPr>
              <w:t xml:space="preserve">其他</w:t>
            </w:r>
            <w:r>
              <w:rPr>
                <w:rFonts w:ascii="Times New Roman" w:hAnsi="Times New Roman" w:eastAsia="方正仿宋_GBK" w:cs="Times New Roman"/>
                <w:color w:val="000000" w:themeColor="text1"/>
                <w:sz w:val="20"/>
                <w:szCs w:val="20"/>
                <w:highlight w:val="none"/>
                <w:shd w:val="clear" w:color="auto" w:fill="auto"/>
              </w:rPr>
              <w:t xml:space="preserve">保洁岗位顶班、替假等。</w:t>
            </w:r>
            <w:r/>
          </w:p>
        </w:tc>
        <w:tc>
          <w:tcPr>
            <w:tcW w:w="2437" w:type="dxa"/>
            <w:vAlign w:val="center"/>
            <w:textDirection w:val="lrTb"/>
            <w:noWrap w:val="false"/>
          </w:tcPr>
          <w:p>
            <w:pPr>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初中（含）以上学历，身体健康，吃苦耐劳，政历清白，熟练使用各类保洁设备、工具，另特岗人员必须持证上岗。</w:t>
            </w:r>
            <w:r/>
          </w:p>
        </w:tc>
        <w:tc>
          <w:tcPr>
            <w:tcW w:w="1501"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6</w:t>
            </w:r>
            <w:r/>
          </w:p>
        </w:tc>
      </w:tr>
    </w:tbl>
    <w:p>
      <w:pPr>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p>
    <w:p>
      <w:pPr>
        <w:numPr>
          <w:ilvl w:val="0"/>
          <w:numId w:val="0"/>
        </w:numPr>
        <w:jc w:val="both"/>
        <w:spacing w:line="300" w:lineRule="auto"/>
        <w:widowControl w:val="off"/>
        <w:rPr>
          <w:b/>
          <w:bCs/>
          <w:color w:val="000000" w:themeColor="text1"/>
          <w:highlight w:val="none"/>
          <w:shd w:val="clear" w:color="auto" w:fill="auto"/>
        </w:rPr>
      </w:pPr>
      <w:r>
        <w:rPr>
          <w:rFonts w:hint="eastAsia"/>
          <w:b/>
          <w:bCs/>
          <w:color w:val="000000" w:themeColor="text1"/>
          <w:highlight w:val="none"/>
          <w:shd w:val="clear" w:color="auto" w:fill="auto"/>
          <w:lang w:val="en-US" w:eastAsia="zh-CN"/>
        </w:rPr>
        <w:t xml:space="preserve">5.2保洁面积及人员配置表</w:t>
      </w:r>
      <w:r/>
    </w:p>
    <w:tbl>
      <w:tblPr>
        <w:tblStyle w:val="663"/>
        <w:tblW w:w="0" w:type="auto"/>
        <w:tblInd w:w="23" w:type="dxa"/>
        <w:tblLayout w:type="fixed"/>
        <w:tblCellMar>
          <w:left w:w="15" w:type="dxa"/>
          <w:top w:w="0" w:type="dxa"/>
          <w:right w:w="15" w:type="dxa"/>
          <w:bottom w:w="0" w:type="dxa"/>
        </w:tblCellMar>
        <w:tblLook w:val="04A0" w:firstRow="1" w:lastRow="0" w:firstColumn="1" w:lastColumn="0" w:noHBand="0" w:noVBand="1"/>
      </w:tblPr>
      <w:tblGrid>
        <w:gridCol w:w="1048"/>
        <w:gridCol w:w="2138"/>
        <w:gridCol w:w="3881"/>
        <w:gridCol w:w="1503"/>
        <w:gridCol w:w="1366"/>
      </w:tblGrid>
      <w:tr>
        <w:trPr>
          <w:trHeight w:val="300"/>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楼号</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楼层</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建筑面积（平方米）</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人员配置</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备注</w:t>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二</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6F、7F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653.95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8F、9F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10F、11F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12F、13F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14F、15F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19—21F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586.925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三</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6F、7F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653.95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8F、9F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10F、11F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12F、13F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14F、19F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526.691667</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20F、21F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391.283334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四</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五</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6F+5F东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7F、5F西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六</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1498.825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696.4525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696.4525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5F+7F东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841.29375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6F+7F西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841.29375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七</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1161.875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853.0125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w:t>
            </w:r>
            <w:r>
              <w:rPr>
                <w:rFonts w:hint="eastAsia" w:ascii="Times New Roman" w:hAnsi="Times New Roman" w:eastAsia="方正仿宋_GBK" w:cs="Times New Roman"/>
                <w:color w:val="000000" w:themeColor="text1"/>
                <w:szCs w:val="21"/>
                <w:highlight w:val="none"/>
                <w:shd w:val="clear" w:color="auto" w:fill="auto"/>
                <w:lang w:eastAsia="zh-CN"/>
              </w:rPr>
              <w:t xml:space="preserve">2</w:t>
            </w:r>
            <w:r>
              <w:rPr>
                <w:rFonts w:ascii="Times New Roman" w:hAnsi="Times New Roman" w:eastAsia="方正仿宋_GBK" w:cs="Times New Roman"/>
                <w:color w:val="000000" w:themeColor="text1"/>
                <w:szCs w:val="21"/>
                <w:highlight w:val="none"/>
                <w:shd w:val="clear" w:color="auto" w:fill="auto"/>
              </w:rPr>
              <w:t xml:space="preserve">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853.0125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560.8625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八</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1404.7</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2F+3F东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1154.5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4F+3F西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九</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1404.7</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十</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1522.5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十一</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1522.5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eastAsia="zh-CN"/>
              </w:rPr>
              <w:t xml:space="preserve">其他</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电梯</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272.375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内庭院</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5746.15</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特岗保洁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若干</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both"/>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室外保洁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若干</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负一层</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若干</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负二层</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若干</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non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其他</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若干</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r>
        <w:trPr>
          <w:trHeight w:val="300"/>
        </w:trPr>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管理人员</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项目经理、主管、领班、文员、仓管等</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p>
        </w:tc>
      </w:tr>
    </w:tbl>
    <w:p>
      <w:pPr>
        <w:pStyle w:val="836"/>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9"/>
          <w:sz w:val="21"/>
          <w:szCs w:val="21"/>
          <w:highlight w:val="none"/>
        </w:rPr>
        <w:t xml:space="preserve">5</w:t>
      </w:r>
      <w:r>
        <w:rPr>
          <w:b/>
          <w:bCs/>
          <w:color w:val="000000" w:themeColor="text1"/>
          <w:spacing w:val="-25"/>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9"/>
          <w:sz w:val="21"/>
          <w:szCs w:val="21"/>
          <w:highlight w:val="none"/>
        </w:rPr>
        <w:t xml:space="preserve">3服务时间及要求</w:t>
      </w:r>
      <w:r/>
    </w:p>
    <w:p>
      <w:pPr>
        <w:ind w:left="7" w:right="1115" w:firstLine="6"/>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（1）工作日7：30—17：00，星期六下午休息，星期日休息；另工作日下</w:t>
      </w:r>
      <w:r>
        <w:rPr>
          <w:rFonts w:ascii="宋体" w:hAnsi="宋体" w:eastAsia="宋体" w:cs="宋体"/>
          <w:color w:val="000000" w:themeColor="text1"/>
          <w:spacing w:val="-1"/>
          <w:sz w:val="21"/>
          <w:szCs w:val="21"/>
          <w:highlight w:val="none"/>
        </w:rPr>
        <w:t xml:space="preserve">班后至21:00及节假日安排值</w:t>
      </w:r>
      <w:r>
        <w:rPr>
          <w:rFonts w:ascii="宋体" w:hAnsi="宋体" w:eastAsia="宋体" w:cs="宋体"/>
          <w:color w:val="000000" w:themeColor="text1"/>
          <w:sz w:val="21"/>
          <w:szCs w:val="21"/>
          <w:highlight w:val="none"/>
        </w:rPr>
        <w:t xml:space="preserve">班人员不少于4名，主要任务是进行巡视及应急保洁处理工作，特殊情况下根据采</w:t>
      </w:r>
      <w:r>
        <w:rPr>
          <w:rFonts w:ascii="宋体" w:hAnsi="宋体" w:eastAsia="宋体" w:cs="宋体"/>
          <w:color w:val="000000" w:themeColor="text1"/>
          <w:spacing w:val="-1"/>
          <w:sz w:val="21"/>
          <w:szCs w:val="21"/>
          <w:highlight w:val="none"/>
        </w:rPr>
        <w:t xml:space="preserve">购需求方要求，适时</w:t>
      </w:r>
      <w:r>
        <w:rPr>
          <w:rFonts w:ascii="宋体" w:hAnsi="宋体" w:eastAsia="宋体" w:cs="宋体"/>
          <w:color w:val="000000" w:themeColor="text1"/>
          <w:spacing w:val="17"/>
          <w:sz w:val="21"/>
          <w:szCs w:val="21"/>
          <w:highlight w:val="none"/>
        </w:rPr>
        <w:t xml:space="preserve">增加值班人员，以满足任务需求。</w:t>
      </w:r>
      <w:r/>
    </w:p>
    <w:p>
      <w:pPr>
        <w:pStyle w:val="835"/>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（2）人员要求：①数质量要求：配置人员数量不少于101人（以日考勤签到为主</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
          <w:sz w:val="21"/>
          <w:szCs w:val="21"/>
          <w:highlight w:val="none"/>
        </w:rPr>
        <w:t xml:space="preserve">缺少的人</w:t>
      </w:r>
      <w:r>
        <w:rPr>
          <w:rFonts w:ascii="宋体" w:hAnsi="宋体" w:eastAsia="宋体" w:cs="宋体"/>
          <w:color w:val="000000" w:themeColor="text1"/>
          <w:spacing w:val="-2"/>
          <w:sz w:val="21"/>
          <w:szCs w:val="21"/>
          <w:highlight w:val="none"/>
        </w:rPr>
        <w:t xml:space="preserve">员限期</w:t>
      </w:r>
      <w:r>
        <w:rPr>
          <w:rFonts w:ascii="宋体" w:hAnsi="宋体" w:eastAsia="宋体" w:cs="宋体"/>
          <w:color w:val="000000" w:themeColor="text1"/>
          <w:sz w:val="21"/>
          <w:szCs w:val="21"/>
          <w:highlight w:val="none"/>
        </w:rPr>
        <w:t xml:space="preserve">一个月内完成补充，因长期人员补充不到位，将按考核办法执行。</w:t>
      </w:r>
      <w:r>
        <w:rPr>
          <w:rFonts w:hint="eastAsia" w:ascii="宋体" w:hAnsi="宋体" w:eastAsia="宋体" w:cs="宋体"/>
          <w:color w:val="000000" w:themeColor="text1"/>
          <w:sz w:val="21"/>
          <w:szCs w:val="21"/>
          <w:highlight w:val="none"/>
          <w:lang w:val="en-US" w:eastAsia="zh-CN"/>
        </w:rPr>
        <w:t xml:space="preserve">中标供应商</w:t>
      </w:r>
      <w:r>
        <w:rPr>
          <w:rFonts w:ascii="宋体" w:hAnsi="宋体" w:eastAsia="宋体" w:cs="宋体"/>
          <w:color w:val="000000" w:themeColor="text1"/>
          <w:sz w:val="21"/>
          <w:szCs w:val="21"/>
          <w:highlight w:val="none"/>
        </w:rPr>
        <w:t xml:space="preserve">招聘不</w:t>
      </w:r>
      <w:r>
        <w:rPr>
          <w:rFonts w:ascii="宋体" w:hAnsi="宋体" w:eastAsia="宋体" w:cs="宋体"/>
          <w:color w:val="000000" w:themeColor="text1"/>
          <w:spacing w:val="-1"/>
          <w:sz w:val="21"/>
          <w:szCs w:val="21"/>
          <w:highlight w:val="none"/>
        </w:rPr>
        <w:t xml:space="preserve">合格员工，造成采购人</w:t>
      </w:r>
      <w:r>
        <w:rPr>
          <w:rFonts w:ascii="宋体" w:hAnsi="宋体" w:eastAsia="宋体" w:cs="宋体"/>
          <w:color w:val="000000" w:themeColor="text1"/>
          <w:sz w:val="21"/>
          <w:szCs w:val="21"/>
          <w:highlight w:val="none"/>
        </w:rPr>
        <w:t xml:space="preserve">财产及其他损失的，采购人将依法追究供应商相关法律责任；②年龄要求：符合</w:t>
      </w:r>
      <w:r>
        <w:rPr>
          <w:rFonts w:ascii="宋体" w:hAnsi="宋体" w:eastAsia="宋体" w:cs="宋体"/>
          <w:color w:val="000000" w:themeColor="text1"/>
          <w:spacing w:val="-1"/>
          <w:sz w:val="21"/>
          <w:szCs w:val="21"/>
          <w:highlight w:val="none"/>
        </w:rPr>
        <w:t xml:space="preserve">《全国人民代表大会常</w:t>
      </w:r>
      <w:r>
        <w:rPr>
          <w:rFonts w:ascii="宋体" w:hAnsi="宋体" w:eastAsia="宋体" w:cs="宋体"/>
          <w:color w:val="000000" w:themeColor="text1"/>
          <w:sz w:val="21"/>
          <w:szCs w:val="21"/>
          <w:highlight w:val="none"/>
        </w:rPr>
        <w:t xml:space="preserve">务委员会关于实施渐进式延迟法定退休年龄的决定》的相关规定；③健康要求：</w:t>
      </w:r>
      <w:r>
        <w:rPr>
          <w:rFonts w:ascii="宋体" w:hAnsi="宋体" w:eastAsia="宋体" w:cs="宋体"/>
          <w:color w:val="000000" w:themeColor="text1"/>
          <w:spacing w:val="-1"/>
          <w:sz w:val="21"/>
          <w:szCs w:val="21"/>
          <w:highlight w:val="none"/>
        </w:rPr>
        <w:t xml:space="preserve">身体健康、无残疾、无</w:t>
      </w:r>
      <w:r>
        <w:rPr>
          <w:rFonts w:ascii="宋体" w:hAnsi="宋体" w:eastAsia="宋体" w:cs="宋体"/>
          <w:color w:val="000000" w:themeColor="text1"/>
          <w:sz w:val="21"/>
          <w:szCs w:val="21"/>
          <w:highlight w:val="none"/>
        </w:rPr>
        <w:t xml:space="preserve">家族史疾病和传染性疾病，入职体检合格方可上岗；④政审要求：政治清白，政</w:t>
      </w:r>
      <w:r>
        <w:rPr>
          <w:rFonts w:ascii="宋体" w:hAnsi="宋体" w:eastAsia="宋体" w:cs="宋体"/>
          <w:color w:val="000000" w:themeColor="text1"/>
          <w:spacing w:val="-1"/>
          <w:sz w:val="21"/>
          <w:szCs w:val="21"/>
          <w:highlight w:val="none"/>
        </w:rPr>
        <w:t xml:space="preserve">审合格，无违纪违法记</w:t>
      </w:r>
      <w:r>
        <w:rPr>
          <w:rFonts w:ascii="宋体" w:hAnsi="宋体" w:eastAsia="宋体" w:cs="宋体"/>
          <w:color w:val="000000" w:themeColor="text1"/>
          <w:sz w:val="21"/>
          <w:szCs w:val="21"/>
          <w:highlight w:val="none"/>
        </w:rPr>
        <w:t xml:space="preserve">录，遵守党政机关相关管理规定；</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rPr>
        <w:t xml:space="preserve">⑤岗位要求：爱岗敬业，</w:t>
      </w:r>
      <w:r>
        <w:rPr>
          <w:rFonts w:hint="eastAsia" w:ascii="宋体" w:hAnsi="宋体" w:eastAsia="宋体" w:cs="宋体"/>
          <w:color w:val="000000" w:themeColor="text1"/>
          <w:sz w:val="21"/>
          <w:szCs w:val="21"/>
          <w:highlight w:val="none"/>
          <w:lang w:val="en-US" w:eastAsia="zh-CN"/>
        </w:rPr>
        <w:t xml:space="preserve">中标供应商</w:t>
      </w:r>
      <w:r>
        <w:rPr>
          <w:rFonts w:ascii="宋体" w:hAnsi="宋体" w:eastAsia="宋体" w:cs="宋体"/>
          <w:color w:val="000000" w:themeColor="text1"/>
          <w:spacing w:val="-1"/>
          <w:sz w:val="21"/>
          <w:szCs w:val="21"/>
          <w:highlight w:val="none"/>
        </w:rPr>
        <w:t xml:space="preserve">派驻人员有良好的职业道德和服务态度，自觉维护党政机关良好形象，对服务对象和外来办事人员以礼相待，节约水</w:t>
      </w:r>
      <w:r>
        <w:rPr>
          <w:rFonts w:ascii="宋体" w:hAnsi="宋体" w:eastAsia="宋体" w:cs="宋体"/>
          <w:color w:val="000000" w:themeColor="text1"/>
          <w:spacing w:val="-2"/>
          <w:sz w:val="21"/>
          <w:szCs w:val="21"/>
          <w:highlight w:val="none"/>
        </w:rPr>
        <w:t xml:space="preserve">电、爱护设施设备，</w:t>
      </w:r>
      <w:r>
        <w:rPr>
          <w:rFonts w:ascii="宋体" w:hAnsi="宋体" w:eastAsia="宋体" w:cs="宋体"/>
          <w:color w:val="000000" w:themeColor="text1"/>
          <w:spacing w:val="-1"/>
          <w:sz w:val="21"/>
          <w:szCs w:val="21"/>
          <w:highlight w:val="none"/>
        </w:rPr>
        <w:t xml:space="preserve">团结同事，遵纪守法，不监守自盗，拾金不昧，捡到服务对象的物资主动归还，不得将非个人物资带出</w:t>
      </w:r>
      <w:r>
        <w:rPr>
          <w:rFonts w:ascii="宋体" w:hAnsi="宋体" w:eastAsia="宋体" w:cs="宋体"/>
          <w:color w:val="000000" w:themeColor="text1"/>
          <w:sz w:val="21"/>
          <w:szCs w:val="21"/>
          <w:highlight w:val="none"/>
        </w:rPr>
        <w:t xml:space="preserve">市民中心，另特种岗位人员，必须取得相关专业机构制发的特种许可证明，因</w:t>
      </w:r>
      <w:r>
        <w:rPr>
          <w:rFonts w:ascii="宋体" w:hAnsi="宋体" w:eastAsia="宋体" w:cs="宋体"/>
          <w:color w:val="000000" w:themeColor="text1"/>
          <w:spacing w:val="-1"/>
          <w:sz w:val="21"/>
          <w:szCs w:val="21"/>
          <w:highlight w:val="none"/>
        </w:rPr>
        <w:t xml:space="preserve">特殊原因造成岗位人员缺</w:t>
      </w:r>
      <w:r>
        <w:rPr>
          <w:rFonts w:ascii="宋体" w:hAnsi="宋体" w:eastAsia="宋体" w:cs="宋体"/>
          <w:color w:val="000000" w:themeColor="text1"/>
          <w:spacing w:val="19"/>
          <w:sz w:val="21"/>
          <w:szCs w:val="21"/>
          <w:highlight w:val="none"/>
        </w:rPr>
        <w:t xml:space="preserve">编现象，需在1个月内按照相关要求将人员招聘到位，</w:t>
      </w:r>
      <w:r>
        <w:rPr>
          <w:rFonts w:hint="eastAsia" w:eastAsia="宋体"/>
          <w:color w:val="000000" w:themeColor="text1"/>
          <w:highlight w:val="none"/>
          <w:lang w:val="en-US" w:eastAsia="zh-CN"/>
        </w:rPr>
        <w:t xml:space="preserve">人员应符合招标文件要求，且不得低于投标时的承诺，</w:t>
      </w:r>
      <w:r>
        <w:rPr>
          <w:rFonts w:ascii="宋体" w:hAnsi="宋体" w:eastAsia="宋体" w:cs="宋体"/>
          <w:color w:val="000000" w:themeColor="text1"/>
          <w:spacing w:val="19"/>
          <w:sz w:val="21"/>
          <w:szCs w:val="21"/>
          <w:highlight w:val="none"/>
        </w:rPr>
        <w:t xml:space="preserve">超过规定时间的，按考核办法执行。</w:t>
      </w:r>
      <w:r/>
    </w:p>
    <w:p>
      <w:pPr>
        <w:pStyle w:val="836"/>
        <w:ind w:left="241"/>
        <w:keepLines w:val="0"/>
        <w:keepNext w:val="0"/>
        <w:pageBreakBefore w:val="0"/>
        <w:spacing w:before="1" w:line="213" w:lineRule="auto"/>
        <w:widowControl/>
        <w:rPr>
          <w:color w:val="000000" w:themeColor="text1"/>
          <w:sz w:val="21"/>
          <w:szCs w:val="21"/>
          <w:highlight w:val="none"/>
        </w:rPr>
      </w:pPr>
      <w:r>
        <w:rPr>
          <w:b/>
          <w:bCs/>
          <w:color w:val="000000" w:themeColor="text1"/>
          <w:spacing w:val="14"/>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4"/>
          <w:sz w:val="21"/>
          <w:szCs w:val="21"/>
          <w:highlight w:val="none"/>
        </w:rPr>
        <w:t xml:space="preserve">.验收标准与要求</w:t>
      </w:r>
      <w:r/>
    </w:p>
    <w:p>
      <w:pPr>
        <w:ind w:left="24" w:right="1010" w:hanging="15"/>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按照采购合同约定对供应商提供的保洁管理服务进行验收，对于供应商未按合</w:t>
      </w:r>
      <w:r>
        <w:rPr>
          <w:rFonts w:ascii="宋体" w:hAnsi="宋体" w:eastAsia="宋体" w:cs="宋体"/>
          <w:color w:val="000000" w:themeColor="text1"/>
          <w:spacing w:val="-1"/>
          <w:sz w:val="21"/>
          <w:szCs w:val="21"/>
          <w:highlight w:val="none"/>
        </w:rPr>
        <w:t xml:space="preserve">同约定提供保洁管理服务</w:t>
      </w:r>
      <w:r>
        <w:rPr>
          <w:rFonts w:ascii="宋体" w:hAnsi="宋体" w:eastAsia="宋体" w:cs="宋体"/>
          <w:color w:val="000000" w:themeColor="text1"/>
          <w:spacing w:val="19"/>
          <w:sz w:val="21"/>
          <w:szCs w:val="21"/>
          <w:highlight w:val="none"/>
        </w:rPr>
        <w:t xml:space="preserve">的，采购人有权依法追究其违约责任。中标后，</w:t>
      </w:r>
      <w:r>
        <w:rPr>
          <w:rFonts w:ascii="宋体" w:hAnsi="宋体" w:eastAsia="宋体" w:cs="宋体"/>
          <w:color w:val="000000" w:themeColor="text1"/>
          <w:spacing w:val="18"/>
          <w:sz w:val="21"/>
          <w:szCs w:val="21"/>
          <w:highlight w:val="none"/>
        </w:rPr>
        <w:t xml:space="preserve">以合同约定内容进行处罚。</w:t>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6.1</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履约验收主体：无锡市机关事务管理局</w:t>
      </w:r>
      <w:r/>
    </w:p>
    <w:p>
      <w:pPr>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  履约验收时间：每月对上月保洁管理服务情况进行考核讲评</w:t>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6.3</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9"/>
          <w:sz w:val="21"/>
          <w:szCs w:val="21"/>
          <w:highlight w:val="none"/>
        </w:rPr>
        <w:t xml:space="preserve">履约验收方式：</w:t>
      </w:r>
      <w:r/>
    </w:p>
    <w:p>
      <w:pPr>
        <w:ind w:left="11" w:right="86" w:hanging="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现场检查和问卷调查相结合，采购方通过台账核查、问卷回访、现场检查等，验证服务流程、时效及满</w:t>
      </w:r>
      <w:r>
        <w:rPr>
          <w:rFonts w:ascii="宋体" w:hAnsi="宋体" w:eastAsia="宋体" w:cs="宋体"/>
          <w:color w:val="000000" w:themeColor="text1"/>
          <w:spacing w:val="12"/>
          <w:sz w:val="21"/>
          <w:szCs w:val="21"/>
          <w:highlight w:val="none"/>
        </w:rPr>
        <w:t xml:space="preserve">意度达标情况。</w:t>
      </w:r>
      <w:r/>
    </w:p>
    <w:p>
      <w:pPr>
        <w:ind w:left="8" w:right="86"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设施设备配备及人员配置将对照招标需求，对供货方履约必备的设施设备和人员数量进行现场清点，确</w:t>
      </w:r>
      <w:r>
        <w:rPr>
          <w:rFonts w:ascii="宋体" w:hAnsi="宋体" w:eastAsia="宋体" w:cs="宋体"/>
          <w:color w:val="000000" w:themeColor="text1"/>
          <w:spacing w:val="12"/>
          <w:sz w:val="21"/>
          <w:szCs w:val="21"/>
          <w:highlight w:val="none"/>
        </w:rPr>
        <w:t xml:space="preserve">保能正常履约。</w:t>
      </w:r>
      <w:r/>
    </w:p>
    <w:p>
      <w:pPr>
        <w:ind w:left="9"/>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6.4</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9"/>
          <w:sz w:val="21"/>
          <w:szCs w:val="21"/>
          <w:highlight w:val="none"/>
        </w:rPr>
        <w:t xml:space="preserve">履约验收程序：</w:t>
      </w:r>
      <w:r/>
    </w:p>
    <w:p>
      <w:pPr>
        <w:ind w:left="6" w:right="201" w:firstLine="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（1）验收实施：采购人每月进行检查、打分和讲评，每半年由采购人考核小组检验台账资料、观</w:t>
      </w:r>
      <w:r>
        <w:rPr>
          <w:rFonts w:ascii="宋体" w:hAnsi="宋体" w:eastAsia="宋体" w:cs="宋体"/>
          <w:color w:val="000000" w:themeColor="text1"/>
          <w:spacing w:val="19"/>
          <w:sz w:val="21"/>
          <w:szCs w:val="21"/>
          <w:highlight w:val="none"/>
        </w:rPr>
        <w:t xml:space="preserve">看汇报等后打分，适时到现场随机抽查，填写记录表，现场反馈问题并由中标人签字确认。</w:t>
      </w:r>
      <w:r/>
    </w:p>
    <w:p>
      <w:pPr>
        <w:ind w:left="24" w:right="200" w:hanging="1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（2）问题整改与复核：采购人以日常监管考核为主，定期下达问题整改清单并限期改正，未及时整改</w:t>
      </w:r>
      <w:r>
        <w:rPr>
          <w:rFonts w:ascii="宋体" w:hAnsi="宋体" w:eastAsia="宋体" w:cs="宋体"/>
          <w:color w:val="000000" w:themeColor="text1"/>
          <w:spacing w:val="19"/>
          <w:sz w:val="21"/>
          <w:szCs w:val="21"/>
          <w:highlight w:val="none"/>
        </w:rPr>
        <w:t xml:space="preserve">的，采购人将根据整改进度进行处罚。接到服务对象书面投诉的，按考核办</w:t>
      </w:r>
      <w:r>
        <w:rPr>
          <w:rFonts w:ascii="宋体" w:hAnsi="宋体" w:eastAsia="宋体" w:cs="宋体"/>
          <w:color w:val="000000" w:themeColor="text1"/>
          <w:spacing w:val="18"/>
          <w:sz w:val="21"/>
          <w:szCs w:val="21"/>
          <w:highlight w:val="none"/>
        </w:rPr>
        <w:t xml:space="preserve">法执行。</w:t>
      </w:r>
      <w:r/>
    </w:p>
    <w:p>
      <w:pPr>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（3）验收归档：整理验收报告、服务台账等文件归档，供采购方查询及后续核查。</w:t>
      </w:r>
      <w:r/>
    </w:p>
    <w:p>
      <w:pPr>
        <w:ind w:left="7" w:right="203" w:firstLine="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（4）履约验收内容和标准：参照《无锡市机关事务管理局服务外包单位月度考核意见表》和</w:t>
      </w:r>
      <w:r>
        <w:rPr>
          <w:rFonts w:ascii="宋体" w:hAnsi="宋体" w:eastAsia="宋体" w:cs="宋体"/>
          <w:color w:val="000000" w:themeColor="text1"/>
          <w:spacing w:val="19"/>
          <w:sz w:val="21"/>
          <w:szCs w:val="21"/>
          <w:highlight w:val="none"/>
        </w:rPr>
        <w:t xml:space="preserve">局半年度</w:t>
      </w:r>
      <w:r>
        <w:rPr>
          <w:rFonts w:ascii="宋体" w:hAnsi="宋体" w:eastAsia="宋体" w:cs="宋体"/>
          <w:color w:val="000000" w:themeColor="text1"/>
          <w:spacing w:val="9"/>
          <w:sz w:val="21"/>
          <w:szCs w:val="21"/>
          <w:highlight w:val="none"/>
        </w:rPr>
        <w:t xml:space="preserve">考核方案。</w:t>
      </w:r>
      <w:r/>
    </w:p>
    <w:p>
      <w:pPr>
        <w:jc w:val="center"/>
        <w:spacing w:line="600" w:lineRule="exact"/>
        <w:rPr>
          <w:rFonts w:hint="eastAsia" w:ascii="黑体" w:eastAsia="黑体"/>
          <w:b/>
          <w:color w:val="000000" w:themeColor="text1"/>
          <w:sz w:val="21"/>
          <w:szCs w:val="21"/>
          <w:highlight w:val="none"/>
          <w:shd w:val="clear" w:color="auto" w:fill="auto"/>
        </w:rPr>
      </w:pPr>
      <w:r>
        <w:rPr>
          <w:rFonts w:hint="eastAsia" w:ascii="黑体" w:eastAsia="黑体"/>
          <w:b/>
          <w:color w:val="000000" w:themeColor="text1"/>
          <w:sz w:val="21"/>
          <w:szCs w:val="21"/>
          <w:highlight w:val="none"/>
          <w:shd w:val="clear" w:color="auto" w:fill="auto"/>
        </w:rPr>
        <w:br w:type="page" w:clear="all"/>
      </w:r>
      <w:r>
        <w:rPr>
          <w:rFonts w:hint="eastAsia" w:ascii="黑体" w:eastAsia="黑体"/>
          <w:b/>
          <w:color w:val="000000" w:themeColor="text1"/>
          <w:sz w:val="21"/>
          <w:szCs w:val="21"/>
          <w:highlight w:val="none"/>
          <w:shd w:val="clear" w:color="auto" w:fill="auto"/>
        </w:rPr>
        <w:t xml:space="preserve">机关事务管理局服务外包单位月度考核意见表</w:t>
      </w:r>
      <w:r/>
    </w:p>
    <w:p>
      <w:pPr>
        <w:ind w:right="-149"/>
        <w:jc w:val="center"/>
        <w:spacing w:line="600" w:lineRule="exact"/>
        <w:tabs>
          <w:tab w:val="left" w:pos="0" w:leader="none"/>
        </w:tabs>
        <w:rPr>
          <w:rFonts w:hint="eastAsia" w:ascii="楷体_GB2312" w:hAnsi="华文宋体" w:eastAsia="楷体_GB2312"/>
          <w:color w:val="000000" w:themeColor="text1"/>
          <w:sz w:val="21"/>
          <w:szCs w:val="21"/>
          <w:highlight w:val="none"/>
          <w:u w:val="single"/>
          <w:shd w:val="clear" w:color="auto" w:fill="auto"/>
        </w:rPr>
      </w:pPr>
      <w:r>
        <w:rPr>
          <w:rFonts w:hint="eastAsia" w:ascii="宋体" w:hAnsi="宋体"/>
          <w:color w:val="000000" w:themeColor="text1"/>
          <w:sz w:val="21"/>
          <w:szCs w:val="21"/>
          <w:highlight w:val="none"/>
          <w:shd w:val="clear" w:color="auto" w:fill="auto"/>
        </w:rPr>
        <w:t xml:space="preserve">服务外包单位：</w:t>
      </w:r>
      <w:r>
        <w:rPr>
          <w:rFonts w:hint="eastAsia" w:ascii="宋体" w:hAnsi="宋体"/>
          <w:color w:val="000000" w:themeColor="text1"/>
          <w:sz w:val="21"/>
          <w:szCs w:val="21"/>
          <w:highlight w:val="none"/>
          <w:u w:val="single"/>
          <w:shd w:val="clear" w:color="auto" w:fill="auto"/>
          <w:lang w:val="en-US" w:eastAsia="zh-CN"/>
        </w:rPr>
        <w:t xml:space="preserve">            </w:t>
      </w:r>
      <w:r>
        <w:rPr>
          <w:rFonts w:hint="eastAsia" w:ascii="楷体_GB2312" w:hAnsi="华文宋体" w:eastAsia="楷体_GB2312"/>
          <w:color w:val="000000" w:themeColor="text1"/>
          <w:sz w:val="21"/>
          <w:szCs w:val="21"/>
          <w:highlight w:val="none"/>
          <w:shd w:val="clear" w:color="auto" w:fill="auto"/>
        </w:rPr>
        <w:t xml:space="preserve">     </w:t>
      </w:r>
      <w:r>
        <w:rPr>
          <w:rFonts w:hint="eastAsia" w:ascii="宋体" w:hAnsi="宋体"/>
          <w:color w:val="000000" w:themeColor="text1"/>
          <w:sz w:val="21"/>
          <w:szCs w:val="21"/>
          <w:highlight w:val="none"/>
          <w:shd w:val="clear" w:color="auto" w:fill="auto"/>
        </w:rPr>
        <w:t xml:space="preserve">项目：</w:t>
      </w:r>
      <w:r>
        <w:rPr>
          <w:rFonts w:hint="eastAsia" w:ascii="宋体" w:hAnsi="宋体"/>
          <w:color w:val="000000" w:themeColor="text1"/>
          <w:sz w:val="21"/>
          <w:szCs w:val="21"/>
          <w:highlight w:val="none"/>
          <w:u w:val="single"/>
          <w:shd w:val="clear" w:color="auto" w:fill="auto"/>
          <w:lang w:val="en-US" w:eastAsia="zh-CN"/>
        </w:rPr>
        <w:t xml:space="preserve">          </w:t>
      </w:r>
      <w:r>
        <w:rPr>
          <w:rFonts w:hint="eastAsia" w:ascii="宋体" w:hAnsi="宋体"/>
          <w:color w:val="000000" w:themeColor="text1"/>
          <w:sz w:val="21"/>
          <w:szCs w:val="21"/>
          <w:highlight w:val="none"/>
          <w:shd w:val="clear" w:color="auto" w:fill="auto"/>
        </w:rPr>
        <w:t xml:space="preserve">     责任</w:t>
      </w:r>
      <w:r>
        <w:rPr>
          <w:rFonts w:hint="eastAsia" w:ascii="宋体" w:hAnsi="宋体"/>
          <w:color w:val="000000" w:themeColor="text1"/>
          <w:sz w:val="21"/>
          <w:szCs w:val="21"/>
          <w:highlight w:val="none"/>
          <w:shd w:val="clear" w:color="auto" w:fill="auto"/>
          <w:lang w:val="en-US" w:eastAsia="zh-CN"/>
        </w:rPr>
        <w:t xml:space="preserve">科</w:t>
      </w:r>
      <w:r>
        <w:rPr>
          <w:rFonts w:hint="eastAsia" w:ascii="宋体" w:hAnsi="宋体"/>
          <w:color w:val="000000" w:themeColor="text1"/>
          <w:sz w:val="21"/>
          <w:szCs w:val="21"/>
          <w:highlight w:val="none"/>
          <w:shd w:val="clear" w:color="auto" w:fill="auto"/>
        </w:rPr>
        <w:t xml:space="preserve">室：</w:t>
      </w:r>
      <w:r>
        <w:rPr>
          <w:rFonts w:hint="eastAsia" w:ascii="宋体" w:hAnsi="宋体"/>
          <w:color w:val="000000" w:themeColor="text1"/>
          <w:sz w:val="21"/>
          <w:szCs w:val="21"/>
          <w:highlight w:val="none"/>
          <w:u w:val="single"/>
          <w:shd w:val="clear" w:color="auto" w:fill="auto"/>
          <w:lang w:val="en-US" w:eastAsia="zh-CN"/>
        </w:rPr>
        <w:t xml:space="preserve">        </w:t>
      </w:r>
      <w:r>
        <w:rPr>
          <w:rFonts w:hint="eastAsia" w:ascii="楷体_GB2312" w:hAnsi="华文宋体" w:eastAsia="楷体_GB2312"/>
          <w:color w:val="000000" w:themeColor="text1"/>
          <w:sz w:val="21"/>
          <w:szCs w:val="21"/>
          <w:highlight w:val="none"/>
          <w:u w:val="none"/>
          <w:shd w:val="clear" w:color="auto" w:fill="auto"/>
        </w:rPr>
        <w:t xml:space="preserve"> 202</w:t>
      </w:r>
      <w:r>
        <w:rPr>
          <w:rFonts w:hint="eastAsia" w:ascii="楷体_GB2312" w:hAnsi="华文宋体" w:eastAsia="楷体_GB2312"/>
          <w:color w:val="000000" w:themeColor="text1"/>
          <w:sz w:val="21"/>
          <w:szCs w:val="21"/>
          <w:highlight w:val="none"/>
          <w:u w:val="none"/>
          <w:shd w:val="clear" w:color="auto" w:fill="auto"/>
          <w:lang w:val="en-US" w:eastAsia="zh-CN"/>
        </w:rPr>
        <w:t xml:space="preserve">X</w:t>
      </w:r>
      <w:r>
        <w:rPr>
          <w:rFonts w:hint="eastAsia" w:ascii="楷体_GB2312" w:hAnsi="华文宋体" w:eastAsia="楷体_GB2312"/>
          <w:color w:val="000000" w:themeColor="text1"/>
          <w:sz w:val="21"/>
          <w:szCs w:val="21"/>
          <w:highlight w:val="none"/>
          <w:u w:val="none"/>
          <w:shd w:val="clear" w:color="auto" w:fill="auto"/>
        </w:rPr>
        <w:t xml:space="preserve">年</w:t>
      </w:r>
      <w:r>
        <w:rPr>
          <w:rFonts w:hint="eastAsia" w:ascii="楷体_GB2312" w:hAnsi="华文宋体" w:eastAsia="楷体_GB2312"/>
          <w:color w:val="000000" w:themeColor="text1"/>
          <w:sz w:val="21"/>
          <w:szCs w:val="21"/>
          <w:highlight w:val="none"/>
          <w:u w:val="none"/>
          <w:shd w:val="clear" w:color="auto" w:fill="auto"/>
          <w:lang w:val="en-US" w:eastAsia="zh-CN"/>
        </w:rPr>
        <w:t xml:space="preserve">X</w:t>
      </w:r>
      <w:r>
        <w:rPr>
          <w:rFonts w:hint="eastAsia" w:ascii="楷体_GB2312" w:hAnsi="华文宋体" w:eastAsia="楷体_GB2312"/>
          <w:color w:val="000000" w:themeColor="text1"/>
          <w:sz w:val="21"/>
          <w:szCs w:val="21"/>
          <w:highlight w:val="none"/>
          <w:u w:val="none"/>
          <w:shd w:val="clear" w:color="auto" w:fill="auto"/>
        </w:rPr>
        <w:t xml:space="preserve">月</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6236"/>
        <w:gridCol w:w="1080"/>
        <w:gridCol w:w="900"/>
        <w:gridCol w:w="814"/>
      </w:tblGrid>
      <w:tr>
        <w:trPr>
          <w:jc w:val="center"/>
          <w:trHeight w:val="346"/>
        </w:trPr>
        <w:tc>
          <w:tcPr>
            <w:tcW w:w="11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考核内容</w:t>
            </w:r>
            <w:r/>
          </w:p>
        </w:tc>
        <w:tc>
          <w:tcPr>
            <w:tcW w:w="6236"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考  核  标  准</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扣分标准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扣分数</w:t>
            </w:r>
            <w:r/>
          </w:p>
        </w:tc>
        <w:tc>
          <w:tcPr>
            <w:tcW w:w="814"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备注</w:t>
            </w:r>
            <w:r/>
          </w:p>
        </w:tc>
      </w:tr>
      <w:tr>
        <w:trPr>
          <w:jc w:val="center"/>
          <w:trHeight w:val="409"/>
        </w:trPr>
        <w:tc>
          <w:tcPr>
            <w:tcW w:w="1100" w:type="dxa"/>
            <w:vAlign w:val="center"/>
            <w:vMerge w:val="restart"/>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合同</w:t>
            </w:r>
            <w:r/>
          </w:p>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执行</w:t>
            </w:r>
            <w:r/>
          </w:p>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情况</w:t>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1.公司按照合同要求足量配备相应工作人员</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restart"/>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r>
      <w:tr>
        <w:trPr>
          <w:jc w:val="center"/>
          <w:trHeight w:val="409"/>
        </w:trPr>
        <w:tc>
          <w:tcPr>
            <w:tcW w:w="1100" w:type="dxa"/>
            <w:vAlign w:val="top"/>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2.公司制度和现场标准健全规范，管理人员配置合理</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409"/>
        </w:trPr>
        <w:tc>
          <w:tcPr>
            <w:tcW w:w="1100" w:type="dxa"/>
            <w:vAlign w:val="top"/>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3.按规定考勤，出勤率符合合同标准</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409"/>
        </w:trPr>
        <w:tc>
          <w:tcPr>
            <w:tcW w:w="1100" w:type="dxa"/>
            <w:vAlign w:val="top"/>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4.如有每月额外增加服务，无条件服从</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639"/>
        </w:trPr>
        <w:tc>
          <w:tcPr>
            <w:tcW w:w="1100" w:type="dxa"/>
            <w:vAlign w:val="top"/>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5.工作人员必须政审合格，身体健康，形体无明显缺陷，外貌端正，并经过岗前专业培训</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718"/>
        </w:trPr>
        <w:tc>
          <w:tcPr>
            <w:tcW w:w="1100" w:type="dxa"/>
            <w:vAlign w:val="top"/>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6.公司按照合同要求确保期间的福利费、工伤、生病住院、意外伤（亡）害等费用</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482"/>
        </w:trPr>
        <w:tc>
          <w:tcPr>
            <w:tcW w:w="1100" w:type="dxa"/>
            <w:vAlign w:val="center"/>
            <w:vMerge w:val="restart"/>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计划</w:t>
            </w:r>
            <w:r/>
          </w:p>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培训</w:t>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1.公司每月工作有计划有重点且按时间节点顺利完成工作任务</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restart"/>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　</w:t>
            </w:r>
            <w:r/>
          </w:p>
        </w:tc>
      </w:tr>
      <w:tr>
        <w:trPr>
          <w:jc w:val="center"/>
          <w:trHeight w:val="482"/>
        </w:trPr>
        <w:tc>
          <w:tcPr>
            <w:tcW w:w="1100" w:type="dxa"/>
            <w:vAlign w:val="center"/>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2.公司每月有培训且做好培训记录</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0.5分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454"/>
        </w:trPr>
        <w:tc>
          <w:tcPr>
            <w:tcW w:w="1100" w:type="dxa"/>
            <w:vAlign w:val="center"/>
            <w:vMerge w:val="continue"/>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3.公司按要求积极参加综合处组织的各项培训工作，无缺席</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0.5分</w:t>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vMerge w:val="continue"/>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jc w:val="center"/>
          <w:trHeight w:val="1374"/>
        </w:trPr>
        <w:tc>
          <w:tcPr>
            <w:tcW w:w="11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额外</w:t>
            </w:r>
            <w:r/>
          </w:p>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加分</w:t>
            </w:r>
            <w:r/>
          </w:p>
        </w:tc>
        <w:tc>
          <w:tcPr>
            <w:tcW w:w="6236"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荣获管理局、市级以上荣誉或表彰；服从大局，认真落实管理局布置的各项任务</w:t>
            </w:r>
            <w:r>
              <w:rPr>
                <w:rFonts w:hint="eastAsia" w:ascii="Times New Roman" w:hAnsi="Times New Roman" w:eastAsia="方正仿宋_GBK" w:cs="Times New Roman"/>
                <w:color w:val="000000" w:themeColor="text1"/>
                <w:sz w:val="21"/>
                <w:szCs w:val="21"/>
                <w:highlight w:val="none"/>
                <w:shd w:val="clear" w:color="auto" w:fill="auto"/>
                <w:lang w:eastAsia="zh-CN"/>
              </w:rPr>
              <w:t xml:space="preserve">，为</w:t>
            </w:r>
            <w:r>
              <w:rPr>
                <w:rFonts w:ascii="Times New Roman" w:hAnsi="Times New Roman" w:eastAsia="方正仿宋_GBK" w:cs="Times New Roman"/>
                <w:color w:val="000000" w:themeColor="text1"/>
                <w:sz w:val="21"/>
                <w:szCs w:val="21"/>
                <w:highlight w:val="none"/>
                <w:shd w:val="clear" w:color="auto" w:fill="auto"/>
              </w:rPr>
              <w:t xml:space="preserve">重大活动提供支撑；超标准配置人员，取得明显成效；垃圾分类工作显著；自我纠偏效果明显或发现安全隐患等。（酌情加分，最高加分为10分。）</w:t>
            </w:r>
            <w:r/>
          </w:p>
        </w:tc>
        <w:tc>
          <w:tcPr>
            <w:tcW w:w="108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9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c>
          <w:tcPr>
            <w:tcW w:w="814" w:type="dxa"/>
            <w:vAlign w:val="center"/>
            <w:textDirection w:val="lrTb"/>
            <w:noWrap w:val="false"/>
          </w:tcPr>
          <w:p>
            <w:pP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　</w:t>
            </w:r>
            <w:r/>
          </w:p>
        </w:tc>
      </w:tr>
      <w:tr>
        <w:trPr>
          <w:jc w:val="center"/>
          <w:trHeight w:val="712"/>
        </w:trPr>
        <w:tc>
          <w:tcPr>
            <w:tcW w:w="1100" w:type="dxa"/>
            <w:vAlign w:val="center"/>
            <w:textDirection w:val="lrTb"/>
            <w:noWrap w:val="false"/>
          </w:tcPr>
          <w:p>
            <w:pPr>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t xml:space="preserve">科</w:t>
            </w:r>
            <w:r>
              <w:rPr>
                <w:rFonts w:ascii="Times New Roman" w:hAnsi="Times New Roman" w:eastAsia="方正仿宋_GBK" w:cs="Times New Roman"/>
                <w:color w:val="000000" w:themeColor="text1"/>
                <w:sz w:val="21"/>
                <w:szCs w:val="21"/>
                <w:highlight w:val="none"/>
                <w:shd w:val="clear" w:color="auto" w:fill="auto"/>
              </w:rPr>
              <w:t xml:space="preserve">室考核意 见</w:t>
            </w:r>
            <w:r/>
          </w:p>
        </w:tc>
        <w:tc>
          <w:tcPr>
            <w:gridSpan w:val="4"/>
            <w:tcW w:w="9030" w:type="dxa"/>
            <w:vAlign w:val="center"/>
            <w:textDirection w:val="lrTb"/>
            <w:noWrap w:val="false"/>
          </w:tcPr>
          <w:p>
            <w:pPr>
              <w:ind w:firstLine="42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p>
        </w:tc>
      </w:tr>
    </w:tbl>
    <w:p>
      <w:pPr>
        <w:ind w:right="-149" w:firstLine="210"/>
        <w:spacing w:line="600" w:lineRule="exact"/>
        <w:tabs>
          <w:tab w:val="left" w:pos="0" w:leader="none"/>
        </w:tabs>
        <w:rPr>
          <w:rFonts w:hint="eastAsia" w:ascii="宋体" w:hAnsi="宋体"/>
          <w:color w:val="000000" w:themeColor="text1"/>
          <w:sz w:val="21"/>
          <w:szCs w:val="21"/>
          <w:highlight w:val="none"/>
          <w:shd w:val="clear" w:color="auto" w:fill="auto"/>
        </w:rPr>
      </w:pPr>
      <w:r>
        <w:rPr>
          <w:rFonts w:hint="eastAsia" w:ascii="宋体" w:hAnsi="宋体" w:eastAsia="宋体"/>
          <w:color w:val="000000" w:themeColor="text1"/>
          <w:sz w:val="21"/>
          <w:szCs w:val="21"/>
          <w:highlight w:val="none"/>
          <w:shd w:val="clear" w:color="auto" w:fill="auto"/>
          <w:lang w:val="en-US" w:eastAsia="zh-CN"/>
        </w:rPr>
        <w:t xml:space="preserve">科</w:t>
      </w:r>
      <w:r>
        <w:rPr>
          <w:rFonts w:hint="eastAsia" w:ascii="宋体" w:hAnsi="宋体"/>
          <w:color w:val="000000" w:themeColor="text1"/>
          <w:sz w:val="21"/>
          <w:szCs w:val="21"/>
          <w:highlight w:val="none"/>
          <w:shd w:val="clear" w:color="auto" w:fill="auto"/>
        </w:rPr>
        <w:t xml:space="preserve">室负责人：                         </w:t>
      </w:r>
      <w:r>
        <w:rPr>
          <w:rFonts w:hint="eastAsia" w:ascii="宋体" w:hAnsi="宋体" w:eastAsia="宋体"/>
          <w:color w:val="000000" w:themeColor="text1"/>
          <w:sz w:val="21"/>
          <w:szCs w:val="21"/>
          <w:highlight w:val="none"/>
          <w:shd w:val="clear" w:color="auto" w:fill="auto"/>
          <w:lang w:val="en-US" w:eastAsia="zh-CN"/>
        </w:rPr>
        <w:t xml:space="preserve">                  </w:t>
      </w:r>
      <w:r>
        <w:rPr>
          <w:rFonts w:hint="eastAsia" w:ascii="宋体" w:hAnsi="宋体"/>
          <w:color w:val="000000" w:themeColor="text1"/>
          <w:sz w:val="21"/>
          <w:szCs w:val="21"/>
          <w:highlight w:val="none"/>
          <w:shd w:val="clear" w:color="auto" w:fill="auto"/>
        </w:rPr>
        <w:t xml:space="preserve">     分管局领导：</w:t>
      </w: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p>
    <w:p>
      <w:pPr>
        <w:pStyle w:val="836"/>
        <w:ind w:left="25"/>
        <w:keepLines w:val="0"/>
        <w:keepNext w:val="0"/>
        <w:pageBreakBefore w:val="0"/>
        <w:spacing w:before="90" w:line="214" w:lineRule="auto"/>
        <w:widowControl/>
        <w:rPr>
          <w:color w:val="000000" w:themeColor="text1"/>
          <w:sz w:val="21"/>
          <w:szCs w:val="21"/>
          <w:highlight w:val="none"/>
        </w:rPr>
      </w:pPr>
      <w:r>
        <w:rPr>
          <w:b/>
          <w:bCs/>
          <w:color w:val="000000" w:themeColor="text1"/>
          <w:spacing w:val="9"/>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8"/>
          <w:sz w:val="21"/>
          <w:szCs w:val="21"/>
          <w:highlight w:val="none"/>
        </w:rPr>
        <w:t xml:space="preserve"> </w:t>
      </w:r>
      <w:r>
        <w:rPr>
          <w:b/>
          <w:bCs/>
          <w:color w:val="000000" w:themeColor="text1"/>
          <w:spacing w:val="9"/>
          <w:sz w:val="21"/>
          <w:szCs w:val="21"/>
          <w:highlight w:val="none"/>
        </w:rPr>
        <w:t xml:space="preserve">其他要求：</w:t>
      </w:r>
      <w:r/>
    </w:p>
    <w:p>
      <w:pPr>
        <w:pStyle w:val="836"/>
        <w:ind w:left="25"/>
        <w:keepLines w:val="0"/>
        <w:keepNext w:val="0"/>
        <w:pageBreakBefore w:val="0"/>
        <w:spacing w:before="56" w:line="214" w:lineRule="auto"/>
        <w:widowControl/>
        <w:rPr>
          <w:color w:val="000000" w:themeColor="text1"/>
          <w:sz w:val="21"/>
          <w:szCs w:val="21"/>
          <w:highlight w:val="none"/>
        </w:rPr>
      </w:pPr>
      <w:r>
        <w:rPr>
          <w:b/>
          <w:bCs/>
          <w:color w:val="000000" w:themeColor="text1"/>
          <w:spacing w:val="9"/>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12"/>
          <w:sz w:val="21"/>
          <w:szCs w:val="21"/>
          <w:highlight w:val="none"/>
        </w:rPr>
        <w:t xml:space="preserve"> </w:t>
      </w:r>
      <w:r>
        <w:rPr>
          <w:b/>
          <w:bCs/>
          <w:color w:val="000000" w:themeColor="text1"/>
          <w:spacing w:val="9"/>
          <w:sz w:val="21"/>
          <w:szCs w:val="21"/>
          <w:highlight w:val="none"/>
        </w:rPr>
        <w:t xml:space="preserve">1低值易耗品目录</w:t>
      </w:r>
      <w:r/>
    </w:p>
    <w:p>
      <w:pPr>
        <w:ind w:left="10" w:right="1010"/>
        <w:keepLines w:val="0"/>
        <w:keepNext w:val="0"/>
        <w:pageBreakBefore w:val="0"/>
        <w:spacing w:before="75" w:line="288"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4"/>
          <w:highlight w:val="none"/>
          <w:shd w:val="clear" w:color="auto" w:fill="auto"/>
          <w:lang w:val="en-US" w:eastAsia="zh-CN"/>
        </w:rPr>
        <w:t xml:space="preserve">低值易耗品不限于表内已列内容，如供应商认为在此基础上还需增加的，中标后自行配置，费用已包含在投标总费用中。</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89"/>
        <w:gridCol w:w="4203"/>
        <w:gridCol w:w="1035"/>
        <w:gridCol w:w="1424"/>
      </w:tblGrid>
      <w:tr>
        <w:trPr>
          <w:jc w:val="center"/>
          <w:trHeight w:val="380"/>
        </w:trPr>
        <w:tc>
          <w:tcPr>
            <w:tcW w:w="802" w:type="dxa"/>
            <w:vAlign w:val="center"/>
            <w:textDirection w:val="lrTb"/>
            <w:noWrap w:val="false"/>
          </w:tcPr>
          <w:p>
            <w:pPr>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ascii="Calibri" w:hAnsi="Calibri" w:eastAsia="宋体" w:cs="Calibri"/>
                <w:b/>
                <w:bCs/>
                <w:color w:val="000000" w:themeColor="text1"/>
                <w:szCs w:val="21"/>
                <w:highlight w:val="none"/>
                <w:shd w:val="clear" w:color="auto" w:fill="auto"/>
              </w:rPr>
              <w:t xml:space="preserve">序号</w:t>
            </w:r>
            <w:r/>
          </w:p>
        </w:tc>
        <w:tc>
          <w:tcPr>
            <w:tcW w:w="1789" w:type="dxa"/>
            <w:vAlign w:val="center"/>
            <w:textDirection w:val="lrTb"/>
            <w:noWrap w:val="false"/>
          </w:tcPr>
          <w:p>
            <w:pPr>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用途</w:t>
            </w:r>
            <w:r/>
          </w:p>
        </w:tc>
        <w:tc>
          <w:tcPr>
            <w:tcW w:w="4203" w:type="dxa"/>
            <w:vAlign w:val="center"/>
            <w:textDirection w:val="lrTb"/>
            <w:noWrap w:val="false"/>
          </w:tcPr>
          <w:p>
            <w:pPr>
              <w:ind w:left="0"/>
              <w:jc w:val="center"/>
              <w:keepLines w:val="0"/>
              <w:keepNext w:val="0"/>
              <w:pageBreakBefore w:val="0"/>
              <w:spacing w:after="0" w:line="300" w:lineRule="auto"/>
              <w:widowControl/>
              <w:rPr>
                <w:rFonts w:hint="eastAsia"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作业设备</w:t>
            </w:r>
            <w:r>
              <w:rPr>
                <w:rFonts w:ascii="Calibri" w:hAnsi="Calibri" w:eastAsia="宋体" w:cs="Calibri"/>
                <w:b/>
                <w:bCs/>
                <w:color w:val="000000" w:themeColor="text1"/>
                <w:szCs w:val="21"/>
                <w:highlight w:val="none"/>
                <w:shd w:val="clear" w:color="auto" w:fill="auto"/>
              </w:rPr>
              <w:t xml:space="preserve">名称</w:t>
            </w:r>
            <w:r/>
          </w:p>
        </w:tc>
        <w:tc>
          <w:tcPr>
            <w:tcW w:w="1035" w:type="dxa"/>
            <w:vAlign w:val="center"/>
            <w:textDirection w:val="lrTb"/>
            <w:noWrap w:val="false"/>
          </w:tcPr>
          <w:p>
            <w:pPr>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数量</w:t>
            </w:r>
            <w:r/>
          </w:p>
        </w:tc>
        <w:tc>
          <w:tcPr>
            <w:tcW w:w="1424" w:type="dxa"/>
            <w:vAlign w:val="center"/>
            <w:textDirection w:val="lrTb"/>
            <w:noWrap w:val="false"/>
          </w:tcPr>
          <w:p>
            <w:pPr>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单位</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w:t>
            </w:r>
            <w:r/>
          </w:p>
        </w:tc>
        <w:tc>
          <w:tcPr>
            <w:tcW w:w="1789" w:type="dxa"/>
            <w:vAlign w:val="center"/>
            <w:vMerge w:val="restart"/>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t xml:space="preserve">保洁服务</w:t>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刮水器</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铁锹</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3</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“小心地滑”、“正在作业”警示牌</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386</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个</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4</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“小心地滑”</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警示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贴</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386</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张</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5</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90号平板拖及拖布</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6</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60号平板拖及拖布</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7</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红色蜡拖</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150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8</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蓝色蜡拖</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150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9</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绿色蜡拖</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10</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分色（红、蓝）毛巾</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条</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11</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雨衣</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件</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12</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雨鞋</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101</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双</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13</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斗笠</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顶</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14</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防冲撞背心</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件</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15</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室内扫把、簸箕</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16</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室外大扫把</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17</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室外铁扫把</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18</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玻璃刮（配伸缩杆）</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105</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19</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背负式吹风机</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20</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各类功能</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清洁剂</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，如84消毒液、洁厕剂、除胶剂等</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21</w:t>
            </w:r>
            <w:r/>
          </w:p>
        </w:tc>
        <w:tc>
          <w:tcPr>
            <w:tcW w:w="1789" w:type="dxa"/>
            <w:vAlign w:val="center"/>
            <w:vMerge w:val="continue"/>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各类保洁用小工具，如软硬刷、百洁刷、铲刀等</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22</w:t>
            </w:r>
            <w:r/>
          </w:p>
        </w:tc>
        <w:tc>
          <w:tcPr>
            <w:tcW w:w="1789"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设备零星维修服务费用</w:t>
            </w:r>
            <w:r/>
          </w:p>
        </w:tc>
        <w:tc>
          <w:tcPr>
            <w:tcW w:w="1035"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23</w:t>
            </w:r>
            <w:r/>
          </w:p>
        </w:tc>
        <w:tc>
          <w:tcPr>
            <w:tcW w:w="1789"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设备零星维修材料费</w:t>
            </w:r>
            <w:r/>
          </w:p>
        </w:tc>
        <w:tc>
          <w:tcPr>
            <w:tcW w:w="1035" w:type="dxa"/>
            <w:vAlign w:val="center"/>
            <w:textDirection w:val="lrTb"/>
            <w:noWrap w:val="false"/>
          </w:tcPr>
          <w:p>
            <w:pPr>
              <w:ind w:left="0"/>
              <w:jc w:val="center"/>
              <w:keepLines w:val="0"/>
              <w:keepNext w:val="0"/>
              <w:pageBreakBefore w:val="0"/>
              <w:spacing w:after="0" w:line="300" w:lineRule="auto"/>
              <w:widowControl/>
              <w:rPr>
                <w:rFonts w:hint="eastAsia"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r>
      <w:tr>
        <w:trPr>
          <w:jc w:val="center"/>
          <w:trHeight w:val="454"/>
        </w:trPr>
        <w:tc>
          <w:tcPr>
            <w:tcW w:w="802" w:type="dxa"/>
            <w:vAlign w:val="center"/>
            <w:textDirection w:val="lrTb"/>
            <w:noWrap w:val="false"/>
          </w:tcPr>
          <w:p>
            <w:pPr>
              <w:numPr>
                <w:ilvl w:val="0"/>
                <w:numId w:val="0"/>
              </w:numPr>
              <w:ind w:left="0" w:firstLine="0"/>
              <w:jc w:val="center"/>
              <w:keepLines w:val="0"/>
              <w:keepNext w:val="0"/>
              <w:pageBreakBefore w:val="0"/>
              <w:spacing w:after="0" w:line="300" w:lineRule="auto"/>
              <w:widowControl/>
              <w:rPr>
                <w:rFonts w:hint="eastAsia"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24</w:t>
            </w:r>
            <w:r/>
          </w:p>
        </w:tc>
        <w:tc>
          <w:tcPr>
            <w:tcW w:w="1789"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rPr>
            </w:r>
            <w:r/>
          </w:p>
        </w:tc>
        <w:tc>
          <w:tcPr>
            <w:tcW w:w="4203"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各类制度及标准化、规范化、智能化标牌等</w:t>
            </w:r>
            <w:r/>
          </w:p>
        </w:tc>
        <w:tc>
          <w:tcPr>
            <w:tcW w:w="1035" w:type="dxa"/>
            <w:vAlign w:val="center"/>
            <w:textDirection w:val="lrTb"/>
            <w:noWrap w:val="false"/>
          </w:tcPr>
          <w:p>
            <w:pPr>
              <w:ind w:left="0"/>
              <w:jc w:val="center"/>
              <w:keepLines w:val="0"/>
              <w:keepNext w:val="0"/>
              <w:pageBreakBefore w:val="0"/>
              <w:spacing w:after="0" w:line="300" w:lineRule="auto"/>
              <w:widowControl/>
              <w:rPr>
                <w:rFonts w:hint="eastAsia"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p>
        </w:tc>
        <w:tc>
          <w:tcPr>
            <w:tcW w:w="1424" w:type="dxa"/>
            <w:vAlign w:val="center"/>
            <w:textDirection w:val="lrTb"/>
            <w:noWrap w:val="false"/>
          </w:tcPr>
          <w:p>
            <w:pPr>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块</w:t>
            </w:r>
            <w:r/>
          </w:p>
        </w:tc>
      </w:tr>
    </w:tbl>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p>
    <w:p>
      <w:pPr>
        <w:pStyle w:val="836"/>
        <w:ind w:left="25"/>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w:t>
      </w:r>
      <w:r>
        <w:rPr>
          <w:b/>
          <w:bCs/>
          <w:color w:val="000000" w:themeColor="text1"/>
          <w:spacing w:val="-27"/>
          <w:sz w:val="21"/>
          <w:szCs w:val="21"/>
          <w:highlight w:val="none"/>
        </w:rPr>
        <w:t xml:space="preserve"> </w:t>
      </w:r>
      <w:r>
        <w:rPr>
          <w:b/>
          <w:bCs/>
          <w:color w:val="000000" w:themeColor="text1"/>
          <w:spacing w:val="12"/>
          <w:sz w:val="21"/>
          <w:szCs w:val="21"/>
          <w:highlight w:val="none"/>
        </w:rPr>
        <w:t xml:space="preserve">2中标人的责任和义务</w:t>
      </w:r>
      <w:r/>
    </w:p>
    <w:p>
      <w:pPr>
        <w:ind w:left="22" w:right="1123" w:hanging="9"/>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（1）中标人应在合同签订进场后七天内提供有</w:t>
      </w:r>
      <w:r>
        <w:rPr>
          <w:rFonts w:ascii="宋体" w:hAnsi="宋体" w:eastAsia="宋体" w:cs="宋体"/>
          <w:color w:val="000000" w:themeColor="text1"/>
          <w:spacing w:val="-1"/>
          <w:sz w:val="21"/>
          <w:szCs w:val="21"/>
          <w:highlight w:val="none"/>
        </w:rPr>
        <w:t xml:space="preserve">关保险手续证明文件、员工身份证及操作证明的复印件</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2"/>
          <w:sz w:val="21"/>
          <w:szCs w:val="21"/>
          <w:highlight w:val="none"/>
        </w:rPr>
        <w:t xml:space="preserve">,所需费用由</w:t>
      </w:r>
      <w:r>
        <w:rPr>
          <w:rFonts w:hint="eastAsia" w:ascii="宋体" w:hAnsi="宋体" w:eastAsia="宋体" w:cs="宋体"/>
          <w:color w:val="000000" w:themeColor="text1"/>
          <w:spacing w:val="22"/>
          <w:sz w:val="21"/>
          <w:szCs w:val="21"/>
          <w:highlight w:val="none"/>
          <w:lang w:val="en-US" w:eastAsia="zh-CN"/>
        </w:rPr>
        <w:t xml:space="preserve">中标人</w:t>
      </w:r>
      <w:r>
        <w:rPr>
          <w:rFonts w:ascii="宋体" w:hAnsi="宋体" w:eastAsia="宋体" w:cs="宋体"/>
          <w:color w:val="000000" w:themeColor="text1"/>
          <w:spacing w:val="22"/>
          <w:sz w:val="21"/>
          <w:szCs w:val="21"/>
          <w:highlight w:val="none"/>
        </w:rPr>
        <w:t xml:space="preserve">承担；</w:t>
      </w:r>
      <w:r/>
    </w:p>
    <w:p>
      <w:pPr>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（2）中标人自行按标准配备并提供保洁工作所需的设备和工具；</w:t>
      </w:r>
      <w:r/>
    </w:p>
    <w:p>
      <w:pPr>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（3）中标人应遵循安全生产规定，在保洁过程中（除人力不可抗拒的灾害外）所发生的责任事故，由</w:t>
      </w:r>
      <w:r/>
    </w:p>
    <w:p>
      <w:pPr>
        <w:ind w:left="5"/>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此所产生的费用由</w:t>
      </w:r>
      <w:r>
        <w:rPr>
          <w:rFonts w:hint="eastAsia" w:ascii="宋体" w:hAnsi="宋体" w:eastAsia="宋体" w:cs="宋体"/>
          <w:color w:val="000000" w:themeColor="text1"/>
          <w:spacing w:val="15"/>
          <w:sz w:val="21"/>
          <w:szCs w:val="21"/>
          <w:highlight w:val="none"/>
          <w:lang w:val="en-US" w:eastAsia="zh-CN"/>
        </w:rPr>
        <w:t xml:space="preserve">中标人</w:t>
      </w:r>
      <w:r>
        <w:rPr>
          <w:rFonts w:ascii="宋体" w:hAnsi="宋体" w:eastAsia="宋体" w:cs="宋体"/>
          <w:color w:val="000000" w:themeColor="text1"/>
          <w:spacing w:val="15"/>
          <w:sz w:val="21"/>
          <w:szCs w:val="21"/>
          <w:highlight w:val="none"/>
        </w:rPr>
        <w:t xml:space="preserve">承担；</w:t>
      </w:r>
      <w:r/>
    </w:p>
    <w:p>
      <w:pPr>
        <w:jc w:val="both"/>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（4）中标人工作人员在作业期间应注意保护采购人的设施和物品，如造成损坏，</w:t>
      </w:r>
      <w:r>
        <w:rPr>
          <w:rFonts w:hint="eastAsia" w:ascii="宋体" w:hAnsi="宋体" w:eastAsia="宋体" w:cs="宋体"/>
          <w:color w:val="000000" w:themeColor="text1"/>
          <w:spacing w:val="19"/>
          <w:sz w:val="21"/>
          <w:szCs w:val="21"/>
          <w:highlight w:val="none"/>
          <w:lang w:val="en-US" w:eastAsia="zh-CN"/>
        </w:rPr>
        <w:t xml:space="preserve">中标人</w:t>
      </w:r>
      <w:r>
        <w:rPr>
          <w:rFonts w:ascii="宋体" w:hAnsi="宋体" w:eastAsia="宋体" w:cs="宋体"/>
          <w:color w:val="000000" w:themeColor="text1"/>
          <w:spacing w:val="19"/>
          <w:sz w:val="21"/>
          <w:szCs w:val="21"/>
          <w:highlight w:val="none"/>
        </w:rPr>
        <w:t xml:space="preserve">应负责赔偿；</w:t>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（5）中标人工作人员必须穿着统一整齐的工作服装、佩戴工作证，不允许穿高跟鞋。</w:t>
      </w:r>
      <w:r/>
    </w:p>
    <w:p>
      <w:pPr>
        <w:pStyle w:val="836"/>
        <w:ind w:left="22"/>
        <w:keepLines w:val="0"/>
        <w:keepNext w:val="0"/>
        <w:pageBreakBefore w:val="0"/>
        <w:spacing w:before="109" w:line="214" w:lineRule="auto"/>
        <w:widowControl/>
        <w:rPr>
          <w:color w:val="000000" w:themeColor="text1"/>
          <w:sz w:val="21"/>
          <w:szCs w:val="21"/>
          <w:highlight w:val="none"/>
        </w:rPr>
      </w:pPr>
      <w:r>
        <w:rPr>
          <w:b/>
          <w:bCs/>
          <w:color w:val="000000" w:themeColor="text1"/>
          <w:spacing w:val="5"/>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5"/>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5"/>
          <w:sz w:val="21"/>
          <w:szCs w:val="21"/>
          <w:highlight w:val="none"/>
        </w:rPr>
        <w:t xml:space="preserve">3有关要求</w:t>
      </w:r>
      <w:r/>
    </w:p>
    <w:p>
      <w:pPr>
        <w:ind w:left="10"/>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（1）员工相关法定费用为不可让利部分（不</w:t>
      </w:r>
      <w:r>
        <w:rPr>
          <w:rFonts w:ascii="宋体" w:hAnsi="宋体" w:eastAsia="宋体" w:cs="宋体"/>
          <w:color w:val="000000" w:themeColor="text1"/>
          <w:spacing w:val="-1"/>
          <w:sz w:val="21"/>
          <w:szCs w:val="21"/>
          <w:highlight w:val="none"/>
        </w:rPr>
        <w:t xml:space="preserve">可竞争费用），需包含在投标总报价中。该费用只用于服</w:t>
      </w:r>
      <w:r/>
    </w:p>
    <w:p>
      <w:pPr>
        <w:ind w:left="9"/>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务人员的工资（含社保和公积金等）、奖金、福利、政策规定的人员成</w:t>
      </w:r>
      <w:r>
        <w:rPr>
          <w:rFonts w:ascii="宋体" w:hAnsi="宋体" w:eastAsia="宋体" w:cs="宋体"/>
          <w:color w:val="000000" w:themeColor="text1"/>
          <w:spacing w:val="-1"/>
          <w:sz w:val="21"/>
          <w:szCs w:val="21"/>
          <w:highlight w:val="none"/>
        </w:rPr>
        <w:t xml:space="preserve">本及所有不可预测的风险成本等</w:t>
      </w:r>
      <w:r/>
    </w:p>
    <w:p>
      <w:pPr>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ascii="宋体" w:hAnsi="宋体" w:eastAsia="宋体" w:cs="宋体"/>
          <w:color w:val="000000" w:themeColor="text1"/>
          <w:spacing w:val="1"/>
          <w:sz w:val="21"/>
          <w:szCs w:val="21"/>
          <w:highlight w:val="none"/>
        </w:rPr>
        <w:t xml:space="preserve">,要绝对保证员工的根本利益不受侵犯，</w:t>
      </w:r>
      <w:r>
        <w:rPr>
          <w:rFonts w:hint="eastAsia" w:ascii="宋体" w:hAnsi="宋体" w:eastAsia="宋体" w:cs="宋体"/>
          <w:b/>
          <w:bCs/>
          <w:color w:val="000000" w:themeColor="text1"/>
          <w:spacing w:val="1"/>
          <w:sz w:val="21"/>
          <w:szCs w:val="21"/>
          <w:highlight w:val="none"/>
          <w:lang w:val="en-US" w:eastAsia="zh-CN"/>
        </w:rPr>
        <w:t xml:space="preserve">投标人需提供工资发放承诺函（详见第六章十二、</w:t>
      </w:r>
      <w:r>
        <w:rPr>
          <w:rFonts w:hint="eastAsia"/>
          <w:b/>
          <w:bCs/>
          <w:color w:val="000000" w:themeColor="text1"/>
          <w:spacing w:val="1"/>
          <w:sz w:val="21"/>
          <w:szCs w:val="21"/>
          <w:highlight w:val="none"/>
          <w:lang w:val="en-US" w:eastAsia="zh-CN"/>
        </w:rPr>
        <w:t xml:space="preserve">工资发放承诺函</w:t>
      </w:r>
      <w:r/>
    </w:p>
    <w:p>
      <w:pPr>
        <w:pStyle w:val="836"/>
        <w:ind w:right="392" w:firstLine="19"/>
        <w:keepLines w:val="0"/>
        <w:keepNext w:val="0"/>
        <w:pageBreakBefore w:val="0"/>
        <w:spacing w:before="109" w:line="268" w:lineRule="auto"/>
        <w:widowControl/>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1"/>
          <w:sz w:val="21"/>
          <w:szCs w:val="21"/>
          <w:highlight w:val="none"/>
          <w:lang w:val="en-US" w:eastAsia="zh-CN"/>
        </w:rPr>
        <w:t xml:space="preserve">），不提供的视为无效投标文件。投标人中标后应</w:t>
      </w:r>
      <w:r>
        <w:rPr>
          <w:b/>
          <w:bCs/>
          <w:color w:val="000000" w:themeColor="text1"/>
          <w:spacing w:val="1"/>
          <w:sz w:val="21"/>
          <w:szCs w:val="21"/>
          <w:highlight w:val="none"/>
        </w:rPr>
        <w:t xml:space="preserve">编制各岗位人员</w:t>
      </w:r>
      <w:r>
        <w:rPr>
          <w:rFonts w:hint="eastAsia"/>
          <w:b/>
          <w:bCs/>
          <w:color w:val="000000" w:themeColor="text1"/>
          <w:spacing w:val="1"/>
          <w:sz w:val="21"/>
          <w:szCs w:val="21"/>
          <w:highlight w:val="none"/>
          <w:lang w:eastAsia="zh-CN"/>
        </w:rPr>
        <w:t xml:space="preserve">《</w:t>
      </w:r>
      <w:r>
        <w:rPr>
          <w:b/>
          <w:bCs/>
          <w:color w:val="000000" w:themeColor="text1"/>
          <w:spacing w:val="1"/>
          <w:sz w:val="21"/>
          <w:szCs w:val="21"/>
          <w:highlight w:val="none"/>
        </w:rPr>
        <w:t xml:space="preserve">工资发放</w:t>
      </w:r>
      <w:r>
        <w:rPr>
          <w:b/>
          <w:bCs/>
          <w:color w:val="000000" w:themeColor="text1"/>
          <w:sz w:val="21"/>
          <w:szCs w:val="21"/>
          <w:highlight w:val="none"/>
        </w:rPr>
        <w:t xml:space="preserve">计划表</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en-US" w:eastAsia="zh-CN"/>
        </w:rPr>
        <w:t xml:space="preserve">附件1）</w:t>
      </w:r>
      <w:r>
        <w:rPr>
          <w:b/>
          <w:bCs/>
          <w:color w:val="000000" w:themeColor="text1"/>
          <w:sz w:val="21"/>
          <w:szCs w:val="21"/>
          <w:highlight w:val="none"/>
        </w:rPr>
        <w:t xml:space="preserve">（包括工资、社</w:t>
      </w:r>
      <w:r>
        <w:rPr>
          <w:b/>
          <w:bCs/>
          <w:color w:val="000000" w:themeColor="text1"/>
          <w:spacing w:val="1"/>
          <w:sz w:val="21"/>
          <w:szCs w:val="21"/>
          <w:highlight w:val="none"/>
        </w:rPr>
        <w:t xml:space="preserve">保、公积金、福利、意外保险等）</w:t>
      </w:r>
      <w:r>
        <w:rPr>
          <w:rFonts w:hint="eastAsia"/>
          <w:b/>
          <w:bCs/>
          <w:color w:val="000000" w:themeColor="text1"/>
          <w:spacing w:val="1"/>
          <w:sz w:val="21"/>
          <w:szCs w:val="21"/>
          <w:highlight w:val="none"/>
          <w:lang w:val="en-US" w:eastAsia="zh-CN"/>
        </w:rPr>
        <w:t xml:space="preserve">并按时交与采购人</w:t>
      </w:r>
      <w:r>
        <w:rPr>
          <w:b/>
          <w:bCs/>
          <w:color w:val="000000" w:themeColor="text1"/>
          <w:spacing w:val="1"/>
          <w:sz w:val="21"/>
          <w:szCs w:val="21"/>
          <w:highlight w:val="none"/>
        </w:rPr>
        <w:t xml:space="preserve"> </w:t>
      </w:r>
      <w:r>
        <w:rPr>
          <w:rFonts w:ascii="宋体" w:hAnsi="宋体" w:eastAsia="宋体" w:cs="宋体"/>
          <w:color w:val="000000" w:themeColor="text1"/>
          <w:sz w:val="21"/>
          <w:szCs w:val="21"/>
          <w:highlight w:val="none"/>
        </w:rPr>
        <w:t xml:space="preserve">，公司利润控制在合理范围内，确保员工利益不受损害。若</w:t>
      </w:r>
      <w:r>
        <w:rPr>
          <w:rFonts w:hint="eastAsia" w:ascii="宋体" w:hAnsi="宋体" w:eastAsia="宋体" w:cs="宋体"/>
          <w:color w:val="000000" w:themeColor="text1"/>
          <w:sz w:val="21"/>
          <w:szCs w:val="21"/>
          <w:highlight w:val="none"/>
          <w:lang w:val="en-US" w:eastAsia="zh-CN"/>
        </w:rPr>
        <w:t xml:space="preserve">中标人</w:t>
      </w:r>
      <w:r>
        <w:rPr>
          <w:rFonts w:ascii="宋体" w:hAnsi="宋体" w:eastAsia="宋体" w:cs="宋体"/>
          <w:color w:val="000000" w:themeColor="text1"/>
          <w:sz w:val="21"/>
          <w:szCs w:val="21"/>
          <w:highlight w:val="none"/>
        </w:rPr>
        <w:t xml:space="preserve">编制的薪酬体系与中标后实际发放薪酬体系不一致的，采购人将依法追</w:t>
      </w:r>
      <w:r>
        <w:rPr>
          <w:rFonts w:ascii="宋体" w:hAnsi="宋体" w:eastAsia="宋体" w:cs="宋体"/>
          <w:color w:val="000000" w:themeColor="text1"/>
          <w:spacing w:val="-1"/>
          <w:sz w:val="21"/>
          <w:szCs w:val="21"/>
          <w:highlight w:val="none"/>
        </w:rPr>
        <w:t xml:space="preserve">究中标方相</w:t>
      </w:r>
      <w:r>
        <w:rPr>
          <w:rFonts w:ascii="宋体" w:hAnsi="宋体" w:eastAsia="宋体" w:cs="宋体"/>
          <w:color w:val="000000" w:themeColor="text1"/>
          <w:spacing w:val="10"/>
          <w:sz w:val="21"/>
          <w:szCs w:val="21"/>
          <w:highlight w:val="none"/>
        </w:rPr>
        <w:t xml:space="preserve">关法律责任。</w:t>
      </w:r>
      <w:r/>
    </w:p>
    <w:p>
      <w:pPr>
        <w:pStyle w:val="835"/>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（2）中标人向采购人提供保洁工人数不得少于1</w:t>
      </w:r>
      <w:r>
        <w:rPr>
          <w:rFonts w:ascii="宋体" w:hAnsi="宋体" w:eastAsia="宋体" w:cs="宋体"/>
          <w:color w:val="000000" w:themeColor="text1"/>
          <w:spacing w:val="-1"/>
          <w:sz w:val="21"/>
          <w:szCs w:val="21"/>
          <w:highlight w:val="none"/>
        </w:rPr>
        <w:t xml:space="preserve">01人（所有人员不得兼职），以日考勤签到为准，且证</w:t>
      </w:r>
      <w:r>
        <w:rPr>
          <w:rFonts w:ascii="宋体" w:hAnsi="宋体" w:eastAsia="宋体" w:cs="宋体"/>
          <w:color w:val="000000" w:themeColor="text1"/>
          <w:sz w:val="21"/>
          <w:szCs w:val="21"/>
          <w:highlight w:val="none"/>
        </w:rPr>
        <w:t xml:space="preserve">件齐全、有效，所有保洁人员的劳动关系由中标人负责签订。人员出现不足时，限</w:t>
      </w:r>
      <w:r>
        <w:rPr>
          <w:rFonts w:ascii="宋体" w:hAnsi="宋体" w:eastAsia="宋体" w:cs="宋体"/>
          <w:color w:val="000000" w:themeColor="text1"/>
          <w:spacing w:val="-1"/>
          <w:sz w:val="21"/>
          <w:szCs w:val="21"/>
          <w:highlight w:val="none"/>
        </w:rPr>
        <w:t xml:space="preserve">期一个月内完成补充</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w:t>
      </w:r>
      <w:r>
        <w:rPr>
          <w:rFonts w:hint="eastAsia" w:eastAsia="宋体"/>
          <w:color w:val="000000" w:themeColor="text1"/>
          <w:highlight w:val="none"/>
          <w:lang w:val="en-US" w:eastAsia="zh-CN"/>
        </w:rPr>
        <w:t xml:space="preserve">补充的人员应当符合招标文件要求，且不得低于投标时的承诺。</w:t>
      </w:r>
      <w:r>
        <w:rPr>
          <w:rFonts w:ascii="宋体" w:hAnsi="宋体" w:eastAsia="宋体" w:cs="宋体"/>
          <w:color w:val="000000" w:themeColor="text1"/>
          <w:spacing w:val="23"/>
          <w:sz w:val="21"/>
          <w:szCs w:val="21"/>
          <w:highlight w:val="none"/>
        </w:rPr>
        <w:t xml:space="preserve">因长期补充不到位的，按考核办法进行处罚。</w:t>
      </w:r>
      <w:r/>
    </w:p>
    <w:p>
      <w:pPr>
        <w:ind w:left="21" w:right="87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（3）中标人的工作人员必须定岗、定员、统一服装、佩戴胸卡，按</w:t>
      </w:r>
      <w:r>
        <w:rPr>
          <w:rFonts w:ascii="宋体" w:hAnsi="宋体" w:eastAsia="宋体" w:cs="宋体"/>
          <w:color w:val="000000" w:themeColor="text1"/>
          <w:spacing w:val="-1"/>
          <w:sz w:val="21"/>
          <w:szCs w:val="21"/>
          <w:highlight w:val="none"/>
        </w:rPr>
        <w:t xml:space="preserve">标准化要求，制定并落实切实可行</w:t>
      </w:r>
      <w:r>
        <w:rPr>
          <w:rFonts w:ascii="宋体" w:hAnsi="宋体" w:eastAsia="宋体" w:cs="宋体"/>
          <w:color w:val="000000" w:themeColor="text1"/>
          <w:spacing w:val="14"/>
          <w:sz w:val="21"/>
          <w:szCs w:val="21"/>
          <w:highlight w:val="none"/>
        </w:rPr>
        <w:t xml:space="preserve">的计划和规范的流程进行保洁；</w:t>
      </w:r>
      <w:r/>
    </w:p>
    <w:p>
      <w:pPr>
        <w:ind w:left="9" w:right="884" w:firstLine="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（4）中标人派入采购人的保洁人员必须进行安</w:t>
      </w:r>
      <w:r>
        <w:rPr>
          <w:rFonts w:ascii="宋体" w:hAnsi="宋体" w:eastAsia="宋体" w:cs="宋体"/>
          <w:color w:val="000000" w:themeColor="text1"/>
          <w:spacing w:val="-1"/>
          <w:sz w:val="21"/>
          <w:szCs w:val="21"/>
          <w:highlight w:val="none"/>
        </w:rPr>
        <w:t xml:space="preserve">全保密思想教育，文明作业，礼貌用语，签订保密承诺</w:t>
      </w:r>
      <w:r>
        <w:rPr>
          <w:rFonts w:ascii="宋体" w:hAnsi="宋体" w:eastAsia="宋体" w:cs="宋体"/>
          <w:color w:val="000000" w:themeColor="text1"/>
          <w:spacing w:val="11"/>
          <w:sz w:val="21"/>
          <w:szCs w:val="21"/>
          <w:highlight w:val="none"/>
        </w:rPr>
        <w:t xml:space="preserve">书，报采购人存档；</w:t>
      </w:r>
      <w:r/>
    </w:p>
    <w:p>
      <w:pPr>
        <w:ind w:left="4" w:right="920"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（5）中标人对员工要定期进行职业道德、政治面貌、技能素质、</w:t>
      </w:r>
      <w:r>
        <w:rPr>
          <w:rFonts w:ascii="宋体" w:hAnsi="宋体" w:eastAsia="宋体" w:cs="宋体"/>
          <w:color w:val="000000" w:themeColor="text1"/>
          <w:spacing w:val="-2"/>
          <w:sz w:val="21"/>
          <w:szCs w:val="21"/>
          <w:highlight w:val="none"/>
        </w:rPr>
        <w:t xml:space="preserve">质量标准、规范服务的培训和教育，</w:t>
      </w:r>
      <w:r>
        <w:rPr>
          <w:rFonts w:ascii="宋体" w:hAnsi="宋体" w:eastAsia="宋体" w:cs="宋体"/>
          <w:color w:val="000000" w:themeColor="text1"/>
          <w:spacing w:val="16"/>
          <w:sz w:val="21"/>
          <w:szCs w:val="21"/>
          <w:highlight w:val="none"/>
        </w:rPr>
        <w:t xml:space="preserve">严格执行采购方的规章制度和有关规定；</w:t>
      </w:r>
      <w:r/>
    </w:p>
    <w:p>
      <w:pPr>
        <w:ind w:left="9" w:right="41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（6）中标人要以先进的管理模式为基础，以 </w:t>
      </w:r>
      <w:r>
        <w:rPr>
          <w:rFonts w:ascii="宋体" w:hAnsi="宋体" w:eastAsia="宋体" w:cs="宋体"/>
          <w:color w:val="000000" w:themeColor="text1"/>
          <w:spacing w:val="-1"/>
          <w:sz w:val="21"/>
          <w:szCs w:val="21"/>
          <w:highlight w:val="none"/>
        </w:rPr>
        <w:t xml:space="preserve">AI</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
          <w:sz w:val="21"/>
          <w:szCs w:val="21"/>
          <w:highlight w:val="none"/>
        </w:rPr>
        <w:t xml:space="preserve">智能为手段进行全流程管理并建立完善的电子台账，落</w:t>
      </w:r>
      <w:r>
        <w:rPr>
          <w:rFonts w:ascii="宋体" w:hAnsi="宋体" w:eastAsia="宋体" w:cs="宋体"/>
          <w:color w:val="000000" w:themeColor="text1"/>
          <w:sz w:val="21"/>
          <w:szCs w:val="21"/>
          <w:highlight w:val="none"/>
        </w:rPr>
        <w:t xml:space="preserve">实信息化、智能化（派工、巡查检查、结果上传及智能保洁设备等）精</w:t>
      </w:r>
      <w:r>
        <w:rPr>
          <w:rFonts w:ascii="宋体" w:hAnsi="宋体" w:eastAsia="宋体" w:cs="宋体"/>
          <w:color w:val="000000" w:themeColor="text1"/>
          <w:spacing w:val="-1"/>
          <w:sz w:val="21"/>
          <w:szCs w:val="21"/>
          <w:highlight w:val="none"/>
        </w:rPr>
        <w:t xml:space="preserve">细化、标准化管理，进行规范化</w:t>
      </w:r>
      <w:r/>
    </w:p>
    <w:p>
      <w:pPr>
        <w:ind w:left="2" w:right="770" w:firstLine="19"/>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的服务，并根据采购人办公楼的实际情况及要求制定保洁工作的计划流程，合同周期内打造成具有行业</w:t>
      </w:r>
      <w:r>
        <w:rPr>
          <w:rFonts w:ascii="宋体" w:hAnsi="宋体" w:eastAsia="宋体" w:cs="宋体"/>
          <w:color w:val="000000" w:themeColor="text1"/>
          <w:spacing w:val="16"/>
          <w:sz w:val="21"/>
          <w:szCs w:val="21"/>
          <w:highlight w:val="none"/>
        </w:rPr>
        <w:t xml:space="preserve">特色的自主品牌和市民中心的亮点工程；</w:t>
      </w:r>
      <w:r/>
    </w:p>
    <w:p>
      <w:pPr>
        <w:ind w:left="9" w:right="770" w:firstLine="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（7）中标人要选派优秀的管理人员对保洁现场</w:t>
      </w:r>
      <w:r>
        <w:rPr>
          <w:rFonts w:ascii="宋体" w:hAnsi="宋体" w:eastAsia="宋体" w:cs="宋体"/>
          <w:color w:val="000000" w:themeColor="text1"/>
          <w:spacing w:val="-1"/>
          <w:sz w:val="21"/>
          <w:szCs w:val="21"/>
          <w:highlight w:val="none"/>
        </w:rPr>
        <w:t xml:space="preserve">的工作进行指导和管理，问题整改要及时，无投诉、无</w:t>
      </w:r>
      <w:r>
        <w:rPr>
          <w:rFonts w:ascii="宋体" w:hAnsi="宋体" w:eastAsia="宋体" w:cs="宋体"/>
          <w:color w:val="000000" w:themeColor="text1"/>
          <w:sz w:val="21"/>
          <w:szCs w:val="21"/>
          <w:highlight w:val="none"/>
        </w:rPr>
        <w:t xml:space="preserve">安全责任事故，另中标人公司层面需每月对现场保洁情况进行一次随机</w:t>
      </w:r>
      <w:r>
        <w:rPr>
          <w:rFonts w:ascii="宋体" w:hAnsi="宋体" w:eastAsia="宋体" w:cs="宋体"/>
          <w:color w:val="000000" w:themeColor="text1"/>
          <w:spacing w:val="-1"/>
          <w:sz w:val="21"/>
          <w:szCs w:val="21"/>
          <w:highlight w:val="none"/>
        </w:rPr>
        <w:t xml:space="preserve">抽查，采购人每月不定期组织一</w:t>
      </w:r>
      <w:r>
        <w:rPr>
          <w:rFonts w:ascii="宋体" w:hAnsi="宋体" w:eastAsia="宋体" w:cs="宋体"/>
          <w:color w:val="000000" w:themeColor="text1"/>
          <w:spacing w:val="17"/>
          <w:sz w:val="21"/>
          <w:szCs w:val="21"/>
          <w:highlight w:val="none"/>
        </w:rPr>
        <w:t xml:space="preserve">次抽样检查并作为考核依据，同时下发整改通知单；</w:t>
      </w:r>
      <w:r/>
    </w:p>
    <w:p>
      <w:pPr>
        <w:ind w:left="3" w:right="875" w:firstLine="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（8）中标人派入采购人的一切人员，如有发生违反采购方规章制度</w:t>
      </w:r>
      <w:r>
        <w:rPr>
          <w:rFonts w:ascii="宋体" w:hAnsi="宋体" w:eastAsia="宋体" w:cs="宋体"/>
          <w:color w:val="000000" w:themeColor="text1"/>
          <w:spacing w:val="-1"/>
          <w:sz w:val="21"/>
          <w:szCs w:val="21"/>
          <w:highlight w:val="none"/>
        </w:rPr>
        <w:t xml:space="preserve">或者有关方面的条例时，采购人有</w:t>
      </w:r>
      <w:r>
        <w:rPr>
          <w:rFonts w:ascii="宋体" w:hAnsi="宋体" w:eastAsia="宋体" w:cs="宋体"/>
          <w:color w:val="000000" w:themeColor="text1"/>
          <w:spacing w:val="19"/>
          <w:sz w:val="21"/>
          <w:szCs w:val="21"/>
          <w:highlight w:val="none"/>
        </w:rPr>
        <w:t xml:space="preserve">权要求提出更换人员，投标方全力配合，主动接受采购人的意见和监督</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w:t>
      </w:r>
      <w:r/>
    </w:p>
    <w:p>
      <w:pPr>
        <w:ind w:left="5" w:right="770"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（9）中标人进驻前，应充分做好入场前的准</w:t>
      </w:r>
      <w:r>
        <w:rPr>
          <w:rFonts w:ascii="宋体" w:hAnsi="宋体" w:eastAsia="宋体" w:cs="宋体"/>
          <w:color w:val="000000" w:themeColor="text1"/>
          <w:spacing w:val="-1"/>
          <w:sz w:val="21"/>
          <w:szCs w:val="21"/>
          <w:highlight w:val="none"/>
        </w:rPr>
        <w:t xml:space="preserve">备工作，并负责保洁所需的工具、设备、易耗品和机械设</w:t>
      </w:r>
      <w:r>
        <w:rPr>
          <w:rFonts w:ascii="宋体" w:hAnsi="宋体" w:eastAsia="宋体" w:cs="宋体"/>
          <w:color w:val="000000" w:themeColor="text1"/>
          <w:sz w:val="21"/>
          <w:szCs w:val="21"/>
          <w:highlight w:val="none"/>
        </w:rPr>
        <w:t xml:space="preserve">备的更新等，确保按时入场（包括但不限于现场勘察、物资清点、保洁及办公</w:t>
      </w:r>
      <w:r>
        <w:rPr>
          <w:rFonts w:ascii="宋体" w:hAnsi="宋体" w:eastAsia="宋体" w:cs="宋体"/>
          <w:color w:val="000000" w:themeColor="text1"/>
          <w:spacing w:val="-1"/>
          <w:sz w:val="21"/>
          <w:szCs w:val="21"/>
          <w:highlight w:val="none"/>
        </w:rPr>
        <w:t xml:space="preserve">所需物资器材采购、人员</w:t>
      </w:r>
      <w:r>
        <w:rPr>
          <w:rFonts w:ascii="宋体" w:hAnsi="宋体" w:eastAsia="宋体" w:cs="宋体"/>
          <w:color w:val="000000" w:themeColor="text1"/>
          <w:spacing w:val="9"/>
          <w:sz w:val="21"/>
          <w:szCs w:val="21"/>
          <w:highlight w:val="none"/>
        </w:rPr>
        <w:t xml:space="preserve">招聘等）。</w:t>
      </w:r>
      <w:r/>
    </w:p>
    <w:p>
      <w:pPr>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（10）中标人在保洁工作中如因中标方责任而造成采购方损失的，应该负责修</w:t>
      </w:r>
      <w:r>
        <w:rPr>
          <w:rFonts w:ascii="宋体" w:hAnsi="宋体" w:eastAsia="宋体" w:cs="宋体"/>
          <w:color w:val="000000" w:themeColor="text1"/>
          <w:spacing w:val="18"/>
          <w:sz w:val="21"/>
          <w:szCs w:val="21"/>
          <w:highlight w:val="none"/>
        </w:rPr>
        <w:t xml:space="preserve">复或赔偿；</w:t>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（11）如中标人违反承诺和服务标准，各岗位人数、</w:t>
      </w:r>
      <w:r>
        <w:rPr>
          <w:rFonts w:ascii="宋体" w:hAnsi="宋体" w:eastAsia="宋体" w:cs="宋体"/>
          <w:color w:val="000000" w:themeColor="text1"/>
          <w:spacing w:val="-1"/>
          <w:sz w:val="21"/>
          <w:szCs w:val="21"/>
          <w:highlight w:val="none"/>
        </w:rPr>
        <w:t xml:space="preserve">工资水平低于同类型标准及未实现全员参保，造成</w:t>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服务不达标业主投诉率提高，采购人可依据合同约定进行处理，造成的影响和损失由</w:t>
      </w:r>
      <w:r>
        <w:rPr>
          <w:rFonts w:hint="eastAsia" w:ascii="宋体" w:hAnsi="宋体" w:eastAsia="宋体" w:cs="宋体"/>
          <w:color w:val="000000" w:themeColor="text1"/>
          <w:spacing w:val="19"/>
          <w:sz w:val="21"/>
          <w:szCs w:val="21"/>
          <w:highlight w:val="none"/>
          <w:lang w:val="en-US" w:eastAsia="zh-CN"/>
        </w:rPr>
        <w:t xml:space="preserve">中标</w:t>
      </w:r>
      <w:r>
        <w:rPr>
          <w:rFonts w:ascii="宋体" w:hAnsi="宋体" w:eastAsia="宋体" w:cs="宋体"/>
          <w:color w:val="000000" w:themeColor="text1"/>
          <w:spacing w:val="19"/>
          <w:sz w:val="21"/>
          <w:szCs w:val="21"/>
          <w:highlight w:val="none"/>
        </w:rPr>
        <w:t xml:space="preserve">人承担；</w:t>
      </w:r>
      <w:r/>
    </w:p>
    <w:p>
      <w:pPr>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（12）中标人不得转包分包或部分转包分包，不得采用公司挂靠方式承担中心</w:t>
      </w:r>
      <w:r>
        <w:rPr>
          <w:rFonts w:ascii="宋体" w:hAnsi="宋体" w:eastAsia="宋体" w:cs="宋体"/>
          <w:color w:val="000000" w:themeColor="text1"/>
          <w:spacing w:val="18"/>
          <w:sz w:val="21"/>
          <w:szCs w:val="21"/>
          <w:highlight w:val="none"/>
        </w:rPr>
        <w:t xml:space="preserve">保洁服务；</w:t>
      </w:r>
      <w:r/>
    </w:p>
    <w:p>
      <w:pPr>
        <w:ind w:left="26" w:right="815" w:hanging="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（13）总费用中已包含设备更新费用，中标人每年按计划更新机械</w:t>
      </w:r>
      <w:r>
        <w:rPr>
          <w:rFonts w:ascii="宋体" w:hAnsi="宋体" w:eastAsia="宋体" w:cs="宋体"/>
          <w:color w:val="000000" w:themeColor="text1"/>
          <w:spacing w:val="-2"/>
          <w:sz w:val="21"/>
          <w:szCs w:val="21"/>
          <w:highlight w:val="none"/>
        </w:rPr>
        <w:t xml:space="preserve">设备（室内洗涤机、室外扫地车），</w:t>
      </w:r>
      <w:r>
        <w:rPr>
          <w:rFonts w:ascii="宋体" w:hAnsi="宋体" w:eastAsia="宋体" w:cs="宋体"/>
          <w:color w:val="000000" w:themeColor="text1"/>
          <w:spacing w:val="14"/>
          <w:sz w:val="21"/>
          <w:szCs w:val="21"/>
          <w:highlight w:val="none"/>
        </w:rPr>
        <w:t xml:space="preserve">以确保保洁工作正常进行。</w:t>
      </w:r>
      <w:r/>
    </w:p>
    <w:p>
      <w:pPr>
        <w:ind w:left="4" w:right="779"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（14）每年采购人对中标人服务质量进行综合考</w:t>
      </w:r>
      <w:r>
        <w:rPr>
          <w:rFonts w:ascii="宋体" w:hAnsi="宋体" w:eastAsia="宋体" w:cs="宋体"/>
          <w:color w:val="000000" w:themeColor="text1"/>
          <w:spacing w:val="-1"/>
          <w:sz w:val="21"/>
          <w:szCs w:val="21"/>
          <w:highlight w:val="none"/>
        </w:rPr>
        <w:t xml:space="preserve">核，不合格者，采购人有权依照法律程序解除合同，并</w:t>
      </w:r>
      <w:r>
        <w:rPr>
          <w:rFonts w:ascii="宋体" w:hAnsi="宋体" w:eastAsia="宋体" w:cs="宋体"/>
          <w:color w:val="000000" w:themeColor="text1"/>
          <w:spacing w:val="15"/>
          <w:sz w:val="21"/>
          <w:szCs w:val="21"/>
          <w:highlight w:val="none"/>
        </w:rPr>
        <w:t xml:space="preserve">追究中标人的违约责任。</w:t>
      </w:r>
      <w:r/>
    </w:p>
    <w:p>
      <w:pPr>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（15）采购人提供卫生间的卫生纸、卫生球、洗手液、卫生香、垃圾袋及相关</w:t>
      </w:r>
      <w:r>
        <w:rPr>
          <w:rFonts w:ascii="宋体" w:hAnsi="宋体" w:eastAsia="宋体" w:cs="宋体"/>
          <w:color w:val="000000" w:themeColor="text1"/>
          <w:spacing w:val="18"/>
          <w:sz w:val="21"/>
          <w:szCs w:val="21"/>
          <w:highlight w:val="none"/>
        </w:rPr>
        <w:t xml:space="preserve">防疫物资；</w:t>
      </w:r>
      <w:r/>
    </w:p>
    <w:p>
      <w:pPr>
        <w:ind w:left="8" w:right="1019" w:firstLine="5"/>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（16）登高作业必须执行有关安全规定和要求，</w:t>
      </w:r>
      <w:r>
        <w:rPr>
          <w:rFonts w:ascii="宋体" w:hAnsi="宋体" w:eastAsia="宋体" w:cs="宋体"/>
          <w:color w:val="000000" w:themeColor="text1"/>
          <w:spacing w:val="-1"/>
          <w:sz w:val="21"/>
          <w:szCs w:val="21"/>
          <w:highlight w:val="none"/>
        </w:rPr>
        <w:t xml:space="preserve">如违反高空操作安全要求而造成伤亡事故的，由中标人</w:t>
      </w:r>
      <w:r>
        <w:rPr>
          <w:rFonts w:ascii="宋体" w:hAnsi="宋体" w:eastAsia="宋体" w:cs="宋体"/>
          <w:color w:val="000000" w:themeColor="text1"/>
          <w:spacing w:val="5"/>
          <w:sz w:val="21"/>
          <w:szCs w:val="21"/>
          <w:highlight w:val="none"/>
        </w:rPr>
        <w:t xml:space="preserve">全面负责；</w:t>
      </w:r>
      <w:r/>
    </w:p>
    <w:p>
      <w:pPr>
        <w:ind w:left="6" w:right="1046"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（17）中标人按资产管理要求，对采购人提供的资产进行全寿命周期管理，未经采购方同意</w:t>
      </w:r>
      <w:r>
        <w:rPr>
          <w:rFonts w:ascii="宋体" w:hAnsi="宋体" w:eastAsia="宋体" w:cs="宋体"/>
          <w:color w:val="000000" w:themeColor="text1"/>
          <w:spacing w:val="-2"/>
          <w:sz w:val="21"/>
          <w:szCs w:val="21"/>
          <w:highlight w:val="none"/>
        </w:rPr>
        <w:t xml:space="preserve">，不得私自</w:t>
      </w:r>
      <w:r>
        <w:rPr>
          <w:rFonts w:ascii="宋体" w:hAnsi="宋体" w:eastAsia="宋体" w:cs="宋体"/>
          <w:color w:val="000000" w:themeColor="text1"/>
          <w:spacing w:val="5"/>
          <w:sz w:val="21"/>
          <w:szCs w:val="21"/>
          <w:highlight w:val="none"/>
        </w:rPr>
        <w:t xml:space="preserve">报废资产；</w:t>
      </w:r>
      <w:r/>
    </w:p>
    <w:p>
      <w:pPr>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（18）完成采购人交办的临时工作。</w:t>
      </w: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5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p>
    <w:p>
      <w:pPr>
        <w:ind w:left="7" w:right="42"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p>
    <w:p>
      <w:pPr>
        <w:ind w:left="7" w:right="156" w:firstLine="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p>
    <w:p>
      <w:pPr>
        <w:ind w:left="11"/>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p>
    <w:p>
      <w:pPr>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p>
    <w:p>
      <w:pPr>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z w:val="21"/>
          <w:highlight w:val="none"/>
          <w:shd w:val="clear" w:color="auto" w:fill="auto"/>
          <w:lang w:val="en-US" w:eastAsia="zh-CN"/>
        </w:rPr>
        <w:t xml:space="preserve">自合同签订生效之日起3年。</w:t>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宋体" w:hAnsi="宋体" w:eastAsia="宋体" w:cs="宋体"/>
          <w:color w:val="000000" w:themeColor="text1"/>
          <w:spacing w:val="5"/>
          <w:sz w:val="21"/>
          <w:szCs w:val="21"/>
          <w:highlight w:val="none"/>
        </w:rPr>
        <w:t xml:space="preserve">采购方按月支付上月服务外包费用，</w:t>
      </w:r>
      <w:r>
        <w:rPr>
          <w:rFonts w:hint="eastAsia" w:ascii="宋体" w:hAnsi="宋体" w:eastAsia="宋体" w:cs="宋体"/>
          <w:color w:val="000000" w:themeColor="text1"/>
          <w:spacing w:val="5"/>
          <w:sz w:val="21"/>
          <w:szCs w:val="21"/>
          <w:highlight w:val="none"/>
          <w:lang w:val="en-US" w:eastAsia="zh-CN"/>
        </w:rPr>
        <w:t xml:space="preserve">经</w:t>
      </w:r>
      <w:r>
        <w:rPr>
          <w:rFonts w:hint="eastAsia" w:ascii="宋体" w:hAnsi="宋体" w:eastAsia="宋体" w:cs="宋体"/>
          <w:color w:val="000000" w:themeColor="text1"/>
          <w:spacing w:val="5"/>
          <w:sz w:val="21"/>
          <w:szCs w:val="21"/>
          <w:highlight w:val="none"/>
        </w:rPr>
        <w:t xml:space="preserve">采购人日常考核后，开具正式发票，发票名称必须与中标单位一致</w:t>
      </w:r>
      <w:r>
        <w:rPr>
          <w:rFonts w:hint="eastAsia" w:ascii="宋体" w:hAnsi="宋体" w:eastAsia="宋体" w:cs="宋体"/>
          <w:color w:val="000000" w:themeColor="text1"/>
          <w:spacing w:val="5"/>
          <w:sz w:val="21"/>
          <w:szCs w:val="21"/>
          <w:highlight w:val="none"/>
          <w:lang w:eastAsia="zh-CN"/>
        </w:rPr>
        <w:t xml:space="preserve">。</w:t>
      </w:r>
      <w:r/>
    </w:p>
    <w:p>
      <w:pPr>
        <w:ind w:left="9" w:right="42"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p>
    <w:p>
      <w:pPr>
        <w:ind w:left="8" w:right="4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p>
    <w:p>
      <w:pPr>
        <w:ind w:left="8" w:right="12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p>
    <w:p>
      <w:pPr>
        <w:ind w:left="8" w:firstLine="1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p>
    <w:p>
      <w:pPr>
        <w:ind w:left="2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p>
    <w:p>
      <w:pPr>
        <w:pStyle w:val="836"/>
        <w:keepLines w:val="0"/>
        <w:keepNext w:val="0"/>
        <w:pageBreakBefore w:val="0"/>
        <w:spacing w:before="11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p>
    <w:p>
      <w:pPr>
        <w:ind w:left="4" w:right="42"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p>
    <w:p>
      <w:pPr>
        <w:ind w:left="23" w:right="42" w:hanging="1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p>
    <w:p>
      <w:pPr>
        <w:ind w:left="8" w:right="42" w:hanging="2"/>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p>
    <w:p>
      <w:pPr>
        <w:ind w:left="7"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p>
    <w:p>
      <w:pPr>
        <w:ind w:left="5" w:right="105" w:firstLine="5"/>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w:t>
      </w:r>
      <w:r/>
    </w:p>
    <w:p>
      <w:pPr>
        <w:ind w:left="16" w:right="4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bookmarkStart w:id="7" w:name="bookmark10"/>
      <w:r/>
      <w:bookmarkEnd w:id="7"/>
      <w:r>
        <w:rPr>
          <w:rFonts w:ascii="宋体" w:hAnsi="宋体" w:eastAsia="宋体" w:cs="宋体"/>
          <w:color w:val="000000" w:themeColor="text1"/>
          <w:spacing w:val="20"/>
          <w:sz w:val="21"/>
          <w:szCs w:val="21"/>
          <w:highlight w:val="none"/>
        </w:rPr>
        <w:t xml:space="preserve">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p>
    <w:p>
      <w:pPr>
        <w:ind w:left="19" w:right="126" w:hanging="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p>
    <w:p>
      <w:pPr>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p>
    <w:p>
      <w:pPr>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p>
    <w:p>
      <w:pPr>
        <w:ind w:left="47" w:hanging="13"/>
        <w:keepLines w:val="0"/>
        <w:keepNext w:val="0"/>
        <w:pageBreakBefore w:val="0"/>
        <w:spacing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p>
    <w:p>
      <w:pPr>
        <w:ind w:left="16" w:right="42"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p>
    <w:p>
      <w:pPr>
        <w:ind w:left="17"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p>
    <w:p>
      <w:pPr>
        <w:ind w:left="15" w:right="42" w:firstLine="1"/>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p>
    <w:p>
      <w:pPr>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p>
    <w:p>
      <w:pPr>
        <w:ind w:left="14"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p>
    <w:p>
      <w:pPr>
        <w:ind w:left="15" w:right="42" w:firstLine="1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p>
    <w:p>
      <w:pPr>
        <w:ind w:left="16" w:right="21" w:hanging="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p>
    <w:p>
      <w:pPr>
        <w:ind w:left="3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p>
    <w:p>
      <w:pPr>
        <w:ind w:left="15" w:right="4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p>
    <w:p>
      <w:pPr>
        <w:ind w:left="31"/>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w:t>
      </w:r>
      <w:r/>
    </w:p>
    <w:p>
      <w:pPr>
        <w:ind w:left="1"/>
        <w:jc w:val="both"/>
        <w:keepLines w:val="0"/>
        <w:keepNext w:val="0"/>
        <w:pageBreakBefore w:val="0"/>
        <w:spacing w:before="4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22"/>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ind w:right="9" w:firstLine="17"/>
        <w:jc w:val="both"/>
        <w:keepLines w:val="0"/>
        <w:keepNext w:val="0"/>
        <w:pageBreakBefore w:val="0"/>
        <w:spacing w:before="13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p>
    <w:p>
      <w:pPr>
        <w:ind w:left="1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根据财库〔2026〕10号相关要求，</w:t>
      </w:r>
      <w:r>
        <w:rPr>
          <w:rFonts w:ascii="宋体" w:hAnsi="宋体" w:eastAsia="宋体" w:cs="宋体"/>
          <w:color w:val="000000" w:themeColor="text1"/>
          <w:spacing w:val="19"/>
          <w:sz w:val="21"/>
          <w:szCs w:val="21"/>
          <w:highlight w:val="none"/>
        </w:rPr>
        <w:t xml:space="preserve">在政府采购活动中不得采购该文中规定的相关企业生成的产品</w:t>
      </w:r>
      <w:r/>
    </w:p>
    <w:p>
      <w:pPr>
        <w:ind w:left="22"/>
        <w:keepLines w:val="0"/>
        <w:keepNext w:val="0"/>
        <w:pageBreakBefore w:val="0"/>
        <w:spacing w:before="263"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pStyle w:val="836"/>
        <w:ind w:left="2344"/>
        <w:keepLines w:val="0"/>
        <w:keepNext w:val="0"/>
        <w:pageBreakBefore w:val="0"/>
        <w:spacing w:before="107" w:line="213" w:lineRule="auto"/>
        <w:widowControl/>
        <w:rPr>
          <w:color w:val="000000" w:themeColor="text1"/>
          <w:sz w:val="44"/>
          <w:szCs w:val="44"/>
          <w:highlight w:val="none"/>
        </w:rPr>
        <w:outlineLvl w:val="0"/>
      </w:pPr>
      <w:r/>
      <w:bookmarkStart w:id="8" w:name="bookmark5"/>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p>
    <w:p>
      <w:pPr>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p>
    <w:p>
      <w:pPr>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p>
    <w:p>
      <w:pPr>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p>
    <w:p>
      <w:pPr>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p>
    <w:p>
      <w:pPr>
        <w:pStyle w:val="836"/>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p>
    <w:p>
      <w:pPr>
        <w:pStyle w:val="836"/>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p>
    <w:p>
      <w:pPr>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p>
    <w:p>
      <w:pPr>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p>
    <w:p>
      <w:pPr>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p>
    <w:p>
      <w:pPr>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p>
    <w:p>
      <w:pPr>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p>
    <w:p>
      <w:pPr>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p>
    <w:p>
      <w:pPr>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p>
    <w:p>
      <w:pPr>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p>
    <w:p>
      <w:pPr>
        <w:pStyle w:val="836"/>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p>
    <w:p>
      <w:pPr>
        <w:pStyle w:val="836"/>
        <w:ind w:left="27" w:right="86"/>
        <w:keepLines w:val="0"/>
        <w:keepNext w:val="0"/>
        <w:pageBreakBefore w:val="0"/>
        <w:spacing w:before="55" w:line="258" w:lineRule="auto"/>
        <w:widowControl/>
        <w:rPr>
          <w:color w:val="000000" w:themeColor="text1"/>
          <w:sz w:val="21"/>
          <w:szCs w:val="21"/>
          <w:highlight w:val="none"/>
        </w:rPr>
      </w:pPr>
      <w:r>
        <w:rPr>
          <w:b/>
          <w:bCs/>
          <w:color w:val="000000" w:themeColor="text1"/>
          <w:spacing w:val="21"/>
          <w:sz w:val="21"/>
          <w:szCs w:val="21"/>
          <w:highlight w:val="none"/>
          <w:u w:val="single"/>
          <w:shd w:val="clear" w:color="auto" w:fill="50e3c2"/>
        </w:rPr>
        <w:t xml:space="preserve">特别注意：本项目采用暗标形式，投标人须</w:t>
      </w:r>
      <w:r>
        <w:rPr>
          <w:b/>
          <w:bCs/>
          <w:color w:val="000000" w:themeColor="text1"/>
          <w:spacing w:val="20"/>
          <w:sz w:val="21"/>
          <w:szCs w:val="21"/>
          <w:highlight w:val="none"/>
          <w:u w:val="single"/>
          <w:shd w:val="clear" w:color="auto" w:fill="50e3c2"/>
        </w:rPr>
        <w:t xml:space="preserve">对商务部分和技术部分分别进行制作。其中技术部分属于暗</w:t>
      </w:r>
      <w:r>
        <w:rPr>
          <w:b/>
          <w:bCs/>
          <w:color w:val="000000" w:themeColor="text1"/>
          <w:spacing w:val="17"/>
          <w:sz w:val="21"/>
          <w:szCs w:val="21"/>
          <w:highlight w:val="none"/>
          <w:u w:val="single"/>
          <w:shd w:val="clear" w:color="auto" w:fill="50e3c2"/>
        </w:rPr>
        <w:t xml:space="preserve">标，投标人在制作技术部分相关内容时不得有体现投</w:t>
      </w:r>
      <w:r>
        <w:rPr>
          <w:b/>
          <w:bCs/>
          <w:color w:val="000000" w:themeColor="text1"/>
          <w:spacing w:val="16"/>
          <w:sz w:val="21"/>
          <w:szCs w:val="21"/>
          <w:highlight w:val="none"/>
          <w:u w:val="single"/>
          <w:shd w:val="clear" w:color="auto" w:fill="50e3c2"/>
        </w:rPr>
        <w:t xml:space="preserve">标人身份的内容，否则投标无效。</w:t>
      </w:r>
      <w:r>
        <w:rPr>
          <w:b/>
          <w:bCs/>
          <w:color w:val="000000" w:themeColor="text1"/>
          <w:sz w:val="21"/>
          <w:szCs w:val="21"/>
          <w:highlight w:val="none"/>
          <w:u w:val="single"/>
          <w:shd w:val="clear" w:color="auto" w:fill="50e3c2"/>
        </w:rPr>
        <w:t xml:space="preserve">   </w:t>
      </w:r>
      <w:r/>
    </w:p>
    <w:p>
      <w:pPr>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p>
    <w:p>
      <w:pPr>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p>
    <w:p>
      <w:pPr>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p>
    <w:p>
      <w:pPr>
        <w:pStyle w:val="836"/>
        <w:ind w:left="26"/>
        <w:keepLines w:val="0"/>
        <w:keepNext w:val="0"/>
        <w:pageBreakBefore w:val="0"/>
        <w:spacing w:before="91" w:line="215" w:lineRule="auto"/>
        <w:widowControl/>
        <w:rPr>
          <w:rFonts w:ascii="Arial"/>
          <w:color w:val="000000" w:themeColor="text1"/>
          <w:sz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采购包1</w:t>
      </w:r>
      <w:r/>
    </w:p>
    <w:p>
      <w:pPr>
        <w:pStyle w:val="836"/>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p>
    <w:p>
      <w:pPr>
        <w:keepLines w:val="0"/>
        <w:keepNext w:val="0"/>
        <w:pageBreakBefore w:val="0"/>
        <w:spacing w:before="119"/>
        <w:widowControl/>
        <w:rPr>
          <w:color w:val="000000" w:themeColor="text1"/>
          <w:highlight w:val="none"/>
        </w:rPr>
      </w:pPr>
      <w:r>
        <w:rPr>
          <w:color w:val="000000" w:themeColor="text1"/>
          <w:highlight w:val="none"/>
        </w:rPr>
      </w:r>
      <w:r/>
    </w:p>
    <w:tbl>
      <w:tblPr>
        <w:tblStyle w:val="84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4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p>
        </w:tc>
        <w:tc>
          <w:tcPr>
            <w:tcW w:w="6135" w:type="dxa"/>
            <w:vAlign w:val="top"/>
            <w:textDirection w:val="lrTb"/>
            <w:noWrap w:val="false"/>
          </w:tcPr>
          <w:p>
            <w:pPr>
              <w:pStyle w:val="84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p>
        </w:tc>
        <w:tc>
          <w:tcPr>
            <w:tcW w:w="1235" w:type="dxa"/>
            <w:vAlign w:val="top"/>
            <w:textDirection w:val="lrTb"/>
            <w:noWrap w:val="false"/>
          </w:tcPr>
          <w:p>
            <w:pPr>
              <w:pStyle w:val="84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p>
        </w:tc>
      </w:tr>
      <w:tr>
        <w:trPr>
          <w:trHeight w:val="2994"/>
        </w:trPr>
        <w:tc>
          <w:tcPr>
            <w:tcW w:w="3075" w:type="dxa"/>
            <w:vAlign w:val="top"/>
            <w:textDirection w:val="lrTb"/>
            <w:noWrap w:val="false"/>
          </w:tcPr>
          <w:p>
            <w:pPr>
              <w:pStyle w:val="842"/>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p>
        </w:tc>
        <w:tc>
          <w:tcPr>
            <w:tcW w:w="6135" w:type="dxa"/>
            <w:vAlign w:val="top"/>
            <w:textDirection w:val="lrTb"/>
            <w:noWrap w:val="false"/>
          </w:tcPr>
          <w:p>
            <w:pPr>
              <w:pStyle w:val="842"/>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p>
          <w:p>
            <w:pPr>
              <w:pStyle w:val="842"/>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p>
          <w:p>
            <w:pPr>
              <w:pStyle w:val="842"/>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p>
        </w:tc>
        <w:tc>
          <w:tcPr>
            <w:tcW w:w="1235" w:type="dxa"/>
            <w:vAlign w:val="top"/>
            <w:textDirection w:val="lrTb"/>
            <w:noWrap w:val="false"/>
          </w:tcPr>
          <w:p>
            <w:pPr>
              <w:pStyle w:val="842"/>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p>
    <w:p>
      <w:pPr>
        <w:keepLines w:val="0"/>
        <w:keepNext w:val="0"/>
        <w:pageBreakBefore w:val="0"/>
        <w:spacing w:before="119"/>
        <w:widowControl/>
        <w:rPr>
          <w:color w:val="000000" w:themeColor="text1"/>
          <w:highlight w:val="none"/>
        </w:rPr>
      </w:pPr>
      <w:r>
        <w:rPr>
          <w:color w:val="000000" w:themeColor="text1"/>
          <w:highlight w:val="none"/>
        </w:rPr>
      </w:r>
      <w:r/>
    </w:p>
    <w:tbl>
      <w:tblPr>
        <w:tblStyle w:val="841"/>
        <w:tblW w:w="0" w:type="auto"/>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60"/>
        <w:gridCol w:w="6525"/>
        <w:gridCol w:w="1026"/>
      </w:tblGrid>
      <w:tr>
        <w:trPr>
          <w:trHeight w:val="537"/>
        </w:trPr>
        <w:tc>
          <w:tcPr>
            <w:tcW w:w="2660" w:type="dxa"/>
            <w:vAlign w:val="top"/>
            <w:textDirection w:val="lrTb"/>
            <w:noWrap w:val="false"/>
          </w:tcPr>
          <w:p>
            <w:pPr>
              <w:pStyle w:val="842"/>
              <w:ind w:left="127"/>
              <w:jc w:val="center"/>
              <w:spacing w:before="177" w:line="219" w:lineRule="auto"/>
              <w:rPr>
                <w:color w:val="000000" w:themeColor="text1"/>
                <w:highlight w:val="none"/>
                <w:shd w:val="clear" w:color="auto" w:fill="auto"/>
              </w:rPr>
            </w:pPr>
            <w:r>
              <w:rPr>
                <w:color w:val="000000" w:themeColor="text1"/>
                <w:spacing w:val="11"/>
                <w:highlight w:val="none"/>
                <w:shd w:val="clear" w:color="auto" w:fill="auto"/>
              </w:rPr>
              <w:t xml:space="preserve">评分项</w:t>
            </w:r>
            <w:r/>
          </w:p>
        </w:tc>
        <w:tc>
          <w:tcPr>
            <w:tcW w:w="6525" w:type="dxa"/>
            <w:vAlign w:val="top"/>
            <w:textDirection w:val="lrTb"/>
            <w:noWrap w:val="false"/>
          </w:tcPr>
          <w:p>
            <w:pPr>
              <w:pStyle w:val="842"/>
              <w:ind w:left="124"/>
              <w:jc w:val="center"/>
              <w:spacing w:before="177" w:line="219" w:lineRule="auto"/>
              <w:rPr>
                <w:color w:val="000000" w:themeColor="text1"/>
                <w:highlight w:val="none"/>
                <w:shd w:val="clear" w:color="auto" w:fill="auto"/>
              </w:rPr>
            </w:pPr>
            <w:r>
              <w:rPr>
                <w:color w:val="000000" w:themeColor="text1"/>
                <w:spacing w:val="13"/>
                <w:highlight w:val="none"/>
                <w:shd w:val="clear" w:color="auto" w:fill="auto"/>
              </w:rPr>
              <w:t xml:space="preserve">评分标准</w:t>
            </w:r>
            <w:r/>
          </w:p>
        </w:tc>
        <w:tc>
          <w:tcPr>
            <w:tcW w:w="1026" w:type="dxa"/>
            <w:vAlign w:val="top"/>
            <w:textDirection w:val="lrTb"/>
            <w:noWrap w:val="false"/>
          </w:tcPr>
          <w:p>
            <w:pPr>
              <w:pStyle w:val="842"/>
              <w:ind w:left="136"/>
              <w:jc w:val="center"/>
              <w:spacing w:before="176" w:line="219" w:lineRule="auto"/>
              <w:rPr>
                <w:color w:val="000000" w:themeColor="text1"/>
                <w:highlight w:val="none"/>
                <w:shd w:val="clear" w:color="auto" w:fill="auto"/>
              </w:rPr>
            </w:pPr>
            <w:r>
              <w:rPr>
                <w:color w:val="000000" w:themeColor="text1"/>
                <w:spacing w:val="5"/>
                <w:highlight w:val="none"/>
                <w:shd w:val="clear" w:color="auto" w:fill="auto"/>
              </w:rPr>
              <w:t xml:space="preserve">分值</w:t>
            </w:r>
            <w:r/>
          </w:p>
        </w:tc>
      </w:tr>
      <w:tr>
        <w:trPr>
          <w:trHeight w:val="2239"/>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目标及整体设想（</w:t>
            </w:r>
            <w:r>
              <w:rPr>
                <w:rFonts w:hint="eastAsia" w:ascii="宋体" w:hAnsi="宋体" w:eastAsia="宋体" w:cs="宋体"/>
                <w:color w:val="000000" w:themeColor="text1"/>
                <w:spacing w:val="20"/>
                <w:highlight w:val="none"/>
                <w:lang w:val="en-US" w:eastAsia="zh-CN"/>
              </w:rPr>
              <w:t xml:space="preserve">5</w:t>
            </w:r>
            <w:r>
              <w:rPr>
                <w:rFonts w:ascii="宋体" w:hAnsi="宋体" w:eastAsia="宋体" w:cs="宋体"/>
                <w:color w:val="000000" w:themeColor="text1"/>
                <w:spacing w:val="20"/>
                <w:highlight w:val="none"/>
              </w:rPr>
              <w:t xml:space="preserve">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①管理目标；②服务定位；③整体设想。</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5</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2-3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6"/>
              <w:jc w:val="center"/>
              <w:spacing w:before="172" w:line="239" w:lineRule="auto"/>
              <w:rPr>
                <w:rFonts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5</w:t>
            </w:r>
            <w:r/>
          </w:p>
        </w:tc>
      </w:tr>
      <w:tr>
        <w:trPr>
          <w:trHeight w:val="2997"/>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管理服务体系（</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①本项目拟采取的管理服务体系；②管理机制。</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70"/>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2644"/>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岗前培训及阶段性培训管理（</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①人员管理；②培训计划及实施。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73"/>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2644"/>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日常管理标准及措施（</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 )</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①日常管理标准；②具体管理</w:t>
            </w:r>
            <w:r>
              <w:rPr>
                <w:rFonts w:hint="eastAsia" w:ascii="宋体" w:hAnsi="宋体" w:eastAsia="宋体" w:cs="宋体"/>
                <w:color w:val="000000" w:themeColor="text1"/>
                <w:spacing w:val="20"/>
                <w:highlight w:val="none"/>
                <w:lang w:val="en-US" w:eastAsia="zh-CN"/>
              </w:rPr>
              <w:t xml:space="preserve">方案和</w:t>
            </w:r>
            <w:r>
              <w:rPr>
                <w:rFonts w:ascii="宋体" w:hAnsi="宋体" w:eastAsia="宋体" w:cs="宋体"/>
                <w:color w:val="000000" w:themeColor="text1"/>
                <w:spacing w:val="20"/>
                <w:highlight w:val="none"/>
              </w:rPr>
              <w:t xml:space="preserve">措施。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6"/>
              <w:jc w:val="center"/>
              <w:spacing w:before="175" w:line="239" w:lineRule="auto"/>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4</w:t>
            </w:r>
            <w:r/>
          </w:p>
        </w:tc>
      </w:tr>
      <w:tr>
        <w:trPr>
          <w:trHeight w:val="830"/>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管理规章制度（</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①日常管理制度；②本项目制定的各项管理规章制度。</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79"/>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2689"/>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物资装备的配备及维保使用方案（4分）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①管理设备及物品的配备；②日常维护保养措施方案。</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82"/>
              <w:rPr>
                <w:color w:val="000000" w:themeColor="text1"/>
                <w:highlight w:val="none"/>
                <w:shd w:val="clear" w:color="auto" w:fill="auto"/>
              </w:rPr>
            </w:pPr>
            <w:r>
              <w:rPr>
                <w:color w:val="000000" w:themeColor="text1"/>
                <w:highlight w:val="none"/>
                <w:shd w:val="clear" w:color="auto" w:fill="auto"/>
              </w:rPr>
              <w:t xml:space="preserve">4</w:t>
            </w:r>
            <w:r/>
          </w:p>
        </w:tc>
      </w:tr>
      <w:tr>
        <w:trPr>
          <w:trHeight w:val="3693"/>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管理重点难点和措施（</w:t>
            </w:r>
            <w:r>
              <w:rPr>
                <w:rFonts w:hint="eastAsia" w:ascii="宋体" w:hAnsi="宋体" w:eastAsia="宋体" w:cs="宋体"/>
                <w:color w:val="000000" w:themeColor="text1"/>
                <w:spacing w:val="20"/>
                <w:highlight w:val="none"/>
                <w:lang w:val="en-US" w:eastAsia="zh-CN"/>
              </w:rPr>
              <w:t xml:space="preserve">5</w:t>
            </w:r>
            <w:r>
              <w:rPr>
                <w:rFonts w:ascii="宋体" w:hAnsi="宋体" w:eastAsia="宋体" w:cs="宋体"/>
                <w:color w:val="000000" w:themeColor="text1"/>
                <w:spacing w:val="20"/>
                <w:highlight w:val="none"/>
              </w:rPr>
              <w:t xml:space="preserve">分 )</w:t>
            </w:r>
            <w:r/>
          </w:p>
        </w:tc>
        <w:tc>
          <w:tcPr>
            <w:tcW w:w="6525" w:type="dxa"/>
            <w:vAlign w:val="top"/>
            <w:textDirection w:val="lrTb"/>
            <w:noWrap w:val="false"/>
          </w:tcPr>
          <w:p>
            <w:pPr>
              <w:pStyle w:val="842"/>
              <w:ind w:left="124" w:right="248"/>
              <w:jc w:val="left"/>
              <w:keepLines w:val="0"/>
              <w:keepNext w:val="0"/>
              <w:pageBreakBefore w:val="0"/>
              <w:spacing w:before="171" w:line="310" w:lineRule="auto"/>
              <w:widowControl/>
              <w:rPr>
                <w:rFonts w:hint="eastAsia" w:ascii="宋体" w:hAnsi="宋体" w:eastAsia="宋体" w:cs="宋体"/>
                <w:color w:val="000000" w:themeColor="text1"/>
                <w:spacing w:val="20"/>
                <w:highlight w:val="none"/>
                <w:lang w:val="en-US" w:eastAsia="zh-CN"/>
              </w:rPr>
            </w:pPr>
            <w:r>
              <w:rPr>
                <w:rFonts w:hint="eastAsia" w:ascii="宋体" w:hAnsi="宋体" w:eastAsia="宋体" w:cs="宋体"/>
                <w:color w:val="000000" w:themeColor="text1"/>
                <w:spacing w:val="20"/>
                <w:highlight w:val="none"/>
                <w:lang w:val="en-US" w:eastAsia="zh-CN"/>
              </w:rPr>
              <w:t xml:space="preserve">①专项作业保洁管控；②清洁耗材损耗管控；③极端天气应对管理;④应急保洁与管理。</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方案清晰、合理、详细、全面、针对性强、可行性强，且4项内容方案均齐全的，得5分；方案较清晰、较合理、较详细、较全面、针对性较强、可行性较强，能够提供2-4项内容方案的，得3分；方案清晰度一般、合理性一般、详细性一般、全面性一般、针对性一般、可行性一般，能够提供1-4项内容方案的，得2分；无方案或者未按要求提供方案的不得分。</w:t>
            </w:r>
            <w:bookmarkStart w:id="11" w:name="_GoBack"/>
            <w:r/>
            <w:bookmarkEnd w:id="11"/>
            <w:r/>
            <w:r/>
          </w:p>
        </w:tc>
        <w:tc>
          <w:tcPr>
            <w:tcW w:w="1026" w:type="dxa"/>
            <w:vAlign w:val="top"/>
            <w:textDirection w:val="lrTb"/>
            <w:noWrap w:val="false"/>
          </w:tcPr>
          <w:p>
            <w:pPr>
              <w:pStyle w:val="842"/>
              <w:ind w:left="139"/>
              <w:jc w:val="center"/>
              <w:spacing w:before="177" w:line="239" w:lineRule="auto"/>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5</w:t>
            </w:r>
            <w:r/>
          </w:p>
        </w:tc>
      </w:tr>
      <w:tr>
        <w:trPr>
          <w:trHeight w:val="2997"/>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与采购人以及其他单位、部门的综合协调方案（4分）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①综合协调处理方案；②与</w:t>
            </w:r>
            <w:r>
              <w:rPr>
                <w:rFonts w:hint="eastAsia" w:ascii="宋体" w:hAnsi="宋体" w:eastAsia="宋体" w:cs="宋体"/>
                <w:color w:val="000000" w:themeColor="text1"/>
                <w:spacing w:val="20"/>
                <w:highlight w:val="none"/>
                <w:lang w:eastAsia="zh-CN"/>
              </w:rPr>
              <w:t xml:space="preserve">各方</w:t>
            </w:r>
            <w:r>
              <w:rPr>
                <w:rFonts w:ascii="宋体" w:hAnsi="宋体" w:eastAsia="宋体" w:cs="宋体"/>
                <w:color w:val="000000" w:themeColor="text1"/>
                <w:spacing w:val="20"/>
                <w:highlight w:val="none"/>
              </w:rPr>
              <w:t xml:space="preserve">沟通协调主要内容及方式。</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73"/>
              <w:rPr>
                <w:color w:val="000000" w:themeColor="text1"/>
                <w:highlight w:val="none"/>
                <w:shd w:val="clear" w:color="auto" w:fill="auto"/>
              </w:rPr>
            </w:pPr>
            <w:r>
              <w:rPr>
                <w:color w:val="000000" w:themeColor="text1"/>
                <w:highlight w:val="none"/>
                <w:shd w:val="clear" w:color="auto" w:fill="auto"/>
              </w:rPr>
              <w:t xml:space="preserve">4</w:t>
            </w:r>
            <w:r/>
          </w:p>
        </w:tc>
      </w:tr>
      <w:tr>
        <w:trPr>
          <w:trHeight w:val="503"/>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正式接管前具体措施（3分 )</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①接管查验及基础资料收集整理方案；②接管入驻人员准备方案；③接管入驻物资保障方案。</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 </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8"/>
              <w:jc w:val="center"/>
              <w:spacing w:before="175" w:line="239" w:lineRule="auto"/>
              <w:rPr>
                <w:color w:val="000000" w:themeColor="text1"/>
                <w:highlight w:val="none"/>
                <w:shd w:val="clear" w:color="auto" w:fill="auto"/>
              </w:rPr>
            </w:pPr>
            <w:r>
              <w:rPr>
                <w:color w:val="000000" w:themeColor="text1"/>
                <w:highlight w:val="none"/>
                <w:shd w:val="clear" w:color="auto" w:fill="auto"/>
              </w:rPr>
              <w:t xml:space="preserve">3</w:t>
            </w:r>
            <w:r/>
          </w:p>
        </w:tc>
      </w:tr>
      <w:tr>
        <w:trPr>
          <w:trHeight w:val="90"/>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特殊情况应急预案及措施( </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①整体思路；②</w:t>
            </w:r>
            <w:r>
              <w:rPr>
                <w:rFonts w:hint="eastAsia" w:ascii="宋体" w:hAnsi="宋体" w:eastAsia="宋体" w:cs="宋体"/>
                <w:color w:val="000000" w:themeColor="text1"/>
                <w:spacing w:val="20"/>
                <w:highlight w:val="none"/>
                <w:lang w:val="en-US" w:eastAsia="zh-CN"/>
              </w:rPr>
              <w:t xml:space="preserve">防汛、防台等</w:t>
            </w:r>
            <w:r>
              <w:rPr>
                <w:rFonts w:ascii="宋体" w:hAnsi="宋体" w:eastAsia="宋体" w:cs="宋体"/>
                <w:color w:val="000000" w:themeColor="text1"/>
                <w:spacing w:val="20"/>
                <w:highlight w:val="none"/>
              </w:rPr>
              <w:t xml:space="preserve">特殊情况应急预案及措施。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79"/>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4</w:t>
            </w:r>
            <w:r/>
          </w:p>
        </w:tc>
      </w:tr>
      <w:tr>
        <w:trPr>
          <w:trHeight w:val="2601"/>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过失及意外保障措施（</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 )</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①过失及意外事件分类；②过失及意外保障措施。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81"/>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2994"/>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档案资料管理（3分）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①档案资料管理的基本要求；②档案管理分类目录；③档案资料管理的保障措施。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 </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8"/>
              <w:jc w:val="center"/>
              <w:spacing w:before="170" w:line="239" w:lineRule="auto"/>
              <w:rPr>
                <w:color w:val="000000" w:themeColor="text1"/>
                <w:highlight w:val="none"/>
                <w:shd w:val="clear" w:color="auto" w:fill="auto"/>
              </w:rPr>
            </w:pPr>
            <w:r>
              <w:rPr>
                <w:color w:val="000000" w:themeColor="text1"/>
                <w:highlight w:val="none"/>
                <w:shd w:val="clear" w:color="auto" w:fill="auto"/>
              </w:rPr>
              <w:t xml:space="preserve">3</w:t>
            </w:r>
            <w:r/>
          </w:p>
        </w:tc>
      </w:tr>
      <w:tr>
        <w:trPr>
          <w:trHeight w:val="2291"/>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服务响应</w:t>
            </w:r>
            <w:r>
              <w:rPr>
                <w:rFonts w:hint="eastAsia" w:ascii="宋体" w:hAnsi="宋体" w:eastAsia="宋体" w:cs="宋体"/>
                <w:color w:val="000000" w:themeColor="text1"/>
                <w:spacing w:val="20"/>
                <w:highlight w:val="none"/>
                <w:lang w:val="en-US" w:eastAsia="zh-CN"/>
              </w:rPr>
              <w:t xml:space="preserve">方案</w:t>
            </w:r>
            <w:r>
              <w:rPr>
                <w:rFonts w:ascii="宋体" w:hAnsi="宋体" w:eastAsia="宋体" w:cs="宋体"/>
                <w:color w:val="000000" w:themeColor="text1"/>
                <w:spacing w:val="20"/>
                <w:highlight w:val="none"/>
              </w:rPr>
              <w:t xml:space="preserve">（3分）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①日常响应时间服务方案；②应急响应服务方案。</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8"/>
              <w:jc w:val="center"/>
              <w:spacing w:before="176" w:line="239" w:lineRule="auto"/>
              <w:rPr>
                <w:color w:val="000000" w:themeColor="text1"/>
                <w:highlight w:val="none"/>
                <w:shd w:val="clear" w:color="auto" w:fill="auto"/>
              </w:rPr>
            </w:pPr>
            <w:r>
              <w:rPr>
                <w:color w:val="000000" w:themeColor="text1"/>
                <w:highlight w:val="none"/>
                <w:shd w:val="clear" w:color="auto" w:fill="auto"/>
              </w:rPr>
              <w:t xml:space="preserve">3</w:t>
            </w:r>
            <w:r/>
          </w:p>
        </w:tc>
      </w:tr>
      <w:tr>
        <w:trPr>
          <w:trHeight w:val="2650"/>
        </w:trPr>
        <w:tc>
          <w:tcPr>
            <w:tcW w:w="2660"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特色与创新（</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①管理特色；②创新措施。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p>
        </w:tc>
        <w:tc>
          <w:tcPr>
            <w:tcW w:w="1026" w:type="dxa"/>
            <w:vAlign w:val="top"/>
            <w:textDirection w:val="lrTb"/>
            <w:noWrap w:val="false"/>
          </w:tcPr>
          <w:p>
            <w:pPr>
              <w:pStyle w:val="842"/>
              <w:ind w:left="133"/>
              <w:jc w:val="center"/>
              <w:spacing w:before="180"/>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4</w:t>
            </w:r>
            <w:r/>
          </w:p>
        </w:tc>
      </w:tr>
      <w:tr>
        <w:trPr>
          <w:trHeight w:val="1642"/>
        </w:trPr>
        <w:tc>
          <w:tcPr>
            <w:tcW w:w="2660"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精细化、标准化管理方案（3分）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①管理目标；②方案措施。</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p>
        </w:tc>
        <w:tc>
          <w:tcPr>
            <w:tcW w:w="1026" w:type="dxa"/>
            <w:vAlign w:val="top"/>
            <w:textDirection w:val="lrTb"/>
            <w:noWrap w:val="false"/>
          </w:tcPr>
          <w:p>
            <w:pPr>
              <w:pStyle w:val="842"/>
              <w:ind w:left="133"/>
              <w:jc w:val="center"/>
              <w:spacing w:before="180"/>
              <w:rPr>
                <w:rFonts w:hint="eastAsia"/>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1642"/>
        </w:trPr>
        <w:tc>
          <w:tcPr>
            <w:tcW w:w="2660"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r>
            <w:r/>
          </w:p>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设备更新方案（3分）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考察投标人</w:t>
            </w:r>
            <w:r>
              <w:rPr>
                <w:rFonts w:hint="eastAsia" w:ascii="宋体" w:hAnsi="宋体" w:eastAsia="宋体" w:cs="宋体"/>
                <w:color w:val="000000" w:themeColor="text1"/>
                <w:spacing w:val="20"/>
                <w:highlight w:val="none"/>
                <w:lang w:val="en-US" w:eastAsia="zh-CN"/>
              </w:rPr>
              <w:t xml:space="preserve">机械设备更新</w:t>
            </w:r>
            <w:r>
              <w:rPr>
                <w:rFonts w:hint="eastAsia" w:ascii="宋体" w:hAnsi="宋体" w:eastAsia="宋体" w:cs="宋体"/>
                <w:color w:val="000000" w:themeColor="text1"/>
                <w:spacing w:val="20"/>
                <w:highlight w:val="none"/>
              </w:rPr>
              <w:t xml:space="preserve">方案</w:t>
            </w:r>
            <w:r>
              <w:rPr>
                <w:rFonts w:hint="eastAsia" w:ascii="宋体" w:hAnsi="宋体" w:eastAsia="宋体" w:cs="宋体"/>
                <w:color w:val="000000" w:themeColor="text1"/>
                <w:spacing w:val="20"/>
                <w:highlight w:val="none"/>
                <w:lang w:eastAsia="zh-CN"/>
              </w:rPr>
              <w:t xml:space="preserve">，</w:t>
            </w:r>
            <w:r>
              <w:rPr>
                <w:rFonts w:hint="eastAsia" w:ascii="宋体" w:hAnsi="宋体" w:eastAsia="宋体" w:cs="宋体"/>
                <w:color w:val="000000" w:themeColor="text1"/>
                <w:spacing w:val="20"/>
                <w:highlight w:val="none"/>
                <w:lang w:val="en-US" w:eastAsia="zh-CN"/>
              </w:rPr>
              <w:t xml:space="preserve">设备</w:t>
            </w:r>
            <w:r>
              <w:rPr>
                <w:rFonts w:ascii="宋体" w:hAnsi="宋体" w:eastAsia="宋体" w:cs="宋体"/>
                <w:color w:val="000000" w:themeColor="text1"/>
                <w:spacing w:val="20"/>
                <w:highlight w:val="none"/>
                <w:lang w:val="en-US" w:eastAsia="zh-CN"/>
              </w:rPr>
              <w:t xml:space="preserve">规格型号不低于市民中心保洁现有配置的标准和性能，</w:t>
            </w:r>
            <w:r>
              <w:rPr>
                <w:rFonts w:hint="eastAsia" w:ascii="宋体" w:hAnsi="宋体" w:eastAsia="宋体" w:cs="宋体"/>
                <w:color w:val="000000" w:themeColor="text1"/>
                <w:spacing w:val="20"/>
                <w:highlight w:val="none"/>
                <w:lang w:val="en-US" w:eastAsia="zh-CN"/>
              </w:rPr>
              <w:t xml:space="preserve">其中</w:t>
            </w:r>
            <w:r>
              <w:rPr>
                <w:rFonts w:ascii="宋体" w:hAnsi="宋体" w:eastAsia="宋体" w:cs="宋体"/>
                <w:color w:val="000000" w:themeColor="text1"/>
                <w:spacing w:val="20"/>
                <w:highlight w:val="none"/>
                <w:lang w:val="en-US" w:eastAsia="zh-CN"/>
              </w:rPr>
              <w:t xml:space="preserve">室内洗涤机（驾驶式）不少于3台，室外扫地车（驾驶式）不少于2台</w:t>
            </w:r>
            <w:r>
              <w:rPr>
                <w:rFonts w:hint="eastAsia" w:ascii="宋体" w:hAnsi="宋体" w:eastAsia="宋体" w:cs="宋体"/>
                <w:color w:val="000000" w:themeColor="text1"/>
                <w:spacing w:val="20"/>
                <w:highlight w:val="none"/>
              </w:rPr>
              <w:t xml:space="preserve">，方案内容包括</w:t>
            </w:r>
            <w:r>
              <w:rPr>
                <w:rFonts w:hint="eastAsia" w:ascii="宋体" w:hAnsi="宋体" w:eastAsia="宋体" w:cs="宋体"/>
                <w:color w:val="000000" w:themeColor="text1"/>
                <w:spacing w:val="20"/>
                <w:highlight w:val="none"/>
                <w:lang w:eastAsia="zh-CN"/>
              </w:rPr>
              <w:t xml:space="preserve">：</w:t>
            </w:r>
            <w:r>
              <w:rPr>
                <w:rFonts w:hint="eastAsia" w:ascii="宋体" w:hAnsi="宋体" w:eastAsia="宋体" w:cs="宋体"/>
                <w:color w:val="000000" w:themeColor="text1"/>
                <w:spacing w:val="20"/>
                <w:highlight w:val="none"/>
                <w:lang w:val="en-US" w:eastAsia="zh-CN"/>
              </w:rPr>
              <w:t xml:space="preserve">①编制目的</w:t>
            </w:r>
            <w:r>
              <w:rPr>
                <w:rFonts w:ascii="宋体" w:hAnsi="宋体" w:eastAsia="宋体" w:cs="宋体"/>
                <w:color w:val="000000" w:themeColor="text1"/>
                <w:spacing w:val="20"/>
                <w:highlight w:val="none"/>
                <w:lang w:val="en-US" w:eastAsia="zh-CN"/>
              </w:rPr>
              <w:t xml:space="preserve">②</w:t>
            </w:r>
            <w:r>
              <w:rPr>
                <w:rFonts w:hint="eastAsia" w:ascii="宋体" w:hAnsi="宋体" w:eastAsia="宋体" w:cs="宋体"/>
                <w:color w:val="000000" w:themeColor="text1"/>
                <w:spacing w:val="20"/>
                <w:highlight w:val="none"/>
                <w:lang w:val="en-US" w:eastAsia="zh-CN"/>
              </w:rPr>
              <w:t xml:space="preserve">更新目标③更新计划</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p>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r>
            <w:r/>
          </w:p>
        </w:tc>
        <w:tc>
          <w:tcPr>
            <w:tcW w:w="1026" w:type="dxa"/>
            <w:vAlign w:val="top"/>
            <w:textDirection w:val="lrTb"/>
            <w:noWrap w:val="false"/>
          </w:tcPr>
          <w:p>
            <w:pPr>
              <w:pStyle w:val="842"/>
              <w:ind w:left="133"/>
              <w:jc w:val="center"/>
              <w:spacing w:before="180"/>
              <w:rPr>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1442"/>
        </w:trPr>
        <w:tc>
          <w:tcPr>
            <w:tcW w:w="2660"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信息化管理方案（3分）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考察投标人保洁信息化管理目标信托智慧保洁管理平台、移动端作业终端，运用数字化手段对保洁人员、作业任务、保洁区域、质量巡检、耗材物资、工单整改、安全管控全流程实施线上管控、实现保洁作业标准化、过程可追溯、质量可量化、监管高效化，提升环境卫生保障水平。管理质效包括作业过程可视化管理目标、问题整改闭环处置目标、质量考核数字化目标、物资耗材精细化管理目标、快速响应提升目标以及档案资料管理规范化目标等。方案包括：①管理目标；</w:t>
            </w:r>
            <w:r>
              <w:rPr>
                <w:rFonts w:ascii="宋体" w:hAnsi="宋体" w:eastAsia="宋体" w:cs="宋体"/>
                <w:color w:val="000000" w:themeColor="text1"/>
                <w:spacing w:val="20"/>
                <w:highlight w:val="none"/>
                <w:lang w:val="en-US" w:eastAsia="zh-CN"/>
              </w:rPr>
              <w:t xml:space="preserve">②</w:t>
            </w:r>
            <w:r>
              <w:rPr>
                <w:rFonts w:hint="eastAsia" w:ascii="宋体" w:hAnsi="宋体" w:eastAsia="宋体" w:cs="宋体"/>
                <w:color w:val="000000" w:themeColor="text1"/>
                <w:spacing w:val="20"/>
                <w:highlight w:val="none"/>
                <w:lang w:val="en-US" w:eastAsia="zh-CN"/>
              </w:rPr>
              <w:t xml:space="preserve">管理质效。</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p>
        </w:tc>
        <w:tc>
          <w:tcPr>
            <w:tcW w:w="1026" w:type="dxa"/>
            <w:vAlign w:val="top"/>
            <w:textDirection w:val="lrTb"/>
            <w:noWrap w:val="false"/>
          </w:tcPr>
          <w:p>
            <w:pPr>
              <w:pStyle w:val="842"/>
              <w:ind w:left="133"/>
              <w:jc w:val="center"/>
              <w:spacing w:before="180"/>
              <w:rPr>
                <w:rFonts w:hint="eastAsia"/>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p>
        </w:tc>
      </w:tr>
      <w:tr>
        <w:trPr>
          <w:trHeight w:val="1333"/>
        </w:trPr>
        <w:tc>
          <w:tcPr>
            <w:tcW w:w="2660" w:type="dxa"/>
            <w:vAlign w:val="top"/>
            <w:textDirection w:val="lrTb"/>
            <w:noWrap w:val="false"/>
          </w:tcPr>
          <w:p>
            <w:pPr>
              <w:pStyle w:val="842"/>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AI智能化应用场景建设方案（2分）</w:t>
            </w:r>
            <w:r/>
          </w:p>
        </w:tc>
        <w:tc>
          <w:tcPr>
            <w:tcW w:w="6525" w:type="dxa"/>
            <w:vAlign w:val="top"/>
            <w:textDirection w:val="lrTb"/>
            <w:noWrap w:val="false"/>
          </w:tcPr>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考察投标人的管理目标，AI视频识别、智能高度、智能清洁装备、大数据分析，与保洁信息化平台打通融合，推动保洁管理由“人工定期巡检、被动处置”转向AI实时感知、主动预警、精准调度管理目标。应用质效包括AI识别与预警效能、作业处置质效与管理质量效益以及人员管理效能等。应用场景建设是指AI智能感知预警场景、AI智能高度与动态保洁场景、AI智能清洁装备应用场景、AI大数据分析与智能考核等方案包括：①管理目标；</w:t>
            </w:r>
            <w:r>
              <w:rPr>
                <w:rFonts w:ascii="宋体" w:hAnsi="宋体" w:eastAsia="宋体" w:cs="宋体"/>
                <w:color w:val="000000" w:themeColor="text1"/>
                <w:spacing w:val="20"/>
                <w:highlight w:val="none"/>
                <w:lang w:val="en-US" w:eastAsia="zh-CN"/>
              </w:rPr>
              <w:t xml:space="preserve">②</w:t>
            </w:r>
            <w:r>
              <w:rPr>
                <w:rFonts w:hint="eastAsia" w:ascii="宋体" w:hAnsi="宋体" w:eastAsia="宋体" w:cs="宋体"/>
                <w:color w:val="000000" w:themeColor="text1"/>
                <w:spacing w:val="20"/>
                <w:highlight w:val="none"/>
                <w:lang w:val="en-US" w:eastAsia="zh-CN"/>
              </w:rPr>
              <w:t xml:space="preserve">应用质效</w:t>
            </w:r>
            <w:r>
              <w:rPr>
                <w:rFonts w:ascii="宋体" w:hAnsi="宋体" w:eastAsia="宋体" w:cs="宋体"/>
                <w:color w:val="000000" w:themeColor="text1"/>
                <w:spacing w:val="20"/>
                <w:highlight w:val="none"/>
                <w:lang w:val="en-US" w:eastAsia="zh-CN"/>
              </w:rPr>
              <w:t xml:space="preserve">③</w:t>
            </w:r>
            <w:r>
              <w:rPr>
                <w:rFonts w:hint="eastAsia" w:ascii="宋体" w:hAnsi="宋体" w:eastAsia="宋体" w:cs="宋体"/>
                <w:color w:val="000000" w:themeColor="text1"/>
                <w:spacing w:val="20"/>
                <w:highlight w:val="none"/>
                <w:lang w:val="en-US" w:eastAsia="zh-CN"/>
              </w:rPr>
              <w:t xml:space="preserve">场景建设</w:t>
            </w:r>
            <w:r/>
          </w:p>
          <w:p>
            <w:pPr>
              <w:pStyle w:val="842"/>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w:t>
            </w:r>
            <w:r>
              <w:rPr>
                <w:rFonts w:hint="eastAsia" w:ascii="宋体" w:hAnsi="宋体" w:eastAsia="宋体" w:cs="宋体"/>
                <w:color w:val="000000" w:themeColor="text1"/>
                <w:spacing w:val="20"/>
                <w:highlight w:val="none"/>
                <w:lang w:eastAsia="zh-CN"/>
              </w:rPr>
              <w:t xml:space="preserve">；</w:t>
            </w:r>
            <w:r>
              <w:rPr>
                <w:rFonts w:hint="eastAsia" w:ascii="宋体" w:hAnsi="宋体" w:eastAsia="宋体" w:cs="宋体"/>
                <w:color w:val="000000" w:themeColor="text1"/>
                <w:spacing w:val="20"/>
                <w:highlight w:val="none"/>
              </w:rPr>
              <w:t xml:space="preserve">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p>
        </w:tc>
        <w:tc>
          <w:tcPr>
            <w:tcW w:w="1026" w:type="dxa"/>
            <w:vAlign w:val="top"/>
            <w:textDirection w:val="lrTb"/>
            <w:noWrap w:val="false"/>
          </w:tcPr>
          <w:p>
            <w:pPr>
              <w:pStyle w:val="842"/>
              <w:ind w:left="133"/>
              <w:jc w:val="center"/>
              <w:spacing w:before="180"/>
              <w:rPr>
                <w:rFonts w:hint="eastAsia"/>
                <w:color w:val="000000" w:themeColor="text1"/>
                <w:highlight w:val="none"/>
                <w:shd w:val="clear" w:color="auto" w:fill="auto"/>
              </w:rPr>
            </w:pPr>
            <w:r>
              <w:rPr>
                <w:rFonts w:hint="eastAsia"/>
                <w:color w:val="000000" w:themeColor="text1"/>
                <w:highlight w:val="none"/>
                <w:shd w:val="clear" w:color="auto" w:fill="auto"/>
                <w:lang w:val="en-US" w:eastAsia="zh-CN"/>
              </w:rPr>
              <w:t xml:space="preserve">2</w:t>
            </w: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42"/>
              <w:ind w:left="127"/>
              <w:keepLines w:val="0"/>
              <w:keepNext w:val="0"/>
              <w:pageBreakBefore w:val="0"/>
              <w:spacing w:before="177" w:line="219" w:lineRule="auto"/>
              <w:widowControl/>
              <w:rPr>
                <w:color w:val="000000" w:themeColor="text1"/>
                <w:highlight w:val="none"/>
              </w:rPr>
            </w:pPr>
            <w:r/>
            <w:bookmarkStart w:id="9" w:name="bookmark11"/>
            <w:r/>
            <w:bookmarkEnd w:id="9"/>
            <w:r>
              <w:rPr>
                <w:color w:val="000000" w:themeColor="text1"/>
                <w:spacing w:val="11"/>
                <w:highlight w:val="none"/>
              </w:rPr>
              <w:t xml:space="preserve">评分项</w:t>
            </w:r>
            <w:r/>
          </w:p>
        </w:tc>
        <w:tc>
          <w:tcPr>
            <w:tcW w:w="6135" w:type="dxa"/>
            <w:vAlign w:val="top"/>
            <w:textDirection w:val="lrTb"/>
            <w:noWrap w:val="false"/>
          </w:tcPr>
          <w:p>
            <w:pPr>
              <w:pStyle w:val="84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p>
        </w:tc>
        <w:tc>
          <w:tcPr>
            <w:tcW w:w="1235" w:type="dxa"/>
            <w:vAlign w:val="top"/>
            <w:textDirection w:val="lrTb"/>
            <w:noWrap w:val="false"/>
          </w:tcPr>
          <w:p>
            <w:pPr>
              <w:pStyle w:val="84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p>
        </w:tc>
      </w:tr>
      <w:tr>
        <w:trPr>
          <w:trHeight w:val="2644"/>
        </w:trPr>
        <w:tc>
          <w:tcPr>
            <w:tcW w:w="3075" w:type="dxa"/>
            <w:vAlign w:val="top"/>
            <w:textDirection w:val="lrTb"/>
            <w:noWrap w:val="false"/>
          </w:tcPr>
          <w:p>
            <w:pPr>
              <w:pStyle w:val="842"/>
              <w:ind w:left="129"/>
              <w:keepLines w:val="0"/>
              <w:keepNext w:val="0"/>
              <w:pageBreakBefore w:val="0"/>
              <w:spacing w:before="170" w:line="219" w:lineRule="auto"/>
              <w:widowControl/>
              <w:rPr>
                <w:color w:val="000000" w:themeColor="text1"/>
                <w:highlight w:val="none"/>
              </w:rPr>
            </w:pPr>
            <w:r>
              <w:rPr>
                <w:color w:val="000000" w:themeColor="text1"/>
                <w:spacing w:val="14"/>
                <w:highlight w:val="none"/>
              </w:rPr>
              <w:t xml:space="preserve">项目经理（</w:t>
            </w:r>
            <w:r>
              <w:rPr>
                <w:rFonts w:hint="eastAsia"/>
                <w:color w:val="000000" w:themeColor="text1"/>
                <w:spacing w:val="14"/>
                <w:highlight w:val="none"/>
                <w:lang w:val="en-US" w:eastAsia="zh-CN"/>
              </w:rPr>
              <w:t xml:space="preserve">3</w:t>
            </w:r>
            <w:r>
              <w:rPr>
                <w:color w:val="000000" w:themeColor="text1"/>
                <w:spacing w:val="14"/>
                <w:highlight w:val="none"/>
              </w:rPr>
              <w:t xml:space="preserve">分</w:t>
            </w:r>
            <w:r>
              <w:rPr>
                <w:color w:val="000000" w:themeColor="text1"/>
                <w:spacing w:val="55"/>
                <w:highlight w:val="none"/>
              </w:rPr>
              <w:t xml:space="preserve"> </w:t>
            </w:r>
            <w:r>
              <w:rPr>
                <w:color w:val="000000" w:themeColor="text1"/>
                <w:spacing w:val="14"/>
                <w:highlight w:val="none"/>
              </w:rPr>
              <w:t xml:space="preserve">)</w:t>
            </w:r>
            <w:r/>
          </w:p>
        </w:tc>
        <w:tc>
          <w:tcPr>
            <w:tcW w:w="6135" w:type="dxa"/>
            <w:vAlign w:val="top"/>
            <w:textDirection w:val="lrTb"/>
            <w:noWrap w:val="false"/>
          </w:tcPr>
          <w:p>
            <w:pPr>
              <w:pStyle w:val="842"/>
              <w:ind w:left="122" w:right="332" w:firstLine="1"/>
              <w:jc w:val="both"/>
              <w:keepLines w:val="0"/>
              <w:keepNext w:val="0"/>
              <w:pageBreakBefore w:val="0"/>
              <w:spacing w:before="169" w:line="310" w:lineRule="auto"/>
              <w:widowControl/>
              <w:rPr>
                <w:color w:val="000000" w:themeColor="text1"/>
                <w:highlight w:val="none"/>
              </w:rPr>
            </w:pPr>
            <w:r>
              <w:rPr>
                <w:color w:val="000000" w:themeColor="text1"/>
                <w:spacing w:val="20"/>
                <w:highlight w:val="none"/>
              </w:rPr>
              <w:t xml:space="preserve">拟派项目经理年龄45周岁（含）以下的得1分，需提供身份证扫描件</w:t>
            </w:r>
            <w:r>
              <w:rPr>
                <w:rFonts w:hint="eastAsia"/>
                <w:color w:val="000000" w:themeColor="text1"/>
                <w:spacing w:val="20"/>
                <w:highlight w:val="none"/>
                <w:lang w:eastAsia="zh-CN"/>
              </w:rPr>
              <w:t xml:space="preserve">；</w:t>
            </w:r>
            <w:r>
              <w:rPr>
                <w:color w:val="000000" w:themeColor="text1"/>
                <w:spacing w:val="19"/>
                <w:highlight w:val="none"/>
              </w:rPr>
              <w:t xml:space="preserve">具有本科</w:t>
            </w:r>
            <w:r>
              <w:rPr>
                <w:color w:val="000000" w:themeColor="text1"/>
                <w:spacing w:val="20"/>
                <w:highlight w:val="none"/>
              </w:rPr>
              <w:t xml:space="preserve">及以上学历的得1分，需提供有效</w:t>
            </w:r>
            <w:r>
              <w:rPr>
                <w:color w:val="000000" w:themeColor="text1"/>
                <w:spacing w:val="19"/>
                <w:highlight w:val="none"/>
              </w:rPr>
              <w:t xml:space="preserve">的学历</w:t>
            </w:r>
            <w:r>
              <w:rPr>
                <w:color w:val="000000" w:themeColor="text1"/>
                <w:spacing w:val="20"/>
                <w:highlight w:val="none"/>
              </w:rPr>
              <w:t xml:space="preserve">证书扫描件。具有三级/高级工及以</w:t>
            </w:r>
            <w:r>
              <w:rPr>
                <w:color w:val="000000" w:themeColor="text1"/>
                <w:spacing w:val="19"/>
                <w:highlight w:val="none"/>
              </w:rPr>
              <w:t xml:space="preserve">上物业</w:t>
            </w:r>
            <w:r>
              <w:rPr>
                <w:color w:val="000000" w:themeColor="text1"/>
                <w:spacing w:val="20"/>
                <w:highlight w:val="none"/>
              </w:rPr>
              <w:t xml:space="preserve">管理师职业资格证书（技能等级证书）的得1分，</w:t>
            </w:r>
            <w:r>
              <w:rPr>
                <w:color w:val="000000" w:themeColor="text1"/>
                <w:spacing w:val="19"/>
                <w:highlight w:val="none"/>
              </w:rPr>
              <w:t xml:space="preserve">需提供有效的证书扫描件，否则不得分。本项最高得</w:t>
            </w:r>
            <w:r>
              <w:rPr>
                <w:rFonts w:hint="eastAsia"/>
                <w:color w:val="000000" w:themeColor="text1"/>
                <w:spacing w:val="19"/>
                <w:highlight w:val="none"/>
                <w:lang w:val="en-US" w:eastAsia="zh-CN"/>
              </w:rPr>
              <w:t xml:space="preserve">3</w:t>
            </w:r>
            <w:r>
              <w:rPr>
                <w:color w:val="000000" w:themeColor="text1"/>
                <w:spacing w:val="19"/>
                <w:highlight w:val="none"/>
              </w:rPr>
              <w:t xml:space="preserve">分</w:t>
            </w:r>
            <w:r>
              <w:rPr>
                <w:color w:val="000000" w:themeColor="text1"/>
                <w:spacing w:val="14"/>
                <w:highlight w:val="none"/>
              </w:rPr>
              <w:t xml:space="preserve"> </w:t>
            </w:r>
            <w:r>
              <w:rPr>
                <w:color w:val="000000" w:themeColor="text1"/>
                <w:highlight w:val="none"/>
              </w:rPr>
              <w:t xml:space="preserve">。</w:t>
            </w:r>
            <w:r/>
          </w:p>
        </w:tc>
        <w:tc>
          <w:tcPr>
            <w:tcW w:w="1235" w:type="dxa"/>
            <w:vAlign w:val="top"/>
            <w:textDirection w:val="lrTb"/>
            <w:noWrap w:val="false"/>
          </w:tcPr>
          <w:p>
            <w:pPr>
              <w:pStyle w:val="842"/>
              <w:ind w:left="133"/>
              <w:keepLines w:val="0"/>
              <w:keepNext w:val="0"/>
              <w:pageBreakBefore w:val="0"/>
              <w:spacing w:before="170"/>
              <w:widowControl/>
              <w:rPr>
                <w:rFonts w:hint="eastAsia" w:eastAsia="宋体"/>
                <w:color w:val="000000" w:themeColor="text1"/>
                <w:highlight w:val="none"/>
              </w:rPr>
            </w:pPr>
            <w:r>
              <w:rPr>
                <w:rFonts w:hint="eastAsia"/>
                <w:color w:val="000000" w:themeColor="text1"/>
                <w:highlight w:val="none"/>
                <w:lang w:val="en-US" w:eastAsia="zh-CN"/>
              </w:rPr>
              <w:t xml:space="preserve">3</w:t>
            </w:r>
            <w:r/>
          </w:p>
        </w:tc>
      </w:tr>
      <w:tr>
        <w:trPr>
          <w:trHeight w:val="1941"/>
        </w:trPr>
        <w:tc>
          <w:tcPr>
            <w:tcW w:w="3075" w:type="dxa"/>
            <w:vAlign w:val="top"/>
            <w:textDirection w:val="lrTb"/>
            <w:noWrap w:val="false"/>
          </w:tcPr>
          <w:p>
            <w:pPr>
              <w:pStyle w:val="842"/>
              <w:ind w:left="128"/>
              <w:keepLines w:val="0"/>
              <w:keepNext w:val="0"/>
              <w:pageBreakBefore w:val="0"/>
              <w:spacing w:before="173" w:line="219" w:lineRule="auto"/>
              <w:widowControl/>
              <w:rPr>
                <w:color w:val="000000" w:themeColor="text1"/>
                <w:highlight w:val="none"/>
              </w:rPr>
            </w:pPr>
            <w:r>
              <w:rPr>
                <w:color w:val="000000" w:themeColor="text1"/>
                <w:spacing w:val="15"/>
                <w:highlight w:val="none"/>
              </w:rPr>
              <w:t xml:space="preserve">保洁主管（3分）</w:t>
            </w:r>
            <w:r/>
          </w:p>
        </w:tc>
        <w:tc>
          <w:tcPr>
            <w:tcW w:w="6135" w:type="dxa"/>
            <w:vAlign w:val="top"/>
            <w:textDirection w:val="lrTb"/>
            <w:noWrap w:val="false"/>
          </w:tcPr>
          <w:p>
            <w:pPr>
              <w:pStyle w:val="842"/>
              <w:ind w:left="128" w:right="332" w:hanging="4"/>
              <w:jc w:val="both"/>
              <w:keepLines w:val="0"/>
              <w:keepNext w:val="0"/>
              <w:pageBreakBefore w:val="0"/>
              <w:spacing w:before="173" w:line="309" w:lineRule="auto"/>
              <w:widowControl/>
              <w:rPr>
                <w:color w:val="000000" w:themeColor="text1"/>
                <w:highlight w:val="none"/>
              </w:rPr>
            </w:pPr>
            <w:r>
              <w:rPr>
                <w:color w:val="000000" w:themeColor="text1"/>
                <w:spacing w:val="20"/>
                <w:highlight w:val="none"/>
              </w:rPr>
              <w:t xml:space="preserve">拟派保洁主管具有大专(含)以上学历的得1分，</w:t>
            </w:r>
            <w:r>
              <w:rPr>
                <w:color w:val="000000" w:themeColor="text1"/>
                <w:spacing w:val="19"/>
                <w:highlight w:val="none"/>
              </w:rPr>
              <w:t xml:space="preserve">需提供有效的学历证书扫描件，否则不得分。具有三级/高级工及以上物业管理师职业资格证书（技能等级证书）的得1分</w:t>
            </w:r>
            <w:r>
              <w:rPr>
                <w:color w:val="000000" w:themeColor="text1"/>
                <w:spacing w:val="16"/>
                <w:highlight w:val="none"/>
              </w:rPr>
              <w:t xml:space="preserve"> </w:t>
            </w:r>
            <w:r>
              <w:rPr>
                <w:color w:val="000000" w:themeColor="text1"/>
                <w:spacing w:val="19"/>
                <w:highlight w:val="none"/>
              </w:rPr>
              <w:t xml:space="preserve">；具有红十字救护员证得1分，需提供有效的证书扫描件</w:t>
            </w:r>
            <w:r>
              <w:rPr>
                <w:color w:val="000000" w:themeColor="text1"/>
                <w:spacing w:val="8"/>
                <w:highlight w:val="none"/>
              </w:rPr>
              <w:t xml:space="preserve"> </w:t>
            </w:r>
            <w:r>
              <w:rPr>
                <w:color w:val="000000" w:themeColor="text1"/>
                <w:spacing w:val="23"/>
                <w:highlight w:val="none"/>
              </w:rPr>
              <w:t xml:space="preserve">,否则不得分。本项最高得3分。</w:t>
            </w:r>
            <w:r/>
          </w:p>
        </w:tc>
        <w:tc>
          <w:tcPr>
            <w:tcW w:w="1235" w:type="dxa"/>
            <w:vAlign w:val="top"/>
            <w:textDirection w:val="lrTb"/>
            <w:noWrap w:val="false"/>
          </w:tcPr>
          <w:p>
            <w:pPr>
              <w:pStyle w:val="842"/>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p>
        </w:tc>
      </w:tr>
      <w:tr>
        <w:trPr>
          <w:trHeight w:val="1588"/>
        </w:trPr>
        <w:tc>
          <w:tcPr>
            <w:tcW w:w="3075" w:type="dxa"/>
            <w:vAlign w:val="top"/>
            <w:textDirection w:val="lrTb"/>
            <w:noWrap w:val="false"/>
          </w:tcPr>
          <w:p>
            <w:pPr>
              <w:pStyle w:val="842"/>
              <w:ind w:left="128"/>
              <w:keepLines w:val="0"/>
              <w:keepNext w:val="0"/>
              <w:pageBreakBefore w:val="0"/>
              <w:spacing w:before="175" w:line="219" w:lineRule="auto"/>
              <w:widowControl/>
              <w:rPr>
                <w:color w:val="000000" w:themeColor="text1"/>
                <w:highlight w:val="none"/>
              </w:rPr>
            </w:pPr>
            <w:r>
              <w:rPr>
                <w:rFonts w:hint="eastAsia"/>
                <w:color w:val="000000" w:themeColor="text1"/>
                <w:spacing w:val="14"/>
                <w:highlight w:val="none"/>
                <w:lang w:val="en-US" w:eastAsia="zh-CN"/>
              </w:rPr>
              <w:t xml:space="preserve">专业养护技工</w:t>
            </w:r>
            <w:r>
              <w:rPr>
                <w:color w:val="000000" w:themeColor="text1"/>
                <w:spacing w:val="14"/>
                <w:highlight w:val="none"/>
              </w:rPr>
              <w:t xml:space="preserve">（</w:t>
            </w:r>
            <w:r>
              <w:rPr>
                <w:rFonts w:hint="eastAsia"/>
                <w:color w:val="000000" w:themeColor="text1"/>
                <w:spacing w:val="14"/>
                <w:highlight w:val="none"/>
                <w:lang w:val="en-US" w:eastAsia="zh-CN"/>
              </w:rPr>
              <w:t xml:space="preserve">4</w:t>
            </w:r>
            <w:r>
              <w:rPr>
                <w:color w:val="000000" w:themeColor="text1"/>
                <w:spacing w:val="14"/>
                <w:highlight w:val="none"/>
              </w:rPr>
              <w:t xml:space="preserve">分）</w:t>
            </w:r>
            <w:r/>
          </w:p>
        </w:tc>
        <w:tc>
          <w:tcPr>
            <w:tcW w:w="6135" w:type="dxa"/>
            <w:vAlign w:val="top"/>
            <w:textDirection w:val="lrTb"/>
            <w:noWrap w:val="false"/>
          </w:tcPr>
          <w:p>
            <w:pPr>
              <w:pStyle w:val="842"/>
              <w:ind w:left="124" w:right="294"/>
              <w:jc w:val="both"/>
              <w:keepLines w:val="0"/>
              <w:keepNext w:val="0"/>
              <w:pageBreakBefore w:val="0"/>
              <w:spacing w:before="176" w:line="308" w:lineRule="auto"/>
              <w:widowControl/>
              <w:rPr>
                <w:color w:val="000000" w:themeColor="text1"/>
                <w:highlight w:val="none"/>
              </w:rPr>
            </w:pPr>
            <w:r>
              <w:rPr>
                <w:color w:val="000000" w:themeColor="text1"/>
                <w:spacing w:val="18"/>
                <w:highlight w:val="none"/>
              </w:rPr>
              <w:t xml:space="preserve">拟派</w:t>
            </w:r>
            <w:r>
              <w:rPr>
                <w:rFonts w:hint="eastAsia"/>
                <w:color w:val="000000" w:themeColor="text1"/>
                <w:spacing w:val="18"/>
                <w:highlight w:val="none"/>
                <w:lang w:val="en-US" w:eastAsia="zh-CN"/>
              </w:rPr>
              <w:t xml:space="preserve">专业养护技工</w:t>
            </w:r>
            <w:r>
              <w:rPr>
                <w:color w:val="000000" w:themeColor="text1"/>
                <w:spacing w:val="18"/>
                <w:highlight w:val="none"/>
              </w:rPr>
              <w:t xml:space="preserve">具有特种作业操作证（作业类别为高处作业，</w:t>
            </w:r>
            <w:r>
              <w:rPr>
                <w:color w:val="000000" w:themeColor="text1"/>
                <w:spacing w:val="19"/>
                <w:highlight w:val="none"/>
              </w:rPr>
              <w:t xml:space="preserve">操作项目为登高架设作业/高处安装、维护、拆除作业）</w:t>
            </w:r>
            <w:r>
              <w:rPr>
                <w:color w:val="000000" w:themeColor="text1"/>
                <w:spacing w:val="6"/>
                <w:highlight w:val="none"/>
              </w:rPr>
              <w:t xml:space="preserve"> </w:t>
            </w:r>
            <w:r>
              <w:rPr>
                <w:color w:val="000000" w:themeColor="text1"/>
                <w:spacing w:val="23"/>
                <w:highlight w:val="none"/>
              </w:rPr>
              <w:t xml:space="preserve">的</w:t>
            </w:r>
            <w:r>
              <w:rPr>
                <w:rFonts w:hint="eastAsia"/>
                <w:color w:val="000000" w:themeColor="text1"/>
                <w:spacing w:val="23"/>
                <w:highlight w:val="none"/>
                <w:lang w:val="en-US" w:eastAsia="zh-CN"/>
              </w:rPr>
              <w:t xml:space="preserve">每有一个</w:t>
            </w:r>
            <w:r>
              <w:rPr>
                <w:color w:val="000000" w:themeColor="text1"/>
                <w:spacing w:val="23"/>
                <w:highlight w:val="none"/>
              </w:rPr>
              <w:t xml:space="preserve">得1分。需提供有效的证书扫描件，否则不得分。本</w:t>
            </w:r>
            <w:r>
              <w:rPr>
                <w:color w:val="000000" w:themeColor="text1"/>
                <w:spacing w:val="11"/>
                <w:highlight w:val="none"/>
              </w:rPr>
              <w:t xml:space="preserve">项最高</w:t>
            </w:r>
            <w:r>
              <w:rPr>
                <w:rFonts w:hint="eastAsia"/>
                <w:color w:val="000000" w:themeColor="text1"/>
                <w:spacing w:val="11"/>
                <w:highlight w:val="none"/>
                <w:lang w:val="en-US" w:eastAsia="zh-CN"/>
              </w:rPr>
              <w:t xml:space="preserve">4</w:t>
            </w:r>
            <w:r>
              <w:rPr>
                <w:color w:val="000000" w:themeColor="text1"/>
                <w:spacing w:val="11"/>
                <w:highlight w:val="none"/>
              </w:rPr>
              <w:t xml:space="preserve">分。</w:t>
            </w:r>
            <w:r/>
          </w:p>
        </w:tc>
        <w:tc>
          <w:tcPr>
            <w:tcW w:w="1235" w:type="dxa"/>
            <w:vAlign w:val="top"/>
            <w:textDirection w:val="lrTb"/>
            <w:noWrap w:val="false"/>
          </w:tcPr>
          <w:p>
            <w:pPr>
              <w:pStyle w:val="842"/>
              <w:ind w:left="149"/>
              <w:keepLines w:val="0"/>
              <w:keepNext w:val="0"/>
              <w:pageBreakBefore w:val="0"/>
              <w:spacing w:before="175"/>
              <w:widowControl/>
              <w:rPr>
                <w:rFonts w:hint="eastAsia" w:eastAsia="宋体"/>
                <w:color w:val="000000" w:themeColor="text1"/>
                <w:highlight w:val="none"/>
              </w:rPr>
            </w:pPr>
            <w:r>
              <w:rPr>
                <w:rFonts w:hint="eastAsia"/>
                <w:color w:val="000000" w:themeColor="text1"/>
                <w:highlight w:val="none"/>
                <w:lang w:val="en-US" w:eastAsia="zh-CN"/>
              </w:rPr>
              <w:t xml:space="preserve">4</w:t>
            </w:r>
            <w:r/>
          </w:p>
        </w:tc>
      </w:tr>
      <w:tr>
        <w:trPr>
          <w:trHeight w:val="1588"/>
        </w:trPr>
        <w:tc>
          <w:tcPr>
            <w:tcW w:w="3075" w:type="dxa"/>
            <w:vAlign w:val="top"/>
            <w:textDirection w:val="lrTb"/>
            <w:noWrap w:val="false"/>
          </w:tcPr>
          <w:p>
            <w:pPr>
              <w:pStyle w:val="842"/>
              <w:ind w:left="127"/>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质量管理员（2分）</w:t>
            </w:r>
            <w:r/>
          </w:p>
        </w:tc>
        <w:tc>
          <w:tcPr>
            <w:tcW w:w="6135" w:type="dxa"/>
            <w:vAlign w:val="top"/>
            <w:textDirection w:val="lrTb"/>
            <w:noWrap w:val="false"/>
          </w:tcPr>
          <w:p>
            <w:pPr>
              <w:pStyle w:val="842"/>
              <w:ind w:left="125" w:right="248" w:hanging="1"/>
              <w:jc w:val="both"/>
              <w:keepLines w:val="0"/>
              <w:keepNext w:val="0"/>
              <w:pageBreakBefore w:val="0"/>
              <w:spacing w:before="176" w:line="308" w:lineRule="auto"/>
              <w:widowControl/>
              <w:rPr>
                <w:color w:val="000000" w:themeColor="text1"/>
                <w:highlight w:val="none"/>
              </w:rPr>
            </w:pPr>
            <w:r>
              <w:rPr>
                <w:color w:val="000000" w:themeColor="text1"/>
                <w:spacing w:val="20"/>
                <w:highlight w:val="none"/>
              </w:rPr>
              <w:t xml:space="preserve">拟派质量</w:t>
            </w:r>
            <w:r>
              <w:rPr>
                <w:rFonts w:hint="eastAsia"/>
                <w:color w:val="000000" w:themeColor="text1"/>
                <w:spacing w:val="20"/>
                <w:highlight w:val="none"/>
                <w:lang w:val="en-US" w:eastAsia="zh-CN"/>
              </w:rPr>
              <w:t xml:space="preserve">管理</w:t>
            </w:r>
            <w:r>
              <w:rPr>
                <w:color w:val="000000" w:themeColor="text1"/>
                <w:spacing w:val="20"/>
                <w:highlight w:val="none"/>
              </w:rPr>
              <w:t xml:space="preserve">员具有企业人力资源管理师二级及以</w:t>
            </w:r>
            <w:r>
              <w:rPr>
                <w:color w:val="000000" w:themeColor="text1"/>
                <w:spacing w:val="19"/>
                <w:highlight w:val="none"/>
              </w:rPr>
              <w:t xml:space="preserve">上职业技能等级证书的得1分；具有物业管理师职业资格证书（技能等级证书）的得1分。需提供有效的证书扫描件，否则不</w:t>
            </w:r>
            <w:r>
              <w:rPr>
                <w:color w:val="000000" w:themeColor="text1"/>
                <w:spacing w:val="15"/>
                <w:highlight w:val="none"/>
              </w:rPr>
              <w:t xml:space="preserve">得分。本项最高2分。</w:t>
            </w:r>
            <w:r/>
          </w:p>
        </w:tc>
        <w:tc>
          <w:tcPr>
            <w:tcW w:w="1235" w:type="dxa"/>
            <w:vAlign w:val="top"/>
            <w:textDirection w:val="lrTb"/>
            <w:noWrap w:val="false"/>
          </w:tcPr>
          <w:p>
            <w:pPr>
              <w:pStyle w:val="842"/>
              <w:ind w:left="136"/>
              <w:keepLines w:val="0"/>
              <w:keepNext w:val="0"/>
              <w:pageBreakBefore w:val="0"/>
              <w:spacing w:before="177"/>
              <w:widowControl/>
              <w:rPr>
                <w:color w:val="000000" w:themeColor="text1"/>
                <w:highlight w:val="none"/>
              </w:rPr>
            </w:pPr>
            <w:r>
              <w:rPr>
                <w:color w:val="000000" w:themeColor="text1"/>
                <w:highlight w:val="none"/>
              </w:rPr>
              <w:t xml:space="preserve">2</w:t>
            </w:r>
            <w:r/>
          </w:p>
        </w:tc>
      </w:tr>
      <w:tr>
        <w:trPr>
          <w:trHeight w:val="1588"/>
        </w:trPr>
        <w:tc>
          <w:tcPr>
            <w:tcW w:w="3075" w:type="dxa"/>
            <w:vAlign w:val="top"/>
            <w:textDirection w:val="lrTb"/>
            <w:noWrap w:val="false"/>
          </w:tcPr>
          <w:p>
            <w:pPr>
              <w:pStyle w:val="842"/>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业绩（</w:t>
            </w:r>
            <w:r>
              <w:rPr>
                <w:rFonts w:hint="eastAsia"/>
                <w:color w:val="000000" w:themeColor="text1"/>
                <w:spacing w:val="13"/>
                <w:highlight w:val="none"/>
                <w:lang w:val="en-US" w:eastAsia="zh-CN"/>
              </w:rPr>
              <w:t xml:space="preserve">4</w:t>
            </w:r>
            <w:r>
              <w:rPr>
                <w:color w:val="000000" w:themeColor="text1"/>
                <w:spacing w:val="13"/>
                <w:highlight w:val="none"/>
              </w:rPr>
              <w:t xml:space="preserve">分）</w:t>
            </w:r>
            <w:r/>
          </w:p>
        </w:tc>
        <w:tc>
          <w:tcPr>
            <w:tcW w:w="6135" w:type="dxa"/>
            <w:vAlign w:val="top"/>
            <w:textDirection w:val="lrTb"/>
            <w:noWrap w:val="false"/>
          </w:tcPr>
          <w:p>
            <w:pPr>
              <w:pStyle w:val="842"/>
              <w:ind w:left="128" w:right="185" w:hanging="4"/>
              <w:keepLines w:val="0"/>
              <w:keepNext w:val="0"/>
              <w:pageBreakBefore w:val="0"/>
              <w:spacing w:before="178" w:line="311"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w:t>
            </w:r>
            <w:r>
              <w:rPr>
                <w:rFonts w:hint="eastAsia"/>
                <w:color w:val="000000" w:themeColor="text1"/>
                <w:spacing w:val="19"/>
                <w:highlight w:val="none"/>
                <w:lang w:val="en-US" w:eastAsia="zh-CN"/>
              </w:rPr>
              <w:t xml:space="preserve">4</w:t>
            </w:r>
            <w:r>
              <w:rPr>
                <w:color w:val="000000" w:themeColor="text1"/>
                <w:spacing w:val="19"/>
                <w:highlight w:val="none"/>
              </w:rPr>
              <w:t xml:space="preserve">分；合同扫描件上传至投标系统中，否则不得分</w:t>
            </w:r>
            <w:r/>
          </w:p>
          <w:p>
            <w:pPr>
              <w:pStyle w:val="842"/>
              <w:ind w:left="145"/>
              <w:keepLines w:val="0"/>
              <w:keepNext w:val="0"/>
              <w:pageBreakBefore w:val="0"/>
              <w:spacing w:before="129" w:line="108" w:lineRule="exact"/>
              <w:widowControl/>
              <w:rPr>
                <w:color w:val="000000" w:themeColor="text1"/>
                <w:highlight w:val="none"/>
              </w:rPr>
            </w:pPr>
            <w:r>
              <w:rPr>
                <w:color w:val="000000" w:themeColor="text1"/>
                <w:position w:val="1"/>
                <w:highlight w:val="none"/>
              </w:rPr>
              <w:t xml:space="preserve">。</w:t>
            </w:r>
            <w:r/>
          </w:p>
        </w:tc>
        <w:tc>
          <w:tcPr>
            <w:tcW w:w="1235" w:type="dxa"/>
            <w:vAlign w:val="top"/>
            <w:textDirection w:val="lrTb"/>
            <w:noWrap w:val="false"/>
          </w:tcPr>
          <w:p>
            <w:pPr>
              <w:pStyle w:val="842"/>
              <w:ind w:left="138"/>
              <w:keepLines w:val="0"/>
              <w:keepNext w:val="0"/>
              <w:pageBreakBefore w:val="0"/>
              <w:spacing w:before="178"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p>
        </w:tc>
      </w:tr>
      <w:tr>
        <w:trPr>
          <w:trHeight w:val="1588"/>
        </w:trPr>
        <w:tc>
          <w:tcPr>
            <w:tcW w:w="3075" w:type="dxa"/>
            <w:vAlign w:val="top"/>
            <w:textDirection w:val="lrTb"/>
            <w:noWrap w:val="false"/>
          </w:tcPr>
          <w:p>
            <w:pPr>
              <w:pStyle w:val="842"/>
              <w:ind w:left="130"/>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体系认证（1.5分）</w:t>
            </w:r>
            <w:r/>
          </w:p>
        </w:tc>
        <w:tc>
          <w:tcPr>
            <w:tcW w:w="6135" w:type="dxa"/>
            <w:vAlign w:val="top"/>
            <w:textDirection w:val="lrTb"/>
            <w:noWrap w:val="false"/>
          </w:tcPr>
          <w:p>
            <w:pPr>
              <w:pStyle w:val="842"/>
              <w:ind w:left="124" w:right="332"/>
              <w:jc w:val="both"/>
              <w:keepLines w:val="0"/>
              <w:keepNext w:val="0"/>
              <w:pageBreakBefore w:val="0"/>
              <w:spacing w:before="181" w:line="307" w:lineRule="auto"/>
              <w:widowControl/>
              <w:rPr>
                <w:color w:val="000000" w:themeColor="text1"/>
                <w:highlight w:val="none"/>
              </w:rPr>
            </w:pPr>
            <w:r>
              <w:rPr>
                <w:color w:val="000000" w:themeColor="text1"/>
                <w:spacing w:val="18"/>
                <w:highlight w:val="none"/>
              </w:rPr>
              <w:t xml:space="preserve">投标人具有有效期内的质量管理体系认证证书得0.5分，</w:t>
            </w:r>
            <w:r>
              <w:rPr>
                <w:color w:val="000000" w:themeColor="text1"/>
                <w:spacing w:val="20"/>
                <w:highlight w:val="none"/>
              </w:rPr>
              <w:t xml:space="preserve">环境管理体系认证证书得0.5分，职业安全健</w:t>
            </w:r>
            <w:r>
              <w:rPr>
                <w:color w:val="000000" w:themeColor="text1"/>
                <w:spacing w:val="19"/>
                <w:highlight w:val="none"/>
              </w:rPr>
              <w:t xml:space="preserve">康管理体系</w:t>
            </w:r>
            <w:r>
              <w:rPr>
                <w:color w:val="000000" w:themeColor="text1"/>
                <w:spacing w:val="20"/>
                <w:highlight w:val="none"/>
              </w:rPr>
              <w:t xml:space="preserve">认证证书得0.5分，需提供有效的证书扫描件</w:t>
            </w:r>
            <w:r>
              <w:rPr>
                <w:color w:val="000000" w:themeColor="text1"/>
                <w:spacing w:val="19"/>
                <w:highlight w:val="none"/>
              </w:rPr>
              <w:t xml:space="preserve">，否则不得</w:t>
            </w:r>
            <w:r>
              <w:rPr>
                <w:color w:val="000000" w:themeColor="text1"/>
                <w:spacing w:val="16"/>
                <w:highlight w:val="none"/>
              </w:rPr>
              <w:t xml:space="preserve">分，本项最高得1.5分。</w:t>
            </w:r>
            <w:r/>
          </w:p>
        </w:tc>
        <w:tc>
          <w:tcPr>
            <w:tcW w:w="1235" w:type="dxa"/>
            <w:vAlign w:val="top"/>
            <w:textDirection w:val="lrTb"/>
            <w:noWrap w:val="false"/>
          </w:tcPr>
          <w:p>
            <w:pPr>
              <w:pStyle w:val="842"/>
              <w:ind w:left="149"/>
              <w:keepLines w:val="0"/>
              <w:keepNext w:val="0"/>
              <w:pageBreakBefore w:val="0"/>
              <w:spacing w:before="180" w:line="238" w:lineRule="auto"/>
              <w:widowControl/>
              <w:rPr>
                <w:color w:val="000000" w:themeColor="text1"/>
                <w:highlight w:val="none"/>
              </w:rPr>
            </w:pPr>
            <w:r>
              <w:rPr>
                <w:color w:val="000000" w:themeColor="text1"/>
                <w:spacing w:val="6"/>
                <w:highlight w:val="none"/>
              </w:rPr>
              <w:t xml:space="preserve">1.5</w:t>
            </w:r>
            <w:r/>
          </w:p>
        </w:tc>
      </w:tr>
      <w:tr>
        <w:trPr>
          <w:trHeight w:val="1236"/>
        </w:trPr>
        <w:tc>
          <w:tcPr>
            <w:tcW w:w="3075" w:type="dxa"/>
            <w:vAlign w:val="top"/>
            <w:textDirection w:val="lrTb"/>
            <w:noWrap w:val="false"/>
          </w:tcPr>
          <w:p>
            <w:pPr>
              <w:pStyle w:val="842"/>
              <w:ind w:left="132"/>
              <w:keepLines w:val="0"/>
              <w:keepNext w:val="0"/>
              <w:pageBreakBefore w:val="0"/>
              <w:spacing w:before="182" w:line="218" w:lineRule="auto"/>
              <w:widowControl/>
              <w:rPr>
                <w:color w:val="000000" w:themeColor="text1"/>
                <w:highlight w:val="none"/>
              </w:rPr>
            </w:pPr>
            <w:r>
              <w:rPr>
                <w:color w:val="000000" w:themeColor="text1"/>
                <w:spacing w:val="15"/>
                <w:highlight w:val="none"/>
              </w:rPr>
              <w:t xml:space="preserve">荣誉（0.5分）</w:t>
            </w:r>
            <w:r/>
          </w:p>
        </w:tc>
        <w:tc>
          <w:tcPr>
            <w:tcW w:w="6135" w:type="dxa"/>
            <w:vAlign w:val="top"/>
            <w:textDirection w:val="lrTb"/>
            <w:noWrap w:val="false"/>
          </w:tcPr>
          <w:p>
            <w:pPr>
              <w:pStyle w:val="842"/>
              <w:ind w:left="125" w:right="185" w:hanging="1"/>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投标人自2023年1月1日（以获奖日期为准）以来，获</w:t>
            </w:r>
            <w:r>
              <w:rPr>
                <w:color w:val="000000" w:themeColor="text1"/>
                <w:spacing w:val="19"/>
                <w:highlight w:val="none"/>
              </w:rPr>
              <w:t xml:space="preserve">得过</w:t>
            </w:r>
            <w:r>
              <w:rPr>
                <w:color w:val="000000" w:themeColor="text1"/>
                <w:spacing w:val="20"/>
                <w:highlight w:val="none"/>
              </w:rPr>
              <w:t xml:space="preserve">政府部门颁发的与物业</w:t>
            </w:r>
            <w:r>
              <w:rPr>
                <w:rFonts w:hint="eastAsia"/>
                <w:color w:val="000000" w:themeColor="text1"/>
                <w:spacing w:val="20"/>
                <w:highlight w:val="none"/>
                <w:lang w:val="en-US" w:eastAsia="zh-CN"/>
              </w:rPr>
              <w:t xml:space="preserve">类</w:t>
            </w:r>
            <w:r>
              <w:rPr>
                <w:color w:val="000000" w:themeColor="text1"/>
                <w:spacing w:val="20"/>
                <w:highlight w:val="none"/>
              </w:rPr>
              <w:t xml:space="preserve">管理有关的荣誉或奖励</w:t>
            </w:r>
            <w:r>
              <w:rPr>
                <w:color w:val="000000" w:themeColor="text1"/>
                <w:spacing w:val="19"/>
                <w:highlight w:val="none"/>
              </w:rPr>
              <w:t xml:space="preserve">的得0.5分</w:t>
            </w:r>
            <w:r>
              <w:rPr>
                <w:color w:val="000000" w:themeColor="text1"/>
                <w:highlight w:val="none"/>
              </w:rPr>
              <w:t xml:space="preserve">  </w:t>
            </w:r>
            <w:r>
              <w:rPr>
                <w:color w:val="000000" w:themeColor="text1"/>
                <w:spacing w:val="16"/>
                <w:highlight w:val="none"/>
              </w:rPr>
              <w:t xml:space="preserve">；须提供相应有效获奖证明，本项最高得0</w:t>
            </w:r>
            <w:r>
              <w:rPr>
                <w:color w:val="000000" w:themeColor="text1"/>
                <w:spacing w:val="-51"/>
                <w:highlight w:val="none"/>
              </w:rPr>
              <w:t xml:space="preserve"> </w:t>
            </w:r>
            <w:r>
              <w:rPr>
                <w:color w:val="000000" w:themeColor="text1"/>
                <w:spacing w:val="16"/>
                <w:highlight w:val="none"/>
              </w:rPr>
              <w:t xml:space="preserve">.5分。</w:t>
            </w:r>
            <w:r/>
          </w:p>
        </w:tc>
        <w:tc>
          <w:tcPr>
            <w:tcW w:w="1235" w:type="dxa"/>
            <w:vAlign w:val="top"/>
            <w:textDirection w:val="lrTb"/>
            <w:noWrap w:val="false"/>
          </w:tcPr>
          <w:p>
            <w:pPr>
              <w:pStyle w:val="842"/>
              <w:ind w:left="136"/>
              <w:keepLines w:val="0"/>
              <w:keepNext w:val="0"/>
              <w:pageBreakBefore w:val="0"/>
              <w:spacing w:before="182" w:line="238" w:lineRule="auto"/>
              <w:widowControl/>
              <w:rPr>
                <w:color w:val="000000" w:themeColor="text1"/>
                <w:highlight w:val="none"/>
              </w:rPr>
            </w:pPr>
            <w:r>
              <w:rPr>
                <w:color w:val="000000" w:themeColor="text1"/>
                <w:spacing w:val="10"/>
                <w:highlight w:val="none"/>
              </w:rPr>
              <w:t xml:space="preserve">0.5</w:t>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keepLines w:val="0"/>
        <w:keepNext w:val="0"/>
        <w:pageBreakBefore w:val="0"/>
        <w:spacing w:line="328"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keepLines w:val="0"/>
        <w:keepNext w:val="0"/>
        <w:pageBreakBefore w:val="0"/>
        <w:spacing w:line="329" w:lineRule="auto"/>
        <w:widowControl/>
        <w:rPr>
          <w:rFonts w:ascii="Arial"/>
          <w:color w:val="000000" w:themeColor="text1"/>
          <w:sz w:val="21"/>
          <w:highlight w:val="none"/>
        </w:rPr>
      </w:pPr>
      <w:r>
        <w:rPr>
          <w:rFonts w:ascii="Arial"/>
          <w:color w:val="000000" w:themeColor="text1"/>
          <w:sz w:val="21"/>
          <w:highlight w:val="none"/>
        </w:rPr>
      </w:r>
      <w:r/>
    </w:p>
    <w:p>
      <w:pPr>
        <w:pStyle w:val="836"/>
        <w:ind w:left="2345"/>
        <w:keepLines w:val="0"/>
        <w:keepNext w:val="0"/>
        <w:pageBreakBefore w:val="0"/>
        <w:spacing w:before="188" w:line="214" w:lineRule="auto"/>
        <w:widowControl/>
        <w:rPr>
          <w:color w:val="000000" w:themeColor="text1"/>
          <w:sz w:val="44"/>
          <w:szCs w:val="44"/>
          <w:highlight w:val="none"/>
        </w:rPr>
        <w:outlineLvl w:val="0"/>
      </w:pPr>
      <w:r/>
      <w:bookmarkStart w:id="10" w:name="bookmark6"/>
      <w:r/>
      <w:bookmarkEnd w:id="10"/>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p>
    <w:p>
      <w:pPr>
        <w:pStyle w:val="836"/>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p>
        </w:tc>
        <w:tc>
          <w:tcPr>
            <w:tcW w:w="3477"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p>
        </w:tc>
        <w:tc>
          <w:tcPr>
            <w:tcW w:w="3484" w:type="dxa"/>
            <w:vAlign w:val="top"/>
            <w:textDirection w:val="lrTb"/>
            <w:noWrap w:val="false"/>
          </w:tcPr>
          <w:p>
            <w:pPr>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p>
        </w:tc>
      </w:tr>
      <w:tr>
        <w:trPr>
          <w:trHeight w:val="2644"/>
        </w:trPr>
        <w:tc>
          <w:tcPr>
            <w:tcW w:w="3484" w:type="dxa"/>
            <w:vAlign w:val="top"/>
            <w:textDirection w:val="lrTb"/>
            <w:noWrap w:val="false"/>
          </w:tcPr>
          <w:p>
            <w:pPr>
              <w:pStyle w:val="842"/>
              <w:ind w:left="1694"/>
              <w:keepLines w:val="0"/>
              <w:keepNext w:val="0"/>
              <w:pageBreakBefore w:val="0"/>
              <w:spacing w:before="171"/>
              <w:widowControl/>
              <w:rPr>
                <w:color w:val="000000" w:themeColor="text1"/>
                <w:highlight w:val="none"/>
              </w:rPr>
            </w:pPr>
            <w:r>
              <w:rPr>
                <w:color w:val="000000" w:themeColor="text1"/>
                <w:highlight w:val="none"/>
              </w:rPr>
              <w:t xml:space="preserve">1</w:t>
            </w:r>
            <w:r/>
          </w:p>
        </w:tc>
        <w:tc>
          <w:tcPr>
            <w:tcW w:w="3477" w:type="dxa"/>
            <w:vAlign w:val="top"/>
            <w:textDirection w:val="lrTb"/>
            <w:noWrap w:val="false"/>
          </w:tcPr>
          <w:p>
            <w:pPr>
              <w:pStyle w:val="842"/>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p>
        </w:tc>
        <w:tc>
          <w:tcPr>
            <w:tcW w:w="3484" w:type="dxa"/>
            <w:vAlign w:val="top"/>
            <w:vMerge w:val="restart"/>
            <w:textDirection w:val="lrTb"/>
            <w:noWrap w:val="false"/>
          </w:tcPr>
          <w:p>
            <w:pPr>
              <w:pStyle w:val="842"/>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p>
        </w:tc>
      </w:tr>
      <w:tr>
        <w:trPr>
          <w:trHeight w:val="1236"/>
        </w:trPr>
        <w:tc>
          <w:tcPr>
            <w:tcW w:w="3484" w:type="dxa"/>
            <w:vAlign w:val="top"/>
            <w:textDirection w:val="lrTb"/>
            <w:noWrap w:val="false"/>
          </w:tcPr>
          <w:p>
            <w:pPr>
              <w:pStyle w:val="842"/>
              <w:ind w:left="1681"/>
              <w:keepLines w:val="0"/>
              <w:keepNext w:val="0"/>
              <w:pageBreakBefore w:val="0"/>
              <w:spacing w:before="174"/>
              <w:widowControl/>
              <w:rPr>
                <w:color w:val="000000" w:themeColor="text1"/>
                <w:highlight w:val="none"/>
              </w:rPr>
            </w:pPr>
            <w:r>
              <w:rPr>
                <w:color w:val="000000" w:themeColor="text1"/>
                <w:highlight w:val="none"/>
              </w:rPr>
              <w:t xml:space="preserve">2</w:t>
            </w:r>
            <w:r/>
          </w:p>
        </w:tc>
        <w:tc>
          <w:tcPr>
            <w:tcW w:w="3477" w:type="dxa"/>
            <w:vAlign w:val="top"/>
            <w:textDirection w:val="lrTb"/>
            <w:noWrap w:val="false"/>
          </w:tcPr>
          <w:p>
            <w:pPr>
              <w:pStyle w:val="842"/>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42"/>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p>
        </w:tc>
        <w:tc>
          <w:tcPr>
            <w:tcW w:w="3477" w:type="dxa"/>
            <w:vAlign w:val="top"/>
            <w:textDirection w:val="lrTb"/>
            <w:noWrap w:val="false"/>
          </w:tcPr>
          <w:p>
            <w:pPr>
              <w:pStyle w:val="842"/>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p>
          <w:p>
            <w:pPr>
              <w:pStyle w:val="842"/>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42"/>
              <w:ind w:left="1677"/>
              <w:keepLines w:val="0"/>
              <w:keepNext w:val="0"/>
              <w:pageBreakBefore w:val="0"/>
              <w:spacing w:before="179"/>
              <w:widowControl/>
              <w:rPr>
                <w:color w:val="000000" w:themeColor="text1"/>
                <w:highlight w:val="none"/>
              </w:rPr>
            </w:pPr>
            <w:r>
              <w:rPr>
                <w:color w:val="000000" w:themeColor="text1"/>
                <w:highlight w:val="none"/>
              </w:rPr>
              <w:t xml:space="preserve">4</w:t>
            </w:r>
            <w:r/>
          </w:p>
        </w:tc>
        <w:tc>
          <w:tcPr>
            <w:tcW w:w="3477" w:type="dxa"/>
            <w:vAlign w:val="top"/>
            <w:textDirection w:val="lrTb"/>
            <w:noWrap w:val="false"/>
          </w:tcPr>
          <w:p>
            <w:pPr>
              <w:pStyle w:val="842"/>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p>
          <w:p>
            <w:pPr>
              <w:pStyle w:val="842"/>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p>
          <w:p>
            <w:pPr>
              <w:pStyle w:val="842"/>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42"/>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p>
        </w:tc>
        <w:tc>
          <w:tcPr>
            <w:tcW w:w="3477" w:type="dxa"/>
            <w:vAlign w:val="top"/>
            <w:textDirection w:val="lrTb"/>
            <w:noWrap w:val="false"/>
          </w:tcPr>
          <w:p>
            <w:pPr>
              <w:pStyle w:val="842"/>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p>
          <w:p>
            <w:pPr>
              <w:pStyle w:val="842"/>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42"/>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p>
        </w:tc>
        <w:tc>
          <w:tcPr>
            <w:tcW w:w="3477" w:type="dxa"/>
            <w:vAlign w:val="top"/>
            <w:textDirection w:val="lrTb"/>
            <w:noWrap w:val="false"/>
          </w:tcPr>
          <w:p>
            <w:pPr>
              <w:pStyle w:val="842"/>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p>
          <w:p>
            <w:pPr>
              <w:pStyle w:val="842"/>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before="78"/>
        <w:widowControl/>
        <w:rPr>
          <w:rFonts w:hint="eastAsia" w:eastAsia="宋体"/>
          <w:color w:val="000000" w:themeColor="text1"/>
          <w:highlight w:val="none"/>
        </w:rPr>
      </w:pPr>
      <w:r>
        <w:rPr>
          <w:rFonts w:hint="eastAsia" w:eastAsia="宋体"/>
          <w:color w:val="000000" w:themeColor="text1"/>
          <w:highlight w:val="none"/>
        </w:rPr>
      </w:r>
      <w:r/>
    </w:p>
    <w:tbl>
      <w:tblPr>
        <w:tblStyle w:val="84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42"/>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p>
        </w:tc>
        <w:tc>
          <w:tcPr>
            <w:tcW w:w="3477" w:type="dxa"/>
            <w:vAlign w:val="top"/>
            <w:textDirection w:val="lrTb"/>
            <w:noWrap w:val="false"/>
          </w:tcPr>
          <w:p>
            <w:pPr>
              <w:pStyle w:val="842"/>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p>
          <w:p>
            <w:pPr>
              <w:pStyle w:val="842"/>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p>
        </w:tc>
        <w:tc>
          <w:tcPr>
            <w:tcW w:w="3484" w:type="dxa"/>
            <w:vAlign w:val="top"/>
            <w:textDirection w:val="lrTb"/>
            <w:noWrap w:val="false"/>
          </w:tcPr>
          <w:p>
            <w:pPr>
              <w:pStyle w:val="842"/>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p>
        </w:tc>
      </w:tr>
      <w:tr>
        <w:trPr>
          <w:trHeight w:val="880"/>
        </w:trPr>
        <w:tc>
          <w:tcPr>
            <w:tcW w:w="3484" w:type="dxa"/>
            <w:vAlign w:val="top"/>
            <w:textDirection w:val="lrTb"/>
            <w:noWrap w:val="false"/>
          </w:tcPr>
          <w:p>
            <w:pPr>
              <w:pStyle w:val="842"/>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p>
        </w:tc>
        <w:tc>
          <w:tcPr>
            <w:tcW w:w="3477" w:type="dxa"/>
            <w:vAlign w:val="top"/>
            <w:textDirection w:val="lrTb"/>
            <w:noWrap w:val="false"/>
          </w:tcPr>
          <w:p>
            <w:pPr>
              <w:pStyle w:val="842"/>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p>
        </w:tc>
        <w:tc>
          <w:tcPr>
            <w:tcW w:w="3484" w:type="dxa"/>
            <w:vAlign w:val="top"/>
            <w:textDirection w:val="lrTb"/>
            <w:noWrap w:val="false"/>
          </w:tcPr>
          <w:p>
            <w:pPr>
              <w:pStyle w:val="842"/>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p>
        </w:tc>
      </w:tr>
      <w:tr>
        <w:trPr>
          <w:trHeight w:val="888"/>
        </w:trPr>
        <w:tc>
          <w:tcPr>
            <w:tcW w:w="3484" w:type="dxa"/>
            <w:vAlign w:val="top"/>
            <w:textDirection w:val="lrTb"/>
            <w:noWrap w:val="false"/>
          </w:tcPr>
          <w:p>
            <w:pPr>
              <w:pStyle w:val="842"/>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p>
        </w:tc>
        <w:tc>
          <w:tcPr>
            <w:gridSpan w:val="2"/>
            <w:tcW w:w="6961" w:type="dxa"/>
            <w:vAlign w:val="top"/>
            <w:textDirection w:val="lrTb"/>
            <w:noWrap w:val="false"/>
          </w:tcPr>
          <w:p>
            <w:pPr>
              <w:pStyle w:val="842"/>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p>
        </w:tc>
      </w:tr>
    </w:tbl>
    <w:p>
      <w:pPr>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p>
    <w:p>
      <w:pPr>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p>
    <w:p>
      <w:pPr>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p>
    <w:p>
      <w:pPr>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p>
    <w:p>
      <w:pPr>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p>
    <w:p>
      <w:pPr>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p>
    <w:p>
      <w:pPr>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p>
    <w:p>
      <w:pPr>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ind w:left="31" w:right="23" w:firstLine="2"/>
        <w:keepLines w:val="0"/>
        <w:keepNext w:val="0"/>
        <w:pageBreakBefore w:val="0"/>
        <w:spacing w:before="137"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p>
    <w:p>
      <w:pPr>
        <w:pStyle w:val="836"/>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p>
    <w:p>
      <w:pPr>
        <w:pStyle w:val="836"/>
        <w:keepLines w:val="0"/>
        <w:keepNext w:val="0"/>
        <w:pageBreakBefore w:val="0"/>
        <w:spacing w:before="57"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p>
    <w:tbl>
      <w:tblPr>
        <w:tblStyle w:val="84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p>
        </w:tc>
        <w:tc>
          <w:tcPr>
            <w:tcW w:w="3477"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p>
        </w:tc>
        <w:tc>
          <w:tcPr>
            <w:tcW w:w="3484" w:type="dxa"/>
            <w:vAlign w:val="top"/>
            <w:textDirection w:val="lrTb"/>
            <w:noWrap w:val="false"/>
          </w:tcPr>
          <w:p>
            <w:pPr>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p>
        </w:tc>
      </w:tr>
      <w:tr>
        <w:trPr>
          <w:trHeight w:val="527"/>
        </w:trPr>
        <w:tc>
          <w:tcPr>
            <w:tcW w:w="3484" w:type="dxa"/>
            <w:vAlign w:val="top"/>
            <w:textDirection w:val="lrTb"/>
            <w:noWrap w:val="false"/>
          </w:tcPr>
          <w:p>
            <w:pPr>
              <w:pStyle w:val="842"/>
              <w:ind w:left="1694"/>
              <w:keepLines w:val="0"/>
              <w:keepNext w:val="0"/>
              <w:pageBreakBefore w:val="0"/>
              <w:spacing w:before="175"/>
              <w:widowControl/>
              <w:rPr>
                <w:color w:val="000000" w:themeColor="text1"/>
                <w:highlight w:val="none"/>
              </w:rPr>
            </w:pPr>
            <w:r>
              <w:rPr>
                <w:color w:val="000000" w:themeColor="text1"/>
                <w:highlight w:val="none"/>
              </w:rPr>
              <w:t xml:space="preserve">1</w:t>
            </w:r>
            <w:r/>
          </w:p>
        </w:tc>
        <w:tc>
          <w:tcPr>
            <w:tcW w:w="3477" w:type="dxa"/>
            <w:vAlign w:val="top"/>
            <w:textDirection w:val="lrTb"/>
            <w:noWrap w:val="false"/>
          </w:tcPr>
          <w:p>
            <w:pPr>
              <w:pStyle w:val="842"/>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p>
        </w:tc>
        <w:tc>
          <w:tcPr>
            <w:tcW w:w="3484" w:type="dxa"/>
            <w:vAlign w:val="top"/>
            <w:vMerge w:val="restart"/>
            <w:textDirection w:val="lrTb"/>
            <w:noWrap w:val="false"/>
          </w:tcPr>
          <w:p>
            <w:pPr>
              <w:pStyle w:val="842"/>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p>
        </w:tc>
      </w:tr>
      <w:tr>
        <w:trPr>
          <w:trHeight w:val="535"/>
        </w:trPr>
        <w:tc>
          <w:tcPr>
            <w:tcW w:w="3484" w:type="dxa"/>
            <w:vAlign w:val="top"/>
            <w:textDirection w:val="lrTb"/>
            <w:noWrap w:val="false"/>
          </w:tcPr>
          <w:p>
            <w:pPr>
              <w:pStyle w:val="842"/>
              <w:ind w:left="1681"/>
              <w:keepLines w:val="0"/>
              <w:keepNext w:val="0"/>
              <w:pageBreakBefore w:val="0"/>
              <w:spacing w:before="180"/>
              <w:widowControl/>
              <w:rPr>
                <w:color w:val="000000" w:themeColor="text1"/>
                <w:highlight w:val="none"/>
              </w:rPr>
            </w:pPr>
            <w:r>
              <w:rPr>
                <w:color w:val="000000" w:themeColor="text1"/>
                <w:highlight w:val="none"/>
              </w:rPr>
              <w:t xml:space="preserve">2</w:t>
            </w:r>
            <w:r/>
          </w:p>
        </w:tc>
        <w:tc>
          <w:tcPr>
            <w:tcW w:w="3477" w:type="dxa"/>
            <w:vAlign w:val="top"/>
            <w:textDirection w:val="lrTb"/>
            <w:noWrap w:val="false"/>
          </w:tcPr>
          <w:p>
            <w:pPr>
              <w:pStyle w:val="842"/>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42"/>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p>
        </w:tc>
        <w:tc>
          <w:tcPr>
            <w:tcW w:w="3477" w:type="dxa"/>
            <w:vAlign w:val="top"/>
            <w:textDirection w:val="lrTb"/>
            <w:noWrap w:val="false"/>
          </w:tcPr>
          <w:p>
            <w:pPr>
              <w:pStyle w:val="842"/>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p>
        </w:tc>
        <w:tc>
          <w:tcPr>
            <w:tcW w:w="3484" w:type="dxa"/>
            <w:vAlign w:val="top"/>
            <w:vMerge w:val="restart"/>
            <w:textDirection w:val="lrTb"/>
            <w:noWrap w:val="false"/>
          </w:tcPr>
          <w:p>
            <w:pPr>
              <w:pStyle w:val="842"/>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p>
        </w:tc>
      </w:tr>
      <w:tr>
        <w:trPr>
          <w:trHeight w:val="529"/>
        </w:trPr>
        <w:tc>
          <w:tcPr>
            <w:tcW w:w="3484" w:type="dxa"/>
            <w:vAlign w:val="top"/>
            <w:textDirection w:val="lrTb"/>
            <w:noWrap w:val="false"/>
          </w:tcPr>
          <w:p>
            <w:pPr>
              <w:pStyle w:val="842"/>
              <w:ind w:left="1677"/>
              <w:keepLines w:val="0"/>
              <w:keepNext w:val="0"/>
              <w:pageBreakBefore w:val="0"/>
              <w:spacing w:before="174"/>
              <w:widowControl/>
              <w:rPr>
                <w:color w:val="000000" w:themeColor="text1"/>
                <w:highlight w:val="none"/>
              </w:rPr>
            </w:pPr>
            <w:r>
              <w:rPr>
                <w:color w:val="000000" w:themeColor="text1"/>
                <w:highlight w:val="none"/>
              </w:rPr>
              <w:t xml:space="preserve">4</w:t>
            </w:r>
            <w:r/>
          </w:p>
        </w:tc>
        <w:tc>
          <w:tcPr>
            <w:tcW w:w="3477" w:type="dxa"/>
            <w:vAlign w:val="top"/>
            <w:textDirection w:val="lrTb"/>
            <w:noWrap w:val="false"/>
          </w:tcPr>
          <w:p>
            <w:pPr>
              <w:pStyle w:val="842"/>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42"/>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p>
        </w:tc>
        <w:tc>
          <w:tcPr>
            <w:tcW w:w="3477" w:type="dxa"/>
            <w:vAlign w:val="top"/>
            <w:textDirection w:val="lrTb"/>
            <w:noWrap w:val="false"/>
          </w:tcPr>
          <w:p>
            <w:pPr>
              <w:pStyle w:val="842"/>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p>
        </w:tc>
        <w:tc>
          <w:tcPr>
            <w:tcW w:w="3484" w:type="dxa"/>
            <w:vAlign w:val="top"/>
            <w:vMerge w:val="restart"/>
            <w:textDirection w:val="lrTb"/>
            <w:noWrap w:val="false"/>
          </w:tcPr>
          <w:p>
            <w:pPr>
              <w:pStyle w:val="842"/>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p>
        </w:tc>
      </w:tr>
      <w:tr>
        <w:trPr>
          <w:trHeight w:val="888"/>
        </w:trPr>
        <w:tc>
          <w:tcPr>
            <w:tcW w:w="3484" w:type="dxa"/>
            <w:vAlign w:val="top"/>
            <w:textDirection w:val="lrTb"/>
            <w:noWrap w:val="false"/>
          </w:tcPr>
          <w:p>
            <w:pPr>
              <w:pStyle w:val="842"/>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p>
        </w:tc>
        <w:tc>
          <w:tcPr>
            <w:tcW w:w="3477" w:type="dxa"/>
            <w:vAlign w:val="top"/>
            <w:textDirection w:val="lrTb"/>
            <w:noWrap w:val="false"/>
          </w:tcPr>
          <w:p>
            <w:pPr>
              <w:pStyle w:val="842"/>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p>
    <w:p>
      <w:pPr>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p>
    <w:p>
      <w:pPr>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p>
    <w:p>
      <w:pPr>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p>
    <w:p>
      <w:pPr>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p>
    <w:p>
      <w:pPr>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p>
    <w:p>
      <w:pPr>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p>
    <w:p>
      <w:pPr>
        <w:pStyle w:val="836"/>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p>
    <w:p>
      <w:pPr>
        <w:pStyle w:val="836"/>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p>
    <w:p>
      <w:pPr>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1" name="组合 1"/>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图片 2"/>
                          <pic:cNvPicPr/>
                          <pic:nvPr/>
                        </pic:nvPicPr>
                        <pic:blipFill>
                          <a:blip r:embed="rId11"/>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11" o:title=""/>
                </v:shape>
                <v:shape id="shape 2" o:spid="_x0000_s2" o:spt="202" type="#_x0000_t202" style="position:absolute;left:0;top:7;width:16;height:2;visibility:visible;" filled="f" stroked="f">
                  <v:textbox inset="0,0,0,0">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v:textbox>
                </v:shape>
              </v:group>
            </w:pict>
          </mc:Fallback>
        </mc:AlternateContent>
      </w:r>
      <w:r/>
    </w:p>
    <w:p>
      <w:pPr>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p>
    <w:p>
      <w:pPr>
        <w:ind w:left="33"/>
        <w:keepLines w:val="0"/>
        <w:keepNext w:val="0"/>
        <w:pageBreakBefore w:val="0"/>
        <w:spacing w:before="130"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市民中心保洁服务外包</w:t>
      </w:r>
      <w:r/>
    </w:p>
    <w:p>
      <w:pPr>
        <w:ind w:left="31"/>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p>
    <w:p>
      <w:pPr>
        <w:ind w:left="6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p>
    <w:p>
      <w:pPr>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p>
    <w:p>
      <w:pPr>
        <w:pStyle w:val="836"/>
        <w:ind w:left="31"/>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p>
    <w:p>
      <w:pPr>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JSZC-320200-JZCG-G2026-0073</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p>
    <w:p>
      <w:pPr>
        <w:ind w:left="3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p>
    <w:p>
      <w:pPr>
        <w:ind w:left="32"/>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p>
    <w:p>
      <w:pPr>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ind w:left="7" w:right="4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p>
    <w:p>
      <w:pPr>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p>
    <w:p>
      <w:pPr>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p>
    <w:p>
      <w:pPr>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pStyle w:val="836"/>
        <w:ind w:left="11" w:right="42" w:hanging="9"/>
        <w:keepLines w:val="0"/>
        <w:keepNext w:val="0"/>
        <w:pageBreakBefore w:val="0"/>
        <w:spacing w:before="110"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p>
    <w:p>
      <w:pPr>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p>
    <w:p>
      <w:pPr>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p>
    <w:p>
      <w:pPr>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p>
    <w:p>
      <w:pPr>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p>
    <w:p>
      <w:pPr>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p>
    <w:p>
      <w:pPr>
        <w:pStyle w:val="836"/>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p>
    <w:p>
      <w:pPr>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p>
    <w:p>
      <w:pPr>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p>
    <w:p>
      <w:pPr>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JSZC-320200-JZCG-G2026-0073</w:t>
      </w:r>
      <w:r>
        <w:rPr>
          <w:rFonts w:ascii="宋体" w:hAnsi="宋体" w:eastAsia="宋体" w:cs="宋体"/>
          <w:color w:val="000000" w:themeColor="text1"/>
          <w:spacing w:val="20"/>
          <w:sz w:val="21"/>
          <w:szCs w:val="21"/>
          <w:highlight w:val="none"/>
        </w:rPr>
        <w:t xml:space="preserve">进行投标，并作如下声明</w:t>
      </w:r>
      <w:r/>
    </w:p>
    <w:p>
      <w:pPr>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p>
    <w:p>
      <w:pPr>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p>
    <w:p>
      <w:pPr>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p>
    <w:p>
      <w:pPr>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p>
    <w:p>
      <w:pPr>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p>
    <w:p>
      <w:pPr>
        <w:pStyle w:val="836"/>
        <w:ind w:left="12"/>
        <w:keepLines w:val="0"/>
        <w:keepNext w:val="0"/>
        <w:pageBreakBefore w:val="0"/>
        <w:spacing w:before="91" w:line="209" w:lineRule="auto"/>
        <w:widowControl/>
        <w:rPr>
          <w:rFonts w:hint="eastAsia" w:eastAsia="微软雅黑"/>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p>
    <w:p>
      <w:pPr>
        <w:ind w:left="3984"/>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p>
    <w:p>
      <w:pPr>
        <w:ind w:left="8"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p>
    <w:p>
      <w:pPr>
        <w:ind w:left="8" w:firstLine="14"/>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w:t>
      </w:r>
      <w:r>
        <w:rPr>
          <w:rFonts w:ascii="宋体" w:hAnsi="宋体" w:eastAsia="宋体" w:cs="宋体"/>
          <w:color w:val="000000" w:themeColor="text1"/>
          <w:spacing w:val="5"/>
          <w:sz w:val="21"/>
          <w:szCs w:val="21"/>
          <w:highlight w:val="none"/>
        </w:rPr>
        <w:t xml:space="preserve">（承接）企业为</w:t>
      </w:r>
      <w:r>
        <w:rPr>
          <w:rFonts w:ascii="宋体" w:hAnsi="宋体" w:eastAsia="宋体" w:cs="宋体"/>
          <w:color w:val="000000" w:themeColor="text1"/>
          <w:spacing w:val="5"/>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p>
    <w:p>
      <w:pPr>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keepLines w:val="0"/>
        <w:keepNext w:val="0"/>
        <w:pageBreakBefore w:val="0"/>
        <w:spacing w:before="68" w:line="221"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p>
    <w:p>
      <w:pPr>
        <w:ind w:firstLine="10"/>
        <w:keepLines w:val="0"/>
        <w:keepNext w:val="0"/>
        <w:pageBreakBefore w:val="0"/>
        <w:spacing w:before="126" w:line="332"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2.</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承建（承接）企业为</w:t>
      </w:r>
      <w:r>
        <w:rPr>
          <w:rFonts w:ascii="宋体" w:hAnsi="宋体" w:eastAsia="宋体" w:cs="宋体"/>
          <w:color w:val="000000" w:themeColor="text1"/>
          <w:spacing w:val="6"/>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p>
    <w:p>
      <w:pPr>
        <w:ind w:left="21"/>
        <w:keepLines w:val="0"/>
        <w:keepNext w:val="0"/>
        <w:pageBreakBefore w:val="0"/>
        <w:spacing w:line="329"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p>
    <w:p>
      <w:pPr>
        <w:ind w:left="28" w:right="42" w:firstLine="1"/>
        <w:keepLines w:val="0"/>
        <w:keepNext w:val="0"/>
        <w:pageBreakBefore w:val="0"/>
        <w:spacing w:before="4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p>
    <w:p>
      <w:pPr>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p>
    <w:p>
      <w:pPr>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p>
    <w:p>
      <w:pPr>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p>
    <w:p>
      <w:pPr>
        <w:ind w:left="9" w:right="42" w:hanging="2"/>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themeColor="text1"/>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ind w:left="13"/>
        <w:keepLines w:val="0"/>
        <w:keepNext w:val="0"/>
        <w:pageBreakBefore w:val="0"/>
        <w:spacing w:before="13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p>
    <w:p>
      <w:pPr>
        <w:ind w:left="9" w:right="42"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p>
    <w:p>
      <w:pPr>
        <w:pStyle w:val="836"/>
        <w:ind w:left="28"/>
        <w:keepLines w:val="0"/>
        <w:keepNext w:val="0"/>
        <w:pageBreakBefore w:val="0"/>
        <w:spacing w:before="90" w:line="209" w:lineRule="auto"/>
        <w:widowControl/>
        <w:rPr>
          <w:color w:val="000000" w:themeColor="text1"/>
          <w:sz w:val="21"/>
          <w:szCs w:val="21"/>
          <w:highlight w:val="none"/>
        </w:rPr>
      </w:pPr>
      <w:r>
        <w:rPr>
          <w:color w:val="000000" w:themeColor="text1"/>
          <w:sz w:val="21"/>
          <w:szCs w:val="2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p>
    <w:p>
      <w:pPr>
        <w:pStyle w:val="836"/>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p>
    <w:p>
      <w:pPr>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p>
    <w:p>
      <w:pPr>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p>
    <w:p>
      <w:pPr>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p>
    <w:p>
      <w:pPr>
        <w:ind w:left="44"/>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p>
    <w:p>
      <w:pPr>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p>
    <w:p>
      <w:pPr>
        <w:pStyle w:val="836"/>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p>
    <w:p>
      <w:pPr>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JSZC-320200-JZCG-G2026-0073</w:t>
      </w:r>
      <w:r>
        <w:rPr>
          <w:rFonts w:ascii="宋体" w:hAnsi="宋体" w:eastAsia="宋体" w:cs="宋体"/>
          <w:color w:val="000000" w:themeColor="text1"/>
          <w:spacing w:val="19"/>
          <w:sz w:val="21"/>
          <w:szCs w:val="21"/>
          <w:highlight w:val="none"/>
        </w:rPr>
        <w:t xml:space="preserve">招标文件，经仔细阅读和研究，我方决定参加此项目的投标。</w:t>
      </w:r>
      <w:r/>
    </w:p>
    <w:p>
      <w:pPr>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p>
    <w:p>
      <w:pPr>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p>
    <w:p>
      <w:pPr>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p>
    <w:p>
      <w:pPr>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p>
    <w:p>
      <w:pPr>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p>
    <w:p>
      <w:pPr>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p>
    <w:p>
      <w:pPr>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p>
    <w:p>
      <w:pPr>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p>
    <w:p>
      <w:pPr>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p>
    <w:p>
      <w:pPr>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p>
    <w:p>
      <w:pPr>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p>
    <w:p>
      <w:pPr>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p>
    <w:p>
      <w:pPr>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p>
    <w:p>
      <w:pPr>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p>
    <w:p>
      <w:pPr>
        <w:pStyle w:val="836"/>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p>
    <w:p>
      <w:pPr>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p>
    <w:p>
      <w:pPr>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JSZC-320200-JZCG-G2026-0073</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p>
    <w:p>
      <w:pPr>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p>
    <w:p>
      <w:pPr>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p>
    <w:p>
      <w:pPr>
        <w:ind w:left="6" w:firstLine="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p>
    <w:p>
      <w:pPr>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p>
    <w:p>
      <w:pPr>
        <w:ind w:left="12"/>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p>
    <w:p>
      <w:pPr>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p>
    <w:p>
      <w:pPr>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155" cy="2159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6pt;height:1.7pt;mso-wrap-distance-left:0.0pt;mso-wrap-distance-top:0.0pt;mso-wrap-distance-right:0.0pt;mso-wrap-distance-bottom:0.0pt;" stroked="f">
                <v:path textboxrect="0,0,0,0"/>
                <v:imagedata r:id="rId12" o:title=""/>
              </v:shape>
            </w:pict>
          </mc:Fallback>
        </mc:AlternateContent>
      </w:r>
      <w:r/>
    </w:p>
    <w:p>
      <w:pPr>
        <w:ind w:left="9"/>
        <w:keepLines w:val="0"/>
        <w:keepNext w:val="0"/>
        <w:pageBreakBefore w:val="0"/>
        <w:spacing w:before="25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p>
    <w:p>
      <w:pPr>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p>
    <w:p>
      <w:pPr>
        <w:ind w:left="13"/>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p>
    <w:p>
      <w:pPr>
        <w:pStyle w:val="836"/>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p>
    <w:p>
      <w:pPr>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p>
    <w:p>
      <w:pPr>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p>
    <w:p>
      <w:pPr>
        <w:keepLines w:val="0"/>
        <w:keepNext w:val="0"/>
        <w:pageBreakBefore w:val="0"/>
        <w:spacing w:line="29"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p>
        </w:tc>
        <w:tc>
          <w:tcPr>
            <w:tcW w:w="5223" w:type="dxa"/>
            <w:vAlign w:val="top"/>
            <w:textDirection w:val="lrTb"/>
            <w:noWrap w:val="false"/>
          </w:tcPr>
          <w:p>
            <w:pPr>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p>
        </w:tc>
      </w:tr>
      <w:tr>
        <w:trPr>
          <w:trHeight w:val="527"/>
        </w:trPr>
        <w:tc>
          <w:tcPr>
            <w:tcW w:w="5222" w:type="dxa"/>
            <w:vAlign w:val="top"/>
            <w:textDirection w:val="lrTb"/>
            <w:noWrap w:val="false"/>
          </w:tcPr>
          <w:p>
            <w:pPr>
              <w:pStyle w:val="842"/>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市民中心保洁服务外包</w:t>
            </w:r>
            <w:r/>
          </w:p>
        </w:tc>
        <w:tc>
          <w:tcPr>
            <w:tcW w:w="522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r>
        <w:trPr>
          <w:trHeight w:val="535"/>
        </w:trPr>
        <w:tc>
          <w:tcPr>
            <w:gridSpan w:val="2"/>
            <w:tcW w:w="10445" w:type="dxa"/>
            <w:vAlign w:val="top"/>
            <w:textDirection w:val="lrTb"/>
            <w:noWrap w:val="false"/>
          </w:tcPr>
          <w:p>
            <w:pPr>
              <w:pStyle w:val="842"/>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p>
        </w:tc>
      </w:tr>
    </w:tbl>
    <w:p>
      <w:pPr>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p>
    <w:p>
      <w:pPr>
        <w:ind w:left="22" w:right="86" w:hanging="15"/>
        <w:jc w:val="both"/>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p>
    <w:p>
      <w:pPr>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p>
    <w:p>
      <w:pPr>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p>
    <w:p>
      <w:pPr>
        <w:pStyle w:val="836"/>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p>
    <w:p>
      <w:pPr>
        <w:ind w:firstLine="420"/>
        <w:jc w:val="center"/>
        <w:spacing w:line="400" w:lineRule="exact"/>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p>
    <w:tbl>
      <w:tblPr>
        <w:tblStyle w:val="663"/>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396"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38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941"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人员费</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eastAsia="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器械</w:t>
            </w:r>
            <w:r>
              <w:rPr>
                <w:rFonts w:hint="eastAsia" w:ascii="宋体" w:hAnsi="宋体"/>
                <w:b/>
                <w:color w:val="000000" w:themeColor="text1"/>
                <w:highlight w:val="none"/>
                <w:lang w:eastAsia="zh-CN"/>
              </w:rPr>
              <w:t xml:space="preserve">、</w:t>
            </w:r>
            <w:r>
              <w:rPr>
                <w:rFonts w:hint="eastAsia" w:ascii="宋体" w:hAnsi="宋体"/>
                <w:b/>
                <w:color w:val="000000" w:themeColor="text1"/>
                <w:highlight w:val="none"/>
              </w:rPr>
              <w:t xml:space="preserve">装备</w:t>
            </w:r>
            <w:r>
              <w:rPr>
                <w:rFonts w:hint="eastAsia" w:ascii="宋体" w:hAnsi="宋体"/>
                <w:b/>
                <w:color w:val="000000" w:themeColor="text1"/>
                <w:highlight w:val="none"/>
                <w:lang w:eastAsia="zh-CN"/>
              </w:rPr>
              <w:t xml:space="preserve">、</w:t>
            </w:r>
            <w:r>
              <w:rPr>
                <w:rFonts w:hint="eastAsia" w:ascii="宋体" w:hAnsi="宋体"/>
                <w:b/>
                <w:color w:val="000000" w:themeColor="text1"/>
                <w:highlight w:val="none"/>
                <w:lang w:val="en-US" w:eastAsia="zh-CN"/>
              </w:rPr>
              <w:t xml:space="preserve">设备</w:t>
            </w:r>
            <w:r>
              <w:rPr>
                <w:rFonts w:hint="eastAsia" w:ascii="宋体" w:hAnsi="宋体"/>
                <w:b/>
                <w:color w:val="000000" w:themeColor="text1"/>
                <w:highlight w:val="none"/>
              </w:rPr>
              <w:t xml:space="preserve">费</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eastAsia="宋体"/>
                <w:b/>
                <w:color w:val="000000" w:themeColor="text1"/>
                <w:highlight w:val="none"/>
              </w:rPr>
            </w:pPr>
            <w:r>
              <w:rPr>
                <w:rFonts w:hint="eastAsia" w:ascii="宋体" w:hAnsi="宋体"/>
                <w:b/>
                <w:color w:val="000000" w:themeColor="text1"/>
                <w:highlight w:val="none"/>
                <w:lang w:eastAsia="zh-CN"/>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39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38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9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lang w:val="en-US" w:eastAsia="zh-CN"/>
        </w:rPr>
        <w:t xml:space="preserve">或可</w:t>
      </w:r>
      <w:r>
        <w:rPr>
          <w:rFonts w:hint="eastAsia" w:ascii="宋体" w:hAnsi="宋体"/>
          <w:color w:val="000000" w:themeColor="text1"/>
          <w:highlight w:val="none"/>
        </w:rPr>
        <w:t xml:space="preserve">自行列清单附后</w:t>
      </w:r>
      <w:r>
        <w:rPr>
          <w:rFonts w:hint="eastAsia" w:ascii="宋体" w:hAnsi="宋体"/>
          <w:bCs/>
          <w:color w:val="000000" w:themeColor="text1"/>
          <w:highlight w:val="none"/>
        </w:rPr>
        <w:t xml:space="preserve">。</w:t>
      </w:r>
      <w:r/>
    </w:p>
    <w:p>
      <w:pPr>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p>
    <w:p>
      <w:pPr>
        <w:pStyle w:val="836"/>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p>
    <w:p>
      <w:pPr>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p>
    <w:p>
      <w:pPr>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p>
    <w:p>
      <w:pPr>
        <w:keepLines w:val="0"/>
        <w:keepNext w:val="0"/>
        <w:pageBreakBefore w:val="0"/>
        <w:spacing w:line="29"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p>
        </w:tc>
        <w:tc>
          <w:tcPr>
            <w:tcW w:w="2608" w:type="dxa"/>
            <w:vAlign w:val="top"/>
            <w:textDirection w:val="lrTb"/>
            <w:noWrap w:val="false"/>
          </w:tcPr>
          <w:p>
            <w:pPr>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p>
        </w:tc>
        <w:tc>
          <w:tcPr>
            <w:tcW w:w="2607" w:type="dxa"/>
            <w:vAlign w:val="top"/>
            <w:textDirection w:val="lrTb"/>
            <w:noWrap w:val="false"/>
          </w:tcPr>
          <w:p>
            <w:pPr>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p>
        </w:tc>
        <w:tc>
          <w:tcPr>
            <w:tcW w:w="2615" w:type="dxa"/>
            <w:vAlign w:val="top"/>
            <w:textDirection w:val="lrTb"/>
            <w:noWrap w:val="false"/>
          </w:tcPr>
          <w:p>
            <w:pPr>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p>
        </w:tc>
      </w:tr>
      <w:tr>
        <w:trPr>
          <w:trHeight w:val="532"/>
        </w:trPr>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2608"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2607"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p>
    <w:p>
      <w:pPr>
        <w:pStyle w:val="836"/>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p>
    <w:p>
      <w:pPr>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p>
    <w:p>
      <w:pPr>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p>
    <w:p>
      <w:pPr>
        <w:ind w:left="419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p>
    <w:p>
      <w:pPr>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p>
    <w:p>
      <w:pPr>
        <w:keepLines w:val="0"/>
        <w:keepNext w:val="0"/>
        <w:pageBreakBefore w:val="0"/>
        <w:spacing w:line="29" w:lineRule="exact"/>
        <w:widowControl/>
        <w:rPr>
          <w:color w:val="000000" w:themeColor="text1"/>
          <w:highlight w:val="none"/>
        </w:rPr>
      </w:pPr>
      <w:r>
        <w:rPr>
          <w:color w:val="000000" w:themeColor="text1"/>
          <w:highlight w:val="none"/>
        </w:rPr>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p>
        </w:tc>
        <w:tc>
          <w:tcPr>
            <w:tcW w:w="1159" w:type="dxa"/>
            <w:vAlign w:val="top"/>
            <w:textDirection w:val="lrTb"/>
            <w:noWrap w:val="false"/>
          </w:tcPr>
          <w:p>
            <w:pPr>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p>
        </w:tc>
        <w:tc>
          <w:tcPr>
            <w:tcW w:w="1159" w:type="dxa"/>
            <w:vAlign w:val="top"/>
            <w:textDirection w:val="lrTb"/>
            <w:noWrap w:val="false"/>
          </w:tcPr>
          <w:p>
            <w:pPr>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p>
        </w:tc>
        <w:tc>
          <w:tcPr>
            <w:tcW w:w="1159" w:type="dxa"/>
            <w:vAlign w:val="top"/>
            <w:textDirection w:val="lrTb"/>
            <w:noWrap w:val="false"/>
          </w:tcPr>
          <w:p>
            <w:pPr>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p>
        </w:tc>
        <w:tc>
          <w:tcPr>
            <w:tcW w:w="1159" w:type="dxa"/>
            <w:vAlign w:val="top"/>
            <w:textDirection w:val="lrTb"/>
            <w:noWrap w:val="false"/>
          </w:tcPr>
          <w:p>
            <w:pPr>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p>
        </w:tc>
        <w:tc>
          <w:tcPr>
            <w:tcW w:w="1159" w:type="dxa"/>
            <w:vAlign w:val="top"/>
            <w:textDirection w:val="lrTb"/>
            <w:noWrap w:val="false"/>
          </w:tcPr>
          <w:p>
            <w:pPr>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p>
        </w:tc>
        <w:tc>
          <w:tcPr>
            <w:tcW w:w="1159" w:type="dxa"/>
            <w:vAlign w:val="top"/>
            <w:textDirection w:val="lrTb"/>
            <w:noWrap w:val="false"/>
          </w:tcPr>
          <w:p>
            <w:pPr>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p>
        </w:tc>
        <w:tc>
          <w:tcPr>
            <w:tcW w:w="1159" w:type="dxa"/>
            <w:vAlign w:val="top"/>
            <w:textDirection w:val="lrTb"/>
            <w:noWrap w:val="false"/>
          </w:tcPr>
          <w:p>
            <w:pPr>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p>
          <w:p>
            <w:pPr>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p>
          <w:p>
            <w:pPr>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p>
          <w:p>
            <w:pPr>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p>
        </w:tc>
        <w:tc>
          <w:tcPr>
            <w:tcW w:w="1166" w:type="dxa"/>
            <w:vAlign w:val="top"/>
            <w:textDirection w:val="lrTb"/>
            <w:noWrap w:val="false"/>
          </w:tcPr>
          <w:p>
            <w:pPr>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r>
        <w:trPr>
          <w:trHeight w:val="531"/>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pStyle w:val="842"/>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r>
        <w:trPr>
          <w:trHeight w:val="538"/>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p>
    <w:p>
      <w:pPr>
        <w:rPr>
          <w:rFonts w:ascii="宋体" w:hAnsi="宋体"/>
          <w:bCs/>
          <w:color w:val="000000" w:themeColor="text1"/>
          <w:highlight w:val="none"/>
        </w:rPr>
      </w:pPr>
      <w:r>
        <w:rPr>
          <w:rFonts w:ascii="宋体" w:hAnsi="宋体" w:eastAsia="宋体" w:cs="宋体"/>
          <w:color w:val="000000" w:themeColor="text1"/>
          <w:spacing w:val="18"/>
          <w:sz w:val="21"/>
          <w:szCs w:val="21"/>
          <w:highlight w:val="none"/>
        </w:rPr>
        <w:t xml:space="preserve">注：</w:t>
      </w:r>
      <w:r>
        <w:rPr>
          <w:rFonts w:hint="eastAsia" w:ascii="宋体" w:hAnsi="宋体"/>
          <w:bCs/>
          <w:color w:val="000000" w:themeColor="text1"/>
          <w:highlight w:val="none"/>
        </w:rPr>
        <w:t xml:space="preserve">1. 本表对应评分标准中的项目人员配置情况，表格不够可自行延长。</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2.上表内容须按评分标准中的相关要求提供相应证明材料。</w:t>
      </w:r>
      <w:r/>
    </w:p>
    <w:p>
      <w:pPr>
        <w:ind w:firstLine="420"/>
        <w:rPr>
          <w:rFonts w:ascii="宋体" w:hAnsi="宋体" w:eastAsia="宋体"/>
          <w:bCs/>
          <w:color w:val="000000" w:themeColor="text1"/>
          <w:highlight w:val="none"/>
        </w:rPr>
      </w:pP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上表</w:t>
      </w:r>
      <w:r>
        <w:rPr>
          <w:rFonts w:hint="eastAsia" w:ascii="宋体" w:hAnsi="宋体"/>
          <w:bCs/>
          <w:color w:val="000000" w:themeColor="text1"/>
          <w:highlight w:val="none"/>
          <w:lang w:val="en-US" w:eastAsia="zh-CN"/>
        </w:rPr>
        <w:t xml:space="preserve">中所填人员</w:t>
      </w:r>
      <w:r>
        <w:rPr>
          <w:rFonts w:hint="eastAsia" w:ascii="宋体" w:hAnsi="宋体"/>
          <w:bCs/>
          <w:color w:val="000000" w:themeColor="text1"/>
          <w:highlight w:val="none"/>
        </w:rPr>
        <w:t xml:space="preserve">须提供投标人近一年中任意一个月份（不含投标当月）</w:t>
      </w:r>
      <w:r>
        <w:rPr>
          <w:rFonts w:hint="eastAsia" w:ascii="宋体" w:hAnsi="宋体"/>
          <w:bCs/>
          <w:color w:val="000000" w:themeColor="text1"/>
          <w:highlight w:val="none"/>
          <w:lang w:val="en-US" w:eastAsia="zh-CN"/>
        </w:rPr>
        <w:t xml:space="preserve">为其缴纳的</w:t>
      </w:r>
      <w:r>
        <w:rPr>
          <w:rFonts w:hint="eastAsia" w:ascii="宋体" w:hAnsi="宋体"/>
          <w:bCs/>
          <w:color w:val="000000" w:themeColor="text1"/>
          <w:highlight w:val="none"/>
        </w:rPr>
        <w:t xml:space="preserve">经社保部门确认的社保缴纳</w:t>
      </w:r>
      <w:r>
        <w:rPr>
          <w:rFonts w:hint="eastAsia" w:ascii="宋体" w:hAnsi="宋体"/>
          <w:bCs/>
          <w:color w:val="000000" w:themeColor="text1"/>
          <w:highlight w:val="none"/>
          <w:lang w:val="en-US" w:eastAsia="zh-CN"/>
        </w:rPr>
        <w:t xml:space="preserve">证明材料</w:t>
      </w: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否则该人员不得分。</w:t>
      </w:r>
      <w:r/>
    </w:p>
    <w:p>
      <w:pPr>
        <w:ind w:firstLine="420"/>
        <w:rPr>
          <w:rFonts w:hint="eastAsia" w:ascii="宋体" w:hAnsi="宋体"/>
          <w:bCs/>
          <w:color w:val="000000" w:themeColor="text1"/>
          <w:sz w:val="24"/>
          <w:szCs w:val="24"/>
          <w:highlight w:val="none"/>
        </w:rPr>
      </w:pPr>
      <w:r>
        <w:rPr>
          <w:rFonts w:hint="eastAsia" w:ascii="宋体" w:hAnsi="宋体"/>
          <w:bCs/>
          <w:color w:val="000000" w:themeColor="text1"/>
          <w:highlight w:val="none"/>
          <w:lang w:val="en-US" w:eastAsia="zh-CN"/>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w:t>
      </w:r>
      <w:r>
        <w:rPr>
          <w:rFonts w:hint="eastAsia" w:ascii="宋体" w:hAnsi="宋体"/>
          <w:bCs/>
          <w:color w:val="000000" w:themeColor="text1"/>
          <w:highlight w:val="none"/>
        </w:rPr>
        <w:t xml:space="preserve">该人员</w:t>
      </w:r>
      <w:r>
        <w:rPr>
          <w:rFonts w:hint="eastAsia" w:ascii="宋体" w:hAnsi="宋体"/>
          <w:bCs/>
          <w:color w:val="000000" w:themeColor="text1"/>
          <w:highlight w:val="none"/>
          <w:lang w:val="en-US" w:eastAsia="zh-CN"/>
        </w:rPr>
        <w:t xml:space="preserve">签订的有效劳务（劳动）合同或其他有效用工证明材料；否则该人员不得分。</w:t>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numPr>
          <w:ilvl w:val="0"/>
          <w:numId w:val="0"/>
        </w:numPr>
        <w:jc w:val="left"/>
        <w:keepLines w:val="0"/>
        <w:keepNext w:val="0"/>
        <w:pageBreakBefore w:val="0"/>
        <w:spacing w:before="69" w:line="218" w:lineRule="auto"/>
        <w:widowControl/>
        <w:rPr>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十二、工资发放承诺函（格式）</w:t>
      </w:r>
      <w:r/>
    </w:p>
    <w:p>
      <w:pPr>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rPr>
      </w:r>
      <w:r/>
    </w:p>
    <w:p>
      <w:pPr>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rPr>
      </w:r>
      <w:r/>
    </w:p>
    <w:p>
      <w:pPr>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工资发放承诺函</w:t>
      </w:r>
      <w:r/>
    </w:p>
    <w:p>
      <w:pPr>
        <w:numPr>
          <w:ilvl w:val="0"/>
          <w:numId w:val="0"/>
        </w:numPr>
        <w:keepLines w:val="0"/>
        <w:keepNext w:val="0"/>
        <w:pageBreakBefore w:val="0"/>
        <w:spacing w:before="69" w:line="218" w:lineRule="auto"/>
        <w:widowControl/>
        <w:rPr>
          <w:b/>
          <w:bCs/>
          <w:color w:val="000000" w:themeColor="text1"/>
          <w:spacing w:val="1"/>
          <w:sz w:val="21"/>
          <w:szCs w:val="21"/>
          <w:highlight w:val="none"/>
        </w:rPr>
      </w:pPr>
      <w:r>
        <w:rPr>
          <w:rFonts w:hint="eastAsia"/>
          <w:b/>
          <w:bCs/>
          <w:color w:val="000000" w:themeColor="text1"/>
          <w:spacing w:val="1"/>
          <w:sz w:val="21"/>
          <w:szCs w:val="21"/>
          <w:highlight w:val="none"/>
          <w:u w:val="single"/>
          <w:lang w:val="en-US" w:eastAsia="zh-CN"/>
        </w:rPr>
        <w:t xml:space="preserve">                                                             </w:t>
      </w:r>
      <w:r>
        <w:rPr>
          <w:b/>
          <w:bCs/>
          <w:color w:val="000000" w:themeColor="text1"/>
          <w:spacing w:val="1"/>
          <w:sz w:val="21"/>
          <w:szCs w:val="21"/>
          <w:highlight w:val="none"/>
        </w:rPr>
        <w:t xml:space="preserve">（投标人名称）针对本项目</w:t>
      </w:r>
      <w:r>
        <w:rPr>
          <w:rFonts w:hint="eastAsia"/>
          <w:b/>
          <w:bCs/>
          <w:color w:val="000000" w:themeColor="text1"/>
          <w:spacing w:val="1"/>
          <w:sz w:val="21"/>
          <w:szCs w:val="21"/>
          <w:highlight w:val="none"/>
          <w:lang w:eastAsia="zh-CN"/>
        </w:rPr>
        <w:t xml:space="preserve">JSZC-320200-JZCG-G2026-0073</w:t>
      </w:r>
      <w:r>
        <w:rPr>
          <w:rFonts w:hint="eastAsia"/>
          <w:b/>
          <w:bCs/>
          <w:color w:val="000000" w:themeColor="text1"/>
          <w:spacing w:val="1"/>
          <w:sz w:val="21"/>
          <w:szCs w:val="21"/>
          <w:highlight w:val="none"/>
          <w:lang w:val="en-US" w:eastAsia="zh-CN"/>
        </w:rPr>
        <w:t xml:space="preserve">员工工资发放事宜，郑重作出如下承诺：</w:t>
      </w:r>
      <w:r/>
    </w:p>
    <w:p>
      <w:pPr>
        <w:numPr>
          <w:ilvl w:val="0"/>
          <w:numId w:val="4"/>
        </w:numPr>
        <w:ind w:left="0"/>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严格遵照《中华人民共各和国劳动法》《保障农民工工资支付条例》等法律法规，按时足额发放项目全体工作人员劳动报酬，每月工资发放日不迟于当月15日。</w:t>
      </w:r>
      <w:r/>
    </w:p>
    <w:p>
      <w:pPr>
        <w:numPr>
          <w:ilvl w:val="0"/>
          <w:numId w:val="4"/>
        </w:numPr>
        <w:ind w:left="0"/>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依法建立员工工资台账，如实登记用工信息、考勤记录、工资核算明细，完整保存档案备查，绝不拖欠、克扣员工工资，不以任何理由延迟发放工资。</w:t>
      </w:r>
      <w:r/>
    </w:p>
    <w:p>
      <w:pPr>
        <w:numPr>
          <w:ilvl w:val="0"/>
          <w:numId w:val="0"/>
        </w:numPr>
        <w:keepLines w:val="0"/>
        <w:keepNext w:val="0"/>
        <w:pageBreakBefore w:val="0"/>
        <w:spacing w:before="69" w:line="218" w:lineRule="auto"/>
        <w:widowControl/>
        <w:rPr>
          <w:rFonts w:hint="eastAsia" w:eastAsia="宋体"/>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3.为项目在岗人员依法缴纳社会保险、</w:t>
      </w:r>
      <w:r>
        <w:rPr>
          <w:b/>
          <w:bCs/>
          <w:color w:val="000000" w:themeColor="text1"/>
          <w:spacing w:val="1"/>
          <w:sz w:val="21"/>
          <w:szCs w:val="21"/>
          <w:highlight w:val="none"/>
        </w:rPr>
        <w:t xml:space="preserve">公积金、意外保险</w:t>
      </w:r>
      <w:r>
        <w:rPr>
          <w:rFonts w:hint="eastAsia" w:eastAsia="宋体"/>
          <w:b/>
          <w:bCs/>
          <w:color w:val="000000" w:themeColor="text1"/>
          <w:spacing w:val="1"/>
          <w:sz w:val="21"/>
          <w:szCs w:val="21"/>
          <w:highlight w:val="none"/>
          <w:lang w:val="en-US" w:eastAsia="zh-CN"/>
        </w:rPr>
        <w:t xml:space="preserve">等相关费用以及法定计提费用。</w:t>
      </w:r>
      <w:r/>
    </w:p>
    <w:p>
      <w:pPr>
        <w:numPr>
          <w:ilvl w:val="0"/>
          <w:numId w:val="0"/>
        </w:numPr>
        <w:keepLines w:val="0"/>
        <w:keepNext w:val="0"/>
        <w:pageBreakBefore w:val="0"/>
        <w:spacing w:before="69" w:line="218" w:lineRule="auto"/>
        <w:widowControl/>
        <w:rPr>
          <w:b/>
          <w:bCs/>
          <w:color w:val="000000" w:themeColor="text1"/>
          <w:spacing w:val="1"/>
          <w:sz w:val="21"/>
          <w:szCs w:val="21"/>
          <w:highlight w:val="none"/>
        </w:rPr>
      </w:pPr>
      <w:r>
        <w:rPr>
          <w:rFonts w:hint="eastAsia" w:eastAsia="宋体"/>
          <w:b/>
          <w:bCs/>
          <w:color w:val="000000" w:themeColor="text1"/>
          <w:spacing w:val="1"/>
          <w:sz w:val="21"/>
          <w:szCs w:val="21"/>
          <w:highlight w:val="none"/>
          <w:lang w:val="en-US" w:eastAsia="zh-CN"/>
        </w:rPr>
        <w:t xml:space="preserve">4.本公司承诺，员工工资标准不低于无锡市用工标准，另外，我司将严格遵守国家及省市有关社保、公积金等相关调整政策并坚决贯彻执行。</w:t>
      </w:r>
      <w:r/>
    </w:p>
    <w:p>
      <w:pPr>
        <w:numPr>
          <w:ilvl w:val="0"/>
          <w:numId w:val="0"/>
        </w:numPr>
        <w:keepLines w:val="0"/>
        <w:keepNext w:val="0"/>
        <w:pageBreakBefore w:val="0"/>
        <w:spacing w:before="69" w:line="218" w:lineRule="auto"/>
        <w:widowControl/>
        <w:rPr>
          <w:rFonts w:hint="eastAsia" w:eastAsia="宋体"/>
          <w:b/>
          <w:bCs/>
          <w:color w:val="000000" w:themeColor="text1"/>
          <w:spacing w:val="1"/>
          <w:sz w:val="21"/>
          <w:szCs w:val="21"/>
          <w:highlight w:val="none"/>
        </w:rPr>
      </w:pPr>
      <w:r>
        <w:rPr>
          <w:rFonts w:hint="eastAsia" w:eastAsia="宋体"/>
          <w:b/>
          <w:bCs/>
          <w:color w:val="000000" w:themeColor="text1"/>
          <w:spacing w:val="1"/>
          <w:sz w:val="21"/>
          <w:szCs w:val="21"/>
          <w:highlight w:val="none"/>
          <w:lang w:val="en-US" w:eastAsia="zh-CN"/>
        </w:rPr>
        <w:t xml:space="preserve">5.中标后如实</w:t>
      </w:r>
      <w:r>
        <w:rPr>
          <w:b/>
          <w:bCs/>
          <w:color w:val="000000" w:themeColor="text1"/>
          <w:spacing w:val="1"/>
          <w:sz w:val="21"/>
          <w:szCs w:val="21"/>
          <w:highlight w:val="none"/>
        </w:rPr>
        <w:t xml:space="preserve">编制各岗位人员</w:t>
      </w:r>
      <w:r>
        <w:rPr>
          <w:rFonts w:hint="eastAsia" w:eastAsia="宋体"/>
          <w:b/>
          <w:bCs/>
          <w:color w:val="000000" w:themeColor="text1"/>
          <w:spacing w:val="1"/>
          <w:sz w:val="21"/>
          <w:szCs w:val="21"/>
          <w:highlight w:val="none"/>
          <w:lang w:eastAsia="zh-CN"/>
        </w:rPr>
        <w:t xml:space="preserve">《</w:t>
      </w:r>
      <w:r>
        <w:rPr>
          <w:b/>
          <w:bCs/>
          <w:color w:val="000000" w:themeColor="text1"/>
          <w:spacing w:val="1"/>
          <w:sz w:val="21"/>
          <w:szCs w:val="21"/>
          <w:highlight w:val="none"/>
        </w:rPr>
        <w:t xml:space="preserve">工资发放</w:t>
      </w:r>
      <w:r>
        <w:rPr>
          <w:b/>
          <w:bCs/>
          <w:color w:val="000000" w:themeColor="text1"/>
          <w:sz w:val="21"/>
          <w:szCs w:val="21"/>
          <w:highlight w:val="none"/>
        </w:rPr>
        <w:t xml:space="preserve">计划表</w:t>
      </w:r>
      <w:r>
        <w:rPr>
          <w:rFonts w:hint="eastAsia" w:eastAsia="宋体"/>
          <w:b/>
          <w:bCs/>
          <w:color w:val="000000" w:themeColor="text1"/>
          <w:sz w:val="21"/>
          <w:szCs w:val="21"/>
          <w:highlight w:val="none"/>
          <w:lang w:eastAsia="zh-CN"/>
        </w:rPr>
        <w:t xml:space="preserve">》。</w:t>
      </w:r>
      <w:r/>
    </w:p>
    <w:p>
      <w:pPr>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t xml:space="preserve">如违背上述承诺，本公司（单位、联合体）将承担一切法律责任。</w:t>
      </w:r>
      <w:r/>
    </w:p>
    <w:p>
      <w:pPr>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r>
      <w:r/>
    </w:p>
    <w:p>
      <w:pPr>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r>
      <w:r/>
    </w:p>
    <w:p>
      <w:pPr>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t xml:space="preserve">投标人名称（盖章）：</w:t>
      </w:r>
      <w:r/>
    </w:p>
    <w:p>
      <w:pPr>
        <w:numPr>
          <w:ilvl w:val="0"/>
          <w:numId w:val="0"/>
        </w:numP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rPr>
      </w:r>
      <w:r/>
    </w:p>
    <w:p>
      <w:pPr>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br w:type="page" w:clear="all"/>
      </w:r>
      <w:r/>
    </w:p>
    <w:p>
      <w:pPr>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附件1：</w:t>
      </w:r>
      <w:r/>
    </w:p>
    <w:p>
      <w:pPr>
        <w:ind w:right="4673"/>
        <w:jc w:val="center"/>
        <w:keepLines w:val="0"/>
        <w:keepNext w:val="0"/>
        <w:pageBreakBefore w:val="0"/>
        <w:spacing w:before="69" w:line="288" w:lineRule="auto"/>
        <w:widowControl/>
        <w:rPr>
          <w:rFonts w:eastAsia="宋体"/>
          <w:color w:val="000000" w:themeColor="text1"/>
          <w:highlight w:val="none"/>
        </w:rPr>
      </w:pPr>
      <w:r>
        <w:rPr>
          <w:rFonts w:hint="eastAsia" w:eastAsia="宋体"/>
          <w:color w:val="000000" w:themeColor="text1"/>
          <w:highlight w:val="none"/>
          <w:lang w:val="en-US" w:eastAsia="zh-CN"/>
        </w:rPr>
        <w:t xml:space="preserve">                                                                          工资发放计划表</w:t>
      </w:r>
      <w:r/>
    </w:p>
    <w:tbl>
      <w:tblPr>
        <w:tblStyle w:val="84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ind w:left="510"/>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p>
        </w:tc>
        <w:tc>
          <w:tcPr>
            <w:tcW w:w="1490" w:type="dxa"/>
            <w:vAlign w:val="top"/>
            <w:textDirection w:val="lrTb"/>
            <w:noWrap w:val="false"/>
          </w:tcPr>
          <w:p>
            <w:pPr>
              <w:ind w:left="275"/>
              <w:spacing w:before="157"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p>
        </w:tc>
        <w:tc>
          <w:tcPr>
            <w:tcW w:w="1490" w:type="dxa"/>
            <w:vAlign w:val="top"/>
            <w:textDirection w:val="lrTb"/>
            <w:noWrap w:val="false"/>
          </w:tcPr>
          <w:p>
            <w:pPr>
              <w:ind w:left="277"/>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人数配置</w:t>
            </w:r>
            <w:r/>
          </w:p>
        </w:tc>
        <w:tc>
          <w:tcPr>
            <w:tcW w:w="1490" w:type="dxa"/>
            <w:vAlign w:val="top"/>
            <w:textDirection w:val="lrTb"/>
            <w:noWrap w:val="false"/>
          </w:tcPr>
          <w:p>
            <w:pPr>
              <w:ind w:left="623" w:right="180" w:hanging="460"/>
              <w:spacing w:before="157" w:line="23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人员费用标</w:t>
            </w:r>
            <w:r>
              <w:rPr>
                <w:rFonts w:ascii="微软雅黑" w:hAnsi="微软雅黑" w:eastAsia="微软雅黑" w:cs="微软雅黑"/>
                <w:b/>
                <w:bCs/>
                <w:color w:val="000000" w:themeColor="text1"/>
                <w:sz w:val="21"/>
                <w:szCs w:val="21"/>
                <w:highlight w:val="none"/>
              </w:rPr>
              <w:t xml:space="preserve">准</w:t>
            </w:r>
            <w:r/>
          </w:p>
          <w:p>
            <w:pPr>
              <w:ind w:left="181"/>
              <w:spacing w:line="209"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0"/>
                <w:sz w:val="21"/>
                <w:szCs w:val="21"/>
                <w:highlight w:val="none"/>
              </w:rPr>
              <w:t xml:space="preserve">（元/月）</w:t>
            </w:r>
            <w:r/>
          </w:p>
        </w:tc>
        <w:tc>
          <w:tcPr>
            <w:tcW w:w="1490" w:type="dxa"/>
            <w:vAlign w:val="top"/>
            <w:textDirection w:val="lrTb"/>
            <w:noWrap w:val="false"/>
          </w:tcPr>
          <w:p>
            <w:pPr>
              <w:ind w:left="184" w:right="199" w:firstLine="97"/>
              <w:spacing w:before="158" w:line="24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合计费用</w:t>
            </w:r>
            <w:r>
              <w:rPr>
                <w:rFonts w:ascii="微软雅黑" w:hAnsi="微软雅黑" w:eastAsia="微软雅黑" w:cs="微软雅黑"/>
                <w:b/>
                <w:bCs/>
                <w:color w:val="000000" w:themeColor="text1"/>
                <w:spacing w:val="30"/>
                <w:sz w:val="21"/>
                <w:szCs w:val="21"/>
                <w:highlight w:val="none"/>
              </w:rPr>
              <w:t xml:space="preserve">（元/月）</w:t>
            </w:r>
            <w:r/>
          </w:p>
        </w:tc>
        <w:tc>
          <w:tcPr>
            <w:tcW w:w="1490" w:type="dxa"/>
            <w:vAlign w:val="top"/>
            <w:textDirection w:val="lrTb"/>
            <w:noWrap w:val="false"/>
          </w:tcPr>
          <w:p>
            <w:pPr>
              <w:ind w:left="186" w:right="197" w:firstLine="97"/>
              <w:spacing w:before="158" w:line="24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合计费用</w:t>
            </w:r>
            <w:r>
              <w:rPr>
                <w:rFonts w:ascii="微软雅黑" w:hAnsi="微软雅黑" w:eastAsia="微软雅黑" w:cs="微软雅黑"/>
                <w:b/>
                <w:bCs/>
                <w:color w:val="000000" w:themeColor="text1"/>
                <w:spacing w:val="30"/>
                <w:sz w:val="21"/>
                <w:szCs w:val="21"/>
                <w:highlight w:val="none"/>
              </w:rPr>
              <w:t xml:space="preserve">（元/年）</w:t>
            </w:r>
            <w:r/>
          </w:p>
        </w:tc>
        <w:tc>
          <w:tcPr>
            <w:tcW w:w="1498" w:type="dxa"/>
            <w:vAlign w:val="top"/>
            <w:textDirection w:val="lrTb"/>
            <w:noWrap w:val="false"/>
          </w:tcPr>
          <w:p>
            <w:pPr>
              <w:ind w:left="516"/>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p>
        </w:tc>
      </w:tr>
      <w:tr>
        <w:trPr>
          <w:trHeight w:val="884"/>
        </w:trPr>
        <w:tc>
          <w:tcPr>
            <w:tcW w:w="1497" w:type="dxa"/>
            <w:vAlign w:val="top"/>
            <w:textDirection w:val="lrTb"/>
            <w:noWrap w:val="false"/>
          </w:tcPr>
          <w:p>
            <w:pPr>
              <w:ind w:left="688"/>
              <w:spacing w:before="152"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p>
        </w:tc>
        <w:tc>
          <w:tcPr>
            <w:tcW w:w="1490" w:type="dxa"/>
            <w:vAlign w:val="top"/>
            <w:textDirection w:val="lrTb"/>
            <w:noWrap w:val="false"/>
          </w:tcPr>
          <w:p>
            <w:pPr>
              <w:ind w:left="118" w:right="225"/>
              <w:spacing w:before="153"/>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员工工资及</w:t>
            </w:r>
            <w:r>
              <w:rPr>
                <w:rFonts w:ascii="微软雅黑" w:hAnsi="微软雅黑" w:eastAsia="微软雅黑" w:cs="微软雅黑"/>
                <w:b/>
                <w:bCs/>
                <w:color w:val="000000" w:themeColor="text1"/>
                <w:spacing w:val="8"/>
                <w:sz w:val="21"/>
                <w:szCs w:val="21"/>
                <w:highlight w:val="none"/>
              </w:rPr>
              <w:t xml:space="preserve">福利</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71" w:line="309"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1236"/>
        </w:trPr>
        <w:tc>
          <w:tcPr>
            <w:tcW w:w="1497" w:type="dxa"/>
            <w:vAlign w:val="top"/>
            <w:textDirection w:val="lrTb"/>
            <w:noWrap w:val="false"/>
          </w:tcPr>
          <w:p>
            <w:pPr>
              <w:pStyle w:val="842"/>
              <w:ind w:left="573"/>
              <w:spacing w:before="172" w:line="238" w:lineRule="auto"/>
              <w:rPr>
                <w:color w:val="000000" w:themeColor="text1"/>
                <w:highlight w:val="none"/>
              </w:rPr>
            </w:pPr>
            <w:r>
              <w:rPr>
                <w:color w:val="000000" w:themeColor="text1"/>
                <w:spacing w:val="6"/>
                <w:highlight w:val="none"/>
              </w:rPr>
              <w:t xml:space="preserve">1.1</w:t>
            </w:r>
            <w:r/>
          </w:p>
        </w:tc>
        <w:tc>
          <w:tcPr>
            <w:tcW w:w="1490" w:type="dxa"/>
            <w:vAlign w:val="top"/>
            <w:textDirection w:val="lrTb"/>
            <w:noWrap w:val="false"/>
          </w:tcPr>
          <w:p>
            <w:pPr>
              <w:pStyle w:val="842"/>
              <w:ind w:left="280"/>
              <w:spacing w:before="172" w:line="219" w:lineRule="auto"/>
              <w:rPr>
                <w:color w:val="000000" w:themeColor="text1"/>
                <w:highlight w:val="none"/>
              </w:rPr>
            </w:pPr>
            <w:r>
              <w:rPr>
                <w:color w:val="000000" w:themeColor="text1"/>
                <w:spacing w:val="13"/>
                <w:highlight w:val="none"/>
              </w:rPr>
              <w:t xml:space="preserve">项目经理</w:t>
            </w:r>
            <w:r/>
          </w:p>
          <w:p>
            <w:pPr>
              <w:pStyle w:val="842"/>
              <w:ind w:left="511" w:right="193" w:hanging="341"/>
              <w:spacing w:before="103" w:line="308" w:lineRule="auto"/>
              <w:rPr>
                <w:color w:val="000000" w:themeColor="text1"/>
                <w:highlight w:val="none"/>
              </w:rPr>
            </w:pPr>
            <w:r>
              <w:rPr>
                <w:color w:val="000000" w:themeColor="text1"/>
                <w:spacing w:val="12"/>
                <w:highlight w:val="none"/>
              </w:rPr>
              <w:t xml:space="preserve">（项目负责</w:t>
            </w:r>
            <w:r>
              <w:rPr>
                <w:color w:val="000000" w:themeColor="text1"/>
                <w:spacing w:val="-1"/>
                <w:highlight w:val="none"/>
              </w:rPr>
              <w:t xml:space="preserve">人）</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r>
      <w:tr>
        <w:trPr>
          <w:trHeight w:val="884"/>
        </w:trPr>
        <w:tc>
          <w:tcPr>
            <w:tcW w:w="1497" w:type="dxa"/>
            <w:vAlign w:val="top"/>
            <w:textDirection w:val="lrTb"/>
            <w:noWrap w:val="false"/>
          </w:tcPr>
          <w:p>
            <w:pPr>
              <w:pStyle w:val="842"/>
              <w:ind w:left="573"/>
              <w:spacing w:before="173" w:line="238" w:lineRule="auto"/>
              <w:rPr>
                <w:color w:val="000000" w:themeColor="text1"/>
                <w:highlight w:val="none"/>
              </w:rPr>
            </w:pPr>
            <w:r>
              <w:rPr>
                <w:color w:val="000000" w:themeColor="text1"/>
                <w:spacing w:val="6"/>
                <w:highlight w:val="none"/>
              </w:rPr>
              <w:t xml:space="preserve">1.2</w:t>
            </w:r>
            <w:r/>
          </w:p>
        </w:tc>
        <w:tc>
          <w:tcPr>
            <w:tcW w:w="1490" w:type="dxa"/>
            <w:vAlign w:val="top"/>
            <w:textDirection w:val="lrTb"/>
            <w:noWrap w:val="false"/>
          </w:tcPr>
          <w:p>
            <w:pPr>
              <w:pStyle w:val="842"/>
              <w:ind w:left="382"/>
              <w:spacing w:before="173" w:line="220" w:lineRule="auto"/>
              <w:rPr>
                <w:color w:val="000000" w:themeColor="text1"/>
                <w:highlight w:val="none"/>
              </w:rPr>
            </w:pPr>
            <w:r>
              <w:rPr>
                <w:color w:val="000000" w:themeColor="text1"/>
                <w:highlight w:val="none"/>
              </w:rPr>
              <w:t xml:space="preserve">XX</w:t>
            </w:r>
            <w:r>
              <w:rPr>
                <w:color w:val="000000" w:themeColor="text1"/>
                <w:spacing w:val="28"/>
                <w:highlight w:val="none"/>
              </w:rPr>
              <w:t xml:space="preserve">人员</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33" w:right="223" w:firstLine="40"/>
              <w:spacing w:before="173" w:line="308" w:lineRule="auto"/>
              <w:rPr>
                <w:color w:val="000000" w:themeColor="text1"/>
                <w:highlight w:val="none"/>
              </w:rPr>
            </w:pPr>
            <w:r>
              <w:rPr>
                <w:color w:val="000000" w:themeColor="text1"/>
                <w:spacing w:val="6"/>
                <w:highlight w:val="none"/>
              </w:rPr>
              <w:t xml:space="preserve">自行添行明</w:t>
            </w:r>
            <w:r>
              <w:rPr>
                <w:color w:val="000000" w:themeColor="text1"/>
                <w:highlight w:val="none"/>
              </w:rPr>
              <w:t xml:space="preserve">确</w:t>
            </w:r>
            <w:r/>
          </w:p>
        </w:tc>
      </w:tr>
      <w:tr>
        <w:trPr>
          <w:trHeight w:val="884"/>
        </w:trPr>
        <w:tc>
          <w:tcPr>
            <w:tcW w:w="1497" w:type="dxa"/>
            <w:vAlign w:val="top"/>
            <w:textDirection w:val="lrTb"/>
            <w:noWrap w:val="false"/>
          </w:tcPr>
          <w:p>
            <w:pPr>
              <w:pStyle w:val="842"/>
              <w:ind w:left="573"/>
              <w:spacing w:before="174" w:line="238" w:lineRule="auto"/>
              <w:rPr>
                <w:color w:val="000000" w:themeColor="text1"/>
                <w:highlight w:val="none"/>
              </w:rPr>
            </w:pPr>
            <w:r>
              <w:rPr>
                <w:color w:val="000000" w:themeColor="text1"/>
                <w:spacing w:val="6"/>
                <w:highlight w:val="none"/>
              </w:rPr>
              <w:t xml:space="preserve">1.3</w:t>
            </w:r>
            <w:r/>
          </w:p>
        </w:tc>
        <w:tc>
          <w:tcPr>
            <w:tcW w:w="1490" w:type="dxa"/>
            <w:vAlign w:val="top"/>
            <w:textDirection w:val="lrTb"/>
            <w:noWrap w:val="false"/>
          </w:tcPr>
          <w:p>
            <w:pPr>
              <w:pStyle w:val="842"/>
              <w:ind w:left="280" w:right="184" w:hanging="115"/>
              <w:spacing w:before="175" w:line="307" w:lineRule="auto"/>
              <w:rPr>
                <w:color w:val="000000" w:themeColor="text1"/>
                <w:highlight w:val="none"/>
              </w:rPr>
            </w:pPr>
            <w:r>
              <w:rPr>
                <w:color w:val="000000" w:themeColor="text1"/>
                <w:spacing w:val="14"/>
                <w:highlight w:val="none"/>
              </w:rPr>
              <w:t xml:space="preserve">法定节假日</w:t>
            </w:r>
            <w:r>
              <w:rPr>
                <w:color w:val="000000" w:themeColor="text1"/>
                <w:spacing w:val="13"/>
                <w:highlight w:val="none"/>
              </w:rPr>
              <w:t xml:space="preserve">加班工资</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r>
      <w:tr>
        <w:trPr>
          <w:trHeight w:val="884"/>
        </w:trPr>
        <w:tc>
          <w:tcPr>
            <w:tcW w:w="1497" w:type="dxa"/>
            <w:vAlign w:val="top"/>
            <w:textDirection w:val="lrTb"/>
            <w:noWrap w:val="false"/>
          </w:tcPr>
          <w:p>
            <w:pPr>
              <w:pStyle w:val="842"/>
              <w:ind w:left="573"/>
              <w:spacing w:before="175" w:line="238" w:lineRule="auto"/>
              <w:rPr>
                <w:color w:val="000000" w:themeColor="text1"/>
                <w:highlight w:val="none"/>
              </w:rPr>
            </w:pPr>
            <w:r>
              <w:rPr>
                <w:color w:val="000000" w:themeColor="text1"/>
                <w:spacing w:val="6"/>
                <w:highlight w:val="none"/>
              </w:rPr>
              <w:t xml:space="preserve">1.4</w:t>
            </w:r>
            <w:r/>
          </w:p>
        </w:tc>
        <w:tc>
          <w:tcPr>
            <w:tcW w:w="1490" w:type="dxa"/>
            <w:vAlign w:val="top"/>
            <w:textDirection w:val="lrTb"/>
            <w:noWrap w:val="false"/>
          </w:tcPr>
          <w:p>
            <w:pPr>
              <w:pStyle w:val="842"/>
              <w:ind w:left="280" w:right="184" w:hanging="109"/>
              <w:spacing w:before="175" w:line="307" w:lineRule="auto"/>
              <w:rPr>
                <w:color w:val="000000" w:themeColor="text1"/>
                <w:highlight w:val="none"/>
              </w:rPr>
            </w:pPr>
            <w:r>
              <w:rPr>
                <w:color w:val="000000" w:themeColor="text1"/>
                <w:spacing w:val="13"/>
                <w:highlight w:val="none"/>
              </w:rPr>
              <w:t xml:space="preserve">员工人身意外保险费</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75" w:line="307"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532"/>
        </w:trPr>
        <w:tc>
          <w:tcPr>
            <w:tcW w:w="1497" w:type="dxa"/>
            <w:vAlign w:val="top"/>
            <w:textDirection w:val="lrTb"/>
            <w:noWrap w:val="false"/>
          </w:tcPr>
          <w:p>
            <w:pPr>
              <w:pStyle w:val="842"/>
              <w:ind w:left="466"/>
              <w:spacing w:before="176" w:line="330" w:lineRule="exact"/>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r>
      <w:tr>
        <w:trPr>
          <w:trHeight w:val="884"/>
        </w:trPr>
        <w:tc>
          <w:tcPr>
            <w:tcW w:w="1497" w:type="dxa"/>
            <w:vAlign w:val="top"/>
            <w:textDirection w:val="lrTb"/>
            <w:noWrap w:val="false"/>
          </w:tcPr>
          <w:p>
            <w:pPr>
              <w:ind w:left="673"/>
              <w:spacing w:before="158"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p>
        </w:tc>
        <w:tc>
          <w:tcPr>
            <w:tcW w:w="1490" w:type="dxa"/>
            <w:vAlign w:val="top"/>
            <w:textDirection w:val="lrTb"/>
            <w:noWrap w:val="false"/>
          </w:tcPr>
          <w:p>
            <w:pPr>
              <w:ind w:left="623" w:right="184" w:hanging="464"/>
              <w:spacing w:before="159" w:line="238"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法定计提费</w:t>
            </w:r>
            <w:r>
              <w:rPr>
                <w:rFonts w:ascii="微软雅黑" w:hAnsi="微软雅黑" w:eastAsia="微软雅黑" w:cs="微软雅黑"/>
                <w:b/>
                <w:bCs/>
                <w:color w:val="000000" w:themeColor="text1"/>
                <w:sz w:val="21"/>
                <w:szCs w:val="21"/>
                <w:highlight w:val="none"/>
              </w:rPr>
              <w:t xml:space="preserve">用</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r>
      <w:tr>
        <w:trPr>
          <w:trHeight w:val="884"/>
        </w:trPr>
        <w:tc>
          <w:tcPr>
            <w:tcW w:w="1497" w:type="dxa"/>
            <w:vAlign w:val="top"/>
            <w:textDirection w:val="lrTb"/>
            <w:noWrap w:val="false"/>
          </w:tcPr>
          <w:p>
            <w:pPr>
              <w:pStyle w:val="842"/>
              <w:ind w:left="560"/>
              <w:spacing w:before="177" w:line="238" w:lineRule="auto"/>
              <w:rPr>
                <w:color w:val="000000" w:themeColor="text1"/>
                <w:highlight w:val="none"/>
              </w:rPr>
            </w:pPr>
            <w:r>
              <w:rPr>
                <w:color w:val="000000" w:themeColor="text1"/>
                <w:spacing w:val="10"/>
                <w:highlight w:val="none"/>
              </w:rPr>
              <w:t xml:space="preserve">2.1</w:t>
            </w:r>
            <w:r/>
          </w:p>
        </w:tc>
        <w:tc>
          <w:tcPr>
            <w:tcW w:w="1490" w:type="dxa"/>
            <w:vAlign w:val="top"/>
            <w:textDirection w:val="lrTb"/>
            <w:noWrap w:val="false"/>
          </w:tcPr>
          <w:p>
            <w:pPr>
              <w:pStyle w:val="842"/>
              <w:ind w:left="279"/>
              <w:spacing w:before="177" w:line="219" w:lineRule="auto"/>
              <w:rPr>
                <w:color w:val="000000" w:themeColor="text1"/>
                <w:highlight w:val="none"/>
              </w:rPr>
            </w:pPr>
            <w:r>
              <w:rPr>
                <w:color w:val="000000" w:themeColor="text1"/>
                <w:spacing w:val="13"/>
                <w:highlight w:val="none"/>
              </w:rPr>
              <w:t xml:space="preserve">养老保险</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77" w:line="306"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884"/>
        </w:trPr>
        <w:tc>
          <w:tcPr>
            <w:tcW w:w="1497" w:type="dxa"/>
            <w:vAlign w:val="top"/>
            <w:textDirection w:val="lrTb"/>
            <w:noWrap w:val="false"/>
          </w:tcPr>
          <w:p>
            <w:pPr>
              <w:pStyle w:val="842"/>
              <w:ind w:left="560"/>
              <w:spacing w:before="178" w:line="238" w:lineRule="auto"/>
              <w:rPr>
                <w:color w:val="000000" w:themeColor="text1"/>
                <w:highlight w:val="none"/>
              </w:rPr>
            </w:pPr>
            <w:r>
              <w:rPr>
                <w:color w:val="000000" w:themeColor="text1"/>
                <w:spacing w:val="10"/>
                <w:highlight w:val="none"/>
              </w:rPr>
              <w:t xml:space="preserve">2.2</w:t>
            </w:r>
            <w:r/>
          </w:p>
        </w:tc>
        <w:tc>
          <w:tcPr>
            <w:tcW w:w="1490" w:type="dxa"/>
            <w:vAlign w:val="top"/>
            <w:textDirection w:val="lrTb"/>
            <w:noWrap w:val="false"/>
          </w:tcPr>
          <w:p>
            <w:pPr>
              <w:pStyle w:val="842"/>
              <w:ind w:left="289"/>
              <w:spacing w:before="178" w:line="219" w:lineRule="auto"/>
              <w:rPr>
                <w:color w:val="000000" w:themeColor="text1"/>
                <w:highlight w:val="none"/>
              </w:rPr>
            </w:pPr>
            <w:r>
              <w:rPr>
                <w:color w:val="000000" w:themeColor="text1"/>
                <w:spacing w:val="11"/>
                <w:highlight w:val="none"/>
              </w:rPr>
              <w:t xml:space="preserve">医疗统筹</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77" w:line="306"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884"/>
        </w:trPr>
        <w:tc>
          <w:tcPr>
            <w:tcW w:w="1497" w:type="dxa"/>
            <w:vAlign w:val="top"/>
            <w:textDirection w:val="lrTb"/>
            <w:noWrap w:val="false"/>
          </w:tcPr>
          <w:p>
            <w:pPr>
              <w:pStyle w:val="842"/>
              <w:ind w:left="560"/>
              <w:spacing w:before="179" w:line="238" w:lineRule="auto"/>
              <w:rPr>
                <w:color w:val="000000" w:themeColor="text1"/>
                <w:highlight w:val="none"/>
              </w:rPr>
            </w:pPr>
            <w:r>
              <w:rPr>
                <w:color w:val="000000" w:themeColor="text1"/>
                <w:spacing w:val="10"/>
                <w:highlight w:val="none"/>
              </w:rPr>
              <w:t xml:space="preserve">2.3</w:t>
            </w:r>
            <w:r/>
          </w:p>
        </w:tc>
        <w:tc>
          <w:tcPr>
            <w:tcW w:w="1490" w:type="dxa"/>
            <w:vAlign w:val="top"/>
            <w:textDirection w:val="lrTb"/>
            <w:noWrap w:val="false"/>
          </w:tcPr>
          <w:p>
            <w:pPr>
              <w:pStyle w:val="842"/>
              <w:ind w:left="519"/>
              <w:spacing w:before="179" w:line="220" w:lineRule="auto"/>
              <w:rPr>
                <w:color w:val="000000" w:themeColor="text1"/>
                <w:highlight w:val="none"/>
              </w:rPr>
            </w:pPr>
            <w:r>
              <w:rPr>
                <w:color w:val="000000" w:themeColor="text1"/>
                <w:spacing w:val="2"/>
                <w:highlight w:val="none"/>
              </w:rPr>
              <w:t xml:space="preserve">失业</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80" w:line="305"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884"/>
        </w:trPr>
        <w:tc>
          <w:tcPr>
            <w:tcW w:w="1497" w:type="dxa"/>
            <w:vAlign w:val="top"/>
            <w:textDirection w:val="lrTb"/>
            <w:noWrap w:val="false"/>
          </w:tcPr>
          <w:p>
            <w:pPr>
              <w:pStyle w:val="842"/>
              <w:ind w:left="560"/>
              <w:spacing w:before="180" w:line="238" w:lineRule="auto"/>
              <w:rPr>
                <w:color w:val="000000" w:themeColor="text1"/>
                <w:highlight w:val="none"/>
              </w:rPr>
            </w:pPr>
            <w:r>
              <w:rPr>
                <w:color w:val="000000" w:themeColor="text1"/>
                <w:spacing w:val="10"/>
                <w:highlight w:val="none"/>
              </w:rPr>
              <w:t xml:space="preserve">2.4</w:t>
            </w:r>
            <w:r/>
          </w:p>
        </w:tc>
        <w:tc>
          <w:tcPr>
            <w:tcW w:w="1490" w:type="dxa"/>
            <w:vAlign w:val="top"/>
            <w:textDirection w:val="lrTb"/>
            <w:noWrap w:val="false"/>
          </w:tcPr>
          <w:p>
            <w:pPr>
              <w:pStyle w:val="842"/>
              <w:ind w:left="513"/>
              <w:spacing w:before="180" w:line="219" w:lineRule="auto"/>
              <w:rPr>
                <w:color w:val="000000" w:themeColor="text1"/>
                <w:highlight w:val="none"/>
              </w:rPr>
            </w:pPr>
            <w:r>
              <w:rPr>
                <w:color w:val="000000" w:themeColor="text1"/>
                <w:spacing w:val="5"/>
                <w:highlight w:val="none"/>
              </w:rPr>
              <w:t xml:space="preserve">工伤</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80" w:line="305"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884"/>
        </w:trPr>
        <w:tc>
          <w:tcPr>
            <w:tcW w:w="1497" w:type="dxa"/>
            <w:vAlign w:val="top"/>
            <w:textDirection w:val="lrTb"/>
            <w:noWrap w:val="false"/>
          </w:tcPr>
          <w:p>
            <w:pPr>
              <w:pStyle w:val="842"/>
              <w:ind w:left="560"/>
              <w:spacing w:before="181" w:line="238" w:lineRule="auto"/>
              <w:rPr>
                <w:color w:val="000000" w:themeColor="text1"/>
                <w:highlight w:val="none"/>
              </w:rPr>
            </w:pPr>
            <w:r>
              <w:rPr>
                <w:color w:val="000000" w:themeColor="text1"/>
                <w:spacing w:val="10"/>
                <w:highlight w:val="none"/>
              </w:rPr>
              <w:t xml:space="preserve">2.5</w:t>
            </w:r>
            <w:r/>
          </w:p>
        </w:tc>
        <w:tc>
          <w:tcPr>
            <w:tcW w:w="1490" w:type="dxa"/>
            <w:vAlign w:val="top"/>
            <w:textDirection w:val="lrTb"/>
            <w:noWrap w:val="false"/>
          </w:tcPr>
          <w:p>
            <w:pPr>
              <w:pStyle w:val="842"/>
              <w:ind w:left="517"/>
              <w:spacing w:before="180" w:line="219" w:lineRule="auto"/>
              <w:rPr>
                <w:color w:val="000000" w:themeColor="text1"/>
                <w:highlight w:val="none"/>
              </w:rPr>
            </w:pPr>
            <w:r>
              <w:rPr>
                <w:color w:val="000000" w:themeColor="text1"/>
                <w:spacing w:val="3"/>
                <w:highlight w:val="none"/>
              </w:rPr>
              <w:t xml:space="preserve">生育</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pStyle w:val="842"/>
              <w:ind w:left="140" w:right="223" w:hanging="5"/>
              <w:spacing w:before="182" w:line="304"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531"/>
        </w:trPr>
        <w:tc>
          <w:tcPr>
            <w:tcW w:w="1497" w:type="dxa"/>
            <w:vAlign w:val="top"/>
            <w:textDirection w:val="lrTb"/>
            <w:noWrap w:val="false"/>
          </w:tcPr>
          <w:p>
            <w:pPr>
              <w:pStyle w:val="842"/>
              <w:ind w:left="560"/>
              <w:spacing w:before="182" w:line="238" w:lineRule="auto"/>
              <w:rPr>
                <w:color w:val="000000" w:themeColor="text1"/>
                <w:highlight w:val="none"/>
              </w:rPr>
            </w:pPr>
            <w:r>
              <w:rPr>
                <w:color w:val="000000" w:themeColor="text1"/>
                <w:spacing w:val="10"/>
                <w:highlight w:val="none"/>
              </w:rPr>
              <w:t xml:space="preserve">2.6</w:t>
            </w:r>
            <w:r/>
          </w:p>
        </w:tc>
        <w:tc>
          <w:tcPr>
            <w:tcW w:w="1490" w:type="dxa"/>
            <w:vAlign w:val="top"/>
            <w:textDirection w:val="lrTb"/>
            <w:noWrap w:val="false"/>
          </w:tcPr>
          <w:p>
            <w:pPr>
              <w:ind w:firstLine="420"/>
              <w:rPr>
                <w:rFonts w:ascii="Arial" w:eastAsia="宋体"/>
                <w:color w:val="000000" w:themeColor="text1"/>
                <w:sz w:val="21"/>
                <w:highlight w:val="none"/>
              </w:rPr>
            </w:pPr>
            <w:r>
              <w:rPr>
                <w:rFonts w:hint="eastAsia" w:ascii="Arial" w:eastAsia="宋体"/>
                <w:color w:val="000000" w:themeColor="text1"/>
                <w:sz w:val="21"/>
                <w:highlight w:val="none"/>
                <w:lang w:val="en-US" w:eastAsia="zh-CN"/>
              </w:rPr>
              <w:t xml:space="preserve">公积金</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p>
        </w:tc>
      </w:tr>
      <w:tr>
        <w:trPr>
          <w:trHeight w:val="532"/>
        </w:trPr>
        <w:tc>
          <w:tcPr>
            <w:tcW w:w="1497" w:type="dxa"/>
            <w:vAlign w:val="top"/>
            <w:textDirection w:val="lrTb"/>
            <w:noWrap w:val="false"/>
          </w:tcPr>
          <w:p>
            <w:pPr>
              <w:pStyle w:val="842"/>
              <w:ind w:left="529"/>
              <w:spacing w:before="183" w:line="330" w:lineRule="exact"/>
              <w:rPr>
                <w:color w:val="000000" w:themeColor="text1"/>
                <w:highlight w:val="none"/>
              </w:rPr>
            </w:pPr>
            <w:r>
              <w:rPr>
                <w:color w:val="000000" w:themeColor="text1"/>
                <w:spacing w:val="-1"/>
                <w:position w:val="2"/>
                <w:highlight w:val="none"/>
              </w:rPr>
              <w:t xml:space="preserve">……</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r>
      <w:tr>
        <w:trPr>
          <w:trHeight w:val="539"/>
        </w:trPr>
        <w:tc>
          <w:tcPr>
            <w:gridSpan w:val="2"/>
            <w:tcW w:w="2987" w:type="dxa"/>
            <w:vAlign w:val="top"/>
            <w:textDirection w:val="lrTb"/>
            <w:noWrap w:val="false"/>
          </w:tcPr>
          <w:p>
            <w:pPr>
              <w:ind w:left="1141"/>
              <w:spacing w:before="165"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0"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c>
          <w:tcPr>
            <w:tcW w:w="1498" w:type="dxa"/>
            <w:vAlign w:val="top"/>
            <w:textDirection w:val="lrTb"/>
            <w:noWrap w:val="false"/>
          </w:tcPr>
          <w:p>
            <w:pPr>
              <w:rPr>
                <w:rFonts w:ascii="Arial"/>
                <w:color w:val="000000" w:themeColor="text1"/>
                <w:sz w:val="21"/>
                <w:highlight w:val="none"/>
              </w:rPr>
            </w:pPr>
            <w:r>
              <w:rPr>
                <w:rFonts w:ascii="Arial"/>
                <w:color w:val="000000" w:themeColor="text1"/>
                <w:sz w:val="21"/>
                <w:highlight w:val="none"/>
              </w:rPr>
            </w:r>
            <w:r/>
          </w:p>
        </w:tc>
      </w:tr>
    </w:tbl>
    <w:p>
      <w:pPr>
        <w:keepLines w:val="0"/>
        <w:keepNext w:val="0"/>
        <w:pageBreakBefore w:val="0"/>
        <w:spacing w:before="129" w:line="218"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注：本表投标时无需填写，中标后按《工资发放承诺函》要求填写并提供给采购人</w:t>
      </w:r>
      <w:r/>
    </w:p>
    <w:sectPr>
      <w:headerReference w:type="default" r:id="rId9"/>
      <w:footnotePr/>
      <w:endnotePr/>
      <w:type w:val="nextPage"/>
      <w:pgSz w:w="11900" w:h="16840" w:orient="portrait"/>
      <w:pgMar w:top="400"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黑体">
    <w:panose1 w:val="02010609060101010101"/>
  </w:font>
  <w:font w:name="Calibri">
    <w:panose1 w:val="020F0502020204030204"/>
  </w:font>
  <w:font w:name="微软雅黑">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3"/>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space"/>
      <w:lvlText w:val="%1"/>
      <w:lvlJc w:val="left"/>
      <w:pPr>
        <w:ind w:left="425" w:hanging="425"/>
      </w:pPr>
      <w:rPr>
        <w:rFonts w:hint="eastAsia"/>
      </w:rPr>
    </w:lvl>
    <w:lvl w:ilvl="1">
      <w:start w:val="1"/>
      <w:numFmt w:val="decimal"/>
      <w:pStyle w:val="845"/>
      <w:isLgl w:val="false"/>
      <w:suff w:val="space"/>
      <w:lvlText w:val="表%1.%2"/>
      <w:lvlJc w:val="center"/>
      <w:pPr>
        <w:ind w:left="0" w:firstLine="0"/>
      </w:pPr>
      <w:rPr>
        <w:rFonts w:hint="eastAsia" w:ascii="黑体" w:eastAsia="黑体"/>
        <w:sz w:val="21"/>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851"/>
    <w:uiPriority w:val="0"/>
    <w:semiHidden/>
    <w:qFormat/>
    <w:pPr>
      <w:jc w:val="left"/>
      <w:spacing w:line="240" w:lineRule="auto"/>
    </w:pPr>
    <w:rPr>
      <w:rFonts w:hint="default" w:ascii="Arial" w:hAnsi="Arial" w:eastAsia="Arial" w:cs="Arial"/>
      <w:color w:val="000000"/>
      <w:sz w:val="21"/>
      <w:szCs w:val="21"/>
      <w:lang w:val="en-US" w:eastAsia="en-US" w:bidi="ar-SA"/>
    </w:rPr>
  </w:style>
  <w:style w:type="paragraph" w:styleId="653">
    <w:name w:val="Heading 1"/>
    <w:basedOn w:val="652"/>
    <w:next w:val="652"/>
    <w:link w:val="685"/>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86"/>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87"/>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88"/>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89"/>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0"/>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3"/>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style>
  <w:style w:type="table" w:styleId="663" w:default="1">
    <w:name w:val="Normal Table"/>
    <w:uiPriority w:val="99"/>
    <w:semiHidden/>
    <w:unhideWhenUsed/>
    <w:tblPr>
      <w:tblCellMar>
        <w:left w:w="108" w:type="dxa"/>
        <w:top w:w="0" w:type="dxa"/>
        <w:right w:w="108" w:type="dxa"/>
        <w:bottom w:w="0" w:type="dxa"/>
      </w:tblCellMar>
    </w:tblPr>
  </w:style>
  <w:style w:type="paragraph" w:styleId="664">
    <w:name w:val="toc 7"/>
    <w:basedOn w:val="652"/>
    <w:next w:val="652"/>
    <w:uiPriority w:val="39"/>
    <w:unhideWhenUsed/>
    <w:pPr>
      <w:ind w:left="1701" w:right="0" w:firstLine="0"/>
      <w:spacing w:after="57"/>
    </w:pPr>
  </w:style>
  <w:style w:type="paragraph" w:styleId="665">
    <w:name w:val="Caption"/>
    <w:basedOn w:val="652"/>
    <w:next w:val="652"/>
    <w:uiPriority w:val="35"/>
    <w:semiHidden/>
    <w:unhideWhenUsed/>
    <w:qFormat/>
    <w:pPr>
      <w:spacing w:line="276" w:lineRule="auto"/>
    </w:pPr>
    <w:rPr>
      <w:b/>
      <w:bCs/>
      <w:color w:val="4f81bd" w:themeColor="accent1"/>
      <w:sz w:val="18"/>
      <w:szCs w:val="18"/>
    </w:rPr>
  </w:style>
  <w:style w:type="paragraph" w:styleId="666">
    <w:name w:val="toc 5"/>
    <w:basedOn w:val="652"/>
    <w:next w:val="652"/>
    <w:uiPriority w:val="39"/>
    <w:unhideWhenUsed/>
    <w:pPr>
      <w:ind w:left="1134" w:right="0" w:firstLine="0"/>
      <w:spacing w:after="57"/>
    </w:pPr>
  </w:style>
  <w:style w:type="paragraph" w:styleId="667">
    <w:name w:val="toc 3"/>
    <w:basedOn w:val="652"/>
    <w:next w:val="652"/>
    <w:uiPriority w:val="39"/>
    <w:unhideWhenUsed/>
    <w:pPr>
      <w:ind w:left="567" w:right="0" w:firstLine="0"/>
      <w:spacing w:after="57"/>
    </w:pPr>
  </w:style>
  <w:style w:type="paragraph" w:styleId="668">
    <w:name w:val="toc 8"/>
    <w:basedOn w:val="652"/>
    <w:next w:val="652"/>
    <w:uiPriority w:val="39"/>
    <w:unhideWhenUsed/>
    <w:pPr>
      <w:ind w:left="1984" w:right="0" w:firstLine="0"/>
      <w:spacing w:after="57"/>
    </w:pPr>
  </w:style>
  <w:style w:type="paragraph" w:styleId="669">
    <w:name w:val="endnote text"/>
    <w:basedOn w:val="652"/>
    <w:link w:val="831"/>
    <w:uiPriority w:val="99"/>
    <w:semiHidden/>
    <w:unhideWhenUsed/>
    <w:pPr>
      <w:spacing w:after="0" w:line="240" w:lineRule="auto"/>
    </w:pPr>
    <w:rPr>
      <w:sz w:val="20"/>
    </w:rPr>
  </w:style>
  <w:style w:type="paragraph" w:styleId="670">
    <w:name w:val="Footer"/>
    <w:basedOn w:val="652"/>
    <w:link w:val="704"/>
    <w:uiPriority w:val="99"/>
    <w:unhideWhenUsed/>
    <w:pPr>
      <w:spacing w:after="0" w:line="240" w:lineRule="auto"/>
      <w:tabs>
        <w:tab w:val="center" w:pos="7143" w:leader="none"/>
        <w:tab w:val="right" w:pos="14287" w:leader="none"/>
      </w:tabs>
    </w:pPr>
  </w:style>
  <w:style w:type="paragraph" w:styleId="671">
    <w:name w:val="Header"/>
    <w:basedOn w:val="652"/>
    <w:link w:val="702"/>
    <w:uiPriority w:val="99"/>
    <w:unhideWhenUsed/>
    <w:pPr>
      <w:spacing w:after="0" w:line="240" w:lineRule="auto"/>
      <w:tabs>
        <w:tab w:val="center" w:pos="7143" w:leader="none"/>
        <w:tab w:val="right" w:pos="14287" w:leader="none"/>
      </w:tabs>
    </w:pPr>
  </w:style>
  <w:style w:type="paragraph" w:styleId="672">
    <w:name w:val="toc 1"/>
    <w:basedOn w:val="652"/>
    <w:next w:val="652"/>
    <w:uiPriority w:val="39"/>
    <w:unhideWhenUsed/>
    <w:pPr>
      <w:ind w:left="0" w:right="0" w:firstLine="0"/>
      <w:spacing w:after="57"/>
    </w:pPr>
  </w:style>
  <w:style w:type="paragraph" w:styleId="673">
    <w:name w:val="toc 4"/>
    <w:basedOn w:val="652"/>
    <w:next w:val="652"/>
    <w:uiPriority w:val="39"/>
    <w:unhideWhenUsed/>
    <w:pPr>
      <w:ind w:left="850" w:right="0" w:firstLine="0"/>
      <w:spacing w:after="57"/>
    </w:pPr>
  </w:style>
  <w:style w:type="paragraph" w:styleId="674">
    <w:name w:val="Subtitle"/>
    <w:basedOn w:val="652"/>
    <w:next w:val="652"/>
    <w:link w:val="697"/>
    <w:uiPriority w:val="11"/>
    <w:qFormat/>
    <w:pPr>
      <w:spacing w:before="200" w:after="200"/>
    </w:pPr>
    <w:rPr>
      <w:sz w:val="24"/>
      <w:szCs w:val="24"/>
    </w:rPr>
  </w:style>
  <w:style w:type="paragraph" w:styleId="675">
    <w:name w:val="footnote text"/>
    <w:basedOn w:val="652"/>
    <w:link w:val="830"/>
    <w:uiPriority w:val="99"/>
    <w:semiHidden/>
    <w:unhideWhenUsed/>
    <w:pPr>
      <w:spacing w:after="40" w:line="240" w:lineRule="auto"/>
    </w:pPr>
    <w:rPr>
      <w:sz w:val="18"/>
    </w:rPr>
  </w:style>
  <w:style w:type="paragraph" w:styleId="676">
    <w:name w:val="toc 6"/>
    <w:basedOn w:val="652"/>
    <w:next w:val="652"/>
    <w:uiPriority w:val="39"/>
    <w:unhideWhenUsed/>
    <w:pPr>
      <w:ind w:left="1417" w:right="0" w:firstLine="0"/>
      <w:spacing w:after="57"/>
    </w:pPr>
  </w:style>
  <w:style w:type="paragraph" w:styleId="677">
    <w:name w:val="table of figures"/>
    <w:basedOn w:val="652"/>
    <w:next w:val="652"/>
    <w:uiPriority w:val="99"/>
    <w:unhideWhenUsed/>
    <w:pPr>
      <w:spacing w:after="0" w:afterAutospacing="0"/>
    </w:pPr>
  </w:style>
  <w:style w:type="paragraph" w:styleId="678">
    <w:name w:val="toc 2"/>
    <w:basedOn w:val="652"/>
    <w:next w:val="652"/>
    <w:uiPriority w:val="39"/>
    <w:unhideWhenUsed/>
    <w:pPr>
      <w:ind w:left="283" w:right="0" w:firstLine="0"/>
      <w:spacing w:after="57"/>
    </w:pPr>
  </w:style>
  <w:style w:type="paragraph" w:styleId="679">
    <w:name w:val="toc 9"/>
    <w:basedOn w:val="652"/>
    <w:next w:val="652"/>
    <w:uiPriority w:val="39"/>
    <w:unhideWhenUsed/>
    <w:pPr>
      <w:ind w:left="2268" w:right="0" w:firstLine="0"/>
      <w:spacing w:after="57"/>
    </w:pPr>
  </w:style>
  <w:style w:type="paragraph" w:styleId="680">
    <w:name w:val="Title"/>
    <w:basedOn w:val="652"/>
    <w:next w:val="652"/>
    <w:link w:val="696"/>
    <w:uiPriority w:val="10"/>
    <w:qFormat/>
    <w:pPr>
      <w:contextualSpacing/>
      <w:spacing w:before="300" w:after="200"/>
    </w:pPr>
    <w:rPr>
      <w:sz w:val="48"/>
      <w:szCs w:val="48"/>
    </w:rPr>
  </w:style>
  <w:style w:type="table" w:styleId="68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rPr>
      <w:vertAlign w:val="superscript"/>
    </w:rPr>
  </w:style>
  <w:style w:type="character" w:styleId="683">
    <w:name w:val="Hyperlink"/>
    <w:uiPriority w:val="99"/>
    <w:unhideWhenUsed/>
    <w:rPr>
      <w:color w:val="0000ff" w:themeColor="hyperlink"/>
      <w:u w:val="single"/>
    </w:rPr>
  </w:style>
  <w:style w:type="character" w:styleId="684">
    <w:name w:val="footnote reference"/>
    <w:uiPriority w:val="99"/>
    <w:unhideWhenUsed/>
    <w:rPr>
      <w:vertAlign w:val="superscript"/>
    </w:rPr>
  </w:style>
  <w:style w:type="character" w:styleId="685" w:customStyle="1">
    <w:name w:val="Heading 1 Char"/>
    <w:link w:val="653"/>
    <w:uiPriority w:val="9"/>
    <w:rPr>
      <w:rFonts w:ascii="Arial" w:hAnsi="Arial" w:eastAsia="Arial" w:cs="Arial"/>
      <w:sz w:val="40"/>
      <w:szCs w:val="40"/>
    </w:rPr>
  </w:style>
  <w:style w:type="character" w:styleId="686" w:customStyle="1">
    <w:name w:val="Heading 2 Char"/>
    <w:link w:val="654"/>
    <w:uiPriority w:val="9"/>
    <w:rPr>
      <w:rFonts w:ascii="Arial" w:hAnsi="Arial" w:eastAsia="Arial" w:cs="Arial"/>
      <w:sz w:val="34"/>
    </w:rPr>
  </w:style>
  <w:style w:type="character" w:styleId="687" w:customStyle="1">
    <w:name w:val="Heading 3 Char"/>
    <w:link w:val="655"/>
    <w:uiPriority w:val="9"/>
    <w:rPr>
      <w:rFonts w:ascii="Arial" w:hAnsi="Arial" w:eastAsia="Arial" w:cs="Arial"/>
      <w:sz w:val="30"/>
      <w:szCs w:val="30"/>
    </w:rPr>
  </w:style>
  <w:style w:type="character" w:styleId="688" w:customStyle="1">
    <w:name w:val="Heading 4 Char"/>
    <w:link w:val="656"/>
    <w:uiPriority w:val="9"/>
    <w:rPr>
      <w:rFonts w:ascii="Arial" w:hAnsi="Arial" w:eastAsia="Arial" w:cs="Arial"/>
      <w:b/>
      <w:bCs/>
      <w:sz w:val="26"/>
      <w:szCs w:val="26"/>
    </w:rPr>
  </w:style>
  <w:style w:type="character" w:styleId="689" w:customStyle="1">
    <w:name w:val="Heading 5 Char"/>
    <w:link w:val="657"/>
    <w:uiPriority w:val="9"/>
    <w:rPr>
      <w:rFonts w:ascii="Arial" w:hAnsi="Arial" w:eastAsia="Arial" w:cs="Arial"/>
      <w:b/>
      <w:bCs/>
      <w:sz w:val="24"/>
      <w:szCs w:val="24"/>
    </w:rPr>
  </w:style>
  <w:style w:type="character" w:styleId="690" w:customStyle="1">
    <w:name w:val="Heading 6 Char"/>
    <w:link w:val="658"/>
    <w:uiPriority w:val="9"/>
    <w:rPr>
      <w:rFonts w:ascii="Arial" w:hAnsi="Arial" w:eastAsia="Arial" w:cs="Arial"/>
      <w:b/>
      <w:bCs/>
      <w:sz w:val="22"/>
      <w:szCs w:val="22"/>
    </w:rPr>
  </w:style>
  <w:style w:type="character" w:styleId="691" w:customStyle="1">
    <w:name w:val="Heading 7 Char"/>
    <w:link w:val="659"/>
    <w:uiPriority w:val="9"/>
    <w:rPr>
      <w:rFonts w:ascii="Arial" w:hAnsi="Arial" w:eastAsia="Arial" w:cs="Arial"/>
      <w:b/>
      <w:bCs/>
      <w:i/>
      <w:iCs/>
      <w:sz w:val="22"/>
      <w:szCs w:val="22"/>
    </w:rPr>
  </w:style>
  <w:style w:type="character" w:styleId="692" w:customStyle="1">
    <w:name w:val="Heading 8 Char"/>
    <w:link w:val="660"/>
    <w:uiPriority w:val="9"/>
    <w:rPr>
      <w:rFonts w:ascii="Arial" w:hAnsi="Arial" w:eastAsia="Arial" w:cs="Arial"/>
      <w:i/>
      <w:iCs/>
      <w:sz w:val="22"/>
      <w:szCs w:val="22"/>
    </w:rPr>
  </w:style>
  <w:style w:type="character" w:styleId="693" w:customStyle="1">
    <w:name w:val="Heading 9 Char"/>
    <w:link w:val="661"/>
    <w:uiPriority w:val="9"/>
    <w:rPr>
      <w:rFonts w:ascii="Arial" w:hAnsi="Arial" w:eastAsia="Arial" w:cs="Arial"/>
      <w:i/>
      <w:iCs/>
      <w:sz w:val="21"/>
      <w:szCs w:val="21"/>
    </w:rPr>
  </w:style>
  <w:style w:type="paragraph" w:styleId="694">
    <w:name w:val="List Paragraph"/>
    <w:basedOn w:val="652"/>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80"/>
    <w:uiPriority w:val="10"/>
    <w:rPr>
      <w:sz w:val="48"/>
      <w:szCs w:val="48"/>
    </w:rPr>
  </w:style>
  <w:style w:type="character" w:styleId="697" w:customStyle="1">
    <w:name w:val="Subtitle Char"/>
    <w:link w:val="674"/>
    <w:uiPriority w:val="11"/>
    <w:rPr>
      <w:sz w:val="24"/>
      <w:szCs w:val="24"/>
    </w:rPr>
  </w:style>
  <w:style w:type="paragraph" w:styleId="698">
    <w:name w:val="Quote"/>
    <w:basedOn w:val="652"/>
    <w:next w:val="652"/>
    <w:link w:val="699"/>
    <w:uiPriority w:val="29"/>
    <w:qFormat/>
    <w:pPr>
      <w:ind w:left="720" w:right="720"/>
    </w:pPr>
    <w:rPr>
      <w:i/>
    </w:rPr>
  </w:style>
  <w:style w:type="character" w:styleId="699" w:customStyle="1">
    <w:name w:val="Quote Char"/>
    <w:link w:val="698"/>
    <w:uiPriority w:val="29"/>
    <w:rPr>
      <w:i/>
    </w:rPr>
  </w:style>
  <w:style w:type="paragraph" w:styleId="700">
    <w:name w:val="Intense Quote"/>
    <w:basedOn w:val="652"/>
    <w:next w:val="6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rPr>
      <w:i/>
    </w:rPr>
  </w:style>
  <w:style w:type="character" w:styleId="702" w:customStyle="1">
    <w:name w:val="Header Char"/>
    <w:link w:val="671"/>
    <w:uiPriority w:val="99"/>
  </w:style>
  <w:style w:type="character" w:styleId="703" w:customStyle="1">
    <w:name w:val="Footer Char"/>
    <w:link w:val="670"/>
    <w:uiPriority w:val="99"/>
  </w:style>
  <w:style w:type="character" w:styleId="704" w:customStyle="1">
    <w:name w:val="Caption Char"/>
    <w:link w:val="670"/>
    <w:uiPriority w:val="99"/>
  </w:style>
  <w:style w:type="table" w:styleId="70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5"/>
    <w:uiPriority w:val="99"/>
    <w:rPr>
      <w:sz w:val="18"/>
    </w:rPr>
  </w:style>
  <w:style w:type="character" w:styleId="831" w:customStyle="1">
    <w:name w:val="Endnote Text Char"/>
    <w:link w:val="669"/>
    <w:uiPriority w:val="99"/>
    <w:rPr>
      <w:sz w:val="20"/>
    </w:rPr>
  </w:style>
  <w:style w:type="paragraph" w:styleId="832" w:customStyle="1">
    <w:name w:val="TOC Heading"/>
    <w:uiPriority w:val="39"/>
    <w:unhideWhenUsed/>
    <w:rPr>
      <w:rFonts w:hint="default" w:ascii="Times New Roman" w:hAnsi="Times New Roman" w:eastAsia="宋体" w:cs="Times New Roman"/>
    </w:rPr>
  </w:style>
  <w:style w:type="character" w:styleId="833" w:customStyle="1">
    <w:name w:val="默认段落字体1"/>
    <w:link w:val="652"/>
    <w:uiPriority w:val="0"/>
    <w:semiHidden/>
  </w:style>
  <w:style w:type="table" w:styleId="834" w:customStyle="1">
    <w:name w:val="普通表格1"/>
    <w:uiPriority w:val="0"/>
    <w:semiHidden/>
    <w:tblPr/>
  </w:style>
  <w:style w:type="paragraph" w:styleId="835" w:customStyle="1">
    <w:name w:val="批注文字1"/>
    <w:basedOn w:val="652"/>
    <w:uiPriority w:val="0"/>
    <w:qFormat/>
    <w:pPr>
      <w:jc w:val="left"/>
    </w:pPr>
  </w:style>
  <w:style w:type="paragraph" w:styleId="836" w:customStyle="1">
    <w:name w:val="正文文本11"/>
    <w:basedOn w:val="652"/>
    <w:uiPriority w:val="0"/>
    <w:semiHidden/>
    <w:qFormat/>
    <w:rPr>
      <w:rFonts w:ascii="微软雅黑" w:hAnsi="微软雅黑" w:eastAsia="微软雅黑" w:cs="微软雅黑"/>
      <w:sz w:val="32"/>
      <w:szCs w:val="32"/>
      <w:lang w:val="en-US" w:eastAsia="en-US" w:bidi="ar-SA"/>
    </w:rPr>
  </w:style>
  <w:style w:type="paragraph" w:styleId="837" w:customStyle="1">
    <w:name w:val="页脚1"/>
    <w:basedOn w:val="652"/>
    <w:uiPriority w:val="0"/>
    <w:pPr>
      <w:jc w:val="left"/>
      <w:tabs>
        <w:tab w:val="center" w:pos="4153" w:leader="none"/>
        <w:tab w:val="right" w:pos="8306" w:leader="none"/>
      </w:tabs>
    </w:pPr>
    <w:rPr>
      <w:sz w:val="18"/>
      <w:szCs w:val="18"/>
    </w:rPr>
  </w:style>
  <w:style w:type="paragraph" w:styleId="838" w:customStyle="1">
    <w:name w:val="页眉1"/>
    <w:basedOn w:val="652"/>
    <w:uiPriority w:val="99"/>
    <w:qFormat/>
    <w:pPr>
      <w:jc w:val="center"/>
      <w:tabs>
        <w:tab w:val="center" w:pos="4153" w:leader="none"/>
        <w:tab w:val="right" w:pos="8306" w:leader="none"/>
      </w:tabs>
      <w:pBdr>
        <w:bottom w:val="single" w:color="000000" w:sz="6" w:space="1"/>
      </w:pBdr>
    </w:pPr>
    <w:rPr>
      <w:sz w:val="18"/>
      <w:szCs w:val="18"/>
    </w:rPr>
  </w:style>
  <w:style w:type="table" w:styleId="839" w:customStyle="1">
    <w:name w:val="网格型1"/>
    <w:basedOn w:val="834"/>
    <w:uiPriority w:val="59"/>
    <w:qFormat/>
    <w:pPr>
      <w:spacing w:after="0" w:line="240" w:lineRule="auto"/>
    </w:pPr>
    <w:tblPr/>
  </w:style>
  <w:style w:type="character" w:styleId="840" w:customStyle="1">
    <w:name w:val="页码1"/>
    <w:link w:val="652"/>
    <w:uiPriority w:val="0"/>
  </w:style>
  <w:style w:type="table" w:styleId="841" w:customStyle="1">
    <w:name w:val="Table Normal"/>
    <w:uiPriority w:val="0"/>
    <w:unhideWhenUsed/>
    <w:qFormat/>
    <w:tblPr/>
  </w:style>
  <w:style w:type="paragraph" w:styleId="842" w:customStyle="1">
    <w:name w:val="Table Text"/>
    <w:basedOn w:val="652"/>
    <w:uiPriority w:val="0"/>
    <w:semiHidden/>
    <w:qFormat/>
    <w:rPr>
      <w:rFonts w:ascii="宋体" w:hAnsi="宋体" w:eastAsia="宋体" w:cs="宋体"/>
      <w:sz w:val="21"/>
      <w:szCs w:val="21"/>
      <w:lang w:val="en-US" w:eastAsia="en-US" w:bidi="ar-SA"/>
    </w:rPr>
  </w:style>
  <w:style w:type="paragraph" w:styleId="843" w:customStyle="1">
    <w:name w:val="普通正文"/>
    <w:basedOn w:val="652"/>
    <w:uiPriority w:val="0"/>
    <w:pPr>
      <w:ind w:firstLine="480"/>
      <w:jc w:val="left"/>
      <w:spacing w:before="120" w:after="120" w:line="360" w:lineRule="auto"/>
    </w:pPr>
    <w:rPr>
      <w:rFonts w:ascii="Arial" w:hAnsi="Arial"/>
      <w:sz w:val="24"/>
      <w:szCs w:val="24"/>
    </w:rPr>
  </w:style>
  <w:style w:type="paragraph" w:styleId="844" w:customStyle="1">
    <w:name w:val="正文文本1"/>
    <w:basedOn w:val="652"/>
    <w:uiPriority w:val="0"/>
    <w:semiHidden/>
    <w:qFormat/>
    <w:rPr>
      <w:rFonts w:ascii="微软雅黑" w:hAnsi="微软雅黑" w:eastAsia="微软雅黑" w:cs="微软雅黑"/>
      <w:sz w:val="32"/>
      <w:szCs w:val="32"/>
      <w:lang w:val="en-US" w:eastAsia="en-US" w:bidi="ar-SA"/>
    </w:rPr>
  </w:style>
  <w:style w:type="paragraph" w:styleId="845" w:customStyle="1">
    <w:name w:val="标准文件_附录表标题"/>
    <w:next w:val="846"/>
    <w:uiPriority w:val="0"/>
    <w:qFormat/>
    <w:pPr>
      <w:numPr>
        <w:ilvl w:val="1"/>
        <w:numId w:val="1"/>
      </w:numPr>
      <w:jc w:val="center"/>
    </w:pPr>
    <w:rPr>
      <w:rFonts w:hint="default" w:ascii="黑体" w:hAnsi="Times New Roman" w:eastAsia="黑体" w:cs="Times New Roman"/>
      <w:sz w:val="21"/>
      <w:lang w:val="en-US" w:eastAsia="zh-CN" w:bidi="ar-SA"/>
    </w:rPr>
  </w:style>
  <w:style w:type="paragraph" w:styleId="846"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character" w:styleId="847" w:customStyle="1">
    <w:name w:val="font51"/>
    <w:basedOn w:val="833"/>
    <w:link w:val="652"/>
    <w:uiPriority w:val="0"/>
    <w:qFormat/>
    <w:rPr>
      <w:rFonts w:ascii="Calibri" w:hAnsi="Calibri" w:cs="Calibri"/>
      <w:color w:val="000000"/>
      <w:sz w:val="21"/>
      <w:szCs w:val="21"/>
      <w:u w:val="none"/>
    </w:rPr>
  </w:style>
  <w:style w:type="character" w:styleId="848" w:customStyle="1">
    <w:name w:val="font41"/>
    <w:basedOn w:val="833"/>
    <w:link w:val="652"/>
    <w:uiPriority w:val="0"/>
    <w:qFormat/>
    <w:rPr>
      <w:rFonts w:hint="eastAsia" w:ascii="宋体" w:hAnsi="宋体" w:eastAsia="宋体" w:cs="宋体"/>
      <w:color w:val="000000"/>
      <w:sz w:val="21"/>
      <w:szCs w:val="21"/>
      <w:u w:val="none"/>
    </w:rPr>
  </w:style>
  <w:style w:type="character" w:styleId="849" w:customStyle="1">
    <w:name w:val="font31"/>
    <w:basedOn w:val="833"/>
    <w:link w:val="652"/>
    <w:uiPriority w:val="0"/>
    <w:qFormat/>
    <w:rPr>
      <w:rFonts w:hint="eastAsia" w:ascii="宋体" w:hAnsi="宋体" w:eastAsia="宋体" w:cs="宋体"/>
      <w:color w:val="ff0000"/>
      <w:sz w:val="24"/>
      <w:szCs w:val="24"/>
      <w:u w:val="none"/>
    </w:rPr>
  </w:style>
  <w:style w:type="character" w:styleId="850" w:customStyle="1">
    <w:name w:val="font11"/>
    <w:basedOn w:val="833"/>
    <w:link w:val="652"/>
    <w:uiPriority w:val="0"/>
    <w:qFormat/>
    <w:rPr>
      <w:rFonts w:hint="eastAsia" w:ascii="宋体" w:hAnsi="宋体" w:eastAsia="宋体" w:cs="宋体"/>
      <w:color w:val="ff0000"/>
      <w:sz w:val="18"/>
      <w:szCs w:val="18"/>
      <w:u w:val="none"/>
    </w:rPr>
  </w:style>
  <w:style w:type="character" w:styleId="851" w:customStyle="1">
    <w:name w:val="font21"/>
    <w:basedOn w:val="833"/>
    <w:link w:val="652"/>
    <w:uiPriority w:val="0"/>
    <w:qFormat/>
    <w:rPr>
      <w:rFonts w:hint="eastAsia" w:ascii="宋体" w:hAnsi="宋体" w:eastAsia="宋体" w:cs="宋体"/>
      <w:color w:val="000000"/>
      <w:sz w:val="18"/>
      <w:szCs w:val="18"/>
      <w:u w:val="none"/>
    </w:rPr>
  </w:style>
  <w:style w:type="numbering" w:styleId="24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3</cp:revision>
  <dcterms:created xsi:type="dcterms:W3CDTF">2026-07-16T14:37:00Z</dcterms:created>
  <dcterms:modified xsi:type="dcterms:W3CDTF">2026-08-24T03:08:13Z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9FDC0DFB27684E4BADA0E149AE04F64F_12</vt:lpwstr>
  </property>
</Properties>
</file>