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E2F91B">
      <w:pPr>
        <w:pStyle w:val="192"/>
        <w:ind w:firstLine="0"/>
        <w:jc w:val="both"/>
        <w:rPr>
          <w:rFonts w:ascii="宋体" w:hAnsi="宋体" w:cs="宋体"/>
          <w:b/>
          <w:bCs/>
          <w:color w:val="auto"/>
          <w:sz w:val="44"/>
          <w:szCs w:val="44"/>
        </w:rPr>
      </w:pPr>
    </w:p>
    <w:p w14:paraId="5578665C">
      <w:pPr>
        <w:pStyle w:val="192"/>
        <w:ind w:firstLine="0"/>
        <w:jc w:val="both"/>
        <w:rPr>
          <w:rFonts w:ascii="宋体" w:hAnsi="宋体" w:cs="宋体"/>
          <w:b/>
          <w:bCs/>
          <w:color w:val="auto"/>
          <w:sz w:val="44"/>
          <w:szCs w:val="44"/>
        </w:rPr>
      </w:pPr>
    </w:p>
    <w:p w14:paraId="73F972F9">
      <w:pPr>
        <w:jc w:val="center"/>
        <w:rPr>
          <w:rFonts w:ascii="宋体" w:hAnsi="宋体" w:cs="宋体"/>
          <w:color w:val="auto"/>
          <w:sz w:val="84"/>
        </w:rPr>
      </w:pPr>
      <w:r>
        <w:rPr>
          <w:rFonts w:hint="eastAsia" w:ascii="宋体" w:hAnsi="宋体" w:cs="宋体"/>
          <w:b/>
          <w:bCs/>
          <w:color w:val="auto"/>
          <w:sz w:val="84"/>
        </w:rPr>
        <w:t>招 标 文 件</w:t>
      </w:r>
      <w:bookmarkStart w:id="13" w:name="_GoBack"/>
      <w:bookmarkEnd w:id="13"/>
    </w:p>
    <w:p w14:paraId="238E1A52">
      <w:pPr>
        <w:pStyle w:val="192"/>
        <w:ind w:firstLine="0"/>
        <w:jc w:val="both"/>
        <w:rPr>
          <w:rFonts w:ascii="宋体" w:hAnsi="宋体" w:cs="宋体"/>
          <w:b/>
          <w:bCs/>
          <w:color w:val="auto"/>
          <w:sz w:val="30"/>
          <w:szCs w:val="30"/>
        </w:rPr>
      </w:pPr>
    </w:p>
    <w:p w14:paraId="41C1FE9E">
      <w:pPr>
        <w:pStyle w:val="192"/>
        <w:ind w:firstLine="0"/>
        <w:jc w:val="both"/>
        <w:rPr>
          <w:rFonts w:ascii="宋体" w:hAnsi="宋体" w:cs="宋体"/>
          <w:b/>
          <w:bCs/>
          <w:color w:val="auto"/>
          <w:sz w:val="30"/>
          <w:szCs w:val="30"/>
        </w:rPr>
      </w:pPr>
    </w:p>
    <w:p w14:paraId="1A834FFE">
      <w:pPr>
        <w:pStyle w:val="192"/>
        <w:ind w:firstLine="0"/>
        <w:jc w:val="center"/>
        <w:rPr>
          <w:rFonts w:ascii="宋体" w:hAnsi="宋体" w:cs="宋体"/>
          <w:b/>
          <w:bCs/>
          <w:color w:val="auto"/>
          <w:sz w:val="30"/>
          <w:szCs w:val="30"/>
        </w:rPr>
      </w:pPr>
    </w:p>
    <w:p w14:paraId="7FB0C07C">
      <w:pPr>
        <w:pStyle w:val="192"/>
        <w:ind w:left="0" w:firstLine="904" w:firstLineChars="300"/>
        <w:jc w:val="both"/>
        <w:rPr>
          <w:rFonts w:hint="default" w:ascii="宋体" w:hAnsi="宋体" w:cs="宋体"/>
          <w:b/>
          <w:bCs/>
          <w:color w:val="auto"/>
          <w:sz w:val="30"/>
          <w:szCs w:val="30"/>
          <w:lang w:val="en-US" w:eastAsia="zh-CN"/>
        </w:rPr>
      </w:pPr>
      <w:r>
        <w:rPr>
          <w:rFonts w:hint="eastAsia" w:ascii="宋体" w:hAnsi="宋体" w:cs="宋体"/>
          <w:b/>
          <w:bCs/>
          <w:color w:val="auto"/>
          <w:sz w:val="30"/>
          <w:szCs w:val="30"/>
          <w:lang w:val="en-US" w:eastAsia="zh-CN"/>
        </w:rPr>
        <w:t>项目编号：JSZC-320902-JZCG-G2026-0041</w:t>
      </w:r>
    </w:p>
    <w:p w14:paraId="3489A2D8">
      <w:pPr>
        <w:pStyle w:val="192"/>
        <w:ind w:left="0" w:firstLine="0"/>
        <w:jc w:val="center"/>
        <w:rPr>
          <w:rFonts w:ascii="宋体" w:hAnsi="宋体" w:cs="宋体"/>
          <w:b/>
          <w:bCs/>
          <w:color w:val="auto"/>
          <w:sz w:val="28"/>
          <w:szCs w:val="28"/>
        </w:rPr>
      </w:pPr>
      <w:r>
        <w:rPr>
          <w:rFonts w:hint="eastAsia" w:ascii="宋体" w:hAnsi="宋体" w:cs="宋体"/>
          <w:b/>
          <w:bCs/>
          <w:color w:val="auto"/>
          <w:sz w:val="30"/>
          <w:szCs w:val="30"/>
          <w:lang w:val="en-US" w:eastAsia="zh-CN"/>
        </w:rPr>
        <w:t xml:space="preserve">  </w:t>
      </w:r>
      <w:r>
        <w:rPr>
          <w:rFonts w:hint="eastAsia" w:ascii="宋体" w:hAnsi="宋体" w:cs="宋体"/>
          <w:b/>
          <w:bCs/>
          <w:color w:val="auto"/>
          <w:sz w:val="30"/>
          <w:szCs w:val="30"/>
        </w:rPr>
        <w:t>项目名称：</w:t>
      </w:r>
      <w:r>
        <w:rPr>
          <w:rFonts w:hint="eastAsia" w:ascii="宋体" w:hAnsi="宋体" w:cs="宋体"/>
          <w:b/>
          <w:bCs/>
          <w:color w:val="auto"/>
          <w:sz w:val="30"/>
          <w:szCs w:val="30"/>
          <w:lang w:val="en-US" w:eastAsia="zh-CN"/>
        </w:rPr>
        <w:t>盐城市亭湖区便仓初级中学2026年物业服务项目</w:t>
      </w:r>
    </w:p>
    <w:p w14:paraId="35028D54">
      <w:pPr>
        <w:pStyle w:val="192"/>
        <w:ind w:firstLine="0"/>
        <w:rPr>
          <w:rFonts w:ascii="宋体" w:hAnsi="宋体" w:cs="宋体"/>
          <w:b/>
          <w:bCs/>
          <w:color w:val="auto"/>
          <w:sz w:val="28"/>
          <w:szCs w:val="28"/>
        </w:rPr>
      </w:pPr>
    </w:p>
    <w:p w14:paraId="6FF81740">
      <w:pPr>
        <w:pStyle w:val="192"/>
        <w:spacing w:before="0" w:after="0"/>
        <w:ind w:firstLine="0"/>
        <w:rPr>
          <w:rFonts w:ascii="宋体" w:hAnsi="宋体" w:cs="宋体"/>
          <w:color w:val="auto"/>
          <w:sz w:val="28"/>
          <w:szCs w:val="28"/>
        </w:rPr>
      </w:pPr>
    </w:p>
    <w:p w14:paraId="3DDC7FCB">
      <w:pPr>
        <w:rPr>
          <w:rFonts w:ascii="宋体" w:hAnsi="宋体" w:cs="宋体"/>
          <w:b/>
          <w:bCs/>
          <w:color w:val="auto"/>
          <w:sz w:val="28"/>
          <w:szCs w:val="28"/>
        </w:rPr>
      </w:pPr>
    </w:p>
    <w:p w14:paraId="401C9CF4">
      <w:pPr>
        <w:rPr>
          <w:rFonts w:ascii="宋体" w:hAnsi="宋体" w:cs="宋体"/>
          <w:b/>
          <w:bCs/>
          <w:color w:val="auto"/>
          <w:sz w:val="28"/>
          <w:szCs w:val="28"/>
        </w:rPr>
      </w:pPr>
    </w:p>
    <w:p w14:paraId="7E4833A3">
      <w:pPr>
        <w:rPr>
          <w:rFonts w:ascii="宋体" w:hAnsi="宋体" w:cs="宋体"/>
          <w:b/>
          <w:bCs/>
          <w:color w:val="auto"/>
          <w:sz w:val="28"/>
          <w:szCs w:val="28"/>
        </w:rPr>
      </w:pPr>
    </w:p>
    <w:p w14:paraId="1E82EB22">
      <w:pPr>
        <w:pStyle w:val="189"/>
        <w:spacing w:before="120" w:beforeAutospacing="0" w:after="120" w:afterAutospacing="0" w:line="400" w:lineRule="exact"/>
        <w:jc w:val="center"/>
        <w:outlineLvl w:val="0"/>
        <w:rPr>
          <w:rFonts w:hint="eastAsia" w:ascii="宋体" w:hAnsi="宋体" w:cs="宋体"/>
          <w:b/>
          <w:bCs/>
          <w:color w:val="auto"/>
          <w:sz w:val="30"/>
          <w:szCs w:val="30"/>
          <w:lang w:val="en-US" w:eastAsia="zh-CN"/>
        </w:rPr>
      </w:pPr>
    </w:p>
    <w:p w14:paraId="2322CE97">
      <w:pPr>
        <w:pStyle w:val="189"/>
        <w:spacing w:before="120" w:beforeAutospacing="0" w:after="120" w:afterAutospacing="0" w:line="400" w:lineRule="exact"/>
        <w:jc w:val="center"/>
        <w:outlineLvl w:val="0"/>
        <w:rPr>
          <w:rFonts w:hint="eastAsia" w:ascii="宋体" w:hAnsi="宋体" w:cs="宋体"/>
          <w:b/>
          <w:bCs/>
          <w:color w:val="auto"/>
          <w:sz w:val="30"/>
          <w:szCs w:val="30"/>
          <w:lang w:val="en-US" w:eastAsia="zh-CN"/>
        </w:rPr>
      </w:pPr>
    </w:p>
    <w:p w14:paraId="060D4EB5">
      <w:pPr>
        <w:pStyle w:val="189"/>
        <w:spacing w:before="120" w:beforeAutospacing="0" w:after="120" w:afterAutospacing="0" w:line="400" w:lineRule="exact"/>
        <w:jc w:val="center"/>
        <w:outlineLvl w:val="0"/>
        <w:rPr>
          <w:rFonts w:hint="eastAsia" w:ascii="宋体" w:hAnsi="宋体" w:cs="宋体"/>
          <w:b/>
          <w:bCs/>
          <w:color w:val="auto"/>
          <w:sz w:val="30"/>
          <w:szCs w:val="30"/>
          <w:lang w:val="en-US" w:eastAsia="zh-CN"/>
        </w:rPr>
      </w:pPr>
    </w:p>
    <w:p w14:paraId="3D0A8A0E">
      <w:pPr>
        <w:pStyle w:val="189"/>
        <w:spacing w:before="120" w:beforeAutospacing="0" w:after="120" w:afterAutospacing="0" w:line="400" w:lineRule="exact"/>
        <w:jc w:val="center"/>
        <w:outlineLvl w:val="0"/>
        <w:rPr>
          <w:rFonts w:hint="eastAsia" w:ascii="宋体" w:hAnsi="宋体" w:cs="宋体"/>
          <w:b/>
          <w:bCs/>
          <w:color w:val="auto"/>
          <w:sz w:val="30"/>
          <w:szCs w:val="30"/>
          <w:lang w:val="en-US" w:eastAsia="zh-CN"/>
        </w:rPr>
      </w:pPr>
    </w:p>
    <w:p w14:paraId="719E8DD7">
      <w:pPr>
        <w:pStyle w:val="189"/>
        <w:spacing w:before="120" w:beforeAutospacing="0" w:after="120" w:afterAutospacing="0" w:line="400" w:lineRule="exact"/>
        <w:jc w:val="center"/>
        <w:outlineLvl w:val="0"/>
        <w:rPr>
          <w:rFonts w:hint="eastAsia" w:ascii="宋体" w:hAnsi="宋体" w:cs="宋体"/>
          <w:b/>
          <w:bCs/>
          <w:color w:val="auto"/>
          <w:sz w:val="30"/>
          <w:szCs w:val="30"/>
          <w:lang w:val="en-US" w:eastAsia="zh-CN"/>
        </w:rPr>
      </w:pPr>
      <w:r>
        <w:rPr>
          <w:rFonts w:hint="eastAsia" w:ascii="宋体" w:hAnsi="宋体" w:cs="宋体"/>
          <w:b/>
          <w:bCs/>
          <w:color w:val="auto"/>
          <w:sz w:val="30"/>
          <w:szCs w:val="30"/>
          <w:lang w:val="en-US" w:eastAsia="zh-CN"/>
        </w:rPr>
        <w:t>盐城市亭湖区便仓初级中学</w:t>
      </w:r>
    </w:p>
    <w:p w14:paraId="581F8E6F">
      <w:pPr>
        <w:pStyle w:val="189"/>
        <w:spacing w:before="120" w:beforeAutospacing="0" w:after="120" w:afterAutospacing="0" w:line="400" w:lineRule="exact"/>
        <w:jc w:val="center"/>
        <w:outlineLvl w:val="0"/>
        <w:rPr>
          <w:rFonts w:ascii="黑体" w:hAnsi="黑体" w:eastAsia="黑体" w:cs="黑体"/>
          <w:bCs/>
          <w:color w:val="auto"/>
          <w:sz w:val="32"/>
          <w:szCs w:val="32"/>
        </w:rPr>
      </w:pPr>
      <w:r>
        <w:rPr>
          <w:rFonts w:hint="eastAsia" w:ascii="黑体" w:hAnsi="黑体" w:eastAsia="黑体" w:cs="黑体"/>
          <w:bCs/>
          <w:color w:val="auto"/>
          <w:sz w:val="32"/>
          <w:szCs w:val="32"/>
        </w:rPr>
        <w:t>202</w:t>
      </w:r>
      <w:r>
        <w:rPr>
          <w:rFonts w:ascii="黑体" w:hAnsi="黑体" w:eastAsia="黑体" w:cs="黑体"/>
          <w:bCs/>
          <w:color w:val="auto"/>
          <w:sz w:val="32"/>
          <w:szCs w:val="32"/>
        </w:rPr>
        <w:t>6</w:t>
      </w:r>
      <w:r>
        <w:rPr>
          <w:rFonts w:hint="eastAsia" w:ascii="黑体" w:hAnsi="黑体" w:eastAsia="黑体" w:cs="黑体"/>
          <w:bCs/>
          <w:color w:val="auto"/>
          <w:sz w:val="32"/>
          <w:szCs w:val="32"/>
        </w:rPr>
        <w:t>年</w:t>
      </w:r>
      <w:r>
        <w:rPr>
          <w:rFonts w:hint="eastAsia" w:ascii="黑体" w:hAnsi="黑体" w:eastAsia="黑体" w:cs="黑体"/>
          <w:bCs/>
          <w:color w:val="auto"/>
          <w:sz w:val="32"/>
          <w:szCs w:val="32"/>
          <w:lang w:val="en-US" w:eastAsia="zh-CN"/>
        </w:rPr>
        <w:t>8</w:t>
      </w:r>
      <w:r>
        <w:rPr>
          <w:rFonts w:hint="eastAsia" w:ascii="黑体" w:hAnsi="黑体" w:eastAsia="黑体" w:cs="黑体"/>
          <w:bCs/>
          <w:color w:val="auto"/>
          <w:sz w:val="32"/>
          <w:szCs w:val="32"/>
        </w:rPr>
        <w:t>月</w:t>
      </w:r>
    </w:p>
    <w:p w14:paraId="22BB8BCF">
      <w:pPr>
        <w:jc w:val="center"/>
        <w:rPr>
          <w:rFonts w:ascii="宋体" w:hAnsi="宋体" w:cs="宋体"/>
          <w:color w:val="auto"/>
          <w:sz w:val="28"/>
          <w:szCs w:val="28"/>
        </w:rPr>
      </w:pPr>
    </w:p>
    <w:p w14:paraId="08C8C54E">
      <w:pPr>
        <w:pStyle w:val="193"/>
        <w:spacing w:line="360" w:lineRule="auto"/>
        <w:jc w:val="center"/>
        <w:rPr>
          <w:rFonts w:ascii="宋体" w:hAnsi="宋体" w:cs="宋体"/>
          <w:color w:val="auto"/>
          <w:sz w:val="28"/>
          <w:szCs w:val="28"/>
        </w:rPr>
      </w:pPr>
    </w:p>
    <w:p w14:paraId="1549AAAF">
      <w:pPr>
        <w:rPr>
          <w:rFonts w:ascii="宋体" w:hAnsi="宋体" w:cs="宋体"/>
          <w:b/>
          <w:color w:val="auto"/>
          <w:sz w:val="28"/>
          <w:szCs w:val="28"/>
        </w:rPr>
        <w:sectPr>
          <w:footerReference r:id="rId4" w:type="first"/>
          <w:footerReference r:id="rId3" w:type="even"/>
          <w:pgSz w:w="11906" w:h="16838"/>
          <w:pgMar w:top="1298" w:right="1196" w:bottom="1208" w:left="1259" w:header="851" w:footer="907" w:gutter="0"/>
          <w:cols w:space="1701" w:num="1"/>
          <w:titlePg/>
          <w:docGrid w:linePitch="360" w:charSpace="0"/>
        </w:sectPr>
      </w:pPr>
    </w:p>
    <w:p w14:paraId="5A3772CA">
      <w:pPr>
        <w:spacing w:line="560" w:lineRule="exact"/>
        <w:jc w:val="center"/>
        <w:outlineLvl w:val="0"/>
        <w:rPr>
          <w:rFonts w:ascii="黑体" w:hAnsi="Showcard Gothic" w:eastAsia="黑体"/>
          <w:color w:val="auto"/>
          <w:sz w:val="36"/>
        </w:rPr>
      </w:pPr>
    </w:p>
    <w:p w14:paraId="3B7922A9">
      <w:pPr>
        <w:spacing w:line="560" w:lineRule="exact"/>
        <w:jc w:val="center"/>
        <w:outlineLvl w:val="0"/>
        <w:rPr>
          <w:rFonts w:ascii="黑体" w:hAnsi="Showcard Gothic" w:eastAsia="黑体"/>
          <w:color w:val="auto"/>
          <w:sz w:val="40"/>
          <w:szCs w:val="28"/>
        </w:rPr>
      </w:pPr>
      <w:r>
        <w:rPr>
          <w:rFonts w:hint="eastAsia" w:ascii="黑体" w:hAnsi="Showcard Gothic" w:eastAsia="黑体"/>
          <w:color w:val="auto"/>
          <w:sz w:val="40"/>
          <w:szCs w:val="28"/>
        </w:rPr>
        <w:t>总  目  录</w:t>
      </w:r>
    </w:p>
    <w:p w14:paraId="21CEACDB">
      <w:pPr>
        <w:rPr>
          <w:b/>
          <w:color w:val="auto"/>
          <w:sz w:val="28"/>
        </w:rPr>
      </w:pPr>
    </w:p>
    <w:p w14:paraId="73FFFB96">
      <w:pPr>
        <w:spacing w:line="560" w:lineRule="exact"/>
        <w:jc w:val="center"/>
        <w:outlineLvl w:val="0"/>
        <w:rPr>
          <w:rFonts w:ascii="黑体" w:hAnsi="Showcard Gothic" w:eastAsia="黑体"/>
          <w:color w:val="auto"/>
          <w:sz w:val="36"/>
        </w:rPr>
      </w:pPr>
      <w:r>
        <w:rPr>
          <w:rFonts w:hint="eastAsia" w:ascii="黑体" w:hAnsi="Showcard Gothic" w:eastAsia="黑体"/>
          <w:color w:val="auto"/>
          <w:sz w:val="36"/>
        </w:rPr>
        <w:t>第一章  招标公告………………………………</w:t>
      </w:r>
      <w:r>
        <w:rPr>
          <w:rFonts w:ascii="黑体" w:hAnsi="Showcard Gothic" w:eastAsia="黑体"/>
          <w:color w:val="auto"/>
          <w:sz w:val="36"/>
        </w:rPr>
        <w:t>2</w:t>
      </w:r>
    </w:p>
    <w:p w14:paraId="77E18834">
      <w:pPr>
        <w:spacing w:line="560" w:lineRule="exact"/>
        <w:jc w:val="center"/>
        <w:outlineLvl w:val="0"/>
        <w:rPr>
          <w:rFonts w:ascii="黑体" w:hAnsi="Showcard Gothic" w:eastAsia="黑体"/>
          <w:color w:val="auto"/>
          <w:sz w:val="36"/>
        </w:rPr>
      </w:pPr>
      <w:r>
        <w:rPr>
          <w:rFonts w:hint="eastAsia" w:ascii="黑体" w:hAnsi="Showcard Gothic" w:eastAsia="黑体"/>
          <w:color w:val="auto"/>
          <w:sz w:val="36"/>
        </w:rPr>
        <w:t>第二章  投标人须知……………………………</w:t>
      </w:r>
      <w:r>
        <w:rPr>
          <w:rFonts w:ascii="黑体" w:hAnsi="Showcard Gothic" w:eastAsia="黑体"/>
          <w:color w:val="auto"/>
          <w:sz w:val="36"/>
        </w:rPr>
        <w:t>6</w:t>
      </w:r>
    </w:p>
    <w:p w14:paraId="48A2E2D4">
      <w:pPr>
        <w:spacing w:line="560" w:lineRule="exact"/>
        <w:jc w:val="center"/>
        <w:outlineLvl w:val="0"/>
        <w:rPr>
          <w:rFonts w:ascii="黑体" w:hAnsi="Showcard Gothic" w:eastAsia="黑体"/>
          <w:color w:val="auto"/>
          <w:sz w:val="36"/>
        </w:rPr>
      </w:pPr>
      <w:r>
        <w:rPr>
          <w:rFonts w:hint="eastAsia" w:ascii="黑体" w:hAnsi="Showcard Gothic" w:eastAsia="黑体"/>
          <w:color w:val="auto"/>
          <w:sz w:val="36"/>
        </w:rPr>
        <w:t xml:space="preserve"> 第三章  合同文本………………………………25</w:t>
      </w:r>
    </w:p>
    <w:p w14:paraId="3914F3C1">
      <w:pPr>
        <w:spacing w:line="560" w:lineRule="exact"/>
        <w:jc w:val="center"/>
        <w:outlineLvl w:val="0"/>
        <w:rPr>
          <w:rFonts w:hint="default" w:ascii="黑体" w:hAnsi="Showcard Gothic" w:eastAsia="黑体"/>
          <w:color w:val="auto"/>
          <w:sz w:val="36"/>
          <w:lang w:val="en-US" w:eastAsia="zh-CN"/>
        </w:rPr>
      </w:pPr>
      <w:r>
        <w:rPr>
          <w:rFonts w:hint="eastAsia" w:ascii="黑体" w:hAnsi="Showcard Gothic" w:eastAsia="黑体"/>
          <w:color w:val="auto"/>
          <w:sz w:val="36"/>
        </w:rPr>
        <w:t xml:space="preserve"> 第四章  采购需求………………………………</w:t>
      </w:r>
      <w:r>
        <w:rPr>
          <w:rFonts w:hint="eastAsia" w:ascii="黑体" w:hAnsi="Showcard Gothic" w:eastAsia="黑体"/>
          <w:color w:val="auto"/>
          <w:sz w:val="36"/>
          <w:lang w:val="en-US" w:eastAsia="zh-CN"/>
        </w:rPr>
        <w:t>36</w:t>
      </w:r>
    </w:p>
    <w:p w14:paraId="358AAB3D">
      <w:pPr>
        <w:spacing w:line="560" w:lineRule="exact"/>
        <w:jc w:val="center"/>
        <w:outlineLvl w:val="0"/>
        <w:rPr>
          <w:rFonts w:hint="default" w:ascii="黑体" w:hAnsi="Showcard Gothic" w:eastAsia="黑体"/>
          <w:color w:val="auto"/>
          <w:sz w:val="36"/>
          <w:lang w:val="en-US" w:eastAsia="zh-CN"/>
        </w:rPr>
      </w:pPr>
      <w:r>
        <w:rPr>
          <w:rFonts w:hint="eastAsia" w:ascii="黑体" w:hAnsi="Showcard Gothic" w:eastAsia="黑体"/>
          <w:color w:val="auto"/>
          <w:sz w:val="36"/>
        </w:rPr>
        <w:t xml:space="preserve"> 第五章  评标方法与评标标准…………………</w:t>
      </w:r>
      <w:r>
        <w:rPr>
          <w:rFonts w:hint="eastAsia" w:ascii="黑体" w:hAnsi="Showcard Gothic" w:eastAsia="黑体"/>
          <w:color w:val="auto"/>
          <w:sz w:val="36"/>
          <w:lang w:val="en-US" w:eastAsia="zh-CN"/>
        </w:rPr>
        <w:t>42</w:t>
      </w:r>
    </w:p>
    <w:p w14:paraId="08C0497D">
      <w:pPr>
        <w:spacing w:line="560" w:lineRule="exact"/>
        <w:jc w:val="center"/>
        <w:outlineLvl w:val="0"/>
        <w:rPr>
          <w:rFonts w:hint="default" w:ascii="黑体" w:hAnsi="Showcard Gothic" w:eastAsia="黑体"/>
          <w:color w:val="auto"/>
          <w:sz w:val="36"/>
          <w:lang w:val="en-US" w:eastAsia="zh-CN"/>
        </w:rPr>
      </w:pPr>
      <w:r>
        <w:rPr>
          <w:rFonts w:hint="eastAsia" w:ascii="黑体" w:hAnsi="Showcard Gothic" w:eastAsia="黑体"/>
          <w:color w:val="auto"/>
          <w:sz w:val="36"/>
        </w:rPr>
        <w:t xml:space="preserve"> 第六章  投标文件格式…………………………</w:t>
      </w:r>
      <w:r>
        <w:rPr>
          <w:rFonts w:hint="eastAsia" w:ascii="黑体" w:hAnsi="Showcard Gothic" w:eastAsia="黑体"/>
          <w:color w:val="auto"/>
          <w:sz w:val="36"/>
          <w:lang w:val="en-US" w:eastAsia="zh-CN"/>
        </w:rPr>
        <w:t>47</w:t>
      </w:r>
    </w:p>
    <w:p w14:paraId="661509D1">
      <w:pPr>
        <w:pStyle w:val="194"/>
        <w:spacing w:beforeAutospacing="0" w:afterAutospacing="0"/>
        <w:jc w:val="both"/>
        <w:rPr>
          <w:color w:val="auto"/>
          <w:szCs w:val="44"/>
        </w:rPr>
      </w:pPr>
    </w:p>
    <w:p w14:paraId="56C46F39">
      <w:pPr>
        <w:pStyle w:val="194"/>
        <w:spacing w:beforeAutospacing="0" w:afterAutospacing="0"/>
        <w:jc w:val="both"/>
        <w:rPr>
          <w:color w:val="auto"/>
          <w:szCs w:val="44"/>
        </w:rPr>
        <w:sectPr>
          <w:footerReference r:id="rId5" w:type="default"/>
          <w:pgSz w:w="11906" w:h="16838"/>
          <w:pgMar w:top="1440" w:right="1633" w:bottom="1440" w:left="1633" w:header="851" w:footer="992" w:gutter="0"/>
          <w:pgNumType w:start="1"/>
          <w:cols w:space="1701" w:num="1"/>
          <w:docGrid w:linePitch="360" w:charSpace="0"/>
        </w:sectPr>
      </w:pPr>
    </w:p>
    <w:p w14:paraId="7F56EE83">
      <w:pPr>
        <w:pStyle w:val="194"/>
        <w:spacing w:beforeAutospacing="0" w:afterAutospacing="0"/>
        <w:jc w:val="center"/>
        <w:outlineLvl w:val="0"/>
        <w:rPr>
          <w:rFonts w:ascii="黑体" w:hAnsi="黑体" w:eastAsia="黑体" w:cs="黑体"/>
          <w:color w:val="auto"/>
          <w:sz w:val="44"/>
          <w:szCs w:val="20"/>
        </w:rPr>
      </w:pPr>
      <w:bookmarkStart w:id="0" w:name="_Toc1413"/>
      <w:r>
        <w:rPr>
          <w:rFonts w:hint="eastAsia" w:ascii="黑体" w:hAnsi="黑体" w:eastAsia="黑体" w:cs="黑体"/>
          <w:color w:val="auto"/>
          <w:sz w:val="44"/>
          <w:szCs w:val="20"/>
        </w:rPr>
        <w:t>第一章 招标公告</w:t>
      </w:r>
      <w:bookmarkEnd w:id="0"/>
    </w:p>
    <w:p w14:paraId="5B28F1B1">
      <w:pPr>
        <w:keepNext w:val="0"/>
        <w:keepLines w:val="0"/>
        <w:pageBreakBefore w:val="0"/>
        <w:widowControl/>
        <w:pBdr>
          <w:top w:val="single" w:color="000000" w:sz="4" w:space="0"/>
          <w:left w:val="single" w:color="000000" w:sz="4" w:space="0"/>
          <w:bottom w:val="single" w:color="000000" w:sz="4" w:space="0"/>
          <w:right w:val="single" w:color="000000" w:sz="4" w:space="0"/>
        </w:pBdr>
        <w:spacing w:line="500" w:lineRule="exact"/>
        <w:jc w:val="left"/>
        <w:rPr>
          <w:rFonts w:ascii="宋体" w:hAnsi="宋体" w:eastAsia="宋体" w:cs="宋体"/>
          <w:color w:val="auto"/>
          <w:sz w:val="24"/>
          <w:szCs w:val="20"/>
        </w:rPr>
      </w:pPr>
      <w:r>
        <w:rPr>
          <w:rFonts w:hint="eastAsia" w:ascii="宋体" w:hAnsi="宋体" w:eastAsia="宋体" w:cs="宋体"/>
          <w:color w:val="auto"/>
          <w:sz w:val="24"/>
          <w:szCs w:val="20"/>
        </w:rPr>
        <w:t>项目概况</w:t>
      </w:r>
    </w:p>
    <w:p w14:paraId="61C5A212">
      <w:pPr>
        <w:keepNext w:val="0"/>
        <w:keepLines w:val="0"/>
        <w:pageBreakBefore w:val="0"/>
        <w:widowControl/>
        <w:pBdr>
          <w:top w:val="single" w:color="000000" w:sz="4" w:space="0"/>
          <w:left w:val="single" w:color="000000" w:sz="4" w:space="0"/>
          <w:bottom w:val="single" w:color="000000" w:sz="4" w:space="0"/>
          <w:right w:val="single" w:color="000000" w:sz="4" w:space="0"/>
        </w:pBdr>
        <w:spacing w:line="500" w:lineRule="exact"/>
        <w:ind w:firstLine="482"/>
        <w:jc w:val="left"/>
        <w:rPr>
          <w:rFonts w:ascii="宋体" w:hAnsi="宋体" w:eastAsia="宋体" w:cs="宋体"/>
          <w:color w:val="auto"/>
          <w:sz w:val="24"/>
          <w:szCs w:val="20"/>
        </w:rPr>
      </w:pPr>
      <w:r>
        <w:rPr>
          <w:rFonts w:hint="eastAsia" w:ascii="宋体" w:hAnsi="宋体" w:cs="宋体"/>
          <w:color w:val="auto"/>
          <w:sz w:val="24"/>
          <w:szCs w:val="20"/>
          <w:u w:val="single"/>
          <w:lang w:eastAsia="zh-CN"/>
        </w:rPr>
        <w:t>盐城市亭湖区便仓初级中学2026年物业服务项目</w:t>
      </w:r>
      <w:r>
        <w:rPr>
          <w:rFonts w:hint="eastAsia" w:ascii="宋体" w:hAnsi="宋体" w:eastAsia="宋体" w:cs="宋体"/>
          <w:color w:val="auto"/>
          <w:sz w:val="24"/>
          <w:szCs w:val="20"/>
        </w:rPr>
        <w:t>的潜在投标人应在“苏采云”系统内免费下载（投标人必须在苏采云系统中获取采购文件，方能参与政府采购项目），并于</w:t>
      </w:r>
      <w:r>
        <w:rPr>
          <w:rFonts w:hint="eastAsia" w:ascii="宋体" w:hAnsi="宋体" w:eastAsia="宋体" w:cs="宋体"/>
          <w:color w:val="auto"/>
          <w:sz w:val="24"/>
          <w:szCs w:val="20"/>
          <w:u w:val="single"/>
        </w:rPr>
        <w:t>2026</w:t>
      </w:r>
      <w:r>
        <w:rPr>
          <w:rFonts w:hint="eastAsia" w:ascii="宋体" w:hAnsi="宋体" w:eastAsia="宋体" w:cs="宋体"/>
          <w:color w:val="auto"/>
          <w:sz w:val="24"/>
          <w:szCs w:val="20"/>
          <w:u w:val="single"/>
          <w:lang w:val="en-US" w:eastAsia="zh-CN"/>
        </w:rPr>
        <w:t>年</w:t>
      </w:r>
      <w:r>
        <w:rPr>
          <w:rFonts w:hint="eastAsia" w:ascii="宋体" w:hAnsi="宋体" w:cs="宋体"/>
          <w:color w:val="auto"/>
          <w:sz w:val="24"/>
          <w:szCs w:val="20"/>
          <w:u w:val="single"/>
          <w:lang w:val="en-US" w:eastAsia="zh-CN"/>
        </w:rPr>
        <w:t>9</w:t>
      </w:r>
      <w:r>
        <w:rPr>
          <w:rFonts w:hint="eastAsia" w:ascii="宋体" w:hAnsi="宋体" w:eastAsia="宋体" w:cs="宋体"/>
          <w:color w:val="auto"/>
          <w:sz w:val="24"/>
          <w:szCs w:val="20"/>
          <w:u w:val="single"/>
          <w:lang w:val="en-US" w:eastAsia="zh-CN"/>
        </w:rPr>
        <w:t>月</w:t>
      </w:r>
      <w:r>
        <w:rPr>
          <w:rFonts w:hint="eastAsia" w:ascii="宋体" w:hAnsi="宋体" w:cs="宋体"/>
          <w:color w:val="auto"/>
          <w:sz w:val="24"/>
          <w:szCs w:val="20"/>
          <w:u w:val="single"/>
          <w:lang w:val="en-US" w:eastAsia="zh-CN"/>
        </w:rPr>
        <w:t>1</w:t>
      </w:r>
      <w:r>
        <w:rPr>
          <w:rFonts w:hint="eastAsia" w:ascii="宋体" w:hAnsi="宋体" w:eastAsia="宋体" w:cs="宋体"/>
          <w:color w:val="auto"/>
          <w:sz w:val="24"/>
          <w:szCs w:val="20"/>
          <w:u w:val="single"/>
          <w:lang w:val="en-US" w:eastAsia="zh-CN"/>
        </w:rPr>
        <w:t>日</w:t>
      </w:r>
      <w:r>
        <w:rPr>
          <w:rFonts w:hint="eastAsia" w:ascii="宋体" w:hAnsi="宋体" w:cs="宋体"/>
          <w:color w:val="auto"/>
          <w:sz w:val="24"/>
          <w:szCs w:val="20"/>
          <w:u w:val="single"/>
          <w:lang w:val="en-US" w:eastAsia="zh-CN"/>
        </w:rPr>
        <w:t>09</w:t>
      </w:r>
      <w:r>
        <w:rPr>
          <w:rFonts w:hint="eastAsia" w:ascii="宋体" w:hAnsi="宋体" w:eastAsia="宋体" w:cs="宋体"/>
          <w:color w:val="auto"/>
          <w:sz w:val="24"/>
          <w:szCs w:val="20"/>
          <w:u w:val="single"/>
          <w:lang w:val="en-US" w:eastAsia="zh-CN"/>
        </w:rPr>
        <w:t>点</w:t>
      </w:r>
      <w:r>
        <w:rPr>
          <w:rFonts w:hint="eastAsia" w:ascii="宋体" w:hAnsi="宋体" w:cs="宋体"/>
          <w:color w:val="auto"/>
          <w:sz w:val="24"/>
          <w:szCs w:val="20"/>
          <w:u w:val="single"/>
          <w:lang w:val="en-US" w:eastAsia="zh-CN"/>
        </w:rPr>
        <w:t>0</w:t>
      </w:r>
      <w:r>
        <w:rPr>
          <w:rFonts w:hint="eastAsia" w:ascii="宋体" w:hAnsi="宋体" w:eastAsia="宋体" w:cs="宋体"/>
          <w:color w:val="auto"/>
          <w:sz w:val="24"/>
          <w:szCs w:val="20"/>
          <w:u w:val="single"/>
          <w:lang w:val="en-US" w:eastAsia="zh-CN"/>
        </w:rPr>
        <w:t>0分</w:t>
      </w:r>
      <w:r>
        <w:rPr>
          <w:rFonts w:hint="eastAsia" w:ascii="宋体" w:hAnsi="宋体" w:eastAsia="宋体" w:cs="宋体"/>
          <w:color w:val="auto"/>
          <w:sz w:val="24"/>
          <w:szCs w:val="20"/>
          <w:lang w:val="en-US" w:eastAsia="zh-CN"/>
        </w:rPr>
        <w:t>（</w:t>
      </w:r>
      <w:r>
        <w:rPr>
          <w:rFonts w:hint="eastAsia" w:ascii="宋体" w:hAnsi="宋体" w:eastAsia="宋体" w:cs="宋体"/>
          <w:color w:val="auto"/>
          <w:sz w:val="24"/>
          <w:szCs w:val="20"/>
        </w:rPr>
        <w:t>北京时间）前递交投标文件。</w:t>
      </w:r>
    </w:p>
    <w:p w14:paraId="4F21A674">
      <w:pPr>
        <w:keepNext w:val="0"/>
        <w:keepLines w:val="0"/>
        <w:pageBreakBefore w:val="0"/>
        <w:widowControl/>
        <w:spacing w:line="500" w:lineRule="exact"/>
        <w:ind w:firstLine="482"/>
        <w:jc w:val="left"/>
        <w:rPr>
          <w:rFonts w:ascii="宋体" w:hAnsi="宋体" w:eastAsia="宋体" w:cs="宋体"/>
          <w:b/>
          <w:bCs/>
          <w:color w:val="auto"/>
          <w:sz w:val="24"/>
          <w:szCs w:val="20"/>
        </w:rPr>
      </w:pPr>
      <w:r>
        <w:rPr>
          <w:rFonts w:hint="eastAsia" w:ascii="宋体" w:hAnsi="宋体" w:eastAsia="宋体" w:cs="宋体"/>
          <w:b/>
          <w:bCs/>
          <w:color w:val="auto"/>
          <w:sz w:val="24"/>
          <w:szCs w:val="20"/>
        </w:rPr>
        <w:t>一、项目基本情况</w:t>
      </w:r>
    </w:p>
    <w:p w14:paraId="085798CA">
      <w:pPr>
        <w:keepNext w:val="0"/>
        <w:keepLines w:val="0"/>
        <w:pageBreakBefore w:val="0"/>
        <w:widowControl/>
        <w:spacing w:line="500" w:lineRule="exact"/>
        <w:ind w:firstLine="482"/>
        <w:jc w:val="left"/>
        <w:rPr>
          <w:rFonts w:hint="eastAsia" w:ascii="宋体" w:hAnsi="宋体" w:cs="宋体"/>
          <w:color w:val="auto"/>
          <w:sz w:val="24"/>
          <w:szCs w:val="20"/>
          <w:lang w:eastAsia="zh-CN"/>
        </w:rPr>
      </w:pPr>
      <w:r>
        <w:rPr>
          <w:rFonts w:hint="eastAsia" w:ascii="宋体" w:hAnsi="宋体" w:cs="宋体"/>
          <w:color w:val="auto"/>
          <w:sz w:val="24"/>
          <w:szCs w:val="20"/>
          <w:lang w:eastAsia="zh-CN"/>
        </w:rPr>
        <w:t>1.项目编号 ：JSZC-320902-JZCG-G2026-0041</w:t>
      </w:r>
    </w:p>
    <w:p w14:paraId="6FAEDD7B">
      <w:pPr>
        <w:keepNext w:val="0"/>
        <w:keepLines w:val="0"/>
        <w:pageBreakBefore w:val="0"/>
        <w:widowControl/>
        <w:spacing w:line="500" w:lineRule="exact"/>
        <w:ind w:firstLine="482"/>
        <w:jc w:val="left"/>
        <w:rPr>
          <w:rFonts w:hint="eastAsia" w:ascii="宋体" w:hAnsi="宋体" w:eastAsia="宋体" w:cs="宋体"/>
          <w:color w:val="auto"/>
          <w:sz w:val="24"/>
          <w:szCs w:val="20"/>
          <w:lang w:eastAsia="zh-CN"/>
        </w:rPr>
      </w:pPr>
      <w:r>
        <w:rPr>
          <w:rFonts w:hint="eastAsia" w:ascii="宋体" w:hAnsi="宋体" w:eastAsia="宋体" w:cs="宋体"/>
          <w:color w:val="auto"/>
          <w:sz w:val="24"/>
          <w:szCs w:val="20"/>
        </w:rPr>
        <w:t>2.项目名称：</w:t>
      </w:r>
      <w:r>
        <w:rPr>
          <w:rFonts w:hint="eastAsia" w:ascii="宋体" w:hAnsi="宋体" w:cs="宋体"/>
          <w:color w:val="auto"/>
          <w:sz w:val="24"/>
          <w:szCs w:val="20"/>
          <w:lang w:eastAsia="zh-CN"/>
        </w:rPr>
        <w:t>盐城市亭湖区便仓初级中学2026年物业服务项目</w:t>
      </w:r>
    </w:p>
    <w:p w14:paraId="6750F527">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3.采购方式：公开招标</w:t>
      </w:r>
    </w:p>
    <w:p w14:paraId="562A2388">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4.预算金额：</w:t>
      </w:r>
      <w:r>
        <w:rPr>
          <w:rFonts w:hint="eastAsia" w:ascii="宋体" w:hAnsi="宋体" w:cs="宋体"/>
          <w:color w:val="auto"/>
          <w:sz w:val="24"/>
          <w:szCs w:val="20"/>
          <w:lang w:val="en-US" w:eastAsia="zh-CN"/>
        </w:rPr>
        <w:t>17.6万元</w:t>
      </w:r>
    </w:p>
    <w:p w14:paraId="52C550F0">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5.最高限价：</w:t>
      </w:r>
      <w:r>
        <w:rPr>
          <w:rFonts w:hint="eastAsia" w:ascii="宋体" w:hAnsi="宋体" w:cs="宋体"/>
          <w:color w:val="auto"/>
          <w:sz w:val="24"/>
          <w:szCs w:val="20"/>
          <w:lang w:val="en-US" w:eastAsia="zh-CN"/>
        </w:rPr>
        <w:t>17.6万元</w:t>
      </w:r>
      <w:r>
        <w:rPr>
          <w:rFonts w:hint="eastAsia" w:ascii="宋体" w:hAnsi="宋体" w:eastAsia="宋体" w:cs="宋体"/>
          <w:color w:val="auto"/>
          <w:sz w:val="24"/>
          <w:szCs w:val="20"/>
        </w:rPr>
        <w:t>，投标报价高于最高限价的，采购人将不予接受，视为无效标书。</w:t>
      </w:r>
    </w:p>
    <w:p w14:paraId="1BE2B1D0">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0" w:firstLine="482"/>
        <w:rPr>
          <w:color w:val="auto"/>
        </w:rPr>
      </w:pPr>
      <w:r>
        <w:rPr>
          <w:rFonts w:hint="eastAsia" w:ascii="宋体" w:hAnsi="宋体" w:eastAsia="宋体" w:cs="宋体"/>
          <w:color w:val="auto"/>
          <w:sz w:val="24"/>
          <w:szCs w:val="20"/>
        </w:rPr>
        <w:t>6.采购需求：</w:t>
      </w:r>
      <w:r>
        <w:rPr>
          <w:rFonts w:hint="eastAsia" w:ascii="宋体" w:hAnsi="宋体" w:cs="宋体"/>
          <w:color w:val="auto"/>
          <w:sz w:val="24"/>
          <w:lang w:val="en-US" w:eastAsia="zh-CN"/>
        </w:rPr>
        <w:t>盐城市亭湖区便仓初级中学2026年物业服务项目</w:t>
      </w:r>
      <w:r>
        <w:rPr>
          <w:rFonts w:hint="eastAsia" w:ascii="宋体" w:hAnsi="宋体" w:cs="宋体"/>
          <w:color w:val="auto"/>
          <w:sz w:val="24"/>
          <w:lang w:eastAsia="zh-CN"/>
        </w:rPr>
        <w:t>，服务主要内容及人员，包含保洁(含绿化维护、农药化肥购买等)、</w:t>
      </w:r>
      <w:r>
        <w:rPr>
          <w:rFonts w:hint="eastAsia" w:ascii="宋体" w:hAnsi="宋体" w:cs="宋体"/>
          <w:color w:val="auto"/>
          <w:sz w:val="24"/>
          <w:lang w:val="en-US" w:eastAsia="zh-CN"/>
        </w:rPr>
        <w:t>学校水电日常</w:t>
      </w:r>
      <w:r>
        <w:rPr>
          <w:rFonts w:hint="eastAsia" w:ascii="宋体" w:hAnsi="宋体" w:cs="宋体"/>
          <w:color w:val="auto"/>
          <w:sz w:val="24"/>
          <w:lang w:eastAsia="zh-CN"/>
        </w:rPr>
        <w:t>维修</w:t>
      </w:r>
      <w:r>
        <w:rPr>
          <w:rFonts w:hint="eastAsia" w:ascii="宋体" w:hAnsi="宋体" w:cs="宋体"/>
          <w:color w:val="auto"/>
          <w:sz w:val="24"/>
          <w:lang w:val="en-US" w:eastAsia="zh-CN"/>
        </w:rPr>
        <w:t>维护</w:t>
      </w:r>
      <w:r>
        <w:rPr>
          <w:rFonts w:hint="eastAsia" w:ascii="宋体" w:hAnsi="宋体" w:cs="宋体"/>
          <w:color w:val="auto"/>
          <w:sz w:val="24"/>
          <w:lang w:eastAsia="zh-CN"/>
        </w:rPr>
        <w:t>、学生宿舍管理等，详见招标采购需求（详细内容见本招标文件第四章），招标人保留对服务内容进行适当调整的权利。</w:t>
      </w:r>
    </w:p>
    <w:p w14:paraId="2C7CE9CF">
      <w:pPr>
        <w:keepNext w:val="0"/>
        <w:keepLines w:val="0"/>
        <w:pageBreakBefore w:val="0"/>
        <w:widowControl/>
        <w:spacing w:line="500" w:lineRule="exact"/>
        <w:ind w:firstLine="482"/>
        <w:jc w:val="left"/>
        <w:rPr>
          <w:rFonts w:hint="eastAsia" w:ascii="宋体" w:hAnsi="宋体" w:eastAsia="宋体" w:cs="宋体"/>
          <w:b/>
          <w:bCs/>
          <w:color w:val="auto"/>
          <w:sz w:val="24"/>
          <w:szCs w:val="20"/>
          <w:lang w:val="en-US" w:eastAsia="zh-CN"/>
        </w:rPr>
      </w:pPr>
      <w:r>
        <w:rPr>
          <w:rFonts w:hint="eastAsia" w:ascii="宋体" w:hAnsi="宋体" w:eastAsia="宋体" w:cs="宋体"/>
          <w:color w:val="auto"/>
          <w:sz w:val="24"/>
          <w:szCs w:val="20"/>
        </w:rPr>
        <w:t>7.合同履行</w:t>
      </w:r>
      <w:r>
        <w:rPr>
          <w:rFonts w:hint="eastAsia" w:ascii="宋体" w:hAnsi="宋体" w:eastAsia="宋体" w:cs="宋体"/>
          <w:color w:val="auto"/>
          <w:sz w:val="24"/>
          <w:szCs w:val="20"/>
        </w:rPr>
        <w:t>期限：</w:t>
      </w:r>
      <w:r>
        <w:rPr>
          <w:rFonts w:hint="eastAsia" w:ascii="宋体" w:hAnsi="宋体" w:eastAsia="宋体" w:cs="宋体"/>
          <w:color w:val="auto"/>
          <w:sz w:val="24"/>
          <w:szCs w:val="20"/>
          <w:lang w:eastAsia="zh-CN"/>
        </w:rPr>
        <w:t>一</w:t>
      </w:r>
      <w:r>
        <w:rPr>
          <w:rFonts w:hint="eastAsia" w:ascii="宋体" w:hAnsi="宋体" w:eastAsia="宋体" w:cs="宋体"/>
          <w:color w:val="auto"/>
          <w:sz w:val="24"/>
          <w:szCs w:val="20"/>
        </w:rPr>
        <w:t>年（</w:t>
      </w:r>
      <w:bookmarkStart w:id="1" w:name="OLE_LINK9"/>
      <w:r>
        <w:rPr>
          <w:rFonts w:hint="eastAsia" w:ascii="宋体" w:hAnsi="宋体" w:eastAsia="宋体" w:cs="宋体"/>
          <w:color w:val="auto"/>
          <w:sz w:val="24"/>
          <w:szCs w:val="20"/>
        </w:rPr>
        <w:t>试用</w:t>
      </w:r>
      <w:bookmarkEnd w:id="1"/>
      <w:r>
        <w:rPr>
          <w:rFonts w:hint="eastAsia" w:ascii="宋体" w:hAnsi="宋体" w:eastAsia="宋体" w:cs="宋体"/>
          <w:color w:val="auto"/>
          <w:sz w:val="24"/>
          <w:szCs w:val="20"/>
        </w:rPr>
        <w:t>期3个月）</w:t>
      </w:r>
      <w:r>
        <w:rPr>
          <w:rFonts w:hint="eastAsia" w:ascii="宋体" w:hAnsi="宋体" w:cs="宋体"/>
          <w:color w:val="auto"/>
          <w:sz w:val="24"/>
          <w:szCs w:val="20"/>
          <w:lang w:eastAsia="zh-CN"/>
        </w:rPr>
        <w:t>。</w:t>
      </w:r>
    </w:p>
    <w:p w14:paraId="637515B3">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8.本项目（是/否）接受联合体投标：否。</w:t>
      </w:r>
    </w:p>
    <w:p w14:paraId="7E7FCEBE">
      <w:pPr>
        <w:keepNext w:val="0"/>
        <w:keepLines w:val="0"/>
        <w:pageBreakBefore w:val="0"/>
        <w:widowControl/>
        <w:spacing w:line="500" w:lineRule="exact"/>
        <w:ind w:firstLine="482"/>
        <w:jc w:val="left"/>
        <w:rPr>
          <w:rFonts w:ascii="宋体" w:hAnsi="宋体" w:eastAsia="宋体" w:cs="宋体"/>
          <w:b/>
          <w:bCs/>
          <w:color w:val="auto"/>
          <w:sz w:val="24"/>
          <w:szCs w:val="20"/>
        </w:rPr>
      </w:pPr>
      <w:r>
        <w:rPr>
          <w:rFonts w:hint="eastAsia" w:ascii="宋体" w:hAnsi="宋体" w:eastAsia="宋体" w:cs="宋体"/>
          <w:b/>
          <w:bCs/>
          <w:color w:val="auto"/>
          <w:sz w:val="24"/>
          <w:szCs w:val="20"/>
        </w:rPr>
        <w:t>二、申请人的资格要求</w:t>
      </w:r>
    </w:p>
    <w:p w14:paraId="409BC0CE">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1.满足《中华人民共和国政府采购法》第二十二条规定，并提供下列材料：</w:t>
      </w:r>
    </w:p>
    <w:p w14:paraId="240F2864">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1.1法人或者其他组织的营业执照等证明文件</w:t>
      </w:r>
      <w:r>
        <w:rPr>
          <w:rFonts w:hint="eastAsia" w:ascii="宋体" w:hAnsi="宋体" w:cs="宋体"/>
          <w:color w:val="auto"/>
          <w:sz w:val="24"/>
          <w:szCs w:val="20"/>
          <w:lang w:eastAsia="zh-CN"/>
        </w:rPr>
        <w:t>，</w:t>
      </w:r>
      <w:r>
        <w:rPr>
          <w:rFonts w:hint="eastAsia" w:ascii="宋体" w:hAnsi="宋体" w:cs="宋体"/>
          <w:color w:val="auto"/>
          <w:sz w:val="24"/>
          <w:szCs w:val="20"/>
          <w:lang w:val="en-US" w:eastAsia="zh-CN"/>
        </w:rPr>
        <w:t>或</w:t>
      </w:r>
      <w:r>
        <w:rPr>
          <w:rFonts w:hint="eastAsia" w:ascii="宋体" w:hAnsi="宋体" w:eastAsia="宋体" w:cs="宋体"/>
          <w:color w:val="auto"/>
          <w:sz w:val="24"/>
          <w:szCs w:val="20"/>
        </w:rPr>
        <w:t>自然人的身份证明。</w:t>
      </w:r>
    </w:p>
    <w:p w14:paraId="5A5C46E1">
      <w:pPr>
        <w:keepNext w:val="0"/>
        <w:keepLines w:val="0"/>
        <w:pageBreakBefore w:val="0"/>
        <w:widowControl/>
        <w:spacing w:line="500" w:lineRule="exact"/>
        <w:ind w:firstLine="482"/>
        <w:jc w:val="left"/>
        <w:rPr>
          <w:rFonts w:hint="eastAsia" w:ascii="宋体" w:hAnsi="宋体" w:eastAsia="宋体" w:cs="宋体"/>
          <w:color w:val="auto"/>
          <w:sz w:val="24"/>
          <w:szCs w:val="20"/>
          <w:lang w:eastAsia="zh-CN"/>
        </w:rPr>
      </w:pPr>
      <w:r>
        <w:rPr>
          <w:rFonts w:hint="eastAsia" w:ascii="宋体" w:hAnsi="宋体" w:eastAsia="宋体" w:cs="宋体"/>
          <w:color w:val="auto"/>
          <w:sz w:val="24"/>
          <w:szCs w:val="20"/>
        </w:rPr>
        <w:t xml:space="preserve">1.2 </w:t>
      </w:r>
      <w:r>
        <w:rPr>
          <w:rFonts w:hint="eastAsia" w:ascii="宋体" w:hAnsi="宋体" w:cs="宋体"/>
          <w:color w:val="auto"/>
          <w:sz w:val="24"/>
          <w:szCs w:val="20"/>
        </w:rPr>
        <w:t>上一年度的财务状况报表（</w:t>
      </w:r>
      <w:r>
        <w:rPr>
          <w:rFonts w:hint="eastAsia" w:ascii="宋体" w:hAnsi="宋体" w:cs="宋体"/>
          <w:color w:val="auto"/>
          <w:sz w:val="24"/>
          <w:szCs w:val="24"/>
        </w:rPr>
        <w:t>至少提供资产负债表、利润表、现金流量表，</w:t>
      </w:r>
      <w:r>
        <w:rPr>
          <w:rFonts w:hint="eastAsia" w:ascii="宋体" w:hAnsi="宋体" w:cs="宋体"/>
          <w:color w:val="auto"/>
          <w:sz w:val="24"/>
          <w:szCs w:val="20"/>
        </w:rPr>
        <w:t>成立不满一年无需提供）</w:t>
      </w:r>
      <w:r>
        <w:rPr>
          <w:rFonts w:hint="eastAsia" w:ascii="宋体" w:hAnsi="宋体" w:cs="宋体"/>
          <w:color w:val="auto"/>
          <w:sz w:val="24"/>
          <w:szCs w:val="20"/>
          <w:lang w:eastAsia="zh-CN"/>
        </w:rPr>
        <w:t>。</w:t>
      </w:r>
    </w:p>
    <w:p w14:paraId="325A0F45">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1.3具备履行合同所必需的设备和专业技术能力的书面声明。</w:t>
      </w:r>
    </w:p>
    <w:p w14:paraId="2AAD68B8">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1.4依法缴纳税收和社会保障资金的相关材料（提供投标文件截止时间前一年内至少一个月依法缴纳税收及缴纳社会保障资金的证明材料。供应商依法享受缓缴、免缴税收、社会保障资金的提供证明材料。）。</w:t>
      </w:r>
    </w:p>
    <w:p w14:paraId="18DAE645">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1.5参加政府采购活动前3年内在经营活动中没有重大违法记录的书面声明。</w:t>
      </w:r>
    </w:p>
    <w:p w14:paraId="3407A740">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1.6法律、行政法规规定的其他条件。</w:t>
      </w:r>
    </w:p>
    <w:p w14:paraId="2B2BB3EC">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053978AE">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1.8单位负责人为同一人或者存在直接控股、管理关系的不同供应商，不得参加同一合同项下的政府采购活动。（投标文件中需提供声明）</w:t>
      </w:r>
    </w:p>
    <w:p w14:paraId="7BCEA10A">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2.落实政府采购政策需满足的资格要求：</w:t>
      </w:r>
      <w:r>
        <w:rPr>
          <w:rFonts w:hint="eastAsia" w:ascii="宋体" w:hAnsi="宋体" w:eastAsia="宋体" w:cs="宋体"/>
          <w:b/>
          <w:bCs/>
          <w:color w:val="auto"/>
          <w:sz w:val="24"/>
          <w:szCs w:val="20"/>
        </w:rPr>
        <w:t>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p>
    <w:p w14:paraId="4F5D4D28">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3.本项目的特定资格要求：无</w:t>
      </w:r>
    </w:p>
    <w:p w14:paraId="2955ACA8">
      <w:pPr>
        <w:keepNext w:val="0"/>
        <w:keepLines w:val="0"/>
        <w:pageBreakBefore w:val="0"/>
        <w:widowControl/>
        <w:spacing w:line="500" w:lineRule="exact"/>
        <w:ind w:firstLine="482"/>
        <w:jc w:val="left"/>
        <w:rPr>
          <w:rFonts w:ascii="宋体" w:hAnsi="宋体" w:eastAsia="宋体" w:cs="宋体"/>
          <w:b/>
          <w:bCs/>
          <w:color w:val="auto"/>
          <w:sz w:val="24"/>
          <w:szCs w:val="20"/>
        </w:rPr>
      </w:pPr>
      <w:r>
        <w:rPr>
          <w:rFonts w:hint="eastAsia" w:ascii="宋体" w:hAnsi="宋体" w:eastAsia="宋体" w:cs="宋体"/>
          <w:b/>
          <w:bCs/>
          <w:color w:val="auto"/>
          <w:sz w:val="24"/>
          <w:szCs w:val="20"/>
        </w:rPr>
        <w:t>三、获取招标文件</w:t>
      </w:r>
    </w:p>
    <w:p w14:paraId="3B34E1BD">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1.时间：自招标文件公告发布之日起5个工作日。</w:t>
      </w:r>
    </w:p>
    <w:p w14:paraId="1F4D28D4">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2.地点：“苏采云”系统内免费下载（供应商必须在苏采云系统中获取采购文件，方能参与政府采购项目）。</w:t>
      </w:r>
    </w:p>
    <w:p w14:paraId="372131BB">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3.方式：本项目采用网上注册登记方式。</w:t>
      </w:r>
    </w:p>
    <w:p w14:paraId="5A78EF00">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4.售价：0元。</w:t>
      </w:r>
    </w:p>
    <w:p w14:paraId="40756FB4">
      <w:pPr>
        <w:keepNext w:val="0"/>
        <w:keepLines w:val="0"/>
        <w:pageBreakBefore w:val="0"/>
        <w:widowControl/>
        <w:spacing w:line="500" w:lineRule="exact"/>
        <w:ind w:firstLine="482"/>
        <w:jc w:val="left"/>
        <w:rPr>
          <w:rFonts w:ascii="宋体" w:hAnsi="宋体" w:eastAsia="宋体" w:cs="宋体"/>
          <w:b/>
          <w:bCs/>
          <w:color w:val="auto"/>
          <w:sz w:val="24"/>
          <w:szCs w:val="20"/>
        </w:rPr>
      </w:pPr>
      <w:r>
        <w:rPr>
          <w:rFonts w:hint="eastAsia" w:ascii="宋体" w:hAnsi="宋体" w:eastAsia="宋体" w:cs="宋体"/>
          <w:b/>
          <w:bCs/>
          <w:color w:val="auto"/>
          <w:sz w:val="24"/>
          <w:szCs w:val="20"/>
        </w:rPr>
        <w:t>四、提交投标文件截止时间、开标时间和地点</w:t>
      </w:r>
    </w:p>
    <w:p w14:paraId="052ADFB8">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1.时间：</w:t>
      </w:r>
      <w:r>
        <w:rPr>
          <w:rFonts w:hint="eastAsia" w:ascii="宋体" w:hAnsi="宋体" w:eastAsia="宋体" w:cs="宋体"/>
          <w:color w:val="auto"/>
          <w:sz w:val="24"/>
          <w:szCs w:val="20"/>
        </w:rPr>
        <w:t>2026</w:t>
      </w:r>
      <w:r>
        <w:rPr>
          <w:rFonts w:hint="eastAsia" w:ascii="宋体" w:hAnsi="宋体" w:eastAsia="宋体" w:cs="宋体"/>
          <w:color w:val="auto"/>
          <w:sz w:val="24"/>
          <w:szCs w:val="20"/>
          <w:lang w:val="en-US" w:eastAsia="zh-CN"/>
        </w:rPr>
        <w:t>年</w:t>
      </w:r>
      <w:r>
        <w:rPr>
          <w:rFonts w:hint="eastAsia" w:ascii="宋体" w:hAnsi="宋体" w:cs="宋体"/>
          <w:color w:val="auto"/>
          <w:sz w:val="24"/>
          <w:szCs w:val="20"/>
          <w:lang w:val="en-US" w:eastAsia="zh-CN"/>
        </w:rPr>
        <w:t>9</w:t>
      </w:r>
      <w:r>
        <w:rPr>
          <w:rFonts w:hint="eastAsia" w:ascii="宋体" w:hAnsi="宋体" w:eastAsia="宋体" w:cs="宋体"/>
          <w:color w:val="auto"/>
          <w:sz w:val="24"/>
          <w:szCs w:val="20"/>
          <w:lang w:val="en-US" w:eastAsia="zh-CN"/>
        </w:rPr>
        <w:t>月</w:t>
      </w:r>
      <w:r>
        <w:rPr>
          <w:rFonts w:hint="eastAsia" w:ascii="宋体" w:hAnsi="宋体" w:cs="宋体"/>
          <w:color w:val="auto"/>
          <w:sz w:val="24"/>
          <w:szCs w:val="20"/>
          <w:lang w:val="en-US" w:eastAsia="zh-CN"/>
        </w:rPr>
        <w:t>1</w:t>
      </w:r>
      <w:r>
        <w:rPr>
          <w:rFonts w:hint="eastAsia" w:ascii="宋体" w:hAnsi="宋体" w:eastAsia="宋体" w:cs="宋体"/>
          <w:color w:val="auto"/>
          <w:sz w:val="24"/>
          <w:szCs w:val="20"/>
          <w:lang w:val="en-US" w:eastAsia="zh-CN"/>
        </w:rPr>
        <w:t>日</w:t>
      </w:r>
      <w:r>
        <w:rPr>
          <w:rFonts w:hint="eastAsia" w:ascii="宋体" w:hAnsi="宋体" w:cs="宋体"/>
          <w:color w:val="auto"/>
          <w:sz w:val="24"/>
          <w:szCs w:val="20"/>
          <w:lang w:val="en-US" w:eastAsia="zh-CN"/>
        </w:rPr>
        <w:t>09</w:t>
      </w:r>
      <w:r>
        <w:rPr>
          <w:rFonts w:hint="eastAsia" w:ascii="宋体" w:hAnsi="宋体" w:eastAsia="宋体" w:cs="宋体"/>
          <w:color w:val="auto"/>
          <w:sz w:val="24"/>
          <w:szCs w:val="20"/>
          <w:lang w:val="en-US" w:eastAsia="zh-CN"/>
        </w:rPr>
        <w:t>点</w:t>
      </w:r>
      <w:r>
        <w:rPr>
          <w:rFonts w:hint="eastAsia" w:ascii="宋体" w:hAnsi="宋体" w:cs="宋体"/>
          <w:color w:val="auto"/>
          <w:sz w:val="24"/>
          <w:szCs w:val="20"/>
          <w:lang w:val="en-US" w:eastAsia="zh-CN"/>
        </w:rPr>
        <w:t>0</w:t>
      </w:r>
      <w:r>
        <w:rPr>
          <w:rFonts w:hint="eastAsia" w:ascii="宋体" w:hAnsi="宋体" w:eastAsia="宋体" w:cs="宋体"/>
          <w:color w:val="auto"/>
          <w:sz w:val="24"/>
          <w:szCs w:val="20"/>
          <w:lang w:val="en-US" w:eastAsia="zh-CN"/>
        </w:rPr>
        <w:t>0分</w:t>
      </w:r>
      <w:r>
        <w:rPr>
          <w:rFonts w:hint="eastAsia" w:ascii="宋体" w:hAnsi="宋体" w:eastAsia="宋体" w:cs="宋体"/>
          <w:color w:val="auto"/>
          <w:sz w:val="24"/>
          <w:szCs w:val="20"/>
        </w:rPr>
        <w:t>（北京时间）</w:t>
      </w:r>
    </w:p>
    <w:p w14:paraId="15F716E3">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2.地点：苏采云“不见面”开标大厅。</w:t>
      </w:r>
    </w:p>
    <w:p w14:paraId="16CDA3E4">
      <w:pPr>
        <w:keepNext w:val="0"/>
        <w:keepLines w:val="0"/>
        <w:pageBreakBefore w:val="0"/>
        <w:widowControl/>
        <w:spacing w:line="500" w:lineRule="exact"/>
        <w:ind w:firstLine="482"/>
        <w:jc w:val="left"/>
        <w:rPr>
          <w:rFonts w:ascii="宋体" w:hAnsi="宋体" w:eastAsia="宋体" w:cs="宋体"/>
          <w:b/>
          <w:bCs/>
          <w:color w:val="auto"/>
          <w:sz w:val="24"/>
          <w:szCs w:val="20"/>
        </w:rPr>
      </w:pPr>
      <w:r>
        <w:rPr>
          <w:rFonts w:hint="eastAsia" w:ascii="宋体" w:hAnsi="宋体" w:eastAsia="宋体" w:cs="宋体"/>
          <w:b/>
          <w:bCs/>
          <w:color w:val="auto"/>
          <w:sz w:val="24"/>
          <w:szCs w:val="20"/>
        </w:rPr>
        <w:t>五、公告期限</w:t>
      </w:r>
    </w:p>
    <w:p w14:paraId="5F4A0144">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自本公告发布之日起5个工作日。</w:t>
      </w:r>
    </w:p>
    <w:p w14:paraId="799619A8">
      <w:pPr>
        <w:keepNext w:val="0"/>
        <w:keepLines w:val="0"/>
        <w:pageBreakBefore w:val="0"/>
        <w:widowControl/>
        <w:spacing w:line="500" w:lineRule="exact"/>
        <w:ind w:firstLine="482"/>
        <w:jc w:val="left"/>
        <w:rPr>
          <w:rFonts w:ascii="宋体" w:hAnsi="宋体" w:eastAsia="宋体" w:cs="宋体"/>
          <w:b/>
          <w:bCs/>
          <w:color w:val="auto"/>
          <w:sz w:val="24"/>
          <w:szCs w:val="20"/>
        </w:rPr>
      </w:pPr>
      <w:r>
        <w:rPr>
          <w:rFonts w:hint="eastAsia" w:ascii="宋体" w:hAnsi="宋体" w:eastAsia="宋体" w:cs="宋体"/>
          <w:b/>
          <w:bCs/>
          <w:color w:val="auto"/>
          <w:sz w:val="24"/>
          <w:szCs w:val="20"/>
        </w:rPr>
        <w:t>六、其他补充事宜</w:t>
      </w:r>
    </w:p>
    <w:p w14:paraId="3EA994F6">
      <w:pPr>
        <w:keepNext w:val="0"/>
        <w:keepLines w:val="0"/>
        <w:pageBreakBefore w:val="0"/>
        <w:widowControl/>
        <w:spacing w:line="500" w:lineRule="exact"/>
        <w:ind w:firstLine="480"/>
        <w:jc w:val="left"/>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238E6D13">
      <w:pPr>
        <w:keepNext w:val="0"/>
        <w:keepLines w:val="0"/>
        <w:pageBreakBefore w:val="0"/>
        <w:widowControl/>
        <w:spacing w:line="500" w:lineRule="exact"/>
        <w:ind w:firstLine="480"/>
        <w:jc w:val="left"/>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p>
    <w:p w14:paraId="44C3C12D">
      <w:pPr>
        <w:keepNext w:val="0"/>
        <w:keepLines w:val="0"/>
        <w:pageBreakBefore w:val="0"/>
        <w:widowControl/>
        <w:spacing w:line="500" w:lineRule="exact"/>
        <w:ind w:firstLine="480"/>
        <w:jc w:val="left"/>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2. 潜在供应商访问电子招标响应交易平台的网络地址和方法：</w:t>
      </w:r>
    </w:p>
    <w:p w14:paraId="3507F3EC">
      <w:pPr>
        <w:keepNext w:val="0"/>
        <w:keepLines w:val="0"/>
        <w:pageBreakBefore w:val="0"/>
        <w:widowControl/>
        <w:spacing w:line="500" w:lineRule="exact"/>
        <w:ind w:firstLine="480"/>
        <w:jc w:val="left"/>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4BC4EF45">
      <w:pPr>
        <w:keepNext w:val="0"/>
        <w:keepLines w:val="0"/>
        <w:pageBreakBefore w:val="0"/>
        <w:widowControl/>
        <w:spacing w:line="500" w:lineRule="exact"/>
        <w:ind w:firstLine="480"/>
        <w:jc w:val="left"/>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2.2潜在投标人访问“苏采云”系统方法：江苏省政府采购网首页-“苏采云”链接。 </w:t>
      </w:r>
    </w:p>
    <w:p w14:paraId="574D7B1A">
      <w:pPr>
        <w:keepNext w:val="0"/>
        <w:keepLines w:val="0"/>
        <w:pageBreakBefore w:val="0"/>
        <w:widowControl/>
        <w:spacing w:line="500" w:lineRule="exact"/>
        <w:ind w:firstLine="480"/>
        <w:jc w:val="left"/>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2.3采购文件（后缀名为“.kedt”）、供应商操作手册及政府采购客户端 工具可通过“苏采云”系统相应链接进行下载。 </w:t>
      </w:r>
    </w:p>
    <w:p w14:paraId="14CE30FD">
      <w:pPr>
        <w:keepNext w:val="0"/>
        <w:keepLines w:val="0"/>
        <w:pageBreakBefore w:val="0"/>
        <w:widowControl/>
        <w:spacing w:line="500" w:lineRule="exact"/>
        <w:ind w:firstLine="480"/>
        <w:jc w:val="left"/>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2.4采购代理机构将数据电文形式的采购文件加载至“苏采云”系统，供潜在供应商下载或者查阅。 </w:t>
      </w:r>
    </w:p>
    <w:p w14:paraId="44F50167">
      <w:pPr>
        <w:keepNext w:val="0"/>
        <w:keepLines w:val="0"/>
        <w:pageBreakBefore w:val="0"/>
        <w:widowControl/>
        <w:spacing w:line="500" w:lineRule="exact"/>
        <w:ind w:firstLine="480"/>
        <w:jc w:val="left"/>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2.5请潜在投标单位提前安装相应的控件（详见《“苏采云”系统供应商操作手册》）并使用谷歌浏览器登录“苏采云”系统参与不见面开评标。 </w:t>
      </w:r>
    </w:p>
    <w:p w14:paraId="00FD0A94">
      <w:pPr>
        <w:keepNext w:val="0"/>
        <w:keepLines w:val="0"/>
        <w:pageBreakBefore w:val="0"/>
        <w:widowControl/>
        <w:spacing w:line="500" w:lineRule="exact"/>
        <w:ind w:firstLine="480"/>
        <w:jc w:val="left"/>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如潜在投标人未按上述要求操作，将自行承担所产生的风险。</w:t>
      </w:r>
    </w:p>
    <w:p w14:paraId="3CAA3385">
      <w:pPr>
        <w:keepNext w:val="0"/>
        <w:keepLines w:val="0"/>
        <w:pageBreakBefore w:val="0"/>
        <w:widowControl/>
        <w:spacing w:line="500" w:lineRule="exact"/>
        <w:ind w:firstLine="480"/>
        <w:jc w:val="left"/>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3.有关本次招标的事项若存在变动或修改，敬请及时关注盐城市亭湖区公共资源交易中心在“中国政府采购网”“江苏政府采购网”“盐城市政府采购网”发布的更正公告。</w:t>
      </w:r>
    </w:p>
    <w:p w14:paraId="1186C2A4">
      <w:pPr>
        <w:keepNext w:val="0"/>
        <w:keepLines w:val="0"/>
        <w:pageBreakBefore w:val="0"/>
        <w:widowControl/>
        <w:spacing w:line="500" w:lineRule="exact"/>
        <w:ind w:firstLine="480"/>
        <w:jc w:val="left"/>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4.本次招标不收取投标保证金，不收取质量保证金</w:t>
      </w:r>
      <w:r>
        <w:rPr>
          <w:rFonts w:hint="eastAsia" w:ascii="宋体" w:hAnsi="宋体" w:eastAsia="宋体" w:cs="宋体"/>
          <w:color w:val="auto"/>
          <w:sz w:val="24"/>
          <w:szCs w:val="20"/>
        </w:rPr>
        <w:t>。</w:t>
      </w:r>
    </w:p>
    <w:p w14:paraId="775792FA">
      <w:pPr>
        <w:keepNext w:val="0"/>
        <w:keepLines w:val="0"/>
        <w:pageBreakBefore w:val="0"/>
        <w:widowControl/>
        <w:spacing w:line="500" w:lineRule="exact"/>
        <w:ind w:firstLine="482"/>
        <w:jc w:val="left"/>
        <w:rPr>
          <w:rFonts w:ascii="宋体" w:hAnsi="宋体" w:eastAsia="宋体" w:cs="宋体"/>
          <w:b/>
          <w:bCs/>
          <w:color w:val="auto"/>
          <w:sz w:val="24"/>
          <w:szCs w:val="20"/>
        </w:rPr>
      </w:pPr>
      <w:r>
        <w:rPr>
          <w:rFonts w:hint="eastAsia" w:ascii="宋体" w:hAnsi="宋体" w:eastAsia="宋体" w:cs="宋体"/>
          <w:b/>
          <w:bCs/>
          <w:color w:val="auto"/>
          <w:sz w:val="24"/>
          <w:szCs w:val="20"/>
        </w:rPr>
        <w:t>七、对本次招标提出询问，请按以下方式联系。</w:t>
      </w:r>
    </w:p>
    <w:p w14:paraId="5FDBD619">
      <w:pPr>
        <w:keepNext w:val="0"/>
        <w:keepLines w:val="0"/>
        <w:pageBreakBefore w:val="0"/>
        <w:widowControl/>
        <w:spacing w:line="500" w:lineRule="exact"/>
        <w:ind w:firstLine="482"/>
        <w:jc w:val="left"/>
        <w:rPr>
          <w:rFonts w:ascii="宋体" w:hAnsi="宋体" w:eastAsia="宋体" w:cs="宋体"/>
          <w:b/>
          <w:bCs/>
          <w:color w:val="auto"/>
          <w:sz w:val="24"/>
          <w:szCs w:val="20"/>
        </w:rPr>
      </w:pPr>
      <w:r>
        <w:rPr>
          <w:rFonts w:hint="eastAsia" w:ascii="宋体" w:hAnsi="宋体" w:eastAsia="宋体" w:cs="宋体"/>
          <w:b/>
          <w:bCs/>
          <w:color w:val="auto"/>
          <w:sz w:val="24"/>
          <w:szCs w:val="20"/>
        </w:rPr>
        <w:t>1.采购人信息</w:t>
      </w:r>
    </w:p>
    <w:p w14:paraId="4CAE245D">
      <w:pPr>
        <w:widowControl/>
        <w:spacing w:line="560" w:lineRule="exact"/>
        <w:ind w:firstLine="482"/>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名    称：</w:t>
      </w:r>
      <w:r>
        <w:rPr>
          <w:rFonts w:hint="eastAsia" w:ascii="宋体" w:hAnsi="宋体" w:eastAsia="宋体" w:cs="宋体"/>
          <w:color w:val="auto"/>
          <w:sz w:val="24"/>
          <w:szCs w:val="20"/>
          <w:highlight w:val="none"/>
          <w:lang w:val="en-US" w:eastAsia="zh-CN"/>
        </w:rPr>
        <w:t>盐城市亭湖区便仓初级中学</w:t>
      </w:r>
    </w:p>
    <w:p w14:paraId="6E53ADAD">
      <w:pPr>
        <w:widowControl/>
        <w:spacing w:line="560" w:lineRule="exact"/>
        <w:ind w:firstLine="482"/>
        <w:jc w:val="left"/>
        <w:rPr>
          <w:rFonts w:hint="default"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地    址：亭湖区便仓镇仓中西路38号</w:t>
      </w:r>
    </w:p>
    <w:p w14:paraId="6CE9CF49">
      <w:pPr>
        <w:widowControl/>
        <w:spacing w:line="560" w:lineRule="exact"/>
        <w:ind w:firstLine="482"/>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联 系 人：卞老师</w:t>
      </w:r>
      <w:r>
        <w:rPr>
          <w:rFonts w:hint="eastAsia" w:ascii="宋体" w:hAnsi="宋体" w:eastAsia="宋体" w:cs="宋体"/>
          <w:color w:val="auto"/>
          <w:sz w:val="24"/>
          <w:szCs w:val="20"/>
          <w:highlight w:val="none"/>
          <w:lang w:val="en-US" w:eastAsia="zh-CN"/>
        </w:rPr>
        <w:t xml:space="preserve">           </w:t>
      </w:r>
    </w:p>
    <w:p w14:paraId="167E0E52">
      <w:pPr>
        <w:widowControl/>
        <w:spacing w:line="560" w:lineRule="exact"/>
        <w:ind w:firstLine="482"/>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rPr>
        <w:t>联系方式：13016552243</w:t>
      </w:r>
    </w:p>
    <w:p w14:paraId="0B33D219">
      <w:pPr>
        <w:keepNext w:val="0"/>
        <w:keepLines w:val="0"/>
        <w:pageBreakBefore w:val="0"/>
        <w:widowControl/>
        <w:spacing w:line="500" w:lineRule="exact"/>
        <w:ind w:firstLine="482"/>
        <w:jc w:val="left"/>
        <w:rPr>
          <w:rFonts w:ascii="宋体" w:hAnsi="宋体" w:eastAsia="宋体" w:cs="宋体"/>
          <w:b/>
          <w:bCs/>
          <w:color w:val="auto"/>
          <w:sz w:val="24"/>
          <w:szCs w:val="20"/>
        </w:rPr>
      </w:pPr>
      <w:r>
        <w:rPr>
          <w:rFonts w:hint="eastAsia" w:ascii="宋体" w:hAnsi="宋体" w:eastAsia="宋体" w:cs="宋体"/>
          <w:b/>
          <w:bCs/>
          <w:color w:val="auto"/>
          <w:sz w:val="24"/>
          <w:szCs w:val="20"/>
        </w:rPr>
        <w:t>2.采购代理机构信息</w:t>
      </w:r>
    </w:p>
    <w:p w14:paraId="1BAA7FA4">
      <w:pPr>
        <w:keepNext w:val="0"/>
        <w:keepLines w:val="0"/>
        <w:pageBreakBefore w:val="0"/>
        <w:widowControl/>
        <w:spacing w:line="500" w:lineRule="exact"/>
        <w:ind w:firstLine="482"/>
        <w:jc w:val="left"/>
        <w:rPr>
          <w:rFonts w:ascii="宋体" w:hAnsi="宋体" w:eastAsia="宋体" w:cs="宋体"/>
          <w:color w:val="auto"/>
          <w:sz w:val="24"/>
          <w:szCs w:val="20"/>
        </w:rPr>
      </w:pPr>
      <w:r>
        <w:rPr>
          <w:rFonts w:hint="eastAsia" w:ascii="宋体" w:hAnsi="宋体" w:eastAsia="宋体" w:cs="宋体"/>
          <w:color w:val="auto"/>
          <w:sz w:val="24"/>
          <w:szCs w:val="20"/>
        </w:rPr>
        <w:t>名    称：盐城</w:t>
      </w:r>
      <w:r>
        <w:rPr>
          <w:rFonts w:hint="eastAsia" w:ascii="宋体" w:hAnsi="宋体" w:eastAsia="宋体" w:cs="宋体"/>
          <w:color w:val="auto"/>
          <w:sz w:val="24"/>
          <w:szCs w:val="20"/>
          <w:lang w:eastAsia="zh-CN"/>
        </w:rPr>
        <w:t>市亭湖区公共资源交易</w:t>
      </w:r>
      <w:r>
        <w:rPr>
          <w:rFonts w:hint="eastAsia" w:ascii="宋体" w:hAnsi="宋体" w:eastAsia="宋体" w:cs="宋体"/>
          <w:color w:val="auto"/>
          <w:sz w:val="24"/>
          <w:szCs w:val="20"/>
        </w:rPr>
        <w:t>中心</w:t>
      </w:r>
    </w:p>
    <w:p w14:paraId="1E4591AD">
      <w:pPr>
        <w:keepNext w:val="0"/>
        <w:keepLines w:val="0"/>
        <w:pageBreakBefore w:val="0"/>
        <w:widowControl/>
        <w:spacing w:line="500" w:lineRule="exact"/>
        <w:ind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地    址：盐城市亭湖区希望大道中路18号</w:t>
      </w:r>
    </w:p>
    <w:p w14:paraId="22C79A19">
      <w:pPr>
        <w:keepNext w:val="0"/>
        <w:keepLines w:val="0"/>
        <w:pageBreakBefore w:val="0"/>
        <w:widowControl/>
        <w:spacing w:line="500" w:lineRule="exact"/>
        <w:ind w:firstLine="482"/>
        <w:jc w:val="left"/>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rPr>
        <w:t>联 系 人：纪先生</w:t>
      </w:r>
      <w:r>
        <w:rPr>
          <w:rFonts w:hint="eastAsia" w:ascii="宋体" w:hAnsi="宋体" w:eastAsia="宋体" w:cs="宋体"/>
          <w:color w:val="auto"/>
          <w:sz w:val="24"/>
          <w:szCs w:val="20"/>
          <w:lang w:val="en-US" w:eastAsia="zh-CN"/>
        </w:rPr>
        <w:t xml:space="preserve">    </w:t>
      </w:r>
    </w:p>
    <w:p w14:paraId="5C519B6A">
      <w:pPr>
        <w:keepNext w:val="0"/>
        <w:keepLines w:val="0"/>
        <w:pageBreakBefore w:val="0"/>
        <w:widowControl/>
        <w:spacing w:line="500" w:lineRule="exact"/>
        <w:ind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联系方式：0515-89802019</w:t>
      </w:r>
    </w:p>
    <w:p w14:paraId="464BD58E">
      <w:pPr>
        <w:keepNext w:val="0"/>
        <w:keepLines w:val="0"/>
        <w:pageBreakBefore w:val="0"/>
        <w:widowControl/>
        <w:spacing w:line="500" w:lineRule="exact"/>
        <w:ind w:firstLine="482"/>
        <w:jc w:val="left"/>
        <w:rPr>
          <w:rFonts w:ascii="宋体" w:hAnsi="宋体" w:eastAsia="宋体" w:cs="宋体"/>
          <w:b/>
          <w:bCs/>
          <w:color w:val="auto"/>
          <w:sz w:val="24"/>
          <w:szCs w:val="20"/>
        </w:rPr>
      </w:pPr>
      <w:r>
        <w:rPr>
          <w:rFonts w:hint="eastAsia" w:ascii="宋体" w:hAnsi="宋体" w:eastAsia="宋体" w:cs="宋体"/>
          <w:b/>
          <w:bCs/>
          <w:color w:val="auto"/>
          <w:sz w:val="24"/>
          <w:szCs w:val="20"/>
        </w:rPr>
        <w:t>3.项目联系方式</w:t>
      </w:r>
    </w:p>
    <w:p w14:paraId="1A4711DB">
      <w:pPr>
        <w:keepNext w:val="0"/>
        <w:keepLines w:val="0"/>
        <w:pageBreakBefore w:val="0"/>
        <w:widowControl/>
        <w:spacing w:line="500" w:lineRule="exact"/>
        <w:ind w:firstLine="482"/>
        <w:jc w:val="left"/>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rPr>
        <w:t>项目联系人：纪先生</w:t>
      </w:r>
      <w:r>
        <w:rPr>
          <w:rFonts w:hint="eastAsia" w:ascii="宋体" w:hAnsi="宋体" w:eastAsia="宋体" w:cs="宋体"/>
          <w:color w:val="auto"/>
          <w:sz w:val="24"/>
          <w:szCs w:val="20"/>
          <w:lang w:val="en-US" w:eastAsia="zh-CN"/>
        </w:rPr>
        <w:t xml:space="preserve">              </w:t>
      </w:r>
    </w:p>
    <w:p w14:paraId="2CE69A5C">
      <w:pPr>
        <w:keepNext w:val="0"/>
        <w:keepLines w:val="0"/>
        <w:pageBreakBefore w:val="0"/>
        <w:widowControl/>
        <w:spacing w:line="500" w:lineRule="exact"/>
        <w:ind w:firstLine="482"/>
        <w:jc w:val="left"/>
        <w:rPr>
          <w:rFonts w:hint="eastAsia" w:ascii="宋体" w:hAnsi="宋体" w:eastAsia="宋体" w:cs="宋体"/>
          <w:color w:val="auto"/>
          <w:sz w:val="24"/>
          <w:szCs w:val="20"/>
        </w:rPr>
      </w:pPr>
      <w:r>
        <w:rPr>
          <w:rFonts w:hint="eastAsia" w:ascii="宋体" w:hAnsi="宋体" w:eastAsia="宋体" w:cs="宋体"/>
          <w:color w:val="auto"/>
          <w:sz w:val="24"/>
          <w:szCs w:val="20"/>
        </w:rPr>
        <w:t>联系方式：0515-89802019</w:t>
      </w:r>
    </w:p>
    <w:p w14:paraId="5E62177D">
      <w:pPr>
        <w:jc w:val="center"/>
        <w:rPr>
          <w:rFonts w:ascii="黑体" w:hAnsi="黑体" w:eastAsia="黑体" w:cs="黑体"/>
          <w:color w:val="auto"/>
          <w:sz w:val="44"/>
          <w:szCs w:val="44"/>
        </w:rPr>
      </w:pPr>
      <w:r>
        <w:rPr>
          <w:rFonts w:hint="eastAsia" w:ascii="宋体" w:hAnsi="宋体" w:cs="宋体"/>
          <w:color w:val="auto"/>
          <w:sz w:val="44"/>
          <w:szCs w:val="44"/>
        </w:rPr>
        <w:br w:type="page" w:clear="all"/>
      </w:r>
      <w:bookmarkStart w:id="2" w:name="_Toc23635"/>
      <w:r>
        <w:rPr>
          <w:rFonts w:hint="eastAsia" w:ascii="黑体" w:hAnsi="黑体" w:eastAsia="黑体" w:cs="黑体"/>
          <w:color w:val="auto"/>
          <w:sz w:val="44"/>
          <w:szCs w:val="44"/>
        </w:rPr>
        <w:t>第二章 投标人须知</w:t>
      </w:r>
      <w:bookmarkEnd w:id="2"/>
    </w:p>
    <w:p w14:paraId="6701C807">
      <w:pPr>
        <w:keepNext w:val="0"/>
        <w:keepLines w:val="0"/>
        <w:pageBreakBefore w:val="0"/>
        <w:spacing w:line="500" w:lineRule="exact"/>
        <w:ind w:firstLine="482"/>
        <w:jc w:val="left"/>
        <w:rPr>
          <w:rFonts w:ascii="宋体" w:hAnsi="宋体" w:cs="宋体"/>
          <w:b/>
          <w:bCs/>
          <w:color w:val="auto"/>
          <w:sz w:val="24"/>
        </w:rPr>
      </w:pPr>
      <w:r>
        <w:rPr>
          <w:rFonts w:hint="eastAsia" w:ascii="宋体" w:hAnsi="宋体" w:cs="宋体"/>
          <w:b/>
          <w:bCs/>
          <w:color w:val="auto"/>
          <w:sz w:val="24"/>
        </w:rPr>
        <w:t>一、总则</w:t>
      </w:r>
    </w:p>
    <w:p w14:paraId="3CD2894F">
      <w:pPr>
        <w:keepNext w:val="0"/>
        <w:keepLines w:val="0"/>
        <w:pageBreakBefore w:val="0"/>
        <w:spacing w:line="500" w:lineRule="exact"/>
        <w:ind w:firstLine="482"/>
        <w:jc w:val="left"/>
        <w:rPr>
          <w:rFonts w:ascii="宋体" w:hAnsi="宋体" w:cs="宋体"/>
          <w:b/>
          <w:bCs/>
          <w:color w:val="auto"/>
          <w:sz w:val="24"/>
        </w:rPr>
      </w:pPr>
      <w:r>
        <w:rPr>
          <w:rFonts w:hint="eastAsia" w:ascii="宋体" w:hAnsi="宋体" w:cs="宋体"/>
          <w:b/>
          <w:bCs/>
          <w:color w:val="auto"/>
          <w:sz w:val="24"/>
        </w:rPr>
        <w:t>1、招标方式</w:t>
      </w:r>
    </w:p>
    <w:p w14:paraId="12BFE71A">
      <w:pPr>
        <w:keepNext w:val="0"/>
        <w:keepLines w:val="0"/>
        <w:pageBreakBefore w:val="0"/>
        <w:spacing w:line="500" w:lineRule="exact"/>
        <w:ind w:firstLine="482"/>
        <w:jc w:val="left"/>
        <w:rPr>
          <w:rFonts w:ascii="宋体" w:hAnsi="宋体" w:cs="宋体"/>
          <w:color w:val="auto"/>
          <w:sz w:val="24"/>
        </w:rPr>
      </w:pPr>
      <w:r>
        <w:rPr>
          <w:rFonts w:hint="eastAsia" w:ascii="宋体" w:hAnsi="宋体" w:cs="宋体"/>
          <w:color w:val="auto"/>
          <w:sz w:val="24"/>
        </w:rPr>
        <w:t>1.1本次招标采取公开招标方式，本招标文件仅适用于招标公告中所述项目。</w:t>
      </w:r>
    </w:p>
    <w:p w14:paraId="7C21C914">
      <w:pPr>
        <w:keepNext w:val="0"/>
        <w:keepLines w:val="0"/>
        <w:pageBreakBefore w:val="0"/>
        <w:spacing w:line="500" w:lineRule="exact"/>
        <w:ind w:firstLine="482"/>
        <w:jc w:val="left"/>
        <w:rPr>
          <w:rFonts w:ascii="宋体" w:hAnsi="宋体" w:cs="宋体"/>
          <w:b/>
          <w:bCs/>
          <w:color w:val="auto"/>
          <w:sz w:val="24"/>
        </w:rPr>
      </w:pPr>
      <w:r>
        <w:rPr>
          <w:rFonts w:hint="eastAsia" w:ascii="宋体" w:hAnsi="宋体" w:cs="宋体"/>
          <w:b/>
          <w:bCs/>
          <w:color w:val="auto"/>
          <w:sz w:val="24"/>
        </w:rPr>
        <w:t>2、合格的投标人</w:t>
      </w:r>
    </w:p>
    <w:p w14:paraId="55DF7678">
      <w:pPr>
        <w:keepNext w:val="0"/>
        <w:keepLines w:val="0"/>
        <w:pageBreakBefore w:val="0"/>
        <w:spacing w:line="500" w:lineRule="exact"/>
        <w:ind w:firstLine="482"/>
        <w:jc w:val="left"/>
        <w:rPr>
          <w:rFonts w:ascii="宋体" w:hAnsi="宋体" w:cs="宋体"/>
          <w:color w:val="auto"/>
          <w:sz w:val="24"/>
        </w:rPr>
      </w:pPr>
      <w:r>
        <w:rPr>
          <w:rFonts w:hint="eastAsia" w:ascii="宋体" w:hAnsi="宋体" w:cs="宋体"/>
          <w:color w:val="auto"/>
          <w:sz w:val="24"/>
        </w:rPr>
        <w:t>2.1满足招标公告中供应商的资格要求的规定。</w:t>
      </w:r>
    </w:p>
    <w:p w14:paraId="6075CCDB">
      <w:pPr>
        <w:keepNext w:val="0"/>
        <w:keepLines w:val="0"/>
        <w:pageBreakBefore w:val="0"/>
        <w:spacing w:line="500" w:lineRule="exact"/>
        <w:ind w:firstLine="482"/>
        <w:jc w:val="left"/>
        <w:rPr>
          <w:rFonts w:ascii="宋体" w:hAnsi="宋体" w:cs="宋体"/>
          <w:color w:val="auto"/>
          <w:sz w:val="24"/>
        </w:rPr>
      </w:pPr>
      <w:r>
        <w:rPr>
          <w:rFonts w:hint="eastAsia" w:ascii="宋体" w:hAnsi="宋体" w:cs="宋体"/>
          <w:color w:val="auto"/>
          <w:sz w:val="24"/>
        </w:rPr>
        <w:t>2.2满足本文件实质性要求和条件的规定。</w:t>
      </w:r>
    </w:p>
    <w:p w14:paraId="4629A48A">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0" w:firstLine="482"/>
        <w:rPr>
          <w:color w:val="auto"/>
        </w:rPr>
      </w:pPr>
      <w:r>
        <w:rPr>
          <w:rFonts w:hint="eastAsia" w:ascii="宋体" w:hAnsi="宋体" w:cs="宋体"/>
          <w:b/>
          <w:bCs/>
          <w:color w:val="auto"/>
          <w:sz w:val="24"/>
        </w:rPr>
        <w:t>3、</w:t>
      </w:r>
      <w:r>
        <w:rPr>
          <w:rFonts w:ascii="宋体" w:hAnsi="宋体" w:eastAsia="宋体" w:cs="宋体"/>
          <w:b/>
          <w:color w:val="auto"/>
          <w:sz w:val="24"/>
        </w:rPr>
        <w:t>适用法律和标准</w:t>
      </w:r>
    </w:p>
    <w:p w14:paraId="37E70AFA">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0" w:firstLine="482"/>
        <w:rPr>
          <w:color w:val="auto"/>
        </w:rPr>
      </w:pPr>
      <w:r>
        <w:rPr>
          <w:rFonts w:ascii="宋体" w:hAnsi="宋体" w:eastAsia="宋体" w:cs="宋体"/>
          <w:color w:val="auto"/>
          <w:sz w:val="24"/>
        </w:rPr>
        <w:t>3.1本次招标及由此产生的合同受中华人民共和国有关的法律法规制约和保护。</w:t>
      </w:r>
    </w:p>
    <w:p w14:paraId="4039A569">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0" w:firstLine="482"/>
        <w:rPr>
          <w:color w:val="auto"/>
        </w:rPr>
      </w:pPr>
      <w:r>
        <w:rPr>
          <w:rFonts w:ascii="宋体" w:hAnsi="宋体" w:eastAsia="宋体" w:cs="宋体"/>
          <w:color w:val="auto"/>
          <w:sz w:val="24"/>
        </w:rPr>
        <w:t>3.2在本项目政府采购活动过程中，如果所执行的标准有更新的，按照最新标准执行。</w:t>
      </w:r>
    </w:p>
    <w:p w14:paraId="534E6608">
      <w:pPr>
        <w:keepNext w:val="0"/>
        <w:keepLines w:val="0"/>
        <w:pageBreakBefore w:val="0"/>
        <w:spacing w:line="500" w:lineRule="exact"/>
        <w:ind w:firstLine="482"/>
        <w:jc w:val="left"/>
        <w:rPr>
          <w:rFonts w:ascii="宋体" w:hAnsi="宋体" w:cs="宋体"/>
          <w:b/>
          <w:bCs/>
          <w:color w:val="auto"/>
          <w:sz w:val="24"/>
        </w:rPr>
      </w:pPr>
      <w:r>
        <w:rPr>
          <w:rFonts w:hint="eastAsia" w:ascii="宋体" w:hAnsi="宋体" w:cs="宋体"/>
          <w:b/>
          <w:bCs/>
          <w:color w:val="auto"/>
          <w:sz w:val="24"/>
        </w:rPr>
        <w:t>4、投标费用</w:t>
      </w:r>
    </w:p>
    <w:p w14:paraId="59D2EFC6">
      <w:pPr>
        <w:keepNext w:val="0"/>
        <w:keepLines w:val="0"/>
        <w:pageBreakBefore w:val="0"/>
        <w:spacing w:line="500" w:lineRule="exact"/>
        <w:ind w:firstLine="482"/>
        <w:jc w:val="left"/>
        <w:rPr>
          <w:rFonts w:ascii="宋体" w:hAnsi="宋体" w:cs="宋体"/>
          <w:color w:val="auto"/>
          <w:sz w:val="24"/>
        </w:rPr>
      </w:pPr>
      <w:r>
        <w:rPr>
          <w:rFonts w:hint="eastAsia" w:ascii="宋体" w:hAnsi="宋体" w:cs="宋体"/>
          <w:color w:val="auto"/>
          <w:sz w:val="24"/>
        </w:rPr>
        <w:t>4.1投标人应自行承担所有与参加投标有关的费用，无论投标过程中的做法和结果如何，</w:t>
      </w:r>
      <w:r>
        <w:rPr>
          <w:rFonts w:hint="eastAsia" w:ascii="宋体" w:hAnsi="宋体" w:eastAsia="宋体" w:cs="宋体"/>
          <w:color w:val="auto"/>
          <w:sz w:val="24"/>
          <w:szCs w:val="20"/>
        </w:rPr>
        <w:t>盐城</w:t>
      </w:r>
      <w:r>
        <w:rPr>
          <w:rFonts w:hint="eastAsia" w:ascii="宋体" w:hAnsi="宋体" w:eastAsia="宋体" w:cs="宋体"/>
          <w:color w:val="auto"/>
          <w:sz w:val="24"/>
          <w:szCs w:val="20"/>
          <w:lang w:eastAsia="zh-CN"/>
        </w:rPr>
        <w:t>市亭湖区公共资源交易</w:t>
      </w:r>
      <w:r>
        <w:rPr>
          <w:rFonts w:hint="eastAsia" w:ascii="宋体" w:hAnsi="宋体" w:eastAsia="宋体" w:cs="宋体"/>
          <w:color w:val="auto"/>
          <w:sz w:val="24"/>
          <w:szCs w:val="20"/>
        </w:rPr>
        <w:t>中心</w:t>
      </w:r>
      <w:r>
        <w:rPr>
          <w:rFonts w:hint="eastAsia" w:ascii="宋体" w:hAnsi="宋体" w:cs="宋体"/>
          <w:color w:val="auto"/>
          <w:sz w:val="24"/>
        </w:rPr>
        <w:t>（以下简称</w:t>
      </w:r>
      <w:r>
        <w:rPr>
          <w:rFonts w:hint="eastAsia" w:ascii="宋体" w:hAnsi="宋体" w:cs="宋体"/>
          <w:color w:val="auto"/>
          <w:sz w:val="24"/>
          <w:lang w:val="en-US" w:eastAsia="zh-CN"/>
        </w:rPr>
        <w:t>交易</w:t>
      </w:r>
      <w:r>
        <w:rPr>
          <w:rFonts w:hint="eastAsia" w:ascii="宋体" w:hAnsi="宋体" w:cs="宋体"/>
          <w:color w:val="auto"/>
          <w:sz w:val="24"/>
        </w:rPr>
        <w:t>中心）在任何情况下均无义务和责任承担这些费用。</w:t>
      </w:r>
    </w:p>
    <w:p w14:paraId="7A7F3965">
      <w:pPr>
        <w:keepNext w:val="0"/>
        <w:keepLines w:val="0"/>
        <w:pageBreakBefore w:val="0"/>
        <w:spacing w:line="500" w:lineRule="exact"/>
        <w:ind w:firstLine="482"/>
        <w:jc w:val="left"/>
        <w:rPr>
          <w:rFonts w:ascii="宋体" w:hAnsi="宋体" w:cs="宋体"/>
          <w:color w:val="auto"/>
          <w:sz w:val="24"/>
        </w:rPr>
      </w:pPr>
      <w:r>
        <w:rPr>
          <w:rFonts w:hint="eastAsia" w:ascii="宋体" w:hAnsi="宋体" w:cs="宋体"/>
          <w:color w:val="auto"/>
          <w:sz w:val="24"/>
        </w:rPr>
        <w:t>4.2本次招标</w:t>
      </w:r>
      <w:r>
        <w:rPr>
          <w:rFonts w:hint="eastAsia" w:ascii="宋体" w:hAnsi="宋体" w:cs="宋体"/>
          <w:color w:val="auto"/>
          <w:sz w:val="24"/>
          <w:lang w:eastAsia="zh-CN"/>
        </w:rPr>
        <w:t>交易中心</w:t>
      </w:r>
      <w:r>
        <w:rPr>
          <w:rFonts w:hint="eastAsia" w:ascii="宋体" w:hAnsi="宋体" w:cs="宋体"/>
          <w:color w:val="auto"/>
          <w:sz w:val="24"/>
        </w:rPr>
        <w:t>和采购人不收取标书工本费与中标服务费。</w:t>
      </w:r>
    </w:p>
    <w:p w14:paraId="3F7DE244">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5、招标文件的约束力</w:t>
      </w:r>
    </w:p>
    <w:p w14:paraId="4BC45EC9">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5.1投标人一旦参加本项目采购活动，即被认为接受了本招标文件的规定和约束。</w:t>
      </w:r>
    </w:p>
    <w:p w14:paraId="730127CC">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二、招标文件</w:t>
      </w:r>
    </w:p>
    <w:p w14:paraId="446025DE">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6、招标文件构成</w:t>
      </w:r>
    </w:p>
    <w:p w14:paraId="43019DC1">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6.1招标文件由以下部分组成：</w:t>
      </w:r>
    </w:p>
    <w:p w14:paraId="0ED5EF42">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（1）招标公告</w:t>
      </w:r>
    </w:p>
    <w:p w14:paraId="6CC5B9B6">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（2）投标人须知</w:t>
      </w:r>
    </w:p>
    <w:p w14:paraId="50ED4100">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（3）合同文本</w:t>
      </w:r>
    </w:p>
    <w:p w14:paraId="38A6DC55">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（4）采购需求</w:t>
      </w:r>
    </w:p>
    <w:p w14:paraId="5A331307">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（5）评标方法与评标标准</w:t>
      </w:r>
    </w:p>
    <w:p w14:paraId="6022D835">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（6）投标文件格式</w:t>
      </w:r>
    </w:p>
    <w:p w14:paraId="43DF218D">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请仔细检查招标文件是否齐全，如有缺漏请立即与</w:t>
      </w:r>
      <w:r>
        <w:rPr>
          <w:rFonts w:hint="eastAsia" w:ascii="宋体" w:hAnsi="宋体" w:cs="宋体"/>
          <w:color w:val="auto"/>
          <w:sz w:val="24"/>
          <w:lang w:eastAsia="zh-CN"/>
        </w:rPr>
        <w:t>交易中心</w:t>
      </w:r>
      <w:r>
        <w:rPr>
          <w:rFonts w:hint="eastAsia" w:ascii="宋体" w:hAnsi="宋体" w:cs="宋体"/>
          <w:color w:val="auto"/>
          <w:sz w:val="24"/>
        </w:rPr>
        <w:t>联系解决。</w:t>
      </w:r>
    </w:p>
    <w:p w14:paraId="694E5483">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C683D83">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7、招标文件的澄清</w:t>
      </w:r>
    </w:p>
    <w:p w14:paraId="12B3B7A1">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7.1任何要求对招标文件进行澄清的投标人，应在投标截止期</w:t>
      </w:r>
      <w:r>
        <w:rPr>
          <w:rFonts w:hint="eastAsia" w:ascii="宋体" w:hAnsi="宋体" w:cs="宋体"/>
          <w:b/>
          <w:bCs/>
          <w:color w:val="auto"/>
          <w:sz w:val="24"/>
        </w:rPr>
        <w:t>十日</w:t>
      </w:r>
      <w:r>
        <w:rPr>
          <w:rFonts w:hint="eastAsia" w:ascii="宋体" w:hAnsi="宋体" w:cs="宋体"/>
          <w:color w:val="auto"/>
          <w:sz w:val="24"/>
        </w:rPr>
        <w:t>前按招标公告中的通讯地址，以书面形式通知</w:t>
      </w:r>
      <w:r>
        <w:rPr>
          <w:rFonts w:hint="eastAsia" w:ascii="宋体" w:hAnsi="宋体" w:cs="宋体"/>
          <w:color w:val="auto"/>
          <w:sz w:val="24"/>
          <w:lang w:eastAsia="zh-CN"/>
        </w:rPr>
        <w:t>交易中心</w:t>
      </w:r>
      <w:r>
        <w:rPr>
          <w:rFonts w:hint="eastAsia" w:ascii="宋体" w:hAnsi="宋体" w:cs="宋体"/>
          <w:color w:val="auto"/>
          <w:sz w:val="24"/>
        </w:rPr>
        <w:t>。</w:t>
      </w:r>
    </w:p>
    <w:p w14:paraId="0D05B5A5">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8、招标文件的修改</w:t>
      </w:r>
    </w:p>
    <w:p w14:paraId="20CAAE86">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8.1在投标截止时间前，</w:t>
      </w:r>
      <w:r>
        <w:rPr>
          <w:rFonts w:hint="eastAsia" w:ascii="宋体" w:hAnsi="宋体" w:cs="宋体"/>
          <w:color w:val="auto"/>
          <w:sz w:val="24"/>
          <w:lang w:eastAsia="zh-CN"/>
        </w:rPr>
        <w:t>交易中心</w:t>
      </w:r>
      <w:r>
        <w:rPr>
          <w:rFonts w:hint="eastAsia" w:ascii="宋体" w:hAnsi="宋体" w:cs="宋体"/>
          <w:color w:val="auto"/>
          <w:sz w:val="24"/>
        </w:rPr>
        <w:t>可以对招标文件进行修改。</w:t>
      </w:r>
    </w:p>
    <w:p w14:paraId="3C558399">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8.2</w:t>
      </w:r>
      <w:r>
        <w:rPr>
          <w:rFonts w:hint="eastAsia" w:ascii="宋体" w:hAnsi="宋体" w:cs="宋体"/>
          <w:color w:val="auto"/>
          <w:sz w:val="24"/>
          <w:lang w:eastAsia="zh-CN"/>
        </w:rPr>
        <w:t>交易中心</w:t>
      </w:r>
      <w:r>
        <w:rPr>
          <w:rFonts w:hint="eastAsia" w:ascii="宋体" w:hAnsi="宋体" w:cs="宋体"/>
          <w:color w:val="auto"/>
          <w:sz w:val="24"/>
        </w:rPr>
        <w:t>有权按照法定的要求推迟投标截止日期和开标日期。</w:t>
      </w:r>
    </w:p>
    <w:p w14:paraId="028070ED">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8.3招标文件的修改将在“中国政府采购网”、“江苏政府采购网”、“盐城市政府采购网”公布，补充文件将作为招标文件的组成部分，并对供应商具有约束力。</w:t>
      </w:r>
    </w:p>
    <w:p w14:paraId="76E69999">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三、投标文件的编制</w:t>
      </w:r>
    </w:p>
    <w:p w14:paraId="3EE49B54">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9、投标文件的语言及度量衡单位</w:t>
      </w:r>
    </w:p>
    <w:p w14:paraId="5558E78C">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9.1投标人提交的投标文件以及投标人与</w:t>
      </w:r>
      <w:r>
        <w:rPr>
          <w:rFonts w:hint="eastAsia" w:ascii="宋体" w:hAnsi="宋体" w:cs="宋体"/>
          <w:color w:val="auto"/>
          <w:sz w:val="24"/>
          <w:lang w:eastAsia="zh-CN"/>
        </w:rPr>
        <w:t>交易中心</w:t>
      </w:r>
      <w:r>
        <w:rPr>
          <w:rFonts w:hint="eastAsia" w:ascii="宋体" w:hAnsi="宋体" w:cs="宋体"/>
          <w:color w:val="auto"/>
          <w:sz w:val="24"/>
        </w:rPr>
        <w:t>就有关投标的所有来往通知、函件和文件均应使用</w:t>
      </w:r>
      <w:r>
        <w:rPr>
          <w:rFonts w:hint="eastAsia" w:ascii="宋体" w:hAnsi="宋体" w:cs="宋体"/>
          <w:b/>
          <w:bCs/>
          <w:color w:val="auto"/>
          <w:sz w:val="24"/>
        </w:rPr>
        <w:t>简体中文</w:t>
      </w:r>
      <w:r>
        <w:rPr>
          <w:rFonts w:hint="eastAsia" w:ascii="宋体" w:hAnsi="宋体" w:cs="宋体"/>
          <w:color w:val="auto"/>
          <w:sz w:val="24"/>
        </w:rPr>
        <w:t>。</w:t>
      </w:r>
    </w:p>
    <w:p w14:paraId="2046D399">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9.2除技术性能另有规定外，投标文件所使用的度量衡单位，均须采用国家法定计量单位。</w:t>
      </w:r>
    </w:p>
    <w:p w14:paraId="1AC145E1">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10、投标文件构成</w:t>
      </w:r>
    </w:p>
    <w:p w14:paraId="1C8059AD">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10.1投标人编写的投标文件应包括资格证明文件、符合性证明文件、投标分项报价表、技术要求响应及偏离表、商务要求响应及偏离表、其他证明文件、投标函、开标一览表等部分。</w:t>
      </w:r>
    </w:p>
    <w:p w14:paraId="22259627">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10.2如标书制作工具中格式和内容与“中国政府采购网”、“江苏政府采购网”、“盐城市政府采购网”发布的招标文件不一致，请以“中国政府采购网”、“江苏政府采购网”、“盐城市政府采购网”发布的招标文件为准。</w:t>
      </w:r>
    </w:p>
    <w:p w14:paraId="6A7D4EEC">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11、证明投标人及投标标的符合招标文件规定的文件</w:t>
      </w:r>
    </w:p>
    <w:p w14:paraId="01B1023F">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11.1投标人应按照法律、法规、规章和规范性文件以及招标文件要求提交证明文件，证明其及投标标的符合招标文件规定。</w:t>
      </w:r>
    </w:p>
    <w:p w14:paraId="6682BC70">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11.2招标文件对证明文件无明确形式要求的，证明文件可以以文字资料、图纸和数据等形式提交。</w:t>
      </w:r>
    </w:p>
    <w:p w14:paraId="1E4E4D46">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12、投标分项报价表</w:t>
      </w:r>
    </w:p>
    <w:p w14:paraId="75AE6B82">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12.1投标人应按照招标文件规定格式填报投标分项报价表。</w:t>
      </w:r>
    </w:p>
    <w:p w14:paraId="61B11887">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12.2投标货币。投标文件中的单价和总价无特殊规定的采用人民币报价，以元为单位标注。招标文件中另有规定的按规定执行。</w:t>
      </w:r>
    </w:p>
    <w:p w14:paraId="589A8FF8">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12.3投标分项报价表，</w:t>
      </w:r>
      <w:r>
        <w:rPr>
          <w:rFonts w:hint="eastAsia"/>
          <w:color w:val="auto"/>
          <w:sz w:val="24"/>
          <w:szCs w:val="20"/>
          <w:lang w:val="zh-CN"/>
        </w:rPr>
        <w:t>不仅应包括所有人员的工资、法定节假日加班费、社保、公积金、福利费及法定税费，还应包括为完成招标文件规定的物业服务工作所涉及的一切相关费用。</w:t>
      </w:r>
    </w:p>
    <w:p w14:paraId="70815EC4">
      <w:pPr>
        <w:tabs>
          <w:tab w:val="left" w:pos="3544"/>
        </w:tabs>
        <w:spacing w:line="560" w:lineRule="exact"/>
        <w:ind w:firstLine="480"/>
        <w:jc w:val="left"/>
        <w:rPr>
          <w:rFonts w:hint="eastAsia" w:ascii="宋体" w:hAnsi="宋体" w:cs="宋体"/>
          <w:b/>
          <w:bCs/>
          <w:color w:val="auto"/>
          <w:sz w:val="24"/>
          <w:szCs w:val="20"/>
          <w:highlight w:val="none"/>
          <w:lang w:val="zh-CN"/>
        </w:rPr>
      </w:pPr>
      <w:r>
        <w:rPr>
          <w:rFonts w:hint="eastAsia" w:ascii="宋体" w:hAnsi="宋体" w:cs="宋体"/>
          <w:b/>
          <w:bCs/>
          <w:color w:val="auto"/>
          <w:sz w:val="24"/>
          <w:highlight w:val="none"/>
          <w:lang w:val="zh-CN"/>
        </w:rPr>
        <w:t>12.4人员最低费用</w:t>
      </w:r>
      <w:r>
        <w:rPr>
          <w:rFonts w:hint="eastAsia" w:ascii="宋体" w:hAnsi="宋体" w:cs="宋体"/>
          <w:b/>
          <w:bCs/>
          <w:color w:val="auto"/>
          <w:sz w:val="24"/>
          <w:szCs w:val="20"/>
          <w:highlight w:val="none"/>
          <w:lang w:val="zh-CN"/>
        </w:rPr>
        <w:t>：</w:t>
      </w:r>
    </w:p>
    <w:p w14:paraId="77A3E9D1">
      <w:pPr>
        <w:tabs>
          <w:tab w:val="left" w:pos="3544"/>
        </w:tabs>
        <w:spacing w:line="560" w:lineRule="exact"/>
        <w:ind w:firstLine="480"/>
        <w:jc w:val="left"/>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rPr>
        <w:t>①</w:t>
      </w:r>
      <w:r>
        <w:rPr>
          <w:rFonts w:hint="eastAsia" w:ascii="宋体" w:hAnsi="宋体" w:eastAsia="宋体" w:cs="宋体"/>
          <w:b/>
          <w:bCs/>
          <w:color w:val="auto"/>
          <w:sz w:val="24"/>
          <w:szCs w:val="20"/>
          <w:highlight w:val="none"/>
          <w:lang w:val="en-US" w:eastAsia="zh-CN"/>
        </w:rPr>
        <w:t>卫生</w:t>
      </w:r>
      <w:r>
        <w:rPr>
          <w:rFonts w:hint="eastAsia" w:ascii="宋体" w:hAnsi="宋体" w:eastAsia="宋体" w:cs="宋体"/>
          <w:b/>
          <w:bCs/>
          <w:color w:val="auto"/>
          <w:sz w:val="24"/>
          <w:szCs w:val="20"/>
          <w:highlight w:val="none"/>
          <w:lang w:val="zh-CN"/>
        </w:rPr>
        <w:t>保洁员（含绿化维护）、宿舍管理员每人</w:t>
      </w:r>
      <w:r>
        <w:rPr>
          <w:rFonts w:hint="eastAsia" w:ascii="宋体" w:hAnsi="宋体" w:eastAsia="宋体" w:cs="宋体"/>
          <w:b/>
          <w:bCs/>
          <w:color w:val="auto"/>
          <w:sz w:val="24"/>
          <w:szCs w:val="20"/>
          <w:highlight w:val="none"/>
          <w:lang w:val="en-US" w:eastAsia="zh-CN"/>
        </w:rPr>
        <w:t>工资</w:t>
      </w:r>
      <w:r>
        <w:rPr>
          <w:rFonts w:hint="eastAsia" w:ascii="宋体" w:hAnsi="宋体" w:eastAsia="宋体" w:cs="宋体"/>
          <w:b/>
          <w:bCs/>
          <w:color w:val="auto"/>
          <w:sz w:val="24"/>
          <w:szCs w:val="20"/>
          <w:highlight w:val="none"/>
          <w:lang w:val="zh-CN"/>
        </w:rPr>
        <w:t>2430元/月，</w:t>
      </w:r>
      <w:r>
        <w:rPr>
          <w:rFonts w:hint="eastAsia" w:ascii="宋体" w:hAnsi="宋体" w:eastAsia="宋体" w:cs="宋体"/>
          <w:b/>
          <w:bCs/>
          <w:color w:val="auto"/>
          <w:sz w:val="24"/>
          <w:szCs w:val="20"/>
          <w:highlight w:val="none"/>
          <w:lang w:val="zh-CN" w:eastAsia="zh-CN"/>
        </w:rPr>
        <w:t>外加社会保险</w:t>
      </w:r>
      <w:r>
        <w:rPr>
          <w:rFonts w:hint="eastAsia" w:ascii="宋体" w:hAnsi="宋体" w:eastAsia="宋体" w:cs="宋体"/>
          <w:b/>
          <w:bCs/>
          <w:color w:val="auto"/>
          <w:sz w:val="24"/>
          <w:szCs w:val="20"/>
          <w:highlight w:val="none"/>
          <w:lang w:val="en-US" w:eastAsia="zh-CN"/>
        </w:rPr>
        <w:t>1292.47元/月/人</w:t>
      </w:r>
      <w:r>
        <w:rPr>
          <w:rFonts w:hint="eastAsia" w:ascii="宋体" w:hAnsi="宋体" w:eastAsia="宋体" w:cs="宋体"/>
          <w:b/>
          <w:bCs/>
          <w:color w:val="auto"/>
          <w:sz w:val="24"/>
          <w:szCs w:val="20"/>
          <w:highlight w:val="none"/>
          <w:lang w:val="zh-CN" w:eastAsia="zh-CN"/>
        </w:rPr>
        <w:t>、公积金</w:t>
      </w:r>
      <w:r>
        <w:rPr>
          <w:rFonts w:hint="eastAsia" w:ascii="宋体" w:hAnsi="宋体" w:eastAsia="宋体" w:cs="宋体"/>
          <w:b/>
          <w:bCs/>
          <w:color w:val="auto"/>
          <w:sz w:val="24"/>
          <w:szCs w:val="20"/>
          <w:highlight w:val="none"/>
          <w:lang w:val="en-US" w:eastAsia="zh-CN"/>
        </w:rPr>
        <w:t>122元/月/人</w:t>
      </w:r>
      <w:r>
        <w:rPr>
          <w:rFonts w:hint="eastAsia" w:ascii="宋体" w:hAnsi="宋体" w:eastAsia="宋体" w:cs="宋体"/>
          <w:b/>
          <w:bCs/>
          <w:color w:val="auto"/>
          <w:sz w:val="24"/>
          <w:szCs w:val="20"/>
          <w:highlight w:val="none"/>
          <w:lang w:val="zh-CN" w:eastAsia="zh-CN"/>
        </w:rPr>
        <w:t>，福利1000元/年</w:t>
      </w:r>
      <w:r>
        <w:rPr>
          <w:rFonts w:hint="eastAsia" w:ascii="宋体" w:hAnsi="宋体" w:eastAsia="宋体" w:cs="宋体"/>
          <w:b/>
          <w:bCs/>
          <w:color w:val="auto"/>
          <w:sz w:val="24"/>
          <w:szCs w:val="20"/>
          <w:highlight w:val="none"/>
          <w:lang w:val="en-US" w:eastAsia="zh-CN"/>
        </w:rPr>
        <w:t>/人</w:t>
      </w:r>
      <w:r>
        <w:rPr>
          <w:rFonts w:hint="eastAsia" w:ascii="宋体" w:hAnsi="宋体" w:eastAsia="宋体" w:cs="宋体"/>
          <w:b/>
          <w:bCs/>
          <w:color w:val="auto"/>
          <w:sz w:val="24"/>
          <w:szCs w:val="20"/>
          <w:highlight w:val="none"/>
          <w:lang w:val="zh-CN" w:eastAsia="zh-CN"/>
        </w:rPr>
        <w:t>，</w:t>
      </w:r>
      <w:r>
        <w:rPr>
          <w:rFonts w:hint="eastAsia" w:ascii="宋体" w:hAnsi="宋体" w:eastAsia="宋体" w:cs="宋体"/>
          <w:b/>
          <w:bCs/>
          <w:color w:val="auto"/>
          <w:sz w:val="24"/>
          <w:szCs w:val="20"/>
          <w:highlight w:val="none"/>
          <w:lang w:val="zh-CN"/>
        </w:rPr>
        <w:t>法定节假日加班不得低于</w:t>
      </w:r>
      <w:r>
        <w:rPr>
          <w:rFonts w:hint="eastAsia" w:ascii="宋体" w:hAnsi="宋体" w:eastAsia="宋体" w:cs="宋体"/>
          <w:b/>
          <w:bCs/>
          <w:color w:val="auto"/>
          <w:sz w:val="24"/>
          <w:szCs w:val="20"/>
          <w:highlight w:val="none"/>
          <w:lang w:val="en-US" w:eastAsia="zh-CN"/>
        </w:rPr>
        <w:t>1</w:t>
      </w:r>
      <w:r>
        <w:rPr>
          <w:rFonts w:hint="eastAsia" w:ascii="宋体" w:hAnsi="宋体" w:eastAsia="宋体" w:cs="宋体"/>
          <w:b/>
          <w:bCs/>
          <w:color w:val="auto"/>
          <w:sz w:val="24"/>
          <w:szCs w:val="20"/>
          <w:highlight w:val="none"/>
          <w:lang w:val="zh-CN"/>
        </w:rPr>
        <w:t>人次，加班费每人不得低于4357.25元/年</w:t>
      </w:r>
      <w:r>
        <w:rPr>
          <w:rFonts w:hint="eastAsia" w:ascii="宋体" w:hAnsi="宋体" w:eastAsia="宋体" w:cs="宋体"/>
          <w:b/>
          <w:bCs/>
          <w:color w:val="auto"/>
          <w:sz w:val="24"/>
          <w:szCs w:val="20"/>
          <w:highlight w:val="none"/>
          <w:lang w:val="zh-CN" w:eastAsia="zh-CN"/>
        </w:rPr>
        <w:t>。税费由物业中标单位承担</w:t>
      </w:r>
      <w:r>
        <w:rPr>
          <w:rFonts w:hint="eastAsia" w:ascii="宋体" w:hAnsi="宋体" w:eastAsia="宋体" w:cs="宋体"/>
          <w:b/>
          <w:bCs/>
          <w:color w:val="auto"/>
          <w:sz w:val="24"/>
          <w:szCs w:val="20"/>
          <w:highlight w:val="none"/>
          <w:lang w:val="en-US" w:eastAsia="zh-CN"/>
        </w:rPr>
        <w:t>。</w:t>
      </w:r>
      <w:r>
        <w:rPr>
          <w:rFonts w:hint="eastAsia" w:ascii="宋体" w:hAnsi="宋体" w:eastAsia="宋体" w:cs="宋体"/>
          <w:b/>
          <w:bCs/>
          <w:color w:val="auto"/>
          <w:sz w:val="24"/>
          <w:szCs w:val="20"/>
          <w:highlight w:val="none"/>
          <w:lang w:val="zh-CN"/>
        </w:rPr>
        <w:t>②</w:t>
      </w:r>
      <w:r>
        <w:rPr>
          <w:rFonts w:hint="eastAsia" w:ascii="宋体" w:hAnsi="宋体" w:eastAsia="宋体" w:cs="宋体"/>
          <w:b/>
          <w:bCs/>
          <w:color w:val="auto"/>
          <w:sz w:val="24"/>
          <w:szCs w:val="20"/>
          <w:highlight w:val="none"/>
          <w:lang w:val="zh-CN" w:eastAsia="zh-CN"/>
        </w:rPr>
        <w:t>夜间值班巡逻人员由学校安保服务单位派遣，实行兼任，不交社会保险、公积金，无加班费，</w:t>
      </w:r>
      <w:r>
        <w:rPr>
          <w:rFonts w:hint="eastAsia" w:ascii="宋体" w:hAnsi="宋体" w:eastAsia="宋体" w:cs="宋体"/>
          <w:b/>
          <w:bCs/>
          <w:color w:val="auto"/>
          <w:sz w:val="24"/>
          <w:szCs w:val="20"/>
          <w:highlight w:val="none"/>
          <w:lang w:val="en-US" w:eastAsia="zh-CN"/>
        </w:rPr>
        <w:t>无</w:t>
      </w:r>
      <w:r>
        <w:rPr>
          <w:rFonts w:hint="eastAsia" w:ascii="宋体" w:hAnsi="宋体" w:eastAsia="宋体" w:cs="宋体"/>
          <w:b/>
          <w:bCs/>
          <w:color w:val="auto"/>
          <w:sz w:val="24"/>
          <w:szCs w:val="20"/>
          <w:highlight w:val="none"/>
          <w:lang w:val="zh-CN" w:eastAsia="zh-CN"/>
        </w:rPr>
        <w:t>补贴</w:t>
      </w:r>
      <w:r>
        <w:rPr>
          <w:rFonts w:hint="eastAsia" w:ascii="宋体" w:hAnsi="宋体" w:eastAsia="宋体" w:cs="宋体"/>
          <w:b/>
          <w:bCs/>
          <w:color w:val="auto"/>
          <w:sz w:val="24"/>
          <w:szCs w:val="20"/>
          <w:highlight w:val="none"/>
          <w:lang w:val="en-US" w:eastAsia="zh-CN"/>
        </w:rPr>
        <w:t>及福利服装费</w:t>
      </w:r>
      <w:r>
        <w:rPr>
          <w:rFonts w:hint="eastAsia" w:ascii="宋体" w:hAnsi="宋体" w:eastAsia="宋体" w:cs="宋体"/>
          <w:b/>
          <w:bCs/>
          <w:color w:val="auto"/>
          <w:sz w:val="24"/>
          <w:szCs w:val="20"/>
          <w:highlight w:val="none"/>
          <w:lang w:val="zh-CN" w:eastAsia="zh-CN"/>
        </w:rPr>
        <w:t>。</w:t>
      </w:r>
    </w:p>
    <w:p w14:paraId="59701A82">
      <w:pPr>
        <w:tabs>
          <w:tab w:val="left" w:pos="3544"/>
        </w:tabs>
        <w:spacing w:line="560" w:lineRule="exact"/>
        <w:ind w:firstLine="480"/>
        <w:jc w:val="left"/>
        <w:rPr>
          <w:rFonts w:hint="eastAsia" w:ascii="宋体" w:hAnsi="宋体" w:eastAsia="宋体" w:cs="宋体"/>
          <w:b/>
          <w:bCs/>
          <w:color w:val="auto"/>
          <w:sz w:val="24"/>
          <w:szCs w:val="20"/>
          <w:highlight w:val="none"/>
          <w:lang w:val="zh-CN" w:eastAsia="zh-CN"/>
        </w:rPr>
      </w:pPr>
      <w:r>
        <w:rPr>
          <w:rFonts w:hint="eastAsia" w:ascii="宋体" w:hAnsi="宋体" w:eastAsia="宋体" w:cs="宋体"/>
          <w:b/>
          <w:bCs/>
          <w:color w:val="auto"/>
          <w:sz w:val="24"/>
          <w:szCs w:val="20"/>
          <w:highlight w:val="none"/>
          <w:lang w:val="zh-CN" w:eastAsia="zh-CN"/>
        </w:rPr>
        <w:t>③物业人员每月提交缴纳社会保险、公积金凭证。</w:t>
      </w:r>
      <w:r>
        <w:rPr>
          <w:rFonts w:hint="eastAsia" w:ascii="宋体" w:hAnsi="宋体" w:eastAsia="宋体" w:cs="宋体"/>
          <w:b/>
          <w:bCs/>
          <w:color w:val="auto"/>
          <w:sz w:val="24"/>
          <w:szCs w:val="20"/>
          <w:highlight w:val="none"/>
          <w:lang w:val="zh-CN"/>
        </w:rPr>
        <w:t>税金费率不得低于6.72%，按照实际税款结算。</w:t>
      </w:r>
      <w:r>
        <w:rPr>
          <w:rFonts w:hint="eastAsia" w:ascii="宋体" w:hAnsi="宋体" w:eastAsia="宋体" w:cs="宋体"/>
          <w:b/>
          <w:bCs/>
          <w:color w:val="auto"/>
          <w:sz w:val="24"/>
          <w:szCs w:val="20"/>
          <w:highlight w:val="none"/>
          <w:lang w:val="zh-CN" w:eastAsia="zh-CN"/>
        </w:rPr>
        <w:t>补贴费用一并计税。</w:t>
      </w:r>
    </w:p>
    <w:p w14:paraId="4D30E94F">
      <w:pPr>
        <w:spacing w:line="560" w:lineRule="exact"/>
        <w:ind w:firstLine="480"/>
        <w:rPr>
          <w:rFonts w:hint="eastAsia" w:ascii="宋体" w:hAnsi="宋体" w:cs="宋体"/>
          <w:b/>
          <w:bCs/>
          <w:color w:val="auto"/>
          <w:sz w:val="24"/>
          <w:highlight w:val="none"/>
          <w:lang w:val="zh-CN"/>
        </w:rPr>
      </w:pPr>
      <w:r>
        <w:rPr>
          <w:rFonts w:hint="eastAsia" w:ascii="宋体" w:hAnsi="宋体" w:cs="宋体"/>
          <w:b/>
          <w:bCs/>
          <w:color w:val="auto"/>
          <w:sz w:val="24"/>
          <w:highlight w:val="none"/>
          <w:lang w:val="zh-CN"/>
        </w:rPr>
        <w:fldChar w:fldCharType="begin"/>
      </w:r>
      <w:r>
        <w:rPr>
          <w:rFonts w:hint="eastAsia" w:ascii="宋体" w:hAnsi="宋体" w:cs="宋体"/>
          <w:b/>
          <w:bCs/>
          <w:color w:val="auto"/>
          <w:sz w:val="24"/>
          <w:highlight w:val="none"/>
          <w:lang w:val="zh-CN"/>
        </w:rPr>
        <w:instrText xml:space="preserve"> = 4 \* GB3 \* MERGEFORMAT </w:instrText>
      </w:r>
      <w:r>
        <w:rPr>
          <w:rFonts w:hint="eastAsia" w:ascii="宋体" w:hAnsi="宋体" w:cs="宋体"/>
          <w:b/>
          <w:bCs/>
          <w:color w:val="auto"/>
          <w:sz w:val="24"/>
          <w:highlight w:val="none"/>
          <w:lang w:val="zh-CN"/>
        </w:rPr>
        <w:fldChar w:fldCharType="separate"/>
      </w:r>
      <w:r>
        <w:rPr>
          <w:color w:val="auto"/>
          <w:highlight w:val="none"/>
        </w:rPr>
        <w:t>④</w:t>
      </w:r>
      <w:r>
        <w:rPr>
          <w:rFonts w:hint="eastAsia" w:ascii="宋体" w:hAnsi="宋体" w:cs="宋体"/>
          <w:b/>
          <w:bCs/>
          <w:color w:val="auto"/>
          <w:sz w:val="24"/>
          <w:highlight w:val="none"/>
          <w:lang w:val="zh-CN"/>
        </w:rPr>
        <w:fldChar w:fldCharType="end"/>
      </w:r>
      <w:r>
        <w:rPr>
          <w:rFonts w:hint="eastAsia" w:ascii="宋体" w:hAnsi="宋体" w:cs="宋体"/>
          <w:b/>
          <w:bCs/>
          <w:color w:val="auto"/>
          <w:sz w:val="24"/>
          <w:highlight w:val="none"/>
          <w:lang w:val="zh-CN"/>
        </w:rPr>
        <w:t>投标人所提供人员的费用</w:t>
      </w:r>
      <w:r>
        <w:rPr>
          <w:rFonts w:hint="eastAsia" w:ascii="宋体" w:hAnsi="宋体" w:cs="宋体"/>
          <w:b/>
          <w:bCs/>
          <w:color w:val="auto"/>
          <w:sz w:val="24"/>
          <w:highlight w:val="none"/>
        </w:rPr>
        <w:t>按</w:t>
      </w:r>
      <w:r>
        <w:rPr>
          <w:rFonts w:hint="eastAsia" w:ascii="宋体" w:hAnsi="宋体" w:cs="宋体"/>
          <w:b/>
          <w:bCs/>
          <w:color w:val="auto"/>
          <w:sz w:val="24"/>
          <w:highlight w:val="none"/>
          <w:lang w:val="zh-CN"/>
        </w:rPr>
        <w:t>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448AC87A">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12.5投标人根据招标内容的要求准确报价，一经报出，不得更改。</w:t>
      </w:r>
    </w:p>
    <w:p w14:paraId="3F82266A">
      <w:pPr>
        <w:keepNext w:val="0"/>
        <w:keepLines w:val="0"/>
        <w:pageBreakBefore w:val="0"/>
        <w:spacing w:line="500" w:lineRule="exact"/>
        <w:ind w:firstLine="480"/>
        <w:jc w:val="left"/>
        <w:rPr>
          <w:rFonts w:ascii="宋体" w:hAnsi="宋体" w:cs="宋体"/>
          <w:color w:val="auto"/>
          <w:sz w:val="24"/>
          <w:lang w:val="zh-CN"/>
        </w:rPr>
      </w:pPr>
      <w:r>
        <w:rPr>
          <w:rFonts w:hint="eastAsia" w:ascii="宋体" w:hAnsi="宋体" w:cs="宋体"/>
          <w:color w:val="auto"/>
          <w:sz w:val="24"/>
        </w:rPr>
        <w:t>12.6</w:t>
      </w:r>
      <w:r>
        <w:rPr>
          <w:rFonts w:hint="eastAsia" w:ascii="宋体" w:hAnsi="宋体" w:cs="宋体"/>
          <w:color w:val="auto"/>
          <w:sz w:val="24"/>
          <w:lang w:val="zh-CN"/>
        </w:rPr>
        <w:t>投标报价的单位为人民币(元)年。如果</w:t>
      </w:r>
      <w:r>
        <w:rPr>
          <w:rFonts w:hint="eastAsia" w:ascii="宋体" w:hAnsi="宋体" w:cs="宋体"/>
          <w:color w:val="auto"/>
          <w:sz w:val="24"/>
        </w:rPr>
        <w:t>中标人</w:t>
      </w:r>
      <w:r>
        <w:rPr>
          <w:rFonts w:hint="eastAsia" w:ascii="宋体" w:hAnsi="宋体" w:cs="宋体"/>
          <w:color w:val="auto"/>
          <w:sz w:val="24"/>
          <w:lang w:val="zh-CN"/>
        </w:rPr>
        <w:t>未能按合同、招标投标文件履约的，采购人</w:t>
      </w:r>
      <w:r>
        <w:rPr>
          <w:rFonts w:hint="eastAsia" w:ascii="宋体" w:hAnsi="宋体" w:cs="宋体"/>
          <w:color w:val="auto"/>
          <w:sz w:val="24"/>
        </w:rPr>
        <w:t>有权</w:t>
      </w:r>
      <w:r>
        <w:rPr>
          <w:rFonts w:hint="eastAsia" w:ascii="宋体" w:hAnsi="宋体" w:cs="宋体"/>
          <w:color w:val="auto"/>
          <w:sz w:val="24"/>
          <w:lang w:val="zh-CN"/>
        </w:rPr>
        <w:t>终止合同，履约保证金不予退还，并不支付服务期间的物业服务费用。采购人终止合同的，</w:t>
      </w:r>
      <w:r>
        <w:rPr>
          <w:rFonts w:hint="eastAsia" w:ascii="宋体" w:hAnsi="宋体" w:cs="宋体"/>
          <w:color w:val="auto"/>
          <w:sz w:val="24"/>
        </w:rPr>
        <w:t>中标人</w:t>
      </w:r>
      <w:r>
        <w:rPr>
          <w:rFonts w:hint="eastAsia" w:ascii="宋体" w:hAnsi="宋体" w:cs="宋体"/>
          <w:color w:val="auto"/>
          <w:sz w:val="24"/>
          <w:lang w:val="zh-CN"/>
        </w:rPr>
        <w:t>应承担相应的完全责任，包括赔偿因此而给采购人及第三人带来的相应损失。合同期满并完成与后续物业服务企业的衔接后，方可退出，</w:t>
      </w:r>
      <w:r>
        <w:rPr>
          <w:rFonts w:hint="eastAsia" w:ascii="宋体" w:hAnsi="宋体" w:cs="宋体"/>
          <w:color w:val="auto"/>
          <w:sz w:val="24"/>
        </w:rPr>
        <w:t>中标人</w:t>
      </w:r>
      <w:r>
        <w:rPr>
          <w:rFonts w:hint="eastAsia" w:ascii="宋体" w:hAnsi="宋体" w:cs="宋体"/>
          <w:color w:val="auto"/>
          <w:sz w:val="24"/>
          <w:lang w:val="zh-CN"/>
        </w:rPr>
        <w:t>退出本物业管理时必须向采购人移交全套档案等资料，经采购人验收合格</w:t>
      </w:r>
      <w:r>
        <w:rPr>
          <w:rFonts w:hint="eastAsia" w:ascii="宋体" w:hAnsi="宋体" w:cs="宋体"/>
          <w:color w:val="auto"/>
          <w:sz w:val="24"/>
        </w:rPr>
        <w:t>后，采购人</w:t>
      </w:r>
      <w:r>
        <w:rPr>
          <w:rFonts w:hint="eastAsia" w:ascii="宋体" w:hAnsi="宋体" w:cs="宋体"/>
          <w:color w:val="auto"/>
          <w:sz w:val="24"/>
          <w:lang w:val="zh-CN"/>
        </w:rPr>
        <w:t>退还履约保证金。</w:t>
      </w:r>
    </w:p>
    <w:p w14:paraId="0B2B61D5">
      <w:pPr>
        <w:keepNext w:val="0"/>
        <w:keepLines w:val="0"/>
        <w:pageBreakBefore w:val="0"/>
        <w:spacing w:line="500" w:lineRule="exact"/>
        <w:ind w:firstLine="480"/>
        <w:jc w:val="left"/>
        <w:rPr>
          <w:rFonts w:ascii="宋体" w:hAnsi="宋体" w:cs="宋体"/>
          <w:color w:val="auto"/>
          <w:sz w:val="24"/>
          <w:lang w:val="zh-CN"/>
        </w:rPr>
      </w:pPr>
      <w:r>
        <w:rPr>
          <w:rFonts w:hint="eastAsia" w:ascii="宋体" w:hAnsi="宋体" w:cs="宋体"/>
          <w:color w:val="auto"/>
          <w:sz w:val="24"/>
          <w:lang w:val="zh-CN"/>
        </w:rPr>
        <w:t>12.7对于超出招标文件的其他临时性服务项目，由甲乙双方协商解决。</w:t>
      </w:r>
    </w:p>
    <w:p w14:paraId="7AC24D0B">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13、技术要求响应及偏离表、商务要求响应及偏离表</w:t>
      </w:r>
    </w:p>
    <w:p w14:paraId="65C07551">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13.1投标人需对招标文件中的技术要求与商务要求逐项作出响应或偏离，并说明原因。</w:t>
      </w:r>
    </w:p>
    <w:p w14:paraId="2D3A51E3">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13.2投标人可在投标文件中提供认为需要的其他技术文件或说明。</w:t>
      </w:r>
    </w:p>
    <w:p w14:paraId="10114BB0">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14、投标函和开标一览表</w:t>
      </w:r>
    </w:p>
    <w:p w14:paraId="7D494918">
      <w:pPr>
        <w:keepNext w:val="0"/>
        <w:keepLines w:val="0"/>
        <w:pageBreakBefore w:val="0"/>
        <w:spacing w:line="500" w:lineRule="exact"/>
        <w:ind w:firstLine="420"/>
        <w:rPr>
          <w:rFonts w:hint="eastAsia" w:ascii="宋体" w:hAnsi="宋体" w:eastAsia="宋体" w:cs="宋体"/>
          <w:color w:val="auto"/>
          <w:sz w:val="24"/>
          <w:szCs w:val="20"/>
          <w:lang w:eastAsia="zh-CN"/>
        </w:rPr>
      </w:pPr>
      <w:r>
        <w:rPr>
          <w:rFonts w:hint="eastAsia" w:ascii="宋体" w:hAnsi="宋体" w:cs="宋体"/>
          <w:color w:val="auto"/>
          <w:sz w:val="24"/>
        </w:rPr>
        <w:t>14.1投标人应按照招标文件中提供的格式完整、正确填写投标函、开标一览表。</w:t>
      </w:r>
      <w:r>
        <w:rPr>
          <w:rFonts w:hint="eastAsia" w:ascii="宋体" w:hAnsi="宋体" w:eastAsia="宋体" w:cs="宋体"/>
          <w:color w:val="auto"/>
          <w:sz w:val="24"/>
          <w:szCs w:val="20"/>
          <w:lang w:eastAsia="zh-CN"/>
        </w:rPr>
        <w:t>（</w:t>
      </w:r>
      <w:r>
        <w:rPr>
          <w:rFonts w:hint="eastAsia" w:ascii="宋体" w:hAnsi="宋体" w:cs="宋体"/>
          <w:b/>
          <w:bCs/>
          <w:i w:val="0"/>
          <w:iCs w:val="0"/>
          <w:color w:val="auto"/>
          <w:sz w:val="21"/>
          <w:szCs w:val="21"/>
          <w:lang w:val="en-US" w:eastAsia="zh-CN"/>
        </w:rPr>
        <w:t>注：九、投标函格式中“</w:t>
      </w:r>
      <w:r>
        <w:rPr>
          <w:rFonts w:hint="eastAsia" w:ascii="宋体" w:hAnsi="宋体" w:cs="宋体"/>
          <w:b/>
          <w:bCs/>
          <w:i w:val="0"/>
          <w:iCs w:val="0"/>
          <w:color w:val="auto"/>
          <w:sz w:val="21"/>
          <w:szCs w:val="21"/>
        </w:rPr>
        <w:t>正式授权下述签字人____(姓名)代表我方</w:t>
      </w:r>
      <w:r>
        <w:rPr>
          <w:rFonts w:hint="eastAsia" w:ascii="宋体" w:hAnsi="宋体" w:cs="宋体"/>
          <w:b/>
          <w:bCs/>
          <w:i w:val="0"/>
          <w:iCs w:val="0"/>
          <w:color w:val="auto"/>
          <w:sz w:val="21"/>
          <w:szCs w:val="21"/>
          <w:lang w:val="en-US" w:eastAsia="zh-CN"/>
        </w:rPr>
        <w:t>”及“</w:t>
      </w:r>
      <w:r>
        <w:rPr>
          <w:rFonts w:hint="eastAsia" w:ascii="宋体" w:hAnsi="宋体" w:cs="宋体"/>
          <w:b/>
          <w:bCs/>
          <w:i w:val="0"/>
          <w:iCs w:val="0"/>
          <w:color w:val="auto"/>
          <w:sz w:val="21"/>
          <w:szCs w:val="21"/>
        </w:rPr>
        <w:t>据此函，_____签字人兹宣布同意如下</w:t>
      </w:r>
      <w:r>
        <w:rPr>
          <w:rFonts w:ascii="宋体" w:hAnsi="宋体" w:cs="宋体"/>
          <w:b/>
          <w:bCs/>
          <w:i w:val="0"/>
          <w:iCs w:val="0"/>
          <w:color w:val="auto"/>
          <w:sz w:val="21"/>
          <w:szCs w:val="21"/>
          <w:lang w:val="en-US" w:eastAsia="zh-CN"/>
        </w:rPr>
        <w:t>”</w:t>
      </w:r>
      <w:r>
        <w:rPr>
          <w:rFonts w:hint="eastAsia" w:ascii="宋体" w:hAnsi="宋体" w:cs="宋体"/>
          <w:b/>
          <w:bCs/>
          <w:i w:val="0"/>
          <w:iCs w:val="0"/>
          <w:color w:val="auto"/>
          <w:sz w:val="21"/>
          <w:szCs w:val="21"/>
          <w:lang w:val="en-US" w:eastAsia="zh-CN"/>
        </w:rPr>
        <w:t>此处填空手写签字、机打签名均可。</w:t>
      </w:r>
      <w:r>
        <w:rPr>
          <w:rFonts w:hint="eastAsia" w:ascii="宋体" w:hAnsi="宋体" w:eastAsia="宋体" w:cs="宋体"/>
          <w:color w:val="auto"/>
          <w:sz w:val="24"/>
          <w:szCs w:val="20"/>
          <w:lang w:eastAsia="zh-CN"/>
        </w:rPr>
        <w:t>）</w:t>
      </w:r>
    </w:p>
    <w:p w14:paraId="5A206DF9">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14.2对于采用货币报价的项目，开标一览表中的投标总报价应与投标分项报价表中的投标总报价一致，如不一致，不作为无效投标处理，但评标时按开标一览表中价格为准。</w:t>
      </w:r>
    </w:p>
    <w:p w14:paraId="203816F3">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15、投标有效期</w:t>
      </w:r>
    </w:p>
    <w:p w14:paraId="56B1D2E1">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15.1投标有效期为</w:t>
      </w:r>
      <w:r>
        <w:rPr>
          <w:rFonts w:hint="eastAsia" w:ascii="宋体" w:hAnsi="宋体" w:cs="宋体"/>
          <w:color w:val="auto"/>
          <w:sz w:val="24"/>
          <w:lang w:eastAsia="zh-CN"/>
        </w:rPr>
        <w:t>交易中心</w:t>
      </w:r>
      <w:r>
        <w:rPr>
          <w:rFonts w:hint="eastAsia" w:ascii="宋体" w:hAnsi="宋体" w:cs="宋体"/>
          <w:color w:val="auto"/>
          <w:sz w:val="24"/>
        </w:rPr>
        <w:t>规定的开标之日后</w:t>
      </w:r>
      <w:r>
        <w:rPr>
          <w:rFonts w:hint="eastAsia" w:ascii="宋体" w:hAnsi="宋体" w:cs="宋体"/>
          <w:b/>
          <w:bCs/>
          <w:color w:val="auto"/>
          <w:sz w:val="24"/>
          <w:u w:val="single"/>
        </w:rPr>
        <w:t>九十（90）天</w:t>
      </w:r>
      <w:r>
        <w:rPr>
          <w:rFonts w:hint="eastAsia" w:ascii="宋体" w:hAnsi="宋体" w:cs="宋体"/>
          <w:color w:val="auto"/>
          <w:sz w:val="24"/>
        </w:rPr>
        <w:t>。投标有效期比规定短的将被视为未实质性响应招标文件而予以拒绝。</w:t>
      </w:r>
    </w:p>
    <w:p w14:paraId="21B2AED7">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16、投标有效期的延长</w:t>
      </w:r>
    </w:p>
    <w:p w14:paraId="2AA226AF">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16.1在特殊情况下，</w:t>
      </w:r>
      <w:r>
        <w:rPr>
          <w:rFonts w:hint="eastAsia" w:ascii="宋体" w:hAnsi="宋体" w:cs="宋体"/>
          <w:color w:val="auto"/>
          <w:sz w:val="24"/>
          <w:lang w:eastAsia="zh-CN"/>
        </w:rPr>
        <w:t>交易中心</w:t>
      </w:r>
      <w:r>
        <w:rPr>
          <w:rFonts w:hint="eastAsia" w:ascii="宋体" w:hAnsi="宋体" w:cs="宋体"/>
          <w:color w:val="auto"/>
          <w:sz w:val="24"/>
        </w:rPr>
        <w:t>于原投标有效期满之前，可向投标人提出延长投标有效期的要求。这种要求与答复均应采用书面形式。投标人可以拒绝</w:t>
      </w:r>
      <w:r>
        <w:rPr>
          <w:rFonts w:hint="eastAsia" w:ascii="宋体" w:hAnsi="宋体" w:cs="宋体"/>
          <w:color w:val="auto"/>
          <w:sz w:val="24"/>
          <w:lang w:eastAsia="zh-CN"/>
        </w:rPr>
        <w:t>交易中心</w:t>
      </w:r>
      <w:r>
        <w:rPr>
          <w:rFonts w:hint="eastAsia" w:ascii="宋体" w:hAnsi="宋体" w:cs="宋体"/>
          <w:color w:val="auto"/>
          <w:sz w:val="24"/>
        </w:rPr>
        <w:t>的这一要求而放弃投标。同意延长投标有效期的投标人既不能要求也不允许修改其投标文件，同时受投标有效期约束的所有权利与义务均延长至新的有效期。</w:t>
      </w:r>
    </w:p>
    <w:p w14:paraId="150963FE">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四、投标文件的递交</w:t>
      </w:r>
    </w:p>
    <w:p w14:paraId="415A4BED">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17、投标文件的递交</w:t>
      </w:r>
    </w:p>
    <w:p w14:paraId="0ADF4541">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17.1电子投标文件的递交</w:t>
      </w:r>
    </w:p>
    <w:p w14:paraId="468BACFC">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投标人应当按照《操作手册》规定，在投标截止时间前制作并上传电子投标文件。</w:t>
      </w:r>
    </w:p>
    <w:p w14:paraId="6C1D0BC6">
      <w:pPr>
        <w:keepNext w:val="0"/>
        <w:keepLines w:val="0"/>
        <w:pageBreakBefore w:val="0"/>
        <w:spacing w:line="500" w:lineRule="exact"/>
        <w:ind w:firstLine="480"/>
        <w:jc w:val="left"/>
        <w:rPr>
          <w:rFonts w:hint="eastAsia"/>
          <w:b/>
          <w:bCs/>
          <w:i/>
          <w:iCs/>
          <w:color w:val="auto"/>
          <w:sz w:val="24"/>
          <w:szCs w:val="24"/>
          <w:u w:val="single"/>
        </w:rPr>
      </w:pPr>
      <w:r>
        <w:rPr>
          <w:rFonts w:hint="eastAsia"/>
          <w:b/>
          <w:bCs/>
          <w:i/>
          <w:iCs/>
          <w:color w:val="auto"/>
          <w:sz w:val="24"/>
          <w:szCs w:val="24"/>
          <w:u w:val="single"/>
        </w:rPr>
        <w:t>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p>
    <w:p w14:paraId="31D94DD1">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18、投标截止时间</w:t>
      </w:r>
    </w:p>
    <w:p w14:paraId="72168225">
      <w:pPr>
        <w:keepNext w:val="0"/>
        <w:keepLines w:val="0"/>
        <w:pageBreakBefore w:val="0"/>
        <w:spacing w:line="500" w:lineRule="exact"/>
        <w:ind w:firstLine="480"/>
        <w:jc w:val="left"/>
        <w:rPr>
          <w:rFonts w:ascii="宋体" w:hAnsi="宋体" w:cs="宋体"/>
          <w:i/>
          <w:iCs/>
          <w:color w:val="auto"/>
          <w:sz w:val="24"/>
        </w:rPr>
      </w:pPr>
      <w:r>
        <w:rPr>
          <w:rFonts w:hint="eastAsia" w:ascii="宋体" w:hAnsi="宋体" w:cs="宋体"/>
          <w:i/>
          <w:iCs/>
          <w:color w:val="auto"/>
          <w:sz w:val="24"/>
          <w:u w:val="single"/>
        </w:rPr>
        <w:t>18.1投标人上传电子投标文件的时间不得迟于招标公告中规定的投标截止时间</w:t>
      </w:r>
      <w:r>
        <w:rPr>
          <w:rFonts w:hint="eastAsia" w:ascii="宋体" w:hAnsi="宋体" w:cs="宋体"/>
          <w:i/>
          <w:iCs/>
          <w:color w:val="auto"/>
          <w:sz w:val="24"/>
        </w:rPr>
        <w:t>。</w:t>
      </w:r>
    </w:p>
    <w:p w14:paraId="684B57DA">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投标人应充分考虑到网络环境、网络带宽等风险因素，如因投标人自身原因造成的电子投标文件上传不成功的按照本招标文件第二章第26.1.2条规定做无效投标处理。</w:t>
      </w:r>
    </w:p>
    <w:p w14:paraId="54F572B0">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18.2</w:t>
      </w:r>
      <w:r>
        <w:rPr>
          <w:rFonts w:hint="eastAsia" w:ascii="宋体" w:hAnsi="宋体" w:cs="宋体"/>
          <w:color w:val="auto"/>
          <w:sz w:val="24"/>
          <w:lang w:eastAsia="zh-CN"/>
        </w:rPr>
        <w:t>交易中心</w:t>
      </w:r>
      <w:r>
        <w:rPr>
          <w:rFonts w:hint="eastAsia" w:ascii="宋体" w:hAnsi="宋体" w:cs="宋体"/>
          <w:color w:val="auto"/>
          <w:sz w:val="24"/>
        </w:rPr>
        <w:t>可以按照规定，通过修改招标文件酌情延长投标截止时间，在此情况下，投标人的所有权利和义务以及投标人受制的截止时间均应以延长后新的截止时间为准。</w:t>
      </w:r>
    </w:p>
    <w:p w14:paraId="3BCF2357">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19、投标文件的拒收</w:t>
      </w:r>
    </w:p>
    <w:p w14:paraId="7F280886">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19.1</w:t>
      </w:r>
      <w:r>
        <w:rPr>
          <w:rFonts w:hint="eastAsia" w:ascii="宋体" w:hAnsi="宋体" w:cs="宋体"/>
          <w:color w:val="auto"/>
          <w:sz w:val="24"/>
          <w:lang w:eastAsia="zh-CN"/>
        </w:rPr>
        <w:t>交易中心</w:t>
      </w:r>
      <w:r>
        <w:rPr>
          <w:rFonts w:hint="eastAsia" w:ascii="宋体" w:hAnsi="宋体" w:cs="宋体"/>
          <w:color w:val="auto"/>
          <w:sz w:val="24"/>
        </w:rPr>
        <w:t>拒绝接收在其规定的投标截止时间后上传的任何投标文件。</w:t>
      </w:r>
    </w:p>
    <w:p w14:paraId="7FDAD8CD">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20、投标文件的撤回和修改</w:t>
      </w:r>
    </w:p>
    <w:p w14:paraId="050E4449">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20.1投标文件的撤回</w:t>
      </w:r>
    </w:p>
    <w:p w14:paraId="1E33FD65">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20.1.1电子投标文件的撤回</w:t>
      </w:r>
    </w:p>
    <w:p w14:paraId="17E277BB">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投标人可在投标截止时间前，撤回其电子投标文件，具体操作方法见《操作手册》。</w:t>
      </w:r>
    </w:p>
    <w:p w14:paraId="51E08DC0">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20.1.2投标人撤回电子投标文件，则认为其不再参与本项目投标活动。</w:t>
      </w:r>
    </w:p>
    <w:p w14:paraId="41E0D922">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20.2投标文件的修改</w:t>
      </w:r>
    </w:p>
    <w:p w14:paraId="6A40C995">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20.2.1投标人可在投标截止时间前，对其电子投标文件进行修改，具体操作方法见《操作手册》。</w:t>
      </w:r>
    </w:p>
    <w:p w14:paraId="208F501F">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20.2.2在投标截止时间之后，投标人不得对其电子投标文件作任何修改。</w:t>
      </w:r>
    </w:p>
    <w:p w14:paraId="0D7DB1C0">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20.3在投标截止时间至招标文件中规定的投标有效期满之间的这段时间内，投标人不得撤回其投标。</w:t>
      </w:r>
    </w:p>
    <w:p w14:paraId="5672951F">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五、开标与评标</w:t>
      </w:r>
    </w:p>
    <w:p w14:paraId="45E3E131">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21、开标</w:t>
      </w:r>
    </w:p>
    <w:p w14:paraId="0FDE6FC5">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21.1</w:t>
      </w:r>
      <w:r>
        <w:rPr>
          <w:rFonts w:hint="eastAsia" w:ascii="宋体" w:hAnsi="宋体" w:cs="宋体"/>
          <w:color w:val="auto"/>
          <w:sz w:val="24"/>
          <w:lang w:eastAsia="zh-CN"/>
        </w:rPr>
        <w:t>交易中心</w:t>
      </w:r>
      <w:r>
        <w:rPr>
          <w:rFonts w:hint="eastAsia" w:ascii="宋体" w:hAnsi="宋体" w:cs="宋体"/>
          <w:color w:val="auto"/>
          <w:sz w:val="24"/>
        </w:rPr>
        <w:t>将在招标公告中规定的时间和地点组织公开开标。投标人应当按照《操作手册》规定，参加开标活动和在苏采云系统规定的时间内对投标文件进行解密。</w:t>
      </w:r>
    </w:p>
    <w:p w14:paraId="17E9D384">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21.2开标仪式由</w:t>
      </w:r>
      <w:r>
        <w:rPr>
          <w:rFonts w:hint="eastAsia" w:ascii="宋体" w:hAnsi="宋体" w:cs="宋体"/>
          <w:color w:val="auto"/>
          <w:sz w:val="24"/>
          <w:lang w:eastAsia="zh-CN"/>
        </w:rPr>
        <w:t>交易中心</w:t>
      </w:r>
      <w:r>
        <w:rPr>
          <w:rFonts w:hint="eastAsia" w:ascii="宋体" w:hAnsi="宋体" w:cs="宋体"/>
          <w:color w:val="auto"/>
          <w:sz w:val="24"/>
        </w:rPr>
        <w:t>组织。苏采云系统将自动对项目进行开标，并宣布各投标人名称和投标价格。</w:t>
      </w:r>
    </w:p>
    <w:p w14:paraId="434BED5A">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21.3投标人在开标过程中涉及到的投标文件解密、开标结果确认等工作，应按照《操作手册》规定执行。</w:t>
      </w:r>
    </w:p>
    <w:p w14:paraId="4570179C">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21.4投标人如果对开标过程和开标记录有疑义，应当根据《操作手册》规定提出，如苏采云系统中《开标记录表》宣布后5分钟内未提出的，视同认可开标结果。</w:t>
      </w:r>
    </w:p>
    <w:p w14:paraId="4BD1CEF9">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22、评标委员会</w:t>
      </w:r>
    </w:p>
    <w:p w14:paraId="01785F68">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22.1开标后，</w:t>
      </w:r>
      <w:r>
        <w:rPr>
          <w:rFonts w:hint="eastAsia" w:ascii="宋体" w:hAnsi="宋体" w:cs="宋体"/>
          <w:color w:val="auto"/>
          <w:sz w:val="24"/>
          <w:lang w:eastAsia="zh-CN"/>
        </w:rPr>
        <w:t>交易中心</w:t>
      </w:r>
      <w:r>
        <w:rPr>
          <w:rFonts w:hint="eastAsia" w:ascii="宋体" w:hAnsi="宋体" w:cs="宋体"/>
          <w:color w:val="auto"/>
          <w:sz w:val="24"/>
        </w:rPr>
        <w:t>将立即组织评标委员会（以下简称评委会）进行评标。</w:t>
      </w:r>
    </w:p>
    <w:p w14:paraId="1FC37FA5">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22.2评委会由采购人代表和有关技术、经济等方面的专家组成，且人员构成符合政府采购有关规定。</w:t>
      </w:r>
    </w:p>
    <w:p w14:paraId="79C6CBA9">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22.3评委会独立工作，负责评审所有投标文件并确定中标候选人。</w:t>
      </w:r>
    </w:p>
    <w:p w14:paraId="652F6719">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23、评标过程的保密与公正</w:t>
      </w:r>
    </w:p>
    <w:p w14:paraId="4E8092D2">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23.1凡是与审查、澄清、评价和比较投标的有关资料以及授标建议等，采购人、评委、</w:t>
      </w:r>
      <w:r>
        <w:rPr>
          <w:rFonts w:hint="eastAsia" w:ascii="宋体" w:hAnsi="宋体" w:cs="宋体"/>
          <w:color w:val="auto"/>
          <w:sz w:val="24"/>
          <w:lang w:eastAsia="zh-CN"/>
        </w:rPr>
        <w:t>交易中心</w:t>
      </w:r>
      <w:r>
        <w:rPr>
          <w:rFonts w:hint="eastAsia" w:ascii="宋体" w:hAnsi="宋体" w:cs="宋体"/>
          <w:color w:val="auto"/>
          <w:sz w:val="24"/>
        </w:rPr>
        <w:t>均不得向投标人或与评标无关的其他人员透露。</w:t>
      </w:r>
    </w:p>
    <w:p w14:paraId="3CFAE04D">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23.2在评标过程中，投标人不得以任何行为影响评标过程，否则其投标文件将被作为无效投标文件。</w:t>
      </w:r>
    </w:p>
    <w:p w14:paraId="70426D3F">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lang w:val="en-US" w:eastAsia="zh-CN"/>
        </w:rPr>
        <w:t>23.3</w:t>
      </w:r>
      <w:r>
        <w:rPr>
          <w:rFonts w:hint="eastAsia" w:ascii="宋体" w:hAnsi="宋体" w:cs="宋体"/>
          <w:color w:val="auto"/>
          <w:sz w:val="24"/>
          <w:lang w:eastAsia="zh-CN"/>
        </w:rPr>
        <w:t>交易中心</w:t>
      </w:r>
      <w:r>
        <w:rPr>
          <w:rFonts w:hint="eastAsia" w:ascii="宋体" w:hAnsi="宋体" w:cs="宋体"/>
          <w:color w:val="auto"/>
          <w:sz w:val="24"/>
        </w:rPr>
        <w:t>和评标委员会不向未中标的投标人解释未中标原因，也不公布评标过程中的相关细节。</w:t>
      </w:r>
    </w:p>
    <w:p w14:paraId="43C74DE7">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23.4采用综合评分法的项目，未中标的投标人可于中标结果公告期限届满之日起通过苏采云系统查看自己的评审得分及排序情况。</w:t>
      </w:r>
    </w:p>
    <w:p w14:paraId="298B15A0">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24、投标文件的澄清</w:t>
      </w:r>
    </w:p>
    <w:p w14:paraId="2A210113">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24.1评标期间，评委会对投标文件中含义不明确、同类问题表述不一致或者有明显文字和计算错误的内容，有权要求投标人作出必要的澄清、说明或者补正。</w:t>
      </w:r>
    </w:p>
    <w:p w14:paraId="4EDB9267">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投标人的澄清、说明或者补正不得超出投标文件的范围或者改变投标文件的实质性内容。评标委员会并非对每个投标人都做澄清要求。</w:t>
      </w:r>
    </w:p>
    <w:p w14:paraId="3E7F699B">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D6E5FCD">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24.3接到评委会澄清、说明和补正要求的投标人如未按规定做出澄清、说明和补正，其风险由投标人自行承担。</w:t>
      </w:r>
    </w:p>
    <w:p w14:paraId="532B7EED">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25、对投标文件的初审</w:t>
      </w:r>
    </w:p>
    <w:p w14:paraId="6A77522F">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25.1投标文件初审分为资格审查和符合性审查。</w:t>
      </w:r>
    </w:p>
    <w:p w14:paraId="7E5B6C31">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25.1.1资格审查：依据法律法规和招标文件的规定，由采购人对投标文件中的资格证明文件进行审查。资格审查的结论，采购人以书面形式向评委会进行反馈。</w:t>
      </w:r>
    </w:p>
    <w:p w14:paraId="1D6F9C58">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采购人在进行资格性审查的同时，将在“信用中国”网站（www.creditchina.gov.cn）查询投标人的信用记录，以确定投标人是否具备投标资格，查询结果留存并归档。</w:t>
      </w:r>
    </w:p>
    <w:p w14:paraId="0D77F2BC">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接受联合体的项目，两个以上的自然人、法人或者其他组织组成一个联合体，以一个供应商的身份共同参加政府采购活动的，联合体成员存在不良信用记录的，视同联合体存在不良应用记录。</w:t>
      </w:r>
    </w:p>
    <w:p w14:paraId="21D034EF">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25.1.2符合性审查：依据招标文件的规定，由评委会从投标文件的有效性、完整性和对招标文件的响应程度进行审查，以确定是否对招标文件的实质性要求作出响应。</w:t>
      </w:r>
    </w:p>
    <w:p w14:paraId="5C36225A">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25.1.3未通过资格审查或符合性审查的投标人，</w:t>
      </w:r>
      <w:r>
        <w:rPr>
          <w:rFonts w:hint="eastAsia" w:ascii="宋体" w:hAnsi="宋体" w:cs="宋体"/>
          <w:color w:val="auto"/>
          <w:sz w:val="24"/>
          <w:lang w:eastAsia="zh-CN"/>
        </w:rPr>
        <w:t>交易中心</w:t>
      </w:r>
      <w:r>
        <w:rPr>
          <w:rFonts w:hint="eastAsia" w:ascii="宋体" w:hAnsi="宋体" w:cs="宋体"/>
          <w:color w:val="auto"/>
          <w:sz w:val="24"/>
        </w:rPr>
        <w:t>将在苏采云系统中告知未通过资格审查或符合性审查的原因，评标结束后，</w:t>
      </w:r>
      <w:r>
        <w:rPr>
          <w:rFonts w:hint="eastAsia" w:ascii="宋体" w:hAnsi="宋体" w:cs="宋体"/>
          <w:color w:val="auto"/>
          <w:sz w:val="24"/>
          <w:lang w:eastAsia="zh-CN"/>
        </w:rPr>
        <w:t>交易中心</w:t>
      </w:r>
      <w:r>
        <w:rPr>
          <w:rFonts w:hint="eastAsia" w:ascii="宋体" w:hAnsi="宋体" w:cs="宋体"/>
          <w:color w:val="auto"/>
          <w:sz w:val="24"/>
        </w:rPr>
        <w:t>将不再告知未通过资格审查和符合性审查的原因。</w:t>
      </w:r>
    </w:p>
    <w:p w14:paraId="58284282">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25.2在详细评标之前，评委会将首先审查每份投标文件是否实质性响应了招标文件的要求。实质性响应的投标应该是与招标文件要求的全部条款、条件和规格相符，没有重大偏离或保留的投标。</w:t>
      </w:r>
    </w:p>
    <w:p w14:paraId="634EE57A">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所谓重大偏离或保留是指与招标文件规定的实质性要求存在负偏离，或者在实质上与招标文件不一致，而且限制了合同中买方和</w:t>
      </w:r>
      <w:r>
        <w:rPr>
          <w:rFonts w:hint="eastAsia" w:ascii="宋体" w:hAnsi="宋体" w:cs="宋体"/>
          <w:color w:val="auto"/>
          <w:sz w:val="24"/>
          <w:lang w:eastAsia="zh-CN"/>
        </w:rPr>
        <w:t>交易中心</w:t>
      </w:r>
      <w:r>
        <w:rPr>
          <w:rFonts w:hint="eastAsia" w:ascii="宋体" w:hAnsi="宋体" w:cs="宋体"/>
          <w:color w:val="auto"/>
          <w:sz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777B5E7">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25.3如果投标文件实质上没有响应招标文件的要求，评委会将予以拒绝，投标人不得通过修改或撤销不合要求的偏离或保留而使其投标成为实质性响应的投标。</w:t>
      </w:r>
    </w:p>
    <w:p w14:paraId="3598D470">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25.4评委会将对确定为实质性响应的投标进行进一步审核，确定其是否有计算上或累加上的算术错误，修正错误的原则如下：</w:t>
      </w:r>
    </w:p>
    <w:p w14:paraId="64A0D039">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（1）投标文件中开标一览表内容与投标文件中相应内容不一致的，以开标一览表为准。</w:t>
      </w:r>
    </w:p>
    <w:p w14:paraId="12A69BBF">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（2）大写金额和小写金额不一致的，以大写金额为准。</w:t>
      </w:r>
    </w:p>
    <w:p w14:paraId="222A8AF4">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（3）单价金额小数点或者百分比有明显错位的，以开标一览表的总价为准，并修改单价。</w:t>
      </w:r>
    </w:p>
    <w:p w14:paraId="6B887CFD">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（4）总价金额与按单价汇总金额不一致的，以单价金额计算结果为准。</w:t>
      </w:r>
    </w:p>
    <w:p w14:paraId="4A2F4D29">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同时出现两种以上错误的，按照前款规定的顺序修正。</w:t>
      </w:r>
    </w:p>
    <w:p w14:paraId="4E48C756">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25.5评委会将按上述修正错误的方法调整投标文件中的投标报价，并通过苏采云系统告知投标人，调整后的价格应对投标人具有约束力。如果投标人不接受修正后的价格，则其投标将被拒绝。</w:t>
      </w:r>
    </w:p>
    <w:p w14:paraId="2DCABE0F">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25.6投标人在开、评标全过程中应保持通讯畅通，及时登录苏采云系统查阅、答复相关信息，并安排专人与</w:t>
      </w:r>
      <w:r>
        <w:rPr>
          <w:rFonts w:hint="eastAsia" w:ascii="宋体" w:hAnsi="宋体" w:cs="宋体"/>
          <w:color w:val="auto"/>
          <w:sz w:val="24"/>
          <w:lang w:eastAsia="zh-CN"/>
        </w:rPr>
        <w:t>交易中心</w:t>
      </w:r>
      <w:r>
        <w:rPr>
          <w:rFonts w:hint="eastAsia" w:ascii="宋体" w:hAnsi="宋体" w:cs="宋体"/>
          <w:color w:val="auto"/>
          <w:sz w:val="24"/>
        </w:rPr>
        <w:t>及评标委员会联系。</w:t>
      </w:r>
    </w:p>
    <w:p w14:paraId="2A92391A">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26、无效投标条款和废标条款</w:t>
      </w:r>
    </w:p>
    <w:p w14:paraId="17714781">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26.1无效投标条款</w:t>
      </w:r>
    </w:p>
    <w:p w14:paraId="519762AA">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26.1.1投标人在苏采云系统规定的时间内未成功解密电子投标文件的。</w:t>
      </w:r>
    </w:p>
    <w:p w14:paraId="3C4BACF5">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26.1.2投标人未按照招标文件要求上传电子投标文件的。</w:t>
      </w:r>
    </w:p>
    <w:p w14:paraId="79B00124">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26.1.3同一投标人提交两个（含两个）以上不同的投标报价的。</w:t>
      </w:r>
    </w:p>
    <w:p w14:paraId="76B9AAD4">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26.1.4投标人不具备招标文件中规定资格要求的。</w:t>
      </w:r>
    </w:p>
    <w:p w14:paraId="4D23E3DE">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26.1.5投标人的报价超过了采购预算或最高限价的。</w:t>
      </w:r>
    </w:p>
    <w:p w14:paraId="76F67831">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26.1.6未通过符合性审查的。</w:t>
      </w:r>
    </w:p>
    <w:p w14:paraId="5F7CDACD">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26.1.7不符合招标文件中规定的实质性要求和条件的</w:t>
      </w:r>
      <w:r>
        <w:rPr>
          <w:rFonts w:hint="eastAsia" w:ascii="宋体" w:hAnsi="宋体" w:cs="宋体"/>
          <w:i/>
          <w:iCs/>
          <w:color w:val="auto"/>
          <w:sz w:val="24"/>
          <w:u w:val="single"/>
        </w:rPr>
        <w:t>（本招标文件中斜体且有下划线部分为实质性要求和条件）</w:t>
      </w:r>
      <w:r>
        <w:rPr>
          <w:rFonts w:hint="eastAsia" w:ascii="宋体" w:hAnsi="宋体" w:cs="宋体"/>
          <w:i/>
          <w:iCs/>
          <w:color w:val="auto"/>
          <w:sz w:val="24"/>
        </w:rPr>
        <w:t>。</w:t>
      </w:r>
    </w:p>
    <w:p w14:paraId="083167E9">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C76E312">
      <w:pPr>
        <w:keepNext w:val="0"/>
        <w:keepLines w:val="0"/>
        <w:pageBreakBefore w:val="0"/>
        <w:spacing w:line="500" w:lineRule="exact"/>
        <w:ind w:firstLine="480"/>
        <w:jc w:val="left"/>
        <w:rPr>
          <w:rFonts w:hint="eastAsia" w:ascii="宋体" w:hAnsi="宋体" w:cs="宋体"/>
          <w:color w:val="auto"/>
          <w:sz w:val="24"/>
        </w:rPr>
      </w:pPr>
      <w:r>
        <w:rPr>
          <w:rFonts w:hint="eastAsia" w:ascii="宋体" w:hAnsi="宋体" w:cs="宋体"/>
          <w:color w:val="auto"/>
          <w:sz w:val="24"/>
        </w:rPr>
        <w:t>26.1.9投标文件含有采购人不能接受的附加条件的。</w:t>
      </w:r>
    </w:p>
    <w:p w14:paraId="160CFF87">
      <w:pPr>
        <w:keepNext w:val="0"/>
        <w:keepLines w:val="0"/>
        <w:pageBreakBefore w:val="0"/>
        <w:widowControl w:val="0"/>
        <w:spacing w:line="540" w:lineRule="exact"/>
        <w:ind w:firstLine="482"/>
        <w:jc w:val="left"/>
        <w:rPr>
          <w:rFonts w:hint="eastAsia" w:ascii="宋体" w:hAnsi="宋体" w:cs="宋体"/>
          <w:color w:val="auto"/>
          <w:sz w:val="24"/>
        </w:rPr>
      </w:pPr>
      <w:r>
        <w:rPr>
          <w:rFonts w:hint="eastAsia" w:ascii="宋体" w:hAnsi="宋体" w:cs="宋体"/>
          <w:color w:val="auto"/>
          <w:sz w:val="24"/>
        </w:rPr>
        <w:t>26.1.10投标人不能证明其报价合理性的，评标委员会应当将其作为无效投标处理。</w:t>
      </w:r>
    </w:p>
    <w:p w14:paraId="43D609B0">
      <w:pPr>
        <w:keepNext w:val="0"/>
        <w:keepLines w:val="0"/>
        <w:pageBreakBefore w:val="0"/>
        <w:widowControl w:val="0"/>
        <w:spacing w:line="540" w:lineRule="exact"/>
        <w:ind w:firstLine="482"/>
        <w:jc w:val="left"/>
        <w:rPr>
          <w:rFonts w:hint="eastAsia" w:ascii="宋体" w:hAnsi="宋体" w:cs="宋体"/>
          <w:color w:val="auto"/>
          <w:sz w:val="24"/>
        </w:rPr>
      </w:pPr>
      <w:r>
        <w:rPr>
          <w:rFonts w:hint="eastAsia" w:ascii="宋体" w:hAnsi="宋体" w:cs="宋体"/>
          <w:color w:val="auto"/>
          <w:sz w:val="24"/>
        </w:rPr>
        <w:t>（一）评审过程中出现下列情形之一的，评标委员会应当启动异常低价响应审查程序：</w:t>
      </w:r>
    </w:p>
    <w:p w14:paraId="74083063">
      <w:pPr>
        <w:keepNext w:val="0"/>
        <w:keepLines w:val="0"/>
        <w:pageBreakBefore w:val="0"/>
        <w:widowControl w:val="0"/>
        <w:spacing w:line="540" w:lineRule="exact"/>
        <w:ind w:firstLine="482"/>
        <w:jc w:val="left"/>
        <w:rPr>
          <w:rFonts w:hint="eastAsia" w:ascii="宋体" w:hAnsi="宋体" w:cs="宋体"/>
          <w:color w:val="auto"/>
          <w:sz w:val="24"/>
        </w:rPr>
      </w:pPr>
      <w:r>
        <w:rPr>
          <w:rFonts w:hint="eastAsia" w:ascii="宋体" w:hAnsi="宋体" w:cs="宋体"/>
          <w:color w:val="auto"/>
          <w:sz w:val="24"/>
        </w:rPr>
        <w:t>1.投标（响应）报价低于全部通过符合性审查供应商投标（响应）报价平均值50%的，即投标（响应）报价＜全部通过符合性审查供应商投标（响应）报价平均值×50%；</w:t>
      </w:r>
    </w:p>
    <w:p w14:paraId="1D4FA05D">
      <w:pPr>
        <w:keepNext w:val="0"/>
        <w:keepLines w:val="0"/>
        <w:pageBreakBefore w:val="0"/>
        <w:widowControl w:val="0"/>
        <w:spacing w:line="540" w:lineRule="exact"/>
        <w:ind w:firstLine="482"/>
        <w:jc w:val="left"/>
        <w:rPr>
          <w:rFonts w:hint="eastAsia" w:ascii="宋体" w:hAnsi="宋体" w:cs="宋体"/>
          <w:color w:val="auto"/>
          <w:sz w:val="24"/>
        </w:rPr>
      </w:pPr>
      <w:r>
        <w:rPr>
          <w:rFonts w:hint="eastAsia" w:ascii="宋体" w:hAnsi="宋体" w:cs="宋体"/>
          <w:color w:val="auto"/>
          <w:sz w:val="24"/>
        </w:rPr>
        <w:t>2.投标（响应）报价低于通过符合性审查的次低报价供应商投标（响应）报价50%的，即投标（响应）报价＜通过符合性审查的次低报价供应商投标（响应）报价×50%；</w:t>
      </w:r>
    </w:p>
    <w:p w14:paraId="28DBA50B">
      <w:pPr>
        <w:keepNext w:val="0"/>
        <w:keepLines w:val="0"/>
        <w:pageBreakBefore w:val="0"/>
        <w:widowControl w:val="0"/>
        <w:spacing w:line="540" w:lineRule="exact"/>
        <w:ind w:firstLine="482"/>
        <w:jc w:val="left"/>
        <w:rPr>
          <w:rFonts w:hint="eastAsia" w:ascii="宋体" w:hAnsi="宋体" w:cs="宋体"/>
          <w:color w:val="auto"/>
          <w:sz w:val="24"/>
        </w:rPr>
      </w:pPr>
      <w:r>
        <w:rPr>
          <w:rFonts w:hint="eastAsia" w:ascii="宋体" w:hAnsi="宋体" w:cs="宋体"/>
          <w:color w:val="auto"/>
          <w:sz w:val="24"/>
        </w:rPr>
        <w:t>3.投标（响应）报价低于采购项目最高限价45%的，即投标（响应）报价＜采购项目最高限价×45%；</w:t>
      </w:r>
    </w:p>
    <w:p w14:paraId="0619AE52">
      <w:pPr>
        <w:keepNext w:val="0"/>
        <w:keepLines w:val="0"/>
        <w:pageBreakBefore w:val="0"/>
        <w:widowControl w:val="0"/>
        <w:spacing w:line="540" w:lineRule="exact"/>
        <w:ind w:firstLine="482"/>
        <w:jc w:val="left"/>
        <w:rPr>
          <w:rFonts w:hint="eastAsia" w:ascii="宋体" w:hAnsi="宋体" w:cs="宋体"/>
          <w:color w:val="auto"/>
          <w:sz w:val="24"/>
        </w:rPr>
      </w:pPr>
      <w:r>
        <w:rPr>
          <w:rFonts w:hint="eastAsia" w:ascii="宋体" w:hAnsi="宋体" w:cs="宋体"/>
          <w:color w:val="auto"/>
          <w:sz w:val="24"/>
        </w:rPr>
        <w:t>4.评审委员会基于专业判断，认为供应商报价过低，有可能影响产品质量或者不能诚信履约的其他情形。</w:t>
      </w:r>
    </w:p>
    <w:p w14:paraId="61081A0F">
      <w:pPr>
        <w:keepNext w:val="0"/>
        <w:keepLines w:val="0"/>
        <w:pageBreakBefore w:val="0"/>
        <w:widowControl w:val="0"/>
        <w:spacing w:line="540" w:lineRule="exact"/>
        <w:ind w:firstLine="482"/>
        <w:jc w:val="left"/>
        <w:rPr>
          <w:rFonts w:hint="eastAsia" w:ascii="宋体" w:hAnsi="宋体" w:cs="宋体"/>
          <w:color w:val="auto"/>
          <w:sz w:val="24"/>
        </w:rPr>
      </w:pPr>
      <w:r>
        <w:rPr>
          <w:rFonts w:hint="eastAsia" w:ascii="宋体" w:hAnsi="宋体" w:cs="宋体"/>
          <w:color w:val="auto"/>
          <w:sz w:val="24"/>
        </w:rPr>
        <w:t>相关法律法规对供应商报价有规定的，从其规定。</w:t>
      </w:r>
    </w:p>
    <w:p w14:paraId="4837D4DF">
      <w:pPr>
        <w:keepNext w:val="0"/>
        <w:keepLines w:val="0"/>
        <w:pageBreakBefore w:val="0"/>
        <w:widowControl w:val="0"/>
        <w:spacing w:line="540" w:lineRule="exact"/>
        <w:ind w:firstLine="482"/>
        <w:jc w:val="left"/>
        <w:rPr>
          <w:rFonts w:hint="eastAsia" w:ascii="宋体" w:hAnsi="宋体" w:cs="宋体"/>
          <w:color w:val="auto"/>
          <w:sz w:val="24"/>
        </w:rPr>
      </w:pPr>
      <w:r>
        <w:rPr>
          <w:rFonts w:hint="eastAsia" w:ascii="宋体" w:hAnsi="宋体" w:cs="宋体"/>
          <w:color w:val="auto"/>
          <w:sz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A2E693B">
      <w:pPr>
        <w:keepNext w:val="0"/>
        <w:keepLines w:val="0"/>
        <w:pageBreakBefore w:val="0"/>
        <w:widowControl w:val="0"/>
        <w:spacing w:line="540" w:lineRule="exact"/>
        <w:ind w:firstLine="482"/>
        <w:jc w:val="left"/>
        <w:rPr>
          <w:rFonts w:hint="eastAsia" w:ascii="宋体" w:hAnsi="宋体" w:cs="宋体"/>
          <w:color w:val="auto"/>
          <w:sz w:val="24"/>
        </w:rPr>
      </w:pPr>
      <w:r>
        <w:rPr>
          <w:rFonts w:hint="eastAsia" w:ascii="宋体" w:hAnsi="宋体" w:cs="宋体"/>
          <w:color w:val="auto"/>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10B3731">
      <w:pPr>
        <w:keepNext w:val="0"/>
        <w:keepLines w:val="0"/>
        <w:pageBreakBefore w:val="0"/>
        <w:spacing w:line="500" w:lineRule="exact"/>
        <w:ind w:firstLine="480"/>
        <w:jc w:val="left"/>
        <w:rPr>
          <w:rFonts w:hint="eastAsia" w:ascii="宋体" w:hAnsi="宋体" w:cs="宋体"/>
          <w:color w:val="auto"/>
          <w:sz w:val="24"/>
        </w:rPr>
      </w:pPr>
      <w:r>
        <w:rPr>
          <w:rFonts w:hint="eastAsia" w:ascii="宋体" w:hAnsi="宋体" w:cs="宋体"/>
          <w:color w:val="auto"/>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F40EE68">
      <w:pPr>
        <w:keepNext w:val="0"/>
        <w:keepLines w:val="0"/>
        <w:pageBreakBefore w:val="0"/>
        <w:spacing w:line="500" w:lineRule="exact"/>
        <w:ind w:firstLine="480"/>
        <w:jc w:val="left"/>
        <w:rPr>
          <w:rFonts w:hint="eastAsia" w:ascii="宋体" w:hAnsi="宋体" w:cs="宋体"/>
          <w:color w:val="auto"/>
          <w:sz w:val="24"/>
        </w:rPr>
      </w:pPr>
      <w:r>
        <w:rPr>
          <w:rFonts w:hint="eastAsia" w:ascii="宋体" w:hAnsi="宋体" w:cs="宋体"/>
          <w:color w:val="auto"/>
          <w:sz w:val="24"/>
        </w:rPr>
        <w:t>异常低价投标（响应）审查的启动原因、审查意见和审查结果应当在评审报告中记录，并随供应商提供的相关书面说明及证明材料，以及评审委员会有关互联网浏览、查询历史一并归档。</w:t>
      </w:r>
    </w:p>
    <w:p w14:paraId="2465F6BF">
      <w:pPr>
        <w:keepNext w:val="0"/>
        <w:keepLines w:val="0"/>
        <w:pageBreakBefore w:val="0"/>
        <w:spacing w:line="500" w:lineRule="exact"/>
        <w:ind w:firstLine="480"/>
        <w:jc w:val="left"/>
        <w:rPr>
          <w:rFonts w:hint="eastAsia" w:ascii="宋体" w:hAnsi="宋体" w:cs="宋体"/>
          <w:color w:val="auto"/>
          <w:sz w:val="24"/>
        </w:rPr>
      </w:pPr>
      <w:r>
        <w:rPr>
          <w:rFonts w:hint="eastAsia" w:ascii="宋体" w:hAnsi="宋体" w:cs="宋体"/>
          <w:color w:val="auto"/>
          <w:sz w:val="24"/>
        </w:rPr>
        <w:t>26.1.11投标文件未按照招标文件要求加盖CA电子公章的。</w:t>
      </w:r>
    </w:p>
    <w:p w14:paraId="4F2FEAAF">
      <w:pPr>
        <w:keepNext w:val="0"/>
        <w:keepLines w:val="0"/>
        <w:pageBreakBefore w:val="0"/>
        <w:spacing w:line="500" w:lineRule="exact"/>
        <w:ind w:firstLine="480"/>
        <w:jc w:val="left"/>
        <w:rPr>
          <w:rFonts w:hint="eastAsia" w:ascii="宋体" w:hAnsi="宋体" w:cs="宋体"/>
          <w:color w:val="auto"/>
          <w:sz w:val="24"/>
        </w:rPr>
      </w:pPr>
      <w:r>
        <w:rPr>
          <w:rFonts w:hint="eastAsia" w:ascii="宋体" w:hAnsi="宋体" w:cs="宋体"/>
          <w:color w:val="auto"/>
          <w:sz w:val="24"/>
        </w:rPr>
        <w:t>26.1.12其他法律、法规及本招标文件规定的属无效投标的情形。</w:t>
      </w:r>
    </w:p>
    <w:p w14:paraId="74E5846C">
      <w:pPr>
        <w:keepNext w:val="0"/>
        <w:keepLines w:val="0"/>
        <w:pageBreakBefore w:val="0"/>
        <w:spacing w:line="500" w:lineRule="exact"/>
        <w:ind w:firstLine="480"/>
        <w:jc w:val="left"/>
        <w:rPr>
          <w:rFonts w:hint="eastAsia" w:ascii="宋体" w:hAnsi="宋体" w:cs="宋体"/>
          <w:color w:val="auto"/>
          <w:sz w:val="24"/>
        </w:rPr>
      </w:pPr>
      <w:r>
        <w:rPr>
          <w:rFonts w:hint="eastAsia" w:ascii="宋体" w:hAnsi="宋体" w:cs="宋体"/>
          <w:color w:val="auto"/>
          <w:sz w:val="24"/>
        </w:rPr>
        <w:t>26.2废标条款</w:t>
      </w:r>
    </w:p>
    <w:p w14:paraId="283336B9">
      <w:pPr>
        <w:keepNext w:val="0"/>
        <w:keepLines w:val="0"/>
        <w:pageBreakBefore w:val="0"/>
        <w:spacing w:line="500" w:lineRule="exact"/>
        <w:ind w:firstLine="480"/>
        <w:jc w:val="left"/>
        <w:rPr>
          <w:rFonts w:hint="eastAsia" w:ascii="宋体" w:hAnsi="宋体" w:cs="宋体"/>
          <w:color w:val="auto"/>
          <w:sz w:val="24"/>
        </w:rPr>
      </w:pPr>
      <w:r>
        <w:rPr>
          <w:rFonts w:hint="eastAsia" w:ascii="宋体" w:hAnsi="宋体" w:cs="宋体"/>
          <w:color w:val="auto"/>
          <w:sz w:val="24"/>
        </w:rPr>
        <w:t>26.2.1符合专业条件的供应商或者对招标文件作实质响应的供应商不足三家的。</w:t>
      </w:r>
    </w:p>
    <w:p w14:paraId="3ED9BA26">
      <w:pPr>
        <w:keepNext w:val="0"/>
        <w:keepLines w:val="0"/>
        <w:pageBreakBefore w:val="0"/>
        <w:spacing w:line="500" w:lineRule="exact"/>
        <w:ind w:firstLine="480"/>
        <w:jc w:val="left"/>
        <w:rPr>
          <w:rFonts w:hint="eastAsia" w:ascii="宋体" w:hAnsi="宋体" w:cs="宋体"/>
          <w:color w:val="auto"/>
          <w:sz w:val="24"/>
        </w:rPr>
      </w:pPr>
      <w:r>
        <w:rPr>
          <w:rFonts w:hint="eastAsia" w:ascii="宋体" w:hAnsi="宋体" w:cs="宋体"/>
          <w:color w:val="auto"/>
          <w:sz w:val="24"/>
        </w:rPr>
        <w:t>26.2.2出现影响采购公正的违法、违规行为的。</w:t>
      </w:r>
    </w:p>
    <w:p w14:paraId="5E3B3979">
      <w:pPr>
        <w:keepNext w:val="0"/>
        <w:keepLines w:val="0"/>
        <w:pageBreakBefore w:val="0"/>
        <w:spacing w:line="500" w:lineRule="exact"/>
        <w:ind w:firstLine="480"/>
        <w:jc w:val="left"/>
        <w:rPr>
          <w:rFonts w:hint="eastAsia" w:ascii="宋体" w:hAnsi="宋体" w:cs="宋体"/>
          <w:color w:val="auto"/>
          <w:sz w:val="24"/>
        </w:rPr>
      </w:pPr>
      <w:r>
        <w:rPr>
          <w:rFonts w:hint="eastAsia" w:ascii="宋体" w:hAnsi="宋体" w:cs="宋体"/>
          <w:color w:val="auto"/>
          <w:sz w:val="24"/>
        </w:rPr>
        <w:t>26.2.3因重大变故，采购任务取消的。</w:t>
      </w:r>
    </w:p>
    <w:p w14:paraId="430893F3">
      <w:pPr>
        <w:keepNext w:val="0"/>
        <w:keepLines w:val="0"/>
        <w:pageBreakBefore w:val="0"/>
        <w:spacing w:line="500" w:lineRule="exact"/>
        <w:ind w:firstLine="480"/>
        <w:jc w:val="left"/>
        <w:rPr>
          <w:rFonts w:hint="eastAsia" w:ascii="宋体" w:hAnsi="宋体" w:cs="宋体"/>
          <w:color w:val="auto"/>
          <w:sz w:val="24"/>
        </w:rPr>
      </w:pPr>
      <w:r>
        <w:rPr>
          <w:rFonts w:hint="eastAsia" w:ascii="宋体" w:hAnsi="宋体" w:cs="宋体"/>
          <w:color w:val="auto"/>
          <w:sz w:val="24"/>
        </w:rPr>
        <w:t>26.2.4评标委员会认定招标文件存在歧义、重大缺陷导致评审工作无法进行。</w:t>
      </w:r>
    </w:p>
    <w:p w14:paraId="24B564C5">
      <w:pPr>
        <w:keepNext w:val="0"/>
        <w:keepLines w:val="0"/>
        <w:pageBreakBefore w:val="0"/>
        <w:spacing w:line="500" w:lineRule="exact"/>
        <w:ind w:firstLine="480"/>
        <w:jc w:val="left"/>
        <w:rPr>
          <w:rFonts w:hint="eastAsia" w:ascii="宋体" w:hAnsi="宋体" w:cs="宋体"/>
          <w:color w:val="auto"/>
          <w:sz w:val="24"/>
        </w:rPr>
      </w:pPr>
      <w:r>
        <w:rPr>
          <w:rFonts w:hint="eastAsia" w:ascii="宋体" w:hAnsi="宋体" w:cs="宋体"/>
          <w:color w:val="auto"/>
          <w:sz w:val="24"/>
        </w:rPr>
        <w:t>26.2.5因苏采云系统系统故障原因造成开标不成功的。</w:t>
      </w:r>
    </w:p>
    <w:p w14:paraId="3723F835">
      <w:pPr>
        <w:keepNext w:val="0"/>
        <w:keepLines w:val="0"/>
        <w:pageBreakBefore w:val="0"/>
        <w:spacing w:line="500" w:lineRule="exact"/>
        <w:ind w:firstLine="480"/>
        <w:jc w:val="left"/>
        <w:rPr>
          <w:rFonts w:hint="eastAsia" w:ascii="宋体" w:hAnsi="宋体" w:cs="宋体"/>
          <w:color w:val="auto"/>
          <w:sz w:val="24"/>
        </w:rPr>
      </w:pPr>
      <w:r>
        <w:rPr>
          <w:rFonts w:hint="eastAsia" w:ascii="宋体" w:hAnsi="宋体" w:cs="宋体"/>
          <w:color w:val="auto"/>
          <w:sz w:val="24"/>
        </w:rPr>
        <w:t>26.3投标截止时间结束后参加投标的供应商不足三家的处理：</w:t>
      </w:r>
    </w:p>
    <w:p w14:paraId="1FE2EC0A">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26.3.1如出现投标截止时间结束后参加投标的供应商或者在评标期间对招标文件做出实质响应的供应商不足三家情况，按政府采购相关规定执行。</w:t>
      </w:r>
    </w:p>
    <w:p w14:paraId="2EFA07FC">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六、定标</w:t>
      </w:r>
    </w:p>
    <w:p w14:paraId="5B7C7DD0">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27、确定中标单位</w:t>
      </w:r>
    </w:p>
    <w:p w14:paraId="0C4B5C8B">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27.1中标候选人的选取原则和数量见招标文件第五章规定。</w:t>
      </w:r>
    </w:p>
    <w:p w14:paraId="33F477B5">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27.2采购人应根据评委会推荐的中标候选人确定中标人。</w:t>
      </w:r>
    </w:p>
    <w:p w14:paraId="5DB9C931">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27.3</w:t>
      </w:r>
      <w:r>
        <w:rPr>
          <w:rFonts w:hint="eastAsia" w:ascii="宋体" w:hAnsi="宋体" w:cs="宋体"/>
          <w:color w:val="auto"/>
          <w:sz w:val="24"/>
          <w:lang w:eastAsia="zh-CN"/>
        </w:rPr>
        <w:t>交易中心</w:t>
      </w:r>
      <w:r>
        <w:rPr>
          <w:rFonts w:hint="eastAsia" w:ascii="宋体" w:hAnsi="宋体" w:cs="宋体"/>
          <w:color w:val="auto"/>
          <w:sz w:val="24"/>
        </w:rPr>
        <w:t>将在“中国政府采购网”、“江苏政府采购网”、“盐城市政府采购网”发布中标公告，公告期限为1个工作日。</w:t>
      </w:r>
    </w:p>
    <w:p w14:paraId="49246343">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27.4若有充分证据证明，中标人出现下列情况之一的，一经查实，将被取消中标资格：</w:t>
      </w:r>
    </w:p>
    <w:p w14:paraId="2A3417BE">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27.4.1提供虚假材料谋取中标的。</w:t>
      </w:r>
    </w:p>
    <w:p w14:paraId="5EDD7B2A">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27.4.2向采购人、</w:t>
      </w:r>
      <w:r>
        <w:rPr>
          <w:rFonts w:hint="eastAsia" w:ascii="宋体" w:hAnsi="宋体" w:cs="宋体"/>
          <w:color w:val="auto"/>
          <w:sz w:val="24"/>
          <w:lang w:eastAsia="zh-CN"/>
        </w:rPr>
        <w:t>交易中心</w:t>
      </w:r>
      <w:r>
        <w:rPr>
          <w:rFonts w:hint="eastAsia" w:ascii="宋体" w:hAnsi="宋体" w:cs="宋体"/>
          <w:color w:val="auto"/>
          <w:sz w:val="24"/>
        </w:rPr>
        <w:t>行贿或者提供其他不正当利益的。</w:t>
      </w:r>
    </w:p>
    <w:p w14:paraId="09AC3A1B">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27.4.3属于本文件规定的无效条件，但在评标过程中又未被评委会发现的。</w:t>
      </w:r>
    </w:p>
    <w:p w14:paraId="1DE5BE7F">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27.4.4与采购人或者其他供应商恶意串通的。</w:t>
      </w:r>
    </w:p>
    <w:p w14:paraId="44FD4133">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27.4.5采取不正当手段诋毁、排挤其他供应商的。</w:t>
      </w:r>
    </w:p>
    <w:p w14:paraId="4CD7343C">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27.5有下列情形之一的，视为投标人串通投标，投标无效：</w:t>
      </w:r>
    </w:p>
    <w:p w14:paraId="46992B9C">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27.5.1不同投标人的投标文件由同一单位或者个人编制。</w:t>
      </w:r>
    </w:p>
    <w:p w14:paraId="020E3C4A">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27.5.2不同投标人委托同一单位或者个人办理投标事宜。</w:t>
      </w:r>
    </w:p>
    <w:p w14:paraId="0EFBBB35">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27.5.3不同投标人的投标文件载明的项目管理成员或者联系人员为同一人。</w:t>
      </w:r>
    </w:p>
    <w:p w14:paraId="5301D797">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27.5.4不同投标人的投标文件异常一致或者投标报价呈规律性差异。</w:t>
      </w:r>
    </w:p>
    <w:p w14:paraId="05669E53">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28、质疑处理</w:t>
      </w:r>
    </w:p>
    <w:p w14:paraId="12266A20">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28.1提出质疑的供应商应当是参与所质疑项目采购活动的供应商。潜在供应商依法获取其可质疑的采购文件的，可以对采购文件提出质疑。</w:t>
      </w:r>
    </w:p>
    <w:p w14:paraId="0FF0E459">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color w:val="auto"/>
          <w:sz w:val="24"/>
          <w:lang w:eastAsia="zh-CN"/>
        </w:rPr>
        <w:t>交易中心</w:t>
      </w:r>
      <w:r>
        <w:rPr>
          <w:rFonts w:hint="eastAsia" w:ascii="宋体" w:hAnsi="宋体" w:cs="宋体"/>
          <w:color w:val="auto"/>
          <w:sz w:val="24"/>
        </w:rPr>
        <w:t>或采购人提出质疑。上述应知其权益受到损害之日，是指：</w:t>
      </w:r>
    </w:p>
    <w:p w14:paraId="2C9B1F55">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28.2.1对可以质疑的采购文件提出质疑的，为收到采购文件之日或者采购文件公告期限届满之日；</w:t>
      </w:r>
    </w:p>
    <w:p w14:paraId="1A137C9D">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28.2.2对采购过程提出质疑的，为各采购程序环节结束之日；</w:t>
      </w:r>
    </w:p>
    <w:p w14:paraId="5ED908DB">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28.2.3对中标或者成交结果提出质疑的，为中标或者成交结果公告期限届满之日。</w:t>
      </w:r>
    </w:p>
    <w:p w14:paraId="51C28004">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供应商应当在法定质疑期内一次性提出针对同一采购程序环节的质疑。供应商如在法定期限内对同一采购程序环节提出多次质疑的，</w:t>
      </w:r>
      <w:r>
        <w:rPr>
          <w:rFonts w:hint="eastAsia" w:ascii="宋体" w:hAnsi="宋体" w:cs="宋体"/>
          <w:color w:val="auto"/>
          <w:sz w:val="24"/>
          <w:lang w:eastAsia="zh-CN"/>
        </w:rPr>
        <w:t>交易中心</w:t>
      </w:r>
      <w:r>
        <w:rPr>
          <w:rFonts w:hint="eastAsia" w:ascii="宋体" w:hAnsi="宋体" w:cs="宋体"/>
          <w:color w:val="auto"/>
          <w:sz w:val="24"/>
        </w:rPr>
        <w:t>、采购人将只对供应商第一次质疑作出答复。</w:t>
      </w:r>
    </w:p>
    <w:p w14:paraId="005ABFB3">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28.3质疑函必须按照本招标文件中《质疑函范本》要求的格式和内容进行填写。供应商如组成联合体参加投标，则《质疑函范本》中要求签字、盖章、加盖公章之处，联合体各方均须按要求签字、盖章、加盖公章。</w:t>
      </w:r>
    </w:p>
    <w:p w14:paraId="4B9E9226">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color w:val="auto"/>
          <w:sz w:val="24"/>
          <w:lang w:eastAsia="zh-CN"/>
        </w:rPr>
        <w:t>交易中心</w:t>
      </w:r>
      <w:r>
        <w:rPr>
          <w:rFonts w:hint="eastAsia" w:ascii="宋体" w:hAnsi="宋体" w:cs="宋体"/>
          <w:b/>
          <w:bCs/>
          <w:color w:val="auto"/>
          <w:sz w:val="24"/>
        </w:rPr>
        <w:t>提出，由</w:t>
      </w:r>
      <w:r>
        <w:rPr>
          <w:rFonts w:hint="eastAsia" w:ascii="宋体" w:hAnsi="宋体" w:cs="宋体"/>
          <w:b/>
          <w:bCs/>
          <w:color w:val="auto"/>
          <w:sz w:val="24"/>
          <w:lang w:eastAsia="zh-CN"/>
        </w:rPr>
        <w:t>交易中心</w:t>
      </w:r>
      <w:r>
        <w:rPr>
          <w:rFonts w:hint="eastAsia" w:ascii="宋体" w:hAnsi="宋体" w:cs="宋体"/>
          <w:b/>
          <w:bCs/>
          <w:color w:val="auto"/>
          <w:sz w:val="24"/>
        </w:rPr>
        <w:t>负责答复。</w:t>
      </w:r>
    </w:p>
    <w:p w14:paraId="5B33AD90">
      <w:pPr>
        <w:keepNext w:val="0"/>
        <w:keepLines w:val="0"/>
        <w:pageBreakBefore w:val="0"/>
        <w:widowControl/>
        <w:spacing w:line="500" w:lineRule="exact"/>
        <w:ind w:firstLine="482"/>
        <w:jc w:val="left"/>
        <w:rPr>
          <w:rFonts w:ascii="宋体" w:hAnsi="宋体" w:cs="宋体"/>
          <w:color w:val="auto"/>
          <w:sz w:val="24"/>
        </w:rPr>
      </w:pPr>
      <w:r>
        <w:rPr>
          <w:rFonts w:hint="eastAsia" w:ascii="宋体" w:hAnsi="宋体" w:cs="宋体"/>
          <w:color w:val="auto"/>
          <w:sz w:val="24"/>
          <w:lang w:eastAsia="zh-CN"/>
        </w:rPr>
        <w:t>交易中心</w:t>
      </w:r>
      <w:r>
        <w:rPr>
          <w:rFonts w:hint="eastAsia" w:ascii="宋体" w:hAnsi="宋体" w:cs="宋体"/>
          <w:color w:val="auto"/>
          <w:sz w:val="24"/>
        </w:rPr>
        <w:t>及采购人只接收以纸质原件形式送达的质疑，采购人和</w:t>
      </w:r>
      <w:r>
        <w:rPr>
          <w:rFonts w:hint="eastAsia" w:ascii="宋体" w:hAnsi="宋体" w:cs="宋体"/>
          <w:color w:val="auto"/>
          <w:sz w:val="24"/>
          <w:lang w:eastAsia="zh-CN"/>
        </w:rPr>
        <w:t>交易中心</w:t>
      </w:r>
      <w:r>
        <w:rPr>
          <w:rFonts w:hint="eastAsia" w:ascii="宋体" w:hAnsi="宋体" w:cs="宋体"/>
          <w:color w:val="auto"/>
          <w:sz w:val="24"/>
        </w:rPr>
        <w:t>不接受未填写快递运单的快件。质疑接收部门为公共资源交易中心业务受理处，联</w:t>
      </w:r>
      <w:r>
        <w:rPr>
          <w:rFonts w:hint="eastAsia" w:ascii="宋体" w:hAnsi="宋体" w:cs="宋体"/>
          <w:color w:val="auto"/>
          <w:sz w:val="24"/>
        </w:rPr>
        <w:t>系地址：</w:t>
      </w:r>
      <w:r>
        <w:rPr>
          <w:rFonts w:hint="eastAsia" w:ascii="宋体" w:hAnsi="宋体" w:eastAsia="宋体" w:cs="宋体"/>
          <w:color w:val="auto"/>
          <w:sz w:val="24"/>
          <w:szCs w:val="20"/>
        </w:rPr>
        <w:t>盐城市亭湖区希望大道中路18号</w:t>
      </w:r>
      <w:r>
        <w:rPr>
          <w:rFonts w:hint="eastAsia" w:ascii="宋体" w:hAnsi="宋体" w:cs="宋体"/>
          <w:color w:val="auto"/>
          <w:sz w:val="24"/>
        </w:rPr>
        <w:t>，联系电话：</w:t>
      </w:r>
      <w:r>
        <w:rPr>
          <w:rFonts w:hint="eastAsia" w:ascii="宋体" w:hAnsi="宋体" w:eastAsia="宋体" w:cs="宋体"/>
          <w:color w:val="auto"/>
          <w:sz w:val="24"/>
          <w:szCs w:val="20"/>
        </w:rPr>
        <w:t>0515-89802019</w:t>
      </w:r>
      <w:r>
        <w:rPr>
          <w:rFonts w:hint="eastAsia" w:ascii="宋体" w:hAnsi="宋体" w:cs="宋体"/>
          <w:color w:val="auto"/>
          <w:sz w:val="24"/>
        </w:rPr>
        <w:t>。</w:t>
      </w:r>
    </w:p>
    <w:p w14:paraId="3C0873C3">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28.5以下情形的质疑不予受理</w:t>
      </w:r>
    </w:p>
    <w:p w14:paraId="70BEE4C0">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28.5.1内容不符合《政府采购质疑和投诉办法》第十二条规定的质疑。</w:t>
      </w:r>
    </w:p>
    <w:p w14:paraId="2ABDC737">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28.5.2超出政府采购法定期限的质疑。</w:t>
      </w:r>
    </w:p>
    <w:p w14:paraId="038E2B73">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28.5.3以传真、电子邮件等方式递交的非原件形式的质疑。</w:t>
      </w:r>
    </w:p>
    <w:p w14:paraId="3E4F7A84">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28.5.4未参加投标活动的供应商或在投标活动中自身权益未受到损害的供应商所提出的质疑。</w:t>
      </w:r>
    </w:p>
    <w:p w14:paraId="438BB084">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28.5.5供应商组成联合体参加投标，联合体中任何一方或多方未按要求签字、盖章、加盖公章的质疑。</w:t>
      </w:r>
    </w:p>
    <w:p w14:paraId="66B96282">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28.6供应商提出书面质疑必须有理、有据，不得捏造事实、提供虚假材料进行恶意质疑。否则，一经查实，</w:t>
      </w:r>
      <w:r>
        <w:rPr>
          <w:rFonts w:hint="eastAsia" w:ascii="宋体" w:hAnsi="宋体" w:cs="宋体"/>
          <w:color w:val="auto"/>
          <w:sz w:val="24"/>
          <w:lang w:eastAsia="zh-CN"/>
        </w:rPr>
        <w:t>交易中心</w:t>
      </w:r>
      <w:r>
        <w:rPr>
          <w:rFonts w:hint="eastAsia" w:ascii="宋体" w:hAnsi="宋体" w:cs="宋体"/>
          <w:color w:val="auto"/>
          <w:sz w:val="24"/>
        </w:rPr>
        <w:t>有权依据政府采购的有关规定，报请政府采购监管部门对该供应商进行相应的行政处罚和记录该供应商的失信信息。</w:t>
      </w:r>
    </w:p>
    <w:p w14:paraId="12FFC66E">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29、中标通知书</w:t>
      </w:r>
    </w:p>
    <w:p w14:paraId="716E6ED1">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29.l中标结果确定后，</w:t>
      </w:r>
      <w:r>
        <w:rPr>
          <w:rFonts w:hint="eastAsia" w:ascii="宋体" w:hAnsi="宋体" w:cs="宋体"/>
          <w:color w:val="auto"/>
          <w:sz w:val="24"/>
          <w:lang w:eastAsia="zh-CN"/>
        </w:rPr>
        <w:t>交易中心</w:t>
      </w:r>
      <w:r>
        <w:rPr>
          <w:rFonts w:hint="eastAsia" w:ascii="宋体" w:hAnsi="宋体" w:cs="宋体"/>
          <w:color w:val="auto"/>
          <w:sz w:val="24"/>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3A0EC156">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29.2中标通知书将是合同的一个组成部分。对采购人和中标人均具有法律效力。中标通知书发出后，采购人改变中标结果的，或者中标人放弃中标项目的，应当依法承担法律责任。</w:t>
      </w:r>
    </w:p>
    <w:p w14:paraId="41BAE38F">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七、授予合同</w:t>
      </w:r>
    </w:p>
    <w:p w14:paraId="0ED12D5C">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30.签订合同</w:t>
      </w:r>
    </w:p>
    <w:p w14:paraId="4257443C">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30.l中标人应当在中标通知书发出之日起三十日内，按照招标文件确定的事项与采购人签订政府采购合同。</w:t>
      </w:r>
    </w:p>
    <w:p w14:paraId="112D7BCC">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30.2招标文件、中标人的投标文件及招标过程中有关澄清、承诺文件均应作为合同附件。</w:t>
      </w:r>
    </w:p>
    <w:p w14:paraId="5C62E140">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30.3签订合同后，</w:t>
      </w:r>
      <w:r>
        <w:rPr>
          <w:rFonts w:hint="eastAsia" w:ascii="宋体" w:hAnsi="宋体" w:cs="宋体"/>
          <w:i/>
          <w:iCs/>
          <w:color w:val="auto"/>
          <w:sz w:val="24"/>
          <w:u w:val="single"/>
        </w:rPr>
        <w:t>中标人不得将合同标的进行转包</w:t>
      </w:r>
      <w:r>
        <w:rPr>
          <w:rFonts w:hint="eastAsia" w:ascii="宋体" w:hAnsi="宋体" w:cs="宋体"/>
          <w:color w:val="auto"/>
          <w:sz w:val="24"/>
        </w:rPr>
        <w:t>。未经采购人同意，中标人也不得采用分包的形式履行合同，否则采购人有权终止合同。转包或分包造成采购人损失的，中标人应承担相应赔偿责任。</w:t>
      </w:r>
    </w:p>
    <w:p w14:paraId="526A15AD">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31、服务（包含与服务相关的货物）的追加</w:t>
      </w:r>
    </w:p>
    <w:p w14:paraId="7D519A59">
      <w:pPr>
        <w:keepNext w:val="0"/>
        <w:keepLines w:val="0"/>
        <w:pageBreakBefore w:val="0"/>
        <w:spacing w:line="500" w:lineRule="exact"/>
        <w:ind w:firstLine="480"/>
        <w:jc w:val="left"/>
        <w:rPr>
          <w:rFonts w:ascii="宋体" w:hAnsi="宋体" w:cs="宋体"/>
          <w:color w:val="auto"/>
          <w:sz w:val="24"/>
        </w:rPr>
      </w:pPr>
      <w:r>
        <w:rPr>
          <w:rFonts w:hint="eastAsia" w:ascii="宋体" w:hAnsi="宋体" w:cs="宋体"/>
          <w:color w:val="auto"/>
          <w:sz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418E1EC2">
      <w:pPr>
        <w:keepNext w:val="0"/>
        <w:keepLines w:val="0"/>
        <w:pageBreakBefore w:val="0"/>
        <w:spacing w:line="500" w:lineRule="exact"/>
        <w:ind w:firstLine="480"/>
        <w:jc w:val="left"/>
        <w:rPr>
          <w:rFonts w:ascii="宋体" w:hAnsi="宋体" w:cs="宋体"/>
          <w:b/>
          <w:bCs/>
          <w:color w:val="auto"/>
          <w:sz w:val="24"/>
        </w:rPr>
      </w:pPr>
      <w:r>
        <w:rPr>
          <w:rFonts w:hint="eastAsia" w:ascii="宋体" w:hAnsi="宋体" w:cs="宋体"/>
          <w:b/>
          <w:bCs/>
          <w:color w:val="auto"/>
          <w:sz w:val="24"/>
        </w:rPr>
        <w:t>32、政府采购政策功能落实</w:t>
      </w:r>
    </w:p>
    <w:p w14:paraId="6071B515">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b/>
          <w:bCs/>
          <w:color w:val="auto"/>
          <w:sz w:val="24"/>
        </w:rPr>
      </w:pPr>
      <w:r>
        <w:rPr>
          <w:rFonts w:hint="eastAsia" w:ascii="宋体" w:hAnsi="宋体" w:cs="宋体"/>
          <w:b/>
          <w:bCs/>
          <w:color w:val="auto"/>
          <w:sz w:val="24"/>
        </w:rPr>
        <w:t>32.1政府采购线上合同信用融资政策</w:t>
      </w:r>
    </w:p>
    <w:p w14:paraId="45EC0EF7">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33FB2B4B">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2"/>
        <w:rPr>
          <w:rFonts w:ascii="宋体" w:hAnsi="宋体" w:cs="宋体"/>
          <w:b/>
          <w:bCs/>
          <w:color w:val="auto"/>
          <w:sz w:val="24"/>
        </w:rPr>
      </w:pPr>
      <w:r>
        <w:rPr>
          <w:rFonts w:hint="eastAsia" w:ascii="宋体" w:hAnsi="宋体" w:cs="宋体"/>
          <w:b/>
          <w:bCs/>
          <w:color w:val="auto"/>
          <w:sz w:val="24"/>
        </w:rPr>
        <w:t>32.2进口产品</w:t>
      </w:r>
    </w:p>
    <w:p w14:paraId="60BFEBE8">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0735A4E8">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2"/>
        <w:rPr>
          <w:rFonts w:ascii="宋体" w:hAnsi="宋体" w:cs="宋体"/>
          <w:b/>
          <w:bCs/>
          <w:color w:val="auto"/>
          <w:sz w:val="24"/>
        </w:rPr>
      </w:pPr>
      <w:r>
        <w:rPr>
          <w:rFonts w:hint="eastAsia" w:ascii="宋体" w:hAnsi="宋体" w:cs="宋体"/>
          <w:b/>
          <w:bCs/>
          <w:color w:val="auto"/>
          <w:sz w:val="24"/>
        </w:rPr>
        <w:t>32.3中小企业、监狱企业及残疾人福利性单位</w:t>
      </w:r>
    </w:p>
    <w:p w14:paraId="3B0DB702">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32.3.1中小企业定义：</w:t>
      </w:r>
    </w:p>
    <w:p w14:paraId="5DAB1419">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34F213BD">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32.3.2供应商提供的货物、工程或者服务符合下列情形的，享受中小企业扶持政策：</w:t>
      </w:r>
    </w:p>
    <w:p w14:paraId="3C354249">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32.3.2.1在货物采购项目中，货物由中小企业制造，即货物由中小企业生产且使用该中小企业商号或者注册商标；</w:t>
      </w:r>
    </w:p>
    <w:p w14:paraId="67EBD5CC">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32.3.2.2在工程采购项目中，工程由中小企业承建，即工程施工单位为中小企业；</w:t>
      </w:r>
    </w:p>
    <w:p w14:paraId="265C286F">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32.3.2.3在服务采购项目中，服务由中小企业承接，即提供服务的人员为中小企业依照《中华人民共和国劳动合同法》订立劳动合同的从业人员。</w:t>
      </w:r>
    </w:p>
    <w:p w14:paraId="0FBE4F2F">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w:t>
      </w:r>
      <w:r>
        <w:rPr>
          <w:rFonts w:hint="eastAsia" w:ascii="宋体" w:hAnsi="宋体" w:cs="宋体"/>
          <w:color w:val="auto"/>
          <w:sz w:val="24"/>
          <w:lang w:val="en-US" w:eastAsia="zh-CN"/>
        </w:rPr>
        <w:t>3</w:t>
      </w:r>
      <w:r>
        <w:rPr>
          <w:rFonts w:hint="eastAsia" w:ascii="宋体" w:hAnsi="宋体" w:cs="宋体"/>
          <w:color w:val="auto"/>
          <w:sz w:val="24"/>
          <w:lang w:eastAsia="zh-CN"/>
        </w:rPr>
        <w:t>.</w:t>
      </w:r>
      <w:r>
        <w:rPr>
          <w:rFonts w:hint="eastAsia" w:ascii="宋体" w:hAnsi="宋体" w:cs="宋体"/>
          <w:color w:val="auto"/>
          <w:sz w:val="24"/>
          <w:lang w:val="en-US" w:eastAsia="zh-CN"/>
        </w:rPr>
        <w:t>3</w:t>
      </w:r>
      <w:r>
        <w:rPr>
          <w:rFonts w:hint="eastAsia" w:ascii="宋体" w:hAnsi="宋体" w:cs="宋体"/>
          <w:color w:val="auto"/>
          <w:sz w:val="24"/>
        </w:rPr>
        <w:t>在货物采购项目中，供应商提供的货物既有中小企业制造货物，也有大型企业制造货物的，不享受中小企业扶持政策。</w:t>
      </w:r>
    </w:p>
    <w:p w14:paraId="7FAF97E4">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32.3.4以联合体形式参加政府采购活动，联合体各方均为中小企业的，联合体视同中小企业。其中，联合体各方均为小微企业的，联合体视同小微企业。</w:t>
      </w:r>
    </w:p>
    <w:p w14:paraId="6E7C9571">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53B1729">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32.3.6残疾人福利单位定义：享受政府采购支持政策的残疾人福利性单位应当同时满足以下条件：</w:t>
      </w:r>
    </w:p>
    <w:p w14:paraId="5361E5BB">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32.3.6.1安置的残疾人占本单位在职职工人数的比例不低于25%（含25%），并且安置的残疾人人数不少于10人（含10人）；</w:t>
      </w:r>
    </w:p>
    <w:p w14:paraId="5ED6DB0D">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32.3.6.2依法与安置的每位残疾人签订了一年以上（含一年）的劳动合同或服务协议；</w:t>
      </w:r>
    </w:p>
    <w:p w14:paraId="00474C3A">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32.3.6.3为安置的每位残疾人按月足额缴纳了基本养老保险、基本医疗保险、失业保险、工伤保险和生育保险等社会保险费；</w:t>
      </w:r>
    </w:p>
    <w:p w14:paraId="196B760A">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32.3.6.4通过银行等金融机构向安置的每位残疾人，按月支付了不低于单位所在区县适用的经省级人民政府批准的月最低工资标准的工资；</w:t>
      </w:r>
    </w:p>
    <w:p w14:paraId="0610BE8A">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32.3.6.5提供本单位制造的货物、承担的工程或者服务（以下简称产品），或者提供其他残疾人福利性单位制造的货物（不包括使用非残疾人福利性单位注册商标的货物）；</w:t>
      </w:r>
    </w:p>
    <w:p w14:paraId="1AFED3A3">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32.3.6.6前款所称残疾人是指法定劳动年龄内，持有《中华人民共和国残疾人证》或者《中华人民共和国残疾军人证》</w:t>
      </w:r>
      <w:r>
        <w:rPr>
          <w:rFonts w:ascii="宋体" w:hAnsi="宋体" w:cs="宋体"/>
          <w:color w:val="auto"/>
          <w:sz w:val="24"/>
        </w:rPr>
        <w:t>（1至8级）</w:t>
      </w:r>
      <w:r>
        <w:rPr>
          <w:rFonts w:hint="eastAsia" w:ascii="宋体" w:hAnsi="宋体" w:cs="宋体"/>
          <w:color w:val="auto"/>
          <w:sz w:val="24"/>
        </w:rPr>
        <w:t>的自然人，包括具有劳动条件和劳动意愿的精神残疾人。在职职工人数是指与残疾人福利性单位建立劳动关系并依法签订劳动合同或服务协议的雇员人数。</w:t>
      </w:r>
    </w:p>
    <w:p w14:paraId="02DB843A">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32.3.7本项目是否专门面向中小企业预留采购份额见第一章《招标公告》。</w:t>
      </w:r>
    </w:p>
    <w:p w14:paraId="73BFB164">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32.3.8采购标的对应的中小企业划分标准所属行业见第四章《采购需求》。</w:t>
      </w:r>
    </w:p>
    <w:p w14:paraId="1CBD2CCE">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32.3.9小微企业价格评审优惠的政策：见第五章《评标方法和评标标准》。</w:t>
      </w:r>
    </w:p>
    <w:p w14:paraId="5A31FAEB">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2"/>
        <w:rPr>
          <w:rFonts w:ascii="宋体" w:hAnsi="宋体" w:cs="宋体"/>
          <w:b/>
          <w:bCs/>
          <w:color w:val="auto"/>
          <w:sz w:val="24"/>
        </w:rPr>
      </w:pPr>
      <w:r>
        <w:rPr>
          <w:rFonts w:hint="eastAsia" w:ascii="宋体" w:hAnsi="宋体" w:cs="宋体"/>
          <w:b/>
          <w:bCs/>
          <w:color w:val="auto"/>
          <w:sz w:val="24"/>
        </w:rPr>
        <w:t>32.4政府采购节能产品、环境标志产品</w:t>
      </w:r>
    </w:p>
    <w:p w14:paraId="06940605">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auto"/>
          <w:sz w:val="24"/>
        </w:rPr>
        <w:t>如属政府强制采购产品未提供认证证书的或认证证书提供不全的将视为未实质性响应采购要求</w:t>
      </w:r>
      <w:r>
        <w:rPr>
          <w:rFonts w:hint="eastAsia" w:ascii="宋体" w:hAnsi="宋体" w:cs="宋体"/>
          <w:i/>
          <w:color w:val="auto"/>
          <w:sz w:val="24"/>
        </w:rPr>
        <w:t>。</w:t>
      </w:r>
      <w:r>
        <w:rPr>
          <w:rFonts w:hint="eastAsia" w:ascii="宋体" w:hAnsi="宋体" w:cs="宋体"/>
          <w:color w:val="auto"/>
          <w:sz w:val="24"/>
        </w:rPr>
        <w:t>其他条件相同情况下，应当优先采购节能产品、环境标志产品。</w:t>
      </w:r>
    </w:p>
    <w:p w14:paraId="236908D9">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DE391E5">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2"/>
        <w:rPr>
          <w:rFonts w:ascii="宋体" w:hAnsi="宋体" w:cs="宋体"/>
          <w:b/>
          <w:bCs/>
          <w:color w:val="auto"/>
          <w:sz w:val="24"/>
        </w:rPr>
      </w:pPr>
      <w:r>
        <w:rPr>
          <w:rFonts w:hint="eastAsia" w:ascii="宋体" w:hAnsi="宋体" w:cs="宋体"/>
          <w:b/>
          <w:bCs/>
          <w:color w:val="auto"/>
          <w:sz w:val="24"/>
        </w:rPr>
        <w:t>32.5绿色包装</w:t>
      </w:r>
    </w:p>
    <w:p w14:paraId="67E94E87">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2E95A39">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2"/>
        <w:rPr>
          <w:rFonts w:ascii="宋体" w:hAnsi="宋体" w:cs="宋体"/>
          <w:color w:val="auto"/>
          <w:sz w:val="24"/>
        </w:rPr>
      </w:pPr>
      <w:r>
        <w:rPr>
          <w:rFonts w:hint="eastAsia" w:ascii="宋体" w:hAnsi="宋体" w:cs="宋体"/>
          <w:b/>
          <w:bCs/>
          <w:color w:val="auto"/>
          <w:sz w:val="24"/>
        </w:rPr>
        <w:t>32.6政府采购创新产品</w:t>
      </w:r>
    </w:p>
    <w:p w14:paraId="5DA23004">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78"/>
        <w:rPr>
          <w:rFonts w:ascii="宋体" w:hAnsi="宋体" w:cs="宋体"/>
          <w:color w:val="auto"/>
          <w:sz w:val="24"/>
        </w:rPr>
      </w:pPr>
      <w:r>
        <w:rPr>
          <w:rFonts w:hint="eastAsia" w:ascii="宋体" w:hAnsi="宋体" w:cs="宋体"/>
          <w:color w:val="auto"/>
          <w:sz w:val="24"/>
        </w:rPr>
        <w:t>采购人优先采购各级政府部门公开发布的有效期内的创新产品、创新服务、首台套、首购首用等《目录》的创新产品。</w:t>
      </w:r>
    </w:p>
    <w:p w14:paraId="00762BB4">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2"/>
        <w:rPr>
          <w:rFonts w:ascii="宋体" w:hAnsi="宋体" w:cs="宋体"/>
          <w:b/>
          <w:bCs/>
          <w:color w:val="auto"/>
          <w:sz w:val="24"/>
        </w:rPr>
      </w:pPr>
      <w:r>
        <w:rPr>
          <w:rFonts w:hint="eastAsia" w:ascii="宋体" w:hAnsi="宋体" w:cs="宋体"/>
          <w:b/>
          <w:bCs/>
          <w:color w:val="auto"/>
          <w:sz w:val="24"/>
        </w:rPr>
        <w:t>32.7绿色数据中心政策</w:t>
      </w:r>
    </w:p>
    <w:p w14:paraId="661D180C">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13C16461">
      <w:pPr>
        <w:keepNext w:val="0"/>
        <w:keepLines w:val="0"/>
        <w:pageBreakBefore w:val="0"/>
        <w:pBdr>
          <w:top w:val="none" w:color="000000" w:sz="0" w:space="0"/>
          <w:left w:val="none" w:color="000000" w:sz="0" w:space="0"/>
          <w:bottom w:val="none" w:color="000000" w:sz="0" w:space="0"/>
          <w:right w:val="none" w:color="000000" w:sz="0" w:space="0"/>
        </w:pBdr>
        <w:spacing w:before="0" w:after="0" w:line="500" w:lineRule="exact"/>
        <w:ind w:left="0" w:right="0" w:firstLine="482"/>
        <w:jc w:val="both"/>
        <w:rPr>
          <w:color w:val="auto"/>
        </w:rPr>
      </w:pPr>
      <w:r>
        <w:rPr>
          <w:rFonts w:ascii="宋体" w:hAnsi="宋体" w:eastAsia="宋体" w:cs="宋体"/>
          <w:b/>
          <w:color w:val="auto"/>
          <w:sz w:val="24"/>
        </w:rPr>
        <w:t>32.8实施本国产品标准及相关政策</w:t>
      </w:r>
    </w:p>
    <w:p w14:paraId="6EF5ABF8">
      <w:pPr>
        <w:keepNext w:val="0"/>
        <w:keepLines w:val="0"/>
        <w:pageBreakBefore w:val="0"/>
        <w:widowControl/>
        <w:numPr>
          <w:ilvl w:val="0"/>
          <w:numId w:val="0"/>
        </w:numPr>
        <w:spacing w:line="500" w:lineRule="exact"/>
        <w:ind w:firstLine="480"/>
        <w:jc w:val="left"/>
        <w:rPr>
          <w:rFonts w:hint="eastAsia" w:ascii="宋体" w:hAnsi="宋体" w:eastAsia="Arial" w:cs="宋体"/>
          <w:b/>
          <w:bCs/>
          <w:color w:val="auto"/>
          <w:sz w:val="24"/>
          <w:szCs w:val="20"/>
          <w:lang w:val="en-US" w:eastAsia="zh-CN"/>
        </w:rPr>
      </w:pPr>
      <w:r>
        <w:rPr>
          <w:rFonts w:hint="eastAsia" w:ascii="宋体" w:hAnsi="宋体" w:eastAsia="Arial" w:cs="宋体"/>
          <w:b/>
          <w:bCs/>
          <w:color w:val="auto"/>
          <w:sz w:val="24"/>
          <w:szCs w:val="20"/>
          <w:lang w:val="en-US" w:eastAsia="zh-CN"/>
        </w:rPr>
        <w:t>32.8.1本项目对采购本国产品给予政策支持。</w:t>
      </w:r>
    </w:p>
    <w:p w14:paraId="755E5154">
      <w:pPr>
        <w:keepNext w:val="0"/>
        <w:keepLines w:val="0"/>
        <w:pageBreakBefore w:val="0"/>
        <w:widowControl/>
        <w:numPr>
          <w:ilvl w:val="0"/>
          <w:numId w:val="0"/>
        </w:numPr>
        <w:spacing w:line="500" w:lineRule="exact"/>
        <w:ind w:firstLine="480"/>
        <w:jc w:val="left"/>
        <w:rPr>
          <w:rFonts w:hint="eastAsia" w:ascii="宋体" w:hAnsi="宋体" w:eastAsia="Arial" w:cs="宋体"/>
          <w:b/>
          <w:bCs/>
          <w:color w:val="auto"/>
          <w:sz w:val="24"/>
          <w:szCs w:val="20"/>
          <w:lang w:val="en-US" w:eastAsia="zh-CN"/>
        </w:rPr>
      </w:pPr>
      <w:r>
        <w:rPr>
          <w:rFonts w:hint="eastAsia" w:ascii="宋体" w:hAnsi="宋体" w:eastAsia="Arial" w:cs="宋体"/>
          <w:b/>
          <w:bCs/>
          <w:color w:val="auto"/>
          <w:sz w:val="24"/>
          <w:szCs w:val="20"/>
          <w:lang w:val="en-US" w:eastAsia="zh-CN"/>
        </w:rPr>
        <w:t>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D65128F">
      <w:pPr>
        <w:keepNext w:val="0"/>
        <w:keepLines w:val="0"/>
        <w:pageBreakBefore w:val="0"/>
        <w:widowControl/>
        <w:spacing w:line="500" w:lineRule="exact"/>
        <w:ind w:firstLine="482"/>
        <w:jc w:val="left"/>
        <w:rPr>
          <w:rFonts w:hint="eastAsia" w:ascii="宋体" w:hAnsi="宋体" w:eastAsia="Arial" w:cs="宋体"/>
          <w:b/>
          <w:bCs/>
          <w:color w:val="auto"/>
          <w:sz w:val="24"/>
          <w:szCs w:val="20"/>
          <w:lang w:val="en-US" w:eastAsia="zh-CN"/>
        </w:rPr>
      </w:pPr>
      <w:r>
        <w:rPr>
          <w:rFonts w:hint="eastAsia" w:ascii="宋体" w:hAnsi="宋体" w:eastAsia="Arial" w:cs="宋体"/>
          <w:b/>
          <w:bCs/>
          <w:color w:val="auto"/>
          <w:sz w:val="24"/>
          <w:szCs w:val="20"/>
          <w:lang w:val="en-US" w:eastAsia="zh-CN"/>
        </w:rPr>
        <w:t>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599F781">
      <w:pPr>
        <w:keepNext w:val="0"/>
        <w:keepLines w:val="0"/>
        <w:pageBreakBefore w:val="0"/>
        <w:widowControl/>
        <w:spacing w:line="500" w:lineRule="exact"/>
        <w:ind w:firstLine="482"/>
        <w:jc w:val="left"/>
        <w:outlineLvl w:val="3"/>
        <w:rPr>
          <w:rFonts w:hint="eastAsia" w:ascii="宋体" w:hAnsi="宋体" w:eastAsia="Arial" w:cs="宋体"/>
          <w:b/>
          <w:bCs/>
          <w:color w:val="auto"/>
          <w:sz w:val="24"/>
          <w:szCs w:val="20"/>
        </w:rPr>
      </w:pPr>
      <w:r>
        <w:rPr>
          <w:rFonts w:hint="eastAsia" w:ascii="宋体" w:hAnsi="宋体" w:eastAsia="Arial" w:cs="宋体"/>
          <w:b/>
          <w:bCs/>
          <w:color w:val="auto"/>
          <w:sz w:val="24"/>
          <w:szCs w:val="20"/>
          <w:lang w:val="en-US" w:eastAsia="zh-CN"/>
        </w:rPr>
        <w:t>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auto"/>
          <w:sz w:val="24"/>
          <w:szCs w:val="20"/>
          <w:u w:val="single"/>
          <w:lang w:val="en-US" w:eastAsia="zh-CN"/>
        </w:rPr>
        <w:t>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auto"/>
          <w:sz w:val="24"/>
          <w:szCs w:val="20"/>
          <w:lang w:val="en-US" w:eastAsia="zh-CN"/>
        </w:rPr>
        <w:t>。</w:t>
      </w:r>
    </w:p>
    <w:p w14:paraId="63577F20">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2"/>
        <w:rPr>
          <w:rFonts w:ascii="宋体" w:hAnsi="宋体" w:cs="宋体"/>
          <w:b/>
          <w:bCs/>
          <w:color w:val="auto"/>
          <w:sz w:val="24"/>
        </w:rPr>
      </w:pPr>
      <w:r>
        <w:rPr>
          <w:rFonts w:hint="eastAsia" w:ascii="宋体" w:hAnsi="宋体" w:cs="宋体"/>
          <w:b/>
          <w:bCs/>
          <w:color w:val="auto"/>
          <w:sz w:val="24"/>
        </w:rPr>
        <w:t>32.9履约保证金政策</w:t>
      </w:r>
    </w:p>
    <w:p w14:paraId="57B23E07">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确需收取履约保证金的，履约保证金的缴纳形式：</w:t>
      </w:r>
    </w:p>
    <w:p w14:paraId="34E980C0">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279DAE2F">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如以履约保函（保险）形式缴纳履约保证金，供应商可通过政府采购电子履约保函（保险）平台（www.jsdzbh.com）在线申请履约保函（保险）。</w:t>
      </w:r>
    </w:p>
    <w:p w14:paraId="496D0553">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color w:val="auto"/>
          <w:sz w:val="24"/>
        </w:rPr>
        <w:t>降低履约保证金缴纳比例为</w:t>
      </w:r>
      <w:r>
        <w:rPr>
          <w:rFonts w:hint="eastAsia" w:ascii="宋体" w:hAnsi="宋体" w:cs="宋体"/>
          <w:b/>
          <w:bCs/>
          <w:color w:val="auto"/>
          <w:sz w:val="24"/>
          <w:u w:val="single"/>
        </w:rPr>
        <w:t>5%</w:t>
      </w:r>
      <w:r>
        <w:rPr>
          <w:rFonts w:hint="eastAsia" w:ascii="宋体" w:hAnsi="宋体" w:cs="宋体"/>
          <w:color w:val="auto"/>
          <w:sz w:val="24"/>
        </w:rPr>
        <w:t>。</w:t>
      </w:r>
    </w:p>
    <w:p w14:paraId="6715A2FD">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b/>
          <w:color w:val="auto"/>
          <w:sz w:val="24"/>
        </w:rPr>
        <w:t>33.预付款制度</w:t>
      </w:r>
    </w:p>
    <w:p w14:paraId="5A9BC5FE">
      <w:pPr>
        <w:keepNext w:val="0"/>
        <w:keepLines w:val="0"/>
        <w:pageBreakBefore w:val="0"/>
        <w:pBdr>
          <w:top w:val="none" w:color="000000" w:sz="0" w:space="0"/>
          <w:left w:val="none" w:color="000000" w:sz="0" w:space="0"/>
          <w:bottom w:val="none" w:color="000000" w:sz="0" w:space="0"/>
          <w:right w:val="none" w:color="000000" w:sz="0" w:space="0"/>
        </w:pBdr>
        <w:spacing w:line="500" w:lineRule="exact"/>
        <w:ind w:firstLine="480"/>
        <w:rPr>
          <w:rFonts w:ascii="宋体" w:hAnsi="宋体" w:cs="宋体"/>
          <w:color w:val="auto"/>
          <w:sz w:val="24"/>
        </w:rPr>
      </w:pPr>
      <w:r>
        <w:rPr>
          <w:rFonts w:hint="eastAsia" w:ascii="宋体" w:hAnsi="宋体" w:cs="宋体"/>
          <w:color w:val="auto"/>
          <w:sz w:val="24"/>
        </w:rPr>
        <w:t>本项目落实预付款制度，预付款比例为</w:t>
      </w:r>
      <w:r>
        <w:rPr>
          <w:rFonts w:hint="eastAsia" w:ascii="宋体" w:hAnsi="宋体" w:cs="宋体"/>
          <w:color w:val="auto"/>
          <w:sz w:val="24"/>
          <w:u w:val="single"/>
        </w:rPr>
        <w:t>30%</w:t>
      </w:r>
      <w:r>
        <w:rPr>
          <w:rFonts w:hint="eastAsia" w:ascii="宋体" w:hAnsi="宋体" w:cs="宋体"/>
          <w:color w:val="auto"/>
          <w:sz w:val="24"/>
        </w:rPr>
        <w:t>。在签订合同时，中标、成交供应商明确书面表示无需预付款或者主动要求降低预付款比例的，采购人可就预付款比例作相应调整。</w:t>
      </w:r>
    </w:p>
    <w:p w14:paraId="6189298E">
      <w:pPr>
        <w:spacing w:line="560" w:lineRule="exact"/>
        <w:rPr>
          <w:rFonts w:ascii="宋体" w:hAnsi="宋体" w:cs="宋体"/>
          <w:color w:val="auto"/>
          <w:sz w:val="24"/>
        </w:rPr>
      </w:pPr>
      <w:r>
        <w:rPr>
          <w:rFonts w:hint="eastAsia" w:ascii="宋体" w:hAnsi="宋体" w:cs="宋体"/>
          <w:color w:val="auto"/>
          <w:sz w:val="24"/>
        </w:rPr>
        <w:br w:type="page" w:clear="all"/>
      </w:r>
    </w:p>
    <w:p w14:paraId="103EDF82">
      <w:pPr>
        <w:widowControl/>
        <w:spacing w:line="560" w:lineRule="exact"/>
        <w:ind w:firstLine="480"/>
        <w:jc w:val="center"/>
        <w:outlineLvl w:val="0"/>
        <w:rPr>
          <w:rFonts w:ascii="黑体" w:hAnsi="黑体" w:eastAsia="黑体" w:cs="黑体"/>
          <w:color w:val="auto"/>
          <w:sz w:val="44"/>
          <w:szCs w:val="44"/>
        </w:rPr>
      </w:pPr>
      <w:bookmarkStart w:id="3" w:name="_Toc31242"/>
      <w:r>
        <w:rPr>
          <w:rFonts w:hint="eastAsia" w:ascii="黑体" w:hAnsi="黑体" w:eastAsia="黑体" w:cs="黑体"/>
          <w:color w:val="auto"/>
          <w:sz w:val="44"/>
          <w:szCs w:val="44"/>
        </w:rPr>
        <w:t>第三章 合同文本</w:t>
      </w:r>
      <w:bookmarkEnd w:id="3"/>
    </w:p>
    <w:p w14:paraId="484ADB20">
      <w:pPr>
        <w:pStyle w:val="195"/>
        <w:keepNext w:val="0"/>
        <w:keepLines w:val="0"/>
        <w:pageBreakBefore w:val="0"/>
        <w:spacing w:line="500" w:lineRule="exact"/>
        <w:ind w:left="0"/>
        <w:jc w:val="center"/>
        <w:rPr>
          <w:rFonts w:hint="eastAsia"/>
          <w:b/>
          <w:bCs/>
          <w:color w:val="auto"/>
          <w:sz w:val="28"/>
        </w:rPr>
      </w:pPr>
      <w:r>
        <w:rPr>
          <w:rFonts w:hint="eastAsia" w:ascii="宋体" w:hAnsi="宋体" w:cs="宋体"/>
          <w:color w:val="auto"/>
          <w:sz w:val="24"/>
          <w:szCs w:val="24"/>
        </w:rPr>
        <w:t>以下为中标后签</w:t>
      </w:r>
      <w:r>
        <w:rPr>
          <w:rFonts w:hint="eastAsia" w:ascii="宋体" w:hAnsi="宋体" w:cs="宋体"/>
          <w:color w:val="auto"/>
          <w:sz w:val="24"/>
          <w:szCs w:val="24"/>
          <w:lang w:eastAsia="zh-CN"/>
        </w:rPr>
        <w:t>订</w:t>
      </w:r>
      <w:r>
        <w:rPr>
          <w:rFonts w:hint="eastAsia" w:ascii="宋体" w:hAnsi="宋体" w:cs="宋体"/>
          <w:color w:val="auto"/>
          <w:sz w:val="24"/>
          <w:szCs w:val="24"/>
        </w:rPr>
        <w:t>本项目合同的通用条款，中标人不得提出实质性的修改。</w:t>
      </w:r>
    </w:p>
    <w:p w14:paraId="3EE11D44">
      <w:pPr>
        <w:keepNext w:val="0"/>
        <w:keepLines w:val="0"/>
        <w:pageBreakBefore w:val="0"/>
        <w:widowControl/>
        <w:spacing w:line="500" w:lineRule="exact"/>
        <w:ind w:left="0" w:firstLine="480"/>
        <w:jc w:val="center"/>
        <w:rPr>
          <w:rFonts w:hint="eastAsia" w:ascii="宋体" w:hAnsi="宋体" w:eastAsia="宋体" w:cs="宋体"/>
          <w:color w:val="auto"/>
          <w:sz w:val="24"/>
          <w:szCs w:val="20"/>
          <w:lang w:val="zh-CN"/>
        </w:rPr>
      </w:pPr>
      <w:r>
        <w:rPr>
          <w:rFonts w:hint="eastAsia"/>
          <w:b/>
          <w:bCs/>
          <w:color w:val="auto"/>
          <w:sz w:val="28"/>
        </w:rPr>
        <w:t>政府采购合同</w:t>
      </w:r>
    </w:p>
    <w:p w14:paraId="195C0E86">
      <w:pPr>
        <w:spacing w:line="360" w:lineRule="auto"/>
        <w:rPr>
          <w:rFonts w:hint="eastAsia" w:ascii="宋体" w:hAnsi="宋体" w:eastAsia="宋体" w:cs="宋体"/>
          <w:color w:val="auto"/>
          <w:sz w:val="24"/>
          <w:szCs w:val="24"/>
          <w:highlight w:val="none"/>
        </w:rPr>
      </w:pPr>
    </w:p>
    <w:p w14:paraId="571B1946">
      <w:pPr>
        <w:spacing w:line="360" w:lineRule="auto"/>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u w:val="single"/>
          <w:lang w:val="en-US" w:eastAsia="zh-CN"/>
        </w:rPr>
        <w:t xml:space="preserve">                         </w:t>
      </w:r>
    </w:p>
    <w:p w14:paraId="5802CE00">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lang w:eastAsia="zh-CN"/>
        </w:rPr>
        <w:t>盐城市亭湖区便仓初级中学2026年物业服务项目</w:t>
      </w:r>
    </w:p>
    <w:p w14:paraId="7EB6287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甲方(采购人)：</w:t>
      </w:r>
      <w:r>
        <w:rPr>
          <w:rFonts w:hint="eastAsia" w:ascii="宋体" w:hAnsi="宋体" w:eastAsia="宋体" w:cs="宋体"/>
          <w:color w:val="auto"/>
          <w:sz w:val="24"/>
          <w:szCs w:val="24"/>
          <w:highlight w:val="none"/>
          <w:u w:val="single"/>
        </w:rPr>
        <w:t xml:space="preserve">盐城市亭湖区便仓初级中学     </w:t>
      </w:r>
    </w:p>
    <w:p w14:paraId="6655F32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乙方(中标人)：</w:t>
      </w:r>
      <w:r>
        <w:rPr>
          <w:rFonts w:hint="eastAsia" w:ascii="宋体" w:hAnsi="宋体" w:eastAsia="宋体" w:cs="宋体"/>
          <w:color w:val="auto"/>
          <w:sz w:val="24"/>
          <w:szCs w:val="24"/>
          <w:highlight w:val="none"/>
          <w:u w:val="single"/>
        </w:rPr>
        <w:t xml:space="preserve">                             </w:t>
      </w:r>
    </w:p>
    <w:p w14:paraId="560066B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甲、乙双方根据盐城市亭湖区公共资源交易中心</w:t>
      </w:r>
      <w:r>
        <w:rPr>
          <w:rFonts w:hint="eastAsia" w:ascii="宋体" w:hAnsi="宋体" w:eastAsia="宋体" w:cs="宋体"/>
          <w:color w:val="auto"/>
          <w:sz w:val="24"/>
          <w:szCs w:val="24"/>
          <w:highlight w:val="none"/>
          <w:u w:val="single"/>
          <w:lang w:eastAsia="zh-CN"/>
        </w:rPr>
        <w:t>盐城市亭湖区便仓初级中学2026年物业服务项目</w:t>
      </w:r>
      <w:r>
        <w:rPr>
          <w:rFonts w:hint="eastAsia" w:ascii="宋体" w:hAnsi="宋体" w:eastAsia="宋体" w:cs="宋体"/>
          <w:color w:val="auto"/>
          <w:sz w:val="24"/>
          <w:szCs w:val="24"/>
          <w:highlight w:val="none"/>
        </w:rPr>
        <w:t>公开招标的结果，依照《中华人民共和国民法典》《中华人民共和国政府采购法》《物业管理条例》《江苏省物业管理条例》及其他有关法律、行政法规，遵循平等、自愿、公平和诚实信用的原则，签署本合同。</w:t>
      </w:r>
    </w:p>
    <w:p w14:paraId="4E4900B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一、采购标的</w:t>
      </w:r>
    </w:p>
    <w:p w14:paraId="6A6C3FED">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1.1项目名称：</w:t>
      </w:r>
      <w:r>
        <w:rPr>
          <w:rFonts w:hint="eastAsia" w:ascii="宋体" w:hAnsi="宋体" w:eastAsia="宋体" w:cs="宋体"/>
          <w:color w:val="auto"/>
          <w:sz w:val="24"/>
          <w:szCs w:val="24"/>
          <w:highlight w:val="none"/>
          <w:u w:val="single"/>
          <w:lang w:eastAsia="zh-CN"/>
        </w:rPr>
        <w:t>盐城市亭湖区便仓初级中学2026年物业服务项目</w:t>
      </w:r>
    </w:p>
    <w:p w14:paraId="2D8593A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1.2委托服务范围及内容：</w:t>
      </w:r>
      <w:r>
        <w:rPr>
          <w:rFonts w:hint="eastAsia" w:ascii="宋体" w:hAnsi="宋体" w:eastAsia="宋体" w:cs="宋体"/>
          <w:color w:val="auto"/>
          <w:sz w:val="24"/>
          <w:szCs w:val="24"/>
          <w:highlight w:val="none"/>
          <w:lang w:eastAsia="zh-CN"/>
        </w:rPr>
        <w:t>盐城市亭湖区便仓初级中学2026年物业服务项目</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服务</w:t>
      </w:r>
      <w:r>
        <w:rPr>
          <w:rFonts w:hint="eastAsia" w:ascii="宋体" w:hAnsi="宋体" w:eastAsia="宋体" w:cs="宋体"/>
          <w:color w:val="auto"/>
          <w:sz w:val="24"/>
          <w:szCs w:val="24"/>
          <w:highlight w:val="none"/>
        </w:rPr>
        <w:t>主要</w:t>
      </w:r>
      <w:r>
        <w:rPr>
          <w:rFonts w:hint="eastAsia" w:ascii="宋体" w:hAnsi="宋体" w:eastAsia="宋体" w:cs="宋体"/>
          <w:color w:val="auto"/>
          <w:sz w:val="24"/>
          <w:szCs w:val="24"/>
          <w:highlight w:val="none"/>
          <w:lang w:eastAsia="zh-CN"/>
        </w:rPr>
        <w:t>内容及人员，</w:t>
      </w:r>
      <w:r>
        <w:rPr>
          <w:rFonts w:hint="eastAsia" w:ascii="宋体" w:hAnsi="宋体" w:eastAsia="宋体" w:cs="宋体"/>
          <w:color w:val="auto"/>
          <w:sz w:val="24"/>
          <w:szCs w:val="24"/>
          <w:highlight w:val="none"/>
        </w:rPr>
        <w:t>包含保洁(含绿化维护、农药化肥购买等)、</w:t>
      </w:r>
      <w:r>
        <w:rPr>
          <w:rFonts w:hint="eastAsia" w:ascii="宋体" w:hAnsi="宋体" w:eastAsia="宋体" w:cs="宋体"/>
          <w:color w:val="auto"/>
          <w:sz w:val="24"/>
          <w:szCs w:val="24"/>
          <w:highlight w:val="none"/>
          <w:lang w:val="en-US" w:eastAsia="zh-CN"/>
        </w:rPr>
        <w:t>学校水电日常</w:t>
      </w:r>
      <w:r>
        <w:rPr>
          <w:rFonts w:hint="eastAsia" w:ascii="宋体" w:hAnsi="宋体" w:eastAsia="宋体" w:cs="宋体"/>
          <w:color w:val="auto"/>
          <w:sz w:val="24"/>
          <w:szCs w:val="24"/>
          <w:highlight w:val="none"/>
          <w:lang w:eastAsia="zh-CN"/>
        </w:rPr>
        <w:t>维修</w:t>
      </w:r>
      <w:r>
        <w:rPr>
          <w:rFonts w:hint="eastAsia" w:ascii="宋体" w:hAnsi="宋体" w:eastAsia="宋体" w:cs="宋体"/>
          <w:color w:val="auto"/>
          <w:sz w:val="24"/>
          <w:szCs w:val="24"/>
          <w:highlight w:val="none"/>
          <w:lang w:val="en-US" w:eastAsia="zh-CN"/>
        </w:rPr>
        <w:t>维护</w:t>
      </w:r>
      <w:r>
        <w:rPr>
          <w:rFonts w:hint="eastAsia" w:ascii="宋体" w:hAnsi="宋体" w:eastAsia="宋体" w:cs="宋体"/>
          <w:color w:val="auto"/>
          <w:sz w:val="24"/>
          <w:szCs w:val="24"/>
          <w:highlight w:val="none"/>
        </w:rPr>
        <w:t>、学生宿舍管理</w:t>
      </w:r>
      <w:r>
        <w:rPr>
          <w:rFonts w:hint="eastAsia" w:ascii="宋体" w:hAnsi="宋体" w:eastAsia="宋体" w:cs="宋体"/>
          <w:color w:val="auto"/>
          <w:sz w:val="24"/>
          <w:szCs w:val="24"/>
          <w:highlight w:val="none"/>
          <w:lang w:eastAsia="zh-CN"/>
        </w:rPr>
        <w:t>、夜间值班巡逻等</w:t>
      </w:r>
      <w:r>
        <w:rPr>
          <w:rFonts w:hint="eastAsia" w:ascii="宋体" w:hAnsi="宋体" w:eastAsia="宋体" w:cs="宋体"/>
          <w:color w:val="auto"/>
          <w:sz w:val="24"/>
          <w:szCs w:val="24"/>
          <w:highlight w:val="none"/>
        </w:rPr>
        <w:t>，具体以招标文件约定为准，采购人保留对服务内容进行适当调整的权利，具体详见招标文件采购需求。</w:t>
      </w:r>
    </w:p>
    <w:p w14:paraId="2286BC3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二、合同金额</w:t>
      </w:r>
    </w:p>
    <w:p w14:paraId="6A2F6E8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本合同总价为人民币（大写）：_________元整（¥_________），是指乙方为完成招标文件中所确定的全部服务工作内容所发生的一切费用，即主要包含但不限于：所有物业服务派遣人员的工资、社会保险费（五险一金）、人员服装费、加班费(含节假日加班费)、垃圾收集清运费（至垃圾房）、电话费、酬金（管理费、利润）、福利费、劳动保护用品费、绿化保洁用具费、绿化保洁用品（清洁剂、消毒剂、药水等耗材）费、公众责任保险费、法定税费、意外伤害险费、体检费、劳务费、培训费、不可预测费及政策性文件规定等各项应有费用，以及为完成招标文件规定的物业管理服务工作所涉及到的一切相关费用。遇有临时性大型活动等相关工作由甲方提出要求，乙方需无条件服从甲方的要求，能够及时增派人手，临时增加产生的费用甲方据实另行支付费用（具体金额由实施时双方商定），不纳入本次物业管理服务费的范畴。</w:t>
      </w:r>
    </w:p>
    <w:p w14:paraId="67EF230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2.2除本合同规定的应收费用外，未经甲方同意，乙方不得借物业服务，另行收取其他任何费用。</w:t>
      </w:r>
    </w:p>
    <w:p w14:paraId="1F05101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2.3本项目用于绿化保洁的日常劳动用具（包括拖把、扫把、手套、簸箕等）和日常绿化保洁用品（清洁剂、消毒剂、药水等耗材）均由乙方购置并承担费用。</w:t>
      </w:r>
    </w:p>
    <w:p w14:paraId="4B1E47D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2.4本项目所有人员的工作服装和劳动保护用品等均由乙方购置并承担费用。</w:t>
      </w:r>
    </w:p>
    <w:p w14:paraId="707C231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三、质量及周期要求</w:t>
      </w:r>
    </w:p>
    <w:p w14:paraId="4242AFB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3.1质量要求：按甲方的委托服务事项和服务考核细则（考核标准）进行物业服务，且服务质量达到优质服务的标准。</w:t>
      </w:r>
    </w:p>
    <w:p w14:paraId="4CBFF4F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3.2合同履行期限：</w:t>
      </w:r>
      <w:r>
        <w:rPr>
          <w:rFonts w:hint="eastAsia" w:ascii="宋体" w:hAnsi="宋体" w:eastAsia="宋体" w:cs="宋体"/>
          <w:color w:val="auto"/>
          <w:sz w:val="24"/>
          <w:szCs w:val="24"/>
          <w:highlight w:val="none"/>
          <w:lang w:eastAsia="zh-CN"/>
        </w:rPr>
        <w:t>一</w:t>
      </w:r>
      <w:r>
        <w:rPr>
          <w:rFonts w:hint="eastAsia" w:ascii="宋体" w:hAnsi="宋体" w:eastAsia="宋体" w:cs="宋体"/>
          <w:color w:val="auto"/>
          <w:sz w:val="24"/>
          <w:szCs w:val="24"/>
          <w:highlight w:val="none"/>
        </w:rPr>
        <w:t>年（试用期3个月）。</w:t>
      </w:r>
    </w:p>
    <w:p w14:paraId="4A3F9E1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乙方在本合同委托管理期限期满后在一周内无条件地按相关规定完成移交工作（乙方应移交所有的物管档案资料和电子文档以及甲方提供的用房、用具等，经甲方或甲方委托的新物管公司验收合格后方可退场）。</w:t>
      </w:r>
    </w:p>
    <w:p w14:paraId="680BE3F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四、履约保证金</w:t>
      </w:r>
    </w:p>
    <w:p w14:paraId="08275FF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4.1本项目履约保证金为合同价的10%，即</w:t>
      </w:r>
      <w:r>
        <w:rPr>
          <w:rFonts w:hint="eastAsia" w:ascii="宋体" w:hAnsi="宋体" w:eastAsia="宋体" w:cs="宋体"/>
          <w:color w:val="auto"/>
          <w:sz w:val="24"/>
          <w:szCs w:val="24"/>
          <w:highlight w:val="none"/>
          <w:u w:val="single"/>
        </w:rPr>
        <w:t>人民币         （¥       ）</w:t>
      </w:r>
      <w:r>
        <w:rPr>
          <w:rFonts w:hint="eastAsia" w:ascii="宋体" w:hAnsi="宋体" w:eastAsia="宋体" w:cs="宋体"/>
          <w:color w:val="auto"/>
          <w:sz w:val="24"/>
          <w:szCs w:val="24"/>
          <w:highlight w:val="none"/>
        </w:rPr>
        <w:t>（合同价即为中标价），于本项目服务期限满后无息退还。</w:t>
      </w:r>
    </w:p>
    <w:p w14:paraId="66D1DEC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履约保证金的缴纳形式：转账、支票、汇票、本票或者金融机构、担保机构出具的保函（保险）等形式提交，可根据（苏财购[2023]150号《关于在全省政府采购领域推行电子履约保函（保险）的通知》成交供应商可选择电子保函（保险）的形式）。</w:t>
      </w:r>
    </w:p>
    <w:p w14:paraId="57FA9FF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注：履约保证金鼓励招标人对AA 评级及以上政府采购投标人(需提供信用管理部门备案的第三方信用报告),免收履约保证金或降低履约保证金缴纳比例。(本项目约定降低履约保证金缴纳比例，履约保证金调整为合同价的5%)。</w:t>
      </w:r>
    </w:p>
    <w:p w14:paraId="4F03ED9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4.3乙方未能履行合同规定的任何义务，甲方有权从履约保证金中得到补偿。</w:t>
      </w:r>
    </w:p>
    <w:p w14:paraId="6BD2526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五、服务要求及考核要求</w:t>
      </w:r>
    </w:p>
    <w:p w14:paraId="32EB559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5.1服务要求：乙方必须根据甲方需求配置所需物管服务人员，不得随意增减物管服务人员人数，所有物管服务人员必须服从甲方管理，严格遵守岗位职责，具体服务要求详见招标文件。</w:t>
      </w:r>
    </w:p>
    <w:p w14:paraId="1914797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考核要求：甲方于每月15日前对上月的物业管理工作进行考核。乙方必须认真组织物管服务人员学习物业管理工作考核办法，学校将据此每月对物管工作进行考核督查及测评，得分必须达80分以上合格，考核督查中发现的问题按考核办法扣除，如不合格则限期整改，直至解除合同。详见合同附件：《盐城市亭湖区便仓初级中学物业考核办法》。</w:t>
      </w:r>
    </w:p>
    <w:p w14:paraId="4CBC2AA6">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5.3</w:t>
      </w:r>
      <w:r>
        <w:rPr>
          <w:rFonts w:hint="eastAsia" w:ascii="宋体" w:hAnsi="宋体" w:eastAsia="宋体" w:cs="宋体"/>
          <w:color w:val="auto"/>
          <w:sz w:val="24"/>
          <w:szCs w:val="24"/>
          <w:highlight w:val="none"/>
          <w:lang w:val="zh-CN"/>
        </w:rPr>
        <w:t>考核的组织人员与实施：校方成立物业管理考核小组定期对物业管服务进行考核。具体工作由总务处牵头，具体负责相关考核工作。考核小组依据百分考核情况（满分为100分）。</w:t>
      </w:r>
    </w:p>
    <w:p w14:paraId="79CC1638">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5.4</w:t>
      </w:r>
      <w:r>
        <w:rPr>
          <w:rFonts w:hint="eastAsia" w:ascii="宋体" w:hAnsi="宋体" w:eastAsia="宋体" w:cs="宋体"/>
          <w:color w:val="auto"/>
          <w:sz w:val="24"/>
          <w:szCs w:val="24"/>
          <w:highlight w:val="none"/>
          <w:lang w:val="zh-CN"/>
        </w:rPr>
        <w:t>考核的认定与评判：考核标准：综合得分</w:t>
      </w:r>
      <w:r>
        <w:rPr>
          <w:rFonts w:hint="eastAsia" w:ascii="宋体" w:hAnsi="宋体" w:eastAsia="宋体" w:cs="宋体"/>
          <w:color w:val="auto"/>
          <w:sz w:val="24"/>
          <w:szCs w:val="24"/>
          <w:highlight w:val="none"/>
        </w:rPr>
        <w:t>80-100</w:t>
      </w:r>
      <w:r>
        <w:rPr>
          <w:rFonts w:hint="eastAsia" w:ascii="宋体" w:hAnsi="宋体" w:eastAsia="宋体" w:cs="宋体"/>
          <w:color w:val="auto"/>
          <w:sz w:val="24"/>
          <w:szCs w:val="24"/>
          <w:highlight w:val="none"/>
          <w:lang w:val="zh-CN"/>
        </w:rPr>
        <w:t>分为</w:t>
      </w:r>
      <w:r>
        <w:rPr>
          <w:rFonts w:hint="eastAsia" w:ascii="宋体" w:hAnsi="宋体" w:eastAsia="宋体" w:cs="宋体"/>
          <w:color w:val="auto"/>
          <w:sz w:val="24"/>
          <w:szCs w:val="24"/>
          <w:highlight w:val="none"/>
        </w:rPr>
        <w:t>合格</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80</w:t>
      </w:r>
      <w:r>
        <w:rPr>
          <w:rFonts w:hint="eastAsia" w:ascii="宋体" w:hAnsi="宋体" w:eastAsia="宋体" w:cs="宋体"/>
          <w:color w:val="auto"/>
          <w:sz w:val="24"/>
          <w:szCs w:val="24"/>
          <w:highlight w:val="none"/>
          <w:lang w:val="zh-CN"/>
        </w:rPr>
        <w:t>分以下为不合格。</w:t>
      </w:r>
    </w:p>
    <w:p w14:paraId="22CB26A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5.5</w:t>
      </w:r>
      <w:r>
        <w:rPr>
          <w:rFonts w:hint="eastAsia" w:ascii="宋体" w:hAnsi="宋体" w:eastAsia="宋体" w:cs="宋体"/>
          <w:color w:val="auto"/>
          <w:sz w:val="24"/>
          <w:szCs w:val="24"/>
          <w:highlight w:val="none"/>
          <w:lang w:val="zh-CN"/>
        </w:rPr>
        <w:t>意见反馈：校方将考核结果三日内反馈物业公司，物业公司必须在一周内整改到位，考核不合格将按照合同约定中的条款进行处理。</w:t>
      </w:r>
    </w:p>
    <w:p w14:paraId="6BD842D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六、付款方式</w:t>
      </w:r>
    </w:p>
    <w:p w14:paraId="32553A9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6.1合同签订后，甲方支付合同总价的30%作为预付款，乙方须提供相应的增值税发票；</w:t>
      </w:r>
    </w:p>
    <w:p w14:paraId="65E5ECD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付款方式：剩余70%的物业管理费的支付采用“月月考核，按月支付”考核的方式，即甲方于次月15日前对上月的物业管理工作进行考核。经甲方考核合格于每月末支付当月物业管理费。物业费按月支付，从第二个月开始，物业公司付清派遣到本校的从业人员工资后，学校支付上一个月服务费。考核结果在季度末支付物业管理费中兑现，如一个季度中连续有两个月或一年中累计三个月考核不合格，甲方有权单方面解除本协议，并赔偿由此而造成的甲方的一切损失。同时，乙方在发放物业服务人员工资时，应结合服务单位对物管人员服务情况的考核情况（注：按以上付款，无任何银行利息，一律通过银行结转）。如因上级财政部门资金拨付不到位，则甲方确保在年底结清款项。乙方承诺：仍按合同约定提供服务，且不因拖欠资金追究甲方的相关责任和损失。</w:t>
      </w:r>
    </w:p>
    <w:p w14:paraId="2F08F32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七、结算方式</w:t>
      </w:r>
    </w:p>
    <w:p w14:paraId="0CCF42C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合同实施过程中中标总价一律不予调整（除甲方调整项目内容或合同约定调整外）。</w:t>
      </w:r>
    </w:p>
    <w:p w14:paraId="2F7341A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7.2结算价=中标总价±甲方调整项目内容或合同约定调整价款。</w:t>
      </w:r>
    </w:p>
    <w:p w14:paraId="3F6B325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7.3因乙方自身原因造成工作量增加的，乙方无权要求任何补偿。</w:t>
      </w:r>
    </w:p>
    <w:p w14:paraId="7B9AD0C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7.4本合同执行中相关的一切税费均由乙方负担。</w:t>
      </w:r>
    </w:p>
    <w:p w14:paraId="152F4B1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八、违约赔偿</w:t>
      </w:r>
    </w:p>
    <w:p w14:paraId="137281A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8.1甲方不履行本合同约定的义务，乙方可要求甲方履行，由此造成乙方的损失，甲方应承担相应的责任；</w:t>
      </w:r>
    </w:p>
    <w:p w14:paraId="01FBC1E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8.2甲方违反本合同的约定，未能按时如数交纳物业服务费的，应按每月千分之五的标准向乙方支付违约金，并应于五日内补交拖欠费用；</w:t>
      </w:r>
    </w:p>
    <w:p w14:paraId="329B7CD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8.3乙方违反本合同约定，乙方如发生将本物业转包、转让、违规出现违法现象或在履行合约单方中途退出的，甲方将中止本合同，不予退还履约保证金并有权追究乙方其它责任；</w:t>
      </w:r>
    </w:p>
    <w:p w14:paraId="123FBDE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8.4双方约定，在下列条件下所致的损害，可构成对乙方的免责事由：</w:t>
      </w:r>
    </w:p>
    <w:p w14:paraId="47DC777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（1）因不可抗力而导致的中断服务或物业价值的贬损；</w:t>
      </w:r>
    </w:p>
    <w:p w14:paraId="53D2C0C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（2）因物业本身固有的瑕疵造成的损害；</w:t>
      </w:r>
    </w:p>
    <w:p w14:paraId="471C9EE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8.5甲乙双方均应严格履行合同的约定，若任何一方导致合同不能正常履行或无故单方解除合同，则应承担壹万元整（¥10000元）人民币违约金和由此造成的后果，给对方造成的损失，应赔偿相应损失。</w:t>
      </w:r>
    </w:p>
    <w:p w14:paraId="7412AC0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九、各方当事人的义务或协作事项及承担的责任</w:t>
      </w:r>
    </w:p>
    <w:p w14:paraId="41C8BC0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9.1甲方权利：</w:t>
      </w:r>
    </w:p>
    <w:p w14:paraId="4122237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9.1.1审定乙方拟定的年度物业管理服务计划和方案；</w:t>
      </w:r>
    </w:p>
    <w:p w14:paraId="07985EA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9.1.2甲方有权对乙方的物业管理工作和投标文件、考核标准、合同履行情况进行监督检查，考核、监督乙方管理工作的实施及相关制度和《投标文件》执行情况，对发现的问题，乙方应及时整改，针对乙方未达标或考核不合格的情况提出整改要求并扣除相应的物业服务费用；甲方下达整改通知后，乙方逾期仍达不到承诺目标，甲方有权视情节对乙方实施处罚，直至终止合同；</w:t>
      </w:r>
    </w:p>
    <w:p w14:paraId="0576459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9.1.3对拒绝、不服从或抵触甲方领导指挥的乙方派遣人员，甲方有权要求乙方进行调换，否则甲方有权终止本合同，并对乙方进行经济处罚；</w:t>
      </w:r>
    </w:p>
    <w:p w14:paraId="5C110A7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9.1.4监督、指导乙方派遣人员在区域内的一切行为和活动；乙方派遣的物业服务人员进场前应征求甲方的意见。如甲方对个别物业服务人员不满意，乙方应予以调换。</w:t>
      </w:r>
    </w:p>
    <w:p w14:paraId="353ED59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9.1.5依据相关法律、法规规定享有的其他权利。</w:t>
      </w:r>
    </w:p>
    <w:p w14:paraId="116E013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9.2甲方义务：</w:t>
      </w:r>
    </w:p>
    <w:p w14:paraId="0DCE72A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9.2.1甲方应向乙方移交下列资料：</w:t>
      </w:r>
    </w:p>
    <w:p w14:paraId="3B09844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（1）竣工总平面图，绿化图，单体建筑、结构、设备竣工图，配套设施、地下管网竣工图等竣工资料；</w:t>
      </w:r>
    </w:p>
    <w:p w14:paraId="765672A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（2）物业管理所必需的其他资料。</w:t>
      </w:r>
    </w:p>
    <w:p w14:paraId="563BEFE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9.2.2按照合同约定按时足额支付物业服务费；</w:t>
      </w:r>
    </w:p>
    <w:p w14:paraId="54B3687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9.2.3协助乙方做好物业管理工作；</w:t>
      </w:r>
    </w:p>
    <w:p w14:paraId="343EB8E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9.2.4协助乙方规范对区域内人员违反法规、规章的行为；</w:t>
      </w:r>
    </w:p>
    <w:p w14:paraId="2A3183F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9.2.5协调、配合乙方共同处理本合同生效前发生的相关遗留问题；</w:t>
      </w:r>
    </w:p>
    <w:p w14:paraId="3ADEF7A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9.2.6法律、法规规定的其他义务。</w:t>
      </w:r>
    </w:p>
    <w:p w14:paraId="57F69DE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9.3乙方权利：</w:t>
      </w:r>
    </w:p>
    <w:p w14:paraId="7F36938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9.3.1按照国家和有关物业管理的技术标准、行业规范以及本服务合同进行管理，提供专业化的服务；</w:t>
      </w:r>
    </w:p>
    <w:p w14:paraId="15A6269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9.3.2按照本合同和有关规定向甲方收取物业服务费用和其他费用；</w:t>
      </w:r>
    </w:p>
    <w:p w14:paraId="1105566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9.3.3根据甲方授权，制定必要的规章制度，并以有效方式督促辖区内人员遵守；</w:t>
      </w:r>
    </w:p>
    <w:p w14:paraId="5906178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9.3.4依照法律、法规规定和本合同约定享有的其他权利。</w:t>
      </w:r>
    </w:p>
    <w:p w14:paraId="693B7DC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9.4乙方义务：</w:t>
      </w:r>
    </w:p>
    <w:p w14:paraId="78FD0C4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9.4.1全面贯彻执行国家物业管理的法规、政策，全面遵守《招标文件》的要求，执行《投标文件》的承诺，接受甲方的检查、考核和监督，接受物业管理行政主管部门等的监督和指导。</w:t>
      </w:r>
    </w:p>
    <w:p w14:paraId="2B5A995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9.4.2在承接物业时，应当对物业共用部位、共用设施设备进行查验,并做好书面记录和签认工作；</w:t>
      </w:r>
    </w:p>
    <w:p w14:paraId="6B82E0B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9.4.3结合本物业管理区域的实际情况，编制年度管理计划，经甲方批准后组织实施；</w:t>
      </w:r>
    </w:p>
    <w:p w14:paraId="7B1866F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9.4.4乙方不得将履行本合同的责任转让给第三方；</w:t>
      </w:r>
    </w:p>
    <w:p w14:paraId="235713F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9.4.5本合同终止或出现本合同约定终止情形时，乙方应当在接到通知七日内将物业管理用房和物业管理相关资料、物件、设施及时如数地移交给甲方并撤出前委托管理区域，不得以任何理由拒绝或拖延；</w:t>
      </w:r>
    </w:p>
    <w:p w14:paraId="36F71BF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9.4.6法律、法规规定的其他义务。</w:t>
      </w:r>
    </w:p>
    <w:p w14:paraId="133CACB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十、物业管理用房</w:t>
      </w:r>
    </w:p>
    <w:p w14:paraId="6A067EE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10.1甲方须向乙方提供固定的物业管理用房。</w:t>
      </w:r>
    </w:p>
    <w:p w14:paraId="308F8F5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10.2物业管理用房属甲方所有，由乙方在本合同期限内无偿使用，但不得改变其用途。本合同终止时，乙方应当将物业管理用房、物业管理相关资料、物件、设施等及时如数地移交给甲方。</w:t>
      </w:r>
    </w:p>
    <w:p w14:paraId="66D9B36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十一、不可抗力事件处理</w:t>
      </w:r>
    </w:p>
    <w:p w14:paraId="567BAB6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11.1在合同有效期内，任何一方因不可抗力事件导致不能履行合同，则合同履行期延长，其延长期与不可抗力影响期相同。</w:t>
      </w:r>
    </w:p>
    <w:p w14:paraId="54795F2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11.2不可抗力事件发生后，应立即通知对方，并寄送有关权威机构出具的证明。</w:t>
      </w:r>
    </w:p>
    <w:p w14:paraId="6A7D853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11.3不可抗力事件延续120天以上，双方应通过友好协商，确定是否继续履行合同。</w:t>
      </w:r>
    </w:p>
    <w:p w14:paraId="68C7B85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十二、争议</w:t>
      </w:r>
    </w:p>
    <w:p w14:paraId="38E501A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应通过友好协商，解决在执行本合同中所发生的或与本合同有关的一切争议，如协商仍得不到解决，任何一方均可依法向项目所在地人民法院起诉。在诉讼过程中，除提交诉讼的争议部分外，合同其余部分继续履行。</w:t>
      </w:r>
    </w:p>
    <w:p w14:paraId="54277AD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十三、违约终止合同</w:t>
      </w:r>
    </w:p>
    <w:p w14:paraId="451BDF4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13.1甲方在乙方违约的情况下：</w:t>
      </w:r>
    </w:p>
    <w:p w14:paraId="12B88C0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13.1.1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p>
    <w:p w14:paraId="01BB028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13.2在甲方根据第13.1条规定，终止了全部或部分合同，甲方可以依其认为适当的条件和方法购买与未履行类似的服务，乙方应对购买类似服务所超出的费用负责。而且乙方还应继续执行合同中未终止的部分。</w:t>
      </w:r>
    </w:p>
    <w:p w14:paraId="60A531B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十四、转包和分包</w:t>
      </w:r>
    </w:p>
    <w:p w14:paraId="747756D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14.1甲方不允许乙方将本项目转包给任何第三方，否则，甲方有权终止合同，乙方的履约保证金将不予退还。转包造成甲方损失的，乙方应承担相应赔偿责任，从到期的合同款中扣除。</w:t>
      </w:r>
    </w:p>
    <w:p w14:paraId="6497E63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14.2未经甲方同意，乙方也不得采用分包的形式履行合同，否则，甲方有权终止合同，乙方的履约保证金将不予退还。分包造成甲方损失的，乙方应承担相应赔偿责任，从到期的合同款中扣除。</w:t>
      </w:r>
    </w:p>
    <w:p w14:paraId="4830F9C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十五、其他</w:t>
      </w:r>
    </w:p>
    <w:p w14:paraId="7AAC6A0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15.1本项目招标文件和乙方的投标文件中（以及投标时承诺）被甲方认可的部分为本合同的不可分割的组成部分，与本合同具有同样效力。</w:t>
      </w:r>
    </w:p>
    <w:p w14:paraId="74DBBF2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乙方自行协调解决本项目实施过程中发生的各种矛盾，甲方不承担任何费用和责任，服务期不顺延；乙方已到项目现场踏勘以充分了解项目情况及任何其他影响承包价的情况，任何因忽视或误解项目情况而导致的索赔或服务期延长申请不被批准。</w:t>
      </w:r>
    </w:p>
    <w:p w14:paraId="706C98B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15.3乙方在服务过程中必须确保安全，如造成各种人身伤害、财产损失或其他事故，均由乙方负责处理和经济赔偿，甲方不承担任何责任。</w:t>
      </w:r>
    </w:p>
    <w:p w14:paraId="16F196E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15.4如甲方发现乙方按投标承诺配备了相应人员，但却不能完成相应物业服务或服务质量达不到要求的，甲方可责令乙方无偿更换或增加相应派遣人员，直至满足相应服务要求，其产生的费用由乙方自行承担，甲方不另行支付。</w:t>
      </w:r>
    </w:p>
    <w:p w14:paraId="2609208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15.5本合同中的未尽事宜，招标文件中有规定的，按招标文件中的规定处理；没有规定的，双方可协商后进行补充，以书面形式签订补充协议，补充协议与本合同具同等效力。本合同之附件均为本合同不可分割的组成部分，与本合同具有同等的法律效力。</w:t>
      </w:r>
    </w:p>
    <w:p w14:paraId="72886F9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15.6合同期满本合同自然终止。</w:t>
      </w:r>
    </w:p>
    <w:p w14:paraId="3797D92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15.7本合同一式陆份，以中文书写，甲、乙双方各执叁份，经甲、乙双方签字盖章后生效。</w:t>
      </w:r>
    </w:p>
    <w:p w14:paraId="6E03D47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甲方（采购人）：（盖章）             乙方（供应商）：（盖章）</w:t>
      </w:r>
      <w:r>
        <w:rPr>
          <w:rFonts w:hint="eastAsia" w:ascii="宋体" w:hAnsi="宋体" w:eastAsia="宋体" w:cs="宋体"/>
          <w:color w:val="auto"/>
          <w:sz w:val="24"/>
          <w:szCs w:val="24"/>
          <w:highlight w:val="none"/>
        </w:rPr>
        <w:tab/>
      </w:r>
    </w:p>
    <w:p w14:paraId="271E090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代表人(签字或盖章)：                  代表人(签字或盖章)：</w:t>
      </w:r>
      <w:r>
        <w:rPr>
          <w:rFonts w:hint="eastAsia" w:ascii="宋体" w:hAnsi="宋体" w:eastAsia="宋体" w:cs="宋体"/>
          <w:color w:val="auto"/>
          <w:sz w:val="24"/>
          <w:szCs w:val="24"/>
          <w:highlight w:val="none"/>
        </w:rPr>
        <w:tab/>
      </w:r>
    </w:p>
    <w:p w14:paraId="553845D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                           电    话： </w:t>
      </w:r>
    </w:p>
    <w:p w14:paraId="3409CDC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p>
    <w:p w14:paraId="5456548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    号：                           帐    号：</w:t>
      </w:r>
      <w:r>
        <w:rPr>
          <w:rFonts w:hint="eastAsia" w:ascii="宋体" w:hAnsi="宋体" w:eastAsia="宋体" w:cs="宋体"/>
          <w:color w:val="auto"/>
          <w:sz w:val="24"/>
          <w:szCs w:val="24"/>
          <w:highlight w:val="none"/>
        </w:rPr>
        <w:tab/>
      </w:r>
    </w:p>
    <w:p w14:paraId="7125247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              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年   月   日</w:t>
      </w:r>
    </w:p>
    <w:p w14:paraId="782C8902">
      <w:pPr>
        <w:widowControl/>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附件1：《盐城市亭湖区便仓初级中学物业考核办法》</w:t>
      </w:r>
    </w:p>
    <w:p w14:paraId="4A392432">
      <w:pPr>
        <w:pBdr>
          <w:top w:val="none" w:color="000000" w:sz="0" w:space="0"/>
          <w:left w:val="none" w:color="000000" w:sz="0" w:space="0"/>
          <w:bottom w:val="none" w:color="000000" w:sz="0" w:space="0"/>
          <w:right w:val="none" w:color="000000" w:sz="0" w:space="0"/>
        </w:pBdr>
        <w:spacing w:line="360" w:lineRule="auto"/>
        <w:ind w:firstLine="422"/>
        <w:jc w:val="center"/>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盐城市亭湖区便仓初级中学物业考核办法</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
        <w:gridCol w:w="2632"/>
        <w:gridCol w:w="1562"/>
        <w:gridCol w:w="2526"/>
        <w:gridCol w:w="943"/>
      </w:tblGrid>
      <w:tr w14:paraId="184F3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2" w:type="dxa"/>
            <w:noWrap w:val="0"/>
            <w:vAlign w:val="center"/>
          </w:tcPr>
          <w:p w14:paraId="00CC1652">
            <w:pPr>
              <w:widowControl/>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内容</w:t>
            </w:r>
          </w:p>
        </w:tc>
        <w:tc>
          <w:tcPr>
            <w:tcW w:w="6720" w:type="dxa"/>
            <w:gridSpan w:val="3"/>
            <w:noWrap w:val="0"/>
            <w:vAlign w:val="center"/>
          </w:tcPr>
          <w:p w14:paraId="5DE1566F">
            <w:pPr>
              <w:widowControl/>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分项指标</w:t>
            </w:r>
          </w:p>
        </w:tc>
        <w:tc>
          <w:tcPr>
            <w:tcW w:w="943" w:type="dxa"/>
            <w:noWrap w:val="0"/>
            <w:vAlign w:val="center"/>
          </w:tcPr>
          <w:p w14:paraId="2B077E22">
            <w:pPr>
              <w:widowControl/>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分值</w:t>
            </w:r>
          </w:p>
        </w:tc>
      </w:tr>
      <w:tr w14:paraId="6B17D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restart"/>
            <w:noWrap w:val="0"/>
            <w:vAlign w:val="center"/>
          </w:tcPr>
          <w:p w14:paraId="6F1098C6">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制度建设（5分）</w:t>
            </w:r>
          </w:p>
        </w:tc>
        <w:tc>
          <w:tcPr>
            <w:tcW w:w="6720" w:type="dxa"/>
            <w:gridSpan w:val="3"/>
            <w:noWrap w:val="0"/>
            <w:vAlign w:val="center"/>
          </w:tcPr>
          <w:p w14:paraId="5F92A3D9">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1.建立健全管理制度，制订突发性应急预案和处理办法，安全基础台帐、应急预案规范。（1.5分）</w:t>
            </w:r>
          </w:p>
        </w:tc>
        <w:tc>
          <w:tcPr>
            <w:tcW w:w="943" w:type="dxa"/>
            <w:noWrap w:val="0"/>
            <w:vAlign w:val="center"/>
          </w:tcPr>
          <w:p w14:paraId="61705BD3">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1.5分</w:t>
            </w:r>
          </w:p>
        </w:tc>
      </w:tr>
      <w:tr w14:paraId="5B5A3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center"/>
          </w:tcPr>
          <w:p w14:paraId="0310610F">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00507FD1">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2.建立健全各项岗位管理制度。加强人员出入管理，严格执行出入管理制度。（1.5分）</w:t>
            </w:r>
          </w:p>
        </w:tc>
        <w:tc>
          <w:tcPr>
            <w:tcW w:w="943" w:type="dxa"/>
            <w:noWrap w:val="0"/>
            <w:vAlign w:val="center"/>
          </w:tcPr>
          <w:p w14:paraId="2E1C8E88">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1.5分</w:t>
            </w:r>
          </w:p>
        </w:tc>
      </w:tr>
      <w:tr w14:paraId="4A2FA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center"/>
          </w:tcPr>
          <w:p w14:paraId="4A89E090">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585B5485">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3.建立健全人员使用政审和报告制度（员工招聘审查、培训办法，有岗位职责、人员分工任务表等）。（每项0.5分，共2分）</w:t>
            </w:r>
          </w:p>
        </w:tc>
        <w:tc>
          <w:tcPr>
            <w:tcW w:w="943" w:type="dxa"/>
            <w:noWrap w:val="0"/>
            <w:vAlign w:val="center"/>
          </w:tcPr>
          <w:p w14:paraId="1CB69A71">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2分</w:t>
            </w:r>
          </w:p>
        </w:tc>
      </w:tr>
      <w:tr w14:paraId="57296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restart"/>
            <w:noWrap w:val="0"/>
            <w:vAlign w:val="center"/>
          </w:tcPr>
          <w:p w14:paraId="0D0F66CC">
            <w:pPr>
              <w:widowControl/>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人员管理</w:t>
            </w:r>
          </w:p>
          <w:p w14:paraId="7DF444DA">
            <w:pPr>
              <w:widowControl/>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（20分）</w:t>
            </w:r>
          </w:p>
          <w:p w14:paraId="485AD4EF">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374BBDA6">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1.新进员工要进行政审，政审合格后报甲方备案方可录入使用。（2分）</w:t>
            </w:r>
          </w:p>
        </w:tc>
        <w:tc>
          <w:tcPr>
            <w:tcW w:w="943" w:type="dxa"/>
            <w:noWrap w:val="0"/>
            <w:vAlign w:val="center"/>
          </w:tcPr>
          <w:p w14:paraId="0F169E5B">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2分</w:t>
            </w:r>
          </w:p>
        </w:tc>
      </w:tr>
      <w:tr w14:paraId="731CE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center"/>
          </w:tcPr>
          <w:p w14:paraId="411F640A">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528272B1">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2.新进员工必须身体健康（提供健康证明）且经培训合格后上岗。（2分）</w:t>
            </w:r>
          </w:p>
        </w:tc>
        <w:tc>
          <w:tcPr>
            <w:tcW w:w="943" w:type="dxa"/>
            <w:noWrap w:val="0"/>
            <w:vAlign w:val="center"/>
          </w:tcPr>
          <w:p w14:paraId="45431346">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2分</w:t>
            </w:r>
          </w:p>
        </w:tc>
      </w:tr>
      <w:tr w14:paraId="13FA1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center"/>
          </w:tcPr>
          <w:p w14:paraId="6FD9DE26">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61DB743C">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3.经政审、培训合格上岗后的员工，无特殊情况，不得随意换人。（2分）</w:t>
            </w:r>
          </w:p>
        </w:tc>
        <w:tc>
          <w:tcPr>
            <w:tcW w:w="943" w:type="dxa"/>
            <w:noWrap w:val="0"/>
            <w:vAlign w:val="center"/>
          </w:tcPr>
          <w:p w14:paraId="6E14736E">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2分</w:t>
            </w:r>
          </w:p>
        </w:tc>
      </w:tr>
      <w:tr w14:paraId="7C6DA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center"/>
          </w:tcPr>
          <w:p w14:paraId="6C53E36C">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39AF894D">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4.员工离岗或请假需提前一天上报。（2分）</w:t>
            </w:r>
          </w:p>
        </w:tc>
        <w:tc>
          <w:tcPr>
            <w:tcW w:w="943" w:type="dxa"/>
            <w:noWrap w:val="0"/>
            <w:vAlign w:val="center"/>
          </w:tcPr>
          <w:p w14:paraId="231C2014">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2分</w:t>
            </w:r>
          </w:p>
        </w:tc>
      </w:tr>
      <w:tr w14:paraId="6BBF1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center"/>
          </w:tcPr>
          <w:p w14:paraId="36D7DF87">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6E4FDE64">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5.员工上岗培训必须有案可查，资料完备。（2分）</w:t>
            </w:r>
          </w:p>
        </w:tc>
        <w:tc>
          <w:tcPr>
            <w:tcW w:w="943" w:type="dxa"/>
            <w:noWrap w:val="0"/>
            <w:vAlign w:val="center"/>
          </w:tcPr>
          <w:p w14:paraId="650337DD">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2分</w:t>
            </w:r>
          </w:p>
        </w:tc>
      </w:tr>
      <w:tr w14:paraId="61449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center"/>
          </w:tcPr>
          <w:p w14:paraId="3DF64B26">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1A9ED665">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6.员工按规定统一着装，佩戴统一标识，服装干净、整洁，注重仪容仪表，用语文明。（1分）</w:t>
            </w:r>
          </w:p>
        </w:tc>
        <w:tc>
          <w:tcPr>
            <w:tcW w:w="943" w:type="dxa"/>
            <w:noWrap w:val="0"/>
            <w:vAlign w:val="center"/>
          </w:tcPr>
          <w:p w14:paraId="5FC0D3EC">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w:t>
            </w:r>
          </w:p>
        </w:tc>
      </w:tr>
      <w:tr w14:paraId="21B29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center"/>
          </w:tcPr>
          <w:p w14:paraId="4EA7A0CD">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74C82E46">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7.员工在班期间不做与工作无关的事情。（1分）</w:t>
            </w:r>
          </w:p>
        </w:tc>
        <w:tc>
          <w:tcPr>
            <w:tcW w:w="943" w:type="dxa"/>
            <w:noWrap w:val="0"/>
            <w:vAlign w:val="center"/>
          </w:tcPr>
          <w:p w14:paraId="12083615">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w:t>
            </w:r>
          </w:p>
        </w:tc>
      </w:tr>
      <w:tr w14:paraId="2B100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center"/>
          </w:tcPr>
          <w:p w14:paraId="38756F83">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6F4C8E80">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8.员工不得与学校相关人员（教师、学生等）发生肢体或语言冲突，有问题及时上报管理部门；不得出现借工作名义发生侵犯学生利益等违法犯罪行为。如发生冲突或案件，相关涉案人员交公安部门处理。（5分）</w:t>
            </w:r>
          </w:p>
        </w:tc>
        <w:tc>
          <w:tcPr>
            <w:tcW w:w="943" w:type="dxa"/>
            <w:noWrap w:val="0"/>
            <w:vAlign w:val="center"/>
          </w:tcPr>
          <w:p w14:paraId="3CA68E55">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5分</w:t>
            </w:r>
          </w:p>
        </w:tc>
      </w:tr>
      <w:tr w14:paraId="51BFF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center"/>
          </w:tcPr>
          <w:p w14:paraId="40399865">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09CE3EC0">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9.物管公司随意更换服务人员，或人员年龄及其他要求未达到甲方规定标准，发现一次扣1分，10日内未整改到位的，扣3分。</w:t>
            </w:r>
          </w:p>
        </w:tc>
        <w:tc>
          <w:tcPr>
            <w:tcW w:w="943" w:type="dxa"/>
            <w:noWrap w:val="0"/>
            <w:vAlign w:val="center"/>
          </w:tcPr>
          <w:p w14:paraId="3264D8F8">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3分</w:t>
            </w:r>
          </w:p>
        </w:tc>
      </w:tr>
      <w:tr w14:paraId="56B09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restart"/>
            <w:noWrap w:val="0"/>
            <w:vAlign w:val="center"/>
          </w:tcPr>
          <w:p w14:paraId="06A1C1B9">
            <w:pPr>
              <w:widowControl/>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治安保卫</w:t>
            </w:r>
          </w:p>
          <w:p w14:paraId="1B4B97EA">
            <w:pPr>
              <w:widowControl/>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安全</w:t>
            </w:r>
          </w:p>
          <w:p w14:paraId="4E54E02F">
            <w:pPr>
              <w:widowControl/>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管理</w:t>
            </w:r>
          </w:p>
          <w:p w14:paraId="551476BD">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（45分）</w:t>
            </w:r>
          </w:p>
        </w:tc>
        <w:tc>
          <w:tcPr>
            <w:tcW w:w="6720" w:type="dxa"/>
            <w:gridSpan w:val="3"/>
            <w:noWrap w:val="0"/>
            <w:vAlign w:val="center"/>
          </w:tcPr>
          <w:p w14:paraId="253DCB81">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★1.如因物管公司工作不尽职，出现责任事故，除追究乙方单位和当事人责任外，我校可视情况决定是否终止合同并没收履约保证金，另扣20分。（20分）</w:t>
            </w:r>
          </w:p>
          <w:p w14:paraId="55C2D6FC">
            <w:pPr>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物业公司要重点抓好物业工作人员的电动自行车管理。物业人员使用电动自行车上下班时，须按规定停放到指定的位置，严禁在学校各类建筑的安全出口、楼梯间、疏散通道及建筑物周边等区域违规停放电动自行车或进行充电，严禁私拉电线和插座进行充电，因乙方管理不到位造成事故或案件的，相关涉事人员交有关部门处理并赔偿损失。发现一次扣1分。</w:t>
            </w:r>
          </w:p>
        </w:tc>
        <w:tc>
          <w:tcPr>
            <w:tcW w:w="943" w:type="dxa"/>
            <w:noWrap w:val="0"/>
            <w:vAlign w:val="center"/>
          </w:tcPr>
          <w:p w14:paraId="7946DDC7">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20分</w:t>
            </w:r>
          </w:p>
        </w:tc>
      </w:tr>
      <w:tr w14:paraId="78B55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top"/>
          </w:tcPr>
          <w:p w14:paraId="7D55825D">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2C72FCE9">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2.安全服务工作不到位被提出批评的。（3分）</w:t>
            </w:r>
          </w:p>
        </w:tc>
        <w:tc>
          <w:tcPr>
            <w:tcW w:w="943" w:type="dxa"/>
            <w:noWrap w:val="0"/>
            <w:vAlign w:val="center"/>
          </w:tcPr>
          <w:p w14:paraId="5BCF319A">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3分</w:t>
            </w:r>
          </w:p>
        </w:tc>
      </w:tr>
      <w:tr w14:paraId="605C5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top"/>
          </w:tcPr>
          <w:p w14:paraId="1DBEC60A">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203CF7E1">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3.人员、车辆出入管理应严格按学校规定执行。（3分）</w:t>
            </w:r>
          </w:p>
        </w:tc>
        <w:tc>
          <w:tcPr>
            <w:tcW w:w="943" w:type="dxa"/>
            <w:noWrap w:val="0"/>
            <w:vAlign w:val="center"/>
          </w:tcPr>
          <w:p w14:paraId="547479FD">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3分</w:t>
            </w:r>
          </w:p>
        </w:tc>
      </w:tr>
      <w:tr w14:paraId="2A4EB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top"/>
          </w:tcPr>
          <w:p w14:paraId="3E5273A5">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4192EA2E">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4.未按规定办理登记手续的危险品严禁带入学校内。（3分）</w:t>
            </w:r>
          </w:p>
        </w:tc>
        <w:tc>
          <w:tcPr>
            <w:tcW w:w="943" w:type="dxa"/>
            <w:noWrap w:val="0"/>
            <w:vAlign w:val="center"/>
          </w:tcPr>
          <w:p w14:paraId="798CE70A">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3分</w:t>
            </w:r>
          </w:p>
        </w:tc>
      </w:tr>
      <w:tr w14:paraId="172B6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top"/>
          </w:tcPr>
          <w:p w14:paraId="0EDAC1F0">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212EFBDA">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5.员工利用工作之便监守自盗，或发现有内部偷盗行为未及时制止的。（3分）</w:t>
            </w:r>
          </w:p>
        </w:tc>
        <w:tc>
          <w:tcPr>
            <w:tcW w:w="943" w:type="dxa"/>
            <w:noWrap w:val="0"/>
            <w:vAlign w:val="center"/>
          </w:tcPr>
          <w:p w14:paraId="6CC57106">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3分</w:t>
            </w:r>
          </w:p>
        </w:tc>
      </w:tr>
      <w:tr w14:paraId="1C861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top"/>
          </w:tcPr>
          <w:p w14:paraId="258515B8">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6B6FEB86">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6.加强学校内巡查，特别是夜间巡更点要有记录，如工作不尽职，查巡制度落实不到位，白天、夜间无人查岗的，有少查、漏查的，或者弄虚作假的。（2分）</w:t>
            </w:r>
          </w:p>
        </w:tc>
        <w:tc>
          <w:tcPr>
            <w:tcW w:w="943" w:type="dxa"/>
            <w:noWrap w:val="0"/>
            <w:vAlign w:val="center"/>
          </w:tcPr>
          <w:p w14:paraId="4E0155ED">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2分</w:t>
            </w:r>
          </w:p>
        </w:tc>
      </w:tr>
      <w:tr w14:paraId="691B2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top"/>
          </w:tcPr>
          <w:p w14:paraId="281AD497">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14DF48D2">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7.做好学校内流浪猫、流浪狗、蛇类、鸟类、虫类等动物的清理工作，一经发现要组织专人及时清理，防止出现动物伤人事件（2分）</w:t>
            </w:r>
          </w:p>
        </w:tc>
        <w:tc>
          <w:tcPr>
            <w:tcW w:w="943" w:type="dxa"/>
            <w:noWrap w:val="0"/>
            <w:vAlign w:val="center"/>
          </w:tcPr>
          <w:p w14:paraId="16E714CB">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2分</w:t>
            </w:r>
          </w:p>
        </w:tc>
      </w:tr>
      <w:tr w14:paraId="1F695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top"/>
          </w:tcPr>
          <w:p w14:paraId="4F346CB5">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31318F72">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8.大型车辆或大型物件进入学校要及时向管理部门报告，并及时派人全程跟踪，必要时拉上警戒线警示。（2分）</w:t>
            </w:r>
          </w:p>
        </w:tc>
        <w:tc>
          <w:tcPr>
            <w:tcW w:w="943" w:type="dxa"/>
            <w:noWrap w:val="0"/>
            <w:vAlign w:val="center"/>
          </w:tcPr>
          <w:p w14:paraId="0096AC11">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2分</w:t>
            </w:r>
          </w:p>
        </w:tc>
      </w:tr>
      <w:tr w14:paraId="205E5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top"/>
          </w:tcPr>
          <w:p w14:paraId="1A7ABA56">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15600FBB">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9.有值班、巡查记录，有班前班后的准备和交接工作记录，有人员的考勤、检查纪录。（2分）</w:t>
            </w:r>
          </w:p>
        </w:tc>
        <w:tc>
          <w:tcPr>
            <w:tcW w:w="943" w:type="dxa"/>
            <w:noWrap w:val="0"/>
            <w:vAlign w:val="center"/>
          </w:tcPr>
          <w:p w14:paraId="2A4E16F3">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2分</w:t>
            </w:r>
          </w:p>
        </w:tc>
      </w:tr>
      <w:tr w14:paraId="44CE9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top"/>
          </w:tcPr>
          <w:p w14:paraId="5C3546B9">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0CF3D897">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10.传达室环境不整洁，卫生不达标，有脏乱差现象。（2分）</w:t>
            </w:r>
          </w:p>
        </w:tc>
        <w:tc>
          <w:tcPr>
            <w:tcW w:w="943" w:type="dxa"/>
            <w:noWrap w:val="0"/>
            <w:vAlign w:val="center"/>
          </w:tcPr>
          <w:p w14:paraId="605A611B">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2分</w:t>
            </w:r>
          </w:p>
        </w:tc>
      </w:tr>
      <w:tr w14:paraId="273EE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top"/>
          </w:tcPr>
          <w:p w14:paraId="49DE322D">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59B11A5A">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11.安保执勤人员必须每人配备1部对讲机，每周坚持1-2小时的理论和业务培训（对讲机使用、巡更棒使用、交通安全、交通执勤等）。（1分）</w:t>
            </w:r>
          </w:p>
        </w:tc>
        <w:tc>
          <w:tcPr>
            <w:tcW w:w="943" w:type="dxa"/>
            <w:noWrap w:val="0"/>
            <w:vAlign w:val="center"/>
          </w:tcPr>
          <w:p w14:paraId="6EBB5DEB">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w:t>
            </w:r>
          </w:p>
        </w:tc>
      </w:tr>
      <w:tr w14:paraId="1DA35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top"/>
          </w:tcPr>
          <w:p w14:paraId="665ED118">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35882BD5">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12.保安人员在值班室和值班时间吸烟。（1分）</w:t>
            </w:r>
          </w:p>
        </w:tc>
        <w:tc>
          <w:tcPr>
            <w:tcW w:w="943" w:type="dxa"/>
            <w:noWrap w:val="0"/>
            <w:vAlign w:val="center"/>
          </w:tcPr>
          <w:p w14:paraId="5001A35F">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w:t>
            </w:r>
          </w:p>
        </w:tc>
      </w:tr>
      <w:tr w14:paraId="42891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top"/>
          </w:tcPr>
          <w:p w14:paraId="5295D830">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6A68E1D0">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13.保安人员不按规定时间、地点立岗、立岗姿势不规范、仪表、仪态不整。（1分）</w:t>
            </w:r>
          </w:p>
        </w:tc>
        <w:tc>
          <w:tcPr>
            <w:tcW w:w="943" w:type="dxa"/>
            <w:noWrap w:val="0"/>
            <w:vAlign w:val="center"/>
          </w:tcPr>
          <w:p w14:paraId="07501FF2">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w:t>
            </w:r>
          </w:p>
        </w:tc>
      </w:tr>
      <w:tr w14:paraId="2F64A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restart"/>
            <w:noWrap w:val="0"/>
            <w:vAlign w:val="center"/>
          </w:tcPr>
          <w:p w14:paraId="636C5859">
            <w:pPr>
              <w:widowControl/>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秩序</w:t>
            </w:r>
          </w:p>
          <w:p w14:paraId="2C3139CC">
            <w:pPr>
              <w:widowControl/>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管理</w:t>
            </w:r>
          </w:p>
          <w:p w14:paraId="6C157DCD">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（10分）</w:t>
            </w:r>
          </w:p>
        </w:tc>
        <w:tc>
          <w:tcPr>
            <w:tcW w:w="6720" w:type="dxa"/>
            <w:gridSpan w:val="3"/>
            <w:noWrap w:val="0"/>
            <w:vAlign w:val="center"/>
          </w:tcPr>
          <w:p w14:paraId="19E5A1A0">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1.保安人员在维持车辆秩序时，态度要大方、端正，做到有礼有节，始终贯彻“服务第一，满意为终” 的思想，不得发生与师生吵架、斗殴的现象。（3分）</w:t>
            </w:r>
          </w:p>
        </w:tc>
        <w:tc>
          <w:tcPr>
            <w:tcW w:w="943" w:type="dxa"/>
            <w:noWrap w:val="0"/>
            <w:vAlign w:val="center"/>
          </w:tcPr>
          <w:p w14:paraId="674B2CAE">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3分</w:t>
            </w:r>
          </w:p>
        </w:tc>
      </w:tr>
      <w:tr w14:paraId="731E2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center"/>
          </w:tcPr>
          <w:p w14:paraId="71EE38D2">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3D53177A">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2.在非机动车库、走道等停车占用消防通道的。（2分）</w:t>
            </w:r>
          </w:p>
        </w:tc>
        <w:tc>
          <w:tcPr>
            <w:tcW w:w="943" w:type="dxa"/>
            <w:noWrap w:val="0"/>
            <w:vAlign w:val="center"/>
          </w:tcPr>
          <w:p w14:paraId="458724B4">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2分</w:t>
            </w:r>
          </w:p>
        </w:tc>
      </w:tr>
      <w:tr w14:paraId="29400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center"/>
          </w:tcPr>
          <w:p w14:paraId="0EFAE1AE">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2DF503A6">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3.宫内主要通道等要保持无长时间车辆停留，如超过10分钟未能清理离开的。（1分）</w:t>
            </w:r>
          </w:p>
        </w:tc>
        <w:tc>
          <w:tcPr>
            <w:tcW w:w="943" w:type="dxa"/>
            <w:noWrap w:val="0"/>
            <w:vAlign w:val="center"/>
          </w:tcPr>
          <w:p w14:paraId="03B9987F">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w:t>
            </w:r>
          </w:p>
        </w:tc>
      </w:tr>
      <w:tr w14:paraId="0AEC1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center"/>
          </w:tcPr>
          <w:p w14:paraId="4957125E">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3D502F8D">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4.无通行证或未经批准的机动车进入学校的。（2分）</w:t>
            </w:r>
          </w:p>
        </w:tc>
        <w:tc>
          <w:tcPr>
            <w:tcW w:w="943" w:type="dxa"/>
            <w:noWrap w:val="0"/>
            <w:vAlign w:val="center"/>
          </w:tcPr>
          <w:p w14:paraId="3C91DDB1">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2分</w:t>
            </w:r>
          </w:p>
        </w:tc>
      </w:tr>
      <w:tr w14:paraId="76C19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center"/>
          </w:tcPr>
          <w:p w14:paraId="468F8E8D">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550A0580">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5.发现车证不符未及时处理的。（2分）</w:t>
            </w:r>
          </w:p>
        </w:tc>
        <w:tc>
          <w:tcPr>
            <w:tcW w:w="943" w:type="dxa"/>
            <w:noWrap w:val="0"/>
            <w:vAlign w:val="center"/>
          </w:tcPr>
          <w:p w14:paraId="7891A7AD">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2分</w:t>
            </w:r>
          </w:p>
        </w:tc>
      </w:tr>
      <w:tr w14:paraId="2B973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restart"/>
            <w:noWrap w:val="0"/>
            <w:vAlign w:val="center"/>
          </w:tcPr>
          <w:p w14:paraId="3DB1754A">
            <w:pPr>
              <w:widowControl/>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卫生保洁</w:t>
            </w:r>
          </w:p>
          <w:p w14:paraId="729878D8">
            <w:pPr>
              <w:widowControl/>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保洁质量</w:t>
            </w:r>
          </w:p>
          <w:p w14:paraId="7BD30DD5">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（9分）</w:t>
            </w:r>
          </w:p>
        </w:tc>
        <w:tc>
          <w:tcPr>
            <w:tcW w:w="6720" w:type="dxa"/>
            <w:gridSpan w:val="3"/>
            <w:noWrap w:val="0"/>
            <w:vAlign w:val="center"/>
          </w:tcPr>
          <w:p w14:paraId="6DBA13D0">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1.楼宇各出入口地台无脏杂物、无污迹；楼内大厅整洁光亮、无浮尘、无水迹、无污迹。（每项1分）</w:t>
            </w:r>
          </w:p>
        </w:tc>
        <w:tc>
          <w:tcPr>
            <w:tcW w:w="943" w:type="dxa"/>
            <w:noWrap w:val="0"/>
            <w:vAlign w:val="center"/>
          </w:tcPr>
          <w:p w14:paraId="64B11DB0">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w:t>
            </w:r>
          </w:p>
        </w:tc>
      </w:tr>
      <w:tr w14:paraId="0A09C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top"/>
          </w:tcPr>
          <w:p w14:paraId="10A3C807">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5FF8F41B">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2.各楼层走廊、过道、楼梯整洁、无浮尘、无水迹、无污迹。如未达标准。（每项1分）</w:t>
            </w:r>
          </w:p>
        </w:tc>
        <w:tc>
          <w:tcPr>
            <w:tcW w:w="943" w:type="dxa"/>
            <w:noWrap w:val="0"/>
            <w:vAlign w:val="center"/>
          </w:tcPr>
          <w:p w14:paraId="4B45E82A">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w:t>
            </w:r>
          </w:p>
        </w:tc>
      </w:tr>
      <w:tr w14:paraId="0B3E7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top"/>
          </w:tcPr>
          <w:p w14:paraId="514D1F70">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37873694">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3.各楼层公共区域内门窗、窗台干净、无灰尘、无污迹；垃圾桶放置合理，清倒及时、外表干净、无积垢、无异味。（每项1分）</w:t>
            </w:r>
          </w:p>
        </w:tc>
        <w:tc>
          <w:tcPr>
            <w:tcW w:w="943" w:type="dxa"/>
            <w:noWrap w:val="0"/>
            <w:vAlign w:val="center"/>
          </w:tcPr>
          <w:p w14:paraId="1440217D">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w:t>
            </w:r>
          </w:p>
        </w:tc>
      </w:tr>
      <w:tr w14:paraId="0A623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top"/>
          </w:tcPr>
          <w:p w14:paraId="50BECA93">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4278ED0A">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4.楼内消防箱玻璃门，各种柱身、扶手、栏杆（含木质、金属、不锈钢）等无积尘、无污迹、无斑点。（每项1分）</w:t>
            </w:r>
          </w:p>
        </w:tc>
        <w:tc>
          <w:tcPr>
            <w:tcW w:w="943" w:type="dxa"/>
            <w:noWrap w:val="0"/>
            <w:vAlign w:val="center"/>
          </w:tcPr>
          <w:p w14:paraId="45DD04C7">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w:t>
            </w:r>
          </w:p>
        </w:tc>
      </w:tr>
      <w:tr w14:paraId="1DDB8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top"/>
          </w:tcPr>
          <w:p w14:paraId="08E7EBE7">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274FE1E5">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5.各种室内装饰物、墙上装饰物和各类设施表面（如灯饰、监视器、火灾报警控制器、安全指标灯、开关盒、消防栓箱、各种告示牌、指示牌等）干净、无灰尘、无污迹。（每项1分）</w:t>
            </w:r>
          </w:p>
        </w:tc>
        <w:tc>
          <w:tcPr>
            <w:tcW w:w="943" w:type="dxa"/>
            <w:noWrap w:val="0"/>
            <w:vAlign w:val="center"/>
          </w:tcPr>
          <w:p w14:paraId="63EFE506">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w:t>
            </w:r>
          </w:p>
        </w:tc>
      </w:tr>
      <w:tr w14:paraId="13847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top"/>
          </w:tcPr>
          <w:p w14:paraId="65D16EAE">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077BF4B7">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陈积物、无异味，外表干净无污水流出、无异味；地漏口畅通。（每项1分）</w:t>
            </w:r>
          </w:p>
        </w:tc>
        <w:tc>
          <w:tcPr>
            <w:tcW w:w="943" w:type="dxa"/>
            <w:noWrap w:val="0"/>
            <w:vAlign w:val="center"/>
          </w:tcPr>
          <w:p w14:paraId="00CE3ECF">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w:t>
            </w:r>
          </w:p>
        </w:tc>
      </w:tr>
      <w:tr w14:paraId="5E79B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top"/>
          </w:tcPr>
          <w:p w14:paraId="54923A3D">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43EEBA24">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7.室外场地、道路、绿化带清洁无脏物、无垃圾、无沙土；室外道路、雕塑、装饰物、灯箱、指示、公告（广告）牌，表面无积尘、无污迹。室内物品、装饰物、各类标识（牌）等表面无积尘。（每项1分）</w:t>
            </w:r>
          </w:p>
        </w:tc>
        <w:tc>
          <w:tcPr>
            <w:tcW w:w="943" w:type="dxa"/>
            <w:noWrap w:val="0"/>
            <w:vAlign w:val="center"/>
          </w:tcPr>
          <w:p w14:paraId="2FE91629">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w:t>
            </w:r>
          </w:p>
        </w:tc>
      </w:tr>
      <w:tr w14:paraId="43D24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top"/>
          </w:tcPr>
          <w:p w14:paraId="2ED61B09">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19C12098">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8.直饮机表面无脏污，地面无污水，网漏无脏物，开关、配电盒表面无积尘。（每项1分）</w:t>
            </w:r>
          </w:p>
        </w:tc>
        <w:tc>
          <w:tcPr>
            <w:tcW w:w="943" w:type="dxa"/>
            <w:noWrap w:val="0"/>
            <w:vAlign w:val="center"/>
          </w:tcPr>
          <w:p w14:paraId="1F48CA05">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w:t>
            </w:r>
          </w:p>
        </w:tc>
      </w:tr>
      <w:tr w14:paraId="4601C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top"/>
          </w:tcPr>
          <w:p w14:paraId="16F1716B">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52438D4E">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9.各种活动及会议后及时清理（清场），检查是否有遗留物品、未熄灭的火种等。所有场所在未使用时均保持整洁，卫生达标，能随时投入使用。（每项1分）</w:t>
            </w:r>
          </w:p>
        </w:tc>
        <w:tc>
          <w:tcPr>
            <w:tcW w:w="943" w:type="dxa"/>
            <w:noWrap w:val="0"/>
            <w:vAlign w:val="center"/>
          </w:tcPr>
          <w:p w14:paraId="733DA4E6">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w:t>
            </w:r>
          </w:p>
        </w:tc>
      </w:tr>
      <w:tr w14:paraId="52E63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restart"/>
            <w:noWrap w:val="0"/>
            <w:vAlign w:val="center"/>
          </w:tcPr>
          <w:p w14:paraId="18D4A451">
            <w:pPr>
              <w:widowControl/>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操作</w:t>
            </w:r>
          </w:p>
          <w:p w14:paraId="0148DC3A">
            <w:pPr>
              <w:widowControl/>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规程</w:t>
            </w:r>
          </w:p>
          <w:p w14:paraId="6E29DC22">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（4分）</w:t>
            </w:r>
          </w:p>
        </w:tc>
        <w:tc>
          <w:tcPr>
            <w:tcW w:w="6720" w:type="dxa"/>
            <w:gridSpan w:val="3"/>
            <w:noWrap w:val="0"/>
            <w:vAlign w:val="center"/>
          </w:tcPr>
          <w:p w14:paraId="285FDD06">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1.保洁作业操作程序规范，使用方法正确，未因操作或使用不当造成设施损伤。（2分）</w:t>
            </w:r>
          </w:p>
        </w:tc>
        <w:tc>
          <w:tcPr>
            <w:tcW w:w="943" w:type="dxa"/>
            <w:noWrap w:val="0"/>
            <w:vAlign w:val="center"/>
          </w:tcPr>
          <w:p w14:paraId="23E9921F">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2分</w:t>
            </w:r>
          </w:p>
        </w:tc>
      </w:tr>
      <w:tr w14:paraId="4E4C3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center"/>
          </w:tcPr>
          <w:p w14:paraId="1913824D">
            <w:pPr>
              <w:spacing w:after="0" w:line="360" w:lineRule="auto"/>
              <w:jc w:val="center"/>
              <w:rPr>
                <w:rFonts w:hint="eastAsia" w:ascii="宋体" w:hAnsi="宋体" w:eastAsia="宋体" w:cs="宋体"/>
                <w:color w:val="auto"/>
                <w:kern w:val="0"/>
                <w:szCs w:val="21"/>
                <w:highlight w:val="none"/>
              </w:rPr>
            </w:pPr>
          </w:p>
        </w:tc>
        <w:tc>
          <w:tcPr>
            <w:tcW w:w="6720" w:type="dxa"/>
            <w:gridSpan w:val="3"/>
            <w:noWrap w:val="0"/>
            <w:vAlign w:val="center"/>
          </w:tcPr>
          <w:p w14:paraId="0E395661">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2.保洁作业安全措施到位，未发生任何安全事件。（2分）</w:t>
            </w:r>
          </w:p>
        </w:tc>
        <w:tc>
          <w:tcPr>
            <w:tcW w:w="943" w:type="dxa"/>
            <w:noWrap w:val="0"/>
            <w:vAlign w:val="center"/>
          </w:tcPr>
          <w:p w14:paraId="212286B0">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2分</w:t>
            </w:r>
          </w:p>
        </w:tc>
      </w:tr>
      <w:tr w14:paraId="1111C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restart"/>
            <w:noWrap w:val="0"/>
            <w:vAlign w:val="center"/>
          </w:tcPr>
          <w:p w14:paraId="155B0F7A">
            <w:pPr>
              <w:widowControl/>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设备维护</w:t>
            </w:r>
          </w:p>
          <w:p w14:paraId="0692C0A9">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（7分）</w:t>
            </w:r>
          </w:p>
        </w:tc>
        <w:tc>
          <w:tcPr>
            <w:tcW w:w="6720" w:type="dxa"/>
            <w:gridSpan w:val="3"/>
            <w:noWrap w:val="0"/>
            <w:vAlign w:val="center"/>
          </w:tcPr>
          <w:p w14:paraId="78B250AD">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1、检查办公楼各设备运转是否正常，如有情况应及时上报并维修整改。（1分）</w:t>
            </w:r>
          </w:p>
        </w:tc>
        <w:tc>
          <w:tcPr>
            <w:tcW w:w="943" w:type="dxa"/>
            <w:noWrap w:val="0"/>
            <w:vAlign w:val="center"/>
          </w:tcPr>
          <w:p w14:paraId="79A7EB19">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w:t>
            </w:r>
          </w:p>
        </w:tc>
      </w:tr>
      <w:tr w14:paraId="2BB53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center"/>
          </w:tcPr>
          <w:p w14:paraId="6F56D2C6">
            <w:pPr>
              <w:spacing w:after="0" w:line="360" w:lineRule="auto"/>
              <w:rPr>
                <w:rFonts w:hint="eastAsia" w:ascii="宋体" w:hAnsi="宋体" w:eastAsia="宋体" w:cs="宋体"/>
                <w:color w:val="auto"/>
                <w:kern w:val="0"/>
                <w:szCs w:val="21"/>
                <w:highlight w:val="none"/>
              </w:rPr>
            </w:pPr>
          </w:p>
        </w:tc>
        <w:tc>
          <w:tcPr>
            <w:tcW w:w="6720" w:type="dxa"/>
            <w:gridSpan w:val="3"/>
            <w:noWrap w:val="0"/>
            <w:vAlign w:val="center"/>
          </w:tcPr>
          <w:p w14:paraId="4BF6BF65">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2、配合管理人员检查照明、空调等正常运作。（1分）</w:t>
            </w:r>
          </w:p>
        </w:tc>
        <w:tc>
          <w:tcPr>
            <w:tcW w:w="943" w:type="dxa"/>
            <w:noWrap w:val="0"/>
            <w:vAlign w:val="center"/>
          </w:tcPr>
          <w:p w14:paraId="43D9D5F5">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w:t>
            </w:r>
          </w:p>
        </w:tc>
      </w:tr>
      <w:tr w14:paraId="1EC51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52" w:type="dxa"/>
            <w:vMerge w:val="continue"/>
            <w:noWrap w:val="0"/>
            <w:vAlign w:val="center"/>
          </w:tcPr>
          <w:p w14:paraId="68218D17">
            <w:pPr>
              <w:spacing w:after="0" w:line="360" w:lineRule="auto"/>
              <w:rPr>
                <w:rFonts w:hint="eastAsia" w:ascii="宋体" w:hAnsi="宋体" w:eastAsia="宋体" w:cs="宋体"/>
                <w:color w:val="auto"/>
                <w:kern w:val="0"/>
                <w:szCs w:val="21"/>
                <w:highlight w:val="none"/>
              </w:rPr>
            </w:pPr>
          </w:p>
        </w:tc>
        <w:tc>
          <w:tcPr>
            <w:tcW w:w="6720" w:type="dxa"/>
            <w:gridSpan w:val="3"/>
            <w:noWrap w:val="0"/>
            <w:vAlign w:val="center"/>
          </w:tcPr>
          <w:p w14:paraId="31AF724F">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3、经常检查室内外灯是否正常，并及时报告、更换。（1分）</w:t>
            </w:r>
          </w:p>
        </w:tc>
        <w:tc>
          <w:tcPr>
            <w:tcW w:w="943" w:type="dxa"/>
            <w:noWrap w:val="0"/>
            <w:vAlign w:val="center"/>
          </w:tcPr>
          <w:p w14:paraId="54720BC9">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w:t>
            </w:r>
          </w:p>
        </w:tc>
      </w:tr>
      <w:tr w14:paraId="0F9BC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center"/>
          </w:tcPr>
          <w:p w14:paraId="240D8399">
            <w:pPr>
              <w:spacing w:after="0" w:line="360" w:lineRule="auto"/>
              <w:rPr>
                <w:rFonts w:hint="eastAsia" w:ascii="宋体" w:hAnsi="宋体" w:eastAsia="宋体" w:cs="宋体"/>
                <w:color w:val="auto"/>
                <w:kern w:val="0"/>
                <w:szCs w:val="21"/>
                <w:highlight w:val="none"/>
              </w:rPr>
            </w:pPr>
          </w:p>
        </w:tc>
        <w:tc>
          <w:tcPr>
            <w:tcW w:w="6720" w:type="dxa"/>
            <w:gridSpan w:val="3"/>
            <w:noWrap w:val="0"/>
            <w:vAlign w:val="center"/>
          </w:tcPr>
          <w:p w14:paraId="24617CC1">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4、每天检查配电房等设备运行情况、建立健全管理台账。（1分）</w:t>
            </w:r>
          </w:p>
        </w:tc>
        <w:tc>
          <w:tcPr>
            <w:tcW w:w="943" w:type="dxa"/>
            <w:noWrap w:val="0"/>
            <w:vAlign w:val="center"/>
          </w:tcPr>
          <w:p w14:paraId="71B83147">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w:t>
            </w:r>
          </w:p>
        </w:tc>
      </w:tr>
      <w:tr w14:paraId="133DA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center"/>
          </w:tcPr>
          <w:p w14:paraId="2D9788D8">
            <w:pPr>
              <w:spacing w:after="0" w:line="360" w:lineRule="auto"/>
              <w:rPr>
                <w:rFonts w:hint="eastAsia" w:ascii="宋体" w:hAnsi="宋体" w:eastAsia="宋体" w:cs="宋体"/>
                <w:color w:val="auto"/>
                <w:kern w:val="0"/>
                <w:szCs w:val="21"/>
                <w:highlight w:val="none"/>
              </w:rPr>
            </w:pPr>
          </w:p>
        </w:tc>
        <w:tc>
          <w:tcPr>
            <w:tcW w:w="6720" w:type="dxa"/>
            <w:gridSpan w:val="3"/>
            <w:noWrap w:val="0"/>
            <w:vAlign w:val="center"/>
          </w:tcPr>
          <w:p w14:paraId="4CD6987A">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5、中午、晚上放学后巡查各班级教室、多功能教室、会议室等室内设备的运行情况，重点检查空调、多媒体屏幕、照明等设备。发现未关设备或需要维修的设备及时上报。（1分）</w:t>
            </w:r>
          </w:p>
        </w:tc>
        <w:tc>
          <w:tcPr>
            <w:tcW w:w="943" w:type="dxa"/>
            <w:noWrap w:val="0"/>
            <w:vAlign w:val="center"/>
          </w:tcPr>
          <w:p w14:paraId="094B0244">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1分</w:t>
            </w:r>
          </w:p>
        </w:tc>
      </w:tr>
      <w:tr w14:paraId="30F47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Merge w:val="continue"/>
            <w:noWrap w:val="0"/>
            <w:vAlign w:val="center"/>
          </w:tcPr>
          <w:p w14:paraId="66F8F9E8">
            <w:pPr>
              <w:spacing w:after="0" w:line="360" w:lineRule="auto"/>
              <w:rPr>
                <w:rFonts w:hint="eastAsia" w:ascii="宋体" w:hAnsi="宋体" w:eastAsia="宋体" w:cs="宋体"/>
                <w:color w:val="auto"/>
                <w:kern w:val="0"/>
                <w:szCs w:val="21"/>
                <w:highlight w:val="none"/>
              </w:rPr>
            </w:pPr>
          </w:p>
        </w:tc>
        <w:tc>
          <w:tcPr>
            <w:tcW w:w="6720" w:type="dxa"/>
            <w:gridSpan w:val="3"/>
            <w:noWrap w:val="0"/>
            <w:vAlign w:val="center"/>
          </w:tcPr>
          <w:p w14:paraId="5F2E9A7D">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6、对突发性故障应以最快时间报告、修复，接到报修通知20分钟内到现场。（2分）</w:t>
            </w:r>
          </w:p>
        </w:tc>
        <w:tc>
          <w:tcPr>
            <w:tcW w:w="943" w:type="dxa"/>
            <w:noWrap w:val="0"/>
            <w:vAlign w:val="center"/>
          </w:tcPr>
          <w:p w14:paraId="3B2D19C1">
            <w:pPr>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2分</w:t>
            </w:r>
          </w:p>
        </w:tc>
      </w:tr>
      <w:tr w14:paraId="0F7D4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32DCCAC0">
            <w:pPr>
              <w:widowControl/>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满意度测评★</w:t>
            </w:r>
          </w:p>
        </w:tc>
        <w:tc>
          <w:tcPr>
            <w:tcW w:w="6720" w:type="dxa"/>
            <w:gridSpan w:val="3"/>
            <w:noWrap w:val="0"/>
            <w:vAlign w:val="center"/>
          </w:tcPr>
          <w:p w14:paraId="15A8A058">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满意度测评从保洁安保（规范程度、精神状态、工作效率、礼节礼貌、车辆管理、监控值班等）等方面进行测评。</w:t>
            </w:r>
          </w:p>
        </w:tc>
        <w:tc>
          <w:tcPr>
            <w:tcW w:w="943" w:type="dxa"/>
            <w:noWrap w:val="0"/>
            <w:vAlign w:val="center"/>
          </w:tcPr>
          <w:p w14:paraId="37EE7B54">
            <w:pPr>
              <w:spacing w:after="0" w:line="360" w:lineRule="auto"/>
              <w:jc w:val="center"/>
              <w:rPr>
                <w:rFonts w:hint="eastAsia" w:ascii="宋体" w:hAnsi="宋体" w:eastAsia="宋体" w:cs="宋体"/>
                <w:color w:val="auto"/>
                <w:kern w:val="0"/>
                <w:szCs w:val="21"/>
                <w:highlight w:val="none"/>
              </w:rPr>
            </w:pPr>
          </w:p>
        </w:tc>
      </w:tr>
      <w:tr w14:paraId="54E2A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0B11EEDB">
            <w:pPr>
              <w:widowControl/>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考核人</w:t>
            </w:r>
          </w:p>
        </w:tc>
        <w:tc>
          <w:tcPr>
            <w:tcW w:w="6720" w:type="dxa"/>
            <w:gridSpan w:val="3"/>
            <w:noWrap w:val="0"/>
            <w:vAlign w:val="center"/>
          </w:tcPr>
          <w:p w14:paraId="574E94D6">
            <w:pPr>
              <w:widowControl/>
              <w:spacing w:after="0" w:line="360" w:lineRule="auto"/>
              <w:jc w:val="center"/>
              <w:rPr>
                <w:rFonts w:hint="eastAsia" w:ascii="宋体" w:hAnsi="宋体" w:eastAsia="宋体" w:cs="宋体"/>
                <w:color w:val="auto"/>
                <w:kern w:val="0"/>
                <w:szCs w:val="21"/>
                <w:highlight w:val="none"/>
              </w:rPr>
            </w:pPr>
          </w:p>
        </w:tc>
        <w:tc>
          <w:tcPr>
            <w:tcW w:w="943" w:type="dxa"/>
            <w:noWrap w:val="0"/>
            <w:vAlign w:val="center"/>
          </w:tcPr>
          <w:p w14:paraId="79FE4188">
            <w:pPr>
              <w:spacing w:after="0" w:line="360" w:lineRule="auto"/>
              <w:jc w:val="center"/>
              <w:rPr>
                <w:rFonts w:hint="eastAsia" w:ascii="宋体" w:hAnsi="宋体" w:eastAsia="宋体" w:cs="宋体"/>
                <w:color w:val="auto"/>
                <w:kern w:val="0"/>
                <w:szCs w:val="21"/>
                <w:highlight w:val="none"/>
              </w:rPr>
            </w:pPr>
          </w:p>
        </w:tc>
      </w:tr>
      <w:tr w14:paraId="10A0B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1C9D7334">
            <w:pPr>
              <w:widowControl/>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时间</w:t>
            </w:r>
          </w:p>
        </w:tc>
        <w:tc>
          <w:tcPr>
            <w:tcW w:w="2632" w:type="dxa"/>
            <w:noWrap w:val="0"/>
            <w:vAlign w:val="center"/>
          </w:tcPr>
          <w:p w14:paraId="03C9A973">
            <w:pPr>
              <w:widowControl/>
              <w:spacing w:after="0" w:line="360" w:lineRule="auto"/>
              <w:jc w:val="center"/>
              <w:rPr>
                <w:rFonts w:hint="eastAsia" w:ascii="宋体" w:hAnsi="宋体" w:eastAsia="宋体" w:cs="宋体"/>
                <w:color w:val="auto"/>
                <w:kern w:val="0"/>
                <w:szCs w:val="21"/>
                <w:highlight w:val="none"/>
              </w:rPr>
            </w:pPr>
          </w:p>
        </w:tc>
        <w:tc>
          <w:tcPr>
            <w:tcW w:w="1562" w:type="dxa"/>
            <w:noWrap w:val="0"/>
            <w:vAlign w:val="center"/>
          </w:tcPr>
          <w:p w14:paraId="3CA70BEF">
            <w:pPr>
              <w:widowControl/>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总得分</w:t>
            </w:r>
          </w:p>
        </w:tc>
        <w:tc>
          <w:tcPr>
            <w:tcW w:w="2526" w:type="dxa"/>
            <w:noWrap w:val="0"/>
            <w:vAlign w:val="center"/>
          </w:tcPr>
          <w:p w14:paraId="682B3837">
            <w:pPr>
              <w:widowControl/>
              <w:spacing w:after="0" w:line="360" w:lineRule="auto"/>
              <w:jc w:val="center"/>
              <w:rPr>
                <w:rFonts w:hint="eastAsia" w:ascii="宋体" w:hAnsi="宋体" w:eastAsia="宋体" w:cs="宋体"/>
                <w:color w:val="auto"/>
                <w:kern w:val="0"/>
                <w:szCs w:val="21"/>
                <w:highlight w:val="none"/>
              </w:rPr>
            </w:pPr>
          </w:p>
        </w:tc>
        <w:tc>
          <w:tcPr>
            <w:tcW w:w="943" w:type="dxa"/>
            <w:noWrap w:val="0"/>
            <w:vAlign w:val="center"/>
          </w:tcPr>
          <w:p w14:paraId="1053EE4D">
            <w:pPr>
              <w:spacing w:after="0" w:line="360" w:lineRule="auto"/>
              <w:jc w:val="center"/>
              <w:rPr>
                <w:rFonts w:hint="eastAsia" w:ascii="宋体" w:hAnsi="宋体" w:eastAsia="宋体" w:cs="宋体"/>
                <w:color w:val="auto"/>
                <w:kern w:val="0"/>
                <w:szCs w:val="21"/>
                <w:highlight w:val="none"/>
              </w:rPr>
            </w:pPr>
          </w:p>
        </w:tc>
      </w:tr>
      <w:tr w14:paraId="0F6FA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noWrap w:val="0"/>
            <w:vAlign w:val="center"/>
          </w:tcPr>
          <w:p w14:paraId="5C7FDACF">
            <w:pPr>
              <w:widowControl/>
              <w:spacing w:after="0" w:line="360" w:lineRule="auto"/>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备注</w:t>
            </w:r>
          </w:p>
        </w:tc>
        <w:tc>
          <w:tcPr>
            <w:tcW w:w="6720" w:type="dxa"/>
            <w:gridSpan w:val="3"/>
            <w:noWrap w:val="0"/>
            <w:vAlign w:val="center"/>
          </w:tcPr>
          <w:p w14:paraId="2C6763B9">
            <w:pPr>
              <w:widowControl/>
              <w:spacing w:after="0" w:line="360" w:lineRule="auto"/>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物业公司每月考核综合得分低于90分的，每低1分将对物业公司进行500元的惩罚。考核综合得分低于80分的，视为当月考核不合格。</w:t>
            </w:r>
          </w:p>
        </w:tc>
        <w:tc>
          <w:tcPr>
            <w:tcW w:w="943" w:type="dxa"/>
            <w:noWrap w:val="0"/>
            <w:vAlign w:val="center"/>
          </w:tcPr>
          <w:p w14:paraId="38683A51">
            <w:pPr>
              <w:spacing w:after="0" w:line="360" w:lineRule="auto"/>
              <w:jc w:val="center"/>
              <w:rPr>
                <w:rFonts w:hint="eastAsia" w:ascii="宋体" w:hAnsi="宋体" w:eastAsia="宋体" w:cs="宋体"/>
                <w:color w:val="auto"/>
                <w:kern w:val="0"/>
                <w:szCs w:val="21"/>
                <w:highlight w:val="none"/>
              </w:rPr>
            </w:pPr>
          </w:p>
        </w:tc>
      </w:tr>
    </w:tbl>
    <w:p w14:paraId="02E6ACD0">
      <w:pPr>
        <w:keepNext w:val="0"/>
        <w:keepLines w:val="0"/>
        <w:pageBreakBefore w:val="0"/>
        <w:widowControl/>
        <w:spacing w:line="500" w:lineRule="exact"/>
        <w:ind w:left="0" w:firstLine="480"/>
        <w:rPr>
          <w:color w:val="auto"/>
          <w:sz w:val="24"/>
          <w:szCs w:val="20"/>
        </w:rPr>
      </w:pPr>
    </w:p>
    <w:p w14:paraId="6C03F32A">
      <w:pPr>
        <w:spacing w:line="560" w:lineRule="exact"/>
        <w:ind w:firstLine="482"/>
        <w:jc w:val="center"/>
        <w:rPr>
          <w:rFonts w:ascii="黑体" w:hAnsi="黑体" w:eastAsia="黑体" w:cs="黑体"/>
          <w:color w:val="auto"/>
          <w:sz w:val="44"/>
          <w:szCs w:val="44"/>
        </w:rPr>
      </w:pPr>
      <w:r>
        <w:rPr>
          <w:rFonts w:hint="eastAsia" w:ascii="宋体" w:hAnsi="宋体" w:cs="宋体"/>
          <w:bCs/>
          <w:color w:val="auto"/>
          <w:sz w:val="24"/>
        </w:rPr>
        <w:br w:type="page" w:clear="all"/>
      </w:r>
      <w:r>
        <w:rPr>
          <w:rFonts w:hint="eastAsia" w:ascii="黑体" w:hAnsi="黑体" w:eastAsia="黑体" w:cs="黑体"/>
          <w:color w:val="auto"/>
          <w:sz w:val="44"/>
          <w:szCs w:val="44"/>
        </w:rPr>
        <w:t>第四章 采购需求</w:t>
      </w:r>
    </w:p>
    <w:p w14:paraId="03DBBC55">
      <w:pPr>
        <w:widowControl/>
        <w:spacing w:line="560" w:lineRule="exact"/>
        <w:ind w:firstLine="480"/>
        <w:rPr>
          <w:rFonts w:ascii="宋体" w:hAnsi="宋体" w:cs="宋体"/>
          <w:b/>
          <w:bCs/>
          <w:color w:val="auto"/>
          <w:sz w:val="24"/>
          <w:szCs w:val="20"/>
          <w:highlight w:val="none"/>
          <w:lang w:val="zh-CN"/>
        </w:rPr>
      </w:pPr>
      <w:bookmarkStart w:id="4" w:name="_Toc49090575"/>
      <w:bookmarkStart w:id="5" w:name="_Toc26554093"/>
      <w:r>
        <w:rPr>
          <w:rFonts w:hint="eastAsia" w:ascii="宋体" w:hAnsi="宋体" w:cs="宋体"/>
          <w:b/>
          <w:bCs/>
          <w:color w:val="auto"/>
          <w:sz w:val="24"/>
          <w:szCs w:val="20"/>
          <w:highlight w:val="none"/>
          <w:lang w:val="zh-CN"/>
        </w:rPr>
        <w:t>项目属性:服务类项目。</w:t>
      </w:r>
    </w:p>
    <w:bookmarkEnd w:id="4"/>
    <w:bookmarkEnd w:id="5"/>
    <w:p w14:paraId="5C0B01DA">
      <w:pPr>
        <w:keepNext w:val="0"/>
        <w:keepLines w:val="0"/>
        <w:pageBreakBefore w:val="0"/>
        <w:widowControl w:val="0"/>
        <w:kinsoku/>
        <w:wordWrap/>
        <w:overflowPunct/>
        <w:topLinePunct w:val="0"/>
        <w:autoSpaceDE/>
        <w:autoSpaceDN/>
        <w:bidi w:val="0"/>
        <w:snapToGrid w:val="0"/>
        <w:spacing w:line="440" w:lineRule="exact"/>
        <w:ind w:firstLine="482" w:firstLineChars="200"/>
        <w:textAlignment w:val="auto"/>
        <w:rPr>
          <w:rFonts w:hint="eastAsia" w:ascii="宋体" w:hAnsi="宋体" w:eastAsia="宋体" w:cs="宋体"/>
          <w:b/>
          <w:bCs/>
          <w:color w:val="auto"/>
          <w:kern w:val="0"/>
          <w:sz w:val="24"/>
          <w:szCs w:val="24"/>
          <w:highlight w:val="none"/>
        </w:rPr>
      </w:pPr>
      <w:bookmarkStart w:id="6" w:name="_Toc7993"/>
      <w:bookmarkStart w:id="7" w:name="_Toc80563083"/>
      <w:r>
        <w:rPr>
          <w:rFonts w:hint="eastAsia" w:ascii="宋体" w:hAnsi="宋体" w:cs="宋体"/>
          <w:b/>
          <w:bCs/>
          <w:color w:val="auto"/>
          <w:kern w:val="0"/>
          <w:sz w:val="24"/>
          <w:szCs w:val="24"/>
          <w:highlight w:val="none"/>
          <w:lang w:val="en-US" w:eastAsia="zh-CN"/>
        </w:rPr>
        <w:t>一</w:t>
      </w:r>
      <w:r>
        <w:rPr>
          <w:rFonts w:hint="eastAsia" w:ascii="宋体" w:hAnsi="宋体" w:eastAsia="宋体" w:cs="宋体"/>
          <w:b/>
          <w:bCs/>
          <w:color w:val="auto"/>
          <w:kern w:val="0"/>
          <w:sz w:val="24"/>
          <w:szCs w:val="24"/>
          <w:highlight w:val="none"/>
        </w:rPr>
        <w:t>、项目概况</w:t>
      </w:r>
    </w:p>
    <w:p w14:paraId="1536C3B3">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盐城市亭湖区便仓初级中学2026年物业服务项目</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服务</w:t>
      </w:r>
      <w:r>
        <w:rPr>
          <w:rFonts w:hint="eastAsia" w:ascii="宋体" w:hAnsi="宋体" w:cs="宋体"/>
          <w:color w:val="auto"/>
          <w:sz w:val="24"/>
          <w:szCs w:val="24"/>
          <w:highlight w:val="none"/>
        </w:rPr>
        <w:t>主要</w:t>
      </w:r>
      <w:r>
        <w:rPr>
          <w:rFonts w:hint="eastAsia" w:ascii="宋体" w:hAnsi="宋体" w:cs="宋体"/>
          <w:color w:val="auto"/>
          <w:sz w:val="24"/>
          <w:szCs w:val="24"/>
          <w:highlight w:val="none"/>
          <w:lang w:eastAsia="zh-CN"/>
        </w:rPr>
        <w:t>内容及人员，</w:t>
      </w:r>
      <w:r>
        <w:rPr>
          <w:rFonts w:hint="eastAsia" w:ascii="宋体" w:hAnsi="宋体" w:cs="宋体"/>
          <w:color w:val="auto"/>
          <w:sz w:val="24"/>
          <w:szCs w:val="24"/>
          <w:highlight w:val="none"/>
        </w:rPr>
        <w:t>包含保洁(含绿化维护、农药化肥购买等)、</w:t>
      </w:r>
      <w:r>
        <w:rPr>
          <w:rFonts w:hint="eastAsia" w:ascii="宋体" w:hAnsi="宋体" w:cs="宋体"/>
          <w:color w:val="auto"/>
          <w:sz w:val="24"/>
          <w:szCs w:val="24"/>
          <w:highlight w:val="none"/>
          <w:lang w:val="en-US" w:eastAsia="zh-CN"/>
        </w:rPr>
        <w:t>学校水电日常</w:t>
      </w:r>
      <w:r>
        <w:rPr>
          <w:rFonts w:hint="eastAsia" w:ascii="宋体" w:hAnsi="宋体" w:cs="宋体"/>
          <w:color w:val="auto"/>
          <w:sz w:val="24"/>
          <w:szCs w:val="24"/>
          <w:highlight w:val="none"/>
          <w:lang w:eastAsia="zh-CN"/>
        </w:rPr>
        <w:t>维修</w:t>
      </w:r>
      <w:r>
        <w:rPr>
          <w:rFonts w:hint="eastAsia" w:ascii="宋体" w:hAnsi="宋体" w:cs="宋体"/>
          <w:color w:val="auto"/>
          <w:sz w:val="24"/>
          <w:szCs w:val="24"/>
          <w:highlight w:val="none"/>
          <w:lang w:val="en-US" w:eastAsia="zh-CN"/>
        </w:rPr>
        <w:t>维护</w:t>
      </w:r>
      <w:r>
        <w:rPr>
          <w:rFonts w:hint="eastAsia" w:ascii="宋体" w:hAnsi="宋体" w:cs="宋体"/>
          <w:color w:val="auto"/>
          <w:sz w:val="24"/>
          <w:szCs w:val="24"/>
          <w:highlight w:val="none"/>
        </w:rPr>
        <w:t>、学生宿舍管理</w:t>
      </w:r>
      <w:r>
        <w:rPr>
          <w:rFonts w:hint="eastAsia" w:ascii="宋体" w:hAnsi="宋体" w:cs="宋体"/>
          <w:color w:val="auto"/>
          <w:sz w:val="24"/>
          <w:szCs w:val="24"/>
          <w:highlight w:val="none"/>
          <w:lang w:eastAsia="zh-CN"/>
        </w:rPr>
        <w:t>、夜间值班巡逻等</w:t>
      </w:r>
      <w:r>
        <w:rPr>
          <w:rFonts w:hint="eastAsia" w:ascii="宋体" w:hAnsi="宋体" w:cs="宋体"/>
          <w:color w:val="auto"/>
          <w:sz w:val="24"/>
          <w:szCs w:val="24"/>
          <w:highlight w:val="none"/>
        </w:rPr>
        <w:t>，具体以招标文件约定为准，采购人保留对服务内容进行适当调整的权利，具体详见招标文件采购需求。</w:t>
      </w:r>
    </w:p>
    <w:p w14:paraId="0F0A0B18">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cs="宋体"/>
          <w:b/>
          <w:bCs/>
          <w:color w:val="auto"/>
          <w:kern w:val="0"/>
          <w:sz w:val="24"/>
          <w:szCs w:val="24"/>
          <w:highlight w:val="none"/>
          <w:lang w:val="en-US" w:eastAsia="zh-CN"/>
        </w:rPr>
        <w:t>二</w:t>
      </w:r>
      <w:r>
        <w:rPr>
          <w:rFonts w:hint="eastAsia" w:ascii="宋体" w:hAnsi="宋体" w:eastAsia="宋体" w:cs="宋体"/>
          <w:b/>
          <w:bCs/>
          <w:color w:val="auto"/>
          <w:kern w:val="0"/>
          <w:sz w:val="24"/>
          <w:szCs w:val="24"/>
          <w:highlight w:val="none"/>
        </w:rPr>
        <w:t>、详细服务要求</w:t>
      </w:r>
    </w:p>
    <w:p w14:paraId="33FF3CBF">
      <w:pPr>
        <w:pStyle w:val="204"/>
        <w:keepNext w:val="0"/>
        <w:keepLines w:val="0"/>
        <w:pageBreakBefore w:val="0"/>
        <w:widowControl w:val="0"/>
        <w:numPr>
          <w:ilvl w:val="0"/>
          <w:numId w:val="0"/>
        </w:numPr>
        <w:kinsoku/>
        <w:wordWrap/>
        <w:overflowPunct/>
        <w:topLinePunct w:val="0"/>
        <w:autoSpaceDE/>
        <w:autoSpaceDN/>
        <w:bidi w:val="0"/>
        <w:spacing w:line="440" w:lineRule="exact"/>
        <w:ind w:left="482" w:leftChars="0"/>
        <w:textAlignment w:val="auto"/>
        <w:rPr>
          <w:rFonts w:hint="default" w:ascii="宋体" w:hAnsi="宋体" w:eastAsia="宋体" w:cs="宋体"/>
          <w:b/>
          <w:bCs/>
          <w:color w:val="auto"/>
          <w:kern w:val="0"/>
          <w:sz w:val="24"/>
          <w:szCs w:val="24"/>
          <w:highlight w:val="none"/>
          <w:lang w:val="en-US"/>
        </w:rPr>
      </w:pPr>
      <w:r>
        <w:rPr>
          <w:rFonts w:hint="eastAsia" w:ascii="宋体" w:hAnsi="宋体" w:cs="宋体"/>
          <w:b/>
          <w:bCs/>
          <w:color w:val="auto"/>
          <w:kern w:val="0"/>
          <w:sz w:val="24"/>
          <w:szCs w:val="24"/>
          <w:highlight w:val="none"/>
          <w:lang w:eastAsia="zh-CN"/>
        </w:rPr>
        <w:t>（</w:t>
      </w:r>
      <w:r>
        <w:rPr>
          <w:rFonts w:hint="eastAsia" w:ascii="宋体" w:hAnsi="宋体" w:cs="宋体"/>
          <w:b/>
          <w:bCs/>
          <w:color w:val="auto"/>
          <w:kern w:val="0"/>
          <w:sz w:val="24"/>
          <w:szCs w:val="24"/>
          <w:highlight w:val="none"/>
          <w:lang w:val="en-US" w:eastAsia="zh-CN"/>
        </w:rPr>
        <w:t>1</w:t>
      </w:r>
      <w:r>
        <w:rPr>
          <w:rFonts w:hint="eastAsia" w:ascii="宋体" w:hAnsi="宋体" w:cs="宋体"/>
          <w:b/>
          <w:bCs/>
          <w:color w:val="auto"/>
          <w:kern w:val="0"/>
          <w:sz w:val="24"/>
          <w:szCs w:val="24"/>
          <w:highlight w:val="none"/>
          <w:lang w:eastAsia="zh-CN"/>
        </w:rPr>
        <w:t>）</w:t>
      </w:r>
      <w:r>
        <w:rPr>
          <w:rFonts w:hint="eastAsia" w:ascii="宋体" w:hAnsi="宋体" w:cs="宋体"/>
          <w:b/>
          <w:bCs/>
          <w:color w:val="auto"/>
          <w:sz w:val="24"/>
          <w:szCs w:val="24"/>
          <w:highlight w:val="none"/>
          <w:lang w:eastAsia="zh-CN"/>
        </w:rPr>
        <w:t>夜间值班巡逻</w:t>
      </w:r>
      <w:r>
        <w:rPr>
          <w:rFonts w:hint="eastAsia" w:ascii="宋体" w:hAnsi="宋体" w:cs="宋体"/>
          <w:b/>
          <w:bCs/>
          <w:color w:val="auto"/>
          <w:sz w:val="24"/>
          <w:szCs w:val="24"/>
          <w:highlight w:val="none"/>
          <w:lang w:val="en-US" w:eastAsia="zh-CN"/>
        </w:rPr>
        <w:t>人员（保安兼）</w:t>
      </w:r>
    </w:p>
    <w:p w14:paraId="36844AD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1.供应商应建立符合学校特点的管理体系和管理制度，确保本项目保安队</w:t>
      </w:r>
    </w:p>
    <w:p w14:paraId="7CC27135">
      <w:pPr>
        <w:keepNext w:val="0"/>
        <w:keepLines w:val="0"/>
        <w:pageBreakBefore w:val="0"/>
        <w:widowControl w:val="0"/>
        <w:kinsoku/>
        <w:wordWrap/>
        <w:overflowPunct/>
        <w:topLinePunct w:val="0"/>
        <w:autoSpaceDE/>
        <w:autoSpaceDN/>
        <w:bidi w:val="0"/>
        <w:adjustRightInd w:val="0"/>
        <w:snapToGrid w:val="0"/>
        <w:spacing w:line="440" w:lineRule="exac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伍训练有素，值班职责明确，工作质量考核标准明确并能有效监督执行。</w:t>
      </w:r>
    </w:p>
    <w:p w14:paraId="0B0AF4C6">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2.安保人员按值班岗点设置实行24小时值班和巡逻，上岗安保人员政治素质较为过硬，服务形象佳，业务能力较强，具备应急处理能力和消防救灾技能，服从采购人的指挥和领导。</w:t>
      </w:r>
    </w:p>
    <w:p w14:paraId="243E9CB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安保人员实行三级培训制(供应商培训、采购人培训、岗位培训)，每周不少于6小时的岗位技能训练和政治学习，规范化执勤、消防灭火、防暴训练等不少于4小时，并列入保安队伍进考核，按要求安排人员参加由消防部门组织的消防值勤岗位培训，培训费用由供应商支付。</w:t>
      </w:r>
    </w:p>
    <w:p w14:paraId="23414AC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4.供应商应做好安保人员法制教育和管理，上岗安保人员能坚决同违法犯罪行为和不良倾向作斗争，积极揭发、检举和打击违法犯罪行为，不包庇坏人。没有因安保人员疏于职责造成的案件，没有监守自盗现象。</w:t>
      </w:r>
    </w:p>
    <w:p w14:paraId="24735ECB">
      <w:pPr>
        <w:keepNext w:val="0"/>
        <w:keepLines w:val="0"/>
        <w:pageBreakBefore w:val="0"/>
        <w:widowControl w:val="0"/>
        <w:kinsoku/>
        <w:wordWrap/>
        <w:overflowPunct/>
        <w:topLinePunct w:val="0"/>
        <w:autoSpaceDE/>
        <w:autoSpaceDN/>
        <w:bidi w:val="0"/>
        <w:spacing w:line="440" w:lineRule="exact"/>
        <w:ind w:firstLine="482" w:firstLineChars="200"/>
        <w:textAlignment w:val="auto"/>
        <w:rPr>
          <w:rFonts w:hint="eastAsia" w:ascii="宋体" w:hAnsi="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rPr>
        <w:t>（2）</w:t>
      </w:r>
      <w:r>
        <w:rPr>
          <w:rFonts w:hint="eastAsia" w:ascii="宋体" w:hAnsi="宋体" w:cs="宋体"/>
          <w:b/>
          <w:bCs/>
          <w:color w:val="auto"/>
          <w:kern w:val="0"/>
          <w:sz w:val="24"/>
          <w:szCs w:val="24"/>
          <w:highlight w:val="none"/>
          <w:lang w:val="en-US" w:eastAsia="zh-CN"/>
        </w:rPr>
        <w:t>保洁(含绿化维护、农药化肥购买等)</w:t>
      </w:r>
    </w:p>
    <w:p w14:paraId="4C503F7F">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1.整个校园内绿化除草、修剪、现有绿化的移植、打药、渔塘管理等。</w:t>
      </w:r>
    </w:p>
    <w:p w14:paraId="079B4BCF">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2.垃圾清运实行全年每日校园内垃圾清运到垃圾中转站。</w:t>
      </w:r>
    </w:p>
    <w:p w14:paraId="4E3CCE22">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3.厕所要及时打扫，保证厕所清洁、无异味、无污垢，纸篓要及时清理。</w:t>
      </w:r>
    </w:p>
    <w:p w14:paraId="57210091">
      <w:pPr>
        <w:keepNext w:val="0"/>
        <w:keepLines w:val="0"/>
        <w:pageBreakBefore w:val="0"/>
        <w:widowControl w:val="0"/>
        <w:kinsoku/>
        <w:wordWrap/>
        <w:overflowPunct/>
        <w:topLinePunct w:val="0"/>
        <w:autoSpaceDE/>
        <w:autoSpaceDN/>
        <w:bidi w:val="0"/>
        <w:spacing w:line="440" w:lineRule="exact"/>
        <w:ind w:firstLine="482" w:firstLineChars="200"/>
        <w:textAlignment w:val="auto"/>
        <w:rPr>
          <w:rFonts w:hint="default"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rPr>
        <w:t>（3）</w:t>
      </w:r>
      <w:r>
        <w:rPr>
          <w:rFonts w:hint="eastAsia" w:ascii="宋体" w:hAnsi="宋体" w:cs="宋体"/>
          <w:b/>
          <w:bCs/>
          <w:color w:val="auto"/>
          <w:kern w:val="0"/>
          <w:sz w:val="24"/>
          <w:szCs w:val="24"/>
          <w:highlight w:val="none"/>
          <w:lang w:val="en-US" w:eastAsia="zh-CN"/>
        </w:rPr>
        <w:t>宿舍管理员</w:t>
      </w:r>
    </w:p>
    <w:p w14:paraId="45D04C2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1.保证24小时在岗、工作时间内认真完成分工工作，不擅自离岗、串岗，特殊情况需向校方请假，并安排好人员代班；</w:t>
      </w:r>
    </w:p>
    <w:p w14:paraId="0B209A1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2.填写好工作日志，宿舍开放时间里做好来客登记，班主任寝室管理及值班老师值日登记，学生晚归登记等；</w:t>
      </w:r>
    </w:p>
    <w:p w14:paraId="2D9EF34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3.按作息时间开关宿舍大门；</w:t>
      </w:r>
    </w:p>
    <w:p w14:paraId="7C38565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4.做好宿舍清洁、宿舍管理。定期巡视宿舍区，发现设施损坏，存在安全隐患等及时向校方部门报修；</w:t>
      </w:r>
    </w:p>
    <w:p w14:paraId="21ED06A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5.严禁寄宿生擅自窜室，严禁男生进入女生宿舍；</w:t>
      </w:r>
    </w:p>
    <w:p w14:paraId="08C94A23">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6.遇到重大问题、偶发事件，采取相应的措施，并及时向学校领导或值班老师汇报。</w:t>
      </w:r>
    </w:p>
    <w:p w14:paraId="6BF7A552">
      <w:pPr>
        <w:keepNext w:val="0"/>
        <w:keepLines w:val="0"/>
        <w:pageBreakBefore w:val="0"/>
        <w:widowControl w:val="0"/>
        <w:kinsoku/>
        <w:wordWrap/>
        <w:overflowPunct/>
        <w:topLinePunct w:val="0"/>
        <w:autoSpaceDE/>
        <w:autoSpaceDN/>
        <w:bidi w:val="0"/>
        <w:spacing w:line="44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w:t>
      </w:r>
      <w:r>
        <w:rPr>
          <w:rFonts w:hint="eastAsia" w:ascii="宋体" w:hAnsi="宋体" w:cs="宋体"/>
          <w:b/>
          <w:bCs/>
          <w:color w:val="auto"/>
          <w:kern w:val="0"/>
          <w:sz w:val="24"/>
          <w:szCs w:val="24"/>
          <w:highlight w:val="none"/>
          <w:lang w:val="en-US" w:eastAsia="zh-CN"/>
        </w:rPr>
        <w:t>4</w:t>
      </w:r>
      <w:r>
        <w:rPr>
          <w:rFonts w:hint="eastAsia" w:ascii="宋体" w:hAnsi="宋体" w:eastAsia="宋体" w:cs="宋体"/>
          <w:b/>
          <w:bCs/>
          <w:color w:val="auto"/>
          <w:kern w:val="0"/>
          <w:sz w:val="24"/>
          <w:szCs w:val="24"/>
          <w:highlight w:val="none"/>
        </w:rPr>
        <w:t>）建立健全物业管理制度</w:t>
      </w:r>
    </w:p>
    <w:p w14:paraId="1B268B4F">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根据甲方的具体情况，乙方应制定详细的内部管理制度、日常服务的运作管理制度等相关制度。</w:t>
      </w:r>
    </w:p>
    <w:p w14:paraId="7D134C2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物业管理员工行为规范。</w:t>
      </w:r>
    </w:p>
    <w:p w14:paraId="712582D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管理人员岗位职责。</w:t>
      </w:r>
    </w:p>
    <w:p w14:paraId="55A7B7A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保洁工作职责。</w:t>
      </w:r>
    </w:p>
    <w:p w14:paraId="7434BBF0">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宿管人员工作职责。</w:t>
      </w:r>
    </w:p>
    <w:p w14:paraId="041B74B3">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r>
        <w:rPr>
          <w:rFonts w:hint="eastAsia" w:ascii="宋体" w:hAnsi="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管理人员、操作人员考核细则。</w:t>
      </w:r>
    </w:p>
    <w:p w14:paraId="72BBF75D">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考核奖惩制度。</w:t>
      </w:r>
    </w:p>
    <w:p w14:paraId="2F6A9933">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安全保卫制度。</w:t>
      </w:r>
    </w:p>
    <w:p w14:paraId="15F7E6C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综合服务制度。</w:t>
      </w:r>
    </w:p>
    <w:p w14:paraId="1AC9564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其他。</w:t>
      </w:r>
    </w:p>
    <w:p w14:paraId="7EE79942">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★具体工作内容由乙方自行安排人员实施，确保以上工作内容保质保量完成，同时须无条件服务甲方安排的承包工作范围内的其他工作事宜或临时性突击任务，不另外增加任何费用。</w:t>
      </w:r>
    </w:p>
    <w:p w14:paraId="0F6B95A3">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cs="宋体"/>
          <w:b/>
          <w:bCs/>
          <w:color w:val="auto"/>
          <w:kern w:val="0"/>
          <w:sz w:val="24"/>
          <w:szCs w:val="24"/>
          <w:highlight w:val="none"/>
          <w:lang w:val="en-US" w:eastAsia="zh-CN"/>
        </w:rPr>
        <w:t>三</w:t>
      </w:r>
      <w:r>
        <w:rPr>
          <w:rFonts w:hint="eastAsia" w:ascii="宋体" w:hAnsi="宋体" w:eastAsia="宋体" w:cs="宋体"/>
          <w:b/>
          <w:bCs/>
          <w:color w:val="auto"/>
          <w:kern w:val="0"/>
          <w:sz w:val="24"/>
          <w:szCs w:val="24"/>
          <w:highlight w:val="none"/>
        </w:rPr>
        <w:t>、人员要求</w:t>
      </w:r>
    </w:p>
    <w:p w14:paraId="42A7294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3.1人员基本原则：精干 高效 专业 敬业 健康。</w:t>
      </w:r>
    </w:p>
    <w:p w14:paraId="71C728DD">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3.2人员配置要求</w:t>
      </w:r>
    </w:p>
    <w:p w14:paraId="477756E5">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总人数</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人，夜间值班巡逻人员（保安兼）1人、宿舍管理员2人、保洁(含绿化维护、农药化肥购买等)1人。合同人员需相对固定，项目管理人员在合同期内未经甲方许可不得更换，其他人员如有特殊情况，更换必须征得甲方同意，更换后的人员需符合合同约定。</w:t>
      </w:r>
    </w:p>
    <w:p w14:paraId="4481A045">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如遇学校有活动或临时需要延长工作时间或增加值班人数（总人数不超过4人）时，乙方应无条件增加，不另外增加任何费用。</w:t>
      </w:r>
    </w:p>
    <w:p w14:paraId="7AE8E82F">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3.3上岗条件</w:t>
      </w:r>
    </w:p>
    <w:p w14:paraId="4BA55776">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（1）门卫夜间巡逻：男性</w:t>
      </w:r>
      <w:r>
        <w:rPr>
          <w:rFonts w:ascii="宋体" w:hAnsi="宋体" w:eastAsia="宋体" w:cs="宋体"/>
          <w:color w:val="auto"/>
          <w:kern w:val="0"/>
          <w:sz w:val="24"/>
          <w:szCs w:val="24"/>
          <w:highlight w:val="none"/>
        </w:rPr>
        <w:t>55</w:t>
      </w:r>
      <w:r>
        <w:rPr>
          <w:rFonts w:hint="eastAsia" w:ascii="宋体" w:hAnsi="宋体" w:eastAsia="宋体" w:cs="宋体"/>
          <w:color w:val="auto"/>
          <w:kern w:val="0"/>
          <w:sz w:val="24"/>
          <w:szCs w:val="24"/>
          <w:highlight w:val="none"/>
        </w:rPr>
        <w:t>周岁以下，女50周岁以下。</w:t>
      </w:r>
    </w:p>
    <w:p w14:paraId="44217647">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（2）保洁：5</w:t>
      </w:r>
      <w:r>
        <w:rPr>
          <w:rFonts w:ascii="宋体" w:hAnsi="宋体" w:eastAsia="宋体" w:cs="宋体"/>
          <w:color w:val="auto"/>
          <w:kern w:val="0"/>
          <w:sz w:val="24"/>
          <w:szCs w:val="24"/>
          <w:highlight w:val="none"/>
        </w:rPr>
        <w:t>5</w:t>
      </w:r>
      <w:r>
        <w:rPr>
          <w:rFonts w:hint="eastAsia" w:ascii="宋体" w:hAnsi="宋体" w:eastAsia="宋体" w:cs="宋体"/>
          <w:color w:val="auto"/>
          <w:kern w:val="0"/>
          <w:sz w:val="24"/>
          <w:szCs w:val="24"/>
          <w:highlight w:val="none"/>
        </w:rPr>
        <w:t>周岁以下，具有一年以上卫生、绿化保洁工作经验，有吃苦耐劳的精神，责任心强。</w:t>
      </w:r>
    </w:p>
    <w:p w14:paraId="28F0888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t>3</w:t>
      </w:r>
      <w:r>
        <w:rPr>
          <w:rFonts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t>宿舍管理员</w:t>
      </w:r>
      <w:r>
        <w:rPr>
          <w:rFonts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rPr>
        <w:t>男女各一人，男</w:t>
      </w:r>
      <w:r>
        <w:rPr>
          <w:rFonts w:hint="eastAsia" w:ascii="宋体" w:hAnsi="宋体" w:cs="宋体"/>
          <w:color w:val="auto"/>
          <w:kern w:val="0"/>
          <w:sz w:val="24"/>
          <w:szCs w:val="24"/>
          <w:highlight w:val="none"/>
          <w:lang w:val="en-US" w:eastAsia="zh-CN"/>
        </w:rPr>
        <w:t>55</w:t>
      </w:r>
      <w:r>
        <w:rPr>
          <w:rFonts w:hint="eastAsia" w:ascii="宋体" w:hAnsi="宋体" w:eastAsia="宋体" w:cs="宋体"/>
          <w:color w:val="auto"/>
          <w:kern w:val="0"/>
          <w:sz w:val="24"/>
          <w:szCs w:val="24"/>
          <w:highlight w:val="none"/>
        </w:rPr>
        <w:t>周岁以下，女5</w:t>
      </w:r>
      <w:r>
        <w:rPr>
          <w:rFonts w:hint="eastAsia" w:ascii="宋体" w:hAnsi="宋体" w:cs="宋体"/>
          <w:color w:val="auto"/>
          <w:kern w:val="0"/>
          <w:sz w:val="24"/>
          <w:szCs w:val="24"/>
          <w:highlight w:val="none"/>
          <w:lang w:val="en-US" w:eastAsia="zh-CN"/>
        </w:rPr>
        <w:t>0</w:t>
      </w:r>
      <w:r>
        <w:rPr>
          <w:rFonts w:hint="eastAsia" w:ascii="宋体" w:hAnsi="宋体" w:eastAsia="宋体" w:cs="宋体"/>
          <w:color w:val="auto"/>
          <w:kern w:val="0"/>
          <w:sz w:val="24"/>
          <w:szCs w:val="24"/>
          <w:highlight w:val="none"/>
        </w:rPr>
        <w:t>周岁以下，高中及以上文化，具有一定的工作经验，责任心强，工作细心认真。</w:t>
      </w:r>
    </w:p>
    <w:p w14:paraId="6488B05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★人员的具体工作任务由乙方自行安排，确保完成甲方交办的所有工作内容。</w:t>
      </w:r>
    </w:p>
    <w:p w14:paraId="51024815">
      <w:pPr>
        <w:keepNext w:val="0"/>
        <w:keepLines w:val="0"/>
        <w:pageBreakBefore w:val="0"/>
        <w:widowControl w:val="0"/>
        <w:shd w:val="clear" w:color="auto" w:fill="FFFFFF"/>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3.4人员管理要求</w:t>
      </w:r>
    </w:p>
    <w:p w14:paraId="4095D95D">
      <w:pPr>
        <w:keepNext w:val="0"/>
        <w:keepLines w:val="0"/>
        <w:pageBreakBefore w:val="0"/>
        <w:widowControl w:val="0"/>
        <w:shd w:val="clear" w:color="auto" w:fill="FFFFFF"/>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乙方在进驻前应向校方提供所有工作人员的本人身份证、健康证及其他相关证件供查验，并复印件交至甲方备案。无特殊情况不得擅自更换人员，确需调换的要符合相关规定并履行相关手续报校方同意并备案，并对调换人员加强培训和管理。</w:t>
      </w:r>
    </w:p>
    <w:p w14:paraId="6F456F94">
      <w:pPr>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乙方应建立自身内部档案分类、管理制度，管理和协调好各岗位的工作，乙方须明确1人兼项目负责人（物业主管），按月对物业管理人员实施考勤、督查和考核，并将考勤、督查和考核情况于每月结算费用前送甲方备案。</w:t>
      </w:r>
    </w:p>
    <w:p w14:paraId="525898DC">
      <w:pPr>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（3）建立定期例会制度和培训制度，校方派员参会。</w:t>
      </w:r>
    </w:p>
    <w:p w14:paraId="5323A3F2">
      <w:pPr>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（4）物业公司在学校独立进行内部管理的同时，还必须服从学校相关职能部门的监督和领导。</w:t>
      </w:r>
    </w:p>
    <w:p w14:paraId="3386F837">
      <w:pPr>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（5）对因工作不到位而引起学校、师生财产损失的，应由乙方负责按实赔偿。</w:t>
      </w:r>
    </w:p>
    <w:p w14:paraId="73488FB9">
      <w:pPr>
        <w:keepNext w:val="0"/>
        <w:keepLines w:val="0"/>
        <w:pageBreakBefore w:val="0"/>
        <w:widowControl w:val="0"/>
        <w:kinsoku/>
        <w:wordWrap/>
        <w:overflowPunct/>
        <w:topLinePunct w:val="0"/>
        <w:autoSpaceDE/>
        <w:autoSpaceDN/>
        <w:bidi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凡因为乙方管理不力，造成校园重大安全事故、环境混乱等而被有关部门曝光或被报纸、电视、广播等媒体披露或被上级相关部门批评造成恶劣影响的，第一次扣除本年度总劳务费用的20%，第二次扣除年度总劳务费用的40%，第三次解除聘任合同。</w:t>
      </w:r>
    </w:p>
    <w:p w14:paraId="22FA0D80">
      <w:pPr>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（7）凡工作严重不到位，被学校管理部门通报批评且每学期累计达到3次或年度累计达到5次者，乙方必须另行安排其他人员替换且替换人员须得到甲方认可。</w:t>
      </w:r>
    </w:p>
    <w:p w14:paraId="517FD682">
      <w:pPr>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（8）因乙方派出的物业服务人员工作严重不到位，甲方在一年内要求乙方替换2人以上，甲方可以扣除乙方一定的服务费用（2人扣除1%，3人扣除3%，4人扣除6%，5人及以上解除聘任合同）。</w:t>
      </w:r>
    </w:p>
    <w:p w14:paraId="0924553D">
      <w:pPr>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（9）乙方应加强安全教育与管理，所有工作人员上下班途中的一切安全问题、值班过程中的一切安全问题都由乙方自行承担，甲方不承担任何经济或法律责任。</w:t>
      </w:r>
    </w:p>
    <w:p w14:paraId="48E17F30">
      <w:pPr>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（10）乙方派遣的所有工作人员不享受学校教职工的任何福利待遇。</w:t>
      </w:r>
    </w:p>
    <w:p w14:paraId="7221E82A">
      <w:pPr>
        <w:pStyle w:val="15"/>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3.</w:t>
      </w:r>
      <w:r>
        <w:rPr>
          <w:rFonts w:hAnsi="宋体" w:cs="宋体"/>
          <w:color w:val="auto"/>
          <w:kern w:val="0"/>
          <w:sz w:val="24"/>
          <w:szCs w:val="24"/>
          <w:highlight w:val="none"/>
        </w:rPr>
        <w:t>5</w:t>
      </w:r>
      <w:r>
        <w:rPr>
          <w:rFonts w:hint="eastAsia" w:hAnsi="宋体" w:cs="宋体"/>
          <w:color w:val="auto"/>
          <w:kern w:val="0"/>
          <w:sz w:val="24"/>
          <w:szCs w:val="24"/>
          <w:highlight w:val="none"/>
        </w:rPr>
        <w:t>对物业管理工作的原则性和总体性要求</w:t>
      </w:r>
    </w:p>
    <w:p w14:paraId="77B365D3">
      <w:pPr>
        <w:pStyle w:val="15"/>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（1）在班期间必须着装整齐，佩戴工号牌，仪表大方，精神饱满。着装不整齐、 不佩戴工号牌、精神萎靡的、工作姿态不规范的(例如双手交叉抱于胸前或者双手插于裤袋的等)，发现一例扣5元。</w:t>
      </w:r>
    </w:p>
    <w:p w14:paraId="7E697A26">
      <w:pPr>
        <w:pStyle w:val="15"/>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2）举止文明，态度热情，坚持原则，尊重他人，讲究方法，尽职尽责。履职期间，言语不文明、打骂学生的、酒后上岗、在公共场合抽烟、做私事、聚集闲谈的，发现一例扣10元，因履职不力造成后果的要追究有关人员以及公司经济和法律责任，造成学校和师生员工经济损失的，由物业公司负责赔偿。</w:t>
      </w:r>
    </w:p>
    <w:p w14:paraId="6A7025F6">
      <w:pPr>
        <w:pStyle w:val="15"/>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3）服从学校的领导和指挥。在不违背物业工作原则的情况下，不服从学校统一调度的，工作人员一周内检查均达不到工作标准和要求的扣50-100元，严重者要求相关人员撤离本校区。此类情况一学期发生三起(含三起)以上的，学校可拒付当月20%的物业管理服务费，经告知协调无果，学校可以单方面终止合同。</w:t>
      </w:r>
    </w:p>
    <w:p w14:paraId="0B1BE7D8">
      <w:pPr>
        <w:pStyle w:val="15"/>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4）凡是到本校区从事物管服务的人员，在初到前三天，物业管理公司必须到学校登记备案，提供这些人员的人事信息。员工本人上班前一天到校登记，得到许可后方可上岗。未按此要求擅自派人员的，学校可拒付该员工服务费，并要求在一周内人员更换到位。未按上述要求办理，发现一次除按规定办理外并处罚金1000元，服务期内发生3次学校可单方终止合同。</w:t>
      </w:r>
    </w:p>
    <w:p w14:paraId="1D9E003E">
      <w:pPr>
        <w:pStyle w:val="15"/>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3.</w:t>
      </w:r>
      <w:r>
        <w:rPr>
          <w:rFonts w:hAnsi="宋体" w:cs="宋体"/>
          <w:color w:val="auto"/>
          <w:kern w:val="0"/>
          <w:sz w:val="24"/>
          <w:szCs w:val="24"/>
          <w:highlight w:val="none"/>
        </w:rPr>
        <w:t>6</w:t>
      </w:r>
      <w:r>
        <w:rPr>
          <w:rFonts w:hint="eastAsia" w:hAnsi="宋体" w:cs="宋体"/>
          <w:color w:val="auto"/>
          <w:kern w:val="0"/>
          <w:sz w:val="24"/>
          <w:szCs w:val="24"/>
          <w:highlight w:val="none"/>
        </w:rPr>
        <w:t>卫生保洁工作</w:t>
      </w:r>
    </w:p>
    <w:p w14:paraId="519900DB">
      <w:pPr>
        <w:pStyle w:val="15"/>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（1）职责保洁区内每天注意保洁，打扫不及时或者达不到要求的，有一次扣50元。</w:t>
      </w:r>
    </w:p>
    <w:p w14:paraId="2CF536D3">
      <w:pPr>
        <w:pStyle w:val="15"/>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（2）保洁工具及时清洗、晾晒并按指定地点存放整齐，保洁用品使用恰当，不浪费、不夹带。工具间不存放与本职工作无关的物品。违者发现一例，扣50元。</w:t>
      </w:r>
    </w:p>
    <w:p w14:paraId="763BB288">
      <w:pPr>
        <w:pStyle w:val="15"/>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（3）绿化保洁按要求及时保洁，保洁后及时清理打扫现场，违者发现一例，扣50元。</w:t>
      </w:r>
    </w:p>
    <w:p w14:paraId="634D9FDE">
      <w:pPr>
        <w:pStyle w:val="15"/>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（4）不服从临时工作安排，一次扣1000元。</w:t>
      </w:r>
    </w:p>
    <w:p w14:paraId="466791A7">
      <w:pPr>
        <w:pStyle w:val="15"/>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3.</w:t>
      </w:r>
      <w:r>
        <w:rPr>
          <w:rFonts w:hAnsi="宋体" w:cs="宋体"/>
          <w:color w:val="auto"/>
          <w:kern w:val="0"/>
          <w:sz w:val="24"/>
          <w:szCs w:val="24"/>
          <w:highlight w:val="none"/>
        </w:rPr>
        <w:t>7</w:t>
      </w:r>
      <w:r>
        <w:rPr>
          <w:rFonts w:hint="eastAsia" w:hAnsi="宋体" w:cs="宋体"/>
          <w:color w:val="auto"/>
          <w:kern w:val="0"/>
          <w:sz w:val="24"/>
          <w:szCs w:val="24"/>
          <w:highlight w:val="none"/>
        </w:rPr>
        <w:t>宿舍管理员</w:t>
      </w:r>
    </w:p>
    <w:p w14:paraId="1151C2FB">
      <w:pPr>
        <w:pStyle w:val="15"/>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（1）认真负责工作，若被老师投诉，有一次扣100元；</w:t>
      </w:r>
    </w:p>
    <w:p w14:paraId="5726659E">
      <w:pPr>
        <w:pStyle w:val="15"/>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（2）迟到一次，扣50元。旷工一次，扣100元。</w:t>
      </w:r>
    </w:p>
    <w:p w14:paraId="5A923563">
      <w:pPr>
        <w:pStyle w:val="15"/>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（3）不服从临时工作安排，一次扣100元。</w:t>
      </w:r>
    </w:p>
    <w:p w14:paraId="13A366C2">
      <w:pPr>
        <w:pStyle w:val="15"/>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3.</w:t>
      </w:r>
      <w:r>
        <w:rPr>
          <w:rFonts w:hAnsi="宋体" w:cs="宋体"/>
          <w:color w:val="auto"/>
          <w:kern w:val="0"/>
          <w:sz w:val="24"/>
          <w:szCs w:val="24"/>
          <w:highlight w:val="none"/>
        </w:rPr>
        <w:t>8</w:t>
      </w:r>
      <w:r>
        <w:rPr>
          <w:rFonts w:hint="eastAsia" w:hAnsi="宋体" w:cs="宋体"/>
          <w:color w:val="auto"/>
          <w:kern w:val="0"/>
          <w:sz w:val="24"/>
          <w:szCs w:val="24"/>
          <w:highlight w:val="none"/>
        </w:rPr>
        <w:t>本物业服务范围内的其他工作事项</w:t>
      </w:r>
    </w:p>
    <w:p w14:paraId="51E5E920">
      <w:pPr>
        <w:pStyle w:val="15"/>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建立严格规范的应急体系，以便应对突发的传染性疾病、火灾、治安等紧急情况，当发生紧急情况时，乙方必须无条件地配合甲方相关工作等。</w:t>
      </w:r>
    </w:p>
    <w:p w14:paraId="29449C06">
      <w:pPr>
        <w:pStyle w:val="15"/>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注：乙方提供的物业服务应达到招标文件的标准及国家规定的标准，有冲突处，按高标准执行。</w:t>
      </w:r>
    </w:p>
    <w:p w14:paraId="7B7FDA67">
      <w:pPr>
        <w:pStyle w:val="15"/>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4</w:t>
      </w:r>
      <w:r>
        <w:rPr>
          <w:rFonts w:hAnsi="宋体" w:cs="宋体"/>
          <w:color w:val="auto"/>
          <w:kern w:val="0"/>
          <w:sz w:val="24"/>
          <w:szCs w:val="24"/>
          <w:highlight w:val="none"/>
        </w:rPr>
        <w:t>、质量要求</w:t>
      </w:r>
    </w:p>
    <w:p w14:paraId="29E6F539">
      <w:pPr>
        <w:pStyle w:val="15"/>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物业管理服务人员能很好地履行岗位职责并完成甲方分配的勤务工作，服从甲方管理，工作认真负责，并承诺服务质量达到优质服务的管理标准。</w:t>
      </w:r>
    </w:p>
    <w:p w14:paraId="1BA2520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ascii="宋体" w:hAnsi="宋体" w:eastAsia="宋体" w:cs="宋体"/>
          <w:color w:val="auto"/>
          <w:kern w:val="0"/>
          <w:sz w:val="24"/>
          <w:szCs w:val="24"/>
          <w:highlight w:val="none"/>
        </w:rPr>
        <w:t>4.1</w:t>
      </w:r>
      <w:r>
        <w:rPr>
          <w:rFonts w:hint="eastAsia" w:ascii="宋体" w:hAnsi="宋体" w:eastAsia="宋体" w:cs="宋体"/>
          <w:color w:val="auto"/>
          <w:kern w:val="0"/>
          <w:sz w:val="24"/>
          <w:szCs w:val="24"/>
          <w:highlight w:val="none"/>
        </w:rPr>
        <w:t>建立健全物业管理制度</w:t>
      </w:r>
    </w:p>
    <w:p w14:paraId="25E5F1E6">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根据招标人的具体情况，中标单位应制定详细的内部管理制度、日常服务的运作管理制度等相关制度。</w:t>
      </w:r>
    </w:p>
    <w:p w14:paraId="1B3AEED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（1）物业管理员工行为规范。</w:t>
      </w:r>
    </w:p>
    <w:p w14:paraId="7224BCE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（2）管理人员岗位职责。</w:t>
      </w:r>
    </w:p>
    <w:p w14:paraId="341AD1C6">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（3）保洁工作职责。</w:t>
      </w:r>
    </w:p>
    <w:p w14:paraId="5F9D30E7">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（4）宿管人员工作职责。</w:t>
      </w:r>
    </w:p>
    <w:p w14:paraId="50D04D7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（5）管理人员、操作人员考核细则。</w:t>
      </w:r>
    </w:p>
    <w:p w14:paraId="389F954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（6）考核奖惩制度。</w:t>
      </w:r>
    </w:p>
    <w:p w14:paraId="637EDA3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（7）安全保卫制度。</w:t>
      </w:r>
    </w:p>
    <w:p w14:paraId="2F40B3F3">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（8）综合服务制度。</w:t>
      </w:r>
    </w:p>
    <w:p w14:paraId="0EB4AD9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（9）其他。</w:t>
      </w:r>
    </w:p>
    <w:p w14:paraId="1CCA3AAF">
      <w:pPr>
        <w:pStyle w:val="15"/>
        <w:keepNext w:val="0"/>
        <w:keepLines w:val="0"/>
        <w:pageBreakBefore w:val="0"/>
        <w:widowControl w:val="0"/>
        <w:kinsoku/>
        <w:wordWrap/>
        <w:overflowPunct/>
        <w:topLinePunct w:val="0"/>
        <w:autoSpaceDE/>
        <w:autoSpaceDN/>
        <w:bidi w:val="0"/>
        <w:spacing w:line="440" w:lineRule="exact"/>
        <w:ind w:firstLine="480" w:firstLineChars="200"/>
        <w:contextualSpacing/>
        <w:textAlignment w:val="auto"/>
        <w:rPr>
          <w:rFonts w:hint="eastAsia" w:hAnsi="宋体" w:cs="宋体"/>
          <w:color w:val="auto"/>
          <w:kern w:val="0"/>
          <w:sz w:val="24"/>
          <w:szCs w:val="24"/>
          <w:highlight w:val="none"/>
        </w:rPr>
      </w:pPr>
      <w:r>
        <w:rPr>
          <w:rFonts w:hAnsi="宋体" w:cs="宋体"/>
          <w:color w:val="auto"/>
          <w:kern w:val="0"/>
          <w:sz w:val="24"/>
          <w:szCs w:val="24"/>
          <w:highlight w:val="none"/>
        </w:rPr>
        <w:t>5</w:t>
      </w:r>
      <w:r>
        <w:rPr>
          <w:rFonts w:hint="eastAsia" w:hAnsi="宋体" w:cs="宋体"/>
          <w:color w:val="auto"/>
          <w:kern w:val="0"/>
          <w:sz w:val="24"/>
          <w:szCs w:val="24"/>
          <w:highlight w:val="none"/>
        </w:rPr>
        <w:t>、其他约定</w:t>
      </w:r>
    </w:p>
    <w:bookmarkEnd w:id="6"/>
    <w:bookmarkEnd w:id="7"/>
    <w:p w14:paraId="2C6934C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（1）如遇学校有活动或临时需要延长工作时间或增加值班人数（总人数不超过4人）时，物业公司应无条件增加，不另外增加任何费用；</w:t>
      </w:r>
    </w:p>
    <w:p w14:paraId="7111F347">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（2）最终报价应含所有</w:t>
      </w: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人（保安员、保洁员、宿舍管理员等）的所有费用（工资、社保、公积金、福利费等）、营业利润、各项税金（含开票税金）、工作服装费用、生活日用品费用、节假日及国家法定假日加班费用等一切费用；</w:t>
      </w:r>
    </w:p>
    <w:p w14:paraId="67BCF64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（3）加强安全教育与管理，所有工作人员上下班途中的一切安全问题、值班过程中的一切安全问题都由物业公司承担，学校不承担任何经济或法律责任；</w:t>
      </w:r>
    </w:p>
    <w:p w14:paraId="1EF7CCD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（4）所有工作人员不享受学校教职工的任何福利待遇；</w:t>
      </w:r>
    </w:p>
    <w:p w14:paraId="7AF22442">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（5）中标单位指定1名项目经理负责物业管理的协调组织工作。 </w:t>
      </w:r>
    </w:p>
    <w:p w14:paraId="1DC47BB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（6）本合同期限1年，合同期从采购人正式通知进场服务之日起算。</w:t>
      </w:r>
    </w:p>
    <w:p w14:paraId="50647551">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支付方式：合同签订后，甲方支付合同总价的30%作为预付款，乙方须提供相应的增值税发票；剩余70%的物业管理费的支付采用“月月考核，按月支付”考核的方式，即甲方于次月15日前对上月的物业管理工作进行考核。经甲方考核合格于每月末支付当月物业管理费。物业费按月支付，从第二个月开始，物业公司付清派遣到本校的从业人员工资后，学校支付上一个月服务费。考核结果在季度末支付物业管理费中兑现，如一个季度中连续有两个月或一年中累计三个月考核不合格，甲方有权单方面解除本协议，并赔偿由此而造成的甲方的一切损失。同时，乙方在发放物业服务人员工资时，应结合服务单位对物管人员服务情况的考核情况（注：按以上付款，无任何银行利息，一律通过银行结转）。如因上级财政部门资金拨付不到位，则甲方确保在年底结清款项。乙方承诺：仍按合同约定提供服务，且不因拖欠资金追究甲方的相关责任和损失。</w:t>
      </w:r>
    </w:p>
    <w:p w14:paraId="72EA1FD7">
      <w:pPr>
        <w:pStyle w:val="15"/>
        <w:keepNext w:val="0"/>
        <w:keepLines w:val="0"/>
        <w:pageBreakBefore w:val="0"/>
        <w:widowControl w:val="0"/>
        <w:kinsoku/>
        <w:wordWrap/>
        <w:overflowPunct/>
        <w:topLinePunct w:val="0"/>
        <w:autoSpaceDE/>
        <w:autoSpaceDN/>
        <w:bidi w:val="0"/>
        <w:snapToGrid w:val="0"/>
        <w:spacing w:line="440" w:lineRule="exact"/>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注：★乙方提供的物业服务应达到招标文件的标准及国家规定的标准，有冲突处，按高标准执行。</w:t>
      </w:r>
    </w:p>
    <w:p w14:paraId="5C216FCE">
      <w:pPr>
        <w:pStyle w:val="15"/>
        <w:keepNext w:val="0"/>
        <w:keepLines w:val="0"/>
        <w:pageBreakBefore w:val="0"/>
        <w:widowControl w:val="0"/>
        <w:kinsoku/>
        <w:wordWrap/>
        <w:overflowPunct/>
        <w:topLinePunct w:val="0"/>
        <w:autoSpaceDE/>
        <w:autoSpaceDN/>
        <w:bidi w:val="0"/>
        <w:snapToGrid w:val="0"/>
        <w:spacing w:line="440" w:lineRule="exact"/>
        <w:ind w:firstLine="480" w:firstLineChars="200"/>
        <w:textAlignment w:val="auto"/>
        <w:rPr>
          <w:rFonts w:hint="eastAsia" w:hAnsi="宋体" w:cs="宋体"/>
          <w:color w:val="auto"/>
          <w:kern w:val="0"/>
          <w:sz w:val="24"/>
          <w:szCs w:val="24"/>
          <w:highlight w:val="none"/>
        </w:rPr>
      </w:pPr>
      <w:r>
        <w:rPr>
          <w:rFonts w:hint="eastAsia" w:hAnsi="宋体" w:cs="宋体"/>
          <w:color w:val="auto"/>
          <w:kern w:val="0"/>
          <w:sz w:val="24"/>
          <w:szCs w:val="24"/>
          <w:highlight w:val="none"/>
        </w:rPr>
        <w:t>★招标文件约定范围内的具体工作内容由乙方自行安排人员实施，确保以上工作内容保质保量完成，同时须无条件服务甲方安排的承包工作范围内的其他工作事宜或临时性突击任务，不另外增加任何费用。</w:t>
      </w:r>
    </w:p>
    <w:p w14:paraId="1B661ED0">
      <w:pPr>
        <w:widowControl/>
        <w:spacing w:line="560" w:lineRule="exact"/>
        <w:ind w:firstLine="480"/>
        <w:jc w:val="left"/>
        <w:rPr>
          <w:rFonts w:ascii="宋体" w:hAnsi="宋体" w:cs="宋体"/>
          <w:b/>
          <w:bCs/>
          <w:color w:val="auto"/>
          <w:sz w:val="24"/>
          <w:szCs w:val="20"/>
          <w:highlight w:val="none"/>
        </w:rPr>
      </w:pPr>
      <w:r>
        <w:rPr>
          <w:rFonts w:hint="eastAsia" w:ascii="宋体" w:hAnsi="宋体" w:cs="宋体"/>
          <w:b/>
          <w:bCs/>
          <w:color w:val="auto"/>
          <w:sz w:val="24"/>
          <w:szCs w:val="20"/>
          <w:highlight w:val="none"/>
          <w:lang w:val="en-US" w:eastAsia="zh-CN"/>
        </w:rPr>
        <w:t>四</w:t>
      </w:r>
      <w:r>
        <w:rPr>
          <w:rFonts w:hint="eastAsia" w:ascii="宋体" w:hAnsi="宋体" w:cs="宋体"/>
          <w:b/>
          <w:bCs/>
          <w:color w:val="auto"/>
          <w:sz w:val="24"/>
          <w:szCs w:val="20"/>
          <w:highlight w:val="none"/>
        </w:rPr>
        <w:t>、采购标的对应的中小企业划分标准所属行业一览表</w:t>
      </w:r>
    </w:p>
    <w:tbl>
      <w:tblPr>
        <w:tblStyle w:val="29"/>
        <w:tblW w:w="5277" w:type="pct"/>
        <w:jc w:val="center"/>
        <w:tblCellSpacing w:w="0" w:type="dxa"/>
        <w:tblLayout w:type="autofit"/>
        <w:tblCellMar>
          <w:top w:w="0" w:type="dxa"/>
          <w:left w:w="108" w:type="dxa"/>
          <w:bottom w:w="0" w:type="dxa"/>
          <w:right w:w="108" w:type="dxa"/>
        </w:tblCellMar>
      </w:tblPr>
      <w:tblGrid>
        <w:gridCol w:w="938"/>
        <w:gridCol w:w="4061"/>
        <w:gridCol w:w="4016"/>
      </w:tblGrid>
      <w:tr w14:paraId="653D837B">
        <w:tblPrEx>
          <w:tblCellMar>
            <w:top w:w="0" w:type="dxa"/>
            <w:left w:w="108" w:type="dxa"/>
            <w:bottom w:w="0" w:type="dxa"/>
            <w:right w:w="108" w:type="dxa"/>
          </w:tblCellMar>
        </w:tblPrEx>
        <w:trPr>
          <w:trHeight w:val="890" w:hRule="atLeast"/>
          <w:tblCellSpacing w:w="0" w:type="dxa"/>
          <w:jc w:val="center"/>
        </w:trPr>
        <w:tc>
          <w:tcPr>
            <w:tcW w:w="520" w:type="pct"/>
            <w:tcBorders>
              <w:top w:val="single" w:color="000000" w:sz="4" w:space="0"/>
              <w:left w:val="single" w:color="000000" w:sz="4" w:space="0"/>
              <w:bottom w:val="single" w:color="000000" w:sz="4" w:space="0"/>
              <w:right w:val="single" w:color="000000" w:sz="4" w:space="0"/>
            </w:tcBorders>
            <w:noWrap w:val="0"/>
            <w:vAlign w:val="center"/>
          </w:tcPr>
          <w:p w14:paraId="5C8EDFBE">
            <w:pPr>
              <w:widowControl/>
              <w:spacing w:line="500" w:lineRule="exact"/>
              <w:jc w:val="center"/>
              <w:rPr>
                <w:bCs/>
                <w:color w:val="auto"/>
                <w:sz w:val="24"/>
                <w:highlight w:val="none"/>
              </w:rPr>
            </w:pPr>
            <w:r>
              <w:rPr>
                <w:rFonts w:hint="eastAsia"/>
                <w:bCs/>
                <w:color w:val="auto"/>
                <w:sz w:val="24"/>
                <w:highlight w:val="none"/>
              </w:rPr>
              <w:t>序号</w:t>
            </w:r>
          </w:p>
        </w:tc>
        <w:tc>
          <w:tcPr>
            <w:tcW w:w="2252" w:type="pct"/>
            <w:tcBorders>
              <w:top w:val="single" w:color="000000" w:sz="4" w:space="0"/>
              <w:left w:val="single" w:color="000000" w:sz="4" w:space="0"/>
              <w:bottom w:val="single" w:color="000000" w:sz="4" w:space="0"/>
              <w:right w:val="single" w:color="000000" w:sz="4" w:space="0"/>
            </w:tcBorders>
            <w:noWrap w:val="0"/>
            <w:vAlign w:val="center"/>
          </w:tcPr>
          <w:p w14:paraId="23811BFE">
            <w:pPr>
              <w:widowControl/>
              <w:spacing w:line="500" w:lineRule="exact"/>
              <w:jc w:val="center"/>
              <w:rPr>
                <w:bCs/>
                <w:color w:val="auto"/>
                <w:sz w:val="24"/>
                <w:highlight w:val="none"/>
              </w:rPr>
            </w:pPr>
            <w:r>
              <w:rPr>
                <w:rFonts w:hint="eastAsia"/>
                <w:bCs/>
                <w:color w:val="auto"/>
                <w:sz w:val="24"/>
                <w:highlight w:val="none"/>
              </w:rPr>
              <w:t>采购标的</w:t>
            </w:r>
          </w:p>
        </w:tc>
        <w:tc>
          <w:tcPr>
            <w:tcW w:w="2227" w:type="pct"/>
            <w:tcBorders>
              <w:top w:val="single" w:color="000000" w:sz="4" w:space="0"/>
              <w:left w:val="single" w:color="000000" w:sz="4" w:space="0"/>
              <w:bottom w:val="single" w:color="000000" w:sz="4" w:space="0"/>
              <w:right w:val="single" w:color="000000" w:sz="4" w:space="0"/>
            </w:tcBorders>
            <w:noWrap w:val="0"/>
            <w:vAlign w:val="center"/>
          </w:tcPr>
          <w:p w14:paraId="736E75A5">
            <w:pPr>
              <w:widowControl/>
              <w:spacing w:line="500" w:lineRule="exact"/>
              <w:jc w:val="center"/>
              <w:rPr>
                <w:bCs/>
                <w:color w:val="auto"/>
                <w:sz w:val="24"/>
                <w:highlight w:val="none"/>
              </w:rPr>
            </w:pPr>
            <w:r>
              <w:rPr>
                <w:rFonts w:hint="eastAsia"/>
                <w:bCs/>
                <w:color w:val="auto"/>
                <w:sz w:val="24"/>
                <w:highlight w:val="none"/>
              </w:rPr>
              <w:t>对应中小企业划分标准所属行业</w:t>
            </w:r>
          </w:p>
        </w:tc>
      </w:tr>
      <w:tr w14:paraId="5968903A">
        <w:tblPrEx>
          <w:tblCellMar>
            <w:top w:w="0" w:type="dxa"/>
            <w:left w:w="108" w:type="dxa"/>
            <w:bottom w:w="0" w:type="dxa"/>
            <w:right w:w="108" w:type="dxa"/>
          </w:tblCellMar>
        </w:tblPrEx>
        <w:trPr>
          <w:trHeight w:val="1040" w:hRule="atLeast"/>
          <w:tblCellSpacing w:w="0" w:type="dxa"/>
          <w:jc w:val="center"/>
        </w:trPr>
        <w:tc>
          <w:tcPr>
            <w:tcW w:w="520" w:type="pct"/>
            <w:tcBorders>
              <w:top w:val="single" w:color="000000" w:sz="4" w:space="0"/>
              <w:left w:val="single" w:color="000000" w:sz="4" w:space="0"/>
              <w:bottom w:val="single" w:color="000000" w:sz="4" w:space="0"/>
              <w:right w:val="single" w:color="000000" w:sz="4" w:space="0"/>
            </w:tcBorders>
            <w:noWrap w:val="0"/>
            <w:vAlign w:val="center"/>
          </w:tcPr>
          <w:p w14:paraId="57E50501">
            <w:pPr>
              <w:widowControl/>
              <w:spacing w:line="500" w:lineRule="exact"/>
              <w:jc w:val="center"/>
              <w:rPr>
                <w:bCs/>
                <w:color w:val="auto"/>
                <w:sz w:val="24"/>
                <w:highlight w:val="none"/>
              </w:rPr>
            </w:pPr>
            <w:r>
              <w:rPr>
                <w:rFonts w:hint="eastAsia"/>
                <w:bCs/>
                <w:color w:val="auto"/>
                <w:sz w:val="24"/>
                <w:highlight w:val="none"/>
              </w:rPr>
              <w:t>1</w:t>
            </w:r>
          </w:p>
        </w:tc>
        <w:tc>
          <w:tcPr>
            <w:tcW w:w="2252" w:type="pct"/>
            <w:tcBorders>
              <w:top w:val="single" w:color="000000" w:sz="4" w:space="0"/>
              <w:left w:val="single" w:color="000000" w:sz="4" w:space="0"/>
              <w:bottom w:val="single" w:color="000000" w:sz="4" w:space="0"/>
              <w:right w:val="single" w:color="000000" w:sz="4" w:space="0"/>
            </w:tcBorders>
            <w:noWrap w:val="0"/>
            <w:vAlign w:val="center"/>
          </w:tcPr>
          <w:p w14:paraId="7EB2F0F8">
            <w:pPr>
              <w:widowControl/>
              <w:spacing w:line="500" w:lineRule="exact"/>
              <w:jc w:val="center"/>
              <w:rPr>
                <w:bCs/>
                <w:color w:val="auto"/>
                <w:sz w:val="24"/>
                <w:highlight w:val="none"/>
              </w:rPr>
            </w:pPr>
            <w:r>
              <w:rPr>
                <w:rFonts w:hint="eastAsia"/>
                <w:bCs/>
                <w:color w:val="auto"/>
                <w:sz w:val="24"/>
                <w:highlight w:val="none"/>
                <w:lang w:eastAsia="zh-CN"/>
              </w:rPr>
              <w:t>盐城市亭湖区便仓初级中学2026年物业服务项目</w:t>
            </w:r>
          </w:p>
        </w:tc>
        <w:tc>
          <w:tcPr>
            <w:tcW w:w="2227" w:type="pct"/>
            <w:tcBorders>
              <w:top w:val="single" w:color="000000" w:sz="4" w:space="0"/>
              <w:left w:val="single" w:color="000000" w:sz="4" w:space="0"/>
              <w:bottom w:val="single" w:color="000000" w:sz="4" w:space="0"/>
              <w:right w:val="single" w:color="000000" w:sz="4" w:space="0"/>
            </w:tcBorders>
            <w:noWrap w:val="0"/>
            <w:vAlign w:val="center"/>
          </w:tcPr>
          <w:p w14:paraId="4286DBD0">
            <w:pPr>
              <w:widowControl/>
              <w:spacing w:line="500" w:lineRule="exact"/>
              <w:jc w:val="center"/>
              <w:rPr>
                <w:bCs/>
                <w:color w:val="auto"/>
                <w:sz w:val="24"/>
                <w:highlight w:val="none"/>
              </w:rPr>
            </w:pPr>
            <w:r>
              <w:rPr>
                <w:rFonts w:hint="eastAsia"/>
                <w:bCs/>
                <w:color w:val="auto"/>
                <w:sz w:val="24"/>
                <w:highlight w:val="none"/>
              </w:rPr>
              <w:t>物业管理</w:t>
            </w:r>
          </w:p>
        </w:tc>
      </w:tr>
    </w:tbl>
    <w:p w14:paraId="41FD9A6A">
      <w:pPr>
        <w:numPr>
          <w:ilvl w:val="0"/>
          <w:numId w:val="0"/>
        </w:numPr>
        <w:ind w:firstLine="482" w:firstLineChars="200"/>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val="en-US" w:eastAsia="zh-CN"/>
        </w:rPr>
        <w:t>五</w:t>
      </w:r>
      <w:r>
        <w:rPr>
          <w:rFonts w:hint="eastAsia" w:ascii="宋体" w:hAnsi="宋体" w:eastAsia="宋体" w:cs="宋体"/>
          <w:b/>
          <w:bCs/>
          <w:color w:val="auto"/>
          <w:sz w:val="24"/>
          <w:szCs w:val="20"/>
          <w:highlight w:val="none"/>
          <w:lang w:eastAsia="zh-CN"/>
        </w:rPr>
        <w:t>、合同期限。</w:t>
      </w:r>
    </w:p>
    <w:p w14:paraId="43D0A8B3">
      <w:pPr>
        <w:widowControl/>
        <w:spacing w:line="500" w:lineRule="exact"/>
        <w:jc w:val="left"/>
        <w:rPr>
          <w:rFonts w:ascii="宋体" w:hAnsi="宋体" w:eastAsia="宋体" w:cs="宋体"/>
          <w:color w:val="auto"/>
          <w:sz w:val="44"/>
          <w:szCs w:val="44"/>
        </w:rPr>
      </w:pPr>
      <w:r>
        <w:rPr>
          <w:rFonts w:hint="eastAsia" w:ascii="宋体" w:hAnsi="宋体" w:eastAsia="宋体" w:cs="宋体"/>
          <w:color w:val="auto"/>
          <w:sz w:val="24"/>
          <w:szCs w:val="20"/>
          <w:highlight w:val="none"/>
        </w:rPr>
        <w:t>合同履行期限：</w:t>
      </w:r>
      <w:r>
        <w:rPr>
          <w:rFonts w:hint="eastAsia" w:ascii="宋体" w:hAnsi="宋体" w:eastAsia="宋体" w:cs="宋体"/>
          <w:color w:val="auto"/>
          <w:sz w:val="24"/>
          <w:szCs w:val="20"/>
          <w:highlight w:val="none"/>
          <w:lang w:eastAsia="zh-CN"/>
        </w:rPr>
        <w:t>一</w:t>
      </w:r>
      <w:r>
        <w:rPr>
          <w:rFonts w:hint="eastAsia" w:ascii="宋体" w:hAnsi="宋体" w:eastAsia="宋体" w:cs="宋体"/>
          <w:color w:val="auto"/>
          <w:sz w:val="24"/>
          <w:szCs w:val="20"/>
          <w:highlight w:val="none"/>
        </w:rPr>
        <w:t>年（试用期3个月）。</w:t>
      </w:r>
      <w:r>
        <w:rPr>
          <w:rFonts w:hint="eastAsia" w:ascii="宋体" w:hAnsi="宋体" w:eastAsia="宋体" w:cs="宋体"/>
          <w:color w:val="auto"/>
          <w:sz w:val="24"/>
          <w:szCs w:val="20"/>
          <w:highlight w:val="none"/>
        </w:rPr>
        <w:br w:type="page"/>
      </w:r>
      <w:r>
        <w:rPr>
          <w:rFonts w:hint="eastAsia" w:ascii="Times New Roman" w:hAnsi="Times New Roman" w:eastAsia="宋体" w:cs="Times New Roman"/>
          <w:bCs/>
          <w:color w:val="auto"/>
          <w:sz w:val="24"/>
          <w:lang w:val="en-US" w:eastAsia="zh-CN"/>
        </w:rPr>
        <w:t xml:space="preserve">         </w:t>
      </w:r>
      <w:r>
        <w:rPr>
          <w:rFonts w:hint="eastAsia" w:ascii="宋体" w:hAnsi="宋体" w:eastAsia="宋体" w:cs="宋体"/>
          <w:color w:val="auto"/>
          <w:sz w:val="44"/>
          <w:szCs w:val="44"/>
        </w:rPr>
        <w:t>第五章  评标方法与评标标准</w:t>
      </w:r>
    </w:p>
    <w:p w14:paraId="0BE73543">
      <w:pPr>
        <w:widowControl/>
        <w:spacing w:line="560" w:lineRule="exact"/>
        <w:ind w:firstLine="480"/>
        <w:jc w:val="left"/>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一、定标原则</w:t>
      </w:r>
    </w:p>
    <w:p w14:paraId="55D0A31B">
      <w:pPr>
        <w:widowControl/>
        <w:spacing w:line="560" w:lineRule="exact"/>
        <w:ind w:firstLine="480"/>
        <w:jc w:val="left"/>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本项目采用</w:t>
      </w:r>
      <w:r>
        <w:rPr>
          <w:rFonts w:hint="eastAsia" w:ascii="宋体" w:hAnsi="宋体" w:cs="宋体"/>
          <w:color w:val="auto"/>
          <w:sz w:val="24"/>
          <w:szCs w:val="20"/>
          <w:highlight w:val="none"/>
          <w:u w:val="single"/>
          <w:lang w:val="zh-CN"/>
        </w:rPr>
        <w:t>综合评分</w:t>
      </w:r>
      <w:r>
        <w:rPr>
          <w:rFonts w:hint="eastAsia" w:ascii="宋体" w:hAnsi="宋体" w:cs="宋体"/>
          <w:color w:val="auto"/>
          <w:sz w:val="24"/>
          <w:szCs w:val="20"/>
          <w:highlight w:val="none"/>
          <w:lang w:val="zh-CN"/>
        </w:rPr>
        <w:t>法。</w:t>
      </w:r>
      <w:r>
        <w:rPr>
          <w:rFonts w:hint="eastAsia" w:ascii="宋体" w:hAnsi="宋体" w:cs="宋体"/>
          <w:color w:val="auto"/>
          <w:sz w:val="24"/>
          <w:szCs w:val="20"/>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4F1E00EC">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小微型企业价格扣除</w:t>
      </w:r>
    </w:p>
    <w:p w14:paraId="1EBFFDAD">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（1）本项目专门面向中小企业采购，不再对小型和微型企业报价给予价格扣除。</w:t>
      </w:r>
    </w:p>
    <w:p w14:paraId="590224EB">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（2）供应商需按照采购文件的要求提供相应的《中小企业声明函》。</w:t>
      </w:r>
    </w:p>
    <w:p w14:paraId="2634672E">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（3）企业标准请参照《关于印发中小企业划型标准规定的通知》（工信部联企业〔2011〕300号）文件规定自行填写。</w:t>
      </w:r>
    </w:p>
    <w:p w14:paraId="29DA15CB">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2、残疾人福利单位价格扣除</w:t>
      </w:r>
    </w:p>
    <w:p w14:paraId="66349ED3">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（1）本项目对残疾人福利性单位视同小型、微型企业。</w:t>
      </w:r>
    </w:p>
    <w:p w14:paraId="686B5153">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（2）残疾人福利单位需按照采购文件的要求提供《残疾人福利性单位声明函》。</w:t>
      </w:r>
    </w:p>
    <w:p w14:paraId="070ECC57">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（3）残疾人福利单位标准请参照《关于促进残疾人就业政府采购政策的通知》（财库〔2017〕141号）。</w:t>
      </w:r>
    </w:p>
    <w:p w14:paraId="5C63984E">
      <w:pPr>
        <w:pageBreakBefore w:val="0"/>
        <w:widowControl/>
        <w:spacing w:line="560" w:lineRule="exact"/>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3、监狱和戒毒企业价格扣除</w:t>
      </w:r>
    </w:p>
    <w:p w14:paraId="58477CB4">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（1）本项目对监狱和戒毒企业（简称监狱企业）视同小型、微型企业。</w:t>
      </w:r>
    </w:p>
    <w:p w14:paraId="7150C447">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7C66FB1B">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（3）监狱企业标准请参照《关于政府采购支持监狱企业发展有关问题的通知》（财库〔2014〕68号）。</w:t>
      </w:r>
    </w:p>
    <w:p w14:paraId="34650DB2">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4、残疾人福利单位、监狱企业属于小型、微型企业的，不重复享受政策。</w:t>
      </w:r>
    </w:p>
    <w:p w14:paraId="716524E2">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5、采购本国产品的支持政策</w:t>
      </w:r>
    </w:p>
    <w:p w14:paraId="3C36A1D0">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本项目政府采购活动中既有本国产品又有非本国产品参与竞争的，依法对本国产品给予价格评审优惠，对本国产品的报价给予 20%的价格扣除，用扣除后的价格参与评审。</w:t>
      </w:r>
    </w:p>
    <w:p w14:paraId="15FC7C82">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56807FF">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供应商需按照招标文件的要求提供《关于符合本国产品标准的声明函》（以下简称《声明函》），如不提供将不享受本国产品价格评审优惠。</w:t>
      </w:r>
    </w:p>
    <w:p w14:paraId="456B6C4C">
      <w:pPr>
        <w:pageBreakBefore w:val="0"/>
        <w:widowControl/>
        <w:spacing w:line="560" w:lineRule="exact"/>
        <w:ind w:firstLine="482"/>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供应商需在《声明函》中逐一、准确填写产品名称、厂名、生产厂址三项信息（《声明函》中用</w:t>
      </w:r>
      <w:r>
        <w:rPr>
          <w:rFonts w:hint="eastAsia" w:ascii="宋体" w:hAnsi="宋体" w:eastAsia="宋体" w:cs="宋体"/>
          <w:color w:val="auto"/>
          <w:sz w:val="24"/>
          <w:szCs w:val="24"/>
          <w:highlight w:val="none"/>
          <w:lang w:val="en-US" w:eastAsia="zh-CN"/>
        </w:rPr>
        <w:t>横</w:t>
      </w:r>
      <w:r>
        <w:rPr>
          <w:rFonts w:hint="eastAsia" w:ascii="宋体" w:hAnsi="宋体" w:eastAsia="宋体" w:cs="宋体"/>
          <w:color w:val="auto"/>
          <w:sz w:val="24"/>
          <w:szCs w:val="24"/>
          <w:highlight w:val="none"/>
        </w:rPr>
        <w:t>线划除的地方无需填写），三项信息中任意一项未填写的视为该项产品不符合本国产品标准，不享受本国产品价格评审优惠。</w:t>
      </w:r>
    </w:p>
    <w:p w14:paraId="32A22ACF">
      <w:pPr>
        <w:pageBreakBefore w:val="0"/>
        <w:widowControl/>
        <w:spacing w:line="560" w:lineRule="exact"/>
        <w:ind w:firstLine="482"/>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highlight w:val="none"/>
          <w:lang w:val="en-US" w:eastAsia="zh-CN"/>
        </w:rPr>
        <w:t>在苏采云系统</w:t>
      </w:r>
      <w:r>
        <w:rPr>
          <w:rFonts w:hint="eastAsia" w:ascii="宋体" w:hAnsi="宋体" w:eastAsia="宋体" w:cs="宋体"/>
          <w:color w:val="auto"/>
          <w:sz w:val="24"/>
          <w:szCs w:val="24"/>
          <w:highlight w:val="none"/>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7550A29C">
      <w:pPr>
        <w:widowControl/>
        <w:spacing w:line="560" w:lineRule="exact"/>
        <w:ind w:firstLine="482"/>
        <w:jc w:val="left"/>
        <w:rPr>
          <w:rFonts w:ascii="宋体" w:hAnsi="宋体" w:eastAsia="Arial" w:cs="宋体"/>
          <w:color w:val="auto"/>
          <w:sz w:val="24"/>
          <w:szCs w:val="20"/>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auto"/>
          <w:sz w:val="24"/>
          <w:szCs w:val="20"/>
          <w:highlight w:val="none"/>
        </w:rPr>
        <w:t>如属政府强制采购产品未提供认证证书的或认证证书提供不全的将视为未实质性响应采购要求</w:t>
      </w:r>
      <w:r>
        <w:rPr>
          <w:rFonts w:hint="eastAsia" w:ascii="宋体" w:hAnsi="宋体" w:eastAsia="Arial" w:cs="宋体"/>
          <w:color w:val="auto"/>
          <w:sz w:val="24"/>
          <w:szCs w:val="20"/>
          <w:highlight w:val="none"/>
        </w:rPr>
        <w:t>。其他条件相同情况下，应当优先采购节能产品、环境标志产品。</w:t>
      </w:r>
    </w:p>
    <w:p w14:paraId="779D5BC4">
      <w:pPr>
        <w:widowControl/>
        <w:spacing w:line="560" w:lineRule="exact"/>
        <w:ind w:firstLine="482"/>
        <w:jc w:val="left"/>
        <w:outlineLvl w:val="1"/>
        <w:rPr>
          <w:rFonts w:ascii="宋体" w:hAnsi="宋体" w:eastAsia="Arial" w:cs="宋体"/>
          <w:b/>
          <w:bCs/>
          <w:color w:val="auto"/>
          <w:sz w:val="24"/>
          <w:szCs w:val="20"/>
          <w:highlight w:val="none"/>
        </w:rPr>
      </w:pPr>
      <w:r>
        <w:rPr>
          <w:rFonts w:hint="eastAsia" w:ascii="宋体" w:hAnsi="宋体" w:eastAsia="Arial" w:cs="宋体"/>
          <w:b/>
          <w:bCs/>
          <w:color w:val="auto"/>
          <w:sz w:val="24"/>
          <w:szCs w:val="20"/>
          <w:highlight w:val="none"/>
        </w:rPr>
        <w:t>二、评标方法与评标标准</w:t>
      </w:r>
    </w:p>
    <w:p w14:paraId="1D633DB1">
      <w:pPr>
        <w:widowControl/>
        <w:spacing w:line="560" w:lineRule="exact"/>
        <w:ind w:firstLine="482"/>
        <w:jc w:val="left"/>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本项目评分总分值为100分。</w:t>
      </w:r>
    </w:p>
    <w:tbl>
      <w:tblPr>
        <w:tblStyle w:val="29"/>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193"/>
        <w:gridCol w:w="734"/>
        <w:gridCol w:w="6576"/>
      </w:tblGrid>
      <w:tr w14:paraId="12E28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734" w:type="dxa"/>
            <w:noWrap w:val="0"/>
            <w:vAlign w:val="center"/>
          </w:tcPr>
          <w:p w14:paraId="0FBDF528">
            <w:pPr>
              <w:spacing w:line="360" w:lineRule="auto"/>
              <w:contextualSpacing/>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序号</w:t>
            </w:r>
          </w:p>
        </w:tc>
        <w:tc>
          <w:tcPr>
            <w:tcW w:w="1193" w:type="dxa"/>
            <w:noWrap w:val="0"/>
            <w:vAlign w:val="center"/>
          </w:tcPr>
          <w:p w14:paraId="482B81B5">
            <w:pPr>
              <w:spacing w:line="360" w:lineRule="auto"/>
              <w:contextualSpacing/>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评分因素</w:t>
            </w:r>
          </w:p>
        </w:tc>
        <w:tc>
          <w:tcPr>
            <w:tcW w:w="734" w:type="dxa"/>
            <w:noWrap w:val="0"/>
            <w:vAlign w:val="center"/>
          </w:tcPr>
          <w:p w14:paraId="7AA89F90">
            <w:pPr>
              <w:spacing w:line="360" w:lineRule="auto"/>
              <w:contextualSpacing/>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分值</w:t>
            </w:r>
          </w:p>
        </w:tc>
        <w:tc>
          <w:tcPr>
            <w:tcW w:w="6576" w:type="dxa"/>
            <w:noWrap w:val="0"/>
            <w:vAlign w:val="center"/>
          </w:tcPr>
          <w:p w14:paraId="37E923A7">
            <w:pPr>
              <w:spacing w:line="360" w:lineRule="auto"/>
              <w:contextualSpacing/>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评分标准</w:t>
            </w:r>
          </w:p>
        </w:tc>
      </w:tr>
      <w:tr w14:paraId="604A5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734" w:type="dxa"/>
            <w:noWrap w:val="0"/>
            <w:vAlign w:val="center"/>
          </w:tcPr>
          <w:p w14:paraId="405F8DF4">
            <w:pPr>
              <w:spacing w:line="360" w:lineRule="auto"/>
              <w:contextualSpacing/>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一</w:t>
            </w:r>
          </w:p>
        </w:tc>
        <w:tc>
          <w:tcPr>
            <w:tcW w:w="1193" w:type="dxa"/>
            <w:noWrap w:val="0"/>
            <w:vAlign w:val="center"/>
          </w:tcPr>
          <w:p w14:paraId="412721E4">
            <w:pPr>
              <w:spacing w:line="360" w:lineRule="auto"/>
              <w:contextualSpacing/>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投标报价</w:t>
            </w:r>
          </w:p>
        </w:tc>
        <w:tc>
          <w:tcPr>
            <w:tcW w:w="734" w:type="dxa"/>
            <w:noWrap w:val="0"/>
            <w:vAlign w:val="center"/>
          </w:tcPr>
          <w:p w14:paraId="2B015D92">
            <w:pPr>
              <w:spacing w:line="360" w:lineRule="auto"/>
              <w:contextualSpacing/>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50</w:t>
            </w:r>
          </w:p>
        </w:tc>
        <w:tc>
          <w:tcPr>
            <w:tcW w:w="6576" w:type="dxa"/>
            <w:noWrap w:val="0"/>
            <w:vAlign w:val="center"/>
          </w:tcPr>
          <w:p w14:paraId="4719837D">
            <w:pPr>
              <w:pStyle w:val="20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满足招标文件要求且投标报价最低的投标报价为评标基准价，其价格分为满分。其他投标报价的价格分为按照下列公式计算：投标报价得分=（评标基准价/投标报价）*50分。</w:t>
            </w:r>
          </w:p>
          <w:p w14:paraId="5B16267B">
            <w:pPr>
              <w:pStyle w:val="20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注：计算分数时四舍五入取小数点后两位。</w:t>
            </w:r>
          </w:p>
        </w:tc>
      </w:tr>
      <w:tr w14:paraId="77E98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734" w:type="dxa"/>
            <w:noWrap w:val="0"/>
            <w:vAlign w:val="center"/>
          </w:tcPr>
          <w:p w14:paraId="26802DC8">
            <w:pPr>
              <w:spacing w:line="360" w:lineRule="auto"/>
              <w:contextualSpacing/>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二</w:t>
            </w:r>
          </w:p>
        </w:tc>
        <w:tc>
          <w:tcPr>
            <w:tcW w:w="1193" w:type="dxa"/>
            <w:noWrap w:val="0"/>
            <w:vAlign w:val="center"/>
          </w:tcPr>
          <w:p w14:paraId="204B3887">
            <w:pPr>
              <w:spacing w:line="360" w:lineRule="auto"/>
              <w:contextualSpacing/>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管理方案</w:t>
            </w:r>
          </w:p>
        </w:tc>
        <w:tc>
          <w:tcPr>
            <w:tcW w:w="734" w:type="dxa"/>
            <w:noWrap w:val="0"/>
            <w:vAlign w:val="center"/>
          </w:tcPr>
          <w:p w14:paraId="58C72717">
            <w:pPr>
              <w:spacing w:line="360" w:lineRule="auto"/>
              <w:contextualSpacing/>
              <w:jc w:val="center"/>
              <w:rPr>
                <w:rFonts w:hint="eastAsia" w:ascii="宋体" w:hAnsi="宋体" w:eastAsia="宋体" w:cs="宋体"/>
                <w:color w:val="auto"/>
                <w:kern w:val="0"/>
                <w:szCs w:val="21"/>
                <w:highlight w:val="none"/>
                <w:lang w:eastAsia="zh-CN"/>
              </w:rPr>
            </w:pPr>
            <w:r>
              <w:rPr>
                <w:rFonts w:hint="eastAsia" w:ascii="宋体" w:hAnsi="宋体" w:eastAsia="宋体" w:cs="宋体"/>
                <w:color w:val="auto"/>
                <w:kern w:val="0"/>
                <w:szCs w:val="21"/>
                <w:highlight w:val="none"/>
              </w:rPr>
              <w:t>3</w:t>
            </w:r>
            <w:r>
              <w:rPr>
                <w:rFonts w:hint="eastAsia" w:ascii="宋体" w:hAnsi="宋体" w:cs="宋体"/>
                <w:color w:val="auto"/>
                <w:kern w:val="0"/>
                <w:szCs w:val="21"/>
                <w:highlight w:val="none"/>
                <w:lang w:val="en-US" w:eastAsia="zh-CN"/>
              </w:rPr>
              <w:t>6</w:t>
            </w:r>
          </w:p>
        </w:tc>
        <w:tc>
          <w:tcPr>
            <w:tcW w:w="6576" w:type="dxa"/>
            <w:noWrap w:val="0"/>
            <w:vAlign w:val="center"/>
          </w:tcPr>
          <w:p w14:paraId="2AA86817">
            <w:pPr>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1、符合政策法规的整体设想及策划（</w:t>
            </w:r>
            <w:r>
              <w:rPr>
                <w:rFonts w:hint="eastAsia" w:ascii="宋体" w:hAnsi="宋体" w:cs="宋体"/>
                <w:b/>
                <w:bCs/>
                <w:color w:val="auto"/>
                <w:kern w:val="0"/>
                <w:szCs w:val="21"/>
                <w:highlight w:val="none"/>
                <w:lang w:val="en-US" w:eastAsia="zh-CN"/>
              </w:rPr>
              <w:t>7</w:t>
            </w:r>
            <w:r>
              <w:rPr>
                <w:rFonts w:hint="eastAsia" w:ascii="宋体" w:hAnsi="宋体" w:eastAsia="宋体" w:cs="宋体"/>
                <w:b/>
                <w:bCs/>
                <w:color w:val="auto"/>
                <w:kern w:val="0"/>
                <w:szCs w:val="21"/>
                <w:highlight w:val="none"/>
              </w:rPr>
              <w:t>分）</w:t>
            </w:r>
          </w:p>
          <w:p w14:paraId="4412DC32">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评标委员会根据投标人针对本项目中符合政策法规的整体设想及策划方面陈述内容的合理性、完整性打分。</w:t>
            </w:r>
          </w:p>
          <w:p w14:paraId="29AE7E8F">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（1）优于项目需求得</w:t>
            </w:r>
            <w:r>
              <w:rPr>
                <w:rFonts w:hint="eastAsia" w:ascii="宋体" w:hAnsi="宋体" w:cs="宋体"/>
                <w:color w:val="auto"/>
                <w:kern w:val="0"/>
                <w:szCs w:val="21"/>
                <w:highlight w:val="none"/>
                <w:lang w:val="en-US" w:eastAsia="zh-CN"/>
              </w:rPr>
              <w:t>7</w:t>
            </w:r>
            <w:r>
              <w:rPr>
                <w:rFonts w:hint="eastAsia" w:ascii="宋体" w:hAnsi="宋体" w:eastAsia="宋体" w:cs="宋体"/>
                <w:color w:val="auto"/>
                <w:kern w:val="0"/>
                <w:szCs w:val="21"/>
                <w:highlight w:val="none"/>
              </w:rPr>
              <w:t>分；</w:t>
            </w:r>
          </w:p>
          <w:p w14:paraId="621B8846">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（2）满足项目需求得</w:t>
            </w:r>
            <w:r>
              <w:rPr>
                <w:rFonts w:hint="eastAsia" w:ascii="宋体" w:hAnsi="宋体" w:cs="宋体"/>
                <w:color w:val="auto"/>
                <w:kern w:val="0"/>
                <w:szCs w:val="21"/>
                <w:highlight w:val="none"/>
                <w:lang w:val="en-US" w:eastAsia="zh-CN"/>
              </w:rPr>
              <w:t>6</w:t>
            </w:r>
            <w:r>
              <w:rPr>
                <w:rFonts w:hint="eastAsia" w:ascii="宋体" w:hAnsi="宋体" w:eastAsia="宋体" w:cs="宋体"/>
                <w:color w:val="auto"/>
                <w:kern w:val="0"/>
                <w:szCs w:val="21"/>
                <w:highlight w:val="none"/>
              </w:rPr>
              <w:t>分；</w:t>
            </w:r>
          </w:p>
          <w:p w14:paraId="3B9C4615">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（3）不满足项目需求或不提供不得分。</w:t>
            </w:r>
          </w:p>
          <w:p w14:paraId="3394D47F">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提供的整体设想及策划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4D99CB65">
            <w:pPr>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2、组织机构设置、人员配备、培训与管理（</w:t>
            </w:r>
            <w:r>
              <w:rPr>
                <w:rFonts w:hint="eastAsia" w:ascii="宋体" w:hAnsi="宋体" w:cs="宋体"/>
                <w:b/>
                <w:bCs/>
                <w:color w:val="auto"/>
                <w:kern w:val="0"/>
                <w:szCs w:val="21"/>
                <w:highlight w:val="none"/>
                <w:lang w:val="en-US" w:eastAsia="zh-CN"/>
              </w:rPr>
              <w:t>7</w:t>
            </w:r>
            <w:r>
              <w:rPr>
                <w:rFonts w:hint="eastAsia" w:ascii="宋体" w:hAnsi="宋体" w:eastAsia="宋体" w:cs="宋体"/>
                <w:b/>
                <w:bCs/>
                <w:color w:val="auto"/>
                <w:kern w:val="0"/>
                <w:szCs w:val="21"/>
                <w:highlight w:val="none"/>
              </w:rPr>
              <w:t>分）</w:t>
            </w:r>
          </w:p>
          <w:p w14:paraId="61C3C732">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评标委员会根据投标人针对本项目中组织机构设置、人员配备、培训与管理方面陈述内容的合理性、完整性打分：</w:t>
            </w:r>
          </w:p>
          <w:p w14:paraId="36F9F944">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（1）优于项目需求得</w:t>
            </w:r>
            <w:r>
              <w:rPr>
                <w:rFonts w:hint="eastAsia" w:ascii="宋体" w:hAnsi="宋体" w:cs="宋体"/>
                <w:color w:val="auto"/>
                <w:kern w:val="0"/>
                <w:szCs w:val="21"/>
                <w:highlight w:val="none"/>
                <w:lang w:val="en-US" w:eastAsia="zh-CN"/>
              </w:rPr>
              <w:t>7</w:t>
            </w:r>
            <w:r>
              <w:rPr>
                <w:rFonts w:hint="eastAsia" w:ascii="宋体" w:hAnsi="宋体" w:eastAsia="宋体" w:cs="宋体"/>
                <w:color w:val="auto"/>
                <w:kern w:val="0"/>
                <w:szCs w:val="21"/>
                <w:highlight w:val="none"/>
              </w:rPr>
              <w:t>分；</w:t>
            </w:r>
          </w:p>
          <w:p w14:paraId="6B5992F5">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（2）满足项目需求得</w:t>
            </w:r>
            <w:r>
              <w:rPr>
                <w:rFonts w:hint="eastAsia" w:ascii="宋体" w:hAnsi="宋体" w:cs="宋体"/>
                <w:color w:val="auto"/>
                <w:kern w:val="0"/>
                <w:szCs w:val="21"/>
                <w:highlight w:val="none"/>
                <w:lang w:val="en-US" w:eastAsia="zh-CN"/>
              </w:rPr>
              <w:t>6</w:t>
            </w:r>
            <w:r>
              <w:rPr>
                <w:rFonts w:hint="eastAsia" w:ascii="宋体" w:hAnsi="宋体" w:eastAsia="宋体" w:cs="宋体"/>
                <w:color w:val="auto"/>
                <w:kern w:val="0"/>
                <w:szCs w:val="21"/>
                <w:highlight w:val="none"/>
              </w:rPr>
              <w:t>分；</w:t>
            </w:r>
          </w:p>
          <w:p w14:paraId="6977C2AE">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（3）不满足项目需求或不提供不得分。</w:t>
            </w:r>
          </w:p>
          <w:p w14:paraId="4D14938C">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提供的组织机构设置、人员配备、培训与管理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0D766470">
            <w:pPr>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3、制度的建立（</w:t>
            </w:r>
            <w:r>
              <w:rPr>
                <w:rFonts w:hint="eastAsia" w:ascii="宋体" w:hAnsi="宋体" w:cs="宋体"/>
                <w:b/>
                <w:bCs/>
                <w:color w:val="auto"/>
                <w:kern w:val="0"/>
                <w:szCs w:val="21"/>
                <w:highlight w:val="none"/>
                <w:lang w:val="en-US" w:eastAsia="zh-CN"/>
              </w:rPr>
              <w:t>7</w:t>
            </w:r>
            <w:r>
              <w:rPr>
                <w:rFonts w:hint="eastAsia" w:ascii="宋体" w:hAnsi="宋体" w:eastAsia="宋体" w:cs="宋体"/>
                <w:b/>
                <w:bCs/>
                <w:color w:val="auto"/>
                <w:kern w:val="0"/>
                <w:szCs w:val="21"/>
                <w:highlight w:val="none"/>
              </w:rPr>
              <w:t>分）</w:t>
            </w:r>
          </w:p>
          <w:p w14:paraId="17130900">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评标委员会根据投标人针对本项目中制度的建立方面陈述内容的合理性、完整性打分：</w:t>
            </w:r>
          </w:p>
          <w:p w14:paraId="71A64353">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（1）优于项目需求得</w:t>
            </w:r>
            <w:r>
              <w:rPr>
                <w:rFonts w:hint="eastAsia" w:ascii="宋体" w:hAnsi="宋体" w:cs="宋体"/>
                <w:color w:val="auto"/>
                <w:kern w:val="0"/>
                <w:szCs w:val="21"/>
                <w:highlight w:val="none"/>
                <w:lang w:val="en-US" w:eastAsia="zh-CN"/>
              </w:rPr>
              <w:t>7</w:t>
            </w:r>
            <w:r>
              <w:rPr>
                <w:rFonts w:hint="eastAsia" w:ascii="宋体" w:hAnsi="宋体" w:eastAsia="宋体" w:cs="宋体"/>
                <w:color w:val="auto"/>
                <w:kern w:val="0"/>
                <w:szCs w:val="21"/>
                <w:highlight w:val="none"/>
              </w:rPr>
              <w:t>分；</w:t>
            </w:r>
          </w:p>
          <w:p w14:paraId="78F515AC">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（2）满足项目需求得</w:t>
            </w:r>
            <w:r>
              <w:rPr>
                <w:rFonts w:hint="eastAsia" w:ascii="宋体" w:hAnsi="宋体" w:cs="宋体"/>
                <w:color w:val="auto"/>
                <w:kern w:val="0"/>
                <w:szCs w:val="21"/>
                <w:highlight w:val="none"/>
                <w:lang w:val="en-US" w:eastAsia="zh-CN"/>
              </w:rPr>
              <w:t>6</w:t>
            </w:r>
            <w:r>
              <w:rPr>
                <w:rFonts w:hint="eastAsia" w:ascii="宋体" w:hAnsi="宋体" w:eastAsia="宋体" w:cs="宋体"/>
                <w:color w:val="auto"/>
                <w:kern w:val="0"/>
                <w:szCs w:val="21"/>
                <w:highlight w:val="none"/>
              </w:rPr>
              <w:t>分；</w:t>
            </w:r>
          </w:p>
          <w:p w14:paraId="66F6C5F2">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（3）不满足项目需求或不提供不得分。</w:t>
            </w:r>
          </w:p>
          <w:p w14:paraId="51B1BC40">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提供的制度的建立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512AD498">
            <w:pPr>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4、拟采取的管理服务模式及质量标准承诺（5分）</w:t>
            </w:r>
          </w:p>
          <w:p w14:paraId="2376CE89">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评标委员会根据投标人针对本项目中适合本项目的管理服务模式及质量标准承诺方面陈述内容的合理性、完整性打分：</w:t>
            </w:r>
          </w:p>
          <w:p w14:paraId="4CAAFA2D">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（1）优于项目需求得5分；</w:t>
            </w:r>
          </w:p>
          <w:p w14:paraId="48EF3259">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（2）满足项目需求得4分；</w:t>
            </w:r>
          </w:p>
          <w:p w14:paraId="25B343BF">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（3）不满足项目需求或不提供不得分。</w:t>
            </w:r>
          </w:p>
          <w:p w14:paraId="46B50123">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提供的物业管理服务实施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75B2F345">
            <w:pPr>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5、适合本项目的各种突发事件的处理预案（5分）</w:t>
            </w:r>
          </w:p>
          <w:p w14:paraId="7E2DB95B">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评标委员会根据投标人针对本项目中适合本项目的各种突发事件的处理预案方面陈述内容的合理性、完整性打分：</w:t>
            </w:r>
          </w:p>
          <w:p w14:paraId="4D570205">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（1）优于项目需求得5分；</w:t>
            </w:r>
          </w:p>
          <w:p w14:paraId="198A48F9">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（2）满足项目需求得4分；</w:t>
            </w:r>
          </w:p>
          <w:p w14:paraId="15FD4981">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（3）不满足项目需求或不提供不得分。</w:t>
            </w:r>
          </w:p>
          <w:p w14:paraId="31EFE870">
            <w:pPr>
              <w:spacing w:line="360" w:lineRule="auto"/>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供应商提供的适合本项目的各种突发事件的处理预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487D9C6A">
            <w:pPr>
              <w:spacing w:line="360" w:lineRule="auto"/>
              <w:jc w:val="left"/>
              <w:rPr>
                <w:rFonts w:hint="eastAsia"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6、日常管理措施（5分）</w:t>
            </w:r>
          </w:p>
          <w:p w14:paraId="2F1A9C4E">
            <w:pPr>
              <w:pStyle w:val="20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评标委员会根据投标人针对本项目中日常管理措施方面陈述内容的合理性、完整性打分：</w:t>
            </w:r>
          </w:p>
          <w:p w14:paraId="428A0544">
            <w:pPr>
              <w:pStyle w:val="20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（1）优于项目需求得5分；</w:t>
            </w:r>
          </w:p>
          <w:p w14:paraId="44F24B56">
            <w:pPr>
              <w:pStyle w:val="20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（2）满足项目需求得4分；</w:t>
            </w:r>
          </w:p>
          <w:p w14:paraId="5FE5FA83">
            <w:pPr>
              <w:pStyle w:val="20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（3）不满足项目需求或不提供不得分。</w:t>
            </w:r>
          </w:p>
          <w:p w14:paraId="3D07FF35">
            <w:pPr>
              <w:pStyle w:val="20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供应商提供的日常管理措施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64B3B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734" w:type="dxa"/>
            <w:noWrap w:val="0"/>
            <w:vAlign w:val="center"/>
          </w:tcPr>
          <w:p w14:paraId="0169215D">
            <w:pPr>
              <w:spacing w:line="360" w:lineRule="auto"/>
              <w:contextualSpacing/>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三</w:t>
            </w:r>
          </w:p>
        </w:tc>
        <w:tc>
          <w:tcPr>
            <w:tcW w:w="1193" w:type="dxa"/>
            <w:noWrap w:val="0"/>
            <w:vAlign w:val="center"/>
          </w:tcPr>
          <w:p w14:paraId="6F525F4B">
            <w:pPr>
              <w:spacing w:line="360" w:lineRule="auto"/>
              <w:contextualSpacing/>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项目业绩</w:t>
            </w:r>
          </w:p>
        </w:tc>
        <w:tc>
          <w:tcPr>
            <w:tcW w:w="734" w:type="dxa"/>
            <w:noWrap w:val="0"/>
            <w:vAlign w:val="center"/>
          </w:tcPr>
          <w:p w14:paraId="1B6A1040">
            <w:pPr>
              <w:spacing w:line="360" w:lineRule="auto"/>
              <w:contextualSpacing/>
              <w:jc w:val="center"/>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lang w:val="en-US" w:eastAsia="zh-CN"/>
              </w:rPr>
              <w:t>8</w:t>
            </w:r>
          </w:p>
        </w:tc>
        <w:tc>
          <w:tcPr>
            <w:tcW w:w="6576" w:type="dxa"/>
            <w:noWrap w:val="0"/>
            <w:vAlign w:val="center"/>
          </w:tcPr>
          <w:p w14:paraId="246BF8DC">
            <w:pPr>
              <w:pStyle w:val="20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投标人202</w:t>
            </w:r>
            <w:r>
              <w:rPr>
                <w:rFonts w:hint="eastAsia" w:hAnsi="宋体"/>
                <w:color w:val="auto"/>
                <w:sz w:val="21"/>
                <w:szCs w:val="21"/>
                <w:highlight w:val="none"/>
                <w:lang w:val="en-US" w:eastAsia="zh-CN"/>
              </w:rPr>
              <w:t>3</w:t>
            </w:r>
            <w:r>
              <w:rPr>
                <w:rFonts w:hint="eastAsia" w:hAnsi="宋体" w:eastAsia="宋体"/>
                <w:color w:val="auto"/>
                <w:sz w:val="21"/>
                <w:szCs w:val="21"/>
                <w:highlight w:val="none"/>
              </w:rPr>
              <w:t>年1月1日（含）以来承担过类似业绩打分。投标人每提供1个类似业绩得2分，本项最高得</w:t>
            </w:r>
            <w:r>
              <w:rPr>
                <w:rFonts w:hint="eastAsia" w:hAnsi="宋体"/>
                <w:color w:val="auto"/>
                <w:sz w:val="21"/>
                <w:szCs w:val="21"/>
                <w:highlight w:val="none"/>
                <w:lang w:val="en-US" w:eastAsia="zh-CN"/>
              </w:rPr>
              <w:t>8</w:t>
            </w:r>
            <w:r>
              <w:rPr>
                <w:rFonts w:hint="eastAsia" w:hAnsi="宋体" w:eastAsia="宋体"/>
                <w:color w:val="auto"/>
                <w:sz w:val="21"/>
                <w:szCs w:val="21"/>
                <w:highlight w:val="none"/>
              </w:rPr>
              <w:t>分。</w:t>
            </w:r>
          </w:p>
          <w:p w14:paraId="744F29C1">
            <w:pPr>
              <w:pStyle w:val="20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每个类似业绩均提供合同扫描件并加盖投标人公章，时间以合同签订时间为准。</w:t>
            </w:r>
          </w:p>
        </w:tc>
      </w:tr>
      <w:tr w14:paraId="23B0E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 w:hRule="atLeast"/>
          <w:jc w:val="center"/>
        </w:trPr>
        <w:tc>
          <w:tcPr>
            <w:tcW w:w="734" w:type="dxa"/>
            <w:noWrap w:val="0"/>
            <w:vAlign w:val="center"/>
          </w:tcPr>
          <w:p w14:paraId="58D3FE67">
            <w:pPr>
              <w:spacing w:line="360" w:lineRule="auto"/>
              <w:contextualSpacing/>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四</w:t>
            </w:r>
          </w:p>
        </w:tc>
        <w:tc>
          <w:tcPr>
            <w:tcW w:w="1193" w:type="dxa"/>
            <w:noWrap w:val="0"/>
            <w:vAlign w:val="center"/>
          </w:tcPr>
          <w:p w14:paraId="1FD98378">
            <w:pPr>
              <w:spacing w:line="360" w:lineRule="auto"/>
              <w:contextualSpacing/>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资质信誉</w:t>
            </w:r>
          </w:p>
        </w:tc>
        <w:tc>
          <w:tcPr>
            <w:tcW w:w="734" w:type="dxa"/>
            <w:noWrap w:val="0"/>
            <w:vAlign w:val="center"/>
          </w:tcPr>
          <w:p w14:paraId="532D14C5">
            <w:pPr>
              <w:pStyle w:val="205"/>
              <w:spacing w:line="360" w:lineRule="auto"/>
              <w:jc w:val="center"/>
              <w:rPr>
                <w:rFonts w:hint="eastAsia" w:hAnsi="宋体" w:eastAsia="宋体"/>
                <w:color w:val="auto"/>
                <w:sz w:val="21"/>
                <w:szCs w:val="21"/>
                <w:highlight w:val="none"/>
              </w:rPr>
            </w:pPr>
            <w:r>
              <w:rPr>
                <w:rFonts w:hint="eastAsia" w:hAnsi="宋体" w:eastAsia="宋体"/>
                <w:color w:val="auto"/>
                <w:sz w:val="21"/>
                <w:szCs w:val="21"/>
                <w:highlight w:val="none"/>
              </w:rPr>
              <w:t>6</w:t>
            </w:r>
          </w:p>
        </w:tc>
        <w:tc>
          <w:tcPr>
            <w:tcW w:w="6576" w:type="dxa"/>
            <w:noWrap w:val="0"/>
            <w:vAlign w:val="center"/>
          </w:tcPr>
          <w:p w14:paraId="0B72326B">
            <w:pPr>
              <w:pStyle w:val="20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投标人具有质量管理体系认证证书</w:t>
            </w:r>
            <w:r>
              <w:rPr>
                <w:rFonts w:hint="eastAsia" w:hAnsi="宋体"/>
                <w:color w:val="auto"/>
                <w:sz w:val="21"/>
                <w:szCs w:val="21"/>
                <w:highlight w:val="none"/>
                <w:lang w:eastAsia="zh-CN"/>
              </w:rPr>
              <w:t>、</w:t>
            </w:r>
            <w:r>
              <w:rPr>
                <w:rFonts w:hint="eastAsia" w:hAnsi="宋体" w:eastAsia="宋体"/>
                <w:color w:val="auto"/>
                <w:sz w:val="21"/>
                <w:szCs w:val="21"/>
                <w:highlight w:val="none"/>
              </w:rPr>
              <w:t>环境管理体系认证证书</w:t>
            </w:r>
            <w:r>
              <w:rPr>
                <w:rFonts w:hint="eastAsia" w:hAnsi="宋体"/>
                <w:color w:val="auto"/>
                <w:sz w:val="21"/>
                <w:szCs w:val="21"/>
                <w:highlight w:val="none"/>
                <w:lang w:eastAsia="zh-CN"/>
              </w:rPr>
              <w:t>、</w:t>
            </w:r>
            <w:r>
              <w:rPr>
                <w:rFonts w:hint="eastAsia" w:hAnsi="宋体" w:eastAsia="宋体"/>
                <w:color w:val="auto"/>
                <w:sz w:val="21"/>
                <w:szCs w:val="21"/>
                <w:highlight w:val="none"/>
              </w:rPr>
              <w:t>职业健康安全管理体系认证证书。投标人每提供1个认证证书得2分，本项最高得6分。未提供不得分。</w:t>
            </w:r>
          </w:p>
          <w:p w14:paraId="7511BD6A">
            <w:pPr>
              <w:pStyle w:val="205"/>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t>注：提供相关有效证明文件扫描件并加盖投标人公章。</w:t>
            </w:r>
          </w:p>
        </w:tc>
      </w:tr>
    </w:tbl>
    <w:p w14:paraId="3CBCD257">
      <w:pPr>
        <w:keepNext w:val="0"/>
        <w:keepLines w:val="0"/>
        <w:pageBreakBefore w:val="0"/>
        <w:widowControl w:val="0"/>
        <w:spacing w:line="500" w:lineRule="exact"/>
        <w:ind w:firstLine="482"/>
        <w:jc w:val="left"/>
        <w:rPr>
          <w:rFonts w:hint="eastAsia"/>
          <w:b/>
          <w:bCs/>
          <w:i/>
          <w:iCs/>
          <w:color w:val="auto"/>
          <w:sz w:val="24"/>
          <w:szCs w:val="24"/>
          <w:u w:val="single"/>
        </w:rPr>
      </w:pPr>
      <w:r>
        <w:rPr>
          <w:rFonts w:hint="eastAsia"/>
          <w:b/>
          <w:bCs/>
          <w:i/>
          <w:iCs/>
          <w:color w:val="auto"/>
          <w:sz w:val="24"/>
          <w:szCs w:val="24"/>
          <w:u w:val="single"/>
        </w:rPr>
        <w:t>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p>
    <w:p w14:paraId="720ACCB8">
      <w:pPr>
        <w:jc w:val="center"/>
        <w:rPr>
          <w:rFonts w:ascii="黑体" w:hAnsi="黑体" w:eastAsia="黑体" w:cs="黑体"/>
          <w:color w:val="auto"/>
          <w:sz w:val="44"/>
          <w:szCs w:val="44"/>
        </w:rPr>
      </w:pPr>
      <w:r>
        <w:rPr>
          <w:rFonts w:hint="eastAsia" w:ascii="宋体" w:hAnsi="宋体" w:cs="宋体"/>
          <w:bCs/>
          <w:color w:val="auto"/>
          <w:sz w:val="44"/>
        </w:rPr>
        <w:br w:type="page" w:clear="all"/>
      </w:r>
      <w:r>
        <w:rPr>
          <w:rFonts w:hint="eastAsia" w:ascii="黑体" w:hAnsi="黑体" w:eastAsia="黑体" w:cs="黑体"/>
          <w:bCs/>
          <w:color w:val="auto"/>
          <w:sz w:val="44"/>
        </w:rPr>
        <w:t>第六章 投标文件格式</w:t>
      </w:r>
    </w:p>
    <w:p w14:paraId="0FDE89E3">
      <w:pPr>
        <w:spacing w:line="360" w:lineRule="auto"/>
        <w:rPr>
          <w:rFonts w:ascii="宋体" w:hAnsi="宋体" w:cs="宋体"/>
          <w:b/>
          <w:color w:val="auto"/>
          <w:sz w:val="72"/>
        </w:rPr>
      </w:pPr>
      <w:bookmarkStart w:id="8" w:name="_Toc23368"/>
      <w:bookmarkEnd w:id="8"/>
    </w:p>
    <w:p w14:paraId="58385BC7">
      <w:pPr>
        <w:widowControl/>
        <w:jc w:val="center"/>
        <w:rPr>
          <w:rFonts w:ascii="方正小标宋_GBK" w:hAnsi="宋体" w:eastAsia="方正小标宋_GBK"/>
          <w:color w:val="auto"/>
          <w:sz w:val="84"/>
          <w:szCs w:val="84"/>
        </w:rPr>
      </w:pPr>
      <w:r>
        <w:rPr>
          <w:rFonts w:hint="eastAsia" w:ascii="方正小标宋_GBK" w:hAnsi="宋体" w:eastAsia="方正小标宋_GBK"/>
          <w:color w:val="auto"/>
          <w:sz w:val="84"/>
          <w:szCs w:val="84"/>
        </w:rPr>
        <w:t>投 标 文 件</w:t>
      </w:r>
    </w:p>
    <w:p w14:paraId="14BE5482">
      <w:pPr>
        <w:pStyle w:val="198"/>
        <w:spacing w:beforeAutospacing="0" w:afterAutospacing="0" w:line="360" w:lineRule="auto"/>
        <w:ind w:firstLine="723"/>
        <w:jc w:val="both"/>
        <w:rPr>
          <w:b/>
          <w:color w:val="auto"/>
          <w:sz w:val="36"/>
          <w:szCs w:val="36"/>
        </w:rPr>
      </w:pPr>
    </w:p>
    <w:p w14:paraId="6521E230">
      <w:pPr>
        <w:pStyle w:val="198"/>
        <w:spacing w:beforeAutospacing="0" w:afterAutospacing="0" w:line="360" w:lineRule="auto"/>
        <w:ind w:firstLine="723"/>
        <w:jc w:val="both"/>
        <w:rPr>
          <w:b/>
          <w:color w:val="auto"/>
          <w:sz w:val="36"/>
          <w:szCs w:val="36"/>
        </w:rPr>
      </w:pPr>
    </w:p>
    <w:p w14:paraId="0ACC0E91">
      <w:pPr>
        <w:pStyle w:val="198"/>
        <w:spacing w:beforeAutospacing="0" w:afterAutospacing="0" w:line="360" w:lineRule="auto"/>
        <w:ind w:firstLine="723"/>
        <w:jc w:val="both"/>
        <w:rPr>
          <w:b/>
          <w:color w:val="auto"/>
          <w:sz w:val="36"/>
          <w:szCs w:val="36"/>
        </w:rPr>
      </w:pPr>
    </w:p>
    <w:p w14:paraId="2AD847B7">
      <w:pPr>
        <w:pStyle w:val="198"/>
        <w:spacing w:beforeAutospacing="0" w:afterAutospacing="0" w:line="500" w:lineRule="exact"/>
        <w:ind w:firstLine="1446"/>
        <w:jc w:val="both"/>
        <w:rPr>
          <w:color w:val="auto"/>
        </w:rPr>
      </w:pPr>
      <w:bookmarkStart w:id="9" w:name="_Toc9337"/>
      <w:r>
        <w:rPr>
          <w:rFonts w:hint="eastAsia"/>
          <w:b/>
          <w:color w:val="auto"/>
          <w:sz w:val="36"/>
          <w:szCs w:val="36"/>
        </w:rPr>
        <w:t>项 目 名 称：</w:t>
      </w:r>
      <w:r>
        <w:rPr>
          <w:rFonts w:hint="eastAsia"/>
          <w:b/>
          <w:color w:val="auto"/>
          <w:sz w:val="36"/>
          <w:szCs w:val="36"/>
          <w:u w:val="single"/>
        </w:rPr>
        <w:t xml:space="preserve">                   </w:t>
      </w:r>
      <w:bookmarkEnd w:id="9"/>
    </w:p>
    <w:p w14:paraId="25033085">
      <w:pPr>
        <w:pStyle w:val="198"/>
        <w:spacing w:beforeAutospacing="0" w:afterAutospacing="0" w:line="500" w:lineRule="exact"/>
        <w:ind w:firstLine="1446"/>
        <w:jc w:val="both"/>
        <w:rPr>
          <w:b/>
          <w:color w:val="auto"/>
          <w:sz w:val="36"/>
          <w:szCs w:val="36"/>
          <w:u w:val="single"/>
        </w:rPr>
      </w:pPr>
      <w:bookmarkStart w:id="10" w:name="_Toc24100"/>
      <w:r>
        <w:rPr>
          <w:rFonts w:hint="eastAsia"/>
          <w:b/>
          <w:color w:val="auto"/>
          <w:sz w:val="36"/>
          <w:szCs w:val="36"/>
        </w:rPr>
        <w:t>项 目 编 号：</w:t>
      </w:r>
      <w:r>
        <w:rPr>
          <w:rFonts w:hint="eastAsia"/>
          <w:b/>
          <w:color w:val="auto"/>
          <w:sz w:val="36"/>
          <w:szCs w:val="36"/>
          <w:u w:val="single"/>
        </w:rPr>
        <w:t xml:space="preserve">        </w:t>
      </w:r>
      <w:bookmarkEnd w:id="10"/>
      <w:r>
        <w:rPr>
          <w:rFonts w:hint="eastAsia"/>
          <w:b/>
          <w:color w:val="auto"/>
          <w:sz w:val="36"/>
          <w:szCs w:val="36"/>
          <w:u w:val="single"/>
        </w:rPr>
        <w:t xml:space="preserve">           </w:t>
      </w:r>
    </w:p>
    <w:p w14:paraId="1188C2B2">
      <w:pPr>
        <w:pStyle w:val="198"/>
        <w:spacing w:beforeAutospacing="0" w:afterAutospacing="0" w:line="500" w:lineRule="exact"/>
        <w:ind w:firstLine="1446"/>
        <w:jc w:val="both"/>
        <w:rPr>
          <w:b/>
          <w:color w:val="auto"/>
          <w:sz w:val="36"/>
          <w:szCs w:val="36"/>
          <w:u w:val="single"/>
        </w:rPr>
      </w:pPr>
      <w:bookmarkStart w:id="11" w:name="_Toc7579"/>
      <w:r>
        <w:rPr>
          <w:rFonts w:hint="eastAsia"/>
          <w:b/>
          <w:color w:val="auto"/>
          <w:sz w:val="36"/>
          <w:szCs w:val="36"/>
        </w:rPr>
        <w:t>投标人名称 ：</w:t>
      </w:r>
      <w:r>
        <w:rPr>
          <w:rFonts w:hint="eastAsia"/>
          <w:b/>
          <w:color w:val="auto"/>
          <w:sz w:val="36"/>
          <w:szCs w:val="36"/>
          <w:u w:val="single"/>
        </w:rPr>
        <w:t>（加盖CA电子公章）</w:t>
      </w:r>
      <w:bookmarkEnd w:id="11"/>
      <w:r>
        <w:rPr>
          <w:rFonts w:hint="eastAsia"/>
          <w:b/>
          <w:color w:val="auto"/>
          <w:sz w:val="36"/>
          <w:szCs w:val="36"/>
          <w:u w:val="single"/>
        </w:rPr>
        <w:t xml:space="preserve"> </w:t>
      </w:r>
    </w:p>
    <w:p w14:paraId="332C4929">
      <w:pPr>
        <w:pStyle w:val="198"/>
        <w:spacing w:beforeAutospacing="0" w:afterAutospacing="0" w:line="500" w:lineRule="exact"/>
        <w:ind w:firstLine="1446"/>
        <w:jc w:val="both"/>
        <w:rPr>
          <w:rFonts w:hint="eastAsia" w:eastAsia="宋体"/>
          <w:color w:val="auto"/>
          <w:lang w:val="en-US" w:eastAsia="zh-CN"/>
        </w:rPr>
      </w:pPr>
      <w:bookmarkStart w:id="12" w:name="_Toc21823"/>
      <w:r>
        <w:rPr>
          <w:rFonts w:hint="eastAsia"/>
          <w:b/>
          <w:color w:val="auto"/>
          <w:sz w:val="36"/>
          <w:szCs w:val="36"/>
        </w:rPr>
        <w:t>日    期 ：</w:t>
      </w:r>
      <w:r>
        <w:rPr>
          <w:rFonts w:hint="eastAsia"/>
          <w:b/>
          <w:color w:val="auto"/>
          <w:sz w:val="36"/>
          <w:szCs w:val="36"/>
          <w:u w:val="single"/>
        </w:rPr>
        <w:t xml:space="preserve">                </w:t>
      </w:r>
      <w:bookmarkEnd w:id="12"/>
      <w:r>
        <w:rPr>
          <w:rFonts w:hint="eastAsia"/>
          <w:b/>
          <w:color w:val="auto"/>
          <w:sz w:val="36"/>
          <w:szCs w:val="36"/>
          <w:u w:val="single"/>
          <w:lang w:val="en-US" w:eastAsia="zh-CN"/>
        </w:rPr>
        <w:t xml:space="preserve"> </w:t>
      </w:r>
    </w:p>
    <w:p w14:paraId="5200F4F4">
      <w:pPr>
        <w:rPr>
          <w:color w:val="auto"/>
        </w:rPr>
      </w:pPr>
      <w:r>
        <w:rPr>
          <w:rFonts w:hint="eastAsia" w:ascii="宋体" w:hAnsi="宋体" w:cs="宋体"/>
          <w:b/>
          <w:bCs/>
          <w:color w:val="auto"/>
          <w:sz w:val="32"/>
          <w:szCs w:val="32"/>
        </w:rPr>
        <w:br w:type="page" w:clear="all"/>
      </w:r>
      <w:r>
        <w:rPr>
          <w:rFonts w:hint="eastAsia" w:ascii="宋体" w:hAnsi="宋体" w:cs="宋体"/>
          <w:b/>
          <w:bCs/>
          <w:color w:val="auto"/>
          <w:sz w:val="32"/>
          <w:szCs w:val="32"/>
          <w:lang w:val="en-US" w:eastAsia="zh-CN"/>
        </w:rPr>
        <w:t xml:space="preserve">                  </w:t>
      </w:r>
      <w:r>
        <w:rPr>
          <w:rFonts w:hint="eastAsia"/>
          <w:b/>
          <w:bCs/>
          <w:color w:val="auto"/>
          <w:sz w:val="32"/>
          <w:szCs w:val="32"/>
        </w:rPr>
        <w:t>投标文件目录</w:t>
      </w:r>
    </w:p>
    <w:p w14:paraId="65E39A24">
      <w:pPr>
        <w:widowControl/>
        <w:spacing w:line="360" w:lineRule="auto"/>
        <w:ind w:firstLine="561"/>
        <w:outlineLvl w:val="1"/>
        <w:rPr>
          <w:rFonts w:hint="eastAsia" w:ascii="宋体" w:hAnsi="宋体" w:eastAsia="宋体" w:cs="宋体"/>
          <w:color w:val="auto"/>
          <w:sz w:val="24"/>
        </w:rPr>
      </w:pPr>
    </w:p>
    <w:p w14:paraId="71F030CC">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一、法人或者其他组织的营业执照等证明文件，</w:t>
      </w:r>
      <w:r>
        <w:rPr>
          <w:rFonts w:hint="eastAsia" w:ascii="宋体" w:hAnsi="宋体" w:cs="宋体"/>
          <w:color w:val="auto"/>
          <w:sz w:val="24"/>
          <w:lang w:val="en-US" w:eastAsia="zh-CN"/>
        </w:rPr>
        <w:t>或</w:t>
      </w:r>
      <w:r>
        <w:rPr>
          <w:rFonts w:hint="eastAsia" w:ascii="宋体" w:hAnsi="宋体" w:eastAsia="宋体" w:cs="宋体"/>
          <w:color w:val="auto"/>
          <w:sz w:val="24"/>
        </w:rPr>
        <w:t>自然人的身份证明</w:t>
      </w:r>
    </w:p>
    <w:p w14:paraId="13B1EE21">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二、</w:t>
      </w:r>
      <w:r>
        <w:rPr>
          <w:rFonts w:hint="eastAsia" w:ascii="宋体" w:hAnsi="宋体" w:eastAsia="宋体" w:cs="宋体"/>
          <w:color w:val="auto"/>
          <w:sz w:val="24"/>
          <w:szCs w:val="20"/>
        </w:rPr>
        <w:t xml:space="preserve"> </w:t>
      </w:r>
      <w:r>
        <w:rPr>
          <w:rFonts w:hint="eastAsia" w:ascii="宋体" w:hAnsi="宋体" w:cs="宋体"/>
          <w:color w:val="auto"/>
          <w:sz w:val="24"/>
          <w:szCs w:val="20"/>
        </w:rPr>
        <w:t>上一年度的财务状况报表（</w:t>
      </w:r>
      <w:r>
        <w:rPr>
          <w:rFonts w:hint="eastAsia" w:ascii="宋体" w:hAnsi="宋体" w:cs="宋体"/>
          <w:color w:val="auto"/>
          <w:sz w:val="24"/>
          <w:szCs w:val="24"/>
        </w:rPr>
        <w:t>至少提供资产负债表、利润表、现金流量表，</w:t>
      </w:r>
      <w:r>
        <w:rPr>
          <w:rFonts w:hint="eastAsia" w:ascii="宋体" w:hAnsi="宋体" w:cs="宋体"/>
          <w:color w:val="auto"/>
          <w:sz w:val="24"/>
          <w:szCs w:val="20"/>
        </w:rPr>
        <w:t>成立不满一年无需提供）</w:t>
      </w:r>
      <w:r>
        <w:rPr>
          <w:rFonts w:hint="eastAsia" w:ascii="宋体" w:hAnsi="宋体" w:cs="宋体"/>
          <w:color w:val="auto"/>
          <w:sz w:val="24"/>
          <w:szCs w:val="20"/>
          <w:lang w:eastAsia="zh-CN"/>
        </w:rPr>
        <w:t>。</w:t>
      </w:r>
    </w:p>
    <w:p w14:paraId="6F251247">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三、具备履行合同所必需的设备和专业技术能力的书面声明</w:t>
      </w:r>
    </w:p>
    <w:p w14:paraId="2E2FA624">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3983AE31">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五、参加政府采购活动前3年内在经营活动中没有重大违法记录的书面声明</w:t>
      </w:r>
    </w:p>
    <w:p w14:paraId="26A20E69">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六、单位负责人为同一人或者存在直接控股、管理关系的不同供应商，不得参加同一合同项下的政府采购活动（投标文件中需提供声明）</w:t>
      </w:r>
    </w:p>
    <w:p w14:paraId="5EB342B7">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七、特定资格要求的证明文件（如果本项目设置特定资格要求，则需要提供）</w:t>
      </w:r>
    </w:p>
    <w:p w14:paraId="38BDE8E6">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八、法人授权书</w:t>
      </w:r>
    </w:p>
    <w:p w14:paraId="2119A812">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九、投标函</w:t>
      </w:r>
    </w:p>
    <w:p w14:paraId="717CEA26">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十、中小企业声明函</w:t>
      </w:r>
    </w:p>
    <w:p w14:paraId="6DFF874D">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十一、残疾人福利性单位声明函</w:t>
      </w:r>
    </w:p>
    <w:p w14:paraId="36053F0B">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lang w:val="en-US" w:eastAsia="zh-CN"/>
        </w:rPr>
        <w:t>十</w:t>
      </w:r>
      <w:r>
        <w:rPr>
          <w:rFonts w:hint="eastAsia" w:ascii="宋体" w:hAnsi="宋体" w:cs="宋体"/>
          <w:color w:val="auto"/>
          <w:sz w:val="24"/>
          <w:lang w:val="en-US" w:eastAsia="zh-CN"/>
        </w:rPr>
        <w:t>二</w:t>
      </w:r>
      <w:r>
        <w:rPr>
          <w:rFonts w:hint="eastAsia" w:ascii="宋体" w:hAnsi="宋体" w:eastAsia="宋体" w:cs="宋体"/>
          <w:color w:val="auto"/>
          <w:sz w:val="24"/>
          <w:lang w:val="en-US" w:eastAsia="zh-CN"/>
        </w:rPr>
        <w:t>、</w:t>
      </w:r>
      <w:r>
        <w:rPr>
          <w:rFonts w:hint="eastAsia" w:ascii="宋体" w:hAnsi="宋体" w:eastAsia="宋体" w:cs="宋体"/>
          <w:color w:val="auto"/>
          <w:sz w:val="24"/>
        </w:rPr>
        <w:t>投标分项报价表</w:t>
      </w:r>
    </w:p>
    <w:p w14:paraId="2C6BF067">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十</w:t>
      </w:r>
      <w:r>
        <w:rPr>
          <w:rFonts w:hint="eastAsia" w:ascii="宋体" w:hAnsi="宋体" w:cs="宋体"/>
          <w:color w:val="auto"/>
          <w:sz w:val="24"/>
          <w:lang w:val="en-US" w:eastAsia="zh-CN"/>
        </w:rPr>
        <w:t>三</w:t>
      </w:r>
      <w:r>
        <w:rPr>
          <w:rFonts w:hint="eastAsia" w:ascii="宋体" w:hAnsi="宋体" w:eastAsia="宋体" w:cs="宋体"/>
          <w:color w:val="auto"/>
          <w:sz w:val="24"/>
        </w:rPr>
        <w:t>、技术要求响应及偏离表</w:t>
      </w:r>
    </w:p>
    <w:p w14:paraId="37B5E7EB">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十</w:t>
      </w:r>
      <w:r>
        <w:rPr>
          <w:rFonts w:hint="eastAsia" w:ascii="宋体" w:hAnsi="宋体" w:cs="宋体"/>
          <w:color w:val="auto"/>
          <w:sz w:val="24"/>
          <w:lang w:val="en-US" w:eastAsia="zh-CN"/>
        </w:rPr>
        <w:t>四</w:t>
      </w:r>
      <w:r>
        <w:rPr>
          <w:rFonts w:hint="eastAsia" w:ascii="宋体" w:hAnsi="宋体" w:eastAsia="宋体" w:cs="宋体"/>
          <w:color w:val="auto"/>
          <w:sz w:val="24"/>
        </w:rPr>
        <w:t>、商务要求响应及偏离表</w:t>
      </w:r>
    </w:p>
    <w:p w14:paraId="7F0EE0E1">
      <w:pPr>
        <w:widowControl/>
        <w:spacing w:line="360" w:lineRule="auto"/>
        <w:ind w:firstLine="561"/>
        <w:outlineLvl w:val="1"/>
        <w:rPr>
          <w:rFonts w:ascii="宋体" w:hAnsi="宋体" w:eastAsia="宋体" w:cs="宋体"/>
          <w:color w:val="auto"/>
          <w:sz w:val="24"/>
        </w:rPr>
      </w:pPr>
      <w:r>
        <w:rPr>
          <w:rFonts w:hint="eastAsia" w:ascii="宋体" w:hAnsi="宋体" w:eastAsia="宋体" w:cs="宋体"/>
          <w:color w:val="auto"/>
          <w:sz w:val="24"/>
        </w:rPr>
        <w:t>十</w:t>
      </w:r>
      <w:r>
        <w:rPr>
          <w:rFonts w:hint="eastAsia" w:ascii="宋体" w:hAnsi="宋体" w:cs="宋体"/>
          <w:color w:val="auto"/>
          <w:sz w:val="24"/>
          <w:lang w:val="en-US" w:eastAsia="zh-CN"/>
        </w:rPr>
        <w:t>五</w:t>
      </w:r>
      <w:r>
        <w:rPr>
          <w:rFonts w:hint="eastAsia" w:ascii="宋体" w:hAnsi="宋体" w:eastAsia="宋体" w:cs="宋体"/>
          <w:color w:val="auto"/>
          <w:sz w:val="24"/>
        </w:rPr>
        <w:t>、开标一览表</w:t>
      </w:r>
    </w:p>
    <w:p w14:paraId="05C42B03">
      <w:pPr>
        <w:spacing w:line="360" w:lineRule="auto"/>
        <w:ind w:right="420" w:firstLine="480"/>
        <w:jc w:val="both"/>
        <w:rPr>
          <w:rFonts w:hint="eastAsia" w:ascii="宋体" w:hAnsi="宋体" w:eastAsia="宋体" w:cs="宋体"/>
          <w:color w:val="auto"/>
          <w:sz w:val="24"/>
        </w:rPr>
      </w:pPr>
      <w:r>
        <w:rPr>
          <w:rFonts w:hint="eastAsia" w:ascii="宋体" w:hAnsi="宋体" w:eastAsia="宋体" w:cs="宋体"/>
          <w:color w:val="auto"/>
          <w:sz w:val="24"/>
        </w:rPr>
        <w:t>十</w:t>
      </w:r>
      <w:r>
        <w:rPr>
          <w:rFonts w:hint="eastAsia" w:ascii="宋体" w:hAnsi="宋体" w:cs="宋体"/>
          <w:color w:val="auto"/>
          <w:sz w:val="24"/>
          <w:lang w:val="en-US" w:eastAsia="zh-CN"/>
        </w:rPr>
        <w:t>六</w:t>
      </w:r>
      <w:r>
        <w:rPr>
          <w:rFonts w:hint="eastAsia" w:ascii="宋体" w:hAnsi="宋体" w:eastAsia="宋体" w:cs="宋体"/>
          <w:color w:val="auto"/>
          <w:sz w:val="24"/>
        </w:rPr>
        <w:t>、服务方案等</w:t>
      </w:r>
    </w:p>
    <w:p w14:paraId="5656A158">
      <w:pPr>
        <w:spacing w:line="360" w:lineRule="auto"/>
        <w:ind w:right="420" w:firstLine="480"/>
        <w:jc w:val="both"/>
        <w:rPr>
          <w:rFonts w:eastAsia="方正小标宋_GBK" w:cs="方正小标宋_GBK"/>
          <w:color w:val="auto"/>
          <w:sz w:val="44"/>
          <w:szCs w:val="44"/>
        </w:rPr>
      </w:pPr>
      <w:r>
        <w:rPr>
          <w:rFonts w:hint="eastAsia" w:ascii="宋体" w:hAnsi="宋体" w:eastAsia="宋体" w:cs="宋体"/>
          <w:color w:val="auto"/>
          <w:sz w:val="24"/>
        </w:rPr>
        <w:t>十</w:t>
      </w:r>
      <w:r>
        <w:rPr>
          <w:rFonts w:hint="eastAsia" w:ascii="宋体" w:hAnsi="宋体" w:eastAsia="宋体" w:cs="宋体"/>
          <w:color w:val="auto"/>
          <w:sz w:val="24"/>
          <w:lang w:val="en-US" w:eastAsia="zh-CN"/>
        </w:rPr>
        <w:t>七</w:t>
      </w:r>
      <w:r>
        <w:rPr>
          <w:rFonts w:hint="eastAsia" w:ascii="宋体" w:hAnsi="宋体" w:eastAsia="宋体" w:cs="宋体"/>
          <w:color w:val="auto"/>
          <w:sz w:val="24"/>
        </w:rPr>
        <w:t xml:space="preserve">、招标投标廉洁自律承诺保证书 </w:t>
      </w:r>
    </w:p>
    <w:p w14:paraId="1EA93759">
      <w:pPr>
        <w:widowControl/>
        <w:spacing w:line="360" w:lineRule="auto"/>
        <w:ind w:firstLine="480"/>
        <w:outlineLvl w:val="1"/>
        <w:rPr>
          <w:rFonts w:hint="eastAsia" w:ascii="宋体" w:hAnsi="宋体" w:eastAsia="宋体" w:cs="宋体"/>
          <w:color w:val="auto"/>
          <w:sz w:val="24"/>
        </w:rPr>
      </w:pPr>
      <w:r>
        <w:rPr>
          <w:rFonts w:hint="eastAsia" w:ascii="宋体" w:hAnsi="宋体" w:eastAsia="宋体" w:cs="宋体"/>
          <w:color w:val="auto"/>
          <w:sz w:val="24"/>
        </w:rPr>
        <w:t>十</w:t>
      </w:r>
      <w:r>
        <w:rPr>
          <w:rFonts w:hint="eastAsia" w:ascii="宋体" w:hAnsi="宋体" w:cs="宋体"/>
          <w:color w:val="auto"/>
          <w:sz w:val="24"/>
          <w:lang w:val="en-US" w:eastAsia="zh-CN"/>
        </w:rPr>
        <w:t>八</w:t>
      </w:r>
      <w:r>
        <w:rPr>
          <w:rFonts w:hint="eastAsia" w:ascii="宋体" w:hAnsi="宋体" w:eastAsia="宋体" w:cs="宋体"/>
          <w:color w:val="auto"/>
          <w:sz w:val="24"/>
          <w:lang w:val="en-US" w:eastAsia="zh-CN"/>
        </w:rPr>
        <w:t>、</w:t>
      </w:r>
      <w:r>
        <w:rPr>
          <w:rFonts w:hint="eastAsia" w:ascii="宋体" w:hAnsi="宋体" w:eastAsia="宋体" w:cs="宋体"/>
          <w:color w:val="auto"/>
          <w:sz w:val="24"/>
        </w:rPr>
        <w:t>盐城市</w:t>
      </w:r>
      <w:r>
        <w:rPr>
          <w:rFonts w:hint="eastAsia" w:ascii="宋体" w:hAnsi="宋体" w:cs="宋体"/>
          <w:color w:val="auto"/>
          <w:sz w:val="24"/>
          <w:lang w:val="en-US" w:eastAsia="zh-CN"/>
        </w:rPr>
        <w:t>亭湖区</w:t>
      </w:r>
      <w:r>
        <w:rPr>
          <w:rFonts w:hint="eastAsia" w:ascii="宋体" w:hAnsi="宋体" w:eastAsia="宋体" w:cs="宋体"/>
          <w:color w:val="auto"/>
          <w:sz w:val="24"/>
        </w:rPr>
        <w:t>政府采购事前信用承诺书</w:t>
      </w:r>
    </w:p>
    <w:p w14:paraId="22C2CB63">
      <w:pPr>
        <w:widowControl/>
        <w:spacing w:line="560" w:lineRule="exact"/>
        <w:ind w:firstLine="480"/>
        <w:outlineLvl w:val="1"/>
        <w:rPr>
          <w:rFonts w:hint="eastAsia" w:ascii="宋体" w:hAnsi="宋体" w:eastAsia="宋体" w:cs="宋体"/>
          <w:color w:val="auto"/>
          <w:sz w:val="24"/>
        </w:rPr>
      </w:pPr>
    </w:p>
    <w:p w14:paraId="506E50E7">
      <w:pPr>
        <w:widowControl/>
        <w:spacing w:line="500" w:lineRule="exact"/>
        <w:jc w:val="center"/>
        <w:rPr>
          <w:rFonts w:ascii="黑体" w:hAnsi="黑体" w:eastAsia="黑体" w:cs="黑体"/>
          <w:i/>
          <w:color w:val="auto"/>
          <w:sz w:val="32"/>
          <w:szCs w:val="32"/>
          <w:u w:val="single"/>
        </w:rPr>
      </w:pPr>
      <w:r>
        <w:rPr>
          <w:rFonts w:hint="eastAsia" w:ascii="宋体" w:hAnsi="宋体" w:cs="宋体"/>
          <w:b/>
          <w:color w:val="auto"/>
          <w:sz w:val="32"/>
          <w:szCs w:val="32"/>
        </w:rPr>
        <w:br w:type="page" w:clear="all"/>
      </w:r>
      <w:r>
        <w:rPr>
          <w:rFonts w:hint="eastAsia" w:ascii="黑体" w:hAnsi="黑体" w:eastAsia="黑体" w:cs="黑体"/>
          <w:i/>
          <w:color w:val="auto"/>
          <w:sz w:val="32"/>
          <w:szCs w:val="32"/>
          <w:u w:val="single"/>
        </w:rPr>
        <w:t>一、法人或者其他组织的营业执照等证明文件，</w:t>
      </w:r>
      <w:r>
        <w:rPr>
          <w:rFonts w:hint="eastAsia" w:ascii="黑体" w:hAnsi="黑体" w:eastAsia="黑体" w:cs="黑体"/>
          <w:i/>
          <w:color w:val="auto"/>
          <w:sz w:val="32"/>
          <w:szCs w:val="32"/>
          <w:u w:val="single"/>
          <w:lang w:val="en-US" w:eastAsia="zh-CN"/>
        </w:rPr>
        <w:t>或</w:t>
      </w:r>
      <w:r>
        <w:rPr>
          <w:rFonts w:hint="eastAsia" w:ascii="黑体" w:hAnsi="黑体" w:eastAsia="黑体" w:cs="黑体"/>
          <w:i/>
          <w:color w:val="auto"/>
          <w:sz w:val="32"/>
          <w:szCs w:val="32"/>
          <w:u w:val="single"/>
        </w:rPr>
        <w:t>自然人的身份证明</w:t>
      </w:r>
    </w:p>
    <w:p w14:paraId="3D41E61E">
      <w:pPr>
        <w:widowControl/>
        <w:spacing w:line="500" w:lineRule="exact"/>
        <w:jc w:val="center"/>
        <w:rPr>
          <w:rFonts w:hint="eastAsia" w:ascii="黑体" w:hAnsi="黑体" w:eastAsia="黑体" w:cs="黑体"/>
          <w:i/>
          <w:color w:val="auto"/>
          <w:sz w:val="32"/>
          <w:szCs w:val="32"/>
          <w:u w:val="single"/>
        </w:rPr>
      </w:pPr>
    </w:p>
    <w:p w14:paraId="40181468">
      <w:pPr>
        <w:widowControl/>
        <w:spacing w:line="5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二、 上一年度的财务状况报表</w:t>
      </w:r>
    </w:p>
    <w:p w14:paraId="238F44C7">
      <w:pPr>
        <w:tabs>
          <w:tab w:val="left" w:pos="1331"/>
        </w:tabs>
        <w:spacing w:line="500" w:lineRule="exact"/>
        <w:jc w:val="center"/>
        <w:rPr>
          <w:rFonts w:ascii="宋体" w:hAnsi="宋体" w:cs="宋体"/>
          <w:iCs/>
          <w:color w:val="auto"/>
          <w:sz w:val="24"/>
        </w:rPr>
      </w:pPr>
      <w:r>
        <w:rPr>
          <w:rFonts w:hint="eastAsia" w:ascii="宋体" w:hAnsi="宋体" w:cs="宋体"/>
          <w:iCs/>
          <w:color w:val="auto"/>
          <w:sz w:val="24"/>
        </w:rPr>
        <w:t>（至少提供资产负债表、利润表、现金流量表，投标人成立不满一年无需提供）</w:t>
      </w:r>
    </w:p>
    <w:p w14:paraId="484C1FE2">
      <w:pPr>
        <w:widowControl/>
        <w:spacing w:before="180" w:line="5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三、具备履行合同所必需的设备和专业技术能力的书面声明</w:t>
      </w:r>
    </w:p>
    <w:p w14:paraId="382F6FA0">
      <w:pPr>
        <w:pStyle w:val="189"/>
        <w:spacing w:afterAutospacing="0" w:line="500" w:lineRule="exact"/>
        <w:ind w:firstLine="480"/>
        <w:jc w:val="both"/>
        <w:rPr>
          <w:rFonts w:ascii="宋体" w:hAnsi="宋体" w:eastAsia="宋体" w:cs="宋体"/>
          <w:color w:val="auto"/>
        </w:rPr>
      </w:pPr>
      <w:r>
        <w:rPr>
          <w:rFonts w:hint="eastAsia" w:ascii="宋体" w:hAnsi="宋体" w:eastAsia="宋体" w:cs="宋体"/>
          <w:color w:val="auto"/>
        </w:rPr>
        <w:t>我单位郑重声明：我单位具备履行本项采购合同所必需的设备和专业技术能力，为履行本项采购合同我公司具备如下主要设备和主要专业技术能力：</w:t>
      </w:r>
    </w:p>
    <w:p w14:paraId="38299C94">
      <w:pPr>
        <w:pStyle w:val="189"/>
        <w:spacing w:afterAutospacing="0" w:line="380" w:lineRule="exact"/>
        <w:ind w:firstLine="480"/>
        <w:jc w:val="both"/>
        <w:rPr>
          <w:rFonts w:ascii="宋体" w:hAnsi="宋体" w:cs="宋体"/>
          <w:color w:val="auto"/>
        </w:rPr>
      </w:pPr>
      <w:r>
        <w:rPr>
          <w:rFonts w:hint="eastAsia" w:ascii="宋体" w:hAnsi="宋体" w:cs="宋体"/>
          <w:color w:val="auto"/>
        </w:rPr>
        <w:t>主要设备有：</w:t>
      </w:r>
      <w:r>
        <w:rPr>
          <w:rFonts w:hint="eastAsia" w:ascii="宋体" w:hAnsi="宋体" w:cs="宋体"/>
          <w:color w:val="auto"/>
          <w:u w:val="single"/>
        </w:rPr>
        <w:t xml:space="preserve">              </w:t>
      </w:r>
      <w:r>
        <w:rPr>
          <w:rFonts w:hint="eastAsia" w:ascii="宋体" w:hAnsi="宋体" w:cs="宋体"/>
          <w:color w:val="auto"/>
        </w:rPr>
        <w:t>。</w:t>
      </w:r>
    </w:p>
    <w:p w14:paraId="3040A966">
      <w:pPr>
        <w:pStyle w:val="189"/>
        <w:spacing w:afterAutospacing="0" w:line="380" w:lineRule="exact"/>
        <w:ind w:firstLine="480"/>
        <w:jc w:val="both"/>
        <w:rPr>
          <w:rFonts w:ascii="宋体" w:hAnsi="宋体" w:cs="宋体"/>
          <w:color w:val="auto"/>
        </w:rPr>
      </w:pPr>
      <w:r>
        <w:rPr>
          <w:rFonts w:hint="eastAsia" w:ascii="宋体" w:hAnsi="宋体" w:cs="宋体"/>
          <w:color w:val="auto"/>
        </w:rPr>
        <w:t>主要专业技术能力有：</w:t>
      </w:r>
      <w:r>
        <w:rPr>
          <w:rFonts w:hint="eastAsia" w:ascii="宋体" w:hAnsi="宋体" w:cs="宋体"/>
          <w:color w:val="auto"/>
          <w:u w:val="single"/>
        </w:rPr>
        <w:t xml:space="preserve">       </w:t>
      </w:r>
      <w:r>
        <w:rPr>
          <w:rFonts w:hint="eastAsia" w:ascii="宋体" w:hAnsi="宋体" w:cs="宋体"/>
          <w:color w:val="auto"/>
        </w:rPr>
        <w:t>。</w:t>
      </w:r>
    </w:p>
    <w:p w14:paraId="683AA132">
      <w:pPr>
        <w:widowControl/>
        <w:spacing w:before="180" w:line="5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四、依法缴纳税收和社会保障资金的相关材料</w:t>
      </w:r>
    </w:p>
    <w:p w14:paraId="0A04CE1B">
      <w:pPr>
        <w:pStyle w:val="189"/>
        <w:spacing w:afterAutospacing="0" w:line="500" w:lineRule="exact"/>
        <w:ind w:firstLine="480"/>
        <w:jc w:val="both"/>
        <w:rPr>
          <w:rFonts w:ascii="宋体" w:hAnsi="宋体" w:eastAsia="宋体" w:cs="宋体"/>
          <w:color w:val="auto"/>
        </w:rPr>
      </w:pPr>
      <w:r>
        <w:rPr>
          <w:rFonts w:hint="eastAsia" w:ascii="宋体" w:hAnsi="宋体" w:eastAsia="宋体" w:cs="宋体"/>
          <w:color w:val="auto"/>
        </w:rPr>
        <w:t>提供提交响应文件截止时间前一年内至少一个月依法缴纳税收及缴纳社会保障资金的证明材料。供应商依法享受缓缴、免缴税收、社会保障资金的提供证明材料。</w:t>
      </w:r>
    </w:p>
    <w:p w14:paraId="2C30EA42">
      <w:pPr>
        <w:widowControl/>
        <w:jc w:val="left"/>
        <w:rPr>
          <w:rFonts w:ascii="方正小标宋_GBK" w:hAnsi="宋体" w:eastAsia="方正小标宋_GBK" w:cs="黑体"/>
          <w:iCs/>
          <w:color w:val="auto"/>
          <w:sz w:val="30"/>
          <w:szCs w:val="30"/>
        </w:rPr>
      </w:pPr>
    </w:p>
    <w:p w14:paraId="0366032E">
      <w:pPr>
        <w:widowControl/>
        <w:spacing w:before="18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五、参加政府采购活动前3年内在经营活动中没有重大违法 记录的书面声明</w:t>
      </w:r>
    </w:p>
    <w:p w14:paraId="4A2D7D47">
      <w:pPr>
        <w:pStyle w:val="189"/>
        <w:widowControl/>
        <w:jc w:val="center"/>
        <w:rPr>
          <w:rFonts w:ascii="方正小标宋_GBK" w:eastAsia="方正小标宋_GBK"/>
          <w:bCs/>
          <w:color w:val="auto"/>
        </w:rPr>
      </w:pPr>
      <w:r>
        <w:rPr>
          <w:rFonts w:hint="eastAsia" w:ascii="方正小标宋_GBK" w:hAnsi="宋体" w:eastAsia="方正小标宋_GBK" w:cs="宋体"/>
          <w:bCs/>
          <w:color w:val="auto"/>
          <w:sz w:val="44"/>
          <w:szCs w:val="44"/>
        </w:rPr>
        <w:t>声  明</w:t>
      </w:r>
    </w:p>
    <w:p w14:paraId="5849E3CA">
      <w:pPr>
        <w:pStyle w:val="189"/>
        <w:spacing w:line="560" w:lineRule="exact"/>
        <w:ind w:firstLine="480"/>
        <w:jc w:val="both"/>
        <w:rPr>
          <w:rFonts w:ascii="宋体" w:hAnsi="宋体" w:cs="宋体"/>
          <w:color w:val="auto"/>
        </w:rPr>
      </w:pPr>
      <w:r>
        <w:rPr>
          <w:rFonts w:hint="eastAsia" w:ascii="宋体" w:hAnsi="宋体" w:cs="宋体"/>
          <w:color w:val="auto"/>
        </w:rPr>
        <w:t>我单位郑重声明：参加本次政府采购活动前3年内，我单位在经营活动中没有因违法经营受到刑事处罚或者责令停产停业、吊销许可证或者执照、较大数额罚款等行政处罚。</w:t>
      </w:r>
    </w:p>
    <w:p w14:paraId="5A6F62D4">
      <w:pPr>
        <w:pStyle w:val="189"/>
        <w:widowControl/>
        <w:spacing w:line="560" w:lineRule="exact"/>
        <w:ind w:firstLine="492"/>
        <w:jc w:val="both"/>
        <w:rPr>
          <w:rFonts w:ascii="黑体" w:hAnsi="黑体" w:eastAsia="黑体" w:cs="黑体"/>
          <w:i/>
          <w:color w:val="auto"/>
          <w:sz w:val="32"/>
          <w:szCs w:val="32"/>
          <w:u w:val="single"/>
        </w:rPr>
      </w:pPr>
      <w:r>
        <w:rPr>
          <w:rFonts w:hint="eastAsia" w:ascii="宋体" w:hAnsi="宋体" w:eastAsia="宋体" w:cs="宋体"/>
          <w:color w:val="auto"/>
        </w:rPr>
        <w:t> </w:t>
      </w:r>
      <w:r>
        <w:rPr>
          <w:rFonts w:hint="eastAsia" w:ascii="黑体" w:hAnsi="黑体" w:eastAsia="黑体" w:cs="黑体"/>
          <w:i/>
          <w:color w:val="auto"/>
          <w:sz w:val="32"/>
          <w:szCs w:val="32"/>
          <w:u w:val="single"/>
        </w:rPr>
        <w:t>六、单位负责人为同一人或者存在直接控股、管理关系的不同供应商，不得参加同一合同项下的政府采购活动</w:t>
      </w:r>
    </w:p>
    <w:p w14:paraId="0E99E4B9">
      <w:pPr>
        <w:pStyle w:val="189"/>
        <w:widowControl/>
        <w:jc w:val="center"/>
        <w:rPr>
          <w:rFonts w:ascii="方正小标宋_GBK" w:hAnsi="宋体" w:eastAsia="方正小标宋_GBK" w:cs="宋体"/>
          <w:bCs/>
          <w:color w:val="auto"/>
          <w:sz w:val="44"/>
          <w:szCs w:val="44"/>
        </w:rPr>
      </w:pPr>
      <w:r>
        <w:rPr>
          <w:rFonts w:hint="eastAsia" w:ascii="方正小标宋_GBK" w:hAnsi="宋体" w:eastAsia="方正小标宋_GBK" w:cs="宋体"/>
          <w:bCs/>
          <w:color w:val="auto"/>
          <w:sz w:val="44"/>
          <w:szCs w:val="44"/>
        </w:rPr>
        <w:t>声 明</w:t>
      </w:r>
    </w:p>
    <w:p w14:paraId="60F4BA7C">
      <w:pPr>
        <w:pStyle w:val="198"/>
        <w:spacing w:beforeAutospacing="0" w:afterAutospacing="0" w:line="500" w:lineRule="exact"/>
        <w:ind w:firstLine="482"/>
        <w:jc w:val="both"/>
        <w:rPr>
          <w:color w:val="auto"/>
        </w:rPr>
      </w:pPr>
      <w:r>
        <w:rPr>
          <w:rFonts w:hint="eastAsia"/>
          <w:color w:val="auto"/>
        </w:rPr>
        <w:t>我单位郑重声明：在参加本次政府采购活动中，我单位没有与参加本项目投标的其他供应商存在单位负责人为同一人或者存在直接控股、管理关系情形。</w:t>
      </w:r>
    </w:p>
    <w:p w14:paraId="3942414F">
      <w:pPr>
        <w:pStyle w:val="189"/>
        <w:spacing w:beforeAutospacing="0" w:afterAutospacing="0" w:line="500" w:lineRule="exact"/>
        <w:jc w:val="center"/>
        <w:rPr>
          <w:rFonts w:ascii="宋体" w:hAnsi="宋体" w:cs="宋体"/>
          <w:i/>
          <w:color w:val="auto"/>
          <w:sz w:val="32"/>
          <w:szCs w:val="32"/>
          <w:u w:val="single"/>
        </w:rPr>
      </w:pPr>
    </w:p>
    <w:p w14:paraId="7EC9410F">
      <w:pPr>
        <w:pStyle w:val="189"/>
        <w:spacing w:beforeAutospacing="0" w:afterAutospacing="0" w:line="500" w:lineRule="exact"/>
        <w:jc w:val="center"/>
        <w:rPr>
          <w:rFonts w:ascii="宋体" w:hAnsi="宋体" w:cs="宋体"/>
          <w:i/>
          <w:color w:val="auto"/>
          <w:sz w:val="32"/>
          <w:szCs w:val="32"/>
          <w:u w:val="single"/>
        </w:rPr>
      </w:pPr>
    </w:p>
    <w:p w14:paraId="3C1317C7">
      <w:pPr>
        <w:pStyle w:val="189"/>
        <w:spacing w:beforeAutospacing="0" w:afterAutospacing="0" w:line="500" w:lineRule="exact"/>
        <w:jc w:val="center"/>
        <w:rPr>
          <w:rFonts w:ascii="宋体" w:hAnsi="宋体" w:cs="宋体"/>
          <w:i/>
          <w:color w:val="auto"/>
          <w:sz w:val="32"/>
          <w:szCs w:val="32"/>
          <w:u w:val="single"/>
        </w:rPr>
      </w:pPr>
    </w:p>
    <w:p w14:paraId="013C3E12">
      <w:pPr>
        <w:spacing w:line="520" w:lineRule="exact"/>
        <w:ind w:firstLine="3120"/>
        <w:rPr>
          <w:rFonts w:ascii="宋体" w:hAnsi="宋体" w:cs="宋体"/>
          <w:color w:val="auto"/>
          <w:sz w:val="24"/>
        </w:rPr>
      </w:pPr>
      <w:r>
        <w:rPr>
          <w:rFonts w:hint="eastAsia" w:ascii="宋体" w:hAnsi="宋体" w:cs="宋体"/>
          <w:color w:val="auto"/>
          <w:sz w:val="24"/>
        </w:rPr>
        <w:t>企业名称（加盖CA电子公章）：</w:t>
      </w:r>
    </w:p>
    <w:p w14:paraId="6A876043">
      <w:pPr>
        <w:spacing w:line="520" w:lineRule="exact"/>
        <w:ind w:firstLine="3120"/>
        <w:rPr>
          <w:rFonts w:ascii="宋体" w:hAnsi="宋体" w:cs="宋体"/>
          <w:color w:val="auto"/>
          <w:sz w:val="24"/>
        </w:rPr>
      </w:pPr>
      <w:r>
        <w:rPr>
          <w:rFonts w:hint="eastAsia" w:ascii="宋体" w:hAnsi="宋体" w:cs="宋体"/>
          <w:color w:val="auto"/>
          <w:sz w:val="24"/>
        </w:rPr>
        <w:t>日 期：</w:t>
      </w:r>
    </w:p>
    <w:p w14:paraId="1DDA825F">
      <w:pPr>
        <w:widowControl/>
        <w:jc w:val="left"/>
        <w:rPr>
          <w:rFonts w:hint="eastAsia" w:ascii="黑体" w:hAnsi="黑体" w:eastAsia="黑体" w:cs="黑体"/>
          <w:i/>
          <w:color w:val="auto"/>
          <w:sz w:val="32"/>
          <w:szCs w:val="32"/>
          <w:u w:val="single"/>
        </w:rPr>
      </w:pPr>
    </w:p>
    <w:p w14:paraId="7A4BB9C5">
      <w:pPr>
        <w:widowControl/>
        <w:jc w:val="left"/>
        <w:rPr>
          <w:rFonts w:hint="eastAsia" w:ascii="黑体" w:hAnsi="黑体" w:eastAsia="黑体" w:cs="黑体"/>
          <w:i/>
          <w:color w:val="auto"/>
          <w:sz w:val="32"/>
          <w:szCs w:val="32"/>
          <w:u w:val="single"/>
        </w:rPr>
      </w:pPr>
    </w:p>
    <w:p w14:paraId="36250A19">
      <w:pPr>
        <w:widowControl/>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七、特定资格要求的证明文件</w:t>
      </w:r>
    </w:p>
    <w:p w14:paraId="47E00D13">
      <w:pPr>
        <w:widowControl/>
        <w:spacing w:before="180" w:line="400" w:lineRule="exact"/>
        <w:jc w:val="center"/>
        <w:rPr>
          <w:rFonts w:ascii="宋体" w:hAnsi="宋体" w:cs="宋体"/>
          <w:color w:val="auto"/>
          <w:sz w:val="24"/>
        </w:rPr>
      </w:pPr>
      <w:r>
        <w:rPr>
          <w:rFonts w:hint="eastAsia" w:ascii="宋体" w:hAnsi="宋体" w:cs="宋体"/>
          <w:color w:val="auto"/>
          <w:sz w:val="24"/>
        </w:rPr>
        <w:t>如果本项目申请人的特定资格要求中要求提供的，必须提供。</w:t>
      </w:r>
    </w:p>
    <w:p w14:paraId="2C6EE11B">
      <w:pPr>
        <w:rPr>
          <w:rFonts w:ascii="黑体" w:hAnsi="黑体" w:eastAsia="黑体" w:cs="黑体"/>
          <w:i/>
          <w:color w:val="auto"/>
          <w:sz w:val="32"/>
          <w:szCs w:val="32"/>
          <w:u w:val="single"/>
        </w:rPr>
      </w:pPr>
      <w:r>
        <w:rPr>
          <w:rFonts w:hint="eastAsia" w:ascii="黑体" w:hAnsi="黑体" w:eastAsia="黑体" w:cs="黑体"/>
          <w:i/>
          <w:color w:val="auto"/>
          <w:sz w:val="32"/>
          <w:szCs w:val="32"/>
          <w:u w:val="single"/>
        </w:rPr>
        <w:br w:type="page" w:clear="all"/>
      </w:r>
    </w:p>
    <w:p w14:paraId="185B6DAE">
      <w:pPr>
        <w:widowControl/>
        <w:spacing w:before="180" w:line="4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八、法人授权书</w:t>
      </w:r>
    </w:p>
    <w:p w14:paraId="61F02935">
      <w:pPr>
        <w:pStyle w:val="189"/>
        <w:widowControl/>
        <w:spacing w:line="560" w:lineRule="exact"/>
        <w:ind w:firstLine="480"/>
        <w:jc w:val="both"/>
        <w:rPr>
          <w:rFonts w:ascii="宋体" w:hAnsi="宋体" w:cs="宋体"/>
          <w:color w:val="auto"/>
        </w:rPr>
      </w:pPr>
      <w:r>
        <w:rPr>
          <w:rFonts w:hint="eastAsia" w:ascii="宋体" w:hAnsi="宋体" w:cs="宋体"/>
          <w:color w:val="auto"/>
        </w:rPr>
        <w:t>本授权书声明：</w:t>
      </w:r>
      <w:r>
        <w:rPr>
          <w:rFonts w:hint="eastAsia" w:ascii="宋体" w:hAnsi="宋体" w:cs="宋体"/>
          <w:color w:val="auto"/>
          <w:u w:val="single"/>
        </w:rPr>
        <w:t xml:space="preserve">               </w:t>
      </w:r>
      <w:r>
        <w:rPr>
          <w:rFonts w:hint="eastAsia" w:ascii="宋体" w:hAnsi="宋体" w:cs="宋体"/>
          <w:color w:val="auto"/>
        </w:rPr>
        <w:t>（供应商名称）授权</w:t>
      </w:r>
      <w:r>
        <w:rPr>
          <w:rFonts w:hint="eastAsia" w:ascii="宋体" w:hAnsi="宋体" w:cs="宋体"/>
          <w:color w:val="auto"/>
          <w:u w:val="single"/>
        </w:rPr>
        <w:t xml:space="preserve">            </w:t>
      </w:r>
      <w:r>
        <w:rPr>
          <w:rFonts w:hint="eastAsia" w:ascii="宋体" w:hAnsi="宋体" w:cs="宋体"/>
          <w:color w:val="auto"/>
        </w:rPr>
        <w:t>（被授权人的姓名）为我方就</w:t>
      </w:r>
      <w:r>
        <w:rPr>
          <w:rFonts w:hint="eastAsia" w:ascii="宋体" w:hAnsi="宋体" w:cs="宋体"/>
          <w:color w:val="auto"/>
          <w:u w:val="single"/>
          <w:lang w:val="en-US" w:eastAsia="zh-CN"/>
        </w:rPr>
        <w:t xml:space="preserve">                </w:t>
      </w:r>
      <w:r>
        <w:rPr>
          <w:rFonts w:hint="eastAsia" w:ascii="宋体" w:hAnsi="宋体" w:cs="宋体"/>
          <w:color w:val="auto"/>
        </w:rPr>
        <w:t>号</w:t>
      </w:r>
      <w:r>
        <w:rPr>
          <w:rFonts w:hint="eastAsia" w:ascii="宋体" w:hAnsi="宋体" w:cs="宋体"/>
          <w:color w:val="auto"/>
          <w:lang w:val="en-US" w:eastAsia="zh-CN"/>
        </w:rPr>
        <w:t xml:space="preserve"> </w:t>
      </w:r>
      <w:r>
        <w:rPr>
          <w:rFonts w:hint="eastAsia" w:ascii="宋体" w:hAnsi="宋体" w:cs="宋体"/>
          <w:color w:val="auto"/>
          <w:u w:val="single"/>
          <w:lang w:val="en-US" w:eastAsia="zh-CN"/>
        </w:rPr>
        <w:t xml:space="preserve">           </w:t>
      </w:r>
      <w:r>
        <w:rPr>
          <w:rFonts w:hint="eastAsia" w:ascii="宋体" w:hAnsi="宋体" w:cs="宋体"/>
          <w:color w:val="auto"/>
          <w:u w:val="single"/>
        </w:rPr>
        <w:t>项目</w:t>
      </w:r>
      <w:r>
        <w:rPr>
          <w:rFonts w:hint="eastAsia" w:ascii="宋体" w:hAnsi="宋体" w:cs="宋体"/>
          <w:color w:val="auto"/>
        </w:rPr>
        <w:t>采购活动的合法代理人，以本单位名义全权处理一切与该项目采购有关的事务。</w:t>
      </w:r>
    </w:p>
    <w:p w14:paraId="582BBA4B">
      <w:pPr>
        <w:pStyle w:val="198"/>
        <w:tabs>
          <w:tab w:val="left" w:pos="360"/>
        </w:tabs>
        <w:spacing w:beforeAutospacing="0" w:afterAutospacing="0" w:line="500" w:lineRule="exact"/>
        <w:ind w:firstLine="480"/>
        <w:jc w:val="both"/>
        <w:rPr>
          <w:color w:val="auto"/>
        </w:rPr>
      </w:pPr>
      <w:r>
        <w:rPr>
          <w:rFonts w:hint="eastAsia"/>
          <w:color w:val="auto"/>
        </w:rPr>
        <w:t>本授权书于______年____月____日起生效，特此声明。</w:t>
      </w:r>
    </w:p>
    <w:p w14:paraId="4EBF2024">
      <w:pPr>
        <w:pStyle w:val="198"/>
        <w:tabs>
          <w:tab w:val="left" w:pos="360"/>
        </w:tabs>
        <w:spacing w:beforeAutospacing="0" w:afterAutospacing="0" w:line="500" w:lineRule="exact"/>
        <w:ind w:firstLine="480"/>
        <w:jc w:val="both"/>
        <w:rPr>
          <w:color w:val="auto"/>
        </w:rPr>
      </w:pPr>
      <w:r>
        <w:rPr>
          <w:rFonts w:hint="eastAsia"/>
          <w:color w:val="auto"/>
        </w:rPr>
        <w:t>被授权人身份证号码：</w:t>
      </w:r>
      <w:r>
        <w:rPr>
          <w:rFonts w:hint="eastAsia"/>
          <w:color w:val="auto"/>
          <w:u w:val="single"/>
        </w:rPr>
        <w:t xml:space="preserve">                        </w:t>
      </w:r>
    </w:p>
    <w:p w14:paraId="54536C95">
      <w:pPr>
        <w:pStyle w:val="198"/>
        <w:tabs>
          <w:tab w:val="left" w:pos="360"/>
        </w:tabs>
        <w:spacing w:beforeAutospacing="0" w:afterAutospacing="0" w:line="500" w:lineRule="exact"/>
        <w:ind w:firstLine="480"/>
        <w:jc w:val="both"/>
        <w:rPr>
          <w:color w:val="auto"/>
        </w:rPr>
      </w:pPr>
      <w:r>
        <w:rPr>
          <w:rFonts w:hint="eastAsia"/>
          <w:color w:val="auto"/>
        </w:rPr>
        <w:t>被授权人联系电话：</w:t>
      </w:r>
      <w:r>
        <w:rPr>
          <w:rFonts w:hint="eastAsia"/>
          <w:color w:val="auto"/>
          <w:u w:val="single"/>
        </w:rPr>
        <w:t xml:space="preserve">         （手机）         </w:t>
      </w:r>
    </w:p>
    <w:p w14:paraId="28FAA278">
      <w:pPr>
        <w:pStyle w:val="198"/>
        <w:tabs>
          <w:tab w:val="left" w:pos="360"/>
        </w:tabs>
        <w:spacing w:beforeAutospacing="0" w:afterAutospacing="0" w:line="500" w:lineRule="exact"/>
        <w:ind w:firstLine="480"/>
        <w:jc w:val="both"/>
        <w:rPr>
          <w:color w:val="auto"/>
        </w:rPr>
      </w:pPr>
      <w:r>
        <w:rPr>
          <w:rFonts w:hint="eastAsia"/>
          <w:color w:val="auto"/>
        </w:rPr>
        <w:t>授权单位名称：</w:t>
      </w:r>
      <w:r>
        <w:rPr>
          <w:rFonts w:hint="eastAsia"/>
          <w:color w:val="auto"/>
          <w:u w:val="single"/>
        </w:rPr>
        <w:t xml:space="preserve">      （加盖CA电子公章）      </w:t>
      </w:r>
    </w:p>
    <w:p w14:paraId="6ABA5808">
      <w:pPr>
        <w:pStyle w:val="198"/>
        <w:tabs>
          <w:tab w:val="left" w:pos="360"/>
        </w:tabs>
        <w:spacing w:beforeAutospacing="0" w:afterAutospacing="0" w:line="500" w:lineRule="exact"/>
        <w:ind w:firstLine="480"/>
        <w:jc w:val="both"/>
        <w:rPr>
          <w:color w:val="auto"/>
        </w:rPr>
      </w:pPr>
      <w:r>
        <w:rPr>
          <w:rFonts w:hint="eastAsia"/>
          <w:color w:val="auto"/>
        </w:rPr>
        <w:t>单位地址：</w:t>
      </w:r>
      <w:r>
        <w:rPr>
          <w:rFonts w:hint="eastAsia"/>
          <w:color w:val="auto"/>
          <w:u w:val="single"/>
        </w:rPr>
        <w:t xml:space="preserve">                                  </w:t>
      </w:r>
    </w:p>
    <w:p w14:paraId="57CFF29B">
      <w:pPr>
        <w:pStyle w:val="198"/>
        <w:tabs>
          <w:tab w:val="left" w:pos="360"/>
        </w:tabs>
        <w:spacing w:beforeAutospacing="0" w:afterAutospacing="0" w:line="500" w:lineRule="exact"/>
        <w:ind w:firstLine="480"/>
        <w:jc w:val="center"/>
        <w:rPr>
          <w:rFonts w:ascii="黑体" w:hAnsi="黑体" w:eastAsia="黑体" w:cs="黑体"/>
          <w:i/>
          <w:color w:val="auto"/>
          <w:sz w:val="32"/>
          <w:szCs w:val="32"/>
          <w:u w:val="single"/>
        </w:rPr>
      </w:pPr>
      <w:r>
        <w:rPr>
          <w:rFonts w:hint="eastAsia"/>
          <w:color w:val="auto"/>
        </w:rPr>
        <w:t>日期：</w:t>
      </w:r>
      <w:r>
        <w:rPr>
          <w:rFonts w:hint="eastAsia"/>
          <w:color w:val="auto"/>
          <w:u w:val="single"/>
        </w:rPr>
        <w:t xml:space="preserve">                                       </w:t>
      </w:r>
      <w:r>
        <w:rPr>
          <w:rFonts w:hint="eastAsia" w:ascii="黑体" w:hAnsi="黑体" w:eastAsia="黑体" w:cs="黑体"/>
          <w:i/>
          <w:color w:val="auto"/>
          <w:sz w:val="32"/>
          <w:szCs w:val="32"/>
          <w:u w:val="single"/>
        </w:rPr>
        <w:br w:type="page" w:clear="all"/>
      </w:r>
      <w:r>
        <w:rPr>
          <w:rFonts w:hint="eastAsia" w:ascii="黑体" w:hAnsi="黑体" w:eastAsia="黑体" w:cs="黑体"/>
          <w:i/>
          <w:color w:val="auto"/>
          <w:sz w:val="32"/>
          <w:szCs w:val="32"/>
          <w:u w:val="single"/>
        </w:rPr>
        <w:t>九、投标函</w:t>
      </w:r>
    </w:p>
    <w:p w14:paraId="7A33CB6C">
      <w:pPr>
        <w:spacing w:line="520" w:lineRule="exact"/>
        <w:jc w:val="left"/>
        <w:rPr>
          <w:rFonts w:hint="eastAsia" w:ascii="宋体" w:hAnsi="宋体" w:eastAsia="宋体" w:cs="宋体"/>
          <w:color w:val="auto"/>
          <w:sz w:val="24"/>
          <w:lang w:eastAsia="zh-CN"/>
        </w:rPr>
      </w:pPr>
      <w:r>
        <w:rPr>
          <w:rFonts w:hint="eastAsia" w:ascii="宋体" w:hAnsi="宋体" w:cs="宋体"/>
          <w:color w:val="auto"/>
          <w:sz w:val="24"/>
        </w:rPr>
        <w:t>致：</w:t>
      </w:r>
    </w:p>
    <w:p w14:paraId="0BC57802">
      <w:pPr>
        <w:spacing w:line="520" w:lineRule="exact"/>
        <w:ind w:firstLine="480"/>
        <w:jc w:val="left"/>
        <w:rPr>
          <w:rFonts w:ascii="宋体" w:hAnsi="宋体" w:cs="宋体"/>
          <w:color w:val="auto"/>
          <w:sz w:val="24"/>
        </w:rPr>
      </w:pPr>
      <w:r>
        <w:rPr>
          <w:rFonts w:hint="eastAsia" w:ascii="宋体" w:hAnsi="宋体" w:cs="宋体"/>
          <w:color w:val="auto"/>
          <w:sz w:val="24"/>
        </w:rPr>
        <w:t>根据贵方</w:t>
      </w:r>
      <w:r>
        <w:rPr>
          <w:rFonts w:hint="eastAsia" w:ascii="宋体" w:hAnsi="宋体" w:cs="宋体"/>
          <w:color w:val="auto"/>
          <w:sz w:val="24"/>
        </w:rPr>
        <w:t>的</w:t>
      </w:r>
      <w:r>
        <w:rPr>
          <w:rFonts w:hint="eastAsia" w:ascii="宋体" w:hAnsi="宋体" w:cs="宋体"/>
          <w:color w:val="auto"/>
          <w:sz w:val="24"/>
          <w:u w:val="single"/>
          <w:lang w:val="en-US" w:eastAsia="zh-CN"/>
        </w:rPr>
        <w:t xml:space="preserve">                       </w:t>
      </w:r>
      <w:r>
        <w:rPr>
          <w:rFonts w:hint="eastAsia" w:ascii="宋体" w:hAnsi="宋体" w:cs="宋体"/>
          <w:color w:val="auto"/>
          <w:sz w:val="24"/>
        </w:rPr>
        <w:t>号招标文件，正式授权下述签字人</w:t>
      </w:r>
    </w:p>
    <w:p w14:paraId="7C56D162">
      <w:pPr>
        <w:spacing w:line="520" w:lineRule="exact"/>
        <w:jc w:val="left"/>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(姓名)（</w:t>
      </w:r>
      <w:r>
        <w:rPr>
          <w:rFonts w:hint="eastAsia" w:ascii="宋体" w:hAnsi="宋体" w:cs="宋体"/>
          <w:b/>
          <w:bCs/>
          <w:color w:val="auto"/>
          <w:sz w:val="24"/>
        </w:rPr>
        <w:t>此处手写签字、机打姓名均可</w:t>
      </w:r>
      <w:r>
        <w:rPr>
          <w:rFonts w:hint="eastAsia" w:ascii="宋体" w:hAnsi="宋体" w:cs="宋体"/>
          <w:color w:val="auto"/>
          <w:sz w:val="24"/>
        </w:rPr>
        <w:t>）代表我方______________（投标人的名称），全权处理本次项目投标的有关事宜。</w:t>
      </w:r>
    </w:p>
    <w:p w14:paraId="04CEB146">
      <w:pPr>
        <w:spacing w:line="520" w:lineRule="exact"/>
        <w:ind w:firstLine="480"/>
        <w:jc w:val="left"/>
        <w:rPr>
          <w:rFonts w:ascii="宋体" w:hAnsi="宋体" w:cs="宋体"/>
          <w:color w:val="auto"/>
          <w:sz w:val="24"/>
        </w:rPr>
      </w:pPr>
      <w:r>
        <w:rPr>
          <w:rFonts w:hint="eastAsia" w:ascii="宋体" w:hAnsi="宋体" w:cs="宋体"/>
          <w:color w:val="auto"/>
          <w:sz w:val="24"/>
        </w:rPr>
        <w:t>据此函，__________签字人（</w:t>
      </w:r>
      <w:r>
        <w:rPr>
          <w:rFonts w:hint="eastAsia" w:ascii="宋体" w:hAnsi="宋体" w:cs="宋体"/>
          <w:b/>
          <w:bCs/>
          <w:color w:val="auto"/>
          <w:sz w:val="24"/>
        </w:rPr>
        <w:t>此处手写签字、机打姓名均可</w:t>
      </w:r>
      <w:r>
        <w:rPr>
          <w:rFonts w:hint="eastAsia" w:ascii="宋体" w:hAnsi="宋体" w:cs="宋体"/>
          <w:color w:val="auto"/>
          <w:sz w:val="24"/>
        </w:rPr>
        <w:t>）兹宣布同意如下：</w:t>
      </w:r>
    </w:p>
    <w:p w14:paraId="773B75B7">
      <w:pPr>
        <w:spacing w:line="520" w:lineRule="exact"/>
        <w:ind w:firstLine="480"/>
        <w:jc w:val="left"/>
        <w:rPr>
          <w:rFonts w:ascii="宋体" w:hAnsi="宋体" w:cs="宋体"/>
          <w:color w:val="auto"/>
          <w:sz w:val="24"/>
        </w:rPr>
      </w:pPr>
      <w:r>
        <w:rPr>
          <w:rFonts w:hint="eastAsia" w:ascii="宋体" w:hAnsi="宋体" w:cs="宋体"/>
          <w:color w:val="auto"/>
          <w:sz w:val="24"/>
        </w:rPr>
        <w:t>1.按招标文件规定的各项要求，向</w:t>
      </w:r>
      <w:r>
        <w:rPr>
          <w:rFonts w:hint="eastAsia" w:ascii="宋体" w:hAnsi="宋体" w:cs="宋体"/>
          <w:color w:val="auto"/>
          <w:sz w:val="24"/>
        </w:rPr>
        <w:t>买方提供所需服务（包含与服务相关的货物）。</w:t>
      </w:r>
    </w:p>
    <w:p w14:paraId="0C467F40">
      <w:pPr>
        <w:spacing w:line="520" w:lineRule="exact"/>
        <w:ind w:firstLine="480"/>
        <w:jc w:val="left"/>
        <w:rPr>
          <w:rFonts w:ascii="宋体" w:hAnsi="宋体" w:cs="宋体"/>
          <w:color w:val="auto"/>
          <w:sz w:val="24"/>
        </w:rPr>
      </w:pPr>
      <w:r>
        <w:rPr>
          <w:rFonts w:hint="eastAsia" w:ascii="宋体" w:hAnsi="宋体" w:cs="宋体"/>
          <w:color w:val="auto"/>
          <w:sz w:val="24"/>
        </w:rPr>
        <w:t>2.我们完全理解贵方不一定将合同授予最低报价的投标人。</w:t>
      </w:r>
    </w:p>
    <w:p w14:paraId="115EB297">
      <w:pPr>
        <w:spacing w:line="520" w:lineRule="exact"/>
        <w:ind w:firstLine="480"/>
        <w:jc w:val="left"/>
        <w:rPr>
          <w:rFonts w:ascii="宋体" w:hAnsi="宋体" w:cs="宋体"/>
          <w:color w:val="auto"/>
          <w:sz w:val="24"/>
        </w:rPr>
      </w:pPr>
      <w:r>
        <w:rPr>
          <w:rFonts w:hint="eastAsia" w:ascii="宋体" w:hAnsi="宋体" w:cs="宋体"/>
          <w:color w:val="auto"/>
          <w:sz w:val="24"/>
        </w:rPr>
        <w:t>3.我们已详细审核全部招标文件及其有效补充文件，我们知道必须放弃提出含糊不清或误解问题的权利。</w:t>
      </w:r>
    </w:p>
    <w:p w14:paraId="2BD206C2">
      <w:pPr>
        <w:spacing w:line="520" w:lineRule="exact"/>
        <w:ind w:firstLine="480"/>
        <w:jc w:val="left"/>
        <w:rPr>
          <w:rFonts w:ascii="宋体" w:hAnsi="宋体" w:cs="宋体"/>
          <w:color w:val="auto"/>
          <w:sz w:val="24"/>
        </w:rPr>
      </w:pPr>
      <w:r>
        <w:rPr>
          <w:rFonts w:hint="eastAsia" w:ascii="宋体" w:hAnsi="宋体" w:cs="宋体"/>
          <w:color w:val="auto"/>
          <w:sz w:val="24"/>
        </w:rPr>
        <w:t>4.我们同意从规定的开标日期起遵循本投标文件，并在规定的投标有效期期满之前均具有约束力。</w:t>
      </w:r>
    </w:p>
    <w:p w14:paraId="3D02CD26">
      <w:pPr>
        <w:spacing w:line="520" w:lineRule="exact"/>
        <w:ind w:firstLine="480"/>
        <w:jc w:val="left"/>
        <w:rPr>
          <w:rFonts w:ascii="宋体" w:hAnsi="宋体" w:cs="宋体"/>
          <w:color w:val="auto"/>
          <w:sz w:val="24"/>
        </w:rPr>
      </w:pPr>
      <w:r>
        <w:rPr>
          <w:rFonts w:hint="eastAsia" w:ascii="宋体" w:hAnsi="宋体" w:cs="宋体"/>
          <w:color w:val="auto"/>
          <w:sz w:val="24"/>
        </w:rPr>
        <w:t>5.同意向贵方提供贵方可能另外要求的与投标有关的任何证据或资料，并保证我方已提供和将要提供的文件是真实的、准确的。</w:t>
      </w:r>
    </w:p>
    <w:p w14:paraId="2A1447D0">
      <w:pPr>
        <w:spacing w:line="520" w:lineRule="exact"/>
        <w:ind w:firstLine="480"/>
        <w:jc w:val="left"/>
        <w:rPr>
          <w:rFonts w:ascii="宋体" w:hAnsi="宋体" w:cs="宋体"/>
          <w:color w:val="auto"/>
          <w:sz w:val="24"/>
        </w:rPr>
      </w:pPr>
      <w:r>
        <w:rPr>
          <w:rFonts w:hint="eastAsia" w:ascii="宋体" w:hAnsi="宋体" w:cs="宋体"/>
          <w:color w:val="auto"/>
          <w:sz w:val="24"/>
        </w:rPr>
        <w:t>6.一旦我方中标，我方将根据招标文件的规定，严格履行合同的责任和义务，并保证在招标文件规定的时间完成项目，交付买方验收、使用。</w:t>
      </w:r>
    </w:p>
    <w:p w14:paraId="187431F1">
      <w:pPr>
        <w:spacing w:line="520" w:lineRule="exact"/>
        <w:ind w:firstLine="480"/>
        <w:jc w:val="left"/>
        <w:rPr>
          <w:rFonts w:ascii="宋体" w:hAnsi="宋体" w:cs="宋体"/>
          <w:color w:val="auto"/>
          <w:sz w:val="24"/>
        </w:rPr>
      </w:pPr>
      <w:r>
        <w:rPr>
          <w:rFonts w:hint="eastAsia" w:ascii="宋体" w:hAnsi="宋体" w:cs="宋体"/>
          <w:color w:val="auto"/>
          <w:sz w:val="24"/>
        </w:rPr>
        <w:t>7.与本投标有关的正式通讯地址为：</w:t>
      </w:r>
    </w:p>
    <w:p w14:paraId="0ED3E8FC">
      <w:pPr>
        <w:spacing w:line="520" w:lineRule="exact"/>
        <w:ind w:firstLine="480"/>
        <w:jc w:val="left"/>
        <w:rPr>
          <w:rFonts w:ascii="宋体" w:hAnsi="宋体" w:cs="宋体"/>
          <w:color w:val="auto"/>
          <w:sz w:val="24"/>
        </w:rPr>
      </w:pPr>
      <w:r>
        <w:rPr>
          <w:rFonts w:hint="eastAsia" w:ascii="宋体" w:hAnsi="宋体" w:cs="宋体"/>
          <w:color w:val="auto"/>
          <w:sz w:val="24"/>
        </w:rPr>
        <w:t>地        址：</w:t>
      </w:r>
    </w:p>
    <w:p w14:paraId="0A52E20F">
      <w:pPr>
        <w:spacing w:line="520" w:lineRule="exact"/>
        <w:ind w:firstLine="480"/>
        <w:jc w:val="left"/>
        <w:rPr>
          <w:rFonts w:ascii="宋体" w:hAnsi="宋体" w:cs="宋体"/>
          <w:color w:val="auto"/>
          <w:sz w:val="24"/>
        </w:rPr>
      </w:pPr>
      <w:r>
        <w:rPr>
          <w:rFonts w:hint="eastAsia" w:ascii="宋体" w:hAnsi="宋体" w:cs="宋体"/>
          <w:color w:val="auto"/>
          <w:sz w:val="24"/>
        </w:rPr>
        <w:t>邮        编：</w:t>
      </w:r>
    </w:p>
    <w:p w14:paraId="24B3C7F9">
      <w:pPr>
        <w:spacing w:line="520" w:lineRule="exact"/>
        <w:ind w:firstLine="480"/>
        <w:jc w:val="left"/>
        <w:rPr>
          <w:rFonts w:ascii="宋体" w:hAnsi="宋体" w:cs="宋体"/>
          <w:color w:val="auto"/>
          <w:sz w:val="24"/>
        </w:rPr>
      </w:pPr>
      <w:r>
        <w:rPr>
          <w:rFonts w:hint="eastAsia" w:ascii="宋体" w:hAnsi="宋体" w:cs="宋体"/>
          <w:color w:val="auto"/>
          <w:sz w:val="24"/>
        </w:rPr>
        <w:t>电        话：</w:t>
      </w:r>
    </w:p>
    <w:p w14:paraId="4FC30F1A">
      <w:pPr>
        <w:spacing w:line="520" w:lineRule="exact"/>
        <w:ind w:firstLine="480"/>
        <w:jc w:val="left"/>
        <w:rPr>
          <w:rFonts w:ascii="宋体" w:hAnsi="宋体" w:cs="宋体"/>
          <w:color w:val="auto"/>
          <w:sz w:val="24"/>
        </w:rPr>
      </w:pPr>
      <w:r>
        <w:rPr>
          <w:rFonts w:hint="eastAsia" w:ascii="宋体" w:hAnsi="宋体" w:cs="宋体"/>
          <w:color w:val="auto"/>
          <w:sz w:val="24"/>
        </w:rPr>
        <w:t>传        真：</w:t>
      </w:r>
    </w:p>
    <w:p w14:paraId="6AB89CCB">
      <w:pPr>
        <w:spacing w:line="520" w:lineRule="exact"/>
        <w:ind w:firstLine="480"/>
        <w:jc w:val="left"/>
        <w:rPr>
          <w:rFonts w:ascii="宋体" w:hAnsi="宋体" w:cs="宋体"/>
          <w:color w:val="auto"/>
          <w:sz w:val="24"/>
        </w:rPr>
      </w:pPr>
      <w:r>
        <w:rPr>
          <w:rFonts w:hint="eastAsia" w:ascii="宋体" w:hAnsi="宋体" w:cs="宋体"/>
          <w:color w:val="auto"/>
          <w:sz w:val="24"/>
        </w:rPr>
        <w:t>投标人开户行：</w:t>
      </w:r>
    </w:p>
    <w:p w14:paraId="7F48AFA2">
      <w:pPr>
        <w:spacing w:line="520" w:lineRule="exact"/>
        <w:ind w:firstLine="480"/>
        <w:jc w:val="left"/>
        <w:rPr>
          <w:rFonts w:ascii="宋体" w:hAnsi="宋体" w:cs="宋体"/>
          <w:color w:val="auto"/>
          <w:sz w:val="24"/>
        </w:rPr>
      </w:pPr>
      <w:r>
        <w:rPr>
          <w:rFonts w:hint="eastAsia" w:ascii="宋体" w:hAnsi="宋体" w:cs="宋体"/>
          <w:color w:val="auto"/>
          <w:sz w:val="24"/>
        </w:rPr>
        <w:t xml:space="preserve">账        号： </w:t>
      </w:r>
    </w:p>
    <w:p w14:paraId="04339558">
      <w:pPr>
        <w:spacing w:line="520" w:lineRule="exact"/>
        <w:ind w:firstLine="480"/>
        <w:jc w:val="left"/>
        <w:rPr>
          <w:rFonts w:ascii="宋体" w:hAnsi="宋体" w:cs="宋体"/>
          <w:color w:val="auto"/>
          <w:sz w:val="24"/>
        </w:rPr>
      </w:pPr>
      <w:r>
        <w:rPr>
          <w:rFonts w:hint="eastAsia" w:ascii="宋体" w:hAnsi="宋体" w:cs="宋体"/>
          <w:color w:val="auto"/>
          <w:sz w:val="24"/>
        </w:rPr>
        <w:t>日        期：______年____月____日</w:t>
      </w:r>
    </w:p>
    <w:p w14:paraId="2A72E6D1">
      <w:pPr>
        <w:widowControl/>
        <w:spacing w:before="180" w:line="4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br w:type="page" w:clear="all"/>
      </w:r>
      <w:r>
        <w:rPr>
          <w:rFonts w:hint="eastAsia" w:ascii="黑体" w:hAnsi="黑体" w:eastAsia="黑体" w:cs="黑体"/>
          <w:i/>
          <w:color w:val="auto"/>
          <w:sz w:val="32"/>
          <w:szCs w:val="32"/>
          <w:u w:val="single"/>
        </w:rPr>
        <w:t>十、中小企业声明函（服务）</w:t>
      </w:r>
    </w:p>
    <w:p w14:paraId="34CF39C7">
      <w:pPr>
        <w:pBdr>
          <w:top w:val="none" w:color="000000" w:sz="0" w:space="0"/>
          <w:left w:val="none" w:color="000000" w:sz="0" w:space="0"/>
          <w:bottom w:val="none" w:color="000000" w:sz="0" w:space="0"/>
          <w:right w:val="none" w:color="000000" w:sz="0" w:space="0"/>
        </w:pBdr>
        <w:spacing w:line="519" w:lineRule="atLeast"/>
        <w:ind w:firstLine="480"/>
        <w:rPr>
          <w:color w:val="auto"/>
        </w:rPr>
      </w:pPr>
      <w:r>
        <w:rPr>
          <w:rFonts w:ascii="宋体" w:hAnsi="宋体" w:cs="宋体"/>
          <w:color w:val="auto"/>
          <w:sz w:val="24"/>
        </w:rPr>
        <w:t>本公司（联合体）郑重声明，根据《政府采购促进中小企业发展管理办法》(财库</w:t>
      </w:r>
      <w:r>
        <w:rPr>
          <w:rFonts w:hint="eastAsia" w:ascii="宋体" w:hAnsi="宋体" w:cs="宋体"/>
          <w:color w:val="auto"/>
          <w:sz w:val="24"/>
        </w:rPr>
        <w:t>〔2020〕46号</w:t>
      </w:r>
      <w:r>
        <w:rPr>
          <w:rFonts w:ascii="宋体" w:hAnsi="宋体" w:cs="宋体"/>
          <w:color w:val="auto"/>
          <w:sz w:val="24"/>
        </w:rPr>
        <w:t>)的规定，本公司（联合体）参加</w:t>
      </w:r>
      <w:r>
        <w:rPr>
          <w:rFonts w:hint="eastAsia" w:ascii="宋体" w:hAnsi="宋体" w:cs="宋体"/>
          <w:color w:val="auto"/>
          <w:sz w:val="24"/>
          <w:u w:val="single"/>
          <w:lang w:val="en-US" w:eastAsia="zh-CN"/>
        </w:rPr>
        <w:t xml:space="preserve">  盐城市亭湖区公共资源交易中心  </w:t>
      </w:r>
      <w:r>
        <w:rPr>
          <w:rFonts w:ascii="宋体" w:hAnsi="宋体" w:cs="宋体"/>
          <w:color w:val="auto"/>
          <w:sz w:val="24"/>
        </w:rPr>
        <w:t>组织的</w:t>
      </w:r>
      <w:r>
        <w:rPr>
          <w:rFonts w:hint="eastAsia" w:ascii="宋体" w:hAnsi="宋体" w:cs="宋体"/>
          <w:color w:val="auto"/>
          <w:sz w:val="24"/>
          <w:u w:val="single"/>
          <w:lang w:val="en-US" w:eastAsia="zh-CN"/>
        </w:rPr>
        <w:t xml:space="preserve">  盐城市亭湖区便仓初级中学 </w:t>
      </w:r>
      <w:r>
        <w:rPr>
          <w:rFonts w:hint="eastAsia" w:ascii="宋体" w:hAnsi="宋体" w:cs="宋体"/>
          <w:color w:val="auto"/>
          <w:sz w:val="24"/>
        </w:rPr>
        <w:t>，</w:t>
      </w:r>
      <w:r>
        <w:rPr>
          <w:rFonts w:ascii="宋体" w:hAnsi="宋体" w:cs="宋体"/>
          <w:color w:val="auto"/>
          <w:sz w:val="24"/>
        </w:rPr>
        <w:t>采购编号为</w:t>
      </w:r>
      <w:r>
        <w:rPr>
          <w:rFonts w:hint="eastAsia" w:ascii="宋体" w:hAnsi="宋体" w:cs="宋体"/>
          <w:color w:val="auto"/>
          <w:sz w:val="24"/>
          <w:u w:val="single"/>
          <w:lang w:val="en-US" w:eastAsia="zh-CN"/>
        </w:rPr>
        <w:t xml:space="preserve">         </w:t>
      </w:r>
      <w:r>
        <w:rPr>
          <w:rFonts w:ascii="宋体" w:hAnsi="宋体" w:cs="宋体"/>
          <w:color w:val="auto"/>
          <w:sz w:val="24"/>
        </w:rPr>
        <w:t>，</w:t>
      </w:r>
      <w:r>
        <w:rPr>
          <w:rFonts w:hint="eastAsia" w:ascii="宋体" w:hAnsi="宋体" w:cs="宋体"/>
          <w:color w:val="auto"/>
          <w:sz w:val="24"/>
          <w:u w:val="single"/>
          <w:lang w:val="en-US" w:eastAsia="zh-CN"/>
        </w:rPr>
        <w:t xml:space="preserve">         项目</w:t>
      </w:r>
      <w:r>
        <w:rPr>
          <w:rFonts w:ascii="宋体" w:hAnsi="宋体" w:cs="宋体"/>
          <w:color w:val="auto"/>
          <w:sz w:val="24"/>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7221A441">
      <w:pPr>
        <w:pBdr>
          <w:top w:val="none" w:color="000000" w:sz="0" w:space="0"/>
          <w:left w:val="none" w:color="000000" w:sz="0" w:space="0"/>
          <w:bottom w:val="none" w:color="000000" w:sz="0" w:space="0"/>
          <w:right w:val="none" w:color="000000" w:sz="0" w:space="0"/>
        </w:pBdr>
        <w:spacing w:line="519" w:lineRule="atLeast"/>
        <w:ind w:firstLine="480"/>
        <w:rPr>
          <w:color w:val="auto"/>
        </w:rPr>
      </w:pPr>
      <w:r>
        <w:rPr>
          <w:rFonts w:ascii="宋体" w:hAnsi="宋体" w:cs="宋体"/>
          <w:color w:val="auto"/>
          <w:sz w:val="24"/>
        </w:rPr>
        <w:t>1.</w:t>
      </w:r>
      <w:r>
        <w:rPr>
          <w:rFonts w:ascii="宋体" w:hAnsi="宋体" w:cs="宋体"/>
          <w:i/>
          <w:color w:val="auto"/>
          <w:sz w:val="24"/>
          <w:u w:val="single"/>
        </w:rPr>
        <w:t>（标的名称）</w:t>
      </w:r>
      <w:r>
        <w:rPr>
          <w:rFonts w:ascii="宋体" w:hAnsi="宋体" w:cs="宋体"/>
          <w:color w:val="auto"/>
          <w:sz w:val="24"/>
        </w:rPr>
        <w:t>，属于</w:t>
      </w:r>
      <w:r>
        <w:rPr>
          <w:rFonts w:ascii="宋体" w:hAnsi="宋体" w:cs="宋体"/>
          <w:i/>
          <w:color w:val="auto"/>
          <w:sz w:val="24"/>
          <w:u w:val="single"/>
        </w:rPr>
        <w:t>（采购文件中明确的所属行业）</w:t>
      </w:r>
      <w:r>
        <w:rPr>
          <w:rFonts w:ascii="宋体" w:hAnsi="宋体" w:cs="宋体"/>
          <w:color w:val="auto"/>
          <w:sz w:val="24"/>
        </w:rPr>
        <w:t>行业；承接企业为（</w:t>
      </w:r>
      <w:r>
        <w:rPr>
          <w:rFonts w:ascii="宋体" w:hAnsi="宋体" w:cs="宋体"/>
          <w:i/>
          <w:color w:val="auto"/>
          <w:sz w:val="24"/>
          <w:u w:val="single"/>
        </w:rPr>
        <w:t>企业名称</w:t>
      </w:r>
      <w:r>
        <w:rPr>
          <w:rFonts w:ascii="宋体" w:hAnsi="宋体" w:cs="宋体"/>
          <w:color w:val="auto"/>
          <w:sz w:val="24"/>
        </w:rPr>
        <w:t>），从业人员</w:t>
      </w:r>
      <w:r>
        <w:rPr>
          <w:rFonts w:ascii="宋体" w:hAnsi="宋体" w:cs="宋体"/>
          <w:color w:val="auto"/>
          <w:sz w:val="24"/>
          <w:u w:val="single"/>
        </w:rPr>
        <w:t xml:space="preserve">     </w:t>
      </w:r>
      <w:r>
        <w:rPr>
          <w:rFonts w:ascii="宋体" w:hAnsi="宋体" w:cs="宋体"/>
          <w:color w:val="auto"/>
          <w:sz w:val="24"/>
        </w:rPr>
        <w:t>人，营业收入为</w:t>
      </w:r>
      <w:r>
        <w:rPr>
          <w:rFonts w:ascii="宋体" w:hAnsi="宋体" w:cs="宋体"/>
          <w:color w:val="auto"/>
          <w:sz w:val="24"/>
          <w:u w:val="single"/>
        </w:rPr>
        <w:t>     </w:t>
      </w:r>
      <w:r>
        <w:rPr>
          <w:rFonts w:ascii="宋体" w:hAnsi="宋体" w:cs="宋体"/>
          <w:color w:val="auto"/>
          <w:sz w:val="24"/>
        </w:rPr>
        <w:t>万元，资产总额为</w:t>
      </w:r>
      <w:r>
        <w:rPr>
          <w:rFonts w:ascii="宋体" w:hAnsi="宋体" w:cs="宋体"/>
          <w:color w:val="auto"/>
          <w:sz w:val="24"/>
          <w:u w:val="single"/>
        </w:rPr>
        <w:t>    </w:t>
      </w:r>
      <w:r>
        <w:rPr>
          <w:rFonts w:ascii="宋体" w:hAnsi="宋体" w:cs="宋体"/>
          <w:color w:val="auto"/>
          <w:sz w:val="24"/>
        </w:rPr>
        <w:t>万元，属于（</w:t>
      </w:r>
      <w:r>
        <w:rPr>
          <w:rFonts w:ascii="宋体" w:hAnsi="宋体" w:cs="宋体"/>
          <w:i/>
          <w:color w:val="auto"/>
          <w:sz w:val="24"/>
          <w:u w:val="single"/>
        </w:rPr>
        <w:t>中型企业、小型企业、微型企业</w:t>
      </w:r>
      <w:r>
        <w:rPr>
          <w:rFonts w:ascii="宋体" w:hAnsi="宋体" w:cs="宋体"/>
          <w:color w:val="auto"/>
          <w:sz w:val="24"/>
        </w:rPr>
        <w:t>）；</w:t>
      </w:r>
    </w:p>
    <w:p w14:paraId="1CCF10A7">
      <w:pPr>
        <w:pBdr>
          <w:top w:val="none" w:color="000000" w:sz="0" w:space="0"/>
          <w:left w:val="none" w:color="000000" w:sz="0" w:space="0"/>
          <w:bottom w:val="none" w:color="000000" w:sz="0" w:space="0"/>
          <w:right w:val="none" w:color="000000" w:sz="0" w:space="0"/>
        </w:pBdr>
        <w:spacing w:line="519" w:lineRule="atLeast"/>
        <w:ind w:firstLine="480"/>
        <w:rPr>
          <w:color w:val="auto"/>
        </w:rPr>
      </w:pPr>
      <w:r>
        <w:rPr>
          <w:rFonts w:ascii="宋体" w:hAnsi="宋体" w:cs="宋体"/>
          <w:color w:val="auto"/>
          <w:sz w:val="24"/>
        </w:rPr>
        <w:t>2.</w:t>
      </w:r>
      <w:r>
        <w:rPr>
          <w:rFonts w:ascii="宋体" w:hAnsi="宋体" w:cs="宋体"/>
          <w:i/>
          <w:color w:val="auto"/>
          <w:sz w:val="24"/>
          <w:u w:val="single"/>
        </w:rPr>
        <w:t>（标的名称）</w:t>
      </w:r>
      <w:r>
        <w:rPr>
          <w:rFonts w:ascii="宋体" w:hAnsi="宋体" w:cs="宋体"/>
          <w:color w:val="auto"/>
          <w:sz w:val="24"/>
        </w:rPr>
        <w:t>，属于</w:t>
      </w:r>
      <w:r>
        <w:rPr>
          <w:rFonts w:ascii="宋体" w:hAnsi="宋体" w:cs="宋体"/>
          <w:i/>
          <w:color w:val="auto"/>
          <w:sz w:val="24"/>
          <w:u w:val="single"/>
        </w:rPr>
        <w:t>（采购文件中明确的所属行业）</w:t>
      </w:r>
      <w:r>
        <w:rPr>
          <w:rFonts w:ascii="宋体" w:hAnsi="宋体" w:cs="宋体"/>
          <w:color w:val="auto"/>
          <w:sz w:val="24"/>
        </w:rPr>
        <w:t>行业；承接企业为（</w:t>
      </w:r>
      <w:r>
        <w:rPr>
          <w:rFonts w:ascii="宋体" w:hAnsi="宋体" w:cs="宋体"/>
          <w:i/>
          <w:color w:val="auto"/>
          <w:sz w:val="24"/>
          <w:u w:val="single"/>
        </w:rPr>
        <w:t>企业名称</w:t>
      </w:r>
      <w:r>
        <w:rPr>
          <w:rFonts w:ascii="宋体" w:hAnsi="宋体" w:cs="宋体"/>
          <w:color w:val="auto"/>
          <w:sz w:val="24"/>
        </w:rPr>
        <w:t>），从业人员</w:t>
      </w:r>
      <w:r>
        <w:rPr>
          <w:rFonts w:ascii="宋体" w:hAnsi="宋体" w:cs="宋体"/>
          <w:color w:val="auto"/>
          <w:sz w:val="24"/>
          <w:u w:val="single"/>
        </w:rPr>
        <w:t xml:space="preserve">     </w:t>
      </w:r>
      <w:r>
        <w:rPr>
          <w:rFonts w:ascii="宋体" w:hAnsi="宋体" w:cs="宋体"/>
          <w:color w:val="auto"/>
          <w:sz w:val="24"/>
        </w:rPr>
        <w:t>人，营业收入为</w:t>
      </w:r>
      <w:r>
        <w:rPr>
          <w:rFonts w:ascii="宋体" w:hAnsi="宋体" w:cs="宋体"/>
          <w:color w:val="auto"/>
          <w:sz w:val="24"/>
          <w:u w:val="single"/>
        </w:rPr>
        <w:t>     </w:t>
      </w:r>
      <w:r>
        <w:rPr>
          <w:rFonts w:ascii="宋体" w:hAnsi="宋体" w:cs="宋体"/>
          <w:color w:val="auto"/>
          <w:sz w:val="24"/>
        </w:rPr>
        <w:t>万元，资产总额为</w:t>
      </w:r>
      <w:r>
        <w:rPr>
          <w:rFonts w:ascii="宋体" w:hAnsi="宋体" w:cs="宋体"/>
          <w:color w:val="auto"/>
          <w:sz w:val="24"/>
          <w:u w:val="single"/>
        </w:rPr>
        <w:t>    </w:t>
      </w:r>
      <w:r>
        <w:rPr>
          <w:rFonts w:ascii="宋体" w:hAnsi="宋体" w:cs="宋体"/>
          <w:color w:val="auto"/>
          <w:sz w:val="24"/>
        </w:rPr>
        <w:t>万元，属于（</w:t>
      </w:r>
      <w:r>
        <w:rPr>
          <w:rFonts w:ascii="宋体" w:hAnsi="宋体" w:cs="宋体"/>
          <w:i/>
          <w:color w:val="auto"/>
          <w:sz w:val="24"/>
          <w:u w:val="single"/>
        </w:rPr>
        <w:t>中型企业、小型企业、微型企业</w:t>
      </w:r>
      <w:r>
        <w:rPr>
          <w:rFonts w:ascii="宋体" w:hAnsi="宋体" w:cs="宋体"/>
          <w:color w:val="auto"/>
          <w:sz w:val="24"/>
        </w:rPr>
        <w:t>）；</w:t>
      </w:r>
    </w:p>
    <w:p w14:paraId="42EB723E">
      <w:pPr>
        <w:pBdr>
          <w:top w:val="none" w:color="000000" w:sz="0" w:space="0"/>
          <w:left w:val="none" w:color="000000" w:sz="0" w:space="0"/>
          <w:bottom w:val="none" w:color="000000" w:sz="0" w:space="0"/>
          <w:right w:val="none" w:color="000000" w:sz="0" w:space="0"/>
        </w:pBdr>
        <w:spacing w:line="519" w:lineRule="atLeast"/>
        <w:ind w:firstLine="480"/>
        <w:rPr>
          <w:color w:val="auto"/>
        </w:rPr>
      </w:pPr>
      <w:r>
        <w:rPr>
          <w:rFonts w:ascii="宋体" w:hAnsi="宋体" w:cs="宋体"/>
          <w:color w:val="auto"/>
          <w:sz w:val="24"/>
        </w:rPr>
        <w:t>……</w:t>
      </w:r>
    </w:p>
    <w:p w14:paraId="0A31CE92">
      <w:pPr>
        <w:pBdr>
          <w:top w:val="none" w:color="000000" w:sz="0" w:space="0"/>
          <w:left w:val="none" w:color="000000" w:sz="0" w:space="0"/>
          <w:bottom w:val="none" w:color="000000" w:sz="0" w:space="0"/>
          <w:right w:val="none" w:color="000000" w:sz="0" w:space="0"/>
        </w:pBdr>
        <w:spacing w:line="519" w:lineRule="atLeast"/>
        <w:ind w:firstLine="480"/>
        <w:rPr>
          <w:color w:val="auto"/>
        </w:rPr>
      </w:pPr>
      <w:r>
        <w:rPr>
          <w:rFonts w:ascii="宋体" w:hAnsi="宋体" w:cs="宋体"/>
          <w:color w:val="auto"/>
          <w:sz w:val="24"/>
        </w:rPr>
        <w:t>以上企业，不属于大企业的分支机构，不存在控股股东为大企业的情形，也不存在与大企业的负责人为同一人的情形。</w:t>
      </w:r>
    </w:p>
    <w:p w14:paraId="6E7ECB99">
      <w:pPr>
        <w:pBdr>
          <w:top w:val="none" w:color="000000" w:sz="0" w:space="0"/>
          <w:left w:val="none" w:color="000000" w:sz="0" w:space="0"/>
          <w:bottom w:val="none" w:color="000000" w:sz="0" w:space="0"/>
          <w:right w:val="none" w:color="000000" w:sz="0" w:space="0"/>
        </w:pBdr>
        <w:spacing w:line="519" w:lineRule="atLeast"/>
        <w:ind w:firstLine="480"/>
        <w:outlineLvl w:val="2"/>
        <w:rPr>
          <w:color w:val="auto"/>
        </w:rPr>
      </w:pPr>
      <w:r>
        <w:rPr>
          <w:rFonts w:ascii="宋体" w:hAnsi="宋体" w:cs="宋体"/>
          <w:color w:val="auto"/>
          <w:sz w:val="24"/>
        </w:rPr>
        <w:t>本企业对上述声明内容的真实性负责。如有虚假，将依法承担相应责任</w:t>
      </w:r>
    </w:p>
    <w:p w14:paraId="687EA1C2">
      <w:pPr>
        <w:pBdr>
          <w:top w:val="none" w:color="000000" w:sz="0" w:space="0"/>
          <w:left w:val="none" w:color="000000" w:sz="0" w:space="0"/>
          <w:bottom w:val="none" w:color="000000" w:sz="0" w:space="0"/>
          <w:right w:val="none" w:color="000000" w:sz="0" w:space="0"/>
        </w:pBdr>
        <w:spacing w:line="519" w:lineRule="atLeast"/>
        <w:ind w:firstLine="480"/>
        <w:rPr>
          <w:color w:val="auto"/>
        </w:rPr>
      </w:pPr>
      <w:r>
        <w:rPr>
          <w:rFonts w:ascii="宋体" w:hAnsi="宋体" w:cs="宋体"/>
          <w:color w:val="auto"/>
          <w:sz w:val="24"/>
        </w:rPr>
        <w:t> </w:t>
      </w:r>
    </w:p>
    <w:p w14:paraId="15BFD133">
      <w:pPr>
        <w:pBdr>
          <w:top w:val="none" w:color="000000" w:sz="0" w:space="0"/>
          <w:left w:val="none" w:color="000000" w:sz="0" w:space="0"/>
          <w:bottom w:val="none" w:color="000000" w:sz="0" w:space="0"/>
          <w:right w:val="none" w:color="000000" w:sz="0" w:space="0"/>
        </w:pBdr>
        <w:spacing w:line="519" w:lineRule="atLeast"/>
        <w:ind w:firstLine="480"/>
        <w:jc w:val="right"/>
        <w:rPr>
          <w:color w:val="auto"/>
        </w:rPr>
      </w:pPr>
      <w:r>
        <w:rPr>
          <w:rFonts w:ascii="宋体" w:hAnsi="宋体" w:cs="宋体"/>
          <w:color w:val="auto"/>
          <w:sz w:val="24"/>
        </w:rPr>
        <w:t>企业名称（加盖CA电子公章）：</w:t>
      </w:r>
    </w:p>
    <w:p w14:paraId="0903C692">
      <w:pPr>
        <w:pBdr>
          <w:top w:val="none" w:color="000000" w:sz="0" w:space="0"/>
          <w:left w:val="none" w:color="000000" w:sz="0" w:space="0"/>
          <w:bottom w:val="none" w:color="000000" w:sz="0" w:space="0"/>
          <w:right w:val="none" w:color="000000" w:sz="0" w:space="0"/>
        </w:pBdr>
        <w:spacing w:line="519" w:lineRule="atLeast"/>
        <w:ind w:firstLine="480"/>
        <w:jc w:val="right"/>
        <w:rPr>
          <w:color w:val="auto"/>
        </w:rPr>
      </w:pPr>
      <w:r>
        <w:rPr>
          <w:rFonts w:ascii="宋体" w:hAnsi="宋体" w:cs="宋体"/>
          <w:color w:val="auto"/>
          <w:sz w:val="24"/>
        </w:rPr>
        <w:t>日  期：</w:t>
      </w:r>
    </w:p>
    <w:p w14:paraId="3F3862EE">
      <w:pPr>
        <w:pBdr>
          <w:top w:val="none" w:color="000000" w:sz="0" w:space="0"/>
          <w:left w:val="none" w:color="000000" w:sz="0" w:space="0"/>
          <w:bottom w:val="none" w:color="000000" w:sz="0" w:space="0"/>
          <w:right w:val="none" w:color="000000" w:sz="0" w:space="0"/>
        </w:pBdr>
        <w:spacing w:line="499" w:lineRule="atLeast"/>
        <w:ind w:firstLine="480"/>
        <w:rPr>
          <w:color w:val="auto"/>
        </w:rPr>
      </w:pPr>
      <w:r>
        <w:rPr>
          <w:rFonts w:ascii="宋体" w:hAnsi="宋体" w:cs="宋体"/>
          <w:color w:val="auto"/>
          <w:sz w:val="24"/>
        </w:rPr>
        <w:t>备注1：从业人员、营业收入、资产总额填报上一年度数据，无上一年度数据的新成立企业可不填报。</w:t>
      </w:r>
    </w:p>
    <w:p w14:paraId="7A0376F5">
      <w:pPr>
        <w:pBdr>
          <w:top w:val="none" w:color="000000" w:sz="0" w:space="0"/>
          <w:left w:val="none" w:color="000000" w:sz="0" w:space="0"/>
          <w:bottom w:val="none" w:color="000000" w:sz="0" w:space="0"/>
          <w:right w:val="none" w:color="000000" w:sz="0" w:space="0"/>
        </w:pBdr>
        <w:spacing w:line="499" w:lineRule="atLeast"/>
        <w:ind w:firstLine="480"/>
        <w:rPr>
          <w:color w:val="auto"/>
        </w:rPr>
      </w:pPr>
      <w:r>
        <w:rPr>
          <w:rFonts w:ascii="宋体" w:hAnsi="宋体" w:cs="宋体"/>
          <w:color w:val="auto"/>
          <w:sz w:val="24"/>
        </w:rPr>
        <w:t>备注2：供应商如不提供此声明函，价格将不做相应扣除（如项目全面面向中小企业，则资格审查不通过）。</w:t>
      </w:r>
    </w:p>
    <w:p w14:paraId="25841CC1">
      <w:pPr>
        <w:shd w:val="clear" w:color="FFFFFF" w:fill="FFFFFF"/>
        <w:spacing w:line="500" w:lineRule="exact"/>
        <w:ind w:firstLine="480"/>
        <w:jc w:val="center"/>
        <w:rPr>
          <w:rFonts w:ascii="黑体" w:hAnsi="黑体" w:eastAsia="黑体" w:cs="黑体"/>
          <w:i/>
          <w:color w:val="auto"/>
          <w:sz w:val="32"/>
          <w:szCs w:val="32"/>
          <w:u w:val="single"/>
        </w:rPr>
      </w:pPr>
      <w:r>
        <w:rPr>
          <w:rFonts w:eastAsia="方正小标宋_GBK"/>
          <w:bCs/>
          <w:color w:val="auto"/>
          <w:sz w:val="32"/>
          <w:szCs w:val="32"/>
        </w:rPr>
        <w:br w:type="page" w:clear="all"/>
      </w:r>
      <w:r>
        <w:rPr>
          <w:rFonts w:hint="eastAsia" w:ascii="黑体" w:hAnsi="黑体" w:eastAsia="黑体" w:cs="黑体"/>
          <w:i/>
          <w:color w:val="auto"/>
          <w:sz w:val="32"/>
          <w:szCs w:val="32"/>
          <w:u w:val="single"/>
        </w:rPr>
        <w:t>十一、残疾人福利性单位声明函</w:t>
      </w:r>
    </w:p>
    <w:p w14:paraId="00968A30">
      <w:pPr>
        <w:spacing w:line="520" w:lineRule="exact"/>
        <w:ind w:firstLine="480"/>
        <w:jc w:val="left"/>
        <w:rPr>
          <w:rFonts w:ascii="宋体" w:hAnsi="宋体" w:cs="宋体"/>
          <w:color w:val="auto"/>
          <w:sz w:val="24"/>
        </w:rPr>
      </w:pPr>
      <w:r>
        <w:rPr>
          <w:rFonts w:hint="eastAsia" w:ascii="宋体" w:hAnsi="宋体" w:cs="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u w:val="single"/>
          <w:lang w:val="en-US" w:eastAsia="zh-CN"/>
        </w:rPr>
        <w:t>盐城市亭湖区便仓初级中学</w:t>
      </w:r>
      <w:r>
        <w:rPr>
          <w:rFonts w:hint="eastAsia" w:ascii="宋体" w:hAnsi="宋体" w:cs="宋体"/>
          <w:color w:val="auto"/>
          <w:sz w:val="24"/>
        </w:rPr>
        <w:t>单位的采购文件编号为</w:t>
      </w:r>
      <w:r>
        <w:rPr>
          <w:rFonts w:hint="eastAsia" w:ascii="宋体" w:hAnsi="宋体" w:cs="宋体"/>
          <w:color w:val="auto"/>
          <w:sz w:val="24"/>
          <w:u w:val="single"/>
          <w:lang w:val="en-US" w:eastAsia="zh-CN"/>
        </w:rPr>
        <w:t xml:space="preserve">             </w:t>
      </w:r>
      <w:r>
        <w:rPr>
          <w:rFonts w:hint="eastAsia" w:ascii="宋体" w:hAnsi="宋体" w:cs="宋体"/>
          <w:color w:val="auto"/>
          <w:sz w:val="24"/>
        </w:rPr>
        <w:t>的</w:t>
      </w:r>
      <w:r>
        <w:rPr>
          <w:rFonts w:hint="eastAsia" w:ascii="宋体" w:hAnsi="宋体" w:cs="宋体"/>
          <w:color w:val="auto"/>
          <w:sz w:val="24"/>
          <w:u w:val="single"/>
          <w:lang w:val="en-US" w:eastAsia="zh-CN"/>
        </w:rPr>
        <w:t xml:space="preserve">                 </w:t>
      </w:r>
      <w:r>
        <w:rPr>
          <w:rFonts w:hint="eastAsia" w:ascii="宋体" w:hAnsi="宋体" w:cs="宋体"/>
          <w:color w:val="auto"/>
          <w:sz w:val="24"/>
          <w:szCs w:val="20"/>
          <w:u w:val="single"/>
        </w:rPr>
        <w:t>项目</w:t>
      </w:r>
      <w:r>
        <w:rPr>
          <w:rFonts w:hint="eastAsia" w:ascii="宋体" w:hAnsi="宋体" w:cs="宋体"/>
          <w:color w:val="auto"/>
          <w:sz w:val="24"/>
        </w:rPr>
        <w:t>采购活动由本单位提供服务。</w:t>
      </w:r>
    </w:p>
    <w:p w14:paraId="15325581">
      <w:pPr>
        <w:spacing w:line="520" w:lineRule="exact"/>
        <w:ind w:firstLine="480"/>
        <w:jc w:val="left"/>
        <w:rPr>
          <w:rFonts w:ascii="宋体" w:hAnsi="宋体" w:cs="宋体"/>
          <w:color w:val="auto"/>
          <w:sz w:val="24"/>
        </w:rPr>
      </w:pPr>
      <w:r>
        <w:rPr>
          <w:rFonts w:hint="eastAsia" w:ascii="宋体" w:hAnsi="宋体" w:cs="宋体"/>
          <w:color w:val="auto"/>
          <w:sz w:val="24"/>
        </w:rPr>
        <w:t>本单位对上述声明的真实性负责。如有虚假，将依法承担相应责任。</w:t>
      </w:r>
    </w:p>
    <w:p w14:paraId="14977379">
      <w:pPr>
        <w:spacing w:line="520" w:lineRule="exact"/>
        <w:ind w:firstLine="480"/>
        <w:jc w:val="left"/>
        <w:rPr>
          <w:rFonts w:ascii="宋体" w:hAnsi="宋体" w:cs="宋体"/>
          <w:color w:val="auto"/>
          <w:sz w:val="24"/>
        </w:rPr>
      </w:pPr>
      <w:r>
        <w:rPr>
          <w:rFonts w:hint="eastAsia" w:ascii="宋体" w:hAnsi="宋体" w:cs="宋体"/>
          <w:color w:val="auto"/>
          <w:sz w:val="24"/>
        </w:rPr>
        <w:t> </w:t>
      </w:r>
    </w:p>
    <w:p w14:paraId="362CCA76">
      <w:pPr>
        <w:spacing w:line="520" w:lineRule="exact"/>
        <w:ind w:firstLine="480"/>
        <w:jc w:val="left"/>
        <w:rPr>
          <w:rFonts w:ascii="宋体" w:hAnsi="宋体" w:cs="宋体"/>
          <w:color w:val="auto"/>
          <w:sz w:val="24"/>
        </w:rPr>
      </w:pPr>
      <w:r>
        <w:rPr>
          <w:rFonts w:hint="eastAsia" w:ascii="宋体" w:hAnsi="宋体" w:cs="宋体"/>
          <w:color w:val="auto"/>
          <w:sz w:val="24"/>
        </w:rPr>
        <w:t>备注：1、供应商如不提供此声明函，价格将不做相应扣除（如项目全面面向中小企业，则资格审查不通过）。</w:t>
      </w:r>
    </w:p>
    <w:p w14:paraId="0F1D2892">
      <w:pPr>
        <w:spacing w:line="520" w:lineRule="exact"/>
        <w:ind w:firstLine="480"/>
        <w:jc w:val="left"/>
        <w:rPr>
          <w:rFonts w:ascii="宋体" w:hAnsi="宋体" w:cs="宋体"/>
          <w:color w:val="auto"/>
          <w:sz w:val="24"/>
        </w:rPr>
      </w:pPr>
      <w:r>
        <w:rPr>
          <w:rFonts w:hint="eastAsia" w:ascii="宋体" w:hAnsi="宋体" w:cs="宋体"/>
          <w:color w:val="auto"/>
          <w:sz w:val="24"/>
        </w:rPr>
        <w:t>2、中标人为残疾人福利单位的，此声明函将随中标结果同时公告，接受社会监督。</w:t>
      </w:r>
    </w:p>
    <w:p w14:paraId="549F70F8">
      <w:pPr>
        <w:spacing w:line="520" w:lineRule="exact"/>
        <w:ind w:firstLine="480"/>
        <w:jc w:val="left"/>
        <w:rPr>
          <w:rFonts w:ascii="宋体" w:hAnsi="宋体" w:cs="宋体"/>
          <w:color w:val="auto"/>
          <w:sz w:val="24"/>
        </w:rPr>
      </w:pPr>
      <w:r>
        <w:rPr>
          <w:rFonts w:hint="eastAsia" w:ascii="宋体" w:hAnsi="宋体" w:cs="宋体"/>
          <w:color w:val="auto"/>
          <w:sz w:val="24"/>
        </w:rPr>
        <w:t> </w:t>
      </w:r>
    </w:p>
    <w:p w14:paraId="5EA8DEA5">
      <w:pPr>
        <w:spacing w:line="520" w:lineRule="exact"/>
        <w:ind w:firstLine="480"/>
        <w:jc w:val="right"/>
        <w:rPr>
          <w:rFonts w:ascii="宋体" w:hAnsi="宋体" w:cs="宋体"/>
          <w:color w:val="auto"/>
          <w:sz w:val="24"/>
        </w:rPr>
      </w:pPr>
      <w:r>
        <w:rPr>
          <w:rFonts w:hint="eastAsia" w:ascii="宋体" w:hAnsi="宋体" w:cs="宋体"/>
          <w:color w:val="auto"/>
          <w:sz w:val="24"/>
        </w:rPr>
        <w:t>                  企业名称（加盖CA电子公章）：</w:t>
      </w:r>
    </w:p>
    <w:p w14:paraId="5074A3D8">
      <w:pPr>
        <w:spacing w:line="520" w:lineRule="exact"/>
        <w:ind w:firstLine="480"/>
        <w:jc w:val="right"/>
        <w:rPr>
          <w:rFonts w:ascii="宋体" w:hAnsi="宋体" w:cs="宋体"/>
          <w:color w:val="auto"/>
          <w:sz w:val="24"/>
        </w:rPr>
      </w:pPr>
      <w:r>
        <w:rPr>
          <w:rFonts w:hint="eastAsia" w:ascii="宋体" w:hAnsi="宋体" w:cs="宋体"/>
          <w:color w:val="auto"/>
          <w:sz w:val="24"/>
        </w:rPr>
        <w:t>日  期：</w:t>
      </w:r>
    </w:p>
    <w:p w14:paraId="18CD4CEC">
      <w:pPr>
        <w:jc w:val="center"/>
        <w:rPr>
          <w:rFonts w:ascii="黑体" w:hAnsi="黑体" w:eastAsia="黑体" w:cs="黑体"/>
          <w:i/>
          <w:color w:val="auto"/>
          <w:sz w:val="32"/>
          <w:szCs w:val="32"/>
          <w:u w:val="single"/>
        </w:rPr>
      </w:pPr>
      <w:r>
        <w:rPr>
          <w:rFonts w:hint="eastAsia" w:ascii="宋体" w:hAnsi="宋体" w:cs="宋体"/>
          <w:color w:val="auto"/>
          <w:sz w:val="24"/>
        </w:rPr>
        <w:br w:type="page" w:clear="all"/>
      </w:r>
      <w:r>
        <w:rPr>
          <w:rFonts w:hint="eastAsia" w:ascii="黑体" w:hAnsi="黑体" w:eastAsia="黑体" w:cs="黑体"/>
          <w:i/>
          <w:color w:val="auto"/>
          <w:sz w:val="32"/>
          <w:szCs w:val="32"/>
          <w:u w:val="single"/>
          <w:lang w:val="en-US" w:eastAsia="zh-CN"/>
        </w:rPr>
        <w:t>十二、</w:t>
      </w:r>
      <w:r>
        <w:rPr>
          <w:rFonts w:hint="eastAsia" w:ascii="黑体" w:hAnsi="黑体" w:eastAsia="黑体" w:cs="黑体"/>
          <w:i/>
          <w:color w:val="auto"/>
          <w:sz w:val="32"/>
          <w:szCs w:val="32"/>
          <w:u w:val="single"/>
        </w:rPr>
        <w:t>投标分项报价表</w:t>
      </w:r>
    </w:p>
    <w:tbl>
      <w:tblPr>
        <w:tblStyle w:val="29"/>
        <w:tblW w:w="524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13"/>
        <w:gridCol w:w="1542"/>
        <w:gridCol w:w="1128"/>
        <w:gridCol w:w="756"/>
        <w:gridCol w:w="1476"/>
        <w:gridCol w:w="1299"/>
        <w:gridCol w:w="2133"/>
      </w:tblGrid>
      <w:tr w14:paraId="22D8E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342" w:type="pct"/>
            <w:tcBorders>
              <w:top w:val="single" w:color="000000" w:sz="4" w:space="0"/>
              <w:left w:val="single" w:color="000000" w:sz="4" w:space="0"/>
              <w:bottom w:val="single" w:color="000000" w:sz="4" w:space="0"/>
              <w:right w:val="single" w:color="000000" w:sz="4" w:space="0"/>
            </w:tcBorders>
            <w:noWrap/>
            <w:vAlign w:val="center"/>
          </w:tcPr>
          <w:p w14:paraId="0FDD7C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序号</w:t>
            </w:r>
          </w:p>
        </w:tc>
        <w:tc>
          <w:tcPr>
            <w:tcW w:w="861" w:type="pct"/>
            <w:tcBorders>
              <w:top w:val="single" w:color="000000" w:sz="4" w:space="0"/>
              <w:left w:val="single" w:color="000000" w:sz="4" w:space="0"/>
              <w:bottom w:val="single" w:color="000000" w:sz="4" w:space="0"/>
              <w:right w:val="single" w:color="000000" w:sz="4" w:space="0"/>
            </w:tcBorders>
            <w:noWrap/>
            <w:vAlign w:val="center"/>
          </w:tcPr>
          <w:p w14:paraId="458836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岗位名称</w:t>
            </w:r>
          </w:p>
        </w:tc>
        <w:tc>
          <w:tcPr>
            <w:tcW w:w="630" w:type="pct"/>
            <w:tcBorders>
              <w:top w:val="single" w:color="000000" w:sz="4" w:space="0"/>
              <w:left w:val="single" w:color="000000" w:sz="4" w:space="0"/>
              <w:bottom w:val="single" w:color="000000" w:sz="4" w:space="0"/>
              <w:right w:val="single" w:color="000000" w:sz="4" w:space="0"/>
            </w:tcBorders>
            <w:noWrap/>
            <w:vAlign w:val="center"/>
          </w:tcPr>
          <w:p w14:paraId="6591CA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费用名称</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61ED4C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人数</w:t>
            </w:r>
          </w:p>
        </w:tc>
        <w:tc>
          <w:tcPr>
            <w:tcW w:w="824" w:type="pct"/>
            <w:tcBorders>
              <w:top w:val="single" w:color="000000" w:sz="4" w:space="0"/>
              <w:left w:val="single" w:color="000000" w:sz="4" w:space="0"/>
              <w:bottom w:val="single" w:color="000000" w:sz="4" w:space="0"/>
              <w:right w:val="single" w:color="000000" w:sz="4" w:space="0"/>
            </w:tcBorders>
            <w:noWrap/>
            <w:vAlign w:val="center"/>
          </w:tcPr>
          <w:p w14:paraId="15AAA0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单价（元/人/月）</w:t>
            </w:r>
          </w:p>
        </w:tc>
        <w:tc>
          <w:tcPr>
            <w:tcW w:w="725" w:type="pct"/>
            <w:tcBorders>
              <w:top w:val="single" w:color="000000" w:sz="4" w:space="0"/>
              <w:left w:val="single" w:color="000000" w:sz="4" w:space="0"/>
              <w:bottom w:val="single" w:color="000000" w:sz="4" w:space="0"/>
              <w:right w:val="single" w:color="000000" w:sz="4" w:space="0"/>
            </w:tcBorders>
            <w:noWrap/>
            <w:vAlign w:val="center"/>
          </w:tcPr>
          <w:p w14:paraId="48D614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总价（元/</w:t>
            </w:r>
            <w:r>
              <w:rPr>
                <w:rFonts w:hint="eastAsia" w:ascii="宋体" w:hAnsi="宋体" w:cs="宋体"/>
                <w:i w:val="0"/>
                <w:iCs w:val="0"/>
                <w:color w:val="auto"/>
                <w:kern w:val="0"/>
                <w:sz w:val="20"/>
                <w:szCs w:val="20"/>
                <w:highlight w:val="none"/>
                <w:u w:val="none"/>
                <w:lang w:val="en-US" w:eastAsia="zh-CN" w:bidi="ar"/>
              </w:rPr>
              <w:t>年</w:t>
            </w:r>
            <w:r>
              <w:rPr>
                <w:rFonts w:hint="eastAsia" w:ascii="宋体" w:hAnsi="宋体" w:eastAsia="宋体" w:cs="宋体"/>
                <w:i w:val="0"/>
                <w:iCs w:val="0"/>
                <w:color w:val="auto"/>
                <w:kern w:val="0"/>
                <w:sz w:val="20"/>
                <w:szCs w:val="20"/>
                <w:highlight w:val="none"/>
                <w:u w:val="none"/>
                <w:lang w:val="en-US" w:eastAsia="zh-CN" w:bidi="ar"/>
              </w:rPr>
              <w:t>）</w:t>
            </w:r>
          </w:p>
        </w:tc>
        <w:tc>
          <w:tcPr>
            <w:tcW w:w="1192" w:type="pct"/>
            <w:tcBorders>
              <w:top w:val="single" w:color="000000" w:sz="4" w:space="0"/>
              <w:left w:val="single" w:color="000000" w:sz="4" w:space="0"/>
              <w:bottom w:val="single" w:color="000000" w:sz="4" w:space="0"/>
              <w:right w:val="single" w:color="000000" w:sz="4" w:space="0"/>
            </w:tcBorders>
            <w:noWrap w:val="0"/>
            <w:vAlign w:val="center"/>
          </w:tcPr>
          <w:p w14:paraId="2273A1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备注</w:t>
            </w:r>
          </w:p>
        </w:tc>
      </w:tr>
      <w:tr w14:paraId="55CF2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4" w:hRule="atLeast"/>
        </w:trPr>
        <w:tc>
          <w:tcPr>
            <w:tcW w:w="342" w:type="pct"/>
            <w:tcBorders>
              <w:top w:val="single" w:color="000000" w:sz="4" w:space="0"/>
              <w:left w:val="single" w:color="000000" w:sz="4" w:space="0"/>
              <w:bottom w:val="single" w:color="000000" w:sz="4" w:space="0"/>
              <w:right w:val="single" w:color="000000" w:sz="4" w:space="0"/>
            </w:tcBorders>
            <w:noWrap/>
            <w:vAlign w:val="center"/>
          </w:tcPr>
          <w:p w14:paraId="791C7D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一</w:t>
            </w:r>
          </w:p>
        </w:tc>
        <w:tc>
          <w:tcPr>
            <w:tcW w:w="3465" w:type="pct"/>
            <w:gridSpan w:val="5"/>
            <w:tcBorders>
              <w:top w:val="single" w:color="000000" w:sz="4" w:space="0"/>
              <w:left w:val="single" w:color="000000" w:sz="4" w:space="0"/>
              <w:bottom w:val="single" w:color="000000" w:sz="4" w:space="0"/>
              <w:right w:val="single" w:color="000000" w:sz="4" w:space="0"/>
            </w:tcBorders>
            <w:noWrap/>
            <w:vAlign w:val="center"/>
          </w:tcPr>
          <w:p w14:paraId="51F0FF2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人员工资</w:t>
            </w:r>
          </w:p>
        </w:tc>
        <w:tc>
          <w:tcPr>
            <w:tcW w:w="1192" w:type="pct"/>
            <w:tcBorders>
              <w:top w:val="single" w:color="000000" w:sz="4" w:space="0"/>
              <w:left w:val="single" w:color="000000" w:sz="4" w:space="0"/>
              <w:bottom w:val="single" w:color="000000" w:sz="4" w:space="0"/>
              <w:right w:val="single" w:color="000000" w:sz="4" w:space="0"/>
            </w:tcBorders>
            <w:noWrap w:val="0"/>
            <w:vAlign w:val="center"/>
          </w:tcPr>
          <w:p w14:paraId="0CEE4D9D">
            <w:pPr>
              <w:rPr>
                <w:rFonts w:hint="eastAsia" w:ascii="宋体" w:hAnsi="宋体" w:eastAsia="宋体" w:cs="宋体"/>
                <w:i w:val="0"/>
                <w:iCs w:val="0"/>
                <w:color w:val="auto"/>
                <w:sz w:val="20"/>
                <w:szCs w:val="20"/>
                <w:highlight w:val="none"/>
                <w:u w:val="none"/>
              </w:rPr>
            </w:pPr>
          </w:p>
        </w:tc>
      </w:tr>
      <w:tr w14:paraId="59EDA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342" w:type="pct"/>
            <w:tcBorders>
              <w:top w:val="single" w:color="000000" w:sz="4" w:space="0"/>
              <w:left w:val="single" w:color="000000" w:sz="4" w:space="0"/>
              <w:bottom w:val="single" w:color="000000" w:sz="4" w:space="0"/>
              <w:right w:val="single" w:color="000000" w:sz="4" w:space="0"/>
            </w:tcBorders>
            <w:noWrap/>
            <w:vAlign w:val="center"/>
          </w:tcPr>
          <w:p w14:paraId="2FA525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1.1</w:t>
            </w: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79192B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卫生保洁员（含绿化维护）</w:t>
            </w:r>
          </w:p>
        </w:tc>
        <w:tc>
          <w:tcPr>
            <w:tcW w:w="630" w:type="pct"/>
            <w:tcBorders>
              <w:top w:val="single" w:color="000000" w:sz="4" w:space="0"/>
              <w:left w:val="single" w:color="000000" w:sz="4" w:space="0"/>
              <w:bottom w:val="single" w:color="000000" w:sz="4" w:space="0"/>
              <w:right w:val="single" w:color="000000" w:sz="4" w:space="0"/>
            </w:tcBorders>
            <w:noWrap/>
            <w:vAlign w:val="center"/>
          </w:tcPr>
          <w:p w14:paraId="0096C2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人员工资</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617E80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824" w:type="pct"/>
            <w:tcBorders>
              <w:top w:val="single" w:color="000000" w:sz="4" w:space="0"/>
              <w:left w:val="single" w:color="000000" w:sz="4" w:space="0"/>
              <w:bottom w:val="single" w:color="000000" w:sz="4" w:space="0"/>
              <w:right w:val="single" w:color="000000" w:sz="4" w:space="0"/>
            </w:tcBorders>
            <w:noWrap/>
            <w:vAlign w:val="center"/>
          </w:tcPr>
          <w:p w14:paraId="7BA190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725" w:type="pct"/>
            <w:tcBorders>
              <w:top w:val="single" w:color="000000" w:sz="4" w:space="0"/>
              <w:left w:val="single" w:color="000000" w:sz="4" w:space="0"/>
              <w:bottom w:val="single" w:color="000000" w:sz="4" w:space="0"/>
              <w:right w:val="single" w:color="000000" w:sz="4" w:space="0"/>
            </w:tcBorders>
            <w:noWrap/>
            <w:vAlign w:val="center"/>
          </w:tcPr>
          <w:p w14:paraId="307F18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1192" w:type="pct"/>
            <w:vMerge w:val="restart"/>
            <w:tcBorders>
              <w:top w:val="single" w:color="000000" w:sz="4" w:space="0"/>
              <w:left w:val="single" w:color="000000" w:sz="4" w:space="0"/>
              <w:right w:val="single" w:color="000000" w:sz="4" w:space="0"/>
            </w:tcBorders>
            <w:noWrap w:val="0"/>
            <w:vAlign w:val="center"/>
          </w:tcPr>
          <w:p w14:paraId="2754D8A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工资不低于2430元/人/月</w:t>
            </w:r>
          </w:p>
        </w:tc>
      </w:tr>
      <w:tr w14:paraId="2C44DB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342" w:type="pct"/>
            <w:tcBorders>
              <w:top w:val="single" w:color="000000" w:sz="4" w:space="0"/>
              <w:left w:val="single" w:color="000000" w:sz="4" w:space="0"/>
              <w:bottom w:val="single" w:color="000000" w:sz="4" w:space="0"/>
              <w:right w:val="single" w:color="000000" w:sz="4" w:space="0"/>
            </w:tcBorders>
            <w:noWrap/>
            <w:vAlign w:val="center"/>
          </w:tcPr>
          <w:p w14:paraId="5F6446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1.2</w:t>
            </w: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6ACA1F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宿舍管理员</w:t>
            </w:r>
          </w:p>
        </w:tc>
        <w:tc>
          <w:tcPr>
            <w:tcW w:w="630" w:type="pct"/>
            <w:tcBorders>
              <w:top w:val="single" w:color="000000" w:sz="4" w:space="0"/>
              <w:left w:val="single" w:color="000000" w:sz="4" w:space="0"/>
              <w:bottom w:val="single" w:color="000000" w:sz="4" w:space="0"/>
              <w:right w:val="single" w:color="000000" w:sz="4" w:space="0"/>
            </w:tcBorders>
            <w:noWrap/>
            <w:vAlign w:val="center"/>
          </w:tcPr>
          <w:p w14:paraId="297275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人员工资</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3390F9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2</w:t>
            </w:r>
          </w:p>
        </w:tc>
        <w:tc>
          <w:tcPr>
            <w:tcW w:w="824" w:type="pct"/>
            <w:tcBorders>
              <w:top w:val="single" w:color="000000" w:sz="4" w:space="0"/>
              <w:left w:val="single" w:color="000000" w:sz="4" w:space="0"/>
              <w:bottom w:val="single" w:color="000000" w:sz="4" w:space="0"/>
              <w:right w:val="single" w:color="000000" w:sz="4" w:space="0"/>
            </w:tcBorders>
            <w:noWrap/>
            <w:vAlign w:val="center"/>
          </w:tcPr>
          <w:p w14:paraId="091265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725" w:type="pct"/>
            <w:tcBorders>
              <w:top w:val="single" w:color="000000" w:sz="4" w:space="0"/>
              <w:left w:val="single" w:color="000000" w:sz="4" w:space="0"/>
              <w:bottom w:val="single" w:color="000000" w:sz="4" w:space="0"/>
              <w:right w:val="single" w:color="000000" w:sz="4" w:space="0"/>
            </w:tcBorders>
            <w:noWrap/>
            <w:vAlign w:val="center"/>
          </w:tcPr>
          <w:p w14:paraId="1FC6BA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1192" w:type="pct"/>
            <w:vMerge w:val="continue"/>
            <w:tcBorders>
              <w:left w:val="single" w:color="000000" w:sz="4" w:space="0"/>
              <w:bottom w:val="single" w:color="000000" w:sz="4" w:space="0"/>
              <w:right w:val="single" w:color="000000" w:sz="4" w:space="0"/>
            </w:tcBorders>
            <w:noWrap w:val="0"/>
            <w:vAlign w:val="center"/>
          </w:tcPr>
          <w:p w14:paraId="4B1C2C28">
            <w:pPr>
              <w:jc w:val="left"/>
              <w:rPr>
                <w:rFonts w:hint="eastAsia" w:ascii="宋体" w:hAnsi="宋体" w:eastAsia="宋体" w:cs="宋体"/>
                <w:i w:val="0"/>
                <w:iCs w:val="0"/>
                <w:color w:val="auto"/>
                <w:sz w:val="20"/>
                <w:szCs w:val="20"/>
                <w:highlight w:val="none"/>
                <w:u w:val="none"/>
              </w:rPr>
            </w:pPr>
          </w:p>
        </w:tc>
      </w:tr>
      <w:tr w14:paraId="56459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342" w:type="pct"/>
            <w:tcBorders>
              <w:top w:val="single" w:color="000000" w:sz="4" w:space="0"/>
              <w:left w:val="single" w:color="000000" w:sz="4" w:space="0"/>
              <w:bottom w:val="single" w:color="000000" w:sz="4" w:space="0"/>
              <w:right w:val="single" w:color="000000" w:sz="4" w:space="0"/>
            </w:tcBorders>
            <w:noWrap/>
            <w:vAlign w:val="center"/>
          </w:tcPr>
          <w:p w14:paraId="681EFC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1.3</w:t>
            </w:r>
          </w:p>
        </w:tc>
        <w:tc>
          <w:tcPr>
            <w:tcW w:w="861" w:type="pct"/>
            <w:tcBorders>
              <w:top w:val="single" w:color="000000" w:sz="4" w:space="0"/>
              <w:left w:val="single" w:color="000000" w:sz="4" w:space="0"/>
              <w:bottom w:val="single" w:color="000000" w:sz="4" w:space="0"/>
              <w:right w:val="single" w:color="000000" w:sz="4" w:space="0"/>
            </w:tcBorders>
            <w:noWrap w:val="0"/>
            <w:vAlign w:val="center"/>
          </w:tcPr>
          <w:p w14:paraId="03F5A1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夜间值班巡逻人员（保安兼）</w:t>
            </w:r>
          </w:p>
        </w:tc>
        <w:tc>
          <w:tcPr>
            <w:tcW w:w="630" w:type="pct"/>
            <w:tcBorders>
              <w:top w:val="single" w:color="000000" w:sz="4" w:space="0"/>
              <w:left w:val="single" w:color="000000" w:sz="4" w:space="0"/>
              <w:bottom w:val="single" w:color="000000" w:sz="4" w:space="0"/>
              <w:right w:val="single" w:color="000000" w:sz="4" w:space="0"/>
            </w:tcBorders>
            <w:noWrap/>
            <w:vAlign w:val="center"/>
          </w:tcPr>
          <w:p w14:paraId="3B4AF9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人员工资</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293987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824" w:type="pct"/>
            <w:tcBorders>
              <w:top w:val="single" w:color="000000" w:sz="4" w:space="0"/>
              <w:left w:val="single" w:color="000000" w:sz="4" w:space="0"/>
              <w:bottom w:val="single" w:color="000000" w:sz="4" w:space="0"/>
              <w:right w:val="single" w:color="000000" w:sz="4" w:space="0"/>
            </w:tcBorders>
            <w:noWrap/>
            <w:vAlign w:val="center"/>
          </w:tcPr>
          <w:p w14:paraId="19E555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725" w:type="pct"/>
            <w:tcBorders>
              <w:top w:val="single" w:color="000000" w:sz="4" w:space="0"/>
              <w:left w:val="single" w:color="000000" w:sz="4" w:space="0"/>
              <w:bottom w:val="single" w:color="000000" w:sz="4" w:space="0"/>
              <w:right w:val="single" w:color="000000" w:sz="4" w:space="0"/>
            </w:tcBorders>
            <w:noWrap/>
            <w:vAlign w:val="center"/>
          </w:tcPr>
          <w:p w14:paraId="3A15DE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1192" w:type="pct"/>
            <w:tcBorders>
              <w:top w:val="single" w:color="000000" w:sz="4" w:space="0"/>
              <w:left w:val="single" w:color="000000" w:sz="4" w:space="0"/>
              <w:bottom w:val="single" w:color="000000" w:sz="4" w:space="0"/>
              <w:right w:val="single" w:color="000000" w:sz="4" w:space="0"/>
            </w:tcBorders>
            <w:noWrap w:val="0"/>
            <w:vAlign w:val="center"/>
          </w:tcPr>
          <w:p w14:paraId="23CF02C2">
            <w:pPr>
              <w:jc w:val="left"/>
              <w:rPr>
                <w:rFonts w:hint="default" w:ascii="宋体" w:hAnsi="宋体" w:eastAsia="宋体" w:cs="宋体"/>
                <w:i w:val="0"/>
                <w:iCs w:val="0"/>
                <w:color w:val="auto"/>
                <w:sz w:val="20"/>
                <w:szCs w:val="20"/>
                <w:highlight w:val="none"/>
                <w:u w:val="none"/>
                <w:lang w:val="en-US"/>
              </w:rPr>
            </w:pPr>
            <w:r>
              <w:rPr>
                <w:rFonts w:hint="eastAsia" w:ascii="宋体" w:hAnsi="宋体" w:eastAsia="宋体" w:cs="宋体"/>
                <w:b/>
                <w:bCs/>
                <w:i w:val="0"/>
                <w:iCs w:val="0"/>
                <w:color w:val="auto"/>
                <w:kern w:val="0"/>
                <w:sz w:val="20"/>
                <w:szCs w:val="20"/>
                <w:highlight w:val="none"/>
                <w:u w:val="none"/>
                <w:lang w:val="en-US" w:eastAsia="zh-CN" w:bidi="ar"/>
              </w:rPr>
              <w:t>夜间值班巡逻人员</w:t>
            </w:r>
            <w:r>
              <w:rPr>
                <w:rFonts w:hint="eastAsia" w:ascii="宋体" w:hAnsi="宋体" w:cs="宋体"/>
                <w:b/>
                <w:bCs/>
                <w:i w:val="0"/>
                <w:iCs w:val="0"/>
                <w:color w:val="auto"/>
                <w:kern w:val="0"/>
                <w:sz w:val="20"/>
                <w:szCs w:val="20"/>
                <w:highlight w:val="none"/>
                <w:u w:val="none"/>
                <w:lang w:val="en-US" w:eastAsia="zh-CN" w:bidi="ar"/>
              </w:rPr>
              <w:t>由学校保安人员兼职，不需要中标人承担相关费用</w:t>
            </w:r>
          </w:p>
        </w:tc>
      </w:tr>
      <w:tr w14:paraId="3734B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342" w:type="pct"/>
            <w:tcBorders>
              <w:top w:val="single" w:color="000000" w:sz="4" w:space="0"/>
              <w:left w:val="single" w:color="000000" w:sz="4" w:space="0"/>
              <w:bottom w:val="single" w:color="000000" w:sz="4" w:space="0"/>
              <w:right w:val="single" w:color="000000" w:sz="4" w:space="0"/>
            </w:tcBorders>
            <w:noWrap/>
            <w:vAlign w:val="center"/>
          </w:tcPr>
          <w:p w14:paraId="412341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二</w:t>
            </w:r>
          </w:p>
        </w:tc>
        <w:tc>
          <w:tcPr>
            <w:tcW w:w="1492" w:type="pct"/>
            <w:gridSpan w:val="2"/>
            <w:tcBorders>
              <w:top w:val="single" w:color="000000" w:sz="4" w:space="0"/>
              <w:left w:val="single" w:color="000000" w:sz="4" w:space="0"/>
              <w:bottom w:val="single" w:color="000000" w:sz="4" w:space="0"/>
              <w:right w:val="single" w:color="000000" w:sz="4" w:space="0"/>
            </w:tcBorders>
            <w:noWrap/>
            <w:vAlign w:val="center"/>
          </w:tcPr>
          <w:p w14:paraId="543080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社会保险</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6687A4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824" w:type="pct"/>
            <w:tcBorders>
              <w:top w:val="single" w:color="000000" w:sz="4" w:space="0"/>
              <w:left w:val="single" w:color="000000" w:sz="4" w:space="0"/>
              <w:bottom w:val="single" w:color="000000" w:sz="4" w:space="0"/>
              <w:right w:val="single" w:color="000000" w:sz="4" w:space="0"/>
            </w:tcBorders>
            <w:noWrap/>
            <w:vAlign w:val="center"/>
          </w:tcPr>
          <w:p w14:paraId="74B88C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725" w:type="pct"/>
            <w:tcBorders>
              <w:top w:val="single" w:color="000000" w:sz="4" w:space="0"/>
              <w:left w:val="single" w:color="000000" w:sz="4" w:space="0"/>
              <w:bottom w:val="single" w:color="000000" w:sz="4" w:space="0"/>
              <w:right w:val="single" w:color="000000" w:sz="4" w:space="0"/>
            </w:tcBorders>
            <w:noWrap/>
            <w:vAlign w:val="center"/>
          </w:tcPr>
          <w:p w14:paraId="7C678E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1192" w:type="pct"/>
            <w:tcBorders>
              <w:top w:val="single" w:color="000000" w:sz="4" w:space="0"/>
              <w:left w:val="single" w:color="000000" w:sz="4" w:space="0"/>
              <w:bottom w:val="single" w:color="000000" w:sz="4" w:space="0"/>
              <w:right w:val="single" w:color="000000" w:sz="4" w:space="0"/>
            </w:tcBorders>
            <w:noWrap w:val="0"/>
            <w:vAlign w:val="center"/>
          </w:tcPr>
          <w:p w14:paraId="10013EB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所有人员必须足额缴纳社保，企业部分不得低于1292.47元/人/月</w:t>
            </w:r>
          </w:p>
        </w:tc>
      </w:tr>
      <w:tr w14:paraId="5FD4F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0" w:hRule="atLeast"/>
        </w:trPr>
        <w:tc>
          <w:tcPr>
            <w:tcW w:w="342" w:type="pct"/>
            <w:tcBorders>
              <w:top w:val="single" w:color="000000" w:sz="4" w:space="0"/>
              <w:left w:val="single" w:color="000000" w:sz="4" w:space="0"/>
              <w:bottom w:val="single" w:color="000000" w:sz="4" w:space="0"/>
              <w:right w:val="single" w:color="000000" w:sz="4" w:space="0"/>
            </w:tcBorders>
            <w:noWrap/>
            <w:vAlign w:val="center"/>
          </w:tcPr>
          <w:p w14:paraId="34AB3C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三</w:t>
            </w:r>
          </w:p>
        </w:tc>
        <w:tc>
          <w:tcPr>
            <w:tcW w:w="1492" w:type="pct"/>
            <w:gridSpan w:val="2"/>
            <w:tcBorders>
              <w:top w:val="single" w:color="000000" w:sz="4" w:space="0"/>
              <w:left w:val="single" w:color="000000" w:sz="4" w:space="0"/>
              <w:bottom w:val="single" w:color="000000" w:sz="4" w:space="0"/>
              <w:right w:val="single" w:color="000000" w:sz="4" w:space="0"/>
            </w:tcBorders>
            <w:noWrap/>
            <w:vAlign w:val="center"/>
          </w:tcPr>
          <w:p w14:paraId="300762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住房公积金</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2D0F8D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824" w:type="pct"/>
            <w:tcBorders>
              <w:top w:val="single" w:color="000000" w:sz="4" w:space="0"/>
              <w:left w:val="single" w:color="000000" w:sz="4" w:space="0"/>
              <w:bottom w:val="single" w:color="000000" w:sz="4" w:space="0"/>
              <w:right w:val="single" w:color="000000" w:sz="4" w:space="0"/>
            </w:tcBorders>
            <w:noWrap/>
            <w:vAlign w:val="center"/>
          </w:tcPr>
          <w:p w14:paraId="0001FD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725" w:type="pct"/>
            <w:tcBorders>
              <w:top w:val="single" w:color="000000" w:sz="4" w:space="0"/>
              <w:left w:val="single" w:color="000000" w:sz="4" w:space="0"/>
              <w:bottom w:val="single" w:color="000000" w:sz="4" w:space="0"/>
              <w:right w:val="single" w:color="000000" w:sz="4" w:space="0"/>
            </w:tcBorders>
            <w:noWrap/>
            <w:vAlign w:val="center"/>
          </w:tcPr>
          <w:p w14:paraId="586362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1192" w:type="pct"/>
            <w:tcBorders>
              <w:top w:val="single" w:color="000000" w:sz="4" w:space="0"/>
              <w:left w:val="single" w:color="000000" w:sz="4" w:space="0"/>
              <w:bottom w:val="single" w:color="000000" w:sz="4" w:space="0"/>
              <w:right w:val="single" w:color="000000" w:sz="4" w:space="0"/>
            </w:tcBorders>
            <w:noWrap w:val="0"/>
            <w:vAlign w:val="center"/>
          </w:tcPr>
          <w:p w14:paraId="76A26B5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不得低于</w:t>
            </w:r>
            <w:r>
              <w:rPr>
                <w:rFonts w:hint="eastAsia" w:ascii="宋体" w:hAnsi="宋体" w:cs="宋体"/>
                <w:i w:val="0"/>
                <w:iCs w:val="0"/>
                <w:color w:val="auto"/>
                <w:kern w:val="0"/>
                <w:sz w:val="20"/>
                <w:szCs w:val="20"/>
                <w:highlight w:val="none"/>
                <w:u w:val="none"/>
                <w:lang w:val="en-US" w:eastAsia="zh-CN" w:bidi="ar"/>
              </w:rPr>
              <w:t>122元</w:t>
            </w:r>
            <w:r>
              <w:rPr>
                <w:rFonts w:hint="eastAsia" w:ascii="宋体" w:hAnsi="宋体" w:eastAsia="宋体" w:cs="宋体"/>
                <w:i w:val="0"/>
                <w:iCs w:val="0"/>
                <w:color w:val="auto"/>
                <w:kern w:val="0"/>
                <w:sz w:val="20"/>
                <w:szCs w:val="20"/>
                <w:highlight w:val="none"/>
                <w:u w:val="none"/>
                <w:lang w:val="en-US" w:eastAsia="zh-CN" w:bidi="ar"/>
              </w:rPr>
              <w:t>/人/月</w:t>
            </w:r>
          </w:p>
        </w:tc>
      </w:tr>
      <w:tr w14:paraId="37A410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0" w:hRule="atLeast"/>
        </w:trPr>
        <w:tc>
          <w:tcPr>
            <w:tcW w:w="342" w:type="pct"/>
            <w:tcBorders>
              <w:top w:val="single" w:color="000000" w:sz="4" w:space="0"/>
              <w:left w:val="single" w:color="000000" w:sz="4" w:space="0"/>
              <w:bottom w:val="single" w:color="000000" w:sz="4" w:space="0"/>
              <w:right w:val="single" w:color="000000" w:sz="4" w:space="0"/>
            </w:tcBorders>
            <w:noWrap/>
            <w:vAlign w:val="center"/>
          </w:tcPr>
          <w:p w14:paraId="355147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四</w:t>
            </w:r>
          </w:p>
        </w:tc>
        <w:tc>
          <w:tcPr>
            <w:tcW w:w="1492" w:type="pct"/>
            <w:gridSpan w:val="2"/>
            <w:tcBorders>
              <w:top w:val="single" w:color="000000" w:sz="4" w:space="0"/>
              <w:left w:val="single" w:color="000000" w:sz="4" w:space="0"/>
              <w:bottom w:val="single" w:color="000000" w:sz="4" w:space="0"/>
              <w:right w:val="single" w:color="000000" w:sz="4" w:space="0"/>
            </w:tcBorders>
            <w:noWrap/>
            <w:vAlign w:val="center"/>
          </w:tcPr>
          <w:p w14:paraId="2EAFFB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法定节假日加班费</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6FCCBA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1</w:t>
            </w:r>
          </w:p>
        </w:tc>
        <w:tc>
          <w:tcPr>
            <w:tcW w:w="824" w:type="pct"/>
            <w:tcBorders>
              <w:top w:val="single" w:color="000000" w:sz="4" w:space="0"/>
              <w:left w:val="single" w:color="000000" w:sz="4" w:space="0"/>
              <w:bottom w:val="single" w:color="000000" w:sz="4" w:space="0"/>
              <w:right w:val="single" w:color="000000" w:sz="4" w:space="0"/>
            </w:tcBorders>
            <w:noWrap/>
            <w:vAlign w:val="center"/>
          </w:tcPr>
          <w:p w14:paraId="054832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w:t>
            </w:r>
          </w:p>
        </w:tc>
        <w:tc>
          <w:tcPr>
            <w:tcW w:w="725" w:type="pct"/>
            <w:tcBorders>
              <w:top w:val="single" w:color="000000" w:sz="4" w:space="0"/>
              <w:left w:val="single" w:color="000000" w:sz="4" w:space="0"/>
              <w:bottom w:val="single" w:color="000000" w:sz="4" w:space="0"/>
              <w:right w:val="single" w:color="000000" w:sz="4" w:space="0"/>
            </w:tcBorders>
            <w:noWrap/>
            <w:vAlign w:val="center"/>
          </w:tcPr>
          <w:p w14:paraId="0B9028B6">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p>
        </w:tc>
        <w:tc>
          <w:tcPr>
            <w:tcW w:w="1192" w:type="pct"/>
            <w:tcBorders>
              <w:top w:val="single" w:color="000000" w:sz="4" w:space="0"/>
              <w:left w:val="single" w:color="000000" w:sz="4" w:space="0"/>
              <w:bottom w:val="single" w:color="000000" w:sz="4" w:space="0"/>
              <w:right w:val="single" w:color="000000" w:sz="4" w:space="0"/>
            </w:tcBorders>
            <w:noWrap w:val="0"/>
            <w:vAlign w:val="center"/>
          </w:tcPr>
          <w:p w14:paraId="711B485A">
            <w:pPr>
              <w:keepNext w:val="0"/>
              <w:keepLines w:val="0"/>
              <w:widowControl/>
              <w:suppressLineNumbers w:val="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kern w:val="0"/>
                <w:sz w:val="21"/>
                <w:szCs w:val="21"/>
                <w:highlight w:val="none"/>
                <w:u w:val="none"/>
                <w:lang w:val="en-US" w:eastAsia="zh-CN" w:bidi="ar"/>
              </w:rPr>
              <w:t>法定节假日加班费不得低于4357.25元/人/每年，人数按不少于1人数加班计算。（绿化保洁人员）</w:t>
            </w:r>
          </w:p>
        </w:tc>
      </w:tr>
      <w:tr w14:paraId="41936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4" w:hRule="atLeast"/>
        </w:trPr>
        <w:tc>
          <w:tcPr>
            <w:tcW w:w="342" w:type="pct"/>
            <w:tcBorders>
              <w:top w:val="single" w:color="000000" w:sz="4" w:space="0"/>
              <w:left w:val="single" w:color="000000" w:sz="4" w:space="0"/>
              <w:bottom w:val="single" w:color="000000" w:sz="4" w:space="0"/>
              <w:right w:val="single" w:color="000000" w:sz="4" w:space="0"/>
            </w:tcBorders>
            <w:noWrap/>
            <w:vAlign w:val="center"/>
          </w:tcPr>
          <w:p w14:paraId="25D346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五</w:t>
            </w:r>
          </w:p>
        </w:tc>
        <w:tc>
          <w:tcPr>
            <w:tcW w:w="3465" w:type="pct"/>
            <w:gridSpan w:val="5"/>
            <w:tcBorders>
              <w:top w:val="single" w:color="000000" w:sz="4" w:space="0"/>
              <w:left w:val="single" w:color="000000" w:sz="4" w:space="0"/>
              <w:bottom w:val="single" w:color="000000" w:sz="4" w:space="0"/>
              <w:right w:val="single" w:color="000000" w:sz="4" w:space="0"/>
            </w:tcBorders>
            <w:noWrap/>
            <w:vAlign w:val="center"/>
          </w:tcPr>
          <w:p w14:paraId="7978D9D9">
            <w:pPr>
              <w:jc w:val="left"/>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综合管理费</w:t>
            </w:r>
          </w:p>
        </w:tc>
        <w:tc>
          <w:tcPr>
            <w:tcW w:w="1192" w:type="pct"/>
            <w:tcBorders>
              <w:top w:val="single" w:color="000000" w:sz="4" w:space="0"/>
              <w:left w:val="single" w:color="000000" w:sz="4" w:space="0"/>
              <w:bottom w:val="single" w:color="000000" w:sz="4" w:space="0"/>
              <w:right w:val="single" w:color="000000" w:sz="4" w:space="0"/>
            </w:tcBorders>
            <w:noWrap w:val="0"/>
            <w:vAlign w:val="center"/>
          </w:tcPr>
          <w:p w14:paraId="128CA08E">
            <w:pPr>
              <w:rPr>
                <w:rFonts w:hint="eastAsia" w:ascii="宋体" w:hAnsi="宋体" w:eastAsia="宋体" w:cs="宋体"/>
                <w:i w:val="0"/>
                <w:iCs w:val="0"/>
                <w:color w:val="auto"/>
                <w:sz w:val="20"/>
                <w:szCs w:val="20"/>
                <w:highlight w:val="none"/>
                <w:u w:val="none"/>
              </w:rPr>
            </w:pPr>
          </w:p>
        </w:tc>
      </w:tr>
      <w:tr w14:paraId="0C757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342" w:type="pct"/>
            <w:tcBorders>
              <w:top w:val="single" w:color="000000" w:sz="4" w:space="0"/>
              <w:left w:val="single" w:color="000000" w:sz="4" w:space="0"/>
              <w:bottom w:val="single" w:color="000000" w:sz="4" w:space="0"/>
              <w:right w:val="single" w:color="000000" w:sz="4" w:space="0"/>
            </w:tcBorders>
            <w:noWrap/>
            <w:vAlign w:val="center"/>
          </w:tcPr>
          <w:p w14:paraId="0586F8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5.1</w:t>
            </w:r>
          </w:p>
        </w:tc>
        <w:tc>
          <w:tcPr>
            <w:tcW w:w="1492" w:type="pct"/>
            <w:gridSpan w:val="2"/>
            <w:tcBorders>
              <w:top w:val="single" w:color="000000" w:sz="4" w:space="0"/>
              <w:left w:val="single" w:color="000000" w:sz="4" w:space="0"/>
              <w:bottom w:val="single" w:color="000000" w:sz="4" w:space="0"/>
              <w:right w:val="single" w:color="000000" w:sz="4" w:space="0"/>
            </w:tcBorders>
            <w:noWrap/>
            <w:vAlign w:val="center"/>
          </w:tcPr>
          <w:p w14:paraId="288EDD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福利费</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3BB36B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3</w:t>
            </w:r>
          </w:p>
        </w:tc>
        <w:tc>
          <w:tcPr>
            <w:tcW w:w="824" w:type="pct"/>
            <w:tcBorders>
              <w:top w:val="single" w:color="000000" w:sz="4" w:space="0"/>
              <w:left w:val="single" w:color="000000" w:sz="4" w:space="0"/>
              <w:bottom w:val="single" w:color="000000" w:sz="4" w:space="0"/>
              <w:right w:val="single" w:color="000000" w:sz="4" w:space="0"/>
            </w:tcBorders>
            <w:noWrap/>
            <w:vAlign w:val="center"/>
          </w:tcPr>
          <w:p w14:paraId="5DC5081C">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eastAsia="zh-CN"/>
              </w:rPr>
            </w:pPr>
            <w:r>
              <w:rPr>
                <w:rFonts w:hint="eastAsia" w:ascii="宋体" w:hAnsi="宋体" w:cs="宋体"/>
                <w:i w:val="0"/>
                <w:iCs w:val="0"/>
                <w:color w:val="auto"/>
                <w:sz w:val="20"/>
                <w:szCs w:val="20"/>
                <w:highlight w:val="none"/>
                <w:u w:val="none"/>
                <w:lang w:val="en-US" w:eastAsia="zh-CN"/>
              </w:rPr>
              <w:t>/</w:t>
            </w:r>
          </w:p>
        </w:tc>
        <w:tc>
          <w:tcPr>
            <w:tcW w:w="725" w:type="pct"/>
            <w:tcBorders>
              <w:top w:val="single" w:color="000000" w:sz="4" w:space="0"/>
              <w:left w:val="single" w:color="000000" w:sz="4" w:space="0"/>
              <w:bottom w:val="single" w:color="000000" w:sz="4" w:space="0"/>
              <w:right w:val="single" w:color="000000" w:sz="4" w:space="0"/>
            </w:tcBorders>
            <w:noWrap/>
            <w:vAlign w:val="center"/>
          </w:tcPr>
          <w:p w14:paraId="00C342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1192" w:type="pct"/>
            <w:tcBorders>
              <w:top w:val="single" w:color="000000" w:sz="4" w:space="0"/>
              <w:left w:val="single" w:color="000000" w:sz="4" w:space="0"/>
              <w:bottom w:val="single" w:color="000000" w:sz="4" w:space="0"/>
              <w:right w:val="single" w:color="000000" w:sz="4" w:space="0"/>
            </w:tcBorders>
            <w:noWrap w:val="0"/>
            <w:vAlign w:val="center"/>
          </w:tcPr>
          <w:p w14:paraId="129CB52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不低于1000元/人/年</w:t>
            </w:r>
          </w:p>
        </w:tc>
      </w:tr>
      <w:tr w14:paraId="24A5A6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8" w:hRule="atLeast"/>
        </w:trPr>
        <w:tc>
          <w:tcPr>
            <w:tcW w:w="342" w:type="pct"/>
            <w:tcBorders>
              <w:top w:val="single" w:color="000000" w:sz="4" w:space="0"/>
              <w:left w:val="single" w:color="000000" w:sz="4" w:space="0"/>
              <w:bottom w:val="single" w:color="000000" w:sz="4" w:space="0"/>
              <w:right w:val="single" w:color="000000" w:sz="4" w:space="0"/>
            </w:tcBorders>
            <w:noWrap/>
            <w:vAlign w:val="center"/>
          </w:tcPr>
          <w:p w14:paraId="5184B667">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5.2</w:t>
            </w:r>
          </w:p>
        </w:tc>
        <w:tc>
          <w:tcPr>
            <w:tcW w:w="1492" w:type="pct"/>
            <w:gridSpan w:val="2"/>
            <w:tcBorders>
              <w:top w:val="single" w:color="000000" w:sz="4" w:space="0"/>
              <w:left w:val="single" w:color="000000" w:sz="4" w:space="0"/>
              <w:bottom w:val="single" w:color="000000" w:sz="4" w:space="0"/>
              <w:right w:val="single" w:color="000000" w:sz="4" w:space="0"/>
            </w:tcBorders>
            <w:noWrap/>
            <w:vAlign w:val="center"/>
          </w:tcPr>
          <w:p w14:paraId="6FC95774">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水电服务</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7B432FF5">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lang w:val="en-US" w:eastAsia="zh-CN"/>
              </w:rPr>
            </w:pPr>
            <w:r>
              <w:rPr>
                <w:rFonts w:hint="eastAsia" w:ascii="宋体" w:hAnsi="宋体" w:eastAsia="宋体" w:cs="宋体"/>
                <w:b/>
                <w:bCs/>
                <w:i w:val="0"/>
                <w:iCs w:val="0"/>
                <w:color w:val="auto"/>
                <w:sz w:val="20"/>
                <w:szCs w:val="20"/>
                <w:highlight w:val="none"/>
                <w:u w:val="none"/>
                <w:lang w:val="en-US" w:eastAsia="zh-CN"/>
              </w:rPr>
              <w:t>/</w:t>
            </w:r>
          </w:p>
        </w:tc>
        <w:tc>
          <w:tcPr>
            <w:tcW w:w="824" w:type="pct"/>
            <w:tcBorders>
              <w:top w:val="single" w:color="000000" w:sz="4" w:space="0"/>
              <w:left w:val="single" w:color="000000" w:sz="4" w:space="0"/>
              <w:bottom w:val="single" w:color="000000" w:sz="4" w:space="0"/>
              <w:right w:val="single" w:color="000000" w:sz="4" w:space="0"/>
            </w:tcBorders>
            <w:noWrap/>
            <w:vAlign w:val="center"/>
          </w:tcPr>
          <w:p w14:paraId="3A90F9F6">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lang w:val="en-US" w:eastAsia="zh-CN"/>
              </w:rPr>
            </w:pPr>
            <w:r>
              <w:rPr>
                <w:rFonts w:hint="eastAsia" w:ascii="宋体" w:hAnsi="宋体" w:eastAsia="宋体" w:cs="宋体"/>
                <w:b/>
                <w:bCs/>
                <w:i w:val="0"/>
                <w:iCs w:val="0"/>
                <w:color w:val="auto"/>
                <w:sz w:val="20"/>
                <w:szCs w:val="20"/>
                <w:highlight w:val="none"/>
                <w:u w:val="none"/>
                <w:lang w:val="en-US" w:eastAsia="zh-CN"/>
              </w:rPr>
              <w:t>/</w:t>
            </w:r>
          </w:p>
        </w:tc>
        <w:tc>
          <w:tcPr>
            <w:tcW w:w="725" w:type="pct"/>
            <w:tcBorders>
              <w:top w:val="single" w:color="000000" w:sz="4" w:space="0"/>
              <w:left w:val="single" w:color="000000" w:sz="4" w:space="0"/>
              <w:bottom w:val="single" w:color="000000" w:sz="4" w:space="0"/>
              <w:right w:val="single" w:color="000000" w:sz="4" w:space="0"/>
            </w:tcBorders>
            <w:noWrap/>
            <w:vAlign w:val="center"/>
          </w:tcPr>
          <w:p w14:paraId="3AA2DB19">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16496.77</w:t>
            </w:r>
          </w:p>
        </w:tc>
        <w:tc>
          <w:tcPr>
            <w:tcW w:w="1192" w:type="pct"/>
            <w:tcBorders>
              <w:top w:val="single" w:color="000000" w:sz="4" w:space="0"/>
              <w:left w:val="single" w:color="000000" w:sz="4" w:space="0"/>
              <w:bottom w:val="single" w:color="000000" w:sz="4" w:space="0"/>
              <w:right w:val="single" w:color="000000" w:sz="4" w:space="0"/>
            </w:tcBorders>
            <w:noWrap w:val="0"/>
            <w:vAlign w:val="center"/>
          </w:tcPr>
          <w:p w14:paraId="5B3BFE5C">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此项费用不可调整，为固定费用</w:t>
            </w:r>
          </w:p>
        </w:tc>
      </w:tr>
      <w:tr w14:paraId="1B4FFA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42" w:type="pct"/>
            <w:tcBorders>
              <w:top w:val="single" w:color="000000" w:sz="4" w:space="0"/>
              <w:left w:val="single" w:color="000000" w:sz="4" w:space="0"/>
              <w:bottom w:val="single" w:color="000000" w:sz="4" w:space="0"/>
              <w:right w:val="single" w:color="000000" w:sz="4" w:space="0"/>
            </w:tcBorders>
            <w:noWrap/>
            <w:vAlign w:val="center"/>
          </w:tcPr>
          <w:p w14:paraId="00CAA8D0">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5.3</w:t>
            </w:r>
          </w:p>
        </w:tc>
        <w:tc>
          <w:tcPr>
            <w:tcW w:w="1492" w:type="pct"/>
            <w:gridSpan w:val="2"/>
            <w:tcBorders>
              <w:top w:val="single" w:color="000000" w:sz="4" w:space="0"/>
              <w:left w:val="single" w:color="000000" w:sz="4" w:space="0"/>
              <w:bottom w:val="single" w:color="000000" w:sz="4" w:space="0"/>
              <w:right w:val="single" w:color="000000" w:sz="4" w:space="0"/>
            </w:tcBorders>
            <w:noWrap/>
            <w:vAlign w:val="center"/>
          </w:tcPr>
          <w:p w14:paraId="45269625">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绿化农药化肥费</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0DDAB3AC">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w:t>
            </w:r>
          </w:p>
        </w:tc>
        <w:tc>
          <w:tcPr>
            <w:tcW w:w="824" w:type="pct"/>
            <w:tcBorders>
              <w:top w:val="single" w:color="000000" w:sz="4" w:space="0"/>
              <w:left w:val="single" w:color="000000" w:sz="4" w:space="0"/>
              <w:bottom w:val="single" w:color="000000" w:sz="4" w:space="0"/>
              <w:right w:val="single" w:color="000000" w:sz="4" w:space="0"/>
            </w:tcBorders>
            <w:noWrap/>
            <w:vAlign w:val="center"/>
          </w:tcPr>
          <w:p w14:paraId="371848A5">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w:t>
            </w:r>
          </w:p>
        </w:tc>
        <w:tc>
          <w:tcPr>
            <w:tcW w:w="725" w:type="pct"/>
            <w:tcBorders>
              <w:top w:val="single" w:color="000000" w:sz="4" w:space="0"/>
              <w:left w:val="single" w:color="000000" w:sz="4" w:space="0"/>
              <w:bottom w:val="single" w:color="000000" w:sz="4" w:space="0"/>
              <w:right w:val="single" w:color="000000" w:sz="4" w:space="0"/>
            </w:tcBorders>
            <w:noWrap/>
            <w:vAlign w:val="center"/>
          </w:tcPr>
          <w:p w14:paraId="0BB3B124">
            <w:pPr>
              <w:keepNext w:val="0"/>
              <w:keepLines w:val="0"/>
              <w:widowControl/>
              <w:suppressLineNumbers w:val="0"/>
              <w:jc w:val="center"/>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 xml:space="preserve">1500.00 </w:t>
            </w:r>
          </w:p>
        </w:tc>
        <w:tc>
          <w:tcPr>
            <w:tcW w:w="1192" w:type="pct"/>
            <w:tcBorders>
              <w:top w:val="single" w:color="000000" w:sz="4" w:space="0"/>
              <w:left w:val="single" w:color="000000" w:sz="4" w:space="0"/>
              <w:bottom w:val="single" w:color="000000" w:sz="4" w:space="0"/>
              <w:right w:val="single" w:color="000000" w:sz="4" w:space="0"/>
            </w:tcBorders>
            <w:noWrap w:val="0"/>
            <w:vAlign w:val="center"/>
          </w:tcPr>
          <w:p w14:paraId="04BADD98">
            <w:pPr>
              <w:keepNext w:val="0"/>
              <w:keepLines w:val="0"/>
              <w:widowControl/>
              <w:suppressLineNumbers w:val="0"/>
              <w:jc w:val="left"/>
              <w:textAlignment w:val="center"/>
              <w:rPr>
                <w:rFonts w:hint="eastAsia" w:ascii="宋体" w:hAnsi="宋体" w:eastAsia="宋体" w:cs="宋体"/>
                <w:b/>
                <w:bCs/>
                <w:i w:val="0"/>
                <w:iCs w:val="0"/>
                <w:color w:val="auto"/>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此项费用不可调整，为固定费用</w:t>
            </w:r>
          </w:p>
        </w:tc>
      </w:tr>
      <w:tr w14:paraId="4851C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42" w:type="pct"/>
            <w:tcBorders>
              <w:top w:val="single" w:color="000000" w:sz="4" w:space="0"/>
              <w:left w:val="single" w:color="000000" w:sz="4" w:space="0"/>
              <w:bottom w:val="single" w:color="000000" w:sz="4" w:space="0"/>
              <w:right w:val="single" w:color="000000" w:sz="4" w:space="0"/>
            </w:tcBorders>
            <w:noWrap/>
            <w:vAlign w:val="center"/>
          </w:tcPr>
          <w:p w14:paraId="7E198A3E">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5.4</w:t>
            </w:r>
          </w:p>
        </w:tc>
        <w:tc>
          <w:tcPr>
            <w:tcW w:w="1492" w:type="pct"/>
            <w:gridSpan w:val="2"/>
            <w:tcBorders>
              <w:top w:val="single" w:color="000000" w:sz="4" w:space="0"/>
              <w:left w:val="single" w:color="000000" w:sz="4" w:space="0"/>
              <w:bottom w:val="single" w:color="000000" w:sz="4" w:space="0"/>
              <w:right w:val="single" w:color="000000" w:sz="4" w:space="0"/>
            </w:tcBorders>
            <w:noWrap/>
            <w:vAlign w:val="center"/>
          </w:tcPr>
          <w:p w14:paraId="439D2427">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cs="宋体"/>
                <w:i w:val="0"/>
                <w:iCs w:val="0"/>
                <w:color w:val="auto"/>
                <w:kern w:val="0"/>
                <w:sz w:val="20"/>
                <w:szCs w:val="20"/>
                <w:highlight w:val="none"/>
                <w:u w:val="none"/>
                <w:lang w:val="en-US" w:eastAsia="zh-CN" w:bidi="ar"/>
              </w:rPr>
              <w:t>利润</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7BAD5855">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824" w:type="pct"/>
            <w:tcBorders>
              <w:top w:val="single" w:color="000000" w:sz="4" w:space="0"/>
              <w:left w:val="single" w:color="000000" w:sz="4" w:space="0"/>
              <w:bottom w:val="single" w:color="000000" w:sz="4" w:space="0"/>
              <w:right w:val="single" w:color="000000" w:sz="4" w:space="0"/>
            </w:tcBorders>
            <w:noWrap/>
            <w:vAlign w:val="center"/>
          </w:tcPr>
          <w:p w14:paraId="308F4B17">
            <w:pPr>
              <w:keepNext w:val="0"/>
              <w:keepLines w:val="0"/>
              <w:widowControl/>
              <w:suppressLineNumbers w:val="0"/>
              <w:jc w:val="center"/>
              <w:textAlignment w:val="center"/>
              <w:rPr>
                <w:rFonts w:hint="default"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w:t>
            </w:r>
          </w:p>
        </w:tc>
        <w:tc>
          <w:tcPr>
            <w:tcW w:w="725" w:type="pct"/>
            <w:tcBorders>
              <w:top w:val="single" w:color="000000" w:sz="4" w:space="0"/>
              <w:left w:val="single" w:color="000000" w:sz="4" w:space="0"/>
              <w:bottom w:val="single" w:color="000000" w:sz="4" w:space="0"/>
              <w:right w:val="single" w:color="000000" w:sz="4" w:space="0"/>
            </w:tcBorders>
            <w:noWrap/>
            <w:vAlign w:val="center"/>
          </w:tcPr>
          <w:p w14:paraId="0DE14E04">
            <w:pPr>
              <w:keepNext w:val="0"/>
              <w:keepLines w:val="0"/>
              <w:widowControl/>
              <w:suppressLineNumbers w:val="0"/>
              <w:jc w:val="center"/>
              <w:textAlignment w:val="center"/>
              <w:rPr>
                <w:rFonts w:hint="eastAsia" w:ascii="宋体" w:hAnsi="宋体" w:eastAsia="宋体" w:cs="宋体"/>
                <w:i w:val="0"/>
                <w:iCs w:val="0"/>
                <w:color w:val="auto"/>
                <w:kern w:val="0"/>
                <w:sz w:val="20"/>
                <w:szCs w:val="20"/>
                <w:highlight w:val="none"/>
                <w:u w:val="none"/>
                <w:lang w:val="en-US" w:eastAsia="zh-CN" w:bidi="ar"/>
              </w:rPr>
            </w:pPr>
          </w:p>
        </w:tc>
        <w:tc>
          <w:tcPr>
            <w:tcW w:w="1192" w:type="pct"/>
            <w:tcBorders>
              <w:top w:val="single" w:color="000000" w:sz="4" w:space="0"/>
              <w:left w:val="single" w:color="000000" w:sz="4" w:space="0"/>
              <w:bottom w:val="single" w:color="000000" w:sz="4" w:space="0"/>
              <w:right w:val="single" w:color="000000" w:sz="4" w:space="0"/>
            </w:tcBorders>
            <w:noWrap w:val="0"/>
            <w:vAlign w:val="center"/>
          </w:tcPr>
          <w:p w14:paraId="17B1C2D0">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lang w:val="en-US" w:eastAsia="zh-CN" w:bidi="ar"/>
              </w:rPr>
            </w:pPr>
            <w:r>
              <w:rPr>
                <w:rFonts w:hint="eastAsia" w:ascii="宋体" w:hAnsi="宋体" w:eastAsia="宋体" w:cs="宋体"/>
                <w:i w:val="0"/>
                <w:iCs w:val="0"/>
                <w:color w:val="auto"/>
                <w:kern w:val="0"/>
                <w:sz w:val="20"/>
                <w:szCs w:val="20"/>
                <w:highlight w:val="none"/>
                <w:u w:val="none"/>
                <w:lang w:val="en-US" w:eastAsia="zh-CN" w:bidi="ar"/>
              </w:rPr>
              <w:t>投标人结合自身情况及市场行情，综合考虑自行报价。</w:t>
            </w:r>
          </w:p>
        </w:tc>
      </w:tr>
      <w:tr w14:paraId="2CE65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342" w:type="pct"/>
            <w:tcBorders>
              <w:top w:val="single" w:color="000000" w:sz="4" w:space="0"/>
              <w:left w:val="single" w:color="000000" w:sz="4" w:space="0"/>
              <w:bottom w:val="single" w:color="000000" w:sz="4" w:space="0"/>
              <w:right w:val="single" w:color="000000" w:sz="4" w:space="0"/>
            </w:tcBorders>
            <w:noWrap/>
            <w:vAlign w:val="center"/>
          </w:tcPr>
          <w:p w14:paraId="22A9E9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六</w:t>
            </w:r>
          </w:p>
        </w:tc>
        <w:tc>
          <w:tcPr>
            <w:tcW w:w="1492" w:type="pct"/>
            <w:gridSpan w:val="2"/>
            <w:tcBorders>
              <w:top w:val="single" w:color="000000" w:sz="4" w:space="0"/>
              <w:left w:val="single" w:color="000000" w:sz="4" w:space="0"/>
              <w:bottom w:val="single" w:color="000000" w:sz="4" w:space="0"/>
              <w:right w:val="single" w:color="000000" w:sz="4" w:space="0"/>
            </w:tcBorders>
            <w:noWrap/>
            <w:vAlign w:val="center"/>
          </w:tcPr>
          <w:p w14:paraId="79F074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税金</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59A366C1">
            <w:pPr>
              <w:jc w:val="cente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w:t>
            </w:r>
          </w:p>
        </w:tc>
        <w:tc>
          <w:tcPr>
            <w:tcW w:w="824" w:type="pct"/>
            <w:tcBorders>
              <w:top w:val="single" w:color="000000" w:sz="4" w:space="0"/>
              <w:left w:val="single" w:color="000000" w:sz="4" w:space="0"/>
              <w:bottom w:val="single" w:color="000000" w:sz="4" w:space="0"/>
              <w:right w:val="single" w:color="000000" w:sz="4" w:space="0"/>
            </w:tcBorders>
            <w:noWrap/>
            <w:vAlign w:val="center"/>
          </w:tcPr>
          <w:p w14:paraId="1208F3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cs="宋体"/>
                <w:i w:val="0"/>
                <w:iCs w:val="0"/>
                <w:color w:val="auto"/>
                <w:kern w:val="0"/>
                <w:sz w:val="20"/>
                <w:szCs w:val="20"/>
                <w:highlight w:val="none"/>
                <w:u w:val="none"/>
                <w:lang w:val="en-US" w:eastAsia="zh-CN" w:bidi="ar"/>
              </w:rPr>
              <w:t>/</w:t>
            </w:r>
          </w:p>
        </w:tc>
        <w:tc>
          <w:tcPr>
            <w:tcW w:w="725" w:type="pct"/>
            <w:tcBorders>
              <w:top w:val="single" w:color="000000" w:sz="4" w:space="0"/>
              <w:left w:val="single" w:color="000000" w:sz="4" w:space="0"/>
              <w:bottom w:val="single" w:color="000000" w:sz="4" w:space="0"/>
              <w:right w:val="single" w:color="000000" w:sz="4" w:space="0"/>
            </w:tcBorders>
            <w:noWrap/>
            <w:vAlign w:val="center"/>
          </w:tcPr>
          <w:p w14:paraId="47A012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 </w:t>
            </w:r>
          </w:p>
        </w:tc>
        <w:tc>
          <w:tcPr>
            <w:tcW w:w="1192" w:type="pct"/>
            <w:tcBorders>
              <w:top w:val="single" w:color="000000" w:sz="4" w:space="0"/>
              <w:left w:val="single" w:color="000000" w:sz="4" w:space="0"/>
              <w:bottom w:val="single" w:color="000000" w:sz="4" w:space="0"/>
              <w:right w:val="single" w:color="000000" w:sz="4" w:space="0"/>
            </w:tcBorders>
            <w:noWrap w:val="0"/>
            <w:vAlign w:val="center"/>
          </w:tcPr>
          <w:p w14:paraId="1E9328D5">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六=（一+二+三+四+五）×税金费率，不得低于6.72%</w:t>
            </w:r>
          </w:p>
        </w:tc>
      </w:tr>
      <w:tr w14:paraId="204A5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atLeast"/>
        </w:trPr>
        <w:tc>
          <w:tcPr>
            <w:tcW w:w="342" w:type="pct"/>
            <w:tcBorders>
              <w:top w:val="single" w:color="000000" w:sz="4" w:space="0"/>
              <w:left w:val="single" w:color="000000" w:sz="4" w:space="0"/>
              <w:bottom w:val="single" w:color="000000" w:sz="4" w:space="0"/>
              <w:right w:val="single" w:color="000000" w:sz="4" w:space="0"/>
            </w:tcBorders>
            <w:noWrap/>
            <w:vAlign w:val="center"/>
          </w:tcPr>
          <w:p w14:paraId="6CAE14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七</w:t>
            </w:r>
          </w:p>
        </w:tc>
        <w:tc>
          <w:tcPr>
            <w:tcW w:w="1492" w:type="pct"/>
            <w:gridSpan w:val="2"/>
            <w:tcBorders>
              <w:top w:val="single" w:color="000000" w:sz="4" w:space="0"/>
              <w:left w:val="single" w:color="000000" w:sz="4" w:space="0"/>
              <w:bottom w:val="single" w:color="000000" w:sz="4" w:space="0"/>
              <w:right w:val="single" w:color="000000" w:sz="4" w:space="0"/>
            </w:tcBorders>
            <w:noWrap/>
            <w:vAlign w:val="center"/>
          </w:tcPr>
          <w:p w14:paraId="4A1BE6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总计</w:t>
            </w:r>
          </w:p>
        </w:tc>
        <w:tc>
          <w:tcPr>
            <w:tcW w:w="422" w:type="pct"/>
            <w:tcBorders>
              <w:top w:val="single" w:color="000000" w:sz="4" w:space="0"/>
              <w:left w:val="single" w:color="000000" w:sz="4" w:space="0"/>
              <w:bottom w:val="single" w:color="000000" w:sz="4" w:space="0"/>
              <w:right w:val="single" w:color="000000" w:sz="4" w:space="0"/>
            </w:tcBorders>
            <w:noWrap/>
            <w:vAlign w:val="center"/>
          </w:tcPr>
          <w:p w14:paraId="235199DE">
            <w:pPr>
              <w:rPr>
                <w:rFonts w:hint="eastAsia" w:ascii="宋体" w:hAnsi="宋体" w:eastAsia="宋体" w:cs="宋体"/>
                <w:i w:val="0"/>
                <w:iCs w:val="0"/>
                <w:color w:val="auto"/>
                <w:sz w:val="20"/>
                <w:szCs w:val="20"/>
                <w:highlight w:val="none"/>
                <w:u w:val="none"/>
              </w:rPr>
            </w:pPr>
          </w:p>
        </w:tc>
        <w:tc>
          <w:tcPr>
            <w:tcW w:w="824" w:type="pct"/>
            <w:tcBorders>
              <w:top w:val="single" w:color="000000" w:sz="4" w:space="0"/>
              <w:left w:val="single" w:color="000000" w:sz="4" w:space="0"/>
              <w:bottom w:val="single" w:color="000000" w:sz="4" w:space="0"/>
              <w:right w:val="single" w:color="000000" w:sz="4" w:space="0"/>
            </w:tcBorders>
            <w:noWrap/>
            <w:vAlign w:val="center"/>
          </w:tcPr>
          <w:p w14:paraId="0BB92FF8">
            <w:pPr>
              <w:rPr>
                <w:rFonts w:hint="eastAsia" w:ascii="宋体" w:hAnsi="宋体" w:eastAsia="宋体" w:cs="宋体"/>
                <w:i w:val="0"/>
                <w:iCs w:val="0"/>
                <w:color w:val="auto"/>
                <w:sz w:val="20"/>
                <w:szCs w:val="20"/>
                <w:highlight w:val="none"/>
                <w:u w:val="none"/>
              </w:rPr>
            </w:pPr>
          </w:p>
        </w:tc>
        <w:tc>
          <w:tcPr>
            <w:tcW w:w="725" w:type="pct"/>
            <w:tcBorders>
              <w:top w:val="single" w:color="000000" w:sz="4" w:space="0"/>
              <w:left w:val="single" w:color="000000" w:sz="4" w:space="0"/>
              <w:bottom w:val="single" w:color="000000" w:sz="4" w:space="0"/>
              <w:right w:val="single" w:color="000000" w:sz="4" w:space="0"/>
            </w:tcBorders>
            <w:noWrap/>
            <w:vAlign w:val="center"/>
          </w:tcPr>
          <w:p w14:paraId="2F3511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kern w:val="0"/>
                <w:sz w:val="20"/>
                <w:szCs w:val="20"/>
                <w:highlight w:val="none"/>
                <w:u w:val="none"/>
                <w:lang w:val="en-US" w:eastAsia="zh-CN" w:bidi="ar"/>
              </w:rPr>
              <w:t xml:space="preserve"> </w:t>
            </w:r>
          </w:p>
        </w:tc>
        <w:tc>
          <w:tcPr>
            <w:tcW w:w="1192" w:type="pct"/>
            <w:tcBorders>
              <w:top w:val="single" w:color="000000" w:sz="4" w:space="0"/>
              <w:left w:val="single" w:color="000000" w:sz="4" w:space="0"/>
              <w:bottom w:val="single" w:color="000000" w:sz="4" w:space="0"/>
              <w:right w:val="single" w:color="000000" w:sz="4" w:space="0"/>
            </w:tcBorders>
            <w:noWrap w:val="0"/>
            <w:vAlign w:val="center"/>
          </w:tcPr>
          <w:p w14:paraId="07A599AD">
            <w:pPr>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七=</w:t>
            </w:r>
            <w:r>
              <w:rPr>
                <w:rFonts w:hint="eastAsia" w:ascii="宋体" w:hAnsi="宋体" w:eastAsia="宋体" w:cs="宋体"/>
                <w:i w:val="0"/>
                <w:iCs w:val="0"/>
                <w:color w:val="auto"/>
                <w:kern w:val="0"/>
                <w:sz w:val="20"/>
                <w:szCs w:val="20"/>
                <w:highlight w:val="none"/>
                <w:u w:val="none"/>
                <w:lang w:val="en-US" w:eastAsia="zh-CN" w:bidi="ar"/>
              </w:rPr>
              <w:t>（一+二+三+四+五+六）</w:t>
            </w:r>
          </w:p>
        </w:tc>
      </w:tr>
    </w:tbl>
    <w:p w14:paraId="0443AF2C">
      <w:pPr>
        <w:spacing w:line="500" w:lineRule="exact"/>
        <w:ind w:firstLine="470"/>
        <w:rPr>
          <w:rFonts w:ascii="宋体" w:hAnsi="宋体" w:cs="宋体"/>
          <w:i/>
          <w:color w:val="auto"/>
          <w:sz w:val="24"/>
          <w:u w:val="single"/>
        </w:rPr>
      </w:pPr>
      <w:r>
        <w:rPr>
          <w:rFonts w:hint="eastAsia" w:ascii="宋体" w:hAnsi="宋体" w:cs="宋体"/>
          <w:b/>
          <w:i/>
          <w:iCs/>
          <w:color w:val="auto"/>
          <w:sz w:val="24"/>
          <w:u w:val="single"/>
        </w:rPr>
        <w:t>注：投标人所提供人员的费用不得低于上述标准进行测算，否则视为未实质性响应招标文件要求</w:t>
      </w:r>
      <w:r>
        <w:rPr>
          <w:rFonts w:hint="eastAsia" w:ascii="宋体" w:hAnsi="宋体" w:cs="宋体"/>
          <w:b/>
          <w:i/>
          <w:iCs/>
          <w:color w:val="auto"/>
          <w:sz w:val="24"/>
        </w:rPr>
        <w:t>。</w:t>
      </w:r>
      <w:r>
        <w:rPr>
          <w:rFonts w:hint="eastAsia" w:ascii="宋体" w:hAnsi="宋体" w:cs="宋体"/>
          <w:b/>
          <w:color w:val="auto"/>
          <w:sz w:val="24"/>
        </w:rPr>
        <w:t>如果招标公告发布之后开标前遇政府调整职工最低工资标准或社会保险缴纳基数，评标委员会进行符合性审查时可仍按上述标准审查，中标后，中标人应按照最新政策文件规定执行。</w:t>
      </w:r>
    </w:p>
    <w:p w14:paraId="3F8B1744">
      <w:pPr>
        <w:spacing w:line="520" w:lineRule="exact"/>
        <w:ind w:firstLine="2730" w:firstLineChars="130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 </w:t>
      </w:r>
    </w:p>
    <w:p w14:paraId="0168DA5F">
      <w:pPr>
        <w:spacing w:line="520" w:lineRule="exact"/>
        <w:ind w:firstLine="3120" w:firstLineChars="1300"/>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企业名称（加盖CA电子公章）：</w:t>
      </w:r>
      <w:r>
        <w:rPr>
          <w:rFonts w:hint="eastAsia" w:ascii="宋体" w:hAnsi="宋体" w:cs="宋体"/>
          <w:color w:val="auto"/>
          <w:sz w:val="24"/>
          <w:highlight w:val="none"/>
          <w:u w:val="single"/>
          <w:lang w:val="en-US" w:eastAsia="zh-CN"/>
        </w:rPr>
        <w:t xml:space="preserve">           </w:t>
      </w:r>
    </w:p>
    <w:p w14:paraId="22C576E3">
      <w:pPr>
        <w:spacing w:line="520" w:lineRule="exact"/>
        <w:ind w:firstLine="3360" w:firstLineChars="1400"/>
        <w:rPr>
          <w:rFonts w:hint="default" w:ascii="宋体" w:hAnsi="宋体" w:eastAsia="宋体" w:cs="宋体"/>
          <w:color w:val="auto"/>
          <w:sz w:val="24"/>
          <w:highlight w:val="none"/>
          <w:u w:val="single"/>
          <w:lang w:val="en-US" w:eastAsia="zh-CN"/>
        </w:rPr>
      </w:pPr>
      <w:r>
        <w:rPr>
          <w:rFonts w:hint="eastAsia" w:ascii="宋体" w:hAnsi="宋体" w:cs="宋体"/>
          <w:color w:val="auto"/>
          <w:sz w:val="24"/>
          <w:highlight w:val="none"/>
        </w:rPr>
        <w:t>日 期：</w:t>
      </w:r>
      <w:r>
        <w:rPr>
          <w:rFonts w:hint="eastAsia" w:ascii="宋体" w:hAnsi="宋体" w:cs="宋体"/>
          <w:color w:val="auto"/>
          <w:sz w:val="24"/>
          <w:highlight w:val="none"/>
          <w:u w:val="single"/>
          <w:lang w:val="en-US" w:eastAsia="zh-CN"/>
        </w:rPr>
        <w:t xml:space="preserve">                             </w:t>
      </w:r>
    </w:p>
    <w:p w14:paraId="0EA67EA4">
      <w:pPr>
        <w:jc w:val="center"/>
        <w:rPr>
          <w:rFonts w:ascii="黑体" w:hAnsi="黑体" w:eastAsia="黑体" w:cs="黑体"/>
          <w:i/>
          <w:color w:val="auto"/>
          <w:sz w:val="32"/>
          <w:szCs w:val="32"/>
          <w:u w:val="single"/>
        </w:rPr>
      </w:pPr>
      <w:r>
        <w:rPr>
          <w:rFonts w:hint="eastAsia" w:ascii="宋体" w:hAnsi="宋体" w:cs="宋体"/>
          <w:b/>
          <w:bCs/>
          <w:color w:val="auto"/>
          <w:sz w:val="32"/>
          <w:szCs w:val="32"/>
        </w:rPr>
        <w:br w:type="page" w:clear="all"/>
      </w:r>
      <w:r>
        <w:rPr>
          <w:rFonts w:hint="eastAsia" w:ascii="黑体" w:hAnsi="黑体" w:eastAsia="黑体" w:cs="黑体"/>
          <w:i/>
          <w:color w:val="auto"/>
          <w:sz w:val="32"/>
          <w:szCs w:val="32"/>
          <w:u w:val="single"/>
        </w:rPr>
        <w:t>十</w:t>
      </w:r>
      <w:r>
        <w:rPr>
          <w:rFonts w:hint="eastAsia" w:ascii="黑体" w:hAnsi="黑体" w:eastAsia="黑体" w:cs="黑体"/>
          <w:i/>
          <w:color w:val="auto"/>
          <w:sz w:val="32"/>
          <w:szCs w:val="32"/>
          <w:u w:val="single"/>
          <w:lang w:val="en-US" w:eastAsia="zh-CN"/>
        </w:rPr>
        <w:t>三</w:t>
      </w:r>
      <w:r>
        <w:rPr>
          <w:rFonts w:hint="eastAsia" w:ascii="黑体" w:hAnsi="黑体" w:eastAsia="黑体" w:cs="黑体"/>
          <w:i/>
          <w:color w:val="auto"/>
          <w:sz w:val="32"/>
          <w:szCs w:val="32"/>
          <w:u w:val="single"/>
        </w:rPr>
        <w:t>、技术要求响应及偏离表</w:t>
      </w:r>
    </w:p>
    <w:p w14:paraId="384E6872">
      <w:pPr>
        <w:pStyle w:val="198"/>
        <w:spacing w:beforeAutospacing="0" w:afterAutospacing="0"/>
        <w:jc w:val="both"/>
        <w:rPr>
          <w:bCs/>
          <w:i/>
          <w:color w:val="auto"/>
          <w:sz w:val="13"/>
          <w:szCs w:val="13"/>
          <w:u w:val="single"/>
        </w:rPr>
      </w:pPr>
    </w:p>
    <w:tbl>
      <w:tblPr>
        <w:tblStyle w:val="2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2369"/>
        <w:gridCol w:w="2240"/>
        <w:gridCol w:w="1679"/>
        <w:gridCol w:w="1679"/>
      </w:tblGrid>
      <w:tr w14:paraId="337CF7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8" w:hRule="atLeast"/>
          <w:tblCellSpacing w:w="0" w:type="dxa"/>
          <w:jc w:val="center"/>
        </w:trPr>
        <w:tc>
          <w:tcPr>
            <w:tcW w:w="810" w:type="dxa"/>
            <w:noWrap/>
            <w:vAlign w:val="center"/>
          </w:tcPr>
          <w:p w14:paraId="1DBA7FD5">
            <w:pPr>
              <w:pStyle w:val="198"/>
              <w:spacing w:beforeAutospacing="0" w:afterAutospacing="0"/>
              <w:jc w:val="center"/>
              <w:rPr>
                <w:color w:val="auto"/>
              </w:rPr>
            </w:pPr>
            <w:r>
              <w:rPr>
                <w:rFonts w:hint="eastAsia"/>
                <w:color w:val="auto"/>
              </w:rPr>
              <w:t>序号</w:t>
            </w:r>
          </w:p>
        </w:tc>
        <w:tc>
          <w:tcPr>
            <w:tcW w:w="2369" w:type="dxa"/>
            <w:noWrap/>
            <w:vAlign w:val="center"/>
          </w:tcPr>
          <w:p w14:paraId="444DF042">
            <w:pPr>
              <w:pStyle w:val="198"/>
              <w:spacing w:beforeAutospacing="0" w:afterAutospacing="0"/>
              <w:jc w:val="center"/>
              <w:rPr>
                <w:color w:val="auto"/>
              </w:rPr>
            </w:pPr>
            <w:r>
              <w:rPr>
                <w:rFonts w:hint="eastAsia"/>
                <w:color w:val="auto"/>
              </w:rPr>
              <w:t>招标文件要求</w:t>
            </w:r>
          </w:p>
        </w:tc>
        <w:tc>
          <w:tcPr>
            <w:tcW w:w="2240" w:type="dxa"/>
            <w:noWrap/>
            <w:vAlign w:val="center"/>
          </w:tcPr>
          <w:p w14:paraId="6BE8A1CD">
            <w:pPr>
              <w:pStyle w:val="198"/>
              <w:spacing w:beforeAutospacing="0" w:afterAutospacing="0"/>
              <w:jc w:val="center"/>
              <w:rPr>
                <w:color w:val="auto"/>
              </w:rPr>
            </w:pPr>
            <w:r>
              <w:rPr>
                <w:rFonts w:hint="eastAsia"/>
                <w:color w:val="auto"/>
              </w:rPr>
              <w:t>投标响应情况</w:t>
            </w:r>
          </w:p>
        </w:tc>
        <w:tc>
          <w:tcPr>
            <w:tcW w:w="1679" w:type="dxa"/>
            <w:noWrap/>
            <w:vAlign w:val="center"/>
          </w:tcPr>
          <w:p w14:paraId="313E10E7">
            <w:pPr>
              <w:pStyle w:val="198"/>
              <w:spacing w:beforeAutospacing="0" w:afterAutospacing="0"/>
              <w:jc w:val="center"/>
              <w:rPr>
                <w:color w:val="auto"/>
              </w:rPr>
            </w:pPr>
            <w:r>
              <w:rPr>
                <w:rFonts w:hint="eastAsia"/>
                <w:color w:val="auto"/>
              </w:rPr>
              <w:t>超出、符合或偏离</w:t>
            </w:r>
          </w:p>
        </w:tc>
        <w:tc>
          <w:tcPr>
            <w:tcW w:w="1679" w:type="dxa"/>
            <w:noWrap/>
            <w:vAlign w:val="center"/>
          </w:tcPr>
          <w:p w14:paraId="4B546E5B">
            <w:pPr>
              <w:pStyle w:val="198"/>
              <w:spacing w:beforeAutospacing="0" w:afterAutospacing="0"/>
              <w:jc w:val="center"/>
              <w:rPr>
                <w:color w:val="auto"/>
              </w:rPr>
            </w:pPr>
            <w:r>
              <w:rPr>
                <w:rFonts w:hint="eastAsia"/>
                <w:color w:val="auto"/>
              </w:rPr>
              <w:t>证明</w:t>
            </w:r>
          </w:p>
          <w:p w14:paraId="130B22A4">
            <w:pPr>
              <w:pStyle w:val="198"/>
              <w:spacing w:beforeAutospacing="0" w:afterAutospacing="0"/>
              <w:jc w:val="center"/>
              <w:rPr>
                <w:color w:val="auto"/>
              </w:rPr>
            </w:pPr>
            <w:r>
              <w:rPr>
                <w:rFonts w:hint="eastAsia"/>
                <w:color w:val="auto"/>
              </w:rPr>
              <w:t>材料</w:t>
            </w:r>
          </w:p>
        </w:tc>
      </w:tr>
      <w:tr w14:paraId="4F2EC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142A15B5">
            <w:pPr>
              <w:pStyle w:val="198"/>
              <w:spacing w:beforeAutospacing="0" w:afterAutospacing="0"/>
              <w:ind w:firstLine="600"/>
              <w:jc w:val="center"/>
              <w:rPr>
                <w:color w:val="auto"/>
              </w:rPr>
            </w:pPr>
            <w:r>
              <w:rPr>
                <w:rFonts w:hint="eastAsia"/>
                <w:color w:val="auto"/>
              </w:rPr>
              <w:t> </w:t>
            </w:r>
          </w:p>
        </w:tc>
        <w:tc>
          <w:tcPr>
            <w:tcW w:w="2369" w:type="dxa"/>
            <w:noWrap/>
            <w:vAlign w:val="center"/>
          </w:tcPr>
          <w:p w14:paraId="7A2D79D2">
            <w:pPr>
              <w:pStyle w:val="198"/>
              <w:spacing w:beforeAutospacing="0" w:afterAutospacing="0"/>
              <w:ind w:firstLine="600"/>
              <w:jc w:val="center"/>
              <w:rPr>
                <w:color w:val="auto"/>
              </w:rPr>
            </w:pPr>
            <w:r>
              <w:rPr>
                <w:rFonts w:hint="eastAsia"/>
                <w:color w:val="auto"/>
              </w:rPr>
              <w:t> </w:t>
            </w:r>
          </w:p>
        </w:tc>
        <w:tc>
          <w:tcPr>
            <w:tcW w:w="2240" w:type="dxa"/>
            <w:noWrap/>
            <w:vAlign w:val="center"/>
          </w:tcPr>
          <w:p w14:paraId="44DAC861">
            <w:pPr>
              <w:pStyle w:val="198"/>
              <w:spacing w:beforeAutospacing="0" w:afterAutospacing="0"/>
              <w:ind w:firstLine="600"/>
              <w:jc w:val="center"/>
              <w:rPr>
                <w:color w:val="auto"/>
              </w:rPr>
            </w:pPr>
            <w:r>
              <w:rPr>
                <w:rFonts w:hint="eastAsia"/>
                <w:color w:val="auto"/>
              </w:rPr>
              <w:t> </w:t>
            </w:r>
          </w:p>
        </w:tc>
        <w:tc>
          <w:tcPr>
            <w:tcW w:w="1679" w:type="dxa"/>
            <w:noWrap/>
            <w:vAlign w:val="center"/>
          </w:tcPr>
          <w:p w14:paraId="70384CB1">
            <w:pPr>
              <w:pStyle w:val="198"/>
              <w:spacing w:beforeAutospacing="0" w:afterAutospacing="0"/>
              <w:ind w:firstLine="600"/>
              <w:jc w:val="center"/>
              <w:rPr>
                <w:color w:val="auto"/>
              </w:rPr>
            </w:pPr>
            <w:r>
              <w:rPr>
                <w:rFonts w:hint="eastAsia"/>
                <w:color w:val="auto"/>
              </w:rPr>
              <w:t> </w:t>
            </w:r>
          </w:p>
        </w:tc>
        <w:tc>
          <w:tcPr>
            <w:tcW w:w="1679" w:type="dxa"/>
            <w:noWrap/>
            <w:vAlign w:val="center"/>
          </w:tcPr>
          <w:p w14:paraId="51190F44">
            <w:pPr>
              <w:pStyle w:val="198"/>
              <w:spacing w:beforeAutospacing="0" w:afterAutospacing="0"/>
              <w:ind w:firstLine="600"/>
              <w:jc w:val="center"/>
              <w:rPr>
                <w:color w:val="auto"/>
              </w:rPr>
            </w:pPr>
            <w:r>
              <w:rPr>
                <w:rFonts w:hint="eastAsia"/>
                <w:color w:val="auto"/>
              </w:rPr>
              <w:t> </w:t>
            </w:r>
          </w:p>
        </w:tc>
      </w:tr>
      <w:tr w14:paraId="5218A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191260F5">
            <w:pPr>
              <w:pStyle w:val="198"/>
              <w:spacing w:beforeAutospacing="0" w:afterAutospacing="0"/>
              <w:ind w:firstLine="600"/>
              <w:jc w:val="center"/>
              <w:rPr>
                <w:color w:val="auto"/>
              </w:rPr>
            </w:pPr>
            <w:r>
              <w:rPr>
                <w:rFonts w:hint="eastAsia"/>
                <w:color w:val="auto"/>
              </w:rPr>
              <w:t> </w:t>
            </w:r>
          </w:p>
        </w:tc>
        <w:tc>
          <w:tcPr>
            <w:tcW w:w="2369" w:type="dxa"/>
            <w:noWrap/>
            <w:vAlign w:val="center"/>
          </w:tcPr>
          <w:p w14:paraId="59AC6849">
            <w:pPr>
              <w:pStyle w:val="198"/>
              <w:spacing w:beforeAutospacing="0" w:afterAutospacing="0"/>
              <w:ind w:firstLine="600"/>
              <w:jc w:val="center"/>
              <w:rPr>
                <w:color w:val="auto"/>
              </w:rPr>
            </w:pPr>
            <w:r>
              <w:rPr>
                <w:rFonts w:hint="eastAsia"/>
                <w:color w:val="auto"/>
              </w:rPr>
              <w:t> </w:t>
            </w:r>
          </w:p>
        </w:tc>
        <w:tc>
          <w:tcPr>
            <w:tcW w:w="2240" w:type="dxa"/>
            <w:noWrap/>
            <w:vAlign w:val="center"/>
          </w:tcPr>
          <w:p w14:paraId="4A59F04B">
            <w:pPr>
              <w:pStyle w:val="198"/>
              <w:spacing w:beforeAutospacing="0" w:afterAutospacing="0"/>
              <w:ind w:firstLine="600"/>
              <w:jc w:val="center"/>
              <w:rPr>
                <w:color w:val="auto"/>
              </w:rPr>
            </w:pPr>
            <w:r>
              <w:rPr>
                <w:rFonts w:hint="eastAsia"/>
                <w:color w:val="auto"/>
              </w:rPr>
              <w:t> </w:t>
            </w:r>
          </w:p>
        </w:tc>
        <w:tc>
          <w:tcPr>
            <w:tcW w:w="1679" w:type="dxa"/>
            <w:noWrap/>
            <w:vAlign w:val="center"/>
          </w:tcPr>
          <w:p w14:paraId="58529C5E">
            <w:pPr>
              <w:pStyle w:val="198"/>
              <w:spacing w:beforeAutospacing="0" w:afterAutospacing="0"/>
              <w:ind w:firstLine="600"/>
              <w:jc w:val="center"/>
              <w:rPr>
                <w:color w:val="auto"/>
              </w:rPr>
            </w:pPr>
            <w:r>
              <w:rPr>
                <w:rFonts w:hint="eastAsia"/>
                <w:color w:val="auto"/>
              </w:rPr>
              <w:t> </w:t>
            </w:r>
          </w:p>
        </w:tc>
        <w:tc>
          <w:tcPr>
            <w:tcW w:w="1679" w:type="dxa"/>
            <w:noWrap/>
            <w:vAlign w:val="center"/>
          </w:tcPr>
          <w:p w14:paraId="75959D8F">
            <w:pPr>
              <w:pStyle w:val="198"/>
              <w:spacing w:beforeAutospacing="0" w:afterAutospacing="0"/>
              <w:ind w:firstLine="600"/>
              <w:jc w:val="center"/>
              <w:rPr>
                <w:color w:val="auto"/>
              </w:rPr>
            </w:pPr>
            <w:r>
              <w:rPr>
                <w:rFonts w:hint="eastAsia"/>
                <w:color w:val="auto"/>
              </w:rPr>
              <w:t> </w:t>
            </w:r>
          </w:p>
        </w:tc>
      </w:tr>
      <w:tr w14:paraId="6C416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2D2B7A86">
            <w:pPr>
              <w:pStyle w:val="198"/>
              <w:spacing w:beforeAutospacing="0" w:afterAutospacing="0"/>
              <w:ind w:firstLine="600"/>
              <w:jc w:val="center"/>
              <w:rPr>
                <w:color w:val="auto"/>
              </w:rPr>
            </w:pPr>
            <w:r>
              <w:rPr>
                <w:rFonts w:hint="eastAsia"/>
                <w:color w:val="auto"/>
              </w:rPr>
              <w:t> </w:t>
            </w:r>
          </w:p>
        </w:tc>
        <w:tc>
          <w:tcPr>
            <w:tcW w:w="2369" w:type="dxa"/>
            <w:noWrap/>
            <w:vAlign w:val="center"/>
          </w:tcPr>
          <w:p w14:paraId="080C3F91">
            <w:pPr>
              <w:pStyle w:val="198"/>
              <w:spacing w:beforeAutospacing="0" w:afterAutospacing="0"/>
              <w:ind w:firstLine="600"/>
              <w:jc w:val="center"/>
              <w:rPr>
                <w:color w:val="auto"/>
              </w:rPr>
            </w:pPr>
            <w:r>
              <w:rPr>
                <w:rFonts w:hint="eastAsia"/>
                <w:color w:val="auto"/>
              </w:rPr>
              <w:t> </w:t>
            </w:r>
          </w:p>
        </w:tc>
        <w:tc>
          <w:tcPr>
            <w:tcW w:w="2240" w:type="dxa"/>
            <w:noWrap/>
            <w:vAlign w:val="center"/>
          </w:tcPr>
          <w:p w14:paraId="1056D0AF">
            <w:pPr>
              <w:pStyle w:val="198"/>
              <w:spacing w:beforeAutospacing="0" w:afterAutospacing="0"/>
              <w:ind w:firstLine="600"/>
              <w:jc w:val="center"/>
              <w:rPr>
                <w:color w:val="auto"/>
              </w:rPr>
            </w:pPr>
            <w:r>
              <w:rPr>
                <w:rFonts w:hint="eastAsia"/>
                <w:color w:val="auto"/>
              </w:rPr>
              <w:t> </w:t>
            </w:r>
          </w:p>
        </w:tc>
        <w:tc>
          <w:tcPr>
            <w:tcW w:w="1679" w:type="dxa"/>
            <w:noWrap/>
            <w:vAlign w:val="center"/>
          </w:tcPr>
          <w:p w14:paraId="48207826">
            <w:pPr>
              <w:pStyle w:val="198"/>
              <w:spacing w:beforeAutospacing="0" w:afterAutospacing="0"/>
              <w:ind w:firstLine="600"/>
              <w:jc w:val="center"/>
              <w:rPr>
                <w:color w:val="auto"/>
              </w:rPr>
            </w:pPr>
            <w:r>
              <w:rPr>
                <w:rFonts w:hint="eastAsia"/>
                <w:color w:val="auto"/>
              </w:rPr>
              <w:t> </w:t>
            </w:r>
          </w:p>
        </w:tc>
        <w:tc>
          <w:tcPr>
            <w:tcW w:w="1679" w:type="dxa"/>
            <w:noWrap/>
            <w:vAlign w:val="center"/>
          </w:tcPr>
          <w:p w14:paraId="43EBEF73">
            <w:pPr>
              <w:pStyle w:val="198"/>
              <w:spacing w:beforeAutospacing="0" w:afterAutospacing="0"/>
              <w:ind w:firstLine="600"/>
              <w:jc w:val="center"/>
              <w:rPr>
                <w:color w:val="auto"/>
              </w:rPr>
            </w:pPr>
            <w:r>
              <w:rPr>
                <w:rFonts w:hint="eastAsia"/>
                <w:color w:val="auto"/>
              </w:rPr>
              <w:t> </w:t>
            </w:r>
          </w:p>
        </w:tc>
      </w:tr>
      <w:tr w14:paraId="44ED27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13C0AD80">
            <w:pPr>
              <w:pStyle w:val="198"/>
              <w:spacing w:beforeAutospacing="0" w:afterAutospacing="0"/>
              <w:ind w:firstLine="600"/>
              <w:jc w:val="center"/>
              <w:rPr>
                <w:color w:val="auto"/>
              </w:rPr>
            </w:pPr>
            <w:r>
              <w:rPr>
                <w:rFonts w:hint="eastAsia"/>
                <w:color w:val="auto"/>
              </w:rPr>
              <w:t> </w:t>
            </w:r>
          </w:p>
        </w:tc>
        <w:tc>
          <w:tcPr>
            <w:tcW w:w="2369" w:type="dxa"/>
            <w:noWrap/>
            <w:vAlign w:val="center"/>
          </w:tcPr>
          <w:p w14:paraId="4B300068">
            <w:pPr>
              <w:pStyle w:val="198"/>
              <w:spacing w:beforeAutospacing="0" w:afterAutospacing="0"/>
              <w:ind w:firstLine="600"/>
              <w:jc w:val="center"/>
              <w:rPr>
                <w:color w:val="auto"/>
              </w:rPr>
            </w:pPr>
            <w:r>
              <w:rPr>
                <w:rFonts w:hint="eastAsia"/>
                <w:color w:val="auto"/>
              </w:rPr>
              <w:t> </w:t>
            </w:r>
          </w:p>
        </w:tc>
        <w:tc>
          <w:tcPr>
            <w:tcW w:w="2240" w:type="dxa"/>
            <w:noWrap/>
            <w:vAlign w:val="center"/>
          </w:tcPr>
          <w:p w14:paraId="4D8AAE44">
            <w:pPr>
              <w:pStyle w:val="198"/>
              <w:spacing w:beforeAutospacing="0" w:afterAutospacing="0"/>
              <w:ind w:firstLine="600"/>
              <w:jc w:val="center"/>
              <w:rPr>
                <w:color w:val="auto"/>
              </w:rPr>
            </w:pPr>
            <w:r>
              <w:rPr>
                <w:rFonts w:hint="eastAsia"/>
                <w:color w:val="auto"/>
              </w:rPr>
              <w:t> </w:t>
            </w:r>
          </w:p>
        </w:tc>
        <w:tc>
          <w:tcPr>
            <w:tcW w:w="1679" w:type="dxa"/>
            <w:noWrap/>
            <w:vAlign w:val="center"/>
          </w:tcPr>
          <w:p w14:paraId="344F85EC">
            <w:pPr>
              <w:pStyle w:val="198"/>
              <w:spacing w:beforeAutospacing="0" w:afterAutospacing="0"/>
              <w:ind w:firstLine="600"/>
              <w:jc w:val="center"/>
              <w:rPr>
                <w:color w:val="auto"/>
              </w:rPr>
            </w:pPr>
            <w:r>
              <w:rPr>
                <w:rFonts w:hint="eastAsia"/>
                <w:color w:val="auto"/>
              </w:rPr>
              <w:t> </w:t>
            </w:r>
          </w:p>
        </w:tc>
        <w:tc>
          <w:tcPr>
            <w:tcW w:w="1679" w:type="dxa"/>
            <w:noWrap/>
            <w:vAlign w:val="center"/>
          </w:tcPr>
          <w:p w14:paraId="6F7220EE">
            <w:pPr>
              <w:pStyle w:val="198"/>
              <w:spacing w:beforeAutospacing="0" w:afterAutospacing="0"/>
              <w:ind w:firstLine="600"/>
              <w:jc w:val="center"/>
              <w:rPr>
                <w:color w:val="auto"/>
              </w:rPr>
            </w:pPr>
            <w:r>
              <w:rPr>
                <w:rFonts w:hint="eastAsia"/>
                <w:color w:val="auto"/>
              </w:rPr>
              <w:t> </w:t>
            </w:r>
          </w:p>
        </w:tc>
      </w:tr>
      <w:tr w14:paraId="420EB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6E9F6804">
            <w:pPr>
              <w:pStyle w:val="198"/>
              <w:spacing w:beforeAutospacing="0" w:afterAutospacing="0"/>
              <w:ind w:firstLine="600"/>
              <w:jc w:val="center"/>
              <w:rPr>
                <w:color w:val="auto"/>
              </w:rPr>
            </w:pPr>
            <w:r>
              <w:rPr>
                <w:rFonts w:hint="eastAsia"/>
                <w:color w:val="auto"/>
              </w:rPr>
              <w:t> </w:t>
            </w:r>
          </w:p>
        </w:tc>
        <w:tc>
          <w:tcPr>
            <w:tcW w:w="2369" w:type="dxa"/>
            <w:noWrap/>
            <w:vAlign w:val="center"/>
          </w:tcPr>
          <w:p w14:paraId="76E281AE">
            <w:pPr>
              <w:pStyle w:val="198"/>
              <w:spacing w:beforeAutospacing="0" w:afterAutospacing="0"/>
              <w:ind w:firstLine="600"/>
              <w:jc w:val="center"/>
              <w:rPr>
                <w:color w:val="auto"/>
              </w:rPr>
            </w:pPr>
            <w:r>
              <w:rPr>
                <w:rFonts w:hint="eastAsia"/>
                <w:color w:val="auto"/>
              </w:rPr>
              <w:t> </w:t>
            </w:r>
          </w:p>
        </w:tc>
        <w:tc>
          <w:tcPr>
            <w:tcW w:w="2240" w:type="dxa"/>
            <w:noWrap/>
            <w:vAlign w:val="center"/>
          </w:tcPr>
          <w:p w14:paraId="27506E87">
            <w:pPr>
              <w:pStyle w:val="198"/>
              <w:spacing w:beforeAutospacing="0" w:afterAutospacing="0"/>
              <w:ind w:firstLine="600"/>
              <w:jc w:val="center"/>
              <w:rPr>
                <w:color w:val="auto"/>
              </w:rPr>
            </w:pPr>
            <w:r>
              <w:rPr>
                <w:rFonts w:hint="eastAsia"/>
                <w:color w:val="auto"/>
              </w:rPr>
              <w:t> </w:t>
            </w:r>
          </w:p>
        </w:tc>
        <w:tc>
          <w:tcPr>
            <w:tcW w:w="1679" w:type="dxa"/>
            <w:noWrap/>
            <w:vAlign w:val="center"/>
          </w:tcPr>
          <w:p w14:paraId="4D51B75E">
            <w:pPr>
              <w:pStyle w:val="198"/>
              <w:spacing w:beforeAutospacing="0" w:afterAutospacing="0"/>
              <w:ind w:firstLine="600"/>
              <w:jc w:val="center"/>
              <w:rPr>
                <w:color w:val="auto"/>
              </w:rPr>
            </w:pPr>
            <w:r>
              <w:rPr>
                <w:rFonts w:hint="eastAsia"/>
                <w:color w:val="auto"/>
              </w:rPr>
              <w:t> </w:t>
            </w:r>
          </w:p>
        </w:tc>
        <w:tc>
          <w:tcPr>
            <w:tcW w:w="1679" w:type="dxa"/>
            <w:noWrap/>
            <w:vAlign w:val="center"/>
          </w:tcPr>
          <w:p w14:paraId="56DD3CA3">
            <w:pPr>
              <w:pStyle w:val="198"/>
              <w:spacing w:beforeAutospacing="0" w:afterAutospacing="0"/>
              <w:ind w:firstLine="600"/>
              <w:jc w:val="center"/>
              <w:rPr>
                <w:color w:val="auto"/>
              </w:rPr>
            </w:pPr>
            <w:r>
              <w:rPr>
                <w:rFonts w:hint="eastAsia"/>
                <w:color w:val="auto"/>
              </w:rPr>
              <w:t> </w:t>
            </w:r>
          </w:p>
        </w:tc>
      </w:tr>
      <w:tr w14:paraId="365FD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56342917">
            <w:pPr>
              <w:pStyle w:val="198"/>
              <w:spacing w:beforeAutospacing="0" w:afterAutospacing="0"/>
              <w:ind w:firstLine="600"/>
              <w:jc w:val="center"/>
              <w:rPr>
                <w:color w:val="auto"/>
              </w:rPr>
            </w:pPr>
            <w:r>
              <w:rPr>
                <w:rFonts w:hint="eastAsia"/>
                <w:color w:val="auto"/>
              </w:rPr>
              <w:t> </w:t>
            </w:r>
          </w:p>
        </w:tc>
        <w:tc>
          <w:tcPr>
            <w:tcW w:w="2369" w:type="dxa"/>
            <w:noWrap/>
            <w:vAlign w:val="center"/>
          </w:tcPr>
          <w:p w14:paraId="5D4326E8">
            <w:pPr>
              <w:pStyle w:val="198"/>
              <w:spacing w:beforeAutospacing="0" w:afterAutospacing="0"/>
              <w:ind w:firstLine="600"/>
              <w:jc w:val="center"/>
              <w:rPr>
                <w:color w:val="auto"/>
              </w:rPr>
            </w:pPr>
            <w:r>
              <w:rPr>
                <w:rFonts w:hint="eastAsia"/>
                <w:color w:val="auto"/>
              </w:rPr>
              <w:t> </w:t>
            </w:r>
          </w:p>
        </w:tc>
        <w:tc>
          <w:tcPr>
            <w:tcW w:w="2240" w:type="dxa"/>
            <w:noWrap/>
            <w:vAlign w:val="center"/>
          </w:tcPr>
          <w:p w14:paraId="18207748">
            <w:pPr>
              <w:pStyle w:val="198"/>
              <w:spacing w:beforeAutospacing="0" w:afterAutospacing="0"/>
              <w:ind w:firstLine="600"/>
              <w:jc w:val="center"/>
              <w:rPr>
                <w:color w:val="auto"/>
              </w:rPr>
            </w:pPr>
            <w:r>
              <w:rPr>
                <w:rFonts w:hint="eastAsia"/>
                <w:color w:val="auto"/>
              </w:rPr>
              <w:t> </w:t>
            </w:r>
          </w:p>
        </w:tc>
        <w:tc>
          <w:tcPr>
            <w:tcW w:w="1679" w:type="dxa"/>
            <w:noWrap/>
            <w:vAlign w:val="center"/>
          </w:tcPr>
          <w:p w14:paraId="07A1727D">
            <w:pPr>
              <w:pStyle w:val="198"/>
              <w:spacing w:beforeAutospacing="0" w:afterAutospacing="0"/>
              <w:ind w:firstLine="600"/>
              <w:jc w:val="center"/>
              <w:rPr>
                <w:color w:val="auto"/>
              </w:rPr>
            </w:pPr>
            <w:r>
              <w:rPr>
                <w:rFonts w:hint="eastAsia"/>
                <w:color w:val="auto"/>
              </w:rPr>
              <w:t> </w:t>
            </w:r>
          </w:p>
        </w:tc>
        <w:tc>
          <w:tcPr>
            <w:tcW w:w="1679" w:type="dxa"/>
            <w:noWrap/>
            <w:vAlign w:val="center"/>
          </w:tcPr>
          <w:p w14:paraId="443A8A23">
            <w:pPr>
              <w:pStyle w:val="198"/>
              <w:spacing w:beforeAutospacing="0" w:afterAutospacing="0"/>
              <w:ind w:firstLine="600"/>
              <w:jc w:val="center"/>
              <w:rPr>
                <w:color w:val="auto"/>
              </w:rPr>
            </w:pPr>
            <w:r>
              <w:rPr>
                <w:rFonts w:hint="eastAsia"/>
                <w:color w:val="auto"/>
              </w:rPr>
              <w:t> </w:t>
            </w:r>
          </w:p>
        </w:tc>
      </w:tr>
      <w:tr w14:paraId="68F31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769F9FAD">
            <w:pPr>
              <w:pStyle w:val="198"/>
              <w:spacing w:beforeAutospacing="0" w:afterAutospacing="0"/>
              <w:ind w:firstLine="600"/>
              <w:jc w:val="center"/>
              <w:rPr>
                <w:color w:val="auto"/>
              </w:rPr>
            </w:pPr>
            <w:r>
              <w:rPr>
                <w:rFonts w:hint="eastAsia"/>
                <w:color w:val="auto"/>
              </w:rPr>
              <w:t> </w:t>
            </w:r>
          </w:p>
        </w:tc>
        <w:tc>
          <w:tcPr>
            <w:tcW w:w="2369" w:type="dxa"/>
            <w:noWrap/>
            <w:vAlign w:val="center"/>
          </w:tcPr>
          <w:p w14:paraId="7895711D">
            <w:pPr>
              <w:pStyle w:val="198"/>
              <w:spacing w:beforeAutospacing="0" w:afterAutospacing="0"/>
              <w:ind w:firstLine="600"/>
              <w:jc w:val="center"/>
              <w:rPr>
                <w:color w:val="auto"/>
              </w:rPr>
            </w:pPr>
            <w:r>
              <w:rPr>
                <w:rFonts w:hint="eastAsia"/>
                <w:color w:val="auto"/>
              </w:rPr>
              <w:t> </w:t>
            </w:r>
          </w:p>
        </w:tc>
        <w:tc>
          <w:tcPr>
            <w:tcW w:w="2240" w:type="dxa"/>
            <w:noWrap/>
            <w:vAlign w:val="center"/>
          </w:tcPr>
          <w:p w14:paraId="42D1D6E3">
            <w:pPr>
              <w:pStyle w:val="198"/>
              <w:spacing w:beforeAutospacing="0" w:afterAutospacing="0"/>
              <w:ind w:firstLine="600"/>
              <w:jc w:val="center"/>
              <w:rPr>
                <w:color w:val="auto"/>
              </w:rPr>
            </w:pPr>
            <w:r>
              <w:rPr>
                <w:rFonts w:hint="eastAsia"/>
                <w:color w:val="auto"/>
              </w:rPr>
              <w:t> </w:t>
            </w:r>
          </w:p>
        </w:tc>
        <w:tc>
          <w:tcPr>
            <w:tcW w:w="1679" w:type="dxa"/>
            <w:noWrap/>
            <w:vAlign w:val="center"/>
          </w:tcPr>
          <w:p w14:paraId="7C80E917">
            <w:pPr>
              <w:pStyle w:val="198"/>
              <w:spacing w:beforeAutospacing="0" w:afterAutospacing="0"/>
              <w:ind w:firstLine="600"/>
              <w:jc w:val="center"/>
              <w:rPr>
                <w:color w:val="auto"/>
              </w:rPr>
            </w:pPr>
            <w:r>
              <w:rPr>
                <w:rFonts w:hint="eastAsia"/>
                <w:color w:val="auto"/>
              </w:rPr>
              <w:t> </w:t>
            </w:r>
          </w:p>
        </w:tc>
        <w:tc>
          <w:tcPr>
            <w:tcW w:w="1679" w:type="dxa"/>
            <w:noWrap/>
            <w:vAlign w:val="center"/>
          </w:tcPr>
          <w:p w14:paraId="76E7A11D">
            <w:pPr>
              <w:pStyle w:val="198"/>
              <w:spacing w:beforeAutospacing="0" w:afterAutospacing="0"/>
              <w:ind w:firstLine="600"/>
              <w:jc w:val="center"/>
              <w:rPr>
                <w:color w:val="auto"/>
              </w:rPr>
            </w:pPr>
            <w:r>
              <w:rPr>
                <w:rFonts w:hint="eastAsia"/>
                <w:color w:val="auto"/>
              </w:rPr>
              <w:t> </w:t>
            </w:r>
          </w:p>
        </w:tc>
      </w:tr>
      <w:tr w14:paraId="5CD312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9" w:hRule="atLeast"/>
          <w:tblCellSpacing w:w="0" w:type="dxa"/>
          <w:jc w:val="center"/>
        </w:trPr>
        <w:tc>
          <w:tcPr>
            <w:tcW w:w="810" w:type="dxa"/>
            <w:noWrap/>
            <w:vAlign w:val="center"/>
          </w:tcPr>
          <w:p w14:paraId="6A21778E">
            <w:pPr>
              <w:pStyle w:val="198"/>
              <w:spacing w:beforeAutospacing="0" w:afterAutospacing="0"/>
              <w:ind w:firstLine="600"/>
              <w:jc w:val="center"/>
              <w:rPr>
                <w:color w:val="auto"/>
              </w:rPr>
            </w:pPr>
            <w:r>
              <w:rPr>
                <w:rFonts w:hint="eastAsia"/>
                <w:color w:val="auto"/>
              </w:rPr>
              <w:t> </w:t>
            </w:r>
          </w:p>
        </w:tc>
        <w:tc>
          <w:tcPr>
            <w:tcW w:w="2369" w:type="dxa"/>
            <w:noWrap/>
            <w:vAlign w:val="center"/>
          </w:tcPr>
          <w:p w14:paraId="50F24126">
            <w:pPr>
              <w:pStyle w:val="198"/>
              <w:spacing w:beforeAutospacing="0" w:afterAutospacing="0"/>
              <w:ind w:firstLine="480"/>
              <w:jc w:val="center"/>
              <w:rPr>
                <w:color w:val="auto"/>
              </w:rPr>
            </w:pPr>
            <w:r>
              <w:rPr>
                <w:rFonts w:hint="eastAsia"/>
                <w:color w:val="auto"/>
              </w:rPr>
              <w:t>……</w:t>
            </w:r>
          </w:p>
        </w:tc>
        <w:tc>
          <w:tcPr>
            <w:tcW w:w="2240" w:type="dxa"/>
            <w:noWrap/>
            <w:vAlign w:val="center"/>
          </w:tcPr>
          <w:p w14:paraId="58FD7A5B">
            <w:pPr>
              <w:pStyle w:val="198"/>
              <w:spacing w:beforeAutospacing="0" w:afterAutospacing="0"/>
              <w:ind w:firstLine="600"/>
              <w:jc w:val="center"/>
              <w:rPr>
                <w:color w:val="auto"/>
              </w:rPr>
            </w:pPr>
            <w:r>
              <w:rPr>
                <w:rFonts w:hint="eastAsia"/>
                <w:color w:val="auto"/>
              </w:rPr>
              <w:t> </w:t>
            </w:r>
          </w:p>
        </w:tc>
        <w:tc>
          <w:tcPr>
            <w:tcW w:w="1679" w:type="dxa"/>
            <w:noWrap/>
            <w:vAlign w:val="center"/>
          </w:tcPr>
          <w:p w14:paraId="3F46FBE6">
            <w:pPr>
              <w:pStyle w:val="198"/>
              <w:spacing w:beforeAutospacing="0" w:afterAutospacing="0"/>
              <w:ind w:firstLine="600"/>
              <w:jc w:val="center"/>
              <w:rPr>
                <w:color w:val="auto"/>
              </w:rPr>
            </w:pPr>
            <w:r>
              <w:rPr>
                <w:rFonts w:hint="eastAsia"/>
                <w:color w:val="auto"/>
              </w:rPr>
              <w:t> </w:t>
            </w:r>
          </w:p>
        </w:tc>
        <w:tc>
          <w:tcPr>
            <w:tcW w:w="1679" w:type="dxa"/>
            <w:noWrap/>
            <w:vAlign w:val="center"/>
          </w:tcPr>
          <w:p w14:paraId="2132588E">
            <w:pPr>
              <w:pStyle w:val="198"/>
              <w:spacing w:beforeAutospacing="0" w:afterAutospacing="0"/>
              <w:ind w:firstLine="600"/>
              <w:jc w:val="center"/>
              <w:rPr>
                <w:color w:val="auto"/>
              </w:rPr>
            </w:pPr>
            <w:r>
              <w:rPr>
                <w:rFonts w:hint="eastAsia"/>
                <w:color w:val="auto"/>
              </w:rPr>
              <w:t> </w:t>
            </w:r>
          </w:p>
        </w:tc>
      </w:tr>
    </w:tbl>
    <w:p w14:paraId="5C01F035">
      <w:pPr>
        <w:pStyle w:val="198"/>
        <w:spacing w:beforeAutospacing="0" w:afterAutospacing="0"/>
        <w:ind w:firstLine="480"/>
        <w:jc w:val="both"/>
        <w:rPr>
          <w:color w:val="auto"/>
        </w:rPr>
      </w:pPr>
      <w:r>
        <w:rPr>
          <w:rFonts w:hint="eastAsia"/>
          <w:color w:val="auto"/>
        </w:rPr>
        <w:t>注：行数不够，可自行添加。</w:t>
      </w:r>
    </w:p>
    <w:p w14:paraId="3425AFB7">
      <w:pPr>
        <w:pStyle w:val="198"/>
        <w:spacing w:beforeAutospacing="0" w:afterAutospacing="0" w:line="0" w:lineRule="atLeast"/>
        <w:jc w:val="center"/>
        <w:rPr>
          <w:color w:val="auto"/>
        </w:rPr>
      </w:pPr>
      <w:r>
        <w:rPr>
          <w:rFonts w:hint="eastAsia"/>
          <w:color w:val="auto"/>
        </w:rPr>
        <w:br w:type="page" w:clear="all"/>
      </w:r>
      <w:r>
        <w:rPr>
          <w:rFonts w:hint="eastAsia" w:ascii="黑体" w:hAnsi="黑体" w:eastAsia="黑体" w:cs="黑体"/>
          <w:i/>
          <w:color w:val="auto"/>
          <w:sz w:val="32"/>
          <w:szCs w:val="32"/>
          <w:u w:val="single"/>
        </w:rPr>
        <w:t>十</w:t>
      </w:r>
      <w:r>
        <w:rPr>
          <w:rFonts w:hint="eastAsia" w:ascii="黑体" w:hAnsi="黑体" w:eastAsia="黑体" w:cs="黑体"/>
          <w:i/>
          <w:color w:val="auto"/>
          <w:sz w:val="32"/>
          <w:szCs w:val="32"/>
          <w:u w:val="single"/>
          <w:lang w:val="en-US" w:eastAsia="zh-CN"/>
        </w:rPr>
        <w:t>四</w:t>
      </w:r>
      <w:r>
        <w:rPr>
          <w:rFonts w:hint="eastAsia" w:ascii="黑体" w:hAnsi="黑体" w:eastAsia="黑体" w:cs="黑体"/>
          <w:i/>
          <w:color w:val="auto"/>
          <w:sz w:val="32"/>
          <w:szCs w:val="32"/>
          <w:u w:val="single"/>
        </w:rPr>
        <w:t>、商务要求响应及偏离表</w:t>
      </w:r>
    </w:p>
    <w:p w14:paraId="2DCB2FBF">
      <w:pPr>
        <w:pStyle w:val="198"/>
        <w:spacing w:beforeAutospacing="0" w:afterAutospacing="0"/>
        <w:jc w:val="both"/>
        <w:rPr>
          <w:bCs/>
          <w:i/>
          <w:color w:val="auto"/>
          <w:sz w:val="13"/>
          <w:szCs w:val="13"/>
          <w:u w:val="single"/>
        </w:rPr>
      </w:pPr>
    </w:p>
    <w:tbl>
      <w:tblPr>
        <w:tblStyle w:val="29"/>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2011"/>
        <w:gridCol w:w="2304"/>
        <w:gridCol w:w="1872"/>
        <w:gridCol w:w="1813"/>
      </w:tblGrid>
      <w:tr w14:paraId="320E44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8" w:hRule="atLeast"/>
          <w:tblCellSpacing w:w="0" w:type="dxa"/>
          <w:jc w:val="center"/>
        </w:trPr>
        <w:tc>
          <w:tcPr>
            <w:tcW w:w="777" w:type="dxa"/>
            <w:noWrap/>
            <w:vAlign w:val="center"/>
          </w:tcPr>
          <w:p w14:paraId="7B6F969A">
            <w:pPr>
              <w:pStyle w:val="198"/>
              <w:spacing w:beforeAutospacing="0" w:afterAutospacing="0"/>
              <w:jc w:val="center"/>
              <w:rPr>
                <w:color w:val="auto"/>
              </w:rPr>
            </w:pPr>
            <w:r>
              <w:rPr>
                <w:rFonts w:hint="eastAsia"/>
                <w:color w:val="auto"/>
              </w:rPr>
              <w:t>序号</w:t>
            </w:r>
          </w:p>
        </w:tc>
        <w:tc>
          <w:tcPr>
            <w:tcW w:w="2011" w:type="dxa"/>
            <w:noWrap/>
            <w:vAlign w:val="center"/>
          </w:tcPr>
          <w:p w14:paraId="399DAA13">
            <w:pPr>
              <w:pStyle w:val="198"/>
              <w:spacing w:beforeAutospacing="0" w:afterAutospacing="0"/>
              <w:jc w:val="center"/>
              <w:rPr>
                <w:color w:val="auto"/>
              </w:rPr>
            </w:pPr>
            <w:r>
              <w:rPr>
                <w:rFonts w:hint="eastAsia"/>
                <w:color w:val="auto"/>
              </w:rPr>
              <w:t>招标文件要求</w:t>
            </w:r>
          </w:p>
        </w:tc>
        <w:tc>
          <w:tcPr>
            <w:tcW w:w="2304" w:type="dxa"/>
            <w:noWrap/>
            <w:vAlign w:val="center"/>
          </w:tcPr>
          <w:p w14:paraId="0B37B406">
            <w:pPr>
              <w:pStyle w:val="198"/>
              <w:spacing w:beforeAutospacing="0" w:afterAutospacing="0"/>
              <w:jc w:val="center"/>
              <w:rPr>
                <w:color w:val="auto"/>
              </w:rPr>
            </w:pPr>
            <w:r>
              <w:rPr>
                <w:rFonts w:hint="eastAsia"/>
                <w:color w:val="auto"/>
              </w:rPr>
              <w:t>投标响应情况</w:t>
            </w:r>
          </w:p>
        </w:tc>
        <w:tc>
          <w:tcPr>
            <w:tcW w:w="1872" w:type="dxa"/>
            <w:noWrap/>
            <w:vAlign w:val="center"/>
          </w:tcPr>
          <w:p w14:paraId="79129B33">
            <w:pPr>
              <w:pStyle w:val="198"/>
              <w:spacing w:beforeAutospacing="0" w:afterAutospacing="0"/>
              <w:jc w:val="center"/>
              <w:rPr>
                <w:color w:val="auto"/>
              </w:rPr>
            </w:pPr>
            <w:r>
              <w:rPr>
                <w:rFonts w:hint="eastAsia"/>
                <w:color w:val="auto"/>
              </w:rPr>
              <w:t>超出、符合或偏离</w:t>
            </w:r>
          </w:p>
        </w:tc>
        <w:tc>
          <w:tcPr>
            <w:tcW w:w="1813" w:type="dxa"/>
            <w:noWrap/>
            <w:vAlign w:val="center"/>
          </w:tcPr>
          <w:p w14:paraId="1A3D6560">
            <w:pPr>
              <w:pStyle w:val="198"/>
              <w:spacing w:beforeAutospacing="0" w:afterAutospacing="0"/>
              <w:jc w:val="center"/>
              <w:rPr>
                <w:color w:val="auto"/>
              </w:rPr>
            </w:pPr>
            <w:r>
              <w:rPr>
                <w:rFonts w:hint="eastAsia"/>
                <w:color w:val="auto"/>
              </w:rPr>
              <w:t>证明</w:t>
            </w:r>
          </w:p>
          <w:p w14:paraId="7E6D64F9">
            <w:pPr>
              <w:pStyle w:val="198"/>
              <w:spacing w:beforeAutospacing="0" w:afterAutospacing="0"/>
              <w:jc w:val="center"/>
              <w:rPr>
                <w:color w:val="auto"/>
              </w:rPr>
            </w:pPr>
            <w:r>
              <w:rPr>
                <w:rFonts w:hint="eastAsia"/>
                <w:color w:val="auto"/>
              </w:rPr>
              <w:t>材料</w:t>
            </w:r>
          </w:p>
        </w:tc>
      </w:tr>
      <w:tr w14:paraId="605D8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16B7B038">
            <w:pPr>
              <w:pStyle w:val="198"/>
              <w:spacing w:beforeAutospacing="0" w:afterAutospacing="0"/>
              <w:ind w:firstLine="600"/>
              <w:jc w:val="center"/>
              <w:rPr>
                <w:color w:val="auto"/>
              </w:rPr>
            </w:pPr>
            <w:r>
              <w:rPr>
                <w:rFonts w:hint="eastAsia"/>
                <w:color w:val="auto"/>
              </w:rPr>
              <w:t> </w:t>
            </w:r>
          </w:p>
        </w:tc>
        <w:tc>
          <w:tcPr>
            <w:tcW w:w="2011" w:type="dxa"/>
            <w:noWrap/>
            <w:vAlign w:val="center"/>
          </w:tcPr>
          <w:p w14:paraId="3ACE7CDE">
            <w:pPr>
              <w:pStyle w:val="198"/>
              <w:spacing w:beforeAutospacing="0" w:afterAutospacing="0"/>
              <w:ind w:firstLine="600"/>
              <w:jc w:val="center"/>
              <w:rPr>
                <w:color w:val="auto"/>
              </w:rPr>
            </w:pPr>
            <w:r>
              <w:rPr>
                <w:rFonts w:hint="eastAsia"/>
                <w:color w:val="auto"/>
              </w:rPr>
              <w:t> </w:t>
            </w:r>
          </w:p>
        </w:tc>
        <w:tc>
          <w:tcPr>
            <w:tcW w:w="2304" w:type="dxa"/>
            <w:noWrap/>
            <w:vAlign w:val="center"/>
          </w:tcPr>
          <w:p w14:paraId="6B145621">
            <w:pPr>
              <w:pStyle w:val="198"/>
              <w:spacing w:beforeAutospacing="0" w:afterAutospacing="0"/>
              <w:ind w:firstLine="600"/>
              <w:jc w:val="center"/>
              <w:rPr>
                <w:color w:val="auto"/>
              </w:rPr>
            </w:pPr>
            <w:r>
              <w:rPr>
                <w:rFonts w:hint="eastAsia"/>
                <w:color w:val="auto"/>
              </w:rPr>
              <w:t> </w:t>
            </w:r>
          </w:p>
        </w:tc>
        <w:tc>
          <w:tcPr>
            <w:tcW w:w="1872" w:type="dxa"/>
            <w:noWrap/>
            <w:vAlign w:val="center"/>
          </w:tcPr>
          <w:p w14:paraId="23C1DCCF">
            <w:pPr>
              <w:pStyle w:val="198"/>
              <w:spacing w:beforeAutospacing="0" w:afterAutospacing="0"/>
              <w:ind w:firstLine="600"/>
              <w:jc w:val="center"/>
              <w:rPr>
                <w:color w:val="auto"/>
              </w:rPr>
            </w:pPr>
            <w:r>
              <w:rPr>
                <w:rFonts w:hint="eastAsia"/>
                <w:color w:val="auto"/>
              </w:rPr>
              <w:t> </w:t>
            </w:r>
          </w:p>
        </w:tc>
        <w:tc>
          <w:tcPr>
            <w:tcW w:w="1813" w:type="dxa"/>
            <w:noWrap/>
            <w:vAlign w:val="center"/>
          </w:tcPr>
          <w:p w14:paraId="25C9D8F4">
            <w:pPr>
              <w:pStyle w:val="198"/>
              <w:spacing w:beforeAutospacing="0" w:afterAutospacing="0"/>
              <w:ind w:firstLine="600"/>
              <w:jc w:val="center"/>
              <w:rPr>
                <w:color w:val="auto"/>
              </w:rPr>
            </w:pPr>
            <w:r>
              <w:rPr>
                <w:rFonts w:hint="eastAsia"/>
                <w:color w:val="auto"/>
              </w:rPr>
              <w:t> </w:t>
            </w:r>
          </w:p>
        </w:tc>
      </w:tr>
      <w:tr w14:paraId="16FED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0D7FD10A">
            <w:pPr>
              <w:pStyle w:val="198"/>
              <w:spacing w:beforeAutospacing="0" w:afterAutospacing="0"/>
              <w:ind w:firstLine="600"/>
              <w:jc w:val="center"/>
              <w:rPr>
                <w:color w:val="auto"/>
              </w:rPr>
            </w:pPr>
            <w:r>
              <w:rPr>
                <w:rFonts w:hint="eastAsia"/>
                <w:color w:val="auto"/>
              </w:rPr>
              <w:t> </w:t>
            </w:r>
          </w:p>
        </w:tc>
        <w:tc>
          <w:tcPr>
            <w:tcW w:w="2011" w:type="dxa"/>
            <w:noWrap/>
            <w:vAlign w:val="center"/>
          </w:tcPr>
          <w:p w14:paraId="091FE5B1">
            <w:pPr>
              <w:pStyle w:val="198"/>
              <w:spacing w:beforeAutospacing="0" w:afterAutospacing="0"/>
              <w:ind w:firstLine="600"/>
              <w:jc w:val="center"/>
              <w:rPr>
                <w:color w:val="auto"/>
              </w:rPr>
            </w:pPr>
            <w:r>
              <w:rPr>
                <w:rFonts w:hint="eastAsia"/>
                <w:color w:val="auto"/>
              </w:rPr>
              <w:t> </w:t>
            </w:r>
          </w:p>
        </w:tc>
        <w:tc>
          <w:tcPr>
            <w:tcW w:w="2304" w:type="dxa"/>
            <w:noWrap/>
            <w:vAlign w:val="center"/>
          </w:tcPr>
          <w:p w14:paraId="08B4BF2A">
            <w:pPr>
              <w:pStyle w:val="198"/>
              <w:spacing w:beforeAutospacing="0" w:afterAutospacing="0"/>
              <w:ind w:firstLine="600"/>
              <w:jc w:val="center"/>
              <w:rPr>
                <w:color w:val="auto"/>
              </w:rPr>
            </w:pPr>
            <w:r>
              <w:rPr>
                <w:rFonts w:hint="eastAsia"/>
                <w:color w:val="auto"/>
              </w:rPr>
              <w:t> </w:t>
            </w:r>
          </w:p>
        </w:tc>
        <w:tc>
          <w:tcPr>
            <w:tcW w:w="1872" w:type="dxa"/>
            <w:noWrap/>
            <w:vAlign w:val="center"/>
          </w:tcPr>
          <w:p w14:paraId="3D0A0626">
            <w:pPr>
              <w:pStyle w:val="198"/>
              <w:spacing w:beforeAutospacing="0" w:afterAutospacing="0"/>
              <w:ind w:firstLine="600"/>
              <w:jc w:val="center"/>
              <w:rPr>
                <w:color w:val="auto"/>
              </w:rPr>
            </w:pPr>
            <w:r>
              <w:rPr>
                <w:rFonts w:hint="eastAsia"/>
                <w:color w:val="auto"/>
              </w:rPr>
              <w:t> </w:t>
            </w:r>
          </w:p>
        </w:tc>
        <w:tc>
          <w:tcPr>
            <w:tcW w:w="1813" w:type="dxa"/>
            <w:noWrap/>
            <w:vAlign w:val="center"/>
          </w:tcPr>
          <w:p w14:paraId="5ED7D4DF">
            <w:pPr>
              <w:pStyle w:val="198"/>
              <w:spacing w:beforeAutospacing="0" w:afterAutospacing="0"/>
              <w:ind w:firstLine="600"/>
              <w:jc w:val="center"/>
              <w:rPr>
                <w:color w:val="auto"/>
              </w:rPr>
            </w:pPr>
            <w:r>
              <w:rPr>
                <w:rFonts w:hint="eastAsia"/>
                <w:color w:val="auto"/>
              </w:rPr>
              <w:t> </w:t>
            </w:r>
          </w:p>
        </w:tc>
      </w:tr>
      <w:tr w14:paraId="600634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46860EA4">
            <w:pPr>
              <w:pStyle w:val="198"/>
              <w:spacing w:beforeAutospacing="0" w:afterAutospacing="0"/>
              <w:ind w:firstLine="600"/>
              <w:jc w:val="center"/>
              <w:rPr>
                <w:color w:val="auto"/>
              </w:rPr>
            </w:pPr>
            <w:r>
              <w:rPr>
                <w:rFonts w:hint="eastAsia"/>
                <w:color w:val="auto"/>
              </w:rPr>
              <w:t> </w:t>
            </w:r>
          </w:p>
        </w:tc>
        <w:tc>
          <w:tcPr>
            <w:tcW w:w="2011" w:type="dxa"/>
            <w:noWrap/>
            <w:vAlign w:val="center"/>
          </w:tcPr>
          <w:p w14:paraId="0A47C34C">
            <w:pPr>
              <w:pStyle w:val="198"/>
              <w:spacing w:beforeAutospacing="0" w:afterAutospacing="0"/>
              <w:ind w:firstLine="600"/>
              <w:jc w:val="center"/>
              <w:rPr>
                <w:color w:val="auto"/>
              </w:rPr>
            </w:pPr>
            <w:r>
              <w:rPr>
                <w:rFonts w:hint="eastAsia"/>
                <w:color w:val="auto"/>
              </w:rPr>
              <w:t> </w:t>
            </w:r>
          </w:p>
        </w:tc>
        <w:tc>
          <w:tcPr>
            <w:tcW w:w="2304" w:type="dxa"/>
            <w:noWrap/>
            <w:vAlign w:val="center"/>
          </w:tcPr>
          <w:p w14:paraId="6DFBA23E">
            <w:pPr>
              <w:pStyle w:val="198"/>
              <w:spacing w:beforeAutospacing="0" w:afterAutospacing="0"/>
              <w:ind w:firstLine="600"/>
              <w:jc w:val="center"/>
              <w:rPr>
                <w:color w:val="auto"/>
              </w:rPr>
            </w:pPr>
            <w:r>
              <w:rPr>
                <w:rFonts w:hint="eastAsia"/>
                <w:color w:val="auto"/>
              </w:rPr>
              <w:t> </w:t>
            </w:r>
          </w:p>
        </w:tc>
        <w:tc>
          <w:tcPr>
            <w:tcW w:w="1872" w:type="dxa"/>
            <w:noWrap/>
            <w:vAlign w:val="center"/>
          </w:tcPr>
          <w:p w14:paraId="6B223EF2">
            <w:pPr>
              <w:pStyle w:val="198"/>
              <w:spacing w:beforeAutospacing="0" w:afterAutospacing="0"/>
              <w:ind w:firstLine="600"/>
              <w:jc w:val="center"/>
              <w:rPr>
                <w:color w:val="auto"/>
              </w:rPr>
            </w:pPr>
            <w:r>
              <w:rPr>
                <w:rFonts w:hint="eastAsia"/>
                <w:color w:val="auto"/>
              </w:rPr>
              <w:t> </w:t>
            </w:r>
          </w:p>
        </w:tc>
        <w:tc>
          <w:tcPr>
            <w:tcW w:w="1813" w:type="dxa"/>
            <w:noWrap/>
            <w:vAlign w:val="center"/>
          </w:tcPr>
          <w:p w14:paraId="06721978">
            <w:pPr>
              <w:pStyle w:val="198"/>
              <w:spacing w:beforeAutospacing="0" w:afterAutospacing="0"/>
              <w:ind w:firstLine="600"/>
              <w:jc w:val="center"/>
              <w:rPr>
                <w:color w:val="auto"/>
              </w:rPr>
            </w:pPr>
            <w:r>
              <w:rPr>
                <w:rFonts w:hint="eastAsia"/>
                <w:color w:val="auto"/>
              </w:rPr>
              <w:t> </w:t>
            </w:r>
          </w:p>
        </w:tc>
      </w:tr>
      <w:tr w14:paraId="67BCB0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3D0C9B21">
            <w:pPr>
              <w:pStyle w:val="198"/>
              <w:spacing w:beforeAutospacing="0" w:afterAutospacing="0"/>
              <w:ind w:firstLine="600"/>
              <w:jc w:val="center"/>
              <w:rPr>
                <w:color w:val="auto"/>
              </w:rPr>
            </w:pPr>
            <w:r>
              <w:rPr>
                <w:rFonts w:hint="eastAsia"/>
                <w:color w:val="auto"/>
              </w:rPr>
              <w:t> </w:t>
            </w:r>
          </w:p>
        </w:tc>
        <w:tc>
          <w:tcPr>
            <w:tcW w:w="2011" w:type="dxa"/>
            <w:noWrap/>
            <w:vAlign w:val="center"/>
          </w:tcPr>
          <w:p w14:paraId="4462AFCF">
            <w:pPr>
              <w:pStyle w:val="198"/>
              <w:spacing w:beforeAutospacing="0" w:afterAutospacing="0"/>
              <w:ind w:firstLine="600"/>
              <w:jc w:val="center"/>
              <w:rPr>
                <w:color w:val="auto"/>
              </w:rPr>
            </w:pPr>
            <w:r>
              <w:rPr>
                <w:rFonts w:hint="eastAsia"/>
                <w:color w:val="auto"/>
              </w:rPr>
              <w:t> </w:t>
            </w:r>
          </w:p>
        </w:tc>
        <w:tc>
          <w:tcPr>
            <w:tcW w:w="2304" w:type="dxa"/>
            <w:noWrap/>
            <w:vAlign w:val="center"/>
          </w:tcPr>
          <w:p w14:paraId="6B470E9F">
            <w:pPr>
              <w:pStyle w:val="198"/>
              <w:spacing w:beforeAutospacing="0" w:afterAutospacing="0"/>
              <w:ind w:firstLine="600"/>
              <w:jc w:val="center"/>
              <w:rPr>
                <w:color w:val="auto"/>
              </w:rPr>
            </w:pPr>
            <w:r>
              <w:rPr>
                <w:rFonts w:hint="eastAsia"/>
                <w:color w:val="auto"/>
              </w:rPr>
              <w:t> </w:t>
            </w:r>
          </w:p>
        </w:tc>
        <w:tc>
          <w:tcPr>
            <w:tcW w:w="1872" w:type="dxa"/>
            <w:noWrap/>
            <w:vAlign w:val="center"/>
          </w:tcPr>
          <w:p w14:paraId="6632D28D">
            <w:pPr>
              <w:pStyle w:val="198"/>
              <w:spacing w:beforeAutospacing="0" w:afterAutospacing="0"/>
              <w:ind w:firstLine="600"/>
              <w:jc w:val="center"/>
              <w:rPr>
                <w:color w:val="auto"/>
              </w:rPr>
            </w:pPr>
            <w:r>
              <w:rPr>
                <w:rFonts w:hint="eastAsia"/>
                <w:color w:val="auto"/>
              </w:rPr>
              <w:t> </w:t>
            </w:r>
          </w:p>
        </w:tc>
        <w:tc>
          <w:tcPr>
            <w:tcW w:w="1813" w:type="dxa"/>
            <w:noWrap/>
            <w:vAlign w:val="center"/>
          </w:tcPr>
          <w:p w14:paraId="61B0DE3E">
            <w:pPr>
              <w:pStyle w:val="198"/>
              <w:spacing w:beforeAutospacing="0" w:afterAutospacing="0"/>
              <w:ind w:firstLine="600"/>
              <w:jc w:val="center"/>
              <w:rPr>
                <w:color w:val="auto"/>
              </w:rPr>
            </w:pPr>
            <w:r>
              <w:rPr>
                <w:rFonts w:hint="eastAsia"/>
                <w:color w:val="auto"/>
              </w:rPr>
              <w:t> </w:t>
            </w:r>
          </w:p>
        </w:tc>
      </w:tr>
      <w:tr w14:paraId="7C6E6F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5F658365">
            <w:pPr>
              <w:pStyle w:val="198"/>
              <w:spacing w:beforeAutospacing="0" w:afterAutospacing="0"/>
              <w:ind w:firstLine="600"/>
              <w:jc w:val="center"/>
              <w:rPr>
                <w:color w:val="auto"/>
              </w:rPr>
            </w:pPr>
            <w:r>
              <w:rPr>
                <w:rFonts w:hint="eastAsia"/>
                <w:color w:val="auto"/>
              </w:rPr>
              <w:t> </w:t>
            </w:r>
          </w:p>
        </w:tc>
        <w:tc>
          <w:tcPr>
            <w:tcW w:w="2011" w:type="dxa"/>
            <w:noWrap/>
            <w:vAlign w:val="center"/>
          </w:tcPr>
          <w:p w14:paraId="18B18614">
            <w:pPr>
              <w:pStyle w:val="198"/>
              <w:spacing w:beforeAutospacing="0" w:afterAutospacing="0"/>
              <w:ind w:firstLine="600"/>
              <w:jc w:val="center"/>
              <w:rPr>
                <w:color w:val="auto"/>
              </w:rPr>
            </w:pPr>
            <w:r>
              <w:rPr>
                <w:rFonts w:hint="eastAsia"/>
                <w:color w:val="auto"/>
              </w:rPr>
              <w:t> </w:t>
            </w:r>
          </w:p>
        </w:tc>
        <w:tc>
          <w:tcPr>
            <w:tcW w:w="2304" w:type="dxa"/>
            <w:noWrap/>
            <w:vAlign w:val="center"/>
          </w:tcPr>
          <w:p w14:paraId="724DC877">
            <w:pPr>
              <w:pStyle w:val="198"/>
              <w:spacing w:beforeAutospacing="0" w:afterAutospacing="0"/>
              <w:ind w:firstLine="600"/>
              <w:jc w:val="center"/>
              <w:rPr>
                <w:color w:val="auto"/>
              </w:rPr>
            </w:pPr>
            <w:r>
              <w:rPr>
                <w:rFonts w:hint="eastAsia"/>
                <w:color w:val="auto"/>
              </w:rPr>
              <w:t> </w:t>
            </w:r>
          </w:p>
        </w:tc>
        <w:tc>
          <w:tcPr>
            <w:tcW w:w="1872" w:type="dxa"/>
            <w:noWrap/>
            <w:vAlign w:val="center"/>
          </w:tcPr>
          <w:p w14:paraId="23FB83CD">
            <w:pPr>
              <w:pStyle w:val="198"/>
              <w:spacing w:beforeAutospacing="0" w:afterAutospacing="0"/>
              <w:ind w:firstLine="600"/>
              <w:jc w:val="center"/>
              <w:rPr>
                <w:color w:val="auto"/>
              </w:rPr>
            </w:pPr>
            <w:r>
              <w:rPr>
                <w:rFonts w:hint="eastAsia"/>
                <w:color w:val="auto"/>
              </w:rPr>
              <w:t> </w:t>
            </w:r>
          </w:p>
        </w:tc>
        <w:tc>
          <w:tcPr>
            <w:tcW w:w="1813" w:type="dxa"/>
            <w:noWrap/>
            <w:vAlign w:val="center"/>
          </w:tcPr>
          <w:p w14:paraId="39415AF8">
            <w:pPr>
              <w:pStyle w:val="198"/>
              <w:spacing w:beforeAutospacing="0" w:afterAutospacing="0"/>
              <w:ind w:firstLine="600"/>
              <w:jc w:val="center"/>
              <w:rPr>
                <w:color w:val="auto"/>
              </w:rPr>
            </w:pPr>
            <w:r>
              <w:rPr>
                <w:rFonts w:hint="eastAsia"/>
                <w:color w:val="auto"/>
              </w:rPr>
              <w:t> </w:t>
            </w:r>
          </w:p>
        </w:tc>
      </w:tr>
      <w:tr w14:paraId="732EC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14DF7648">
            <w:pPr>
              <w:pStyle w:val="198"/>
              <w:spacing w:beforeAutospacing="0" w:afterAutospacing="0"/>
              <w:ind w:firstLine="600"/>
              <w:jc w:val="center"/>
              <w:rPr>
                <w:color w:val="auto"/>
              </w:rPr>
            </w:pPr>
            <w:r>
              <w:rPr>
                <w:rFonts w:hint="eastAsia"/>
                <w:color w:val="auto"/>
              </w:rPr>
              <w:t> </w:t>
            </w:r>
          </w:p>
        </w:tc>
        <w:tc>
          <w:tcPr>
            <w:tcW w:w="2011" w:type="dxa"/>
            <w:noWrap/>
            <w:vAlign w:val="center"/>
          </w:tcPr>
          <w:p w14:paraId="32AA5D2B">
            <w:pPr>
              <w:pStyle w:val="198"/>
              <w:spacing w:beforeAutospacing="0" w:afterAutospacing="0"/>
              <w:ind w:firstLine="600"/>
              <w:jc w:val="center"/>
              <w:rPr>
                <w:color w:val="auto"/>
              </w:rPr>
            </w:pPr>
            <w:r>
              <w:rPr>
                <w:rFonts w:hint="eastAsia"/>
                <w:color w:val="auto"/>
              </w:rPr>
              <w:t> </w:t>
            </w:r>
          </w:p>
        </w:tc>
        <w:tc>
          <w:tcPr>
            <w:tcW w:w="2304" w:type="dxa"/>
            <w:noWrap/>
            <w:vAlign w:val="center"/>
          </w:tcPr>
          <w:p w14:paraId="6DC9BF29">
            <w:pPr>
              <w:pStyle w:val="198"/>
              <w:spacing w:beforeAutospacing="0" w:afterAutospacing="0"/>
              <w:ind w:firstLine="600"/>
              <w:jc w:val="center"/>
              <w:rPr>
                <w:color w:val="auto"/>
              </w:rPr>
            </w:pPr>
            <w:r>
              <w:rPr>
                <w:rFonts w:hint="eastAsia"/>
                <w:color w:val="auto"/>
              </w:rPr>
              <w:t> </w:t>
            </w:r>
          </w:p>
        </w:tc>
        <w:tc>
          <w:tcPr>
            <w:tcW w:w="1872" w:type="dxa"/>
            <w:noWrap/>
            <w:vAlign w:val="center"/>
          </w:tcPr>
          <w:p w14:paraId="4BDCF632">
            <w:pPr>
              <w:pStyle w:val="198"/>
              <w:spacing w:beforeAutospacing="0" w:afterAutospacing="0"/>
              <w:ind w:firstLine="600"/>
              <w:jc w:val="center"/>
              <w:rPr>
                <w:color w:val="auto"/>
              </w:rPr>
            </w:pPr>
            <w:r>
              <w:rPr>
                <w:rFonts w:hint="eastAsia"/>
                <w:color w:val="auto"/>
              </w:rPr>
              <w:t> </w:t>
            </w:r>
          </w:p>
        </w:tc>
        <w:tc>
          <w:tcPr>
            <w:tcW w:w="1813" w:type="dxa"/>
            <w:noWrap/>
            <w:vAlign w:val="center"/>
          </w:tcPr>
          <w:p w14:paraId="775EA6D7">
            <w:pPr>
              <w:pStyle w:val="198"/>
              <w:spacing w:beforeAutospacing="0" w:afterAutospacing="0"/>
              <w:ind w:firstLine="600"/>
              <w:jc w:val="center"/>
              <w:rPr>
                <w:color w:val="auto"/>
              </w:rPr>
            </w:pPr>
            <w:r>
              <w:rPr>
                <w:rFonts w:hint="eastAsia"/>
                <w:color w:val="auto"/>
              </w:rPr>
              <w:t> </w:t>
            </w:r>
          </w:p>
        </w:tc>
      </w:tr>
      <w:tr w14:paraId="2911F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6F259961">
            <w:pPr>
              <w:pStyle w:val="198"/>
              <w:spacing w:beforeAutospacing="0" w:afterAutospacing="0"/>
              <w:ind w:firstLine="600"/>
              <w:jc w:val="center"/>
              <w:rPr>
                <w:color w:val="auto"/>
              </w:rPr>
            </w:pPr>
            <w:r>
              <w:rPr>
                <w:rFonts w:hint="eastAsia"/>
                <w:color w:val="auto"/>
              </w:rPr>
              <w:t> </w:t>
            </w:r>
          </w:p>
        </w:tc>
        <w:tc>
          <w:tcPr>
            <w:tcW w:w="2011" w:type="dxa"/>
            <w:noWrap/>
            <w:vAlign w:val="center"/>
          </w:tcPr>
          <w:p w14:paraId="57BEA662">
            <w:pPr>
              <w:pStyle w:val="198"/>
              <w:spacing w:beforeAutospacing="0" w:afterAutospacing="0"/>
              <w:ind w:firstLine="600"/>
              <w:jc w:val="center"/>
              <w:rPr>
                <w:color w:val="auto"/>
              </w:rPr>
            </w:pPr>
            <w:r>
              <w:rPr>
                <w:rFonts w:hint="eastAsia"/>
                <w:color w:val="auto"/>
              </w:rPr>
              <w:t> </w:t>
            </w:r>
          </w:p>
        </w:tc>
        <w:tc>
          <w:tcPr>
            <w:tcW w:w="2304" w:type="dxa"/>
            <w:noWrap/>
            <w:vAlign w:val="center"/>
          </w:tcPr>
          <w:p w14:paraId="7B6B4168">
            <w:pPr>
              <w:pStyle w:val="198"/>
              <w:spacing w:beforeAutospacing="0" w:afterAutospacing="0"/>
              <w:ind w:firstLine="600"/>
              <w:jc w:val="center"/>
              <w:rPr>
                <w:color w:val="auto"/>
              </w:rPr>
            </w:pPr>
            <w:r>
              <w:rPr>
                <w:rFonts w:hint="eastAsia"/>
                <w:color w:val="auto"/>
              </w:rPr>
              <w:t> </w:t>
            </w:r>
          </w:p>
        </w:tc>
        <w:tc>
          <w:tcPr>
            <w:tcW w:w="1872" w:type="dxa"/>
            <w:noWrap/>
            <w:vAlign w:val="center"/>
          </w:tcPr>
          <w:p w14:paraId="0A1EAFB0">
            <w:pPr>
              <w:pStyle w:val="198"/>
              <w:spacing w:beforeAutospacing="0" w:afterAutospacing="0"/>
              <w:ind w:firstLine="600"/>
              <w:jc w:val="center"/>
              <w:rPr>
                <w:color w:val="auto"/>
              </w:rPr>
            </w:pPr>
            <w:r>
              <w:rPr>
                <w:rFonts w:hint="eastAsia"/>
                <w:color w:val="auto"/>
              </w:rPr>
              <w:t> </w:t>
            </w:r>
          </w:p>
        </w:tc>
        <w:tc>
          <w:tcPr>
            <w:tcW w:w="1813" w:type="dxa"/>
            <w:noWrap/>
            <w:vAlign w:val="center"/>
          </w:tcPr>
          <w:p w14:paraId="43519018">
            <w:pPr>
              <w:pStyle w:val="198"/>
              <w:spacing w:beforeAutospacing="0" w:afterAutospacing="0"/>
              <w:ind w:firstLine="600"/>
              <w:jc w:val="center"/>
              <w:rPr>
                <w:color w:val="auto"/>
              </w:rPr>
            </w:pPr>
            <w:r>
              <w:rPr>
                <w:rFonts w:hint="eastAsia"/>
                <w:color w:val="auto"/>
              </w:rPr>
              <w:t> </w:t>
            </w:r>
          </w:p>
        </w:tc>
      </w:tr>
      <w:tr w14:paraId="3DA59A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blCellSpacing w:w="0" w:type="dxa"/>
          <w:jc w:val="center"/>
        </w:trPr>
        <w:tc>
          <w:tcPr>
            <w:tcW w:w="777" w:type="dxa"/>
            <w:noWrap/>
            <w:vAlign w:val="center"/>
          </w:tcPr>
          <w:p w14:paraId="1E628BAC">
            <w:pPr>
              <w:pStyle w:val="198"/>
              <w:spacing w:beforeAutospacing="0" w:afterAutospacing="0"/>
              <w:ind w:firstLine="600"/>
              <w:jc w:val="center"/>
              <w:rPr>
                <w:color w:val="auto"/>
              </w:rPr>
            </w:pPr>
            <w:r>
              <w:rPr>
                <w:rFonts w:hint="eastAsia"/>
                <w:color w:val="auto"/>
              </w:rPr>
              <w:t> </w:t>
            </w:r>
          </w:p>
        </w:tc>
        <w:tc>
          <w:tcPr>
            <w:tcW w:w="2011" w:type="dxa"/>
            <w:noWrap/>
            <w:vAlign w:val="center"/>
          </w:tcPr>
          <w:p w14:paraId="0806148A">
            <w:pPr>
              <w:pStyle w:val="198"/>
              <w:spacing w:beforeAutospacing="0" w:afterAutospacing="0"/>
              <w:ind w:firstLine="600"/>
              <w:jc w:val="center"/>
              <w:rPr>
                <w:color w:val="auto"/>
              </w:rPr>
            </w:pPr>
            <w:r>
              <w:rPr>
                <w:rFonts w:hint="eastAsia"/>
                <w:color w:val="auto"/>
              </w:rPr>
              <w:t> </w:t>
            </w:r>
          </w:p>
        </w:tc>
        <w:tc>
          <w:tcPr>
            <w:tcW w:w="2304" w:type="dxa"/>
            <w:noWrap/>
            <w:vAlign w:val="center"/>
          </w:tcPr>
          <w:p w14:paraId="2EAA906D">
            <w:pPr>
              <w:pStyle w:val="198"/>
              <w:spacing w:beforeAutospacing="0" w:afterAutospacing="0"/>
              <w:ind w:firstLine="600"/>
              <w:jc w:val="center"/>
              <w:rPr>
                <w:color w:val="auto"/>
              </w:rPr>
            </w:pPr>
            <w:r>
              <w:rPr>
                <w:rFonts w:hint="eastAsia"/>
                <w:color w:val="auto"/>
              </w:rPr>
              <w:t> </w:t>
            </w:r>
          </w:p>
        </w:tc>
        <w:tc>
          <w:tcPr>
            <w:tcW w:w="1872" w:type="dxa"/>
            <w:noWrap/>
            <w:vAlign w:val="center"/>
          </w:tcPr>
          <w:p w14:paraId="77A65B40">
            <w:pPr>
              <w:pStyle w:val="198"/>
              <w:spacing w:beforeAutospacing="0" w:afterAutospacing="0"/>
              <w:ind w:firstLine="600"/>
              <w:jc w:val="center"/>
              <w:rPr>
                <w:color w:val="auto"/>
              </w:rPr>
            </w:pPr>
            <w:r>
              <w:rPr>
                <w:rFonts w:hint="eastAsia"/>
                <w:color w:val="auto"/>
              </w:rPr>
              <w:t> </w:t>
            </w:r>
          </w:p>
        </w:tc>
        <w:tc>
          <w:tcPr>
            <w:tcW w:w="1813" w:type="dxa"/>
            <w:noWrap/>
            <w:vAlign w:val="center"/>
          </w:tcPr>
          <w:p w14:paraId="7F17E6B6">
            <w:pPr>
              <w:pStyle w:val="198"/>
              <w:spacing w:beforeAutospacing="0" w:afterAutospacing="0"/>
              <w:ind w:firstLine="600"/>
              <w:jc w:val="center"/>
              <w:rPr>
                <w:color w:val="auto"/>
              </w:rPr>
            </w:pPr>
            <w:r>
              <w:rPr>
                <w:rFonts w:hint="eastAsia"/>
                <w:color w:val="auto"/>
              </w:rPr>
              <w:t> </w:t>
            </w:r>
          </w:p>
        </w:tc>
      </w:tr>
    </w:tbl>
    <w:p w14:paraId="0033A6C5">
      <w:pPr>
        <w:pStyle w:val="198"/>
        <w:spacing w:beforeAutospacing="0" w:afterAutospacing="0"/>
        <w:jc w:val="both"/>
        <w:rPr>
          <w:color w:val="auto"/>
        </w:rPr>
      </w:pPr>
      <w:r>
        <w:rPr>
          <w:rFonts w:hint="eastAsia"/>
          <w:color w:val="auto"/>
        </w:rPr>
        <w:t>注：行数不够，可自行添加。</w:t>
      </w:r>
    </w:p>
    <w:p w14:paraId="11AA7F46">
      <w:pPr>
        <w:pStyle w:val="198"/>
        <w:spacing w:beforeAutospacing="0" w:afterAutospacing="0"/>
        <w:ind w:firstLine="600"/>
        <w:jc w:val="both"/>
        <w:rPr>
          <w:color w:val="auto"/>
        </w:rPr>
      </w:pPr>
    </w:p>
    <w:p w14:paraId="68D5928D">
      <w:pPr>
        <w:pStyle w:val="198"/>
        <w:spacing w:beforeAutospacing="0" w:afterAutospacing="0" w:line="0" w:lineRule="atLeast"/>
        <w:jc w:val="center"/>
        <w:rPr>
          <w:bCs/>
          <w:color w:val="auto"/>
          <w:sz w:val="32"/>
          <w:szCs w:val="32"/>
        </w:rPr>
      </w:pPr>
      <w:r>
        <w:rPr>
          <w:rFonts w:hint="eastAsia"/>
          <w:b/>
          <w:i/>
          <w:color w:val="auto"/>
          <w:sz w:val="32"/>
          <w:szCs w:val="32"/>
          <w:u w:val="single"/>
        </w:rPr>
        <w:br w:type="page" w:clear="all"/>
      </w:r>
      <w:r>
        <w:rPr>
          <w:rFonts w:hint="eastAsia" w:ascii="黑体" w:hAnsi="黑体" w:eastAsia="黑体" w:cs="黑体"/>
          <w:i/>
          <w:color w:val="auto"/>
          <w:sz w:val="32"/>
          <w:szCs w:val="32"/>
          <w:u w:val="single"/>
        </w:rPr>
        <w:t>十</w:t>
      </w:r>
      <w:r>
        <w:rPr>
          <w:rFonts w:hint="eastAsia" w:ascii="黑体" w:hAnsi="黑体" w:eastAsia="黑体" w:cs="黑体"/>
          <w:i/>
          <w:color w:val="auto"/>
          <w:sz w:val="32"/>
          <w:szCs w:val="32"/>
          <w:u w:val="single"/>
          <w:lang w:val="en-US" w:eastAsia="zh-CN"/>
        </w:rPr>
        <w:t>五</w:t>
      </w:r>
      <w:r>
        <w:rPr>
          <w:rFonts w:hint="eastAsia" w:ascii="黑体" w:hAnsi="黑体" w:eastAsia="黑体" w:cs="黑体"/>
          <w:i/>
          <w:color w:val="auto"/>
          <w:sz w:val="32"/>
          <w:szCs w:val="32"/>
          <w:u w:val="single"/>
        </w:rPr>
        <w:t>、开标一览表</w:t>
      </w:r>
    </w:p>
    <w:p w14:paraId="3FAD7271">
      <w:pPr>
        <w:pStyle w:val="198"/>
        <w:spacing w:beforeAutospacing="0" w:afterAutospacing="0" w:line="500" w:lineRule="exact"/>
        <w:ind w:firstLine="482"/>
        <w:jc w:val="both"/>
        <w:rPr>
          <w:color w:val="auto"/>
        </w:rPr>
      </w:pPr>
      <w:r>
        <w:rPr>
          <w:rFonts w:hint="eastAsia"/>
          <w:color w:val="auto"/>
        </w:rPr>
        <w:t>投标人全称（加盖CA电子签章）：</w:t>
      </w:r>
    </w:p>
    <w:p w14:paraId="1B7A1AA0">
      <w:pPr>
        <w:pStyle w:val="198"/>
        <w:spacing w:beforeAutospacing="0" w:afterAutospacing="0" w:line="500" w:lineRule="exact"/>
        <w:ind w:firstLine="482"/>
        <w:jc w:val="both"/>
        <w:rPr>
          <w:color w:val="auto"/>
        </w:rPr>
      </w:pPr>
      <w:r>
        <w:rPr>
          <w:rFonts w:hint="eastAsia"/>
          <w:color w:val="auto"/>
        </w:rPr>
        <w:t>项目名称：</w:t>
      </w:r>
    </w:p>
    <w:p w14:paraId="2F06F32C">
      <w:pPr>
        <w:pStyle w:val="198"/>
        <w:spacing w:beforeAutospacing="0" w:afterAutospacing="0" w:line="500" w:lineRule="exact"/>
        <w:ind w:firstLine="482"/>
        <w:jc w:val="both"/>
        <w:rPr>
          <w:color w:val="auto"/>
        </w:rPr>
      </w:pPr>
      <w:r>
        <w:rPr>
          <w:rFonts w:hint="eastAsia"/>
          <w:color w:val="auto"/>
        </w:rPr>
        <w:t>项目编号：</w:t>
      </w:r>
    </w:p>
    <w:tbl>
      <w:tblPr>
        <w:tblStyle w:val="29"/>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19"/>
      </w:tblGrid>
      <w:tr w14:paraId="7B974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8" w:hRule="atLeast"/>
          <w:tblCellSpacing w:w="0" w:type="dxa"/>
        </w:trPr>
        <w:tc>
          <w:tcPr>
            <w:tcW w:w="8619" w:type="dxa"/>
            <w:noWrap/>
            <w:vAlign w:val="center"/>
          </w:tcPr>
          <w:p w14:paraId="3665F33F">
            <w:pPr>
              <w:pStyle w:val="198"/>
              <w:spacing w:beforeAutospacing="0" w:afterAutospacing="0" w:line="400" w:lineRule="exact"/>
              <w:jc w:val="center"/>
              <w:rPr>
                <w:color w:val="auto"/>
              </w:rPr>
            </w:pPr>
            <w:r>
              <w:rPr>
                <w:rFonts w:hint="eastAsia"/>
                <w:color w:val="auto"/>
              </w:rPr>
              <w:t>投标总报价：</w:t>
            </w:r>
          </w:p>
        </w:tc>
      </w:tr>
      <w:tr w14:paraId="1D734B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109F8514">
            <w:pPr>
              <w:pStyle w:val="198"/>
              <w:spacing w:beforeAutospacing="0" w:afterAutospacing="0" w:line="400" w:lineRule="exact"/>
              <w:rPr>
                <w:color w:val="auto"/>
              </w:rPr>
            </w:pPr>
            <w:r>
              <w:rPr>
                <w:rFonts w:hint="eastAsia"/>
                <w:color w:val="auto"/>
              </w:rPr>
              <w:t>小写：           （人民币：元）       </w:t>
            </w:r>
          </w:p>
        </w:tc>
      </w:tr>
      <w:tr w14:paraId="6F1B5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7E4CD2BC">
            <w:pPr>
              <w:pStyle w:val="198"/>
              <w:spacing w:beforeAutospacing="0" w:afterAutospacing="0" w:line="400" w:lineRule="exact"/>
              <w:rPr>
                <w:color w:val="auto"/>
              </w:rPr>
            </w:pPr>
            <w:r>
              <w:rPr>
                <w:rFonts w:hint="eastAsia"/>
                <w:color w:val="auto"/>
                <w:szCs w:val="21"/>
              </w:rPr>
              <w:t xml:space="preserve">报价（大写）：   </w:t>
            </w:r>
            <w:r>
              <w:rPr>
                <w:rFonts w:hint="eastAsia"/>
                <w:color w:val="auto"/>
              </w:rPr>
              <w:t xml:space="preserve">     金额大写     </w:t>
            </w:r>
          </w:p>
        </w:tc>
      </w:tr>
    </w:tbl>
    <w:p w14:paraId="5879B2BA">
      <w:pPr>
        <w:pStyle w:val="198"/>
        <w:spacing w:beforeAutospacing="0" w:afterAutospacing="0" w:line="500" w:lineRule="exact"/>
        <w:ind w:firstLine="600"/>
        <w:jc w:val="both"/>
        <w:rPr>
          <w:color w:val="auto"/>
        </w:rPr>
      </w:pPr>
      <w:r>
        <w:rPr>
          <w:color w:val="auto"/>
        </w:rPr>
        <w:t> </w:t>
      </w:r>
    </w:p>
    <w:p w14:paraId="0D10A566">
      <w:pPr>
        <w:pStyle w:val="198"/>
        <w:spacing w:beforeAutospacing="0" w:afterAutospacing="0" w:line="500" w:lineRule="exact"/>
        <w:ind w:firstLine="480"/>
        <w:jc w:val="right"/>
        <w:rPr>
          <w:color w:val="auto"/>
        </w:rPr>
      </w:pPr>
      <w:r>
        <w:rPr>
          <w:rFonts w:hint="eastAsia"/>
          <w:color w:val="auto"/>
        </w:rPr>
        <w:t>                  日期：</w:t>
      </w:r>
      <w:r>
        <w:rPr>
          <w:rFonts w:hint="eastAsia"/>
          <w:color w:val="auto"/>
          <w:u w:val="single"/>
        </w:rPr>
        <w:t xml:space="preserve">    </w:t>
      </w:r>
      <w:r>
        <w:rPr>
          <w:rFonts w:hint="eastAsia"/>
          <w:color w:val="auto"/>
        </w:rPr>
        <w:t>年</w:t>
      </w:r>
      <w:r>
        <w:rPr>
          <w:rFonts w:hint="eastAsia"/>
          <w:color w:val="auto"/>
          <w:u w:val="single"/>
        </w:rPr>
        <w:t xml:space="preserve">   </w:t>
      </w:r>
      <w:r>
        <w:rPr>
          <w:rFonts w:hint="eastAsia"/>
          <w:color w:val="auto"/>
        </w:rPr>
        <w:t>月</w:t>
      </w:r>
      <w:r>
        <w:rPr>
          <w:rFonts w:hint="eastAsia"/>
          <w:color w:val="auto"/>
          <w:u w:val="single"/>
        </w:rPr>
        <w:t xml:space="preserve">   </w:t>
      </w:r>
      <w:r>
        <w:rPr>
          <w:rFonts w:hint="eastAsia"/>
          <w:color w:val="auto"/>
        </w:rPr>
        <w:t>日</w:t>
      </w:r>
    </w:p>
    <w:p w14:paraId="63D0D550">
      <w:pPr>
        <w:pStyle w:val="198"/>
        <w:spacing w:beforeAutospacing="0" w:afterAutospacing="0" w:line="500" w:lineRule="exact"/>
        <w:ind w:firstLine="600"/>
        <w:jc w:val="both"/>
        <w:rPr>
          <w:color w:val="auto"/>
        </w:rPr>
      </w:pPr>
      <w:r>
        <w:rPr>
          <w:rFonts w:hint="eastAsia"/>
          <w:color w:val="auto"/>
        </w:rPr>
        <w:t> </w:t>
      </w:r>
    </w:p>
    <w:p w14:paraId="34AD86E4">
      <w:pPr>
        <w:rPr>
          <w:rFonts w:ascii="宋体" w:hAnsi="宋体" w:cs="宋体"/>
          <w:color w:val="auto"/>
        </w:rPr>
      </w:pPr>
      <w:r>
        <w:rPr>
          <w:rFonts w:hint="eastAsia" w:ascii="宋体" w:hAnsi="宋体" w:cs="宋体"/>
          <w:color w:val="auto"/>
        </w:rPr>
        <w:br w:type="page" w:clear="all"/>
      </w:r>
    </w:p>
    <w:p w14:paraId="5864FF98">
      <w:pPr>
        <w:pStyle w:val="198"/>
        <w:spacing w:beforeAutospacing="0" w:afterAutospacing="0" w:line="500" w:lineRule="exact"/>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十</w:t>
      </w:r>
      <w:r>
        <w:rPr>
          <w:rFonts w:hint="eastAsia" w:ascii="黑体" w:hAnsi="黑体" w:eastAsia="黑体" w:cs="黑体"/>
          <w:i/>
          <w:color w:val="auto"/>
          <w:sz w:val="32"/>
          <w:szCs w:val="32"/>
          <w:u w:val="single"/>
          <w:lang w:val="en-US" w:eastAsia="zh-CN"/>
        </w:rPr>
        <w:t>六</w:t>
      </w:r>
      <w:r>
        <w:rPr>
          <w:rFonts w:hint="eastAsia" w:ascii="黑体" w:hAnsi="黑体" w:eastAsia="黑体" w:cs="黑体"/>
          <w:i/>
          <w:color w:val="auto"/>
          <w:sz w:val="32"/>
          <w:szCs w:val="32"/>
          <w:u w:val="single"/>
        </w:rPr>
        <w:t>、服务方案等</w:t>
      </w:r>
    </w:p>
    <w:p w14:paraId="5D3E9AB7">
      <w:pPr>
        <w:spacing w:line="560" w:lineRule="exact"/>
        <w:ind w:firstLine="480"/>
        <w:jc w:val="left"/>
        <w:rPr>
          <w:rFonts w:hint="eastAsia"/>
          <w:b/>
          <w:bCs/>
          <w:i/>
          <w:iCs/>
          <w:color w:val="auto"/>
          <w:sz w:val="24"/>
          <w:szCs w:val="24"/>
          <w:u w:val="single"/>
        </w:rPr>
      </w:pPr>
      <w:r>
        <w:rPr>
          <w:rFonts w:hint="eastAsia"/>
          <w:b/>
          <w:bCs/>
          <w:i/>
          <w:iCs/>
          <w:color w:val="auto"/>
          <w:sz w:val="24"/>
          <w:szCs w:val="24"/>
          <w:u w:val="single"/>
        </w:rPr>
        <w:t>注：本项目服务方案部分为“暗标”，不得编制页眉以及目录，方案及页码字体大小均采用四号宋体(不得出现加粗、下划线、斜体格式);投标人在“服务方案”中均不得以任何方式直接或</w:t>
      </w:r>
      <w:r>
        <w:rPr>
          <w:rFonts w:hint="eastAsia"/>
          <w:b/>
          <w:bCs/>
          <w:i/>
          <w:iCs/>
          <w:color w:val="auto"/>
          <w:sz w:val="24"/>
          <w:szCs w:val="24"/>
          <w:u w:val="single"/>
          <w:lang w:val="en-US" w:eastAsia="zh-CN"/>
        </w:rPr>
        <w:t>间接</w:t>
      </w:r>
      <w:r>
        <w:rPr>
          <w:rFonts w:hint="eastAsia"/>
          <w:b/>
          <w:bCs/>
          <w:i/>
          <w:iCs/>
          <w:color w:val="auto"/>
          <w:sz w:val="24"/>
          <w:szCs w:val="24"/>
          <w:u w:val="single"/>
        </w:rPr>
        <w:t>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auto"/>
          <w:sz w:val="24"/>
          <w:szCs w:val="24"/>
          <w:u w:val="single"/>
          <w:lang w:val="en-US" w:eastAsia="zh-CN"/>
        </w:rPr>
        <w:t>80</w:t>
      </w:r>
      <w:r>
        <w:rPr>
          <w:rFonts w:hint="eastAsia"/>
          <w:b/>
          <w:bCs/>
          <w:i/>
          <w:iCs/>
          <w:color w:val="auto"/>
          <w:sz w:val="24"/>
          <w:szCs w:val="24"/>
          <w:u w:val="single"/>
        </w:rPr>
        <w:t>页，违反上述规定方案分得0分;上传的“明标”材料中不得出现与服务方案相关的内容，否则作无效标书处理。</w:t>
      </w:r>
    </w:p>
    <w:p w14:paraId="44109AA8">
      <w:pPr>
        <w:pStyle w:val="198"/>
        <w:spacing w:beforeAutospacing="0" w:afterAutospacing="0" w:line="0" w:lineRule="atLeast"/>
        <w:jc w:val="center"/>
        <w:rPr>
          <w:rFonts w:eastAsia="方正小标宋_GBK" w:cs="方正小标宋_GBK"/>
          <w:color w:val="auto"/>
          <w:sz w:val="44"/>
          <w:szCs w:val="44"/>
        </w:rPr>
      </w:pPr>
      <w:r>
        <w:rPr>
          <w:rFonts w:hint="eastAsia"/>
          <w:color w:val="auto"/>
          <w:sz w:val="32"/>
          <w:szCs w:val="32"/>
        </w:rPr>
        <w:br w:type="page" w:clear="all"/>
      </w:r>
      <w:r>
        <w:rPr>
          <w:rFonts w:hint="eastAsia" w:ascii="黑体" w:hAnsi="黑体" w:eastAsia="黑体" w:cs="黑体"/>
          <w:i/>
          <w:color w:val="auto"/>
          <w:sz w:val="32"/>
          <w:szCs w:val="32"/>
          <w:u w:val="single"/>
        </w:rPr>
        <w:t>十</w:t>
      </w:r>
      <w:r>
        <w:rPr>
          <w:rFonts w:hint="eastAsia" w:ascii="黑体" w:hAnsi="黑体" w:eastAsia="黑体" w:cs="黑体"/>
          <w:i/>
          <w:color w:val="auto"/>
          <w:sz w:val="32"/>
          <w:szCs w:val="32"/>
          <w:u w:val="single"/>
          <w:lang w:val="en-US" w:eastAsia="zh-CN"/>
        </w:rPr>
        <w:t>七</w:t>
      </w:r>
      <w:r>
        <w:rPr>
          <w:rFonts w:hint="eastAsia" w:ascii="黑体" w:hAnsi="黑体" w:eastAsia="黑体" w:cs="黑体"/>
          <w:i/>
          <w:color w:val="auto"/>
          <w:sz w:val="32"/>
          <w:szCs w:val="32"/>
          <w:u w:val="single"/>
        </w:rPr>
        <w:t xml:space="preserve">、招标投标廉洁自律承诺保证书 </w:t>
      </w:r>
    </w:p>
    <w:p w14:paraId="5F5C27A6">
      <w:pPr>
        <w:ind w:firstLine="420"/>
        <w:rPr>
          <w:rFonts w:ascii="方正仿宋_GBK" w:hAnsi="方正仿宋_GBK" w:eastAsia="方正仿宋_GBK" w:cs="方正仿宋_GBK"/>
          <w:color w:val="auto"/>
        </w:rPr>
      </w:pPr>
    </w:p>
    <w:p w14:paraId="52EEBB75">
      <w:pPr>
        <w:pStyle w:val="189"/>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 xml:space="preserve">为了保证此次采购交易活动正常有序进行，有效遏制虚假招投标和围标、串标等问题的发生，确保整个招投标过程公开、公平、公正，我们特向招标单位承诺：  </w:t>
      </w:r>
    </w:p>
    <w:p w14:paraId="496E4534">
      <w:pPr>
        <w:pStyle w:val="189"/>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1.自觉遵守国家法律法规及亭湖区财政局、亭湖区公共资源交易中心的各项制度。限额标准以下的，自觉遵守采购单位的内部控制制度。</w:t>
      </w:r>
    </w:p>
    <w:p w14:paraId="148EF7EA">
      <w:pPr>
        <w:pStyle w:val="189"/>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 xml:space="preserve">2.不使用不正当手段妨碍、排挤其他投标单位或串通投标。按照招标文件规定的方式组织投标，不组织、不参与围标、串标。保证不弄虚作假，协助他人骗取中标。 </w:t>
      </w:r>
    </w:p>
    <w:p w14:paraId="75F7E2A9">
      <w:pPr>
        <w:pStyle w:val="189"/>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3.不向涉及招标的部门及个人支付好处费、介绍费等。发现相关人员在招标过程中有索要财物，或其他违纪违规行为的，及时向监督管理部门和纪检监察部门举报。</w:t>
      </w:r>
    </w:p>
    <w:p w14:paraId="0FFF8BB8">
      <w:pPr>
        <w:pStyle w:val="189"/>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p>
    <w:p w14:paraId="520116C8">
      <w:pPr>
        <w:pStyle w:val="189"/>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5.本承诺书对我方具有法律效力。</w:t>
      </w:r>
    </w:p>
    <w:p w14:paraId="4B6D9723">
      <w:pPr>
        <w:pStyle w:val="189"/>
        <w:widowControl/>
        <w:spacing w:beforeAutospacing="0" w:afterAutospacing="0" w:line="500" w:lineRule="exact"/>
        <w:ind w:firstLine="480"/>
        <w:rPr>
          <w:rFonts w:hint="eastAsia" w:ascii="宋体" w:hAnsi="宋体" w:eastAsia="宋体" w:cs="宋体"/>
          <w:color w:val="auto"/>
        </w:rPr>
      </w:pPr>
    </w:p>
    <w:p w14:paraId="7FA4F1DA">
      <w:pPr>
        <w:pStyle w:val="189"/>
        <w:widowControl/>
        <w:spacing w:beforeAutospacing="0" w:afterAutospacing="0" w:line="500" w:lineRule="exact"/>
        <w:ind w:firstLine="5760"/>
        <w:rPr>
          <w:rFonts w:hint="eastAsia" w:ascii="宋体" w:hAnsi="宋体" w:eastAsia="宋体" w:cs="宋体"/>
          <w:color w:val="auto"/>
        </w:rPr>
      </w:pPr>
    </w:p>
    <w:p w14:paraId="4C49BE90">
      <w:pPr>
        <w:pStyle w:val="189"/>
        <w:widowControl/>
        <w:spacing w:beforeAutospacing="0" w:afterAutospacing="0" w:line="500" w:lineRule="exact"/>
        <w:ind w:firstLine="5760"/>
        <w:rPr>
          <w:rFonts w:hint="eastAsia" w:ascii="宋体" w:hAnsi="宋体" w:eastAsia="宋体" w:cs="宋体"/>
          <w:color w:val="auto"/>
        </w:rPr>
      </w:pPr>
      <w:r>
        <w:rPr>
          <w:rFonts w:hint="eastAsia" w:ascii="宋体" w:hAnsi="宋体" w:eastAsia="宋体" w:cs="宋体"/>
          <w:color w:val="auto"/>
        </w:rPr>
        <w:t xml:space="preserve">单位（盖章）：    </w:t>
      </w:r>
    </w:p>
    <w:p w14:paraId="3DBDE708">
      <w:pPr>
        <w:pStyle w:val="189"/>
        <w:widowControl/>
        <w:spacing w:beforeAutospacing="0" w:afterAutospacing="0" w:line="500" w:lineRule="exact"/>
        <w:ind w:firstLine="2880"/>
        <w:rPr>
          <w:rFonts w:hint="eastAsia" w:ascii="宋体" w:hAnsi="宋体" w:eastAsia="宋体" w:cs="宋体"/>
          <w:color w:val="auto"/>
        </w:rPr>
      </w:pPr>
      <w:r>
        <w:rPr>
          <w:rFonts w:hint="eastAsia" w:ascii="宋体" w:hAnsi="宋体" w:eastAsia="宋体" w:cs="宋体"/>
          <w:color w:val="auto"/>
        </w:rPr>
        <w:t>法定代表人或授权代理人（签字或盖章）：</w:t>
      </w:r>
    </w:p>
    <w:p w14:paraId="771ECF9A">
      <w:pPr>
        <w:pStyle w:val="189"/>
        <w:widowControl/>
        <w:spacing w:beforeAutospacing="0" w:afterAutospacing="0" w:line="500" w:lineRule="exact"/>
        <w:ind w:firstLine="480"/>
        <w:rPr>
          <w:rFonts w:hint="eastAsia" w:ascii="宋体" w:hAnsi="宋体" w:eastAsia="宋体" w:cs="宋体"/>
          <w:color w:val="auto"/>
        </w:rPr>
      </w:pPr>
    </w:p>
    <w:p w14:paraId="21934B84">
      <w:pPr>
        <w:pStyle w:val="189"/>
        <w:widowControl/>
        <w:spacing w:beforeAutospacing="0" w:afterAutospacing="0" w:line="500" w:lineRule="exact"/>
        <w:ind w:firstLine="5822"/>
        <w:rPr>
          <w:rFonts w:hint="eastAsia" w:ascii="宋体" w:hAnsi="宋体" w:eastAsia="宋体" w:cs="宋体"/>
          <w:color w:val="auto"/>
        </w:rPr>
      </w:pPr>
      <w:r>
        <w:rPr>
          <w:rFonts w:hint="eastAsia" w:ascii="宋体" w:hAnsi="宋体" w:eastAsia="宋体" w:cs="宋体"/>
          <w:color w:val="auto"/>
        </w:rPr>
        <w:t>年   月   日</w:t>
      </w:r>
    </w:p>
    <w:p w14:paraId="140DE719">
      <w:pPr>
        <w:spacing w:line="640" w:lineRule="exact"/>
        <w:jc w:val="center"/>
        <w:rPr>
          <w:rFonts w:hint="eastAsia" w:eastAsia="方正小标宋_GBK" w:cs="方正小标宋_GBK"/>
          <w:color w:val="auto"/>
          <w:sz w:val="36"/>
          <w:szCs w:val="36"/>
        </w:rPr>
      </w:pPr>
    </w:p>
    <w:p w14:paraId="3165B82C">
      <w:pPr>
        <w:spacing w:line="640" w:lineRule="exact"/>
        <w:jc w:val="center"/>
        <w:rPr>
          <w:rFonts w:hint="eastAsia" w:eastAsia="方正小标宋_GBK" w:cs="方正小标宋_GBK"/>
          <w:color w:val="auto"/>
          <w:sz w:val="36"/>
          <w:szCs w:val="36"/>
        </w:rPr>
      </w:pPr>
    </w:p>
    <w:p w14:paraId="5E598075">
      <w:pPr>
        <w:spacing w:line="640" w:lineRule="exact"/>
        <w:jc w:val="center"/>
        <w:rPr>
          <w:rFonts w:hint="eastAsia" w:ascii="黑体" w:hAnsi="黑体" w:eastAsia="黑体" w:cs="黑体"/>
          <w:i/>
          <w:color w:val="auto"/>
          <w:sz w:val="32"/>
          <w:szCs w:val="32"/>
          <w:u w:val="single"/>
        </w:rPr>
      </w:pPr>
      <w:r>
        <w:rPr>
          <w:rFonts w:hint="eastAsia" w:ascii="黑体" w:hAnsi="黑体" w:eastAsia="黑体" w:cs="黑体"/>
          <w:i/>
          <w:color w:val="auto"/>
          <w:sz w:val="32"/>
          <w:szCs w:val="32"/>
          <w:u w:val="single"/>
        </w:rPr>
        <w:br w:type="page" w:clear="all"/>
      </w:r>
      <w:r>
        <w:rPr>
          <w:rFonts w:hint="eastAsia" w:ascii="黑体" w:hAnsi="黑体" w:eastAsia="黑体" w:cs="黑体"/>
          <w:i/>
          <w:color w:val="auto"/>
          <w:sz w:val="32"/>
          <w:szCs w:val="32"/>
          <w:u w:val="single"/>
        </w:rPr>
        <w:t>十</w:t>
      </w:r>
      <w:r>
        <w:rPr>
          <w:rFonts w:hint="eastAsia" w:ascii="黑体" w:hAnsi="黑体" w:eastAsia="黑体" w:cs="黑体"/>
          <w:i/>
          <w:color w:val="auto"/>
          <w:sz w:val="32"/>
          <w:szCs w:val="32"/>
          <w:u w:val="single"/>
          <w:lang w:val="en-US" w:eastAsia="zh-CN"/>
        </w:rPr>
        <w:t>八</w:t>
      </w:r>
      <w:r>
        <w:rPr>
          <w:rFonts w:hint="eastAsia" w:ascii="黑体" w:hAnsi="黑体" w:eastAsia="黑体" w:cs="黑体"/>
          <w:i/>
          <w:color w:val="auto"/>
          <w:sz w:val="32"/>
          <w:szCs w:val="32"/>
          <w:u w:val="single"/>
        </w:rPr>
        <w:t>、盐城市亭湖区政府采购事前信用承诺书</w:t>
      </w:r>
    </w:p>
    <w:p w14:paraId="07D6D5CB">
      <w:pPr>
        <w:widowControl/>
        <w:spacing w:line="400" w:lineRule="exact"/>
        <w:ind w:firstLine="720"/>
        <w:jc w:val="left"/>
        <w:rPr>
          <w:color w:val="auto"/>
          <w:sz w:val="36"/>
          <w:szCs w:val="36"/>
        </w:rPr>
      </w:pPr>
    </w:p>
    <w:p w14:paraId="41C89EBD">
      <w:pPr>
        <w:pStyle w:val="189"/>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为营造我区公开、公平、公正、诚实守信的政府采购交易环境，树立诚信守法的投标人形象，本人代表本单位作出以下承诺：</w:t>
      </w:r>
    </w:p>
    <w:p w14:paraId="3A5863D5">
      <w:pPr>
        <w:pStyle w:val="189"/>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623E399C">
      <w:pPr>
        <w:pStyle w:val="189"/>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FDB3CE5">
      <w:pPr>
        <w:pStyle w:val="189"/>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 xml:space="preserve">（三）严格依照国家和省、市关于政府采购的法律法规、规章、规范性文件，参加政府采购投标活动；积极履行社会责任，促进廉政建设； </w:t>
      </w:r>
    </w:p>
    <w:p w14:paraId="3D56668C">
      <w:pPr>
        <w:pStyle w:val="189"/>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（四）严格遵守即时信息公示规定，及时维护和更新盐城市政府采购网中与本单位相关的信息；</w:t>
      </w:r>
    </w:p>
    <w:p w14:paraId="0A4E65B6">
      <w:pPr>
        <w:pStyle w:val="189"/>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五）自我约束、自我管理，守合同、重信用，自觉维护政府采购交易的良好秩序，与参与本次政府采购活动的其他投标人不存在直接控股或管理关系，不参与围标串标、弄虚作假、骗取中标、干扰评标、违约毁约等行为；</w:t>
      </w:r>
    </w:p>
    <w:p w14:paraId="728CD6DA">
      <w:pPr>
        <w:pStyle w:val="189"/>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（六）自觉接受政府、行业组织、社会公众、新闻舆论的监督；</w:t>
      </w:r>
    </w:p>
    <w:p w14:paraId="26A99BF8">
      <w:pPr>
        <w:pStyle w:val="189"/>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CA37206">
      <w:pPr>
        <w:pStyle w:val="189"/>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 （八）本人已认真阅读上述承诺，并向本单位员工做了宣传教育。</w:t>
      </w:r>
    </w:p>
    <w:p w14:paraId="4BD24DCB">
      <w:pPr>
        <w:pStyle w:val="189"/>
        <w:widowControl/>
        <w:spacing w:beforeAutospacing="0" w:afterAutospacing="0" w:line="500" w:lineRule="exact"/>
        <w:ind w:firstLine="5102"/>
        <w:rPr>
          <w:rFonts w:hint="eastAsia" w:ascii="宋体" w:hAnsi="宋体" w:eastAsia="宋体" w:cs="宋体"/>
          <w:color w:val="auto"/>
        </w:rPr>
      </w:pPr>
    </w:p>
    <w:p w14:paraId="2FA9FBB2">
      <w:pPr>
        <w:pStyle w:val="189"/>
        <w:widowControl/>
        <w:spacing w:beforeAutospacing="0" w:afterAutospacing="0" w:line="500" w:lineRule="exact"/>
        <w:ind w:firstLine="5102"/>
        <w:rPr>
          <w:rFonts w:hint="eastAsia" w:ascii="宋体" w:hAnsi="宋体" w:eastAsia="宋体" w:cs="宋体"/>
          <w:color w:val="auto"/>
        </w:rPr>
      </w:pPr>
      <w:r>
        <w:rPr>
          <w:rFonts w:hint="eastAsia" w:ascii="宋体" w:hAnsi="宋体" w:eastAsia="宋体" w:cs="宋体"/>
          <w:color w:val="auto"/>
        </w:rPr>
        <w:t>法定代表人（签名）：</w:t>
      </w:r>
    </w:p>
    <w:p w14:paraId="2EFCF6F2">
      <w:pPr>
        <w:pStyle w:val="189"/>
        <w:widowControl/>
        <w:spacing w:beforeAutospacing="0" w:afterAutospacing="0" w:line="500" w:lineRule="exact"/>
        <w:ind w:firstLine="5102"/>
        <w:rPr>
          <w:rFonts w:hint="eastAsia" w:ascii="宋体" w:hAnsi="宋体" w:eastAsia="宋体" w:cs="宋体"/>
          <w:color w:val="auto"/>
        </w:rPr>
      </w:pPr>
      <w:r>
        <w:rPr>
          <w:rFonts w:hint="eastAsia" w:ascii="宋体" w:hAnsi="宋体" w:eastAsia="宋体" w:cs="宋体"/>
          <w:color w:val="auto"/>
        </w:rPr>
        <w:t xml:space="preserve">单位名称（盖章）：          </w:t>
      </w:r>
    </w:p>
    <w:p w14:paraId="30799279">
      <w:pPr>
        <w:pStyle w:val="189"/>
        <w:widowControl/>
        <w:spacing w:beforeAutospacing="0" w:afterAutospacing="0" w:line="500" w:lineRule="exact"/>
        <w:ind w:firstLine="480"/>
        <w:rPr>
          <w:rFonts w:hint="eastAsia" w:ascii="宋体" w:hAnsi="宋体" w:eastAsia="宋体" w:cs="宋体"/>
          <w:color w:val="auto"/>
        </w:rPr>
      </w:pPr>
      <w:r>
        <w:rPr>
          <w:rFonts w:hint="eastAsia" w:ascii="宋体" w:hAnsi="宋体" w:eastAsia="宋体" w:cs="宋体"/>
          <w:color w:val="auto"/>
        </w:rPr>
        <w:t xml:space="preserve">                         </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  年   月   日</w:t>
      </w:r>
    </w:p>
    <w:p w14:paraId="70857673">
      <w:pPr>
        <w:pStyle w:val="189"/>
        <w:spacing w:beforeAutospacing="0" w:afterAutospacing="0"/>
        <w:jc w:val="center"/>
        <w:rPr>
          <w:rFonts w:ascii="宋体" w:hAnsi="宋体" w:cs="宋体"/>
          <w:color w:val="auto"/>
        </w:rPr>
      </w:pPr>
    </w:p>
    <w:p w14:paraId="2928056A">
      <w:pPr>
        <w:rPr>
          <w:rFonts w:ascii="宋体" w:hAnsi="宋体" w:cs="宋体"/>
          <w:color w:val="auto"/>
        </w:rPr>
      </w:pPr>
    </w:p>
    <w:p w14:paraId="6F2ECC84">
      <w:pPr>
        <w:rPr>
          <w:rFonts w:ascii="宋体" w:hAnsi="宋体" w:cs="宋体"/>
          <w:color w:val="auto"/>
        </w:rPr>
      </w:pPr>
    </w:p>
    <w:p w14:paraId="7B153ED5">
      <w:pPr>
        <w:pStyle w:val="189"/>
        <w:spacing w:beforeAutospacing="0" w:afterAutospacing="0"/>
        <w:jc w:val="center"/>
        <w:rPr>
          <w:rFonts w:ascii="黑体" w:hAnsi="黑体" w:eastAsia="黑体" w:cs="黑体"/>
          <w:i/>
          <w:color w:val="auto"/>
          <w:sz w:val="32"/>
          <w:szCs w:val="32"/>
          <w:u w:val="single"/>
        </w:rPr>
      </w:pPr>
      <w:r>
        <w:rPr>
          <w:rFonts w:hint="eastAsia" w:ascii="黑体" w:hAnsi="黑体" w:eastAsia="黑体" w:cs="黑体"/>
          <w:i/>
          <w:color w:val="auto"/>
          <w:sz w:val="32"/>
          <w:szCs w:val="32"/>
          <w:u w:val="single"/>
        </w:rPr>
        <w:t>质疑函范本</w:t>
      </w:r>
    </w:p>
    <w:p w14:paraId="41940BD3">
      <w:pPr>
        <w:pStyle w:val="189"/>
        <w:spacing w:before="290" w:beforeAutospacing="0" w:afterAutospacing="0" w:line="500" w:lineRule="exact"/>
        <w:jc w:val="both"/>
        <w:rPr>
          <w:rFonts w:ascii="宋体" w:hAnsi="宋体" w:cs="宋体"/>
          <w:color w:val="auto"/>
        </w:rPr>
      </w:pPr>
      <w:r>
        <w:rPr>
          <w:rFonts w:hint="eastAsia" w:ascii="宋体" w:hAnsi="宋体" w:cs="宋体"/>
          <w:color w:val="auto"/>
        </w:rPr>
        <w:t>一、质疑供应商基本信息</w:t>
      </w:r>
    </w:p>
    <w:p w14:paraId="2FD1BCAF">
      <w:pPr>
        <w:pStyle w:val="189"/>
        <w:spacing w:beforeAutospacing="0" w:afterAutospacing="0" w:line="500" w:lineRule="exact"/>
        <w:jc w:val="both"/>
        <w:rPr>
          <w:rFonts w:ascii="宋体" w:hAnsi="宋体" w:cs="宋体"/>
          <w:color w:val="auto"/>
        </w:rPr>
      </w:pPr>
      <w:r>
        <w:rPr>
          <w:rFonts w:hint="eastAsia" w:ascii="宋体" w:hAnsi="宋体" w:cs="宋体"/>
          <w:color w:val="auto"/>
        </w:rPr>
        <w:t>质疑供应商：</w:t>
      </w:r>
      <w:r>
        <w:rPr>
          <w:rFonts w:hint="eastAsia" w:ascii="宋体" w:hAnsi="宋体" w:cs="宋体"/>
          <w:color w:val="auto"/>
          <w:u w:val="single"/>
        </w:rPr>
        <w:t>                    </w:t>
      </w:r>
      <w:r>
        <w:rPr>
          <w:rFonts w:hint="eastAsia" w:ascii="宋体" w:hAnsi="宋体" w:cs="宋体"/>
          <w:color w:val="auto"/>
          <w:u w:val="single"/>
        </w:rPr>
        <w:tab/>
      </w:r>
      <w:r>
        <w:rPr>
          <w:rFonts w:hint="eastAsia" w:ascii="宋体" w:hAnsi="宋体" w:cs="宋体"/>
          <w:color w:val="auto"/>
          <w:u w:val="single"/>
        </w:rPr>
        <w:t> </w:t>
      </w:r>
      <w:r>
        <w:rPr>
          <w:rFonts w:hint="eastAsia" w:ascii="宋体" w:hAnsi="宋体" w:cs="宋体"/>
          <w:color w:val="auto"/>
          <w:u w:val="single"/>
        </w:rPr>
        <w:tab/>
      </w:r>
      <w:r>
        <w:rPr>
          <w:rFonts w:hint="eastAsia" w:ascii="宋体" w:hAnsi="宋体" w:cs="宋体"/>
          <w:color w:val="auto"/>
          <w:u w:val="single"/>
        </w:rPr>
        <w:t xml:space="preserve">       </w:t>
      </w:r>
    </w:p>
    <w:p w14:paraId="11B32EDF">
      <w:pPr>
        <w:pStyle w:val="189"/>
        <w:spacing w:beforeAutospacing="0" w:afterAutospacing="0" w:line="500" w:lineRule="exact"/>
        <w:jc w:val="both"/>
        <w:rPr>
          <w:rFonts w:ascii="宋体" w:hAnsi="宋体" w:cs="宋体"/>
          <w:color w:val="auto"/>
          <w:u w:val="single"/>
        </w:rPr>
      </w:pPr>
      <w:r>
        <w:rPr>
          <w:rFonts w:hint="eastAsia" w:ascii="宋体" w:hAnsi="宋体" w:cs="宋体"/>
          <w:color w:val="auto"/>
        </w:rPr>
        <w:t>地址：</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w:t>
      </w:r>
    </w:p>
    <w:p w14:paraId="47C89361">
      <w:pPr>
        <w:pStyle w:val="189"/>
        <w:spacing w:beforeAutospacing="0" w:afterAutospacing="0" w:line="500" w:lineRule="exact"/>
        <w:jc w:val="both"/>
        <w:rPr>
          <w:rFonts w:ascii="宋体" w:hAnsi="宋体" w:cs="宋体"/>
          <w:color w:val="auto"/>
        </w:rPr>
      </w:pPr>
      <w:r>
        <w:rPr>
          <w:rFonts w:hint="eastAsia" w:ascii="宋体" w:hAnsi="宋体" w:cs="宋体"/>
          <w:color w:val="auto"/>
        </w:rPr>
        <w:t>邮编：</w:t>
      </w:r>
      <w:r>
        <w:rPr>
          <w:rFonts w:hint="eastAsia" w:ascii="宋体" w:hAnsi="宋体" w:cs="宋体"/>
          <w:color w:val="auto"/>
          <w:u w:val="single"/>
        </w:rPr>
        <w:t>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p>
    <w:p w14:paraId="7F5E4C34">
      <w:pPr>
        <w:pStyle w:val="189"/>
        <w:spacing w:beforeAutospacing="0" w:afterAutospacing="0" w:line="500" w:lineRule="exact"/>
        <w:jc w:val="both"/>
        <w:rPr>
          <w:rFonts w:ascii="宋体" w:hAnsi="宋体" w:cs="宋体"/>
          <w:color w:val="auto"/>
          <w:u w:val="single"/>
        </w:rPr>
      </w:pPr>
      <w:r>
        <w:rPr>
          <w:rFonts w:hint="eastAsia" w:ascii="宋体" w:hAnsi="宋体" w:cs="宋体"/>
          <w:color w:val="auto"/>
        </w:rPr>
        <w:t>联系人：</w:t>
      </w:r>
      <w:r>
        <w:rPr>
          <w:rFonts w:hint="eastAsia" w:ascii="宋体" w:hAnsi="宋体" w:cs="宋体"/>
          <w:color w:val="auto"/>
          <w:u w:val="single"/>
        </w:rPr>
        <w:t>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p>
    <w:p w14:paraId="125E567B">
      <w:pPr>
        <w:pStyle w:val="189"/>
        <w:spacing w:beforeAutospacing="0" w:afterAutospacing="0" w:line="500" w:lineRule="exact"/>
        <w:jc w:val="both"/>
        <w:rPr>
          <w:rFonts w:ascii="宋体" w:hAnsi="宋体" w:cs="宋体"/>
          <w:color w:val="auto"/>
        </w:rPr>
      </w:pPr>
      <w:r>
        <w:rPr>
          <w:rFonts w:hint="eastAsia" w:ascii="宋体" w:hAnsi="宋体" w:cs="宋体"/>
          <w:color w:val="auto"/>
        </w:rPr>
        <w:t>联系电话：</w:t>
      </w:r>
      <w:r>
        <w:rPr>
          <w:rFonts w:hint="eastAsia" w:ascii="宋体" w:hAnsi="宋体" w:cs="宋体"/>
          <w:color w:val="auto"/>
          <w:u w:val="single"/>
        </w:rPr>
        <w:t xml:space="preserve">                                           </w:t>
      </w:r>
    </w:p>
    <w:p w14:paraId="1169C8F1">
      <w:pPr>
        <w:pStyle w:val="189"/>
        <w:spacing w:beforeAutospacing="0" w:afterAutospacing="0" w:line="500" w:lineRule="exact"/>
        <w:jc w:val="both"/>
        <w:rPr>
          <w:rFonts w:ascii="宋体" w:hAnsi="宋体" w:cs="宋体"/>
          <w:color w:val="auto"/>
        </w:rPr>
      </w:pPr>
      <w:r>
        <w:rPr>
          <w:rFonts w:hint="eastAsia" w:ascii="宋体" w:hAnsi="宋体" w:cs="宋体"/>
          <w:color w:val="auto"/>
        </w:rPr>
        <w:t>授权代表：</w:t>
      </w:r>
      <w:r>
        <w:rPr>
          <w:rFonts w:hint="eastAsia" w:ascii="宋体" w:hAnsi="宋体" w:cs="宋体"/>
          <w:color w:val="auto"/>
          <w:u w:val="single"/>
        </w:rPr>
        <w:t>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p>
    <w:p w14:paraId="6315D818">
      <w:pPr>
        <w:pStyle w:val="189"/>
        <w:spacing w:beforeAutospacing="0" w:afterAutospacing="0" w:line="500" w:lineRule="exact"/>
        <w:jc w:val="both"/>
        <w:rPr>
          <w:rFonts w:ascii="宋体" w:hAnsi="宋体" w:cs="宋体"/>
          <w:color w:val="auto"/>
        </w:rPr>
      </w:pPr>
      <w:r>
        <w:rPr>
          <w:rFonts w:hint="eastAsia" w:ascii="宋体" w:hAnsi="宋体" w:cs="宋体"/>
          <w:color w:val="auto"/>
        </w:rPr>
        <w:t>联系电话：</w:t>
      </w:r>
      <w:r>
        <w:rPr>
          <w:rFonts w:hint="eastAsia" w:ascii="宋体" w:hAnsi="宋体" w:cs="宋体"/>
          <w:color w:val="auto"/>
          <w:u w:val="single"/>
        </w:rPr>
        <w:t>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p>
    <w:p w14:paraId="2855B591">
      <w:pPr>
        <w:pStyle w:val="189"/>
        <w:spacing w:beforeAutospacing="0" w:afterAutospacing="0" w:line="500" w:lineRule="exact"/>
        <w:jc w:val="both"/>
        <w:rPr>
          <w:rFonts w:ascii="宋体" w:hAnsi="宋体" w:cs="宋体"/>
          <w:color w:val="auto"/>
          <w:u w:val="single"/>
        </w:rPr>
      </w:pPr>
      <w:r>
        <w:rPr>
          <w:rFonts w:hint="eastAsia" w:ascii="宋体" w:hAnsi="宋体" w:cs="宋体"/>
          <w:color w:val="auto"/>
        </w:rPr>
        <w:t>地址： </w:t>
      </w:r>
      <w:r>
        <w:rPr>
          <w:rFonts w:hint="eastAsia" w:ascii="宋体" w:hAnsi="宋体" w:cs="宋体"/>
          <w:color w:val="auto"/>
          <w:u w:val="single"/>
        </w:rPr>
        <w:t>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p>
    <w:p w14:paraId="3BCE7DFF">
      <w:pPr>
        <w:pStyle w:val="189"/>
        <w:spacing w:beforeAutospacing="0" w:afterAutospacing="0" w:line="500" w:lineRule="exact"/>
        <w:jc w:val="both"/>
        <w:rPr>
          <w:rFonts w:ascii="宋体" w:hAnsi="宋体" w:cs="宋体"/>
          <w:color w:val="auto"/>
        </w:rPr>
      </w:pPr>
      <w:r>
        <w:rPr>
          <w:rFonts w:hint="eastAsia" w:ascii="宋体" w:hAnsi="宋体" w:cs="宋体"/>
          <w:color w:val="auto"/>
        </w:rPr>
        <w:t>邮编：</w:t>
      </w:r>
      <w:r>
        <w:rPr>
          <w:rFonts w:hint="eastAsia" w:ascii="宋体" w:hAnsi="宋体" w:cs="宋体"/>
          <w:color w:val="auto"/>
          <w:u w:val="single"/>
        </w:rPr>
        <w:t xml:space="preserve">                                </w:t>
      </w:r>
    </w:p>
    <w:p w14:paraId="3F49B744">
      <w:pPr>
        <w:pStyle w:val="189"/>
        <w:spacing w:beforeAutospacing="0" w:afterAutospacing="0" w:line="500" w:lineRule="exact"/>
        <w:jc w:val="both"/>
        <w:rPr>
          <w:rFonts w:ascii="宋体" w:hAnsi="宋体" w:cs="宋体"/>
          <w:color w:val="auto"/>
        </w:rPr>
      </w:pPr>
      <w:r>
        <w:rPr>
          <w:rFonts w:hint="eastAsia" w:ascii="宋体" w:hAnsi="宋体" w:cs="宋体"/>
          <w:color w:val="auto"/>
        </w:rPr>
        <w:t>二、质疑项目基本情况</w:t>
      </w:r>
    </w:p>
    <w:p w14:paraId="1EEE402D">
      <w:pPr>
        <w:pStyle w:val="189"/>
        <w:spacing w:beforeAutospacing="0" w:afterAutospacing="0" w:line="500" w:lineRule="exact"/>
        <w:jc w:val="both"/>
        <w:rPr>
          <w:rFonts w:ascii="宋体" w:hAnsi="宋体" w:cs="宋体"/>
          <w:color w:val="auto"/>
        </w:rPr>
      </w:pPr>
      <w:r>
        <w:rPr>
          <w:rFonts w:hint="eastAsia" w:ascii="宋体" w:hAnsi="宋体" w:cs="宋体"/>
          <w:color w:val="auto"/>
        </w:rPr>
        <w:t>质疑项目的名称：</w:t>
      </w:r>
      <w:r>
        <w:rPr>
          <w:rFonts w:hint="eastAsia" w:ascii="宋体" w:hAnsi="宋体" w:cs="宋体"/>
          <w:color w:val="auto"/>
          <w:u w:val="single"/>
        </w:rPr>
        <w:t xml:space="preserve">                            </w:t>
      </w:r>
    </w:p>
    <w:p w14:paraId="55C18D7E">
      <w:pPr>
        <w:pStyle w:val="189"/>
        <w:spacing w:beforeAutospacing="0" w:afterAutospacing="0" w:line="500" w:lineRule="exact"/>
        <w:jc w:val="both"/>
        <w:rPr>
          <w:rFonts w:ascii="宋体" w:hAnsi="宋体" w:cs="宋体"/>
          <w:color w:val="auto"/>
          <w:u w:val="single"/>
        </w:rPr>
      </w:pPr>
      <w:r>
        <w:rPr>
          <w:rFonts w:hint="eastAsia" w:ascii="宋体" w:hAnsi="宋体" w:cs="宋体"/>
          <w:color w:val="auto"/>
        </w:rPr>
        <w:t>质疑项目的编号：</w:t>
      </w:r>
      <w:r>
        <w:rPr>
          <w:rFonts w:hint="eastAsia" w:ascii="宋体" w:hAnsi="宋体" w:cs="宋体"/>
          <w:color w:val="auto"/>
          <w:u w:val="single"/>
        </w:rPr>
        <w:t xml:space="preserve">                          </w:t>
      </w:r>
    </w:p>
    <w:p w14:paraId="6A451B01">
      <w:pPr>
        <w:pStyle w:val="189"/>
        <w:spacing w:beforeAutospacing="0" w:afterAutospacing="0" w:line="500" w:lineRule="exact"/>
        <w:jc w:val="both"/>
        <w:rPr>
          <w:rFonts w:ascii="宋体" w:hAnsi="宋体" w:cs="宋体"/>
          <w:color w:val="auto"/>
        </w:rPr>
      </w:pPr>
      <w:r>
        <w:rPr>
          <w:rFonts w:hint="eastAsia" w:ascii="宋体" w:hAnsi="宋体" w:cs="宋体"/>
          <w:color w:val="auto"/>
        </w:rPr>
        <w:t>包号：</w:t>
      </w:r>
      <w:r>
        <w:rPr>
          <w:rFonts w:hint="eastAsia" w:ascii="宋体" w:hAnsi="宋体" w:cs="宋体"/>
          <w:color w:val="auto"/>
          <w:u w:val="single"/>
        </w:rPr>
        <w:t xml:space="preserve">                       </w:t>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ab/>
      </w:r>
      <w:r>
        <w:rPr>
          <w:rFonts w:hint="eastAsia" w:ascii="宋体" w:hAnsi="宋体" w:cs="宋体"/>
          <w:color w:val="auto"/>
          <w:u w:val="single"/>
        </w:rPr>
        <w:t xml:space="preserve">    </w:t>
      </w:r>
    </w:p>
    <w:p w14:paraId="7DE4056C">
      <w:pPr>
        <w:pStyle w:val="189"/>
        <w:spacing w:beforeAutospacing="0" w:afterAutospacing="0" w:line="500" w:lineRule="exact"/>
        <w:jc w:val="both"/>
        <w:rPr>
          <w:rFonts w:ascii="宋体" w:hAnsi="宋体" w:cs="宋体"/>
          <w:color w:val="auto"/>
        </w:rPr>
      </w:pPr>
      <w:r>
        <w:rPr>
          <w:rFonts w:hint="eastAsia" w:ascii="宋体" w:hAnsi="宋体" w:cs="宋体"/>
          <w:color w:val="auto"/>
        </w:rPr>
        <w:t>采购人名称：</w:t>
      </w:r>
      <w:r>
        <w:rPr>
          <w:rFonts w:hint="eastAsia" w:ascii="宋体" w:hAnsi="宋体" w:cs="宋体"/>
          <w:color w:val="auto"/>
          <w:u w:val="single"/>
        </w:rPr>
        <w:t xml:space="preserve">                            </w:t>
      </w:r>
    </w:p>
    <w:p w14:paraId="626E0A32">
      <w:pPr>
        <w:pStyle w:val="189"/>
        <w:spacing w:beforeAutospacing="0" w:afterAutospacing="0" w:line="500" w:lineRule="exact"/>
        <w:jc w:val="both"/>
        <w:rPr>
          <w:rFonts w:ascii="宋体" w:hAnsi="宋体" w:cs="宋体"/>
          <w:color w:val="auto"/>
        </w:rPr>
      </w:pPr>
      <w:r>
        <w:rPr>
          <w:rFonts w:hint="eastAsia" w:ascii="宋体" w:hAnsi="宋体" w:cs="宋体"/>
          <w:color w:val="auto"/>
        </w:rPr>
        <w:t>采购文件获取日期：</w:t>
      </w:r>
      <w:r>
        <w:rPr>
          <w:rFonts w:hint="eastAsia" w:ascii="宋体" w:hAnsi="宋体" w:cs="宋体"/>
          <w:color w:val="auto"/>
          <w:u w:val="single"/>
        </w:rPr>
        <w:t xml:space="preserve">                             </w:t>
      </w:r>
    </w:p>
    <w:p w14:paraId="4C967B34">
      <w:pPr>
        <w:pStyle w:val="189"/>
        <w:spacing w:beforeAutospacing="0" w:afterAutospacing="0" w:line="500" w:lineRule="exact"/>
        <w:jc w:val="both"/>
        <w:rPr>
          <w:rFonts w:ascii="宋体" w:hAnsi="宋体" w:cs="宋体"/>
          <w:color w:val="auto"/>
        </w:rPr>
      </w:pPr>
      <w:r>
        <w:rPr>
          <w:rFonts w:hint="eastAsia" w:ascii="宋体" w:hAnsi="宋体" w:cs="宋体"/>
          <w:color w:val="auto"/>
        </w:rPr>
        <w:t>三、质疑事项具体内容</w:t>
      </w:r>
    </w:p>
    <w:p w14:paraId="20FC908A">
      <w:pPr>
        <w:pStyle w:val="189"/>
        <w:spacing w:beforeAutospacing="0" w:afterAutospacing="0" w:line="500" w:lineRule="exact"/>
        <w:jc w:val="both"/>
        <w:rPr>
          <w:rFonts w:ascii="宋体" w:hAnsi="宋体" w:cs="宋体"/>
          <w:color w:val="auto"/>
        </w:rPr>
      </w:pPr>
      <w:r>
        <w:rPr>
          <w:rFonts w:hint="eastAsia" w:ascii="宋体" w:hAnsi="宋体" w:cs="宋体"/>
          <w:color w:val="auto"/>
        </w:rPr>
        <w:t>质疑事项1：</w:t>
      </w:r>
      <w:r>
        <w:rPr>
          <w:rFonts w:hint="eastAsia" w:ascii="宋体" w:hAnsi="宋体" w:cs="宋体"/>
          <w:color w:val="auto"/>
          <w:u w:val="single"/>
        </w:rPr>
        <w:t xml:space="preserve">                             </w:t>
      </w:r>
    </w:p>
    <w:p w14:paraId="25E3B8A3">
      <w:pPr>
        <w:pStyle w:val="189"/>
        <w:spacing w:beforeAutospacing="0" w:afterAutospacing="0" w:line="500" w:lineRule="exact"/>
        <w:rPr>
          <w:rFonts w:ascii="宋体" w:hAnsi="宋体" w:cs="宋体"/>
          <w:color w:val="auto"/>
        </w:rPr>
      </w:pPr>
      <w:r>
        <w:rPr>
          <w:rFonts w:hint="eastAsia" w:ascii="宋体" w:hAnsi="宋体" w:cs="宋体"/>
          <w:color w:val="auto"/>
        </w:rPr>
        <w:t>事实依据：</w:t>
      </w:r>
      <w:r>
        <w:rPr>
          <w:rFonts w:hint="eastAsia" w:ascii="宋体" w:hAnsi="宋体" w:cs="宋体"/>
          <w:color w:val="auto"/>
          <w:u w:val="single"/>
        </w:rPr>
        <w:t xml:space="preserve">                                                   </w:t>
      </w:r>
    </w:p>
    <w:p w14:paraId="7A48CB70">
      <w:pPr>
        <w:pStyle w:val="189"/>
        <w:spacing w:beforeAutospacing="0" w:afterAutospacing="0" w:line="500" w:lineRule="exact"/>
        <w:jc w:val="both"/>
        <w:rPr>
          <w:rFonts w:ascii="宋体" w:hAnsi="宋体" w:cs="宋体"/>
          <w:color w:val="auto"/>
        </w:rPr>
      </w:pPr>
      <w:r>
        <w:rPr>
          <w:rFonts w:hint="eastAsia" w:ascii="宋体" w:hAnsi="宋体" w:cs="宋体"/>
          <w:color w:val="auto"/>
        </w:rPr>
        <w:t>法律依据：</w:t>
      </w:r>
      <w:r>
        <w:rPr>
          <w:rFonts w:hint="eastAsia" w:ascii="宋体" w:hAnsi="宋体" w:cs="宋体"/>
          <w:color w:val="auto"/>
          <w:u w:val="single"/>
        </w:rPr>
        <w:t xml:space="preserve">                                                    </w:t>
      </w:r>
    </w:p>
    <w:p w14:paraId="0DC100B0">
      <w:pPr>
        <w:pStyle w:val="189"/>
        <w:spacing w:beforeAutospacing="0" w:afterAutospacing="0" w:line="500" w:lineRule="exact"/>
        <w:jc w:val="both"/>
        <w:rPr>
          <w:rFonts w:ascii="宋体" w:hAnsi="宋体" w:cs="宋体"/>
          <w:color w:val="auto"/>
        </w:rPr>
      </w:pPr>
      <w:r>
        <w:rPr>
          <w:rFonts w:hint="eastAsia" w:ascii="宋体" w:hAnsi="宋体" w:cs="宋体"/>
          <w:color w:val="auto"/>
        </w:rPr>
        <w:t>质疑事项2</w:t>
      </w:r>
    </w:p>
    <w:p w14:paraId="5653AE01">
      <w:pPr>
        <w:pStyle w:val="189"/>
        <w:spacing w:beforeAutospacing="0" w:afterAutospacing="0" w:line="500" w:lineRule="exact"/>
        <w:jc w:val="both"/>
        <w:rPr>
          <w:rFonts w:ascii="宋体" w:hAnsi="宋体" w:cs="宋体"/>
          <w:color w:val="auto"/>
        </w:rPr>
      </w:pPr>
      <w:r>
        <w:rPr>
          <w:rFonts w:hint="eastAsia" w:ascii="宋体" w:hAnsi="宋体" w:cs="宋体"/>
          <w:color w:val="auto"/>
        </w:rPr>
        <w:t>……</w:t>
      </w:r>
    </w:p>
    <w:p w14:paraId="714C39FB">
      <w:pPr>
        <w:pStyle w:val="189"/>
        <w:spacing w:beforeAutospacing="0" w:afterAutospacing="0" w:line="360" w:lineRule="auto"/>
        <w:jc w:val="both"/>
        <w:rPr>
          <w:rFonts w:ascii="宋体" w:hAnsi="宋体" w:cs="宋体"/>
          <w:color w:val="auto"/>
        </w:rPr>
      </w:pPr>
      <w:r>
        <w:rPr>
          <w:rFonts w:hint="eastAsia" w:ascii="宋体" w:hAnsi="宋体" w:cs="宋体"/>
          <w:color w:val="auto"/>
        </w:rPr>
        <w:t>四、与质疑事项相关的质疑请求</w:t>
      </w:r>
    </w:p>
    <w:p w14:paraId="4BA2FD2E">
      <w:pPr>
        <w:pStyle w:val="189"/>
        <w:spacing w:beforeAutospacing="0" w:afterAutospacing="0" w:line="360" w:lineRule="auto"/>
        <w:jc w:val="both"/>
        <w:rPr>
          <w:rFonts w:ascii="宋体" w:hAnsi="宋体" w:cs="宋体"/>
          <w:color w:val="auto"/>
        </w:rPr>
      </w:pPr>
      <w:r>
        <w:rPr>
          <w:rFonts w:hint="eastAsia" w:ascii="宋体" w:hAnsi="宋体" w:cs="宋体"/>
          <w:color w:val="auto"/>
        </w:rPr>
        <w:t>请求：</w:t>
      </w:r>
      <w:r>
        <w:rPr>
          <w:rFonts w:hint="eastAsia" w:ascii="宋体" w:hAnsi="宋体" w:cs="宋体"/>
          <w:color w:val="auto"/>
          <w:u w:val="single"/>
        </w:rPr>
        <w:t xml:space="preserve">                                                          </w:t>
      </w:r>
    </w:p>
    <w:p w14:paraId="44E625AA">
      <w:pPr>
        <w:pStyle w:val="189"/>
        <w:spacing w:beforeAutospacing="0" w:afterAutospacing="0" w:line="360" w:lineRule="auto"/>
        <w:jc w:val="both"/>
        <w:rPr>
          <w:rFonts w:ascii="宋体" w:hAnsi="宋体" w:cs="宋体"/>
          <w:color w:val="auto"/>
        </w:rPr>
      </w:pPr>
      <w:r>
        <w:rPr>
          <w:rFonts w:hint="eastAsia" w:ascii="宋体" w:hAnsi="宋体" w:cs="宋体"/>
          <w:color w:val="auto"/>
        </w:rPr>
        <w:t xml:space="preserve">签字(签章)：                 公章：               日期：    </w:t>
      </w:r>
    </w:p>
    <w:p w14:paraId="64F67995">
      <w:pPr>
        <w:pStyle w:val="189"/>
        <w:spacing w:beforeAutospacing="0" w:afterAutospacing="0" w:line="500" w:lineRule="exact"/>
        <w:jc w:val="both"/>
        <w:rPr>
          <w:rFonts w:ascii="宋体" w:hAnsi="宋体" w:cs="宋体"/>
          <w:color w:val="auto"/>
        </w:rPr>
      </w:pPr>
      <w:r>
        <w:rPr>
          <w:rFonts w:hint="eastAsia" w:ascii="宋体" w:hAnsi="宋体" w:cs="宋体"/>
          <w:b/>
          <w:color w:val="auto"/>
        </w:rPr>
        <w:t>质疑函制作说明：</w:t>
      </w:r>
    </w:p>
    <w:p w14:paraId="36665C31">
      <w:pPr>
        <w:pStyle w:val="189"/>
        <w:widowControl/>
        <w:spacing w:beforeAutospacing="0" w:afterAutospacing="0" w:line="500" w:lineRule="exact"/>
        <w:ind w:firstLine="480"/>
        <w:rPr>
          <w:rFonts w:ascii="宋体" w:hAnsi="宋体" w:cs="宋体"/>
          <w:color w:val="auto"/>
        </w:rPr>
      </w:pPr>
      <w:r>
        <w:rPr>
          <w:rFonts w:hint="eastAsia" w:ascii="宋体" w:hAnsi="宋体" w:cs="宋体"/>
          <w:color w:val="auto"/>
        </w:rPr>
        <w:t>1.供应商提出质疑时，应提交质疑函和必要的证明材料。</w:t>
      </w:r>
    </w:p>
    <w:p w14:paraId="5B4362B5">
      <w:pPr>
        <w:pStyle w:val="189"/>
        <w:widowControl/>
        <w:spacing w:beforeAutospacing="0" w:afterAutospacing="0" w:line="500" w:lineRule="exact"/>
        <w:ind w:firstLine="480"/>
        <w:rPr>
          <w:rFonts w:ascii="宋体" w:hAnsi="宋体" w:cs="宋体"/>
          <w:color w:val="auto"/>
        </w:rPr>
      </w:pPr>
      <w:r>
        <w:rPr>
          <w:rFonts w:hint="eastAsia" w:ascii="宋体" w:hAnsi="宋体" w:cs="宋体"/>
          <w:color w:val="auto"/>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8F10C00">
      <w:pPr>
        <w:pStyle w:val="189"/>
        <w:widowControl/>
        <w:spacing w:beforeAutospacing="0" w:afterAutospacing="0" w:line="500" w:lineRule="exact"/>
        <w:ind w:firstLine="480"/>
        <w:rPr>
          <w:rFonts w:ascii="宋体" w:hAnsi="宋体" w:cs="宋体"/>
          <w:color w:val="auto"/>
        </w:rPr>
      </w:pPr>
      <w:r>
        <w:rPr>
          <w:rFonts w:hint="eastAsia" w:ascii="宋体" w:hAnsi="宋体" w:cs="宋体"/>
          <w:color w:val="auto"/>
        </w:rPr>
        <w:t>3.质疑供应商若对项目的某一分包进行质疑，质疑函中应列明具体分包号。</w:t>
      </w:r>
    </w:p>
    <w:p w14:paraId="69B6F575">
      <w:pPr>
        <w:pStyle w:val="189"/>
        <w:widowControl/>
        <w:spacing w:beforeAutospacing="0" w:afterAutospacing="0" w:line="500" w:lineRule="exact"/>
        <w:ind w:firstLine="480"/>
        <w:rPr>
          <w:rFonts w:ascii="宋体" w:hAnsi="宋体" w:cs="宋体"/>
          <w:color w:val="auto"/>
        </w:rPr>
      </w:pPr>
      <w:r>
        <w:rPr>
          <w:rFonts w:hint="eastAsia" w:ascii="宋体" w:hAnsi="宋体" w:cs="宋体"/>
          <w:color w:val="auto"/>
        </w:rPr>
        <w:t>4.质疑函的质疑事项应具体、明确，并有必要的事实依据和法律依据。</w:t>
      </w:r>
    </w:p>
    <w:p w14:paraId="1E25B350">
      <w:pPr>
        <w:pStyle w:val="189"/>
        <w:widowControl/>
        <w:spacing w:beforeAutospacing="0" w:afterAutospacing="0" w:line="500" w:lineRule="exact"/>
        <w:ind w:firstLine="480"/>
        <w:rPr>
          <w:rFonts w:ascii="宋体" w:hAnsi="宋体" w:cs="宋体"/>
          <w:color w:val="auto"/>
        </w:rPr>
      </w:pPr>
      <w:r>
        <w:rPr>
          <w:rFonts w:hint="eastAsia" w:ascii="宋体" w:hAnsi="宋体" w:cs="宋体"/>
          <w:color w:val="auto"/>
        </w:rPr>
        <w:t>5.质疑函的质疑请求应与质疑事项相关。</w:t>
      </w:r>
    </w:p>
    <w:p w14:paraId="5A941C19">
      <w:pPr>
        <w:pStyle w:val="189"/>
        <w:widowControl/>
        <w:spacing w:beforeAutospacing="0" w:afterAutospacing="0" w:line="500" w:lineRule="exact"/>
        <w:ind w:firstLine="480"/>
        <w:rPr>
          <w:rFonts w:ascii="宋体" w:hAnsi="宋体" w:cs="宋体"/>
          <w:color w:val="auto"/>
        </w:rPr>
      </w:pPr>
      <w:r>
        <w:rPr>
          <w:rFonts w:hint="eastAsia" w:ascii="宋体" w:hAnsi="宋体" w:cs="宋体"/>
          <w:color w:val="auto"/>
        </w:rPr>
        <w:t>6.质疑供应商为自然人的，质疑函应由本人签字；质疑供应商为法人或者其他组织的，质疑函应由法定代表人、主要负责人，或者其授权代表签字或者盖章，并加盖公章。</w:t>
      </w:r>
    </w:p>
    <w:p w14:paraId="5408402E">
      <w:pPr>
        <w:spacing w:line="500" w:lineRule="exact"/>
        <w:rPr>
          <w:color w:val="auto"/>
        </w:rPr>
      </w:pPr>
    </w:p>
    <w:p w14:paraId="779AA764">
      <w:pPr>
        <w:spacing w:line="500" w:lineRule="exact"/>
        <w:rPr>
          <w:color w:val="auto"/>
        </w:rPr>
      </w:pPr>
    </w:p>
    <w:p w14:paraId="2300AC90">
      <w:pPr>
        <w:spacing w:line="500" w:lineRule="exact"/>
        <w:rPr>
          <w:color w:val="auto"/>
        </w:rPr>
      </w:pPr>
    </w:p>
    <w:p w14:paraId="6DC3E73C">
      <w:pPr>
        <w:spacing w:line="500" w:lineRule="exact"/>
        <w:rPr>
          <w:color w:val="auto"/>
        </w:rPr>
      </w:pPr>
    </w:p>
    <w:p w14:paraId="7F7C6FD8">
      <w:pPr>
        <w:spacing w:line="500" w:lineRule="exact"/>
        <w:rPr>
          <w:color w:val="auto"/>
        </w:rPr>
      </w:pPr>
    </w:p>
    <w:p w14:paraId="016B1EEC">
      <w:pPr>
        <w:rPr>
          <w:color w:val="auto"/>
        </w:rPr>
      </w:pPr>
    </w:p>
    <w:p w14:paraId="2E623F59">
      <w:pPr>
        <w:rPr>
          <w:color w:val="auto"/>
        </w:rPr>
      </w:pPr>
    </w:p>
    <w:p w14:paraId="5FD8926A">
      <w:pPr>
        <w:rPr>
          <w:color w:val="auto"/>
        </w:rPr>
      </w:pPr>
    </w:p>
    <w:p w14:paraId="7D31B82B">
      <w:pPr>
        <w:tabs>
          <w:tab w:val="left" w:pos="7680"/>
        </w:tabs>
        <w:jc w:val="left"/>
        <w:rPr>
          <w:color w:val="auto"/>
        </w:rPr>
      </w:pPr>
      <w:r>
        <w:rPr>
          <w:rFonts w:hint="eastAsia"/>
          <w:color w:val="auto"/>
        </w:rPr>
        <w:tab/>
      </w:r>
    </w:p>
    <w:sectPr>
      <w:headerReference r:id="rId6" w:type="default"/>
      <w:footerReference r:id="rId7"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Garamond">
    <w:panose1 w:val="02020404030301010803"/>
    <w:charset w:val="00"/>
    <w:family w:val="auto"/>
    <w:pitch w:val="default"/>
    <w:sig w:usb0="00000287" w:usb1="00000000" w:usb2="00000000" w:usb3="00000000" w:csb0="0000009F" w:csb1="DFD70000"/>
  </w:font>
  <w:font w:name="Verdana">
    <w:panose1 w:val="020B0604030504040204"/>
    <w:charset w:val="00"/>
    <w:family w:val="auto"/>
    <w:pitch w:val="default"/>
    <w:sig w:usb0="A00006FF" w:usb1="4000205B" w:usb2="00000010" w:usb3="00000000" w:csb0="2000019F" w:csb1="00000000"/>
  </w:font>
  <w:font w:name="Showcard Gothic">
    <w:panose1 w:val="04020904020102020604"/>
    <w:charset w:val="00"/>
    <w:family w:val="auto"/>
    <w:pitch w:val="default"/>
    <w:sig w:usb0="00000003" w:usb1="00000000" w:usb2="00000000" w:usb3="00000000" w:csb0="20000001" w:csb1="00000000"/>
  </w:font>
  <w:font w:name="方正小标宋_GBK">
    <w:panose1 w:val="02000000000000000000"/>
    <w:charset w:val="86"/>
    <w:family w:val="auto"/>
    <w:pitch w:val="default"/>
    <w:sig w:usb0="A00002BF" w:usb1="38CF7CFA" w:usb2="00082016" w:usb3="00000000" w:csb0="00040001"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C0CF5A">
    <w:pPr>
      <w:pStyle w:val="200"/>
      <w:framePr w:wrap="around" w:vAnchor="text" w:hAnchor="margin" w:xAlign="center" w:y="1"/>
    </w:pPr>
    <w:r>
      <w:fldChar w:fldCharType="begin"/>
    </w:r>
    <w:r>
      <w:rPr>
        <w:rStyle w:val="201"/>
      </w:rPr>
      <w:instrText xml:space="preserve">PAGE  </w:instrText>
    </w:r>
    <w:r>
      <w:fldChar w:fldCharType="separate"/>
    </w:r>
    <w:r>
      <w:rPr>
        <w:rStyle w:val="201"/>
      </w:rPr>
      <w:t>1</w:t>
    </w:r>
    <w:r>
      <w:fldChar w:fldCharType="end"/>
    </w:r>
  </w:p>
  <w:p w14:paraId="4A45654D">
    <w:pPr>
      <w:pStyle w:val="20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32005">
    <w:pPr>
      <w:pStyle w:val="187"/>
      <w:jc w:val="center"/>
    </w:pPr>
  </w:p>
  <w:p w14:paraId="7CE82A42">
    <w:pPr>
      <w:pStyle w:val="18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9A7DE2">
    <w:pPr>
      <w:pStyle w:val="187"/>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73C5FF2">
                          <w:pPr>
                            <w:pStyle w:val="18"/>
                          </w:pPr>
                          <w:r>
                            <w:fldChar w:fldCharType="begin"/>
                          </w:r>
                          <w:r>
                            <w:instrText xml:space="preserve"> PAGE  \* MERGEFORMAT </w:instrText>
                          </w:r>
                          <w:r>
                            <w:fldChar w:fldCharType="separate"/>
                          </w:r>
                          <w: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573C5FF2">
                    <w:pPr>
                      <w:pStyle w:val="18"/>
                    </w:pPr>
                    <w:r>
                      <w:fldChar w:fldCharType="begin"/>
                    </w:r>
                    <w:r>
                      <w:instrText xml:space="preserve"> PAGE  \* MERGEFORMAT </w:instrText>
                    </w:r>
                    <w:r>
                      <w:fldChar w:fldCharType="separate"/>
                    </w:r>
                    <w:r>
                      <w:t>1</w:t>
                    </w:r>
                    <w:r>
                      <w:fldChar w:fldCharType="end"/>
                    </w:r>
                  </w:p>
                </w:txbxContent>
              </v:textbox>
            </v:shape>
          </w:pict>
        </mc:Fallback>
      </mc:AlternateContent>
    </w:r>
  </w:p>
  <w:p w14:paraId="4AF8DC0A">
    <w:pPr>
      <w:pStyle w:val="20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A3A13">
    <w:pPr>
      <w:pStyle w:val="203"/>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907A449">
                          <w:pPr>
                            <w:pStyle w:val="18"/>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907A449">
                    <w:pPr>
                      <w:pStyle w:val="18"/>
                    </w:pPr>
                    <w:r>
                      <w:fldChar w:fldCharType="begin"/>
                    </w:r>
                    <w:r>
                      <w:instrText xml:space="preserve"> PAGE  \* MERGEFORMAT </w:instrText>
                    </w:r>
                    <w:r>
                      <w:fldChar w:fldCharType="separate"/>
                    </w:r>
                    <w:r>
                      <w:t>2</w:t>
                    </w:r>
                    <w: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3" name="文本框 5"/>
              <wp:cNvGraphicFramePr/>
              <a:graphic xmlns:a="http://schemas.openxmlformats.org/drawingml/2006/main">
                <a:graphicData uri="http://schemas.microsoft.com/office/word/2010/wordprocessingShape">
                  <wps:wsp>
                    <wps:cNvSpPr txBox="1"/>
                    <wps:spPr bwMode="auto">
                      <a:xfrm>
                        <a:off x="0" y="0"/>
                        <a:ext cx="312420" cy="156210"/>
                      </a:xfrm>
                      <a:prstGeom prst="rect">
                        <a:avLst/>
                      </a:prstGeom>
                      <a:noFill/>
                      <a:ln w="6350">
                        <a:noFill/>
                      </a:ln>
                    </wps:spPr>
                    <wps:txbx>
                      <w:txbxContent>
                        <w:p w14:paraId="5EC32188">
                          <w:pPr>
                            <w:pStyle w:val="203"/>
                            <w:tabs>
                              <w:tab w:val="clear" w:pos="7143"/>
                              <w:tab w:val="clear" w:pos="14287"/>
                            </w:tabs>
                          </w:pPr>
                        </w:p>
                        <w:p w14:paraId="229D2B6C"/>
                      </w:txbxContent>
                    </wps:txbx>
                    <wps:bodyPr rot="0" vert="horz" wrap="square" lIns="0" tIns="0" rIns="0" bIns="0" anchor="t" anchorCtr="0"/>
                  </wps:wsp>
                </a:graphicData>
              </a:graphic>
            </wp:anchor>
          </w:drawing>
        </mc:Choice>
        <mc:Fallback>
          <w:pict>
            <v:shape id="文本框 5" o:spid="_x0000_s1026" o:spt="202" type="#_x0000_t202" style="position:absolute;left:0pt;margin-top:0pt;height:12.3pt;width:24.6pt;mso-position-horizontal:center;mso-position-horizontal-relative:margin;z-index:251659264;mso-width-relative:page;mso-height-relative:page;" filled="f" stroked="f" coordsize="21600,21600" o:gfxdata="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CC9a6NQAAAAD&#10;AQAADwAAAAAAAAABACAAAAAiAAAAZHJzL2Rvd25yZXYueG1sUEsBAhQAFAAAAAgAh07iQNu1Qurn&#10;AQAAtwMAAA4AAAAAAAAAAQAgAAAAIwEAAGRycy9lMm9Eb2MueG1sUEsFBgAAAAAGAAYAWQEAAHwF&#10;AAAAAA==&#10;">
              <v:fill on="f" focussize="0,0"/>
              <v:stroke on="f" weight="0.5pt"/>
              <v:imagedata o:title=""/>
              <o:lock v:ext="edit" aspectratio="f"/>
              <v:textbox inset="0mm,0mm,0mm,0mm">
                <w:txbxContent>
                  <w:p w14:paraId="5EC32188">
                    <w:pPr>
                      <w:pStyle w:val="203"/>
                      <w:tabs>
                        <w:tab w:val="clear" w:pos="7143"/>
                        <w:tab w:val="clear" w:pos="14287"/>
                      </w:tabs>
                    </w:pPr>
                  </w:p>
                  <w:p w14:paraId="229D2B6C"/>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140C8">
    <w:pPr>
      <w:pStyle w:val="185"/>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BF5575"/>
    <w:rsid w:val="03086EB0"/>
    <w:rsid w:val="03265180"/>
    <w:rsid w:val="04785EAF"/>
    <w:rsid w:val="048B5BE2"/>
    <w:rsid w:val="05322502"/>
    <w:rsid w:val="058A5E9A"/>
    <w:rsid w:val="05E27A84"/>
    <w:rsid w:val="060C4B01"/>
    <w:rsid w:val="065B15E4"/>
    <w:rsid w:val="065B7836"/>
    <w:rsid w:val="06CD24E2"/>
    <w:rsid w:val="0721282E"/>
    <w:rsid w:val="07B70A9C"/>
    <w:rsid w:val="09CD0A4B"/>
    <w:rsid w:val="0B835865"/>
    <w:rsid w:val="0CD21ED4"/>
    <w:rsid w:val="0D002EE5"/>
    <w:rsid w:val="0E682AF0"/>
    <w:rsid w:val="0F0C791F"/>
    <w:rsid w:val="0F9F69E6"/>
    <w:rsid w:val="10046849"/>
    <w:rsid w:val="105C0433"/>
    <w:rsid w:val="11082369"/>
    <w:rsid w:val="111F4200"/>
    <w:rsid w:val="11301FEB"/>
    <w:rsid w:val="12F47048"/>
    <w:rsid w:val="13826402"/>
    <w:rsid w:val="13F466E6"/>
    <w:rsid w:val="171952CF"/>
    <w:rsid w:val="174A5489"/>
    <w:rsid w:val="178564C1"/>
    <w:rsid w:val="179901BE"/>
    <w:rsid w:val="17A0779F"/>
    <w:rsid w:val="17E01949"/>
    <w:rsid w:val="17F11DA8"/>
    <w:rsid w:val="18185587"/>
    <w:rsid w:val="18C474BD"/>
    <w:rsid w:val="196C11FD"/>
    <w:rsid w:val="1A530AF8"/>
    <w:rsid w:val="1BA36ACA"/>
    <w:rsid w:val="1BC3580A"/>
    <w:rsid w:val="1C1E0C92"/>
    <w:rsid w:val="1C4C7784"/>
    <w:rsid w:val="1CAC44F0"/>
    <w:rsid w:val="1CC45CDD"/>
    <w:rsid w:val="1CC463C3"/>
    <w:rsid w:val="1DC146D5"/>
    <w:rsid w:val="1E3D138F"/>
    <w:rsid w:val="1FB77434"/>
    <w:rsid w:val="1FCD30FB"/>
    <w:rsid w:val="20CC5161"/>
    <w:rsid w:val="20D14525"/>
    <w:rsid w:val="21B005DE"/>
    <w:rsid w:val="21C67E02"/>
    <w:rsid w:val="226D64CF"/>
    <w:rsid w:val="22E5075C"/>
    <w:rsid w:val="26307F40"/>
    <w:rsid w:val="264F486A"/>
    <w:rsid w:val="267E0CAB"/>
    <w:rsid w:val="276E6F72"/>
    <w:rsid w:val="277F1584"/>
    <w:rsid w:val="27A42993"/>
    <w:rsid w:val="27E2526A"/>
    <w:rsid w:val="2A13795C"/>
    <w:rsid w:val="2A317478"/>
    <w:rsid w:val="2A834AE2"/>
    <w:rsid w:val="2B200583"/>
    <w:rsid w:val="2B261911"/>
    <w:rsid w:val="2B2D0EF2"/>
    <w:rsid w:val="2B85488A"/>
    <w:rsid w:val="2C8903AA"/>
    <w:rsid w:val="2C9E7F33"/>
    <w:rsid w:val="2CD94E8D"/>
    <w:rsid w:val="2DFE0923"/>
    <w:rsid w:val="2E5B7B24"/>
    <w:rsid w:val="2E9D638E"/>
    <w:rsid w:val="2EED48DD"/>
    <w:rsid w:val="2F803CE6"/>
    <w:rsid w:val="2FD951A4"/>
    <w:rsid w:val="2FEE6EA1"/>
    <w:rsid w:val="32335040"/>
    <w:rsid w:val="32425283"/>
    <w:rsid w:val="32CC5CB8"/>
    <w:rsid w:val="3341378C"/>
    <w:rsid w:val="34014CC9"/>
    <w:rsid w:val="34A83397"/>
    <w:rsid w:val="34BF705E"/>
    <w:rsid w:val="34F73FBF"/>
    <w:rsid w:val="354E3F3E"/>
    <w:rsid w:val="36772A59"/>
    <w:rsid w:val="36987B67"/>
    <w:rsid w:val="37113475"/>
    <w:rsid w:val="372E2279"/>
    <w:rsid w:val="378E2D18"/>
    <w:rsid w:val="386A108F"/>
    <w:rsid w:val="38767A34"/>
    <w:rsid w:val="387B504A"/>
    <w:rsid w:val="3880659E"/>
    <w:rsid w:val="38E52E0C"/>
    <w:rsid w:val="39202096"/>
    <w:rsid w:val="39893797"/>
    <w:rsid w:val="3A3B7187"/>
    <w:rsid w:val="3CBE7BFC"/>
    <w:rsid w:val="3D31661F"/>
    <w:rsid w:val="3DF633C5"/>
    <w:rsid w:val="3E5500EC"/>
    <w:rsid w:val="3F081602"/>
    <w:rsid w:val="3F47212A"/>
    <w:rsid w:val="3F84512C"/>
    <w:rsid w:val="417B255F"/>
    <w:rsid w:val="41DF489C"/>
    <w:rsid w:val="427A6373"/>
    <w:rsid w:val="428611BC"/>
    <w:rsid w:val="42EA174A"/>
    <w:rsid w:val="43CC70A2"/>
    <w:rsid w:val="44240C8C"/>
    <w:rsid w:val="448636F5"/>
    <w:rsid w:val="450D2D56"/>
    <w:rsid w:val="45B778DE"/>
    <w:rsid w:val="46D00C57"/>
    <w:rsid w:val="473C62ED"/>
    <w:rsid w:val="49A32653"/>
    <w:rsid w:val="4A08695A"/>
    <w:rsid w:val="4A767D68"/>
    <w:rsid w:val="4A930919"/>
    <w:rsid w:val="4AF15640"/>
    <w:rsid w:val="4BAB0C88"/>
    <w:rsid w:val="4E3B20D3"/>
    <w:rsid w:val="4F9A0054"/>
    <w:rsid w:val="501A73E7"/>
    <w:rsid w:val="505B3C87"/>
    <w:rsid w:val="50B0172B"/>
    <w:rsid w:val="51825244"/>
    <w:rsid w:val="537137C2"/>
    <w:rsid w:val="537D3F15"/>
    <w:rsid w:val="53BA0CC5"/>
    <w:rsid w:val="542E520F"/>
    <w:rsid w:val="546E385E"/>
    <w:rsid w:val="54CB0CB0"/>
    <w:rsid w:val="54DF2FCC"/>
    <w:rsid w:val="54E35FFA"/>
    <w:rsid w:val="557F21C6"/>
    <w:rsid w:val="56066443"/>
    <w:rsid w:val="573E39BB"/>
    <w:rsid w:val="57D37254"/>
    <w:rsid w:val="584119B5"/>
    <w:rsid w:val="59A044B9"/>
    <w:rsid w:val="59C7413C"/>
    <w:rsid w:val="5B242EC8"/>
    <w:rsid w:val="5B9C2140"/>
    <w:rsid w:val="5BEC1C38"/>
    <w:rsid w:val="5CD120DA"/>
    <w:rsid w:val="5CDF179C"/>
    <w:rsid w:val="5EF60494"/>
    <w:rsid w:val="5EFD23AE"/>
    <w:rsid w:val="5F906BA5"/>
    <w:rsid w:val="612105D5"/>
    <w:rsid w:val="61A3723C"/>
    <w:rsid w:val="61A651D4"/>
    <w:rsid w:val="62BD432E"/>
    <w:rsid w:val="63620A31"/>
    <w:rsid w:val="650049A6"/>
    <w:rsid w:val="65842EE1"/>
    <w:rsid w:val="660C32BE"/>
    <w:rsid w:val="67BA0E3C"/>
    <w:rsid w:val="685968A7"/>
    <w:rsid w:val="68AD6BF3"/>
    <w:rsid w:val="69670B4F"/>
    <w:rsid w:val="6C8D4D71"/>
    <w:rsid w:val="6CCE5D16"/>
    <w:rsid w:val="6D2A0812"/>
    <w:rsid w:val="6E25722B"/>
    <w:rsid w:val="6F6D0E8A"/>
    <w:rsid w:val="701337DF"/>
    <w:rsid w:val="704F058F"/>
    <w:rsid w:val="70A703CB"/>
    <w:rsid w:val="71B11502"/>
    <w:rsid w:val="721D6229"/>
    <w:rsid w:val="72AB41A3"/>
    <w:rsid w:val="73335F46"/>
    <w:rsid w:val="73593BFF"/>
    <w:rsid w:val="73702CF6"/>
    <w:rsid w:val="73EB05CF"/>
    <w:rsid w:val="740873D3"/>
    <w:rsid w:val="741E09A4"/>
    <w:rsid w:val="744A3547"/>
    <w:rsid w:val="74F82FA3"/>
    <w:rsid w:val="757E5B9F"/>
    <w:rsid w:val="758D5DE2"/>
    <w:rsid w:val="75CF63FA"/>
    <w:rsid w:val="75F47896"/>
    <w:rsid w:val="76143E0D"/>
    <w:rsid w:val="765E152C"/>
    <w:rsid w:val="76B63116"/>
    <w:rsid w:val="7783749C"/>
    <w:rsid w:val="79515378"/>
    <w:rsid w:val="7AFB1A3F"/>
    <w:rsid w:val="7C743857"/>
    <w:rsid w:val="7CCD11BA"/>
    <w:rsid w:val="7D4C6582"/>
    <w:rsid w:val="7D657644"/>
    <w:rsid w:val="7DD50326"/>
    <w:rsid w:val="7DF369FE"/>
    <w:rsid w:val="7E0B01EB"/>
    <w:rsid w:val="7E6416AA"/>
    <w:rsid w:val="7E6E42D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01"/>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unhideWhenUsed/>
    <w:qFormat/>
    <w:uiPriority w:val="39"/>
    <w:pPr>
      <w:spacing w:after="57"/>
      <w:ind w:left="1701" w:right="0" w:firstLine="0"/>
    </w:pPr>
  </w:style>
  <w:style w:type="paragraph" w:styleId="12">
    <w:name w:val="caption"/>
    <w:basedOn w:val="1"/>
    <w:semiHidden/>
    <w:unhideWhenUsed/>
    <w:qFormat/>
    <w:uiPriority w:val="35"/>
    <w:pPr>
      <w:spacing w:line="276" w:lineRule="auto"/>
    </w:pPr>
    <w:rPr>
      <w:b/>
      <w:bCs/>
      <w:color w:val="4F81BD" w:themeColor="accent1"/>
      <w:sz w:val="18"/>
      <w:szCs w:val="18"/>
    </w:rPr>
  </w:style>
  <w:style w:type="paragraph" w:styleId="13">
    <w:name w:val="toc 5"/>
    <w:basedOn w:val="1"/>
    <w:unhideWhenUsed/>
    <w:qFormat/>
    <w:uiPriority w:val="39"/>
    <w:pPr>
      <w:spacing w:after="57"/>
      <w:ind w:left="1134" w:right="0" w:firstLine="0"/>
    </w:pPr>
  </w:style>
  <w:style w:type="paragraph" w:styleId="14">
    <w:name w:val="toc 3"/>
    <w:basedOn w:val="1"/>
    <w:unhideWhenUsed/>
    <w:qFormat/>
    <w:uiPriority w:val="39"/>
    <w:pPr>
      <w:spacing w:after="57"/>
      <w:ind w:left="567" w:right="0" w:firstLine="0"/>
    </w:pPr>
  </w:style>
  <w:style w:type="paragraph" w:styleId="15">
    <w:name w:val="Plain Text"/>
    <w:basedOn w:val="1"/>
    <w:qFormat/>
    <w:uiPriority w:val="0"/>
    <w:rPr>
      <w:rFonts w:ascii="宋体" w:hAnsi="Courier New" w:eastAsia="宋体" w:cs="Times New Roman"/>
      <w:szCs w:val="20"/>
    </w:rPr>
  </w:style>
  <w:style w:type="paragraph" w:styleId="16">
    <w:name w:val="toc 8"/>
    <w:basedOn w:val="1"/>
    <w:unhideWhenUsed/>
    <w:qFormat/>
    <w:uiPriority w:val="39"/>
    <w:pPr>
      <w:spacing w:after="57"/>
      <w:ind w:left="1984" w:right="0" w:firstLine="0"/>
    </w:pPr>
  </w:style>
  <w:style w:type="paragraph" w:styleId="17">
    <w:name w:val="endnote text"/>
    <w:basedOn w:val="1"/>
    <w:link w:val="180"/>
    <w:semiHidden/>
    <w:unhideWhenUsed/>
    <w:qFormat/>
    <w:uiPriority w:val="99"/>
    <w:pPr>
      <w:spacing w:after="0" w:line="240" w:lineRule="auto"/>
    </w:pPr>
    <w:rPr>
      <w:sz w:val="20"/>
    </w:rPr>
  </w:style>
  <w:style w:type="paragraph" w:styleId="18">
    <w:name w:val="footer"/>
    <w:basedOn w:val="1"/>
    <w:link w:val="53"/>
    <w:unhideWhenUsed/>
    <w:qFormat/>
    <w:uiPriority w:val="99"/>
    <w:pPr>
      <w:tabs>
        <w:tab w:val="center" w:pos="7143"/>
        <w:tab w:val="right" w:pos="14287"/>
      </w:tabs>
      <w:spacing w:after="0" w:line="240" w:lineRule="auto"/>
    </w:pPr>
  </w:style>
  <w:style w:type="paragraph" w:styleId="19">
    <w:name w:val="header"/>
    <w:basedOn w:val="1"/>
    <w:link w:val="51"/>
    <w:unhideWhenUsed/>
    <w:qFormat/>
    <w:uiPriority w:val="99"/>
    <w:pPr>
      <w:tabs>
        <w:tab w:val="center" w:pos="7143"/>
        <w:tab w:val="right" w:pos="14287"/>
      </w:tabs>
      <w:spacing w:after="0" w:line="240" w:lineRule="auto"/>
    </w:pPr>
  </w:style>
  <w:style w:type="paragraph" w:styleId="20">
    <w:name w:val="toc 1"/>
    <w:basedOn w:val="1"/>
    <w:unhideWhenUsed/>
    <w:qFormat/>
    <w:uiPriority w:val="39"/>
    <w:pPr>
      <w:spacing w:after="57"/>
      <w:ind w:left="0" w:right="0" w:firstLine="0"/>
    </w:pPr>
  </w:style>
  <w:style w:type="paragraph" w:styleId="21">
    <w:name w:val="toc 4"/>
    <w:basedOn w:val="1"/>
    <w:unhideWhenUsed/>
    <w:qFormat/>
    <w:uiPriority w:val="39"/>
    <w:pPr>
      <w:spacing w:after="57"/>
      <w:ind w:left="850" w:right="0" w:firstLine="0"/>
    </w:pPr>
  </w:style>
  <w:style w:type="paragraph" w:styleId="22">
    <w:name w:val="Subtitle"/>
    <w:basedOn w:val="1"/>
    <w:link w:val="46"/>
    <w:qFormat/>
    <w:uiPriority w:val="11"/>
    <w:pPr>
      <w:spacing w:before="200" w:after="200"/>
    </w:pPr>
    <w:rPr>
      <w:sz w:val="24"/>
      <w:szCs w:val="24"/>
    </w:rPr>
  </w:style>
  <w:style w:type="paragraph" w:styleId="23">
    <w:name w:val="footnote text"/>
    <w:basedOn w:val="1"/>
    <w:link w:val="179"/>
    <w:semiHidden/>
    <w:unhideWhenUsed/>
    <w:qFormat/>
    <w:uiPriority w:val="99"/>
    <w:pPr>
      <w:spacing w:after="40" w:line="240" w:lineRule="auto"/>
    </w:pPr>
    <w:rPr>
      <w:sz w:val="18"/>
    </w:rPr>
  </w:style>
  <w:style w:type="paragraph" w:styleId="24">
    <w:name w:val="toc 6"/>
    <w:basedOn w:val="1"/>
    <w:unhideWhenUsed/>
    <w:qFormat/>
    <w:uiPriority w:val="39"/>
    <w:pPr>
      <w:spacing w:after="57"/>
      <w:ind w:left="1417" w:right="0" w:firstLine="0"/>
    </w:pPr>
  </w:style>
  <w:style w:type="paragraph" w:styleId="25">
    <w:name w:val="table of figures"/>
    <w:basedOn w:val="1"/>
    <w:unhideWhenUsed/>
    <w:qFormat/>
    <w:uiPriority w:val="99"/>
    <w:pPr>
      <w:spacing w:after="0" w:afterAutospacing="0"/>
    </w:pPr>
  </w:style>
  <w:style w:type="paragraph" w:styleId="26">
    <w:name w:val="toc 2"/>
    <w:basedOn w:val="1"/>
    <w:unhideWhenUsed/>
    <w:qFormat/>
    <w:uiPriority w:val="39"/>
    <w:pPr>
      <w:spacing w:after="57"/>
      <w:ind w:left="283" w:right="0" w:firstLine="0"/>
    </w:pPr>
  </w:style>
  <w:style w:type="paragraph" w:styleId="27">
    <w:name w:val="toc 9"/>
    <w:basedOn w:val="1"/>
    <w:unhideWhenUsed/>
    <w:qFormat/>
    <w:uiPriority w:val="39"/>
    <w:pPr>
      <w:spacing w:after="57"/>
      <w:ind w:left="2268" w:right="0" w:firstLine="0"/>
    </w:pPr>
  </w:style>
  <w:style w:type="paragraph" w:styleId="28">
    <w:name w:val="Title"/>
    <w:basedOn w:val="1"/>
    <w:link w:val="45"/>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rPr>
  </w:style>
  <w:style w:type="character" w:styleId="34">
    <w:name w:val="footnote reference"/>
    <w:unhideWhenUsed/>
    <w:qFormat/>
    <w:uiPriority w:val="99"/>
    <w:rPr>
      <w:vertAlign w:val="superscript"/>
    </w:rPr>
  </w:style>
  <w:style w:type="character" w:customStyle="1" w:styleId="35">
    <w:name w:val="Heading 1 Char"/>
    <w:link w:val="2"/>
    <w:qFormat/>
    <w:uiPriority w:val="9"/>
    <w:rPr>
      <w:rFonts w:ascii="Arial" w:hAnsi="Arial" w:eastAsia="Arial" w:cs="Arial"/>
      <w:sz w:val="40"/>
      <w:szCs w:val="40"/>
    </w:rPr>
  </w:style>
  <w:style w:type="character" w:customStyle="1" w:styleId="36">
    <w:name w:val="Heading 2 Char"/>
    <w:link w:val="3"/>
    <w:qFormat/>
    <w:uiPriority w:val="9"/>
    <w:rPr>
      <w:rFonts w:ascii="Arial" w:hAnsi="Arial" w:eastAsia="Arial" w:cs="Arial"/>
      <w:sz w:val="34"/>
    </w:rPr>
  </w:style>
  <w:style w:type="character" w:customStyle="1" w:styleId="37">
    <w:name w:val="Heading 3 Char"/>
    <w:link w:val="4"/>
    <w:qFormat/>
    <w:uiPriority w:val="9"/>
    <w:rPr>
      <w:rFonts w:ascii="Arial" w:hAnsi="Arial" w:eastAsia="Arial" w:cs="Arial"/>
      <w:sz w:val="30"/>
      <w:szCs w:val="30"/>
    </w:rPr>
  </w:style>
  <w:style w:type="character" w:customStyle="1" w:styleId="38">
    <w:name w:val="Heading 4 Char"/>
    <w:link w:val="5"/>
    <w:qFormat/>
    <w:uiPriority w:val="9"/>
    <w:rPr>
      <w:rFonts w:ascii="Arial" w:hAnsi="Arial" w:eastAsia="Arial" w:cs="Arial"/>
      <w:b/>
      <w:bCs/>
      <w:sz w:val="26"/>
      <w:szCs w:val="26"/>
    </w:rPr>
  </w:style>
  <w:style w:type="character" w:customStyle="1" w:styleId="39">
    <w:name w:val="Heading 5 Char"/>
    <w:link w:val="6"/>
    <w:qFormat/>
    <w:uiPriority w:val="9"/>
    <w:rPr>
      <w:rFonts w:ascii="Arial" w:hAnsi="Arial" w:eastAsia="Arial" w:cs="Arial"/>
      <w:b/>
      <w:bCs/>
      <w:sz w:val="24"/>
      <w:szCs w:val="24"/>
    </w:rPr>
  </w:style>
  <w:style w:type="character" w:customStyle="1" w:styleId="40">
    <w:name w:val="Heading 6 Char"/>
    <w:link w:val="7"/>
    <w:qFormat/>
    <w:uiPriority w:val="9"/>
    <w:rPr>
      <w:rFonts w:ascii="Arial" w:hAnsi="Arial" w:eastAsia="Arial" w:cs="Arial"/>
      <w:b/>
      <w:bCs/>
      <w:sz w:val="22"/>
      <w:szCs w:val="22"/>
    </w:rPr>
  </w:style>
  <w:style w:type="character" w:customStyle="1" w:styleId="41">
    <w:name w:val="Heading 7 Char"/>
    <w:link w:val="8"/>
    <w:qFormat/>
    <w:uiPriority w:val="9"/>
    <w:rPr>
      <w:rFonts w:ascii="Arial" w:hAnsi="Arial" w:eastAsia="Arial" w:cs="Arial"/>
      <w:b/>
      <w:bCs/>
      <w:i/>
      <w:iCs/>
      <w:sz w:val="22"/>
      <w:szCs w:val="22"/>
    </w:rPr>
  </w:style>
  <w:style w:type="character" w:customStyle="1" w:styleId="42">
    <w:name w:val="Heading 8 Char"/>
    <w:link w:val="9"/>
    <w:qFormat/>
    <w:uiPriority w:val="9"/>
    <w:rPr>
      <w:rFonts w:ascii="Arial" w:hAnsi="Arial" w:eastAsia="Arial" w:cs="Arial"/>
      <w:i/>
      <w:iCs/>
      <w:sz w:val="22"/>
      <w:szCs w:val="22"/>
    </w:rPr>
  </w:style>
  <w:style w:type="character" w:customStyle="1" w:styleId="43">
    <w:name w:val="Heading 9 Char"/>
    <w:link w:val="10"/>
    <w:qFormat/>
    <w:uiPriority w:val="9"/>
    <w:rPr>
      <w:rFonts w:ascii="Arial" w:hAnsi="Arial" w:eastAsia="Arial" w:cs="Arial"/>
      <w:i/>
      <w:iCs/>
      <w:sz w:val="21"/>
      <w:szCs w:val="21"/>
    </w:r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8"/>
    <w:qFormat/>
    <w:uiPriority w:val="10"/>
    <w:rPr>
      <w:sz w:val="48"/>
      <w:szCs w:val="48"/>
    </w:rPr>
  </w:style>
  <w:style w:type="character" w:customStyle="1" w:styleId="46">
    <w:name w:val="Subtitle Char"/>
    <w:link w:val="22"/>
    <w:qFormat/>
    <w:uiPriority w:val="11"/>
    <w:rPr>
      <w:sz w:val="24"/>
      <w:szCs w:val="24"/>
    </w:rPr>
  </w:style>
  <w:style w:type="paragraph" w:styleId="47">
    <w:name w:val="Quote"/>
    <w:basedOn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9"/>
    <w:qFormat/>
    <w:uiPriority w:val="99"/>
  </w:style>
  <w:style w:type="character" w:customStyle="1" w:styleId="52">
    <w:name w:val="Footer Char"/>
    <w:link w:val="18"/>
    <w:qFormat/>
    <w:uiPriority w:val="99"/>
  </w:style>
  <w:style w:type="character" w:customStyle="1" w:styleId="53">
    <w:name w:val="Caption Char"/>
    <w:link w:val="18"/>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3"/>
    <w:qFormat/>
    <w:uiPriority w:val="99"/>
    <w:rPr>
      <w:sz w:val="18"/>
    </w:rPr>
  </w:style>
  <w:style w:type="character" w:customStyle="1" w:styleId="180">
    <w:name w:val="Endnote Text Char"/>
    <w:link w:val="17"/>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character" w:customStyle="1" w:styleId="182">
    <w:name w:val="默认段落字体1"/>
    <w:link w:val="1"/>
    <w:semiHidden/>
    <w:qFormat/>
    <w:uiPriority w:val="0"/>
  </w:style>
  <w:style w:type="table" w:customStyle="1" w:styleId="183">
    <w:name w:val="普通表格1"/>
    <w:semiHidden/>
    <w:qFormat/>
    <w:uiPriority w:val="0"/>
  </w:style>
  <w:style w:type="paragraph" w:customStyle="1" w:styleId="184">
    <w:name w:val="批注文字11"/>
    <w:basedOn w:val="1"/>
    <w:qFormat/>
    <w:uiPriority w:val="0"/>
    <w:pPr>
      <w:jc w:val="left"/>
    </w:pPr>
  </w:style>
  <w:style w:type="paragraph" w:customStyle="1" w:styleId="185">
    <w:name w:val="正文文本1"/>
    <w:basedOn w:val="1"/>
    <w:qFormat/>
    <w:uiPriority w:val="99"/>
    <w:rPr>
      <w:rFonts w:ascii="楷体" w:hAnsi="Arial" w:eastAsia="楷体"/>
      <w:sz w:val="28"/>
      <w:szCs w:val="28"/>
    </w:rPr>
  </w:style>
  <w:style w:type="paragraph" w:customStyle="1" w:styleId="186">
    <w:name w:val="文本块11"/>
    <w:basedOn w:val="1"/>
    <w:qFormat/>
    <w:uiPriority w:val="99"/>
    <w:pPr>
      <w:ind w:left="560" w:right="-512"/>
    </w:pPr>
    <w:rPr>
      <w:rFonts w:ascii="幼圆" w:eastAsia="幼圆" w:cs="Garamond"/>
      <w:sz w:val="24"/>
      <w:szCs w:val="21"/>
    </w:rPr>
  </w:style>
  <w:style w:type="paragraph" w:customStyle="1" w:styleId="187">
    <w:name w:val="页脚12"/>
    <w:basedOn w:val="1"/>
    <w:unhideWhenUsed/>
    <w:qFormat/>
    <w:uiPriority w:val="0"/>
    <w:pPr>
      <w:tabs>
        <w:tab w:val="center" w:pos="4153"/>
        <w:tab w:val="right" w:pos="8306"/>
      </w:tabs>
      <w:jc w:val="left"/>
    </w:pPr>
    <w:rPr>
      <w:sz w:val="18"/>
      <w:szCs w:val="18"/>
    </w:rPr>
  </w:style>
  <w:style w:type="paragraph" w:customStyle="1" w:styleId="188">
    <w:name w:val="页眉1"/>
    <w:basedOn w:val="1"/>
    <w:qFormat/>
    <w:uiPriority w:val="0"/>
    <w:pPr>
      <w:pBdr>
        <w:top w:val="none" w:color="000000" w:sz="0" w:space="1"/>
        <w:left w:val="none" w:color="000000" w:sz="0" w:space="4"/>
        <w:bottom w:val="none" w:color="000000" w:sz="0" w:space="1"/>
        <w:right w:val="none" w:color="000000" w:sz="0" w:space="4"/>
      </w:pBdr>
      <w:tabs>
        <w:tab w:val="center" w:pos="4153"/>
        <w:tab w:val="right" w:pos="8306"/>
      </w:tabs>
      <w:spacing w:line="240" w:lineRule="auto"/>
      <w:jc w:val="both"/>
      <w:outlineLvl w:val="9"/>
    </w:pPr>
    <w:rPr>
      <w:sz w:val="18"/>
    </w:rPr>
  </w:style>
  <w:style w:type="paragraph" w:customStyle="1" w:styleId="189">
    <w:name w:val="普通(网站)12"/>
    <w:basedOn w:val="1"/>
    <w:qFormat/>
    <w:uiPriority w:val="0"/>
    <w:pPr>
      <w:spacing w:beforeAutospacing="1" w:afterAutospacing="1"/>
      <w:jc w:val="left"/>
    </w:pPr>
    <w:rPr>
      <w:sz w:val="24"/>
    </w:rPr>
  </w:style>
  <w:style w:type="table" w:customStyle="1" w:styleId="190">
    <w:name w:val="网格型1"/>
    <w:qFormat/>
    <w:uiPriority w:val="59"/>
  </w:style>
  <w:style w:type="paragraph" w:customStyle="1" w:styleId="191">
    <w:name w:val="文本块1"/>
    <w:basedOn w:val="1"/>
    <w:qFormat/>
    <w:uiPriority w:val="99"/>
    <w:pPr>
      <w:tabs>
        <w:tab w:val="left" w:pos="9000"/>
      </w:tabs>
      <w:spacing w:after="120"/>
      <w:ind w:left="1440" w:right="1440"/>
    </w:pPr>
  </w:style>
  <w:style w:type="paragraph" w:customStyle="1" w:styleId="192">
    <w:name w:val="普通正文"/>
    <w:basedOn w:val="1"/>
    <w:qFormat/>
    <w:uiPriority w:val="0"/>
    <w:pPr>
      <w:spacing w:before="120" w:after="120" w:line="360" w:lineRule="auto"/>
      <w:ind w:firstLine="480"/>
      <w:jc w:val="left"/>
    </w:pPr>
    <w:rPr>
      <w:rFonts w:ascii="Arial" w:hAnsi="Arial"/>
      <w:sz w:val="24"/>
    </w:rPr>
  </w:style>
  <w:style w:type="paragraph" w:customStyle="1" w:styleId="193">
    <w:name w:val="日期1"/>
    <w:basedOn w:val="1"/>
    <w:qFormat/>
    <w:uiPriority w:val="0"/>
    <w:rPr>
      <w:sz w:val="24"/>
      <w:szCs w:val="20"/>
    </w:rPr>
  </w:style>
  <w:style w:type="paragraph" w:customStyle="1" w:styleId="194">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195">
    <w:name w:val="批注文字1"/>
    <w:basedOn w:val="1"/>
    <w:qFormat/>
    <w:uiPriority w:val="0"/>
    <w:pPr>
      <w:jc w:val="left"/>
    </w:pPr>
    <w:rPr>
      <w:rFonts w:ascii="Calibri" w:hAnsi="Calibri"/>
      <w:szCs w:val="22"/>
    </w:rPr>
  </w:style>
  <w:style w:type="paragraph" w:customStyle="1" w:styleId="196">
    <w:name w:val="Char Char Char Char Char Char Char Char"/>
    <w:basedOn w:val="1"/>
    <w:qFormat/>
    <w:uiPriority w:val="0"/>
    <w:pPr>
      <w:widowControl/>
      <w:spacing w:after="160" w:line="240" w:lineRule="exact"/>
      <w:ind w:firstLine="420"/>
      <w:jc w:val="left"/>
    </w:pPr>
    <w:rPr>
      <w:rFonts w:ascii="Verdana" w:hAnsi="Verdana"/>
      <w:color w:val="000000"/>
      <w:sz w:val="20"/>
      <w:szCs w:val="20"/>
      <w:lang w:eastAsia="en-US"/>
    </w:rPr>
  </w:style>
  <w:style w:type="paragraph" w:customStyle="1" w:styleId="197">
    <w:name w:val="标题 1121"/>
    <w:basedOn w:val="1"/>
    <w:qFormat/>
    <w:uiPriority w:val="0"/>
    <w:pPr>
      <w:keepNext/>
      <w:jc w:val="center"/>
      <w:outlineLvl w:val="0"/>
    </w:pPr>
    <w:rPr>
      <w:rFonts w:ascii="楷体" w:eastAsia="楷体"/>
      <w:sz w:val="28"/>
      <w:szCs w:val="28"/>
    </w:rPr>
  </w:style>
  <w:style w:type="paragraph" w:customStyle="1" w:styleId="198">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199">
    <w:name w:val="页眉1111"/>
    <w:basedOn w:val="1"/>
    <w:qFormat/>
    <w:uiPriority w:val="0"/>
    <w:pPr>
      <w:pBdr>
        <w:bottom w:val="single" w:color="000000" w:sz="6" w:space="1"/>
      </w:pBdr>
      <w:tabs>
        <w:tab w:val="center" w:pos="4153"/>
        <w:tab w:val="right" w:pos="8306"/>
      </w:tabs>
      <w:jc w:val="center"/>
    </w:pPr>
    <w:rPr>
      <w:sz w:val="18"/>
      <w:szCs w:val="18"/>
    </w:rPr>
  </w:style>
  <w:style w:type="paragraph" w:customStyle="1" w:styleId="200">
    <w:name w:val="页脚11"/>
    <w:basedOn w:val="1"/>
    <w:qFormat/>
    <w:uiPriority w:val="0"/>
    <w:pPr>
      <w:tabs>
        <w:tab w:val="center" w:pos="4153"/>
        <w:tab w:val="right" w:pos="8306"/>
      </w:tabs>
      <w:jc w:val="left"/>
    </w:pPr>
    <w:rPr>
      <w:sz w:val="18"/>
      <w:szCs w:val="20"/>
    </w:rPr>
  </w:style>
  <w:style w:type="character" w:customStyle="1" w:styleId="201">
    <w:name w:val="页码11"/>
    <w:link w:val="1"/>
    <w:qFormat/>
    <w:uiPriority w:val="0"/>
  </w:style>
  <w:style w:type="paragraph" w:customStyle="1" w:styleId="202">
    <w:name w:val="页脚1"/>
    <w:basedOn w:val="1"/>
    <w:qFormat/>
    <w:uiPriority w:val="0"/>
    <w:pPr>
      <w:tabs>
        <w:tab w:val="center" w:pos="4153"/>
        <w:tab w:val="right" w:pos="8306"/>
      </w:tabs>
      <w:jc w:val="left"/>
    </w:pPr>
    <w:rPr>
      <w:sz w:val="18"/>
      <w:szCs w:val="18"/>
    </w:rPr>
  </w:style>
  <w:style w:type="paragraph" w:customStyle="1" w:styleId="203">
    <w:name w:val="Footer1"/>
    <w:basedOn w:val="1"/>
    <w:qFormat/>
    <w:uiPriority w:val="0"/>
    <w:pPr>
      <w:tabs>
        <w:tab w:val="center" w:pos="7143"/>
        <w:tab w:val="right" w:pos="14287"/>
      </w:tabs>
    </w:pPr>
  </w:style>
  <w:style w:type="paragraph" w:styleId="204">
    <w:name w:val="List Paragraph"/>
    <w:basedOn w:val="1"/>
    <w:unhideWhenUsed/>
    <w:qFormat/>
    <w:uiPriority w:val="99"/>
    <w:pPr>
      <w:ind w:firstLine="420"/>
    </w:pPr>
  </w:style>
  <w:style w:type="paragraph" w:customStyle="1" w:styleId="205">
    <w:name w:val="Default"/>
    <w:qFormat/>
    <w:uiPriority w:val="0"/>
    <w:pPr>
      <w:widowControl w:val="0"/>
    </w:pPr>
    <w:rPr>
      <w:rFonts w:hint="default" w:ascii="Times New Roman" w:hAnsi="Times New Roman" w:eastAsia="宋体"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atMod val="105000"/>
              <a:shade val="9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65</Pages>
  <Words>13666</Words>
  <Characters>14656</Characters>
  <TotalTime>19</TotalTime>
  <ScaleCrop>false</ScaleCrop>
  <LinksUpToDate>false</LinksUpToDate>
  <CharactersWithSpaces>14749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2022-08-21T09:23:00Z</dcterms:created>
  <dc:creator>Adminis</dc:creator>
  <cp:lastModifiedBy>韦晓语（隔壁家的喵喵喵）</cp:lastModifiedBy>
  <dcterms:modified xsi:type="dcterms:W3CDTF">2026-08-04T06:54:43Z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eyJoZGlkIjoiZjdjYTFmODE0YWM0YTIyNDRmMzA5NjQ0ZmVlZjRkODIiLCJ1c2VySWQiOiI0Mjc0NjMxOTIifQ==</vt:lpwstr>
  </property>
  <property fmtid="{D5CDD505-2E9C-101B-9397-08002B2CF9AE}" pid="3" name="KSOProductBuildVer">
    <vt:lpwstr>2052-12.1.0.28043</vt:lpwstr>
  </property>
  <property fmtid="{D5CDD505-2E9C-101B-9397-08002B2CF9AE}" pid="4" name="ICV">
    <vt:lpwstr>2613E06E8B7E448D83B4AD7638E07F02_12</vt:lpwstr>
  </property>
</Properties>
</file>