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962"/>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rPr>
      </w:r>
      <w:r/>
    </w:p>
    <w:p>
      <w:pPr>
        <w:pStyle w:val="962"/>
        <w:ind w:left="0" w:firstLine="0"/>
        <w:jc w:val="center"/>
        <w:rPr>
          <w:rFonts w:hint="eastAsia" w:ascii="宋体" w:hAnsi="宋体" w:eastAsia="宋体" w:cs="宋体"/>
          <w:b/>
          <w:bCs/>
          <w:caps w:val="0"/>
          <w:color w:val="auto"/>
          <w:sz w:val="32"/>
          <w:lang w:eastAsia="zh-CN"/>
        </w:rPr>
      </w:pPr>
      <w:r>
        <w:rPr>
          <w:rFonts w:hint="eastAsia" w:ascii="宋体" w:hAnsi="宋体" w:eastAsia="宋体" w:cs="宋体"/>
          <w:b/>
          <w:bCs/>
          <w:caps w:val="0"/>
          <w:color w:val="auto"/>
          <w:sz w:val="32"/>
        </w:rPr>
        <w:t xml:space="preserve">项目名称：</w:t>
      </w:r>
      <w:r>
        <w:rPr>
          <w:rFonts w:hint="eastAsia" w:ascii="宋体" w:hAnsi="宋体" w:eastAsia="宋体" w:cs="宋体"/>
          <w:b/>
          <w:bCs/>
          <w:caps w:val="0"/>
          <w:color w:val="auto"/>
          <w:sz w:val="32"/>
          <w:lang w:eastAsia="zh-CN"/>
        </w:rPr>
        <w:t xml:space="preserve">宿迁学院信息化中心实验桌椅项目</w:t>
      </w:r>
      <w:r/>
    </w:p>
    <w:p>
      <w:pPr>
        <w:jc w:val="center"/>
        <w:rPr>
          <w:rFonts w:hint="eastAsia" w:ascii="宋体" w:hAnsi="宋体" w:eastAsia="宋体" w:cs="宋体"/>
          <w:b/>
          <w:caps w:val="0"/>
          <w:color w:val="auto"/>
          <w:sz w:val="30"/>
          <w:szCs w:val="30"/>
        </w:rPr>
      </w:pPr>
      <w:r>
        <w:rPr>
          <w:rFonts w:hint="eastAsia" w:ascii="宋体" w:hAnsi="宋体" w:eastAsia="宋体" w:cs="宋体"/>
          <w:b/>
          <w:bCs/>
          <w:caps w:val="0"/>
          <w:color w:val="auto"/>
          <w:sz w:val="32"/>
        </w:rPr>
        <w:t xml:space="preserve">项目编号：</w:t>
      </w:r>
      <w:r>
        <w:rPr>
          <w:rFonts w:hint="eastAsia" w:ascii="宋体" w:hAnsi="宋体" w:eastAsia="宋体" w:cs="宋体"/>
          <w:b/>
          <w:bCs/>
          <w:caps w:val="0"/>
          <w:color w:val="auto"/>
          <w:sz w:val="32"/>
          <w:lang w:val="en-US" w:eastAsia="zh-CN"/>
        </w:rPr>
        <w:t xml:space="preserve">JSZC-321300-SSJT-G2026-0067</w:t>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t xml:space="preserve">（</w:t>
      </w:r>
      <w:r>
        <w:rPr>
          <w:rFonts w:hint="eastAsia" w:ascii="宋体" w:hAnsi="宋体" w:eastAsia="宋体" w:cs="宋体"/>
          <w:b/>
          <w:caps w:val="0"/>
          <w:color w:val="auto"/>
          <w:sz w:val="30"/>
          <w:szCs w:val="30"/>
          <w:lang w:val="en-US" w:eastAsia="zh-CN"/>
        </w:rPr>
        <w:t xml:space="preserve">货物</w:t>
      </w:r>
      <w:r>
        <w:rPr>
          <w:rFonts w:hint="eastAsia" w:ascii="宋体" w:hAnsi="宋体" w:eastAsia="宋体" w:cs="宋体"/>
          <w:b/>
          <w:caps w:val="0"/>
          <w:color w:val="auto"/>
          <w:sz w:val="30"/>
          <w:szCs w:val="30"/>
        </w:rPr>
        <w:t xml:space="preserve">类项目，专门面向中小企业）</w:t>
      </w:r>
      <w:r/>
    </w:p>
    <w:p>
      <w:pPr>
        <w:pStyle w:val="962"/>
        <w:ind w:firstLine="0"/>
        <w:jc w:val="center"/>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采购人：宿迁学院</w:t>
      </w:r>
      <w:r/>
    </w:p>
    <w:p>
      <w:pPr>
        <w:pStyle w:val="962"/>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采购代理机构：苏世建设管理集团有限公司</w:t>
      </w:r>
      <w:r/>
    </w:p>
    <w:p>
      <w:pPr>
        <w:pStyle w:val="962"/>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lang w:val="en-US" w:eastAsia="zh-CN"/>
        </w:rPr>
        <w:t xml:space="preserve">2026年09月08日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_Toc15550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_Toc6971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_Toc8406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25</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_Toc30589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_Toc7441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77</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4"/>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_Toc20454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82</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bCs/>
          <w:color w:val="auto"/>
          <w:sz w:val="22"/>
          <w:szCs w:val="40"/>
          <w:highlight w:val="none"/>
        </w:rPr>
        <w:br w:type="page" w:clear="all"/>
      </w:r>
      <w:r/>
    </w:p>
    <w:p>
      <w:pPr>
        <w:pStyle w:val="778"/>
        <w:jc w:val="center"/>
        <w:shd w:val="clear" w:color="auto"/>
        <w:rPr>
          <w:rFonts w:hint="eastAsia" w:ascii="宋体" w:hAnsi="宋体" w:eastAsia="宋体" w:cs="宋体"/>
          <w:bCs/>
          <w:color w:val="auto"/>
          <w:sz w:val="44"/>
          <w:szCs w:val="44"/>
          <w:highlight w:val="none"/>
        </w:rPr>
      </w:pPr>
      <w:r/>
      <w:bookmarkStart w:id="0" w:name="_Toc15550"/>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苏世建设管理集团有限公司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宿迁学院信息化中心实验桌椅项目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JSZC-321300-SSJT-G2026-0067</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宿迁学院信息化中心实验桌椅项目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none"/>
          <w:u w:val="single"/>
        </w:rPr>
        <w:t xml:space="preserve">2026年</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月29</w:t>
      </w:r>
      <w:r>
        <w:rPr>
          <w:rFonts w:hint="eastAsia" w:ascii="宋体" w:hAnsi="宋体" w:eastAsia="宋体" w:cs="宋体"/>
          <w:b/>
          <w:bCs/>
          <w:color w:val="auto"/>
          <w:sz w:val="24"/>
          <w:szCs w:val="24"/>
          <w:highlight w:val="none"/>
          <w:u w:val="single"/>
        </w:rPr>
        <w:t xml:space="preserve">日 09点30分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35393621"/>
      <w:r/>
      <w:bookmarkStart w:id="2" w:name="_Toc28359002"/>
      <w:r/>
      <w:bookmarkStart w:id="3" w:name="_Toc38985263"/>
      <w:r/>
      <w:bookmarkStart w:id="4" w:name="_Toc35393790"/>
      <w:r/>
      <w:bookmarkStart w:id="5" w:name="_Toc28359079"/>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JSZC-321300-SSJT-G2026-0067</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宿迁学院信息化中心实验桌椅项目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166.04万元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szCs w:val="24"/>
          <w:highlight w:val="none"/>
          <w:lang w:val="en-US" w:eastAsia="zh-CN"/>
        </w:rPr>
        <w:t xml:space="preserve">166.04万元</w:t>
      </w:r>
      <w:r>
        <w:rPr>
          <w:rFonts w:hint="eastAsia" w:ascii="宋体" w:hAnsi="宋体" w:eastAsia="宋体" w:cs="宋体"/>
          <w:color w:val="auto"/>
          <w:sz w:val="24"/>
          <w:szCs w:val="24"/>
          <w:highlight w:val="none"/>
        </w:rPr>
        <w:t xml:space="preserve">，超过最高限价的作无效标处理。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color w:val="000000"/>
          <w:sz w:val="24"/>
          <w:szCs w:val="24"/>
        </w:rPr>
        <w:t xml:space="preserve">宿迁学院新校区</w:t>
      </w:r>
      <w:r>
        <w:rPr>
          <w:rFonts w:hint="eastAsia" w:ascii="宋体" w:hAnsi="宋体"/>
          <w:color w:val="000000"/>
          <w:sz w:val="24"/>
          <w:szCs w:val="24"/>
          <w:lang w:val="en-US" w:eastAsia="zh-CN"/>
        </w:rPr>
        <w:t xml:space="preserve">信息化中心</w:t>
      </w:r>
      <w:r>
        <w:rPr>
          <w:rFonts w:hint="eastAsia" w:ascii="宋体" w:hAnsi="宋体"/>
          <w:color w:val="000000"/>
          <w:sz w:val="24"/>
          <w:szCs w:val="24"/>
        </w:rPr>
        <w:t xml:space="preserve">实验室桌椅采购</w:t>
      </w:r>
      <w:r>
        <w:rPr>
          <w:rFonts w:hint="eastAsia" w:ascii="宋体" w:hAnsi="宋体" w:cs="宋体"/>
          <w:color w:val="000000"/>
          <w:sz w:val="24"/>
          <w:szCs w:val="24"/>
        </w:rPr>
        <w:t xml:space="preserve">，</w:t>
      </w:r>
      <w:r>
        <w:rPr>
          <w:rFonts w:hint="eastAsia" w:ascii="宋体" w:hAnsi="宋体" w:cs="宋体"/>
          <w:bCs/>
          <w:sz w:val="24"/>
          <w:szCs w:val="24"/>
        </w:rPr>
        <w:t xml:space="preserve">包括制作、运输、装卸、安装、调试及售后三包服务等</w:t>
      </w:r>
      <w:r>
        <w:rPr>
          <w:rFonts w:hint="eastAsia" w:ascii="宋体" w:hAnsi="宋体" w:eastAsia="宋体" w:cs="宋体"/>
          <w:color w:val="auto"/>
          <w:sz w:val="24"/>
          <w:szCs w:val="24"/>
          <w:highlight w:val="none"/>
          <w:lang w:eastAsia="zh-CN"/>
        </w:rPr>
        <w:t xml:space="preserve">，详细内容见本招标文件第四章。</w:t>
      </w:r>
      <w:r/>
    </w:p>
    <w:p>
      <w:pPr>
        <w:ind w:firstLine="480"/>
        <w:pageBreakBefore w:val="0"/>
        <w:spacing w:line="400" w:lineRule="exact"/>
        <w:shd w:val="clear" w:color="auto"/>
        <w:widowControl/>
        <w:rPr>
          <w:rFonts w:hint="eastAsia" w:ascii="宋体" w:hAnsi="宋体" w:eastAsia="宋体" w:cs="宋体"/>
          <w:color w:val="ff0000"/>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合同签订后20日历天内送到甲方指定地点存放，接到甲方通知10日内完成安装、调试、检测并经验收合格后交付甲方使用（含二次搬运费）。</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7" w:name="_Toc38985264"/>
      <w:r/>
      <w:bookmarkStart w:id="8" w:name="_Toc35393622"/>
      <w:r/>
      <w:bookmarkStart w:id="9" w:name="_Toc28359080"/>
      <w:r/>
      <w:bookmarkStart w:id="10" w:name="_Toc28359003"/>
      <w:r/>
      <w:bookmarkStart w:id="11" w:name="_Toc35393791"/>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bookmarkEnd w:id="11"/>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2" w:name="_Toc28359081"/>
      <w:r/>
      <w:bookmarkStart w:id="13" w:name="_Toc35393623"/>
      <w:r/>
      <w:bookmarkStart w:id="14" w:name="_Toc38985265"/>
      <w:r/>
      <w:bookmarkStart w:id="15" w:name="_Toc35393792"/>
      <w:r/>
      <w:bookmarkStart w:id="16" w:name="_Toc28359004"/>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（二）本项目的特定资格要求：无。</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2"/>
      <w:r/>
      <w:bookmarkEnd w:id="13"/>
      <w:r/>
      <w:bookmarkEnd w:id="14"/>
      <w:r/>
      <w:bookmarkEnd w:id="15"/>
      <w:r/>
      <w:bookmarkEnd w:id="16"/>
      <w:r/>
      <w:r/>
    </w:p>
    <w:p>
      <w:pPr>
        <w:ind w:firstLine="480"/>
        <w:pageBreakBefore w:val="0"/>
        <w:spacing w:line="400" w:lineRule="exact"/>
        <w:shd w:val="clear" w:color="auto"/>
        <w:widowControl/>
        <w:rPr>
          <w:rFonts w:hint="eastAsia" w:ascii="宋体" w:hAnsi="宋体" w:cs="宋体" w:eastAsiaTheme="minorEastAsia"/>
          <w:color w:val="auto"/>
          <w:sz w:val="24"/>
          <w:szCs w:val="24"/>
          <w:highlight w:val="none"/>
          <w:lang w:eastAsia="zh-CN"/>
        </w:rPr>
      </w:pPr>
      <w:r/>
      <w:bookmarkStart w:id="17" w:name="_Toc28359082"/>
      <w:r/>
      <w:bookmarkStart w:id="18" w:name="_Toc28359005"/>
      <w:r/>
      <w:bookmarkStart w:id="19" w:name="_Toc35393793"/>
      <w:r/>
      <w:bookmarkStart w:id="20" w:name="_Toc38985266"/>
      <w:r/>
      <w:bookmarkStart w:id="21" w:name="_Toc35393624"/>
      <w:r>
        <w:rPr>
          <w:rFonts w:hint="eastAsia" w:ascii="宋体" w:hAnsi="宋体" w:eastAsia="宋体" w:cs="宋体"/>
          <w:color w:val="auto"/>
          <w:sz w:val="24"/>
          <w:szCs w:val="24"/>
          <w:highlight w:val="none"/>
        </w:rPr>
        <w:t xml:space="preserve">1.获取招标文件时间：</w:t>
      </w:r>
      <w:r>
        <w:rPr>
          <w:rFonts w:hint="eastAsia" w:ascii="Times New Roman" w:hAnsi="Times New Roman" w:cs="Times New Roman"/>
          <w:color w:val="000000"/>
          <w:sz w:val="24"/>
          <w:szCs w:val="24"/>
          <w:highlight w:val="none"/>
        </w:rPr>
        <w:t xml:space="preserve">自</w:t>
      </w:r>
      <w:r>
        <w:rPr>
          <w:rFonts w:hint="eastAsia" w:ascii="Times New Roman" w:hAnsi="Times New Roman" w:cs="Times New Roman"/>
          <w:color w:val="000000"/>
          <w:sz w:val="24"/>
          <w:szCs w:val="24"/>
          <w:highlight w:val="none"/>
          <w:lang w:val="en-US" w:eastAsia="zh-CN"/>
        </w:rPr>
        <w:t xml:space="preserve">招标</w:t>
      </w:r>
      <w:r>
        <w:rPr>
          <w:rFonts w:hint="eastAsia" w:ascii="Times New Roman" w:hAnsi="Times New Roman" w:cs="Times New Roman"/>
          <w:color w:val="000000"/>
          <w:sz w:val="24"/>
          <w:szCs w:val="24"/>
          <w:highlight w:val="none"/>
        </w:rPr>
        <w:t xml:space="preserve">文件公告发布之日起5个工作日</w:t>
      </w:r>
      <w:r>
        <w:rPr>
          <w:rFonts w:hint="eastAsia" w:ascii="Times New Roman" w:hAnsi="Times New Roman" w:cs="Times New Roman"/>
          <w:color w:val="000000"/>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2" w:name="EB0c44ff4da61f4af989d119fe214be450"/>
      <w:r>
        <w:rPr>
          <w:rFonts w:hint="eastAsia" w:ascii="宋体" w:hAnsi="宋体" w:eastAsia="宋体" w:cs="宋体"/>
          <w:color w:val="auto"/>
          <w:sz w:val="24"/>
          <w:szCs w:val="24"/>
          <w:highlight w:val="none"/>
        </w:rPr>
        <w:t xml:space="preserve">3.本项目共分一个包。投标人未按要求获取招标文件导致无法投标的，后果自负（其投标文件不予接受）。</w:t>
      </w:r>
      <w:bookmarkEnd w:id="22"/>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7"/>
      <w:r/>
      <w:bookmarkEnd w:id="18"/>
      <w:r>
        <w:rPr>
          <w:rFonts w:hint="eastAsia" w:ascii="宋体" w:hAnsi="宋体" w:eastAsia="宋体" w:cs="宋体"/>
          <w:b/>
          <w:bCs/>
          <w:color w:val="auto"/>
          <w:sz w:val="24"/>
          <w:szCs w:val="24"/>
          <w:highlight w:val="none"/>
        </w:rPr>
        <w:t xml:space="preserve">截止时间、开标时间和地点</w:t>
      </w:r>
      <w:bookmarkEnd w:id="19"/>
      <w:r/>
      <w:bookmarkEnd w:id="20"/>
      <w:r/>
      <w:bookmarkEnd w:id="2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月29</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 09点30分</w:t>
      </w:r>
      <w:r>
        <w:rPr>
          <w:rFonts w:hint="eastAsia" w:ascii="宋体" w:hAnsi="宋体" w:eastAsia="宋体" w:cs="宋体"/>
          <w:bCs/>
          <w:color w:val="auto"/>
          <w:sz w:val="24"/>
          <w:szCs w:val="24"/>
          <w:highlight w:val="none"/>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3" w:name="_Toc28359084"/>
      <w:r/>
      <w:bookmarkStart w:id="24" w:name="_Toc38985267"/>
      <w:r/>
      <w:bookmarkStart w:id="25" w:name="_Toc35393794"/>
      <w:r/>
      <w:bookmarkStart w:id="26" w:name="_Toc35393625"/>
      <w:r/>
      <w:bookmarkStart w:id="27" w:name="_Toc28359007"/>
      <w:r>
        <w:rPr>
          <w:rFonts w:hint="eastAsia" w:ascii="宋体" w:hAnsi="宋体" w:eastAsia="宋体" w:cs="宋体"/>
          <w:b/>
          <w:bCs/>
          <w:color w:val="auto"/>
          <w:sz w:val="24"/>
          <w:szCs w:val="24"/>
          <w:highlight w:val="none"/>
        </w:rPr>
        <w:t xml:space="preserve">五、公告期限</w:t>
      </w:r>
      <w:bookmarkEnd w:id="23"/>
      <w:r/>
      <w:bookmarkEnd w:id="24"/>
      <w:r/>
      <w:bookmarkEnd w:id="25"/>
      <w:r/>
      <w:bookmarkEnd w:id="26"/>
      <w:r/>
      <w:bookmarkEnd w:id="2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8" w:name="_Toc35393795"/>
      <w:r/>
      <w:bookmarkStart w:id="29" w:name="_Toc35393626"/>
      <w:r/>
      <w:bookmarkStart w:id="30" w:name="_Toc38985268"/>
      <w:r>
        <w:rPr>
          <w:rFonts w:hint="eastAsia" w:ascii="宋体" w:hAnsi="宋体" w:eastAsia="宋体" w:cs="宋体"/>
          <w:color w:val="auto"/>
          <w:sz w:val="24"/>
          <w:szCs w:val="24"/>
          <w:highlight w:val="none"/>
        </w:rPr>
        <w:t xml:space="preserve">自本公告发布之日起5个工作日。</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28"/>
      <w:r/>
      <w:bookmarkEnd w:id="29"/>
      <w:r/>
      <w:bookmarkEnd w:id="30"/>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bookmarkStart w:id="31" w:name="EB64e1f522fd8c43fcb4d3ba471386b3e7"/>
      <w:r/>
      <w:bookmarkStart w:id="32" w:name="_Toc35393796"/>
      <w:r/>
      <w:bookmarkStart w:id="33" w:name="_Toc28359085"/>
      <w:r/>
      <w:bookmarkStart w:id="34" w:name="_Toc38985269"/>
      <w:r/>
      <w:bookmarkStart w:id="35" w:name="_Toc28359008"/>
      <w:r/>
      <w:bookmarkStart w:id="36" w:name="_Toc35393627"/>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.“CA”数字证书办理：“苏采云”系统目前仅支持“苏采云”系统下的意源CA。省内各地区办理的“苏采云”系统下的意源CA全省通用。宿迁地区CA数字证书办理联系方式：18351098172。</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.宿迁地区“苏采云”技术支持客服电话：0527-</w:t>
      </w:r>
      <w:r>
        <w:rPr>
          <w:rFonts w:hint="eastAsia" w:ascii="宋体" w:hAnsi="宋体" w:eastAsia="宋体" w:cs="宋体"/>
          <w:bCs/>
          <w:color w:val="auto"/>
          <w:sz w:val="24"/>
          <w:szCs w:val="24"/>
          <w:highlight w:val="none"/>
          <w:lang w:val="en-US" w:eastAsia="zh-CN"/>
        </w:rPr>
        <w:t xml:space="preserve">84363067</w:t>
      </w:r>
      <w:r>
        <w:rPr>
          <w:rFonts w:hint="eastAsia" w:ascii="宋体" w:hAnsi="宋体" w:eastAsia="宋体" w:cs="宋体"/>
          <w:bCs/>
          <w:color w:val="auto"/>
          <w:sz w:val="24"/>
          <w:szCs w:val="24"/>
          <w:highlight w:val="none"/>
        </w:rPr>
        <w:t xml:space="preserve">、0519-86722806。</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.如果投标人通过苏采云系统参与政府采购项目，相关操作手册详见链接：http://www.ccgp-jiangsu.gov.cn/jiangsu/zlxz/ee/ee3a4bc5a3454aa2b0d9312230633ce9.html。</w:t>
      </w:r>
      <w:bookmarkEnd w:id="3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.现场勘察及答疑：本项目不组织集中勘察及答疑，投标人如对采购需求有疑问，请咨询采购单位联系人。</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2"/>
      <w:r/>
      <w:bookmarkEnd w:id="33"/>
      <w:r/>
      <w:bookmarkEnd w:id="34"/>
      <w:r/>
      <w:bookmarkEnd w:id="35"/>
      <w:r/>
      <w:bookmarkEnd w:id="36"/>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7" w:name="_Toc28359086"/>
      <w:r/>
      <w:bookmarkStart w:id="38" w:name="_Toc28359009"/>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宿迁学院</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宿迁市黄河南路399号</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沈老师</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0527-84205080</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7"/>
      <w:r/>
      <w:bookmarkEnd w:id="38"/>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9" w:name="_Toc28359087"/>
      <w:r/>
      <w:bookmarkStart w:id="40" w:name="_Toc28359010"/>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苏世建设管理集团有限公司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袁帅</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39"/>
      <w:r/>
      <w:bookmarkEnd w:id="40"/>
      <w:r>
        <w:rPr>
          <w:rFonts w:hint="eastAsia" w:ascii="宋体" w:hAnsi="宋体" w:eastAsia="宋体" w:cs="宋体"/>
          <w:color w:val="auto"/>
          <w:sz w:val="24"/>
          <w:szCs w:val="24"/>
          <w:highlight w:val="none"/>
          <w:lang w:eastAsia="zh-CN"/>
        </w:rPr>
        <w:t xml:space="preserve">0527-88856031</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78"/>
        <w:jc w:val="center"/>
        <w:shd w:val="clear" w:color="auto"/>
        <w:rPr>
          <w:rFonts w:hint="eastAsia" w:ascii="宋体" w:hAnsi="宋体" w:eastAsia="宋体" w:cs="宋体"/>
          <w:b/>
          <w:bCs/>
          <w:color w:val="auto"/>
          <w:highlight w:val="none"/>
        </w:rPr>
      </w:pPr>
      <w:r/>
      <w:bookmarkStart w:id="41" w:name="_Toc6971"/>
      <w:r>
        <w:rPr>
          <w:rFonts w:hint="eastAsia" w:ascii="宋体" w:hAnsi="宋体" w:eastAsia="宋体" w:cs="宋体"/>
          <w:b/>
          <w:bCs/>
          <w:color w:val="auto"/>
          <w:sz w:val="44"/>
          <w:szCs w:val="44"/>
          <w:highlight w:val="none"/>
        </w:rPr>
        <w:t xml:space="preserve">第二章  </w:t>
      </w:r>
      <w:bookmarkStart w:id="42" w:name="_Toc16938518"/>
      <w:r/>
      <w:bookmarkStart w:id="43" w:name="_Toc20823274"/>
      <w:r/>
      <w:bookmarkStart w:id="44" w:name="_Toc120614213"/>
      <w:r/>
      <w:bookmarkStart w:id="45" w:name="_Toc513029202"/>
      <w:r>
        <w:rPr>
          <w:rFonts w:hint="eastAsia" w:ascii="宋体" w:hAnsi="宋体" w:eastAsia="宋体" w:cs="宋体"/>
          <w:b/>
          <w:bCs/>
          <w:color w:val="auto"/>
          <w:sz w:val="44"/>
          <w:szCs w:val="44"/>
          <w:highlight w:val="none"/>
        </w:rPr>
        <w:t xml:space="preserve">投标人须知</w:t>
      </w:r>
      <w:bookmarkEnd w:id="41"/>
      <w:r/>
      <w:bookmarkEnd w:id="42"/>
      <w:r/>
      <w:bookmarkEnd w:id="43"/>
      <w:r/>
      <w:bookmarkEnd w:id="44"/>
      <w:r/>
      <w:bookmarkEnd w:id="45"/>
      <w:r/>
      <w:r/>
    </w:p>
    <w:tbl>
      <w:tblPr>
        <w:tblStyle w:val="788"/>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ascii="仿宋_GB2312" w:hAnsi="仿宋"/>
                <w:b/>
                <w:sz w:val="24"/>
                <w:szCs w:val="24"/>
              </w:rPr>
            </w:pPr>
            <w:r/>
            <w:bookmarkStart w:id="46" w:name="_Toc513029203"/>
            <w:r/>
            <w:bookmarkStart w:id="47" w:name="_Toc20823275"/>
            <w:r/>
            <w:bookmarkStart w:id="48" w:name="_Toc16938519"/>
            <w:r/>
            <w:bookmarkStart w:id="49" w:name="_Toc120614214"/>
            <w:r>
              <w:rPr>
                <w:rFonts w:hint="eastAsia" w:ascii="宋体" w:hAnsi="宋体" w:eastAsia="宋体" w:cs="宋体"/>
                <w:b/>
                <w:bCs/>
                <w:color w:val="auto"/>
                <w:sz w:val="24"/>
                <w:szCs w:val="24"/>
                <w:highlight w:val="none"/>
              </w:rPr>
              <w:br w:type="page" w:clear="all"/>
            </w:r>
            <w:bookmarkStart w:id="50" w:name="_Toc81575154"/>
            <w:r/>
            <w:bookmarkStart w:id="51" w:name="_Toc29262"/>
            <w:r/>
            <w:bookmarkStart w:id="52" w:name="_Toc81575191"/>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3" w:name="EB9a5853ee094f4f0ea6ec3169265f6f2c"/>
            <w:r>
              <w:rPr>
                <w:rFonts w:hint="eastAsia" w:ascii="Times New Roman" w:hAnsi="Times New Roman" w:cs="仿宋"/>
                <w:sz w:val="24"/>
                <w:szCs w:val="24"/>
              </w:rPr>
              <w:t xml:space="preserve">属性按以下第</w:t>
            </w:r>
            <w:bookmarkEnd w:id="53"/>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54" w:name="EBd5c6c026f9674c39b21b31ecd0c1e7fa"/>
            <w:r>
              <w:rPr>
                <w:rFonts w:hint="eastAsia" w:ascii="Times New Roman" w:hAnsi="Times New Roman" w:cs="仿宋"/>
                <w:sz w:val="24"/>
                <w:szCs w:val="24"/>
              </w:rPr>
              <w:t xml:space="preserve">采购；2.</w:t>
            </w:r>
            <w:bookmarkEnd w:id="54"/>
            <w:r>
              <w:rPr>
                <w:rFonts w:hint="eastAsia" w:ascii="Times New Roman" w:hAnsi="Times New Roman" w:cs="仿宋"/>
                <w:sz w:val="24"/>
                <w:szCs w:val="24"/>
              </w:rPr>
              <w:t xml:space="preserve">服务</w:t>
            </w:r>
            <w:bookmarkStart w:id="55" w:name="EBf7d2a4f44ecb4166a93ea852e73be69f"/>
            <w:r>
              <w:rPr>
                <w:rFonts w:hint="eastAsia" w:ascii="Times New Roman" w:hAnsi="Times New Roman" w:cs="仿宋"/>
                <w:sz w:val="24"/>
                <w:szCs w:val="24"/>
              </w:rPr>
              <w:t xml:space="preserve">采购；3.</w:t>
            </w:r>
            <w:bookmarkEnd w:id="55"/>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6" w:name="EBd40b5fb42f2944a3b45e579ce3941f02"/>
            <w:r/>
            <w:bookmarkEnd w:id="56"/>
            <w:r>
              <w:rPr>
                <w:rFonts w:hint="eastAsia" w:ascii="Times New Roman" w:hAnsi="Times New Roman" w:cs="仿宋"/>
                <w:sz w:val="24"/>
                <w:szCs w:val="24"/>
                <w:u w:val="single"/>
              </w:rPr>
              <w:t xml:space="preserve">60</w:t>
            </w:r>
            <w:r>
              <w:rPr>
                <w:rFonts w:hint="eastAsia" w:ascii="Times New Roman" w:hAnsi="Times New Roman" w:cs="仿宋"/>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spacing w:line="360" w:lineRule="exact"/>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eastAsia="宋体" w:cs="仿宋"/>
                <w:sz w:val="24"/>
                <w:szCs w:val="24"/>
                <w:u w:val="single"/>
              </w:rPr>
              <w:t xml:space="preserve">1</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7" w:name="EBebac1462c5d9459fbda8a75065c2455d"/>
            <w:r>
              <w:rPr>
                <w:rFonts w:hint="eastAsia" w:ascii="Times New Roman" w:hAnsi="Times New Roman" w:cs="仿宋"/>
                <w:sz w:val="24"/>
                <w:szCs w:val="24"/>
              </w:rPr>
              <w:t xml:space="preserve">本项目的非主体、非关键性工作是否允许分包</w:t>
            </w:r>
            <w:bookmarkEnd w:id="57"/>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58"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8"/>
            <w:r>
              <w:rPr>
                <w:rFonts w:hint="eastAsia" w:ascii="Times New Roman" w:hAnsi="Times New Roman" w:cs="仿宋"/>
                <w:sz w:val="24"/>
                <w:szCs w:val="24"/>
              </w:rPr>
              <w:t xml:space="preserve">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50"/>
            <w:r/>
            <w:bookmarkEnd w:id="51"/>
            <w:r/>
            <w:bookmarkEnd w:id="5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spacing w:line="400" w:lineRule="exact"/>
              <w:rPr>
                <w:rFonts w:ascii="Times New Roman" w:hAnsi="Times New Roman" w:cs="仿宋"/>
                <w:b/>
                <w:bCs/>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80"/>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bookmarkEnd w:id="46"/>
      <w:r/>
      <w:bookmarkEnd w:id="47"/>
      <w:r/>
      <w:bookmarkEnd w:id="48"/>
      <w:r/>
      <w:bookmarkEnd w:id="49"/>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9" w:name="_Hlt16619475"/>
      <w:r/>
      <w:bookmarkEnd w:id="59"/>
      <w:r/>
      <w:bookmarkStart w:id="60" w:name="_Toc458694821"/>
      <w:r/>
      <w:bookmarkStart w:id="61" w:name="_Toc20823276"/>
      <w:r/>
      <w:bookmarkStart w:id="62" w:name="_Toc513029204"/>
      <w:r/>
      <w:bookmarkStart w:id="63" w:name="_Toc16938520"/>
      <w:r>
        <w:rPr>
          <w:rFonts w:hint="eastAsia" w:ascii="宋体" w:hAnsi="宋体" w:eastAsia="宋体" w:cs="宋体"/>
          <w:b w:val="0"/>
          <w:bCs w:val="0"/>
          <w:color w:val="auto"/>
          <w:sz w:val="24"/>
          <w:szCs w:val="24"/>
          <w:highlight w:val="none"/>
          <w:lang w:eastAsia="zh-CN"/>
        </w:rPr>
        <w:t xml:space="preserve">1.</w:t>
      </w:r>
      <w:bookmarkEnd w:id="60"/>
      <w:r>
        <w:rPr>
          <w:rFonts w:hint="eastAsia" w:ascii="宋体" w:hAnsi="宋体" w:eastAsia="宋体" w:cs="宋体"/>
          <w:b w:val="0"/>
          <w:bCs w:val="0"/>
          <w:color w:val="auto"/>
          <w:sz w:val="24"/>
          <w:szCs w:val="24"/>
          <w:highlight w:val="none"/>
        </w:rPr>
        <w:t xml:space="preserve">招标方式</w:t>
      </w:r>
      <w:bookmarkEnd w:id="61"/>
      <w:r/>
      <w:bookmarkEnd w:id="62"/>
      <w:r/>
      <w:bookmarkEnd w:id="6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4" w:name="_Toc513029205"/>
      <w:r/>
      <w:bookmarkStart w:id="65" w:name="_Toc16938521"/>
      <w:r/>
      <w:bookmarkStart w:id="66" w:name="_Toc20823277"/>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64"/>
      <w:r/>
      <w:bookmarkEnd w:id="65"/>
      <w:r/>
      <w:bookmarkEnd w:id="6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7" w:name="_Toc16938522"/>
      <w:r/>
      <w:bookmarkStart w:id="68" w:name="_Toc513029206"/>
      <w:r/>
      <w:bookmarkStart w:id="69" w:name="_Toc20823278"/>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67"/>
      <w:r/>
      <w:bookmarkEnd w:id="68"/>
      <w:r/>
      <w:bookmarkEnd w:id="69"/>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0" w:name="_Toc20823279"/>
      <w:r/>
      <w:bookmarkStart w:id="71" w:name="_Toc16938523"/>
      <w:r/>
      <w:bookmarkStart w:id="72" w:name="_Toc462564067"/>
      <w:r/>
      <w:bookmarkStart w:id="73" w:name="_Toc513029207"/>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70"/>
      <w:r/>
      <w:bookmarkEnd w:id="71"/>
      <w:r/>
      <w:bookmarkEnd w:id="72"/>
      <w:r/>
      <w:bookmarkEnd w:id="7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4.2代理费用收取方式及标准：按以下第4.2.2种方式执行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963"/>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highlight w:val="none"/>
          <w:u w:val="single"/>
          <w:lang w:val="zh-CN"/>
        </w:rPr>
        <w:t xml:space="preserve">参照国家计委计价格〔2002〕1980号</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lang w:val="zh-CN"/>
        </w:rPr>
        <w:t xml:space="preserve">收费标准支付，支付方式可以通过转账或数字人民币等方式。</w:t>
      </w:r>
      <w:r/>
    </w:p>
    <w:p>
      <w:pPr>
        <w:pStyle w:val="781"/>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80"/>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74" w:name="_Toc120614215"/>
      <w:r/>
      <w:bookmarkStart w:id="75" w:name="_Toc20823281"/>
      <w:r/>
      <w:bookmarkStart w:id="76" w:name="_Toc513029209"/>
      <w:r/>
      <w:bookmarkStart w:id="77" w:name="_Toc16938525"/>
      <w:r>
        <w:rPr>
          <w:rFonts w:hint="eastAsia" w:ascii="宋体" w:hAnsi="宋体" w:eastAsia="宋体" w:cs="宋体"/>
          <w:b/>
          <w:bCs/>
          <w:color w:val="auto"/>
          <w:sz w:val="24"/>
          <w:szCs w:val="24"/>
          <w:highlight w:val="none"/>
        </w:rPr>
        <w:t xml:space="preserve">二、招标文件</w:t>
      </w:r>
      <w:bookmarkEnd w:id="74"/>
      <w:r/>
      <w:bookmarkEnd w:id="75"/>
      <w:r/>
      <w:bookmarkEnd w:id="76"/>
      <w:r/>
      <w:bookmarkEnd w:id="77"/>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8" w:name="_Toc513029210"/>
      <w:r/>
      <w:bookmarkStart w:id="79" w:name="_Toc16938526"/>
      <w:r/>
      <w:bookmarkStart w:id="80" w:name="_Toc20823282"/>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78"/>
      <w:r/>
      <w:bookmarkEnd w:id="79"/>
      <w:r/>
      <w:bookmarkEnd w:id="8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1"/>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1" w:name="_Toc462564070"/>
      <w:r/>
      <w:bookmarkStart w:id="82" w:name="_Toc16938527"/>
      <w:r/>
      <w:bookmarkStart w:id="83" w:name="_Toc20823283"/>
      <w:r/>
      <w:bookmarkStart w:id="84" w:name="_Toc513029211"/>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81"/>
      <w:r/>
      <w:bookmarkEnd w:id="82"/>
      <w:r/>
      <w:bookmarkEnd w:id="83"/>
      <w:r/>
      <w:bookmarkEnd w:id="8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781"/>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5" w:name="_Toc16938528"/>
      <w:r/>
      <w:bookmarkStart w:id="86" w:name="_Toc20823284"/>
      <w:r/>
      <w:bookmarkStart w:id="87" w:name="_Toc462564071"/>
      <w:r/>
      <w:bookmarkStart w:id="88" w:name="_Toc513029212"/>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85"/>
      <w:r/>
      <w:bookmarkEnd w:id="86"/>
      <w:r/>
      <w:bookmarkEnd w:id="87"/>
      <w:r/>
      <w:bookmarkEnd w:id="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80"/>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89" w:name="_Toc462564072"/>
      <w:r/>
      <w:bookmarkStart w:id="90" w:name="_Toc120614216"/>
      <w:r/>
      <w:bookmarkStart w:id="91" w:name="_Toc20823285"/>
      <w:r/>
      <w:bookmarkStart w:id="92" w:name="_Toc16938529"/>
      <w:r/>
      <w:bookmarkStart w:id="93" w:name="_Toc513029213"/>
      <w:r>
        <w:rPr>
          <w:rFonts w:hint="eastAsia" w:ascii="宋体" w:hAnsi="宋体" w:eastAsia="宋体" w:cs="宋体"/>
          <w:b/>
          <w:bCs/>
          <w:color w:val="auto"/>
          <w:sz w:val="24"/>
          <w:szCs w:val="24"/>
          <w:highlight w:val="none"/>
        </w:rPr>
        <w:t xml:space="preserve">三、投标文件的编制</w:t>
      </w:r>
      <w:bookmarkEnd w:id="89"/>
      <w:r/>
      <w:bookmarkEnd w:id="90"/>
      <w:r/>
      <w:bookmarkEnd w:id="91"/>
      <w:r/>
      <w:bookmarkEnd w:id="92"/>
      <w:r/>
      <w:bookmarkEnd w:id="93"/>
      <w:r/>
      <w:r/>
    </w:p>
    <w:p>
      <w:pPr>
        <w:pStyle w:val="781"/>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94" w:name="_Toc513029214"/>
      <w:r/>
      <w:bookmarkStart w:id="95" w:name="_Toc20823286"/>
      <w:r/>
      <w:bookmarkStart w:id="96" w:name="_Toc16938530"/>
      <w:r/>
      <w:bookmarkStart w:id="97" w:name="_Toc462564073"/>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94"/>
      <w:r/>
      <w:bookmarkEnd w:id="95"/>
      <w:r/>
      <w:bookmarkEnd w:id="96"/>
      <w:r/>
      <w:bookmarkEnd w:id="9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8" w:name="_Toc513029215"/>
      <w:r/>
      <w:bookmarkStart w:id="99" w:name="_Toc462564074"/>
      <w:r/>
      <w:bookmarkStart w:id="100" w:name="_Toc20823287"/>
      <w:r/>
      <w:bookmarkStart w:id="101" w:name="_Toc16938531"/>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98"/>
      <w:r/>
      <w:bookmarkEnd w:id="99"/>
      <w:r/>
      <w:bookmarkEnd w:id="100"/>
      <w:r/>
      <w:bookmarkEnd w:id="101"/>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02"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2"/>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3" w:name="_Hlt26668975"/>
      <w:r/>
      <w:bookmarkEnd w:id="103"/>
      <w:r/>
      <w:bookmarkStart w:id="104" w:name="_Hlt26954838"/>
      <w:r/>
      <w:bookmarkEnd w:id="104"/>
      <w:r/>
      <w:bookmarkStart w:id="105" w:name="_Hlt26670360"/>
      <w:r/>
      <w:bookmarkEnd w:id="105"/>
      <w:r/>
      <w:bookmarkStart w:id="106" w:name="_Toc513029219"/>
      <w:r/>
      <w:bookmarkStart w:id="107" w:name="_Toc14577357"/>
      <w:r/>
      <w:bookmarkStart w:id="108" w:name="_Toc513029216"/>
      <w:r/>
      <w:bookmarkStart w:id="109" w:name="_Toc14577354"/>
      <w:r/>
      <w:bookmarkStart w:id="110" w:name="_Toc49090509"/>
      <w:r/>
      <w:bookmarkStart w:id="111" w:name="_Toc49090507"/>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106"/>
      <w:r/>
      <w:bookmarkEnd w:id="107"/>
      <w:r/>
      <w:bookmarkEnd w:id="108"/>
      <w:r/>
      <w:bookmarkEnd w:id="109"/>
      <w:r/>
      <w:bookmarkEnd w:id="110"/>
      <w:r/>
      <w:bookmarkEnd w:id="11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12" w:name="_Toc14577355"/>
      <w:r/>
      <w:bookmarkStart w:id="113"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12"/>
      <w:r/>
      <w:bookmarkStart w:id="114" w:name="_Hlt26670373"/>
      <w:r/>
      <w:bookmarkEnd w:id="114"/>
      <w:r>
        <w:rPr>
          <w:rFonts w:hint="eastAsia" w:ascii="宋体" w:hAnsi="宋体" w:eastAsia="宋体" w:cs="宋体"/>
          <w:b w:val="0"/>
          <w:bCs w:val="0"/>
          <w:color w:val="auto"/>
          <w:sz w:val="24"/>
          <w:szCs w:val="24"/>
          <w:highlight w:val="none"/>
        </w:rPr>
        <w:t xml:space="preserve">表</w:t>
      </w:r>
      <w:bookmarkEnd w:id="11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15" w:name="_Hlt26954840"/>
      <w:r/>
      <w:bookmarkEnd w:id="115"/>
      <w:r>
        <w:rPr>
          <w:rFonts w:hint="eastAsia" w:ascii="宋体" w:hAnsi="宋体" w:eastAsia="宋体" w:cs="宋体"/>
          <w:color w:val="auto"/>
          <w:sz w:val="24"/>
          <w:szCs w:val="24"/>
          <w:highlight w:val="none"/>
        </w:rPr>
        <w:t xml:space="preserve">标人应按照招标文件规定格式填报投标分项报价表</w:t>
      </w:r>
      <w:bookmarkStart w:id="116" w:name="_Hlt26670399"/>
      <w:r/>
      <w:bookmarkEnd w:id="116"/>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17" w:name="_Hlt26954731"/>
      <w:r/>
      <w:bookmarkEnd w:id="117"/>
      <w:r/>
      <w:bookmarkStart w:id="118" w:name="_Hlt26670486"/>
      <w:r/>
      <w:bookmarkEnd w:id="118"/>
      <w:r/>
      <w:bookmarkStart w:id="119" w:name="_Hlt26668983"/>
      <w:r/>
      <w:bookmarkEnd w:id="119"/>
      <w:r/>
      <w:bookmarkStart w:id="120" w:name="_Hlt26670482"/>
      <w:r/>
      <w:bookmarkEnd w:id="120"/>
      <w:r/>
      <w:bookmarkStart w:id="121" w:name="_Hlt26670403"/>
      <w:r/>
      <w:bookmarkEnd w:id="121"/>
      <w:r/>
      <w:bookmarkStart w:id="122" w:name="_Hlt26954844"/>
      <w:r/>
      <w:bookmarkEnd w:id="122"/>
      <w:r/>
      <w:bookmarkStart w:id="123" w:name="_Hlt26670425"/>
      <w:r/>
      <w:bookmarkEnd w:id="123"/>
      <w:r/>
      <w:bookmarkStart w:id="124" w:name="_Hlt26954846"/>
      <w:r/>
      <w:bookmarkEnd w:id="124"/>
      <w:r/>
      <w:bookmarkStart w:id="125" w:name="_Hlt26954842"/>
      <w:r/>
      <w:bookmarkEnd w:id="125"/>
      <w:r/>
      <w:bookmarkStart w:id="126" w:name="_Hlt26954848"/>
      <w:r/>
      <w:bookmarkEnd w:id="126"/>
      <w:r/>
      <w:bookmarkStart w:id="127" w:name="_Toc14577359"/>
      <w:r/>
      <w:bookmarkStart w:id="128" w:name="_Toc49090510"/>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27"/>
      <w:r/>
      <w:bookmarkEnd w:id="128"/>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29" w:name="_Hlt26670489"/>
      <w:r/>
      <w:bookmarkEnd w:id="129"/>
      <w:r/>
      <w:bookmarkStart w:id="130" w:name="_Hlt26954850"/>
      <w:r/>
      <w:bookmarkEnd w:id="130"/>
      <w:r/>
      <w:bookmarkStart w:id="131" w:name="_Hlt26954734"/>
      <w:r/>
      <w:bookmarkEnd w:id="131"/>
      <w:r/>
      <w:bookmarkStart w:id="132" w:name="_Toc49090511"/>
      <w:r/>
      <w:bookmarkStart w:id="133" w:name="_Toc14577360"/>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32"/>
      <w:r/>
      <w:bookmarkEnd w:id="13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34" w:name="_Hlt26954739"/>
      <w:r/>
      <w:bookmarkEnd w:id="134"/>
      <w:r/>
      <w:bookmarkStart w:id="135" w:name="_Hlt26954852"/>
      <w:r/>
      <w:bookmarkEnd w:id="135"/>
      <w:r/>
      <w:bookmarkStart w:id="136" w:name="_Toc120614217"/>
      <w:r/>
      <w:bookmarkStart w:id="137" w:name="_Toc513029224"/>
      <w:r/>
      <w:bookmarkStart w:id="138" w:name="_Toc20823296"/>
      <w:r/>
      <w:bookmarkStart w:id="139" w:name="_Toc16938540"/>
      <w:r>
        <w:rPr>
          <w:rFonts w:hint="eastAsia" w:ascii="宋体" w:hAnsi="宋体" w:eastAsia="宋体" w:cs="宋体"/>
          <w:b/>
          <w:bCs/>
          <w:color w:val="auto"/>
          <w:sz w:val="24"/>
          <w:szCs w:val="24"/>
          <w:highlight w:val="none"/>
        </w:rPr>
        <w:t xml:space="preserve">四、投标文件的递交</w:t>
      </w:r>
      <w:bookmarkEnd w:id="136"/>
      <w:r/>
      <w:bookmarkEnd w:id="137"/>
      <w:r/>
      <w:bookmarkEnd w:id="138"/>
      <w:r/>
      <w:bookmarkEnd w:id="139"/>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0" w:name="_Toc513029225"/>
      <w:r/>
      <w:bookmarkStart w:id="141" w:name="_Toc462564084"/>
      <w:r/>
      <w:bookmarkStart w:id="142" w:name="_Toc16938541"/>
      <w:r/>
      <w:bookmarkStart w:id="143" w:name="_Toc20823297"/>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40"/>
      <w:r/>
      <w:bookmarkEnd w:id="141"/>
      <w:r/>
      <w:bookmarkEnd w:id="142"/>
      <w:r/>
      <w:bookmarkEnd w:id="143"/>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44" w:name="_Toc513029226"/>
      <w:r/>
      <w:bookmarkStart w:id="145" w:name="_Toc16938542"/>
      <w:r/>
      <w:bookmarkStart w:id="146" w:name="_Toc2082329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44"/>
      <w:r/>
      <w:bookmarkEnd w:id="145"/>
      <w:r/>
      <w:bookmarkEnd w:id="146"/>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7" w:name="_Toc513029227"/>
      <w:r/>
      <w:bookmarkStart w:id="148" w:name="_Toc20823299"/>
      <w:r/>
      <w:bookmarkStart w:id="149" w:name="_Toc16938543"/>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47"/>
      <w:r/>
      <w:bookmarkEnd w:id="148"/>
      <w:r/>
      <w:bookmarkEnd w:id="149"/>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0" w:name="_Toc20823300"/>
      <w:r/>
      <w:bookmarkStart w:id="151" w:name="_Toc513029228"/>
      <w:r/>
      <w:bookmarkStart w:id="152" w:name="_Toc16938544"/>
      <w:r/>
      <w:bookmarkStart w:id="153" w:name="_Toc16938545"/>
      <w:r/>
      <w:bookmarkStart w:id="154" w:name="_Toc20823301"/>
      <w:r/>
      <w:bookmarkStart w:id="155" w:name="_Toc513029229"/>
      <w:r/>
      <w:bookmarkStart w:id="156" w:name="_Toc120614218"/>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50"/>
      <w:r/>
      <w:bookmarkEnd w:id="151"/>
      <w:r/>
      <w:bookmarkEnd w:id="15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53"/>
      <w:r/>
      <w:bookmarkEnd w:id="154"/>
      <w:r/>
      <w:bookmarkEnd w:id="155"/>
      <w:r/>
      <w:bookmarkEnd w:id="156"/>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7" w:name="_Toc16938546"/>
      <w:r/>
      <w:bookmarkStart w:id="158" w:name="_Toc20823302"/>
      <w:r/>
      <w:bookmarkStart w:id="159" w:name="_Toc513029230"/>
      <w:r/>
      <w:bookmarkStart w:id="160" w:name="_Toc20823303"/>
      <w:r/>
      <w:bookmarkStart w:id="161" w:name="_Toc16938547"/>
      <w:r/>
      <w:bookmarkStart w:id="162" w:name="_Toc513029231"/>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57"/>
      <w:r/>
      <w:bookmarkEnd w:id="158"/>
      <w:r/>
      <w:bookmarkEnd w:id="159"/>
      <w:r/>
      <w:r/>
    </w:p>
    <w:p>
      <w:pPr>
        <w:pStyle w:val="965"/>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65"/>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60"/>
      <w:r/>
      <w:bookmarkEnd w:id="161"/>
      <w:r/>
      <w:bookmarkEnd w:id="16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3" w:name="_Toc20823304"/>
      <w:r/>
      <w:bookmarkStart w:id="164" w:name="_Toc513029232"/>
      <w:r/>
      <w:bookmarkStart w:id="165" w:name="_Toc16938548"/>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63"/>
      <w:r/>
      <w:bookmarkEnd w:id="164"/>
      <w:r/>
      <w:bookmarkEnd w:id="16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65"/>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6" w:name="_Toc513029233"/>
      <w:r/>
      <w:bookmarkStart w:id="167" w:name="_Toc20823305"/>
      <w:r/>
      <w:bookmarkStart w:id="168" w:name="_Toc16938549"/>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66"/>
      <w:r/>
      <w:bookmarkEnd w:id="167"/>
      <w:r/>
      <w:bookmarkEnd w:id="16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bCs/>
          <w:color w:val="auto"/>
          <w:sz w:val="24"/>
          <w:highlight w:val="none"/>
        </w:rPr>
        <w:t xml:space="preserve">；供应商不能证明其报价合理性的，评委会</w:t>
      </w:r>
      <w:r>
        <w:rPr>
          <w:rFonts w:hint="eastAsia" w:ascii="宋体" w:hAnsi="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（1）投标报价低于采购项目最高限价65%的，即投标报价&lt;采购项目最高限价×65%；</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Times New Roman" w:hAnsi="Times New Roman" w:cs="仿宋"/>
          <w:sz w:val="24"/>
        </w:rPr>
        <w:t xml:space="preserve">（2）评标委员会基于专业判断，认为供应商报价过低，有可能影响产品质量或者不能诚信履约的其他情形。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69" w:name="_Toc20823306"/>
      <w:r/>
      <w:bookmarkStart w:id="170" w:name="_Toc513029234"/>
      <w:r/>
      <w:bookmarkStart w:id="171" w:name="_Toc16938550"/>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69"/>
      <w:r/>
      <w:bookmarkEnd w:id="170"/>
      <w:r/>
      <w:bookmarkEnd w:id="171"/>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2" w:name="_Toc16938551"/>
      <w:r/>
      <w:bookmarkStart w:id="173" w:name="_Toc513029235"/>
      <w:r/>
      <w:bookmarkStart w:id="174" w:name="_Toc20823307"/>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及本招标文件规定的属无效投标的27.2废标条款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75" w:name="_Toc120614219"/>
      <w:r>
        <w:rPr>
          <w:rFonts w:hint="eastAsia" w:ascii="宋体" w:hAnsi="宋体" w:eastAsia="宋体" w:cs="宋体"/>
          <w:b/>
          <w:bCs/>
          <w:color w:val="auto"/>
          <w:sz w:val="24"/>
          <w:szCs w:val="24"/>
          <w:highlight w:val="none"/>
        </w:rPr>
        <w:t xml:space="preserve">六、</w:t>
      </w:r>
      <w:bookmarkEnd w:id="172"/>
      <w:r/>
      <w:bookmarkEnd w:id="173"/>
      <w:r/>
      <w:bookmarkEnd w:id="174"/>
      <w:r>
        <w:rPr>
          <w:rFonts w:hint="eastAsia" w:ascii="宋体" w:hAnsi="宋体" w:eastAsia="宋体" w:cs="宋体"/>
          <w:b/>
          <w:bCs/>
          <w:color w:val="auto"/>
          <w:sz w:val="24"/>
          <w:szCs w:val="24"/>
          <w:highlight w:val="none"/>
        </w:rPr>
        <w:t xml:space="preserve">定标</w:t>
      </w:r>
      <w:bookmarkEnd w:id="175"/>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6" w:name="_Toc513029238"/>
      <w:r/>
      <w:bookmarkStart w:id="177" w:name="_Toc20823310"/>
      <w:r/>
      <w:bookmarkStart w:id="178" w:name="_Toc16938554"/>
      <w:r>
        <w:rPr>
          <w:rFonts w:hint="eastAsia" w:ascii="宋体" w:hAnsi="宋体" w:eastAsia="宋体" w:cs="宋体"/>
          <w:b w:val="0"/>
          <w:color w:val="auto"/>
          <w:sz w:val="24"/>
          <w:szCs w:val="24"/>
          <w:highlight w:val="none"/>
          <w:lang w:eastAsia="zh-CN"/>
        </w:rPr>
        <w:t xml:space="preserve">28.</w:t>
      </w:r>
      <w:bookmarkEnd w:id="176"/>
      <w:r>
        <w:rPr>
          <w:rFonts w:hint="eastAsia" w:ascii="宋体" w:hAnsi="宋体" w:eastAsia="宋体" w:cs="宋体"/>
          <w:b w:val="0"/>
          <w:color w:val="auto"/>
          <w:sz w:val="24"/>
          <w:szCs w:val="24"/>
          <w:highlight w:val="none"/>
        </w:rPr>
        <w:t xml:space="preserve">确定</w:t>
      </w:r>
      <w:bookmarkEnd w:id="177"/>
      <w:r/>
      <w:bookmarkEnd w:id="178"/>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9"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79"/>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宿迁学院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苏世建设管理集团有限公司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0527-84202887、0527-84205080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0527-88856031</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宿迁市黄河南路399号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0" w:name="_Toc16938552"/>
      <w:r/>
      <w:bookmarkStart w:id="181" w:name="_Toc120614220"/>
      <w:r/>
      <w:bookmarkStart w:id="182" w:name="_Toc20823308"/>
      <w:r/>
      <w:bookmarkStart w:id="183" w:name="_Toc513029236"/>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80"/>
      <w:r/>
      <w:bookmarkEnd w:id="181"/>
      <w:r/>
      <w:bookmarkEnd w:id="182"/>
      <w:r/>
      <w:bookmarkEnd w:id="183"/>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84" w:name="_Toc16938553"/>
      <w:r/>
      <w:bookmarkStart w:id="185" w:name="_Toc20823309"/>
      <w:r/>
      <w:bookmarkStart w:id="186" w:name="_Toc513029237"/>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4"/>
      <w:r/>
      <w:bookmarkEnd w:id="185"/>
      <w:r/>
      <w:bookmarkEnd w:id="186"/>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789"/>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81"/>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87"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87"/>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bookmarkStart w:id="188" w:name="EB11398ec6946f4019bc4c35221e27b04f"/>
      <w:r>
        <w:rPr>
          <w:rFonts w:hint="eastAsia" w:ascii="宋体" w:hAnsi="宋体" w:eastAsia="宋体" w:cs="宋体"/>
          <w:bCs/>
          <w:color w:val="auto"/>
          <w:sz w:val="24"/>
          <w:szCs w:val="24"/>
          <w:highlight w:val="none"/>
          <w:lang w:val="en-US" w:eastAsia="zh-CN"/>
        </w:rPr>
        <w:t xml:space="preserve">预付款：合同金额的30%，合同签订后按规定支付； </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进度款：验收合格后，支付至合同总价款的100%（无息）。</w:t>
      </w:r>
      <w:bookmarkEnd w:id="1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资金支付的时间：收到供应商发票10个工作日内；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778"/>
        <w:jc w:val="center"/>
        <w:shd w:val="clear" w:color="auto"/>
        <w:rPr>
          <w:rFonts w:hint="eastAsia" w:ascii="宋体" w:hAnsi="宋体" w:eastAsia="宋体" w:cs="宋体"/>
          <w:b/>
          <w:bCs w:val="0"/>
          <w:color w:val="auto"/>
          <w:sz w:val="44"/>
          <w:highlight w:val="none"/>
          <w:lang w:eastAsia="zh-CN"/>
        </w:rPr>
      </w:pPr>
      <w:r/>
      <w:bookmarkStart w:id="189" w:name="_Toc8406"/>
      <w:r>
        <w:rPr>
          <w:rFonts w:hint="eastAsia" w:ascii="宋体" w:hAnsi="宋体" w:eastAsia="宋体" w:cs="宋体"/>
          <w:b/>
          <w:bCs w:val="0"/>
          <w:color w:val="auto"/>
          <w:sz w:val="44"/>
          <w:highlight w:val="none"/>
        </w:rPr>
        <w:t xml:space="preserve">第三章  合同文本</w:t>
      </w:r>
      <w:bookmarkEnd w:id="189"/>
      <w:r>
        <w:rPr>
          <w:rFonts w:hint="eastAsia" w:ascii="宋体" w:hAnsi="宋体" w:eastAsia="宋体" w:cs="宋体"/>
          <w:b/>
          <w:bCs w:val="0"/>
          <w:color w:val="auto"/>
          <w:sz w:val="44"/>
          <w:highlight w:val="none"/>
          <w:lang w:eastAsia="zh-CN"/>
        </w:rPr>
        <w:t xml:space="preserve">（参考）</w:t>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bookmarkStart w:id="190" w:name="_Hlt16619369"/>
      <w:r/>
      <w:bookmarkEnd w:id="190"/>
      <w:r/>
      <w:r/>
    </w:p>
    <w:p>
      <w:pPr>
        <w:jc w:val="center"/>
        <w:rPr>
          <w:rFonts w:ascii="宋体" w:hAnsi="宋体" w:cs="宋体"/>
          <w:b/>
          <w:bCs/>
          <w:spacing w:val="-20"/>
          <w:sz w:val="32"/>
          <w:szCs w:val="32"/>
        </w:rPr>
      </w:pPr>
      <w:r>
        <w:rPr>
          <w:rFonts w:hint="eastAsia" w:ascii="宋体" w:hAnsi="宋体" w:cs="宋体"/>
          <w:b/>
          <w:bCs/>
          <w:spacing w:val="-20"/>
          <w:sz w:val="32"/>
          <w:szCs w:val="32"/>
        </w:rPr>
        <w:t xml:space="preserve">财政部 政府采购货物买卖合同（试行）</w:t>
      </w:r>
      <w:r/>
    </w:p>
    <w:p>
      <w:pPr>
        <w:jc w:val="center"/>
        <w:rPr>
          <w:rFonts w:ascii="宋体" w:hAnsi="宋体" w:cs="宋体"/>
          <w:b/>
          <w:bCs/>
          <w:spacing w:val="-20"/>
          <w:sz w:val="32"/>
          <w:szCs w:val="32"/>
        </w:rPr>
      </w:pPr>
      <w:r>
        <w:rPr>
          <w:rFonts w:hint="eastAsia" w:ascii="宋体" w:hAnsi="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ascii="Times New Roman" w:hAnsi="Times New Roman"/>
          <w:sz w:val="28"/>
          <w:szCs w:val="28"/>
        </w:rPr>
      </w:pPr>
      <w:r>
        <w:rPr>
          <w:rFonts w:hint="eastAsia" w:ascii="宋体" w:hAnsi="宋体" w:cs="宋体"/>
          <w:sz w:val="28"/>
          <w:szCs w:val="28"/>
        </w:rPr>
        <w:t xml:space="preserve">项目名称：</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合同编号：</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甲</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乙</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签订时间：</w:t>
      </w:r>
      <w:r>
        <w:rPr>
          <w:rFonts w:ascii="Times New Roman" w:hAnsi="Times New Roman"/>
          <w:sz w:val="28"/>
          <w:szCs w:val="28"/>
          <w:u w:val="single"/>
        </w:rPr>
        <w:t xml:space="preserve">                             </w:t>
      </w:r>
      <w:r/>
    </w:p>
    <w:p>
      <w:pPr>
        <w:rPr>
          <w:rFonts w:ascii="Times New Roman" w:hAnsi="Times New Roman"/>
          <w:szCs w:val="22"/>
        </w:rPr>
      </w:pPr>
      <w:r>
        <w:rPr>
          <w:rFonts w:ascii="Times New Roman" w:hAnsi="Times New Roman"/>
          <w:szCs w:val="22"/>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jc w:val="left"/>
        <w:widowControl/>
        <w:rPr>
          <w:rFonts w:ascii="Times New Roman" w:hAnsi="Times New Roman"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sz w:val="44"/>
          <w:szCs w:val="44"/>
        </w:rPr>
      </w:r>
      <w:r/>
    </w:p>
    <w:p>
      <w:pPr>
        <w:jc w:val="center"/>
        <w:keepLines/>
        <w:keepNext/>
        <w:spacing w:before="260" w:after="260" w:line="400" w:lineRule="exact"/>
        <w:rPr>
          <w:rFonts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jc w:val="center"/>
        <w:keepLines/>
        <w:keepNext/>
        <w:spacing w:before="260" w:after="260" w:line="400" w:lineRule="exact"/>
        <w:rPr>
          <w:rFonts w:ascii="黑体" w:hAnsi="华文中宋" w:eastAsia="黑体" w:cs="Arial"/>
          <w:sz w:val="28"/>
          <w:szCs w:val="28"/>
        </w:rPr>
        <w:outlineLvl w:val="1"/>
      </w:pPr>
      <w:r>
        <w:rPr>
          <w:rFonts w:ascii="黑体" w:hAnsi="华文中宋" w:eastAsia="黑体" w:cs="Arial"/>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ascii="Times New Roman" w:hAnsi="Times New Roman"/>
          <w:szCs w:val="22"/>
        </w:rPr>
        <w:t xml:space="preserve">乙方</w:t>
      </w:r>
      <w:r>
        <w:rPr>
          <w:rFonts w:hint="eastAsia" w:ascii="宋体" w:hAnsi="宋体"/>
          <w:szCs w:val="21"/>
        </w:rPr>
        <w:t xml:space="preserve">3</w:t>
      </w:r>
      <w:r>
        <w:rPr>
          <w:rFonts w:hint="eastAsia" w:ascii="Times New Roman" w:hAnsi="Times New Roman"/>
          <w:szCs w:val="22"/>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Times New Roman" w:hAnsi="Times New Roman"/>
          <w:szCs w:val="22"/>
        </w:rPr>
      </w:pPr>
      <w:r>
        <w:rPr>
          <w:rFonts w:ascii="Times New Roman" w:hAnsi="Times New Roman"/>
          <w:szCs w:val="22"/>
        </w:rPr>
      </w:r>
      <w:r/>
    </w:p>
    <w:p>
      <w:pPr>
        <w:ind w:firstLine="420"/>
        <w:spacing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rPr>
      </w:pPr>
      <w:r>
        <w:rPr>
          <w:rFonts w:hint="eastAsia" w:ascii="宋体" w:hAnsi="宋体"/>
          <w:b/>
          <w:szCs w:val="21"/>
        </w:rPr>
        <w:t xml:space="preserve">项目信息</w:t>
      </w:r>
      <w:r/>
    </w:p>
    <w:p>
      <w:pPr>
        <w:numPr>
          <w:ilvl w:val="0"/>
          <w:numId w:val="2"/>
        </w:numPr>
        <w:ind w:firstLine="420"/>
        <w:spacing w:line="400" w:lineRule="exact"/>
        <w:rPr>
          <w:rFonts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                                          </w:t>
      </w:r>
      <w:r/>
    </w:p>
    <w:p>
      <w:pPr>
        <w:spacing w:line="400" w:lineRule="exact"/>
        <w:tabs>
          <w:tab w:val="left" w:pos="999" w:leader="none"/>
        </w:tabs>
        <w:rPr>
          <w:rFonts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（2）采购计划编号：</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jc w:val="left"/>
        <w:spacing w:line="40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jc w:val="left"/>
        <w:spacing w:line="400" w:lineRule="exact"/>
        <w:widowControl/>
        <w:rPr>
          <w:rFonts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（注：在框架协议采购的第二阶段，可选择使用该合同文本）</w:t>
      </w:r>
      <w:r/>
    </w:p>
    <w:p>
      <w:pPr>
        <w:ind w:firstLine="220"/>
        <w:jc w:val="left"/>
        <w:spacing w:line="400" w:lineRule="exact"/>
        <w:widowControl/>
        <w:rPr>
          <w:rFonts w:ascii="宋体" w:hAnsi="宋体"/>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szCs w:val="22"/>
        </w:rPr>
        <w:t xml:space="preserve">        </w:t>
      </w:r>
      <w:r>
        <w:rPr>
          <w:rFonts w:hint="eastAsia" w:ascii="Times New Roman" w:hAnsi="Times New Roman"/>
          <w:szCs w:val="22"/>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szCs w:val="22"/>
        </w:rPr>
        <w:t xml:space="preserve">        </w:t>
      </w:r>
      <w:r>
        <w:rPr>
          <w:rFonts w:hint="eastAsia" w:ascii="Times New Roman" w:hAnsi="Times New Roman"/>
          <w:szCs w:val="22"/>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Times New Roman" w:hAnsi="Times New Roman"/>
          <w:szCs w:val="22"/>
        </w:rPr>
      </w:pPr>
      <w:r>
        <w:rPr>
          <w:rFonts w:ascii="Times New Roman" w:hAnsi="Times New Roman"/>
          <w:szCs w:val="22"/>
        </w:rPr>
        <w:t xml:space="preserve">        </w:t>
      </w:r>
      <w:r>
        <w:rPr>
          <w:rFonts w:hint="eastAsia" w:ascii="Times New Roman" w:hAnsi="Times New Roman"/>
          <w:szCs w:val="22"/>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ascii="Times New Roman" w:hAnsi="Times New Roman" w:eastAsia="华文楷体"/>
          <w:szCs w:val="22"/>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widowControl/>
        <w:rPr>
          <w:rFonts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line="400" w:lineRule="exact"/>
        <w:widowControl/>
        <w:rPr>
          <w:rFonts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w:t>
      </w:r>
      <w:r>
        <w:rPr>
          <w:rFonts w:hint="eastAsia" w:ascii="宋体" w:hAnsi="宋体"/>
          <w:szCs w:val="21"/>
          <w:lang w:eastAsia="zh-CN"/>
        </w:rPr>
        <w:t xml:space="preserve">》《</w:t>
      </w:r>
      <w:r>
        <w:rPr>
          <w:rFonts w:hint="eastAsia" w:ascii="宋体" w:hAnsi="宋体"/>
          <w:szCs w:val="21"/>
        </w:rPr>
        <w:t xml:space="preserve">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contextualSpacing/>
        <w:ind w:firstLine="420"/>
        <w:jc w:val="left"/>
        <w:spacing w:line="400" w:lineRule="exact"/>
        <w:widowControl/>
        <w:rPr>
          <w:rFonts w:cs="Calibri"/>
          <w:szCs w:val="21"/>
          <w:lang w:bidi="en-US"/>
        </w:rPr>
      </w:pPr>
      <w:r>
        <w:rPr>
          <w:rFonts w:hint="eastAsia" w:ascii="宋体" w:hAnsi="宋体" w:cs="Calibri"/>
          <w:szCs w:val="21"/>
          <w:lang w:bidi="en-US"/>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Times New Roman" w:hAnsi="Times New Roman"/>
          <w:szCs w:val="22"/>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szCs w:val="22"/>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jc w:val="left"/>
        <w:spacing w:line="400" w:lineRule="exact"/>
        <w:widowControl/>
        <w:rPr>
          <w:rFonts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ascii="宋体" w:hAnsi="宋体" w:cs="宋体"/>
          <w:bCs/>
          <w:szCs w:val="21"/>
          <w:u w:val="single"/>
        </w:rPr>
      </w:pPr>
      <w:r>
        <w:rPr>
          <w:rFonts w:hint="eastAsia" w:ascii="宋体" w:hAnsi="宋体" w:cs="宋体"/>
          <w:szCs w:val="21"/>
        </w:rPr>
        <w:t xml:space="preserve"> 如以履约保函（保险）形式缴纳履约保证金，供应商可通过政府采购电子履约保函（保险）平台（www.jsdzbh.com）在线申请履约保函（保险）。</w:t>
      </w:r>
      <w:r>
        <w:rPr>
          <w:rFonts w:hint="eastAsia" w:ascii="宋体" w:hAnsi="宋体" w:cs="宋体"/>
          <w:bCs/>
          <w:szCs w:val="21"/>
          <w:u w:val="single"/>
        </w:rPr>
        <w:t xml:space="preserve">                            </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合同履行结束后，甲方应及时退还交纳的履约保证金。</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履约保证金的退还：</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（1）方式：退还至乙方缴纳履约保证金的账户。如为保函（保险），在到期时自行失效。</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（2）时间：验收合格且甲方收到发票后30日内。</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（3）条件：按合同要求全部履约完成并经甲方验收合格，且甲方收到乙方出具的发票。</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（4）不予退还情形：</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4.2乙方不履行与甲方订立的合同的；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4.3乙方所供货物或服务不符合招标文件规定要求的；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4.4乙方采取欺骗、弄虚作假方式投标的或与其他投标人串通投标的；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4.5乙方将合同内容转包、违法分包的；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4.6乙方故意捏造事实或伪造证明材料，进行虚假恶意投诉或反映的。</w:t>
      </w:r>
      <w:r/>
    </w:p>
    <w:p>
      <w:pPr>
        <w:ind w:firstLine="420"/>
        <w:jc w:val="left"/>
        <w:spacing w:line="400" w:lineRule="exact"/>
        <w:widowControl/>
        <w:rPr>
          <w:rFonts w:ascii="宋体" w:hAnsi="宋体" w:cs="宋体"/>
          <w:szCs w:val="21"/>
        </w:rPr>
      </w:pPr>
      <w:r>
        <w:rPr>
          <w:rFonts w:hint="eastAsia" w:ascii="宋体" w:hAnsi="宋体" w:cs="宋体"/>
          <w:szCs w:val="21"/>
        </w:rPr>
        <w:t xml:space="preserve"> 收取</w:t>
      </w:r>
      <w:bookmarkStart w:id="191" w:name="OLE_LINK22"/>
      <w:r>
        <w:rPr>
          <w:rFonts w:hint="eastAsia" w:ascii="宋体" w:hAnsi="宋体" w:cs="宋体"/>
          <w:szCs w:val="21"/>
        </w:rPr>
        <w:t xml:space="preserve">履约保证金金额：</w:t>
      </w:r>
      <w:r>
        <w:rPr>
          <w:rFonts w:hint="eastAsia" w:ascii="宋体" w:hAnsi="宋体" w:cs="宋体"/>
          <w:bCs/>
          <w:szCs w:val="21"/>
          <w:u w:val="single"/>
        </w:rPr>
        <w:t xml:space="preserve"> （合同金额的10%）</w:t>
      </w:r>
      <w:bookmarkEnd w:id="191"/>
      <w:r>
        <w:rPr>
          <w:rFonts w:hint="eastAsia" w:ascii="宋体" w:hAnsi="宋体" w:cs="宋体"/>
          <w:bCs/>
          <w:szCs w:val="21"/>
          <w:u w:val="single"/>
        </w:rPr>
        <w:t xml:space="preserve">                           </w:t>
      </w:r>
      <w:r/>
    </w:p>
    <w:p>
      <w:pPr>
        <w:ind w:firstLine="420"/>
        <w:spacing w:line="400" w:lineRule="exact"/>
        <w:rPr>
          <w:rFonts w:ascii="宋体" w:hAnsi="宋体" w:cs="宋体"/>
          <w:szCs w:val="22"/>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1"/>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3"/>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rFonts w:ascii="Times New Roman" w:hAnsi="Times New Roman"/>
          <w:szCs w:val="22"/>
          <w:lang w:val="en"/>
        </w:rPr>
        <w:t xml:space="preserve">   </w:t>
      </w:r>
      <w:r/>
    </w:p>
    <w:p>
      <w:pPr>
        <w:contextualSpacing/>
        <w:ind w:left="720"/>
        <w:jc w:val="left"/>
        <w:widowControl/>
        <w:rPr>
          <w:rFonts w:cs="Calibri"/>
          <w:sz w:val="24"/>
          <w:lang w:bidi="en-US"/>
        </w:rPr>
      </w:pPr>
      <w:r>
        <w:rPr>
          <w:rFonts w:cs="Calibri"/>
          <w:sz w:val="24"/>
          <w:lang w:bidi="en-US"/>
        </w:rPr>
      </w:r>
      <w:r/>
    </w:p>
    <w:tbl>
      <w:tblPr>
        <w:tblStyle w:val="78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szCs w:val="22"/>
              </w:rPr>
            </w:pPr>
            <w:r>
              <w:rPr>
                <w:rFonts w:hint="eastAsia" w:ascii="Times New Roman" w:hAnsi="Times New Roman"/>
                <w:szCs w:val="21"/>
              </w:rPr>
              <w:t xml:space="preserve">甲方（采购人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ascii="Times New Roman" w:hAnsi="Times New Roman"/>
                <w:szCs w:val="22"/>
                <w:lang w:eastAsia="en-US"/>
              </w:rPr>
            </w:pPr>
            <w:r>
              <w:rPr>
                <w:rFonts w:hint="eastAsia" w:ascii="Times New Roman" w:hAnsi="Times New Roman"/>
                <w:szCs w:val="21"/>
                <w:lang w:eastAsia="en-US"/>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1"/>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before="120" w:line="360" w:lineRule="auto"/>
              <w:rPr>
                <w:rFonts w:ascii="Times New Roman" w:hAnsi="Times New Roman"/>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20" w:after="260" w:line="415" w:lineRule="auto"/>
        <w:rPr>
          <w:rFonts w:ascii="黑体" w:hAnsi="黑体" w:eastAsia="黑体" w:cs="Arial"/>
          <w:b/>
          <w:bCs/>
          <w:sz w:val="28"/>
          <w:szCs w:val="28"/>
        </w:rPr>
        <w:outlineLvl w:val="1"/>
      </w:pPr>
      <w:r>
        <w:rPr>
          <w:rFonts w:hint="eastAsia" w:ascii="宋体" w:hAnsi="宋体" w:eastAsia="幼圆" w:cs="Arial"/>
          <w:sz w:val="44"/>
          <w:szCs w:val="21"/>
          <w:u w:val="single"/>
        </w:rPr>
        <w:br w:type="page" w:clear="all"/>
      </w:r>
      <w:r>
        <w:rPr>
          <w:rFonts w:hint="eastAsia" w:ascii="黑体" w:hAnsi="黑体" w:eastAsia="黑体" w:cs="Arial"/>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szCs w:val="22"/>
        </w:rPr>
      </w:pPr>
      <w:r>
        <w:rPr>
          <w:rFonts w:hint="eastAsia" w:ascii="宋体" w:hAnsi="宋体"/>
          <w:b/>
          <w:sz w:val="24"/>
          <w:szCs w:val="22"/>
        </w:rPr>
        <w:t xml:space="preserve">1. </w:t>
      </w:r>
      <w:r>
        <w:rPr>
          <w:rFonts w:hint="eastAsia" w:ascii="宋体" w:hAnsi="宋体"/>
          <w:b/>
          <w:bCs/>
          <w:sz w:val="24"/>
          <w:szCs w:val="22"/>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4"/>
        </w:numPr>
        <w:jc w:val="left"/>
        <w:spacing w:line="400" w:lineRule="exact"/>
        <w:rPr>
          <w:rFonts w:ascii="宋体" w:hAnsi="宋体"/>
          <w:b/>
          <w:bCs/>
          <w:color w:val="000000"/>
          <w:sz w:val="24"/>
          <w:szCs w:val="22"/>
        </w:rPr>
      </w:pPr>
      <w:r>
        <w:rPr>
          <w:rFonts w:hint="eastAsia" w:ascii="宋体" w:hAnsi="宋体"/>
          <w:b/>
          <w:color w:val="000000"/>
          <w:sz w:val="24"/>
          <w:szCs w:val="22"/>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szCs w:val="22"/>
        </w:rPr>
      </w:pPr>
      <w:r>
        <w:rPr>
          <w:rFonts w:hint="eastAsia" w:ascii="宋体" w:hAnsi="宋体"/>
          <w:b/>
          <w:color w:val="000000"/>
          <w:sz w:val="24"/>
          <w:szCs w:val="22"/>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p>
    <w:p>
      <w:pPr>
        <w:ind w:firstLine="420"/>
        <w:spacing w:line="400" w:lineRule="exact"/>
        <w:rPr>
          <w:rFonts w:ascii="Times New Roman" w:hAnsi="Times New Roman" w:eastAsia="华文楷体"/>
          <w:szCs w:val="22"/>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5.3乙方有权根据合同约定向甲方收取合同价款。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5.4国家法律法规规定及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5"/>
        </w:numPr>
        <w:jc w:val="left"/>
        <w:spacing w:line="400" w:lineRule="exact"/>
        <w:rPr>
          <w:rFonts w:ascii="宋体" w:hAnsi="宋体"/>
          <w:b/>
          <w:bCs/>
          <w:color w:val="000000"/>
          <w:sz w:val="24"/>
          <w:szCs w:val="22"/>
        </w:rPr>
      </w:pPr>
      <w:r>
        <w:rPr>
          <w:rFonts w:hint="eastAsia" w:ascii="宋体" w:hAnsi="宋体"/>
          <w:b/>
          <w:bCs/>
          <w:color w:val="000000"/>
          <w:sz w:val="24"/>
          <w:szCs w:val="22"/>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rFonts w:ascii="Times New Roman" w:hAnsi="Times New Roman"/>
          <w:szCs w:val="22"/>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szCs w:val="22"/>
        </w:rPr>
      </w:pPr>
      <w:r>
        <w:rPr>
          <w:rFonts w:hint="eastAsia" w:ascii="宋体" w:hAnsi="宋体"/>
          <w:b/>
          <w:color w:val="000000"/>
          <w:sz w:val="24"/>
          <w:szCs w:val="22"/>
        </w:rPr>
        <w:t xml:space="preserve">8. </w:t>
      </w:r>
      <w:r>
        <w:rPr>
          <w:rFonts w:hint="eastAsia" w:ascii="宋体" w:hAnsi="宋体"/>
          <w:b/>
          <w:sz w:val="24"/>
          <w:szCs w:val="22"/>
        </w:rPr>
        <w:t xml:space="preserve">质量标准和保证</w:t>
      </w:r>
      <w:r/>
    </w:p>
    <w:p>
      <w:pPr>
        <w:ind w:firstLine="420"/>
        <w:jc w:val="left"/>
        <w:spacing w:line="400" w:lineRule="exact"/>
        <w:rPr>
          <w:rFonts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rPr>
          <w:rFonts w:ascii="Times New Roman" w:hAnsi="Times New Roman"/>
          <w:szCs w:val="22"/>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szCs w:val="22"/>
        </w:rPr>
      </w:pPr>
      <w:r>
        <w:rPr>
          <w:rFonts w:hint="eastAsia" w:ascii="宋体" w:hAnsi="宋体"/>
          <w:b/>
          <w:bCs/>
          <w:color w:val="000000"/>
          <w:sz w:val="24"/>
          <w:szCs w:val="22"/>
        </w:rPr>
        <w:t xml:space="preserve">9</w:t>
      </w:r>
      <w:r>
        <w:rPr>
          <w:rFonts w:hint="eastAsia" w:ascii="宋体" w:hAnsi="宋体"/>
          <w:b/>
          <w:bCs/>
          <w:sz w:val="24"/>
          <w:szCs w:val="22"/>
        </w:rPr>
        <w:t xml:space="preserve">.</w:t>
      </w:r>
      <w:r>
        <w:rPr>
          <w:rFonts w:hint="eastAsia" w:ascii="宋体" w:hAnsi="宋体"/>
          <w:b/>
          <w:bCs/>
          <w:color w:val="000000"/>
          <w:sz w:val="24"/>
          <w:szCs w:val="22"/>
        </w:rPr>
        <w:t xml:space="preserve"> </w:t>
      </w:r>
      <w:r>
        <w:rPr>
          <w:rFonts w:hint="eastAsia" w:ascii="宋体" w:hAnsi="宋体"/>
          <w:b/>
          <w:bCs/>
          <w:sz w:val="24"/>
          <w:szCs w:val="22"/>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szCs w:val="22"/>
        </w:rPr>
      </w:pPr>
      <w:r>
        <w:rPr>
          <w:rFonts w:hint="eastAsia" w:ascii="宋体" w:hAnsi="宋体"/>
          <w:b/>
          <w:bCs/>
          <w:sz w:val="24"/>
          <w:szCs w:val="22"/>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szCs w:val="22"/>
        </w:rPr>
      </w:pPr>
      <w:r>
        <w:rPr>
          <w:rFonts w:hint="eastAsia" w:ascii="宋体" w:hAnsi="宋体"/>
          <w:b/>
          <w:bCs/>
          <w:sz w:val="24"/>
          <w:szCs w:val="22"/>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szCs w:val="22"/>
        </w:rPr>
      </w:pPr>
      <w:r>
        <w:rPr>
          <w:rFonts w:hint="eastAsia" w:ascii="宋体" w:hAnsi="宋体"/>
          <w:b/>
          <w:bCs/>
          <w:sz w:val="24"/>
          <w:szCs w:val="22"/>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szCs w:val="22"/>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szCs w:val="22"/>
        </w:rPr>
      </w:pPr>
      <w:r>
        <w:rPr>
          <w:rFonts w:hint="eastAsia" w:ascii="宋体" w:hAnsi="宋体"/>
          <w:b/>
          <w:bCs/>
          <w:sz w:val="24"/>
          <w:szCs w:val="22"/>
        </w:rPr>
        <w:t xml:space="preserve">14. </w:t>
      </w:r>
      <w:r>
        <w:rPr>
          <w:rFonts w:hint="eastAsia" w:ascii="Times New Roman" w:hAnsi="Times New Roman"/>
          <w:b/>
          <w:sz w:val="24"/>
          <w:szCs w:val="22"/>
        </w:rPr>
        <w:t xml:space="preserve">售后</w:t>
      </w:r>
      <w:r>
        <w:rPr>
          <w:rFonts w:hint="eastAsia" w:ascii="宋体" w:hAnsi="宋体"/>
          <w:b/>
          <w:sz w:val="24"/>
          <w:szCs w:val="22"/>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szCs w:val="22"/>
        </w:rPr>
      </w:pPr>
      <w:r>
        <w:rPr>
          <w:rFonts w:hint="eastAsia" w:ascii="宋体" w:hAnsi="宋体"/>
          <w:b/>
          <w:bCs/>
          <w:sz w:val="24"/>
          <w:szCs w:val="22"/>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szCs w:val="22"/>
        </w:rPr>
      </w:pPr>
      <w:r>
        <w:rPr>
          <w:rFonts w:hint="eastAsia" w:ascii="宋体" w:hAnsi="宋体"/>
          <w:b/>
          <w:sz w:val="24"/>
          <w:szCs w:val="22"/>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szCs w:val="22"/>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line="400" w:lineRule="exact"/>
        <w:widowControl/>
        <w:rPr>
          <w:rFonts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szCs w:val="22"/>
        </w:rPr>
      </w:pPr>
      <w:r>
        <w:rPr>
          <w:rFonts w:hint="eastAsia" w:ascii="宋体" w:hAnsi="宋体"/>
          <w:b/>
          <w:bCs/>
          <w:sz w:val="24"/>
          <w:szCs w:val="22"/>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szCs w:val="22"/>
        </w:rPr>
      </w:pPr>
      <w:r>
        <w:rPr>
          <w:rFonts w:hint="eastAsia" w:ascii="宋体" w:hAnsi="宋体"/>
          <w:b/>
          <w:bCs/>
          <w:sz w:val="24"/>
          <w:szCs w:val="22"/>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szCs w:val="22"/>
        </w:rPr>
      </w:pPr>
      <w:r>
        <w:rPr>
          <w:rFonts w:hint="eastAsia" w:ascii="宋体" w:hAnsi="宋体"/>
          <w:b/>
          <w:bCs/>
          <w:sz w:val="24"/>
          <w:szCs w:val="22"/>
        </w:rPr>
        <w:t xml:space="preserve">19. 解决争议的方法</w:t>
      </w:r>
      <w:r/>
    </w:p>
    <w:p>
      <w:pPr>
        <w:ind w:firstLine="420"/>
        <w:spacing w:line="400" w:lineRule="exact"/>
        <w:widowControl/>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ascii="宋体" w:hAnsi="宋体"/>
          <w:sz w:val="24"/>
          <w:szCs w:val="22"/>
        </w:rPr>
      </w:pPr>
      <w:r>
        <w:rPr>
          <w:rFonts w:hint="eastAsia" w:ascii="宋体" w:hAnsi="宋体"/>
          <w:b/>
          <w:sz w:val="24"/>
          <w:szCs w:val="22"/>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szCs w:val="22"/>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szCs w:val="22"/>
        </w:rPr>
        <w:t xml:space="preserve">甲乙双方</w:t>
      </w:r>
      <w:r>
        <w:rPr>
          <w:rFonts w:hint="eastAsia" w:ascii="宋体" w:hAnsi="宋体" w:cs="宋体"/>
          <w:szCs w:val="22"/>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szCs w:val="22"/>
        </w:rPr>
      </w:pPr>
      <w:r>
        <w:rPr>
          <w:rFonts w:hint="eastAsia" w:ascii="宋体" w:hAnsi="宋体"/>
          <w:b/>
          <w:sz w:val="24"/>
          <w:szCs w:val="22"/>
        </w:rPr>
        <w:t xml:space="preserve">21. 法律适用</w:t>
      </w:r>
      <w:r/>
    </w:p>
    <w:p>
      <w:pPr>
        <w:ind w:firstLine="420"/>
        <w:spacing w:line="400" w:lineRule="exact"/>
        <w:widowControl/>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szCs w:val="22"/>
        </w:rPr>
      </w:pPr>
      <w:r>
        <w:rPr>
          <w:rFonts w:hint="eastAsia" w:ascii="宋体" w:hAnsi="宋体"/>
          <w:b/>
          <w:sz w:val="24"/>
          <w:szCs w:val="22"/>
        </w:rPr>
        <w:t xml:space="preserve">22. 通知</w:t>
      </w:r>
      <w:r/>
    </w:p>
    <w:p>
      <w:pPr>
        <w:ind w:firstLine="420"/>
        <w:spacing w:line="400" w:lineRule="exact"/>
        <w:widowControl/>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ascii="宋体" w:hAnsi="宋体"/>
          <w:b/>
          <w:bCs/>
          <w:sz w:val="24"/>
          <w:szCs w:val="22"/>
        </w:rPr>
      </w:pPr>
      <w:r>
        <w:rPr>
          <w:rFonts w:hint="eastAsia" w:ascii="宋体" w:hAnsi="宋体"/>
          <w:b/>
          <w:bCs/>
          <w:sz w:val="24"/>
          <w:szCs w:val="22"/>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788"/>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Times New Roman" w:hAnsi="Times New Roman"/>
                <w:szCs w:val="22"/>
                <w:lang w:eastAsia="en-US"/>
              </w:rPr>
            </w:pPr>
            <w:r>
              <w:rPr>
                <w:rFonts w:hint="eastAsia" w:ascii="宋体" w:hAnsi="宋体"/>
                <w:szCs w:val="21"/>
                <w:lang w:eastAsia="en-US"/>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宋体" w:hAnsi="宋体"/>
                <w:szCs w:val="21"/>
                <w:lang w:eastAsia="en-US"/>
              </w:rPr>
            </w:pPr>
            <w:r>
              <w:rPr>
                <w:rFonts w:ascii="宋体" w:hAnsi="宋体"/>
                <w:szCs w:val="21"/>
                <w:lang w:eastAsia="en-US"/>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第二节</w:t>
            </w:r>
            <w:r/>
          </w:p>
          <w:p>
            <w:pPr>
              <w:jc w:val="center"/>
              <w:spacing w:line="400" w:lineRule="exact"/>
              <w:widowControl/>
              <w:rPr>
                <w:rFonts w:ascii="华文楷体" w:hAnsi="华文楷体" w:eastAsia="华文楷体" w:cs="华文楷体"/>
                <w:sz w:val="22"/>
                <w:szCs w:val="21"/>
                <w:lang w:eastAsia="en-US"/>
              </w:rPr>
            </w:pPr>
            <w:r>
              <w:rPr>
                <w:rFonts w:hint="eastAsia" w:ascii="宋体" w:hAnsi="宋体" w:cs="宋体"/>
                <w:sz w:val="22"/>
                <w:szCs w:val="21"/>
                <w:lang w:eastAsia="en-US"/>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bCs/>
                <w:szCs w:val="21"/>
                <w:lang w:eastAsia="en-US"/>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bl>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778"/>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92"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778"/>
        <w:jc w:val="center"/>
        <w:shd w:val="clear" w:color="auto"/>
        <w:rPr>
          <w:rFonts w:hint="eastAsia" w:ascii="宋体" w:hAnsi="宋体" w:eastAsia="宋体" w:cs="宋体"/>
          <w:bCs/>
          <w:color w:val="auto"/>
          <w:sz w:val="44"/>
          <w:highlight w:val="none"/>
        </w:rPr>
      </w:pPr>
      <w:r>
        <w:rPr>
          <w:rFonts w:hint="eastAsia" w:ascii="宋体" w:hAnsi="宋体" w:eastAsia="宋体" w:cs="宋体"/>
          <w:b/>
          <w:bCs w:val="0"/>
          <w:color w:val="auto"/>
          <w:sz w:val="44"/>
          <w:highlight w:val="none"/>
        </w:rPr>
        <w:t xml:space="preserve">第四章  采购需求</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项目属性：货物类项目</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本项目采购标的对应的中小企业划分标准所属行业：工业</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本项目不接受进口产品。</w:t>
      </w:r>
      <w:r/>
    </w:p>
    <w:p>
      <w:pPr>
        <w:ind w:firstLine="480"/>
        <w:spacing w:line="440" w:lineRule="exact"/>
        <w:rPr>
          <w:rFonts w:ascii="宋体" w:hAnsi="宋体"/>
          <w:b/>
          <w:color w:val="000000"/>
          <w:sz w:val="24"/>
        </w:rPr>
      </w:pPr>
      <w:r>
        <w:rPr>
          <w:rFonts w:hint="eastAsia" w:ascii="宋体" w:hAnsi="宋体"/>
          <w:b/>
          <w:bCs/>
          <w:color w:val="000000"/>
          <w:sz w:val="24"/>
        </w:rPr>
        <w:t xml:space="preserve">核心产品：</w:t>
      </w:r>
      <w:r>
        <w:rPr>
          <w:rFonts w:hint="eastAsia" w:ascii="宋体" w:hAnsi="宋体"/>
          <w:b/>
          <w:bCs/>
          <w:color w:val="000000"/>
          <w:sz w:val="24"/>
          <w:lang w:val="en-US" w:eastAsia="zh-CN"/>
        </w:rPr>
      </w:r>
      <w:r>
        <w:rPr>
          <w:rFonts w:ascii="SimSun" w:hAnsi="SimSun" w:eastAsia="SimSun" w:cs="SimSun"/>
          <w:color w:val="000000"/>
          <w:sz w:val="24"/>
        </w:rPr>
        <w:t xml:space="preserve">学生电脑桌</w:t>
      </w:r>
      <w:r>
        <w:rPr>
          <w:rFonts w:hint="eastAsia" w:ascii="宋体" w:hAnsi="宋体"/>
          <w:b/>
          <w:bCs/>
          <w:color w:val="000000"/>
          <w:sz w:val="24"/>
          <w:lang w:val="en-US" w:eastAsia="zh-CN"/>
        </w:rPr>
      </w:r>
      <w:r>
        <w:rPr>
          <w:rFonts w:hint="eastAsia" w:ascii="宋体" w:hAnsi="宋体"/>
          <w:b/>
          <w:bCs/>
          <w:color w:val="000000"/>
          <w:sz w:val="24"/>
        </w:rPr>
      </w:r>
      <w:r/>
    </w:p>
    <w:p>
      <w:pPr>
        <w:spacing w:line="440" w:lineRule="exact"/>
        <w:rPr>
          <w:rFonts w:ascii="宋体" w:hAnsi="宋体"/>
          <w:b/>
          <w:color w:val="000000"/>
          <w:sz w:val="24"/>
        </w:rPr>
      </w:pPr>
      <w:r>
        <w:rPr>
          <w:rFonts w:hint="eastAsia" w:ascii="宋体" w:hAnsi="宋体"/>
          <w:b/>
          <w:color w:val="000000"/>
          <w:sz w:val="24"/>
        </w:rPr>
        <w:t xml:space="preserve">一、项目基本情况</w:t>
      </w:r>
      <w:r/>
    </w:p>
    <w:p>
      <w:pPr>
        <w:ind w:left="479" w:firstLine="64"/>
        <w:spacing w:line="440" w:lineRule="exact"/>
        <w:rPr>
          <w:rFonts w:ascii="宋体" w:hAnsi="宋体"/>
          <w:bCs/>
          <w:color w:val="000000"/>
          <w:sz w:val="24"/>
        </w:rPr>
      </w:pPr>
      <w:r>
        <w:rPr>
          <w:rFonts w:hint="eastAsia" w:ascii="宋体" w:hAnsi="宋体" w:cs="宋体"/>
          <w:bCs/>
          <w:sz w:val="24"/>
          <w:highlight w:val="white"/>
        </w:rPr>
        <w:t xml:space="preserve">本次采购内容为</w:t>
      </w:r>
      <w:r>
        <w:rPr>
          <w:rFonts w:hint="eastAsia" w:ascii="宋体" w:hAnsi="宋体" w:eastAsia="宋体" w:cs="宋体"/>
          <w:bCs/>
          <w:sz w:val="24"/>
          <w:highlight w:val="white"/>
          <w:lang w:eastAsia="zh-CN"/>
        </w:rPr>
        <w:t xml:space="preserve">宿迁学院信息化中心实验桌椅项目</w:t>
      </w:r>
      <w:r>
        <w:rPr>
          <w:rFonts w:hint="eastAsia" w:ascii="宋体" w:hAnsi="宋体" w:cs="宋体"/>
          <w:bCs/>
          <w:sz w:val="24"/>
          <w:highlight w:val="white"/>
        </w:rPr>
        <w:t xml:space="preserve">采购，包括家具制作、运输、装卸、安装、调试及售后三包服务等。</w:t>
      </w:r>
      <w:r>
        <w:rPr>
          <w:rFonts w:hint="eastAsia" w:ascii="宋体" w:hAnsi="宋体"/>
          <w:bCs/>
          <w:color w:val="000000"/>
          <w:sz w:val="24"/>
        </w:rPr>
        <w:t xml:space="preserve"> </w:t>
      </w:r>
      <w:r/>
    </w:p>
    <w:p>
      <w:pPr>
        <w:numPr>
          <w:ilvl w:val="0"/>
          <w:numId w:val="8"/>
        </w:numPr>
        <w:spacing w:line="440" w:lineRule="exact"/>
        <w:rPr>
          <w:rFonts w:ascii="宋体" w:hAnsi="宋体"/>
          <w:b/>
          <w:color w:val="000000"/>
          <w:sz w:val="24"/>
        </w:rPr>
      </w:pPr>
      <w:r>
        <w:rPr>
          <w:rFonts w:hint="eastAsia" w:ascii="宋体" w:hAnsi="宋体"/>
          <w:b/>
          <w:color w:val="000000"/>
          <w:sz w:val="24"/>
        </w:rPr>
        <w:t xml:space="preserve">技术参数要求</w:t>
      </w:r>
      <w:r/>
    </w:p>
    <w:tbl>
      <w:tblPr>
        <w:tblStyle w:val="809"/>
        <w:tblpPr w:horzAnchor="page" w:tblpX="1797" w:vertAnchor="text" w:tblpY="369" w:leftFromText="180" w:topFromText="0" w:rightFromText="180" w:bottomFromText="0"/>
        <w:tblW w:w="96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696"/>
        <w:gridCol w:w="2155"/>
        <w:gridCol w:w="1050"/>
        <w:gridCol w:w="1022"/>
        <w:gridCol w:w="1210"/>
        <w:gridCol w:w="1656"/>
      </w:tblGrid>
      <w:tr>
        <w:trPr>
          <w:trHeight w:val="504"/>
        </w:trPr>
        <w:tc>
          <w:tcPr>
            <w:tcW w:w="900" w:type="dxa"/>
            <w:vAlign w:val="center"/>
            <w:textDirection w:val="lrTb"/>
            <w:noWrap w:val="false"/>
          </w:tcPr>
          <w:p>
            <w:pPr>
              <w:jc w:val="center"/>
              <w:spacing w:after="0" w:line="440" w:lineRule="exact"/>
              <w:rPr>
                <w:rFonts w:ascii="宋体" w:hAnsi="宋体" w:cs="宋体"/>
                <w:b/>
                <w:bCs/>
                <w:sz w:val="24"/>
              </w:rPr>
            </w:pPr>
            <w:r>
              <w:rPr>
                <w:rFonts w:hint="eastAsia" w:ascii="宋体" w:hAnsi="宋体" w:cs="宋体"/>
                <w:b/>
                <w:bCs/>
                <w:sz w:val="24"/>
              </w:rPr>
              <w:t xml:space="preserve">序号</w:t>
            </w:r>
            <w:r/>
          </w:p>
        </w:tc>
        <w:tc>
          <w:tcPr>
            <w:tcW w:w="1696" w:type="dxa"/>
            <w:vAlign w:val="center"/>
            <w:textDirection w:val="lrTb"/>
            <w:noWrap w:val="false"/>
          </w:tcPr>
          <w:p>
            <w:pPr>
              <w:jc w:val="center"/>
              <w:spacing w:after="0" w:line="440" w:lineRule="exact"/>
              <w:rPr>
                <w:rFonts w:ascii="宋体" w:hAnsi="宋体" w:cs="宋体"/>
                <w:b/>
                <w:bCs/>
                <w:sz w:val="24"/>
              </w:rPr>
            </w:pPr>
            <w:r>
              <w:rPr>
                <w:rFonts w:hint="eastAsia" w:ascii="宋体" w:hAnsi="宋体" w:cs="宋体"/>
                <w:b/>
                <w:bCs/>
                <w:sz w:val="24"/>
              </w:rPr>
              <w:t xml:space="preserve">名称</w:t>
            </w:r>
            <w:r/>
          </w:p>
        </w:tc>
        <w:tc>
          <w:tcPr>
            <w:tcW w:w="2155" w:type="dxa"/>
            <w:vAlign w:val="center"/>
            <w:textDirection w:val="lrTb"/>
            <w:noWrap w:val="false"/>
          </w:tcPr>
          <w:p>
            <w:pPr>
              <w:jc w:val="center"/>
              <w:spacing w:after="0" w:line="440" w:lineRule="exact"/>
              <w:rPr>
                <w:rFonts w:ascii="宋体" w:hAnsi="宋体" w:cs="宋体"/>
                <w:b/>
                <w:bCs/>
                <w:sz w:val="24"/>
              </w:rPr>
            </w:pPr>
            <w:r>
              <w:rPr>
                <w:rFonts w:hint="eastAsia" w:ascii="宋体" w:hAnsi="宋体" w:cs="宋体"/>
                <w:b/>
                <w:bCs/>
                <w:sz w:val="24"/>
              </w:rPr>
              <w:t xml:space="preserve">规格</w:t>
            </w:r>
            <w:r/>
          </w:p>
        </w:tc>
        <w:tc>
          <w:tcPr>
            <w:tcW w:w="1050" w:type="dxa"/>
            <w:vAlign w:val="center"/>
            <w:textDirection w:val="lrTb"/>
            <w:noWrap w:val="false"/>
          </w:tcPr>
          <w:p>
            <w:pPr>
              <w:jc w:val="center"/>
              <w:spacing w:after="0" w:line="440" w:lineRule="exact"/>
              <w:rPr>
                <w:rFonts w:ascii="宋体" w:hAnsi="宋体" w:cs="宋体"/>
                <w:b/>
                <w:bCs/>
                <w:sz w:val="24"/>
              </w:rPr>
            </w:pPr>
            <w:r>
              <w:rPr>
                <w:rFonts w:hint="eastAsia" w:ascii="宋体" w:hAnsi="宋体" w:cs="宋体"/>
                <w:b/>
                <w:bCs/>
                <w:sz w:val="24"/>
              </w:rPr>
              <w:t xml:space="preserve">单位</w:t>
            </w:r>
            <w:r/>
          </w:p>
        </w:tc>
        <w:tc>
          <w:tcPr>
            <w:shd w:val="clear" w:color="auto" w:fill="auto"/>
            <w:tcW w:w="1022" w:type="dxa"/>
            <w:vAlign w:val="center"/>
            <w:textDirection w:val="lrTb"/>
            <w:noWrap w:val="false"/>
          </w:tcPr>
          <w:p>
            <w:pPr>
              <w:jc w:val="center"/>
              <w:spacing w:after="0" w:line="440" w:lineRule="exact"/>
              <w:rPr>
                <w:rFonts w:ascii="宋体" w:hAnsi="宋体" w:cs="宋体"/>
                <w:b/>
                <w:bCs/>
                <w:sz w:val="24"/>
              </w:rPr>
            </w:pPr>
            <w:r>
              <w:rPr>
                <w:rFonts w:hint="eastAsia" w:ascii="宋体" w:hAnsi="宋体" w:cs="宋体"/>
                <w:b/>
                <w:bCs/>
                <w:sz w:val="24"/>
              </w:rPr>
              <w:t xml:space="preserve">数量</w:t>
            </w:r>
            <w:r/>
          </w:p>
        </w:tc>
        <w:tc>
          <w:tcPr>
            <w:tcW w:w="1210" w:type="dxa"/>
            <w:vAlign w:val="center"/>
            <w:textDirection w:val="lrTb"/>
            <w:noWrap w:val="false"/>
          </w:tcPr>
          <w:p>
            <w:pPr>
              <w:jc w:val="center"/>
              <w:spacing w:after="0" w:line="440" w:lineRule="exact"/>
              <w:rPr>
                <w:rFonts w:ascii="宋体" w:hAnsi="宋体" w:cs="宋体"/>
                <w:b/>
                <w:bCs/>
                <w:sz w:val="24"/>
              </w:rPr>
            </w:pPr>
            <w:r>
              <w:rPr>
                <w:rFonts w:hint="eastAsia" w:ascii="宋体" w:hAnsi="宋体" w:cs="宋体"/>
                <w:b/>
                <w:bCs/>
                <w:sz w:val="24"/>
              </w:rPr>
              <w:t xml:space="preserve">是否核心产品</w:t>
            </w:r>
            <w:r/>
          </w:p>
        </w:tc>
        <w:tc>
          <w:tcPr>
            <w:tcW w:w="1656" w:type="dxa"/>
            <w:vAlign w:val="center"/>
            <w:textDirection w:val="lrTb"/>
            <w:noWrap w:val="false"/>
          </w:tcPr>
          <w:p>
            <w:pPr>
              <w:jc w:val="center"/>
              <w:spacing w:after="0" w:line="440" w:lineRule="exact"/>
              <w:rPr>
                <w:rFonts w:ascii="宋体" w:hAnsi="宋体" w:cs="宋体"/>
                <w:b/>
                <w:bCs/>
                <w:sz w:val="24"/>
              </w:rPr>
            </w:pPr>
            <w:r>
              <w:rPr>
                <w:rFonts w:hint="eastAsia" w:ascii="宋体" w:hAnsi="宋体" w:cs="宋体"/>
                <w:b/>
                <w:bCs/>
                <w:sz w:val="24"/>
              </w:rPr>
              <w:t xml:space="preserve">对应中小企业划分标准所属行业</w:t>
            </w:r>
            <w:r/>
          </w:p>
        </w:tc>
      </w:tr>
      <w:tr>
        <w:trPr>
          <w:trHeight w:val="504"/>
        </w:trPr>
        <w:tc>
          <w:tcPr>
            <w:tcW w:w="900"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1</w:t>
            </w:r>
            <w:r/>
          </w:p>
        </w:tc>
        <w:tc>
          <w:tcPr>
            <w:tcW w:w="1696"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教师讲台</w:t>
            </w:r>
            <w:r/>
          </w:p>
        </w:tc>
        <w:tc>
          <w:tcPr>
            <w:tcW w:w="2155"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1280*580*1000mm</w:t>
            </w:r>
            <w:r/>
          </w:p>
        </w:tc>
        <w:tc>
          <w:tcPr>
            <w:tcW w:w="1050"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套</w:t>
            </w:r>
            <w:r/>
          </w:p>
        </w:tc>
        <w:tc>
          <w:tcPr>
            <w:shd w:val="clear" w:color="auto" w:fill="auto"/>
            <w:tcW w:w="1022"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21</w:t>
            </w:r>
            <w:r/>
          </w:p>
        </w:tc>
        <w:tc>
          <w:tcPr>
            <w:tcW w:w="1210"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否</w:t>
            </w:r>
            <w:r/>
          </w:p>
        </w:tc>
        <w:tc>
          <w:tcPr>
            <w:tcW w:w="1656"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bCs/>
                <w:sz w:val="24"/>
              </w:rPr>
              <w:t xml:space="preserve">工业</w:t>
            </w:r>
            <w:r/>
          </w:p>
        </w:tc>
      </w:tr>
      <w:tr>
        <w:trPr>
          <w:trHeight w:val="504"/>
        </w:trPr>
        <w:tc>
          <w:tcPr>
            <w:tcW w:w="900"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2</w:t>
            </w:r>
            <w:r/>
          </w:p>
        </w:tc>
        <w:tc>
          <w:tcPr>
            <w:tcW w:w="1696"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教师椅</w:t>
            </w:r>
            <w:r/>
          </w:p>
        </w:tc>
        <w:tc>
          <w:tcPr>
            <w:tcW w:w="2155"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600*650*（1000-1070）mm</w:t>
            </w:r>
            <w:r/>
          </w:p>
        </w:tc>
        <w:tc>
          <w:tcPr>
            <w:tcW w:w="1050"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把</w:t>
            </w:r>
            <w:r/>
          </w:p>
        </w:tc>
        <w:tc>
          <w:tcPr>
            <w:shd w:val="clear" w:color="auto" w:fill="auto"/>
            <w:tcW w:w="1022"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21</w:t>
            </w:r>
            <w:r/>
          </w:p>
        </w:tc>
        <w:tc>
          <w:tcPr>
            <w:tcW w:w="1210"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否</w:t>
            </w:r>
            <w:r/>
          </w:p>
        </w:tc>
        <w:tc>
          <w:tcPr>
            <w:tcW w:w="1656"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bCs/>
                <w:sz w:val="24"/>
              </w:rPr>
              <w:t xml:space="preserve">工业</w:t>
            </w:r>
            <w:r/>
          </w:p>
        </w:tc>
      </w:tr>
      <w:tr>
        <w:trPr>
          <w:trHeight w:val="984"/>
        </w:trPr>
        <w:tc>
          <w:tcPr>
            <w:tcW w:w="900"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3</w:t>
            </w:r>
            <w:r/>
          </w:p>
        </w:tc>
        <w:tc>
          <w:tcPr>
            <w:tcW w:w="1696"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学生电脑桌</w:t>
            </w:r>
            <w:r/>
          </w:p>
        </w:tc>
        <w:tc>
          <w:tcPr>
            <w:tcW w:w="2155"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800*600*750mm</w:t>
            </w:r>
            <w:r/>
          </w:p>
        </w:tc>
        <w:tc>
          <w:tcPr>
            <w:tcW w:w="1050"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张</w:t>
            </w:r>
            <w:r/>
          </w:p>
        </w:tc>
        <w:tc>
          <w:tcPr>
            <w:shd w:val="clear" w:color="auto" w:fill="auto"/>
            <w:tcW w:w="1022"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1606</w:t>
            </w:r>
            <w:r/>
          </w:p>
        </w:tc>
        <w:tc>
          <w:tcPr>
            <w:tcW w:w="1210"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是</w:t>
            </w:r>
            <w:r/>
          </w:p>
        </w:tc>
        <w:tc>
          <w:tcPr>
            <w:tcW w:w="1656"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bCs/>
                <w:sz w:val="24"/>
              </w:rPr>
              <w:t xml:space="preserve">工业</w:t>
            </w:r>
            <w:r/>
          </w:p>
        </w:tc>
      </w:tr>
      <w:tr>
        <w:trPr>
          <w:trHeight w:val="870"/>
        </w:trPr>
        <w:tc>
          <w:tcPr>
            <w:tcW w:w="900"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4</w:t>
            </w:r>
            <w:r/>
          </w:p>
        </w:tc>
        <w:tc>
          <w:tcPr>
            <w:tcW w:w="1696"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学生椅</w:t>
            </w:r>
            <w:r/>
          </w:p>
        </w:tc>
        <w:tc>
          <w:tcPr>
            <w:tcW w:w="2155"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color w:val="000000"/>
                <w:sz w:val="24"/>
                <w:szCs w:val="24"/>
                <w:lang w:bidi="ar"/>
              </w:rPr>
              <w:t xml:space="preserve">540*520*860mm</w:t>
            </w:r>
            <w:r/>
          </w:p>
        </w:tc>
        <w:tc>
          <w:tcPr>
            <w:tcW w:w="1050"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把</w:t>
            </w:r>
            <w:r/>
          </w:p>
        </w:tc>
        <w:tc>
          <w:tcPr>
            <w:shd w:val="clear" w:color="auto" w:fill="auto"/>
            <w:tcW w:w="1022"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1606</w:t>
            </w:r>
            <w:r/>
          </w:p>
        </w:tc>
        <w:tc>
          <w:tcPr>
            <w:tcW w:w="1210"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否</w:t>
            </w:r>
            <w:r/>
          </w:p>
        </w:tc>
        <w:tc>
          <w:tcPr>
            <w:tcW w:w="1656"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bCs/>
                <w:sz w:val="24"/>
              </w:rPr>
              <w:t xml:space="preserve">工业</w:t>
            </w:r>
            <w:r/>
          </w:p>
        </w:tc>
      </w:tr>
      <w:tr>
        <w:trPr>
          <w:trHeight w:val="870"/>
        </w:trPr>
        <w:tc>
          <w:tcPr>
            <w:tcW w:w="900" w:type="dxa"/>
            <w:vAlign w:val="center"/>
            <w:textDirection w:val="lrTb"/>
            <w:noWrap w:val="false"/>
          </w:tcPr>
          <w:p>
            <w:pPr>
              <w:jc w:val="center"/>
              <w:spacing w:after="0" w:line="24" w:lineRule="atLeast"/>
              <w:rPr>
                <w:rFonts w:ascii="宋体" w:hAnsi="宋体" w:cs="宋体"/>
                <w:sz w:val="24"/>
                <w:szCs w:val="24"/>
              </w:rPr>
            </w:pPr>
            <w:r>
              <w:rPr>
                <w:rFonts w:hint="eastAsia" w:ascii="宋体" w:hAnsi="宋体" w:cs="宋体"/>
                <w:sz w:val="24"/>
                <w:szCs w:val="24"/>
              </w:rPr>
              <w:t xml:space="preserve">备注</w:t>
            </w:r>
            <w:r/>
          </w:p>
        </w:tc>
        <w:tc>
          <w:tcPr>
            <w:gridSpan w:val="6"/>
            <w:tcW w:w="8789" w:type="dxa"/>
            <w:vAlign w:val="center"/>
            <w:textDirection w:val="lrTb"/>
            <w:noWrap w:val="false"/>
          </w:tcPr>
          <w:p>
            <w:pPr>
              <w:spacing w:after="0" w:line="24" w:lineRule="atLeast"/>
              <w:rPr>
                <w:rFonts w:ascii="宋体" w:hAnsi="宋体" w:cs="宋体"/>
                <w:sz w:val="24"/>
                <w:szCs w:val="24"/>
              </w:rPr>
            </w:pPr>
            <w:r>
              <w:rPr>
                <w:rFonts w:hint="eastAsia" w:ascii="宋体" w:hAnsi="宋体" w:cs="宋体"/>
                <w:sz w:val="24"/>
                <w:szCs w:val="24"/>
              </w:rPr>
              <w:t xml:space="preserve">1、中标人在签订合同前提供本次采购货物的色卡供采购人选择，经采购人确认后方可正式投入生产，否则，由此造成的后果均由中标人承担。</w:t>
            </w:r>
            <w:r/>
          </w:p>
          <w:p>
            <w:pPr>
              <w:spacing w:after="0" w:line="24" w:lineRule="atLeast"/>
              <w:rPr>
                <w:rFonts w:ascii="宋体" w:hAnsi="宋体" w:cs="宋体"/>
                <w:sz w:val="24"/>
                <w:szCs w:val="24"/>
              </w:rPr>
            </w:pPr>
            <w:r>
              <w:rPr>
                <w:rFonts w:hint="eastAsia" w:ascii="宋体" w:hAnsi="宋体" w:cs="宋体"/>
                <w:bCs/>
                <w:sz w:val="24"/>
                <w:highlight w:val="white"/>
              </w:rPr>
              <w:t xml:space="preserve">2、合同签订后15日内完成所有家具供货至采购人指定地点，接到甲方通知后7日内安装调试完毕（含二次搬运）并交付使用。</w:t>
            </w:r>
            <w:r/>
          </w:p>
        </w:tc>
      </w:tr>
    </w:tbl>
    <w:p>
      <w:pPr>
        <w:spacing w:line="360" w:lineRule="auto"/>
        <w:rPr>
          <w:rFonts w:ascii="宋体" w:hAnsi="宋体" w:cs="宋体"/>
          <w:b/>
          <w:bCs/>
          <w:sz w:val="24"/>
          <w:szCs w:val="24"/>
        </w:rPr>
      </w:pPr>
      <w:r>
        <w:rPr>
          <w:rFonts w:hint="eastAsia" w:ascii="宋体" w:hAnsi="宋体" w:cs="宋体"/>
          <w:b/>
          <w:bCs/>
          <w:sz w:val="24"/>
          <w:szCs w:val="24"/>
        </w:rPr>
        <w:t xml:space="preserve">（一）教师讲台</w:t>
      </w:r>
      <w:r/>
    </w:p>
    <w:p>
      <w:pPr>
        <w:spacing w:line="360" w:lineRule="auto"/>
        <w:rPr>
          <w:rFonts w:ascii="宋体" w:hAnsi="宋体" w:cs="宋体"/>
          <w:sz w:val="24"/>
          <w:szCs w:val="24"/>
        </w:rPr>
      </w:pPr>
      <w:r>
        <w:rPr>
          <w:rFonts w:hint="eastAsia" w:ascii="宋体" w:hAnsi="宋体" w:cs="宋体"/>
          <w:sz w:val="24"/>
          <w:szCs w:val="24"/>
        </w:rPr>
        <w:t xml:space="preserve">1、讲台长*宽*高≥1280mm×580mm×1000mm，环抱老师式设计，根据人体力学设计，讲台桌面高度合适老师放置教学用品。</w:t>
      </w:r>
      <w:r/>
    </w:p>
    <w:p>
      <w:pPr>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2、★钢木结合设计，采用冷轧钢板桌体，桌体所有金属板厚度≥1.5mm，老师接触位置为木质桌面，桌面采用E0级环保高密度板。</w:t>
      </w:r>
      <w:r/>
    </w:p>
    <w:p>
      <w:pPr>
        <w:spacing w:line="360" w:lineRule="auto"/>
        <w:rPr>
          <w:rFonts w:ascii="宋体" w:hAnsi="宋体" w:cs="宋体"/>
          <w:sz w:val="24"/>
          <w:szCs w:val="24"/>
        </w:rPr>
      </w:pPr>
      <w:r>
        <w:rPr>
          <w:rFonts w:hint="eastAsia" w:ascii="宋体" w:hAnsi="宋体" w:cs="宋体"/>
          <w:sz w:val="24"/>
          <w:szCs w:val="24"/>
        </w:rPr>
        <w:t xml:space="preserve">3、讲台桌面平整，全封闭设计，整体外观流线型设计，无菱角处理，正面中部受到170N的冲击力时不会倾倒，保护师生安全。</w:t>
      </w:r>
      <w:r/>
    </w:p>
    <w:p>
      <w:pPr>
        <w:spacing w:line="360" w:lineRule="auto"/>
        <w:rPr>
          <w:rFonts w:ascii="宋体" w:hAnsi="宋体" w:cs="宋体"/>
          <w:sz w:val="24"/>
          <w:szCs w:val="24"/>
        </w:rPr>
      </w:pPr>
      <w:r>
        <w:rPr>
          <w:rFonts w:hint="eastAsia" w:ascii="宋体" w:hAnsi="宋体" w:cs="宋体"/>
          <w:sz w:val="24"/>
          <w:szCs w:val="24"/>
        </w:rPr>
        <w:t xml:space="preserve">4、讲台支持标准机柜收纳，支持≥12U的设备收纳放置，收纳空间（含机柜部分）≥950mm×500mm×650mm，前后门都可以打开，方便设备安装及维护，前门采用隐藏式按压弹簧开关设计，美观且易于操作，后门采用双开门式设计，只需要一把锁管理。</w:t>
      </w:r>
      <w:r/>
    </w:p>
    <w:p>
      <w:pPr>
        <w:spacing w:line="360" w:lineRule="auto"/>
        <w:rPr>
          <w:rFonts w:ascii="宋体" w:hAnsi="宋体" w:cs="宋体"/>
          <w:sz w:val="24"/>
          <w:szCs w:val="24"/>
        </w:rPr>
      </w:pPr>
      <w:r>
        <w:rPr>
          <w:rFonts w:hint="eastAsia" w:ascii="宋体" w:hAnsi="宋体" w:cs="宋体"/>
          <w:sz w:val="24"/>
          <w:szCs w:val="24"/>
        </w:rPr>
        <w:t xml:space="preserve">5、讲台自带≥23.8英寸电容触摸屏且采用防眩光钢化玻璃面板，厚度≥2mm；支持≥10点触控；支持屏幕手动角度调节，可实现与桌面形成20°至80°角度调节。</w:t>
      </w:r>
      <w:r/>
    </w:p>
    <w:p>
      <w:pPr>
        <w:spacing w:line="360" w:lineRule="auto"/>
        <w:rPr>
          <w:rFonts w:ascii="宋体" w:hAnsi="宋体" w:cs="宋体"/>
          <w:sz w:val="24"/>
          <w:szCs w:val="24"/>
        </w:rPr>
      </w:pPr>
      <w:r>
        <w:rPr>
          <w:rFonts w:hint="eastAsia" w:ascii="宋体" w:hAnsi="宋体" w:cs="宋体"/>
          <w:sz w:val="24"/>
          <w:szCs w:val="24"/>
        </w:rPr>
        <w:t xml:space="preserve">6、▲屏体侧面具有物理实体快捷按键≥6个，按键功能包括对屏幕一键开/关屏幕、对匹配的多媒体设备（如智慧黑板或一体机）进行一键熄屏以及一键音量加、一键音量减；投标文件中提供具有CMA标识的符合本项要求的检验检测报告电子件。</w:t>
      </w:r>
      <w:r/>
    </w:p>
    <w:p>
      <w:pPr>
        <w:spacing w:line="360" w:lineRule="auto"/>
        <w:rPr>
          <w:rFonts w:ascii="宋体" w:hAnsi="宋体" w:cs="宋体"/>
          <w:sz w:val="24"/>
          <w:szCs w:val="24"/>
        </w:rPr>
      </w:pPr>
      <w:r>
        <w:rPr>
          <w:rFonts w:hint="eastAsia" w:ascii="宋体" w:hAnsi="宋体" w:cs="宋体"/>
          <w:sz w:val="24"/>
          <w:szCs w:val="24"/>
        </w:rPr>
        <w:t xml:space="preserve">7、▲接口：HDMI IN≥2个，HDMI OUT≥1个，Type-C≥1个，USB≥4个，RJ45≥1个；AUDIO OUT≥1个，RS232≥1个，220V国标五插电源接口≥1个（支持对外供电）；投标文件中提供具有CMA标识的符合本项要求的检验检测报告电子件。</w:t>
      </w:r>
      <w:r/>
    </w:p>
    <w:p>
      <w:pPr>
        <w:spacing w:line="360" w:lineRule="auto"/>
        <w:rPr>
          <w:rFonts w:ascii="宋体" w:hAnsi="宋体" w:cs="宋体"/>
          <w:sz w:val="24"/>
          <w:szCs w:val="24"/>
        </w:rPr>
      </w:pPr>
      <w:r>
        <w:rPr>
          <w:rFonts w:hint="eastAsia" w:ascii="宋体" w:hAnsi="宋体" w:cs="宋体"/>
          <w:sz w:val="24"/>
          <w:szCs w:val="24"/>
        </w:rPr>
        <w:t xml:space="preserve">8、屏体侧边内置NFC模块；讲台屏至少支持NFC刷卡.二维码2种方式实现设备使用前的用户身份认证。</w:t>
      </w:r>
      <w:r/>
    </w:p>
    <w:p>
      <w:pPr>
        <w:spacing w:line="360" w:lineRule="auto"/>
        <w:rPr>
          <w:rFonts w:ascii="宋体" w:hAnsi="宋体" w:cs="宋体"/>
          <w:sz w:val="24"/>
          <w:szCs w:val="24"/>
        </w:rPr>
      </w:pPr>
      <w:r>
        <w:rPr>
          <w:rFonts w:hint="eastAsia" w:ascii="宋体" w:hAnsi="宋体" w:cs="宋体"/>
          <w:sz w:val="24"/>
          <w:szCs w:val="24"/>
        </w:rPr>
        <w:t xml:space="preserve">9、讲台屏自带定制化独立操作系统，基于正版系统 11及以上版本，可在任意通道下唤出多功能中控菜单并实现相关操作。</w:t>
      </w:r>
      <w:r/>
    </w:p>
    <w:p>
      <w:pPr>
        <w:spacing w:line="360" w:lineRule="auto"/>
        <w:rPr>
          <w:rFonts w:ascii="宋体" w:hAnsi="宋体" w:cs="宋体"/>
          <w:sz w:val="24"/>
          <w:szCs w:val="24"/>
        </w:rPr>
      </w:pPr>
      <w:r>
        <w:rPr>
          <w:rFonts w:hint="eastAsia" w:ascii="宋体" w:hAnsi="宋体" w:cs="宋体"/>
          <w:sz w:val="24"/>
          <w:szCs w:val="24"/>
        </w:rPr>
        <w:t xml:space="preserve">10、屏幕可调出中控菜单界面，支持一键上课及下课两种场景控制，也可以对连接的设备单独控制开关机；支持对屏幕输入源显示画面切换，包括智能平板.电脑.HDMI.Type-C。     </w:t>
      </w:r>
      <w:r/>
    </w:p>
    <w:p>
      <w:pPr>
        <w:spacing w:line="360" w:lineRule="auto"/>
        <w:rPr>
          <w:rFonts w:ascii="宋体" w:hAnsi="宋体" w:cs="宋体"/>
          <w:sz w:val="24"/>
          <w:szCs w:val="24"/>
        </w:rPr>
      </w:pPr>
      <w:r>
        <w:rPr>
          <w:rFonts w:hint="eastAsia" w:ascii="宋体" w:hAnsi="宋体" w:cs="宋体"/>
          <w:sz w:val="24"/>
          <w:szCs w:val="24"/>
        </w:rPr>
        <w:t xml:space="preserve">11、▲当接入匹配教室内的录播产品时，可显示录播导播流画面，选择开始录制.暂停录制和结束录制等功能；支持当接入匹配教室内的物联产品时，可视化显示物联设备且可进行应用场景化管理；投标文件中提供具有CMA标识的符合本项要求的检验检测报告电子件。</w:t>
      </w:r>
      <w:r/>
    </w:p>
    <w:p>
      <w:pPr>
        <w:spacing w:line="360" w:lineRule="auto"/>
        <w:rPr>
          <w:rFonts w:ascii="宋体" w:hAnsi="宋体" w:cs="宋体"/>
          <w:sz w:val="24"/>
          <w:szCs w:val="24"/>
        </w:rPr>
      </w:pPr>
      <w:r>
        <w:rPr>
          <w:rFonts w:hint="eastAsia" w:ascii="宋体" w:hAnsi="宋体" w:cs="宋体"/>
          <w:sz w:val="24"/>
          <w:szCs w:val="24"/>
        </w:rPr>
        <w:t xml:space="preserve">12、讲台机柜门采用大面积散热孔设计，易于柜内设备的通风散热，避免设备损坏。</w:t>
      </w:r>
      <w:r/>
    </w:p>
    <w:p>
      <w:pPr>
        <w:spacing w:line="360" w:lineRule="auto"/>
        <w:rPr>
          <w:rFonts w:ascii="宋体" w:hAnsi="宋体" w:cs="宋体"/>
          <w:sz w:val="24"/>
          <w:szCs w:val="24"/>
        </w:rPr>
      </w:pPr>
      <w:r>
        <w:rPr>
          <w:rFonts w:hint="eastAsia" w:ascii="宋体" w:hAnsi="宋体" w:cs="宋体"/>
          <w:sz w:val="24"/>
          <w:szCs w:val="24"/>
        </w:rPr>
        <w:t xml:space="preserve">13、讲台左侧边配置内嵌式铝合金材质可回弹衣帽钩，表面光滑，做工精细，不突兀，使用时拉开挂勾即可，承重可支持不低于10kg。讲台右侧边配置金属材质水杯支架，方便使用。</w:t>
      </w:r>
      <w:r/>
    </w:p>
    <w:p>
      <w:pPr>
        <w:spacing w:line="360" w:lineRule="auto"/>
        <w:rPr>
          <w:rFonts w:ascii="宋体" w:hAnsi="宋体" w:cs="宋体"/>
          <w:sz w:val="24"/>
          <w:szCs w:val="24"/>
        </w:rPr>
      </w:pPr>
      <w:r>
        <w:rPr>
          <w:rFonts w:hint="eastAsia" w:ascii="宋体" w:hAnsi="宋体" w:cs="宋体"/>
          <w:sz w:val="24"/>
          <w:szCs w:val="24"/>
        </w:rPr>
        <w:t xml:space="preserve">14、讲台底部预留脚部空间，内侧采用活动式挡板设计，避免线材外漏，防止老鼠啃咬。</w:t>
      </w:r>
      <w:r/>
    </w:p>
    <w:p>
      <w:pPr>
        <w:spacing w:line="360" w:lineRule="auto"/>
        <w:rPr>
          <w:rFonts w:ascii="宋体" w:hAnsi="宋体" w:cs="宋体"/>
          <w:sz w:val="24"/>
          <w:szCs w:val="24"/>
        </w:rPr>
      </w:pPr>
      <w:r>
        <w:rPr>
          <w:rFonts w:hint="eastAsia" w:ascii="宋体" w:hAnsi="宋体" w:cs="宋体"/>
          <w:sz w:val="24"/>
          <w:szCs w:val="24"/>
        </w:rPr>
        <w:t xml:space="preserve">参考图片：</w:t>
      </w:r>
      <w:r/>
    </w:p>
    <w:p>
      <w:pPr>
        <w:spacing w:line="360" w:lineRule="auto"/>
        <w:rPr>
          <w:rFonts w:ascii="宋体" w:hAnsi="宋体" w:cs="宋体"/>
          <w:b/>
          <w:bCs/>
          <w:sz w:val="24"/>
          <w:szCs w:val="24"/>
        </w:rPr>
      </w:pPr>
      <w:r>
        <w:rPr>
          <w:rFonts w:hint="eastAsia" w:ascii="宋体" w:hAnsi="宋体" w:cs="宋体"/>
        </w:rPr>
        <mc:AlternateContent>
          <mc:Choice Requires="wpg">
            <w:drawing>
              <wp:inline xmlns:wp="http://schemas.openxmlformats.org/drawingml/2006/wordprocessingDrawing" distT="0" distB="0" distL="0" distR="0">
                <wp:extent cx="2426335" cy="2360930"/>
                <wp:effectExtent l="0" t="0" r="12065" b="127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5"/>
                        <pic:cNvPicPr>
                          <a:picLocks noChangeAspect="1"/>
                        </pic:cNvPicPr>
                        <pic:nvPr/>
                      </pic:nvPicPr>
                      <pic:blipFill>
                        <a:blip r:embed="rId15"/>
                        <a:stretch/>
                      </pic:blipFill>
                      <pic:spPr bwMode="auto">
                        <a:xfrm>
                          <a:off x="0" y="0"/>
                          <a:ext cx="2426335" cy="2360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1.0pt;height:185.9pt;mso-wrap-distance-left:0.0pt;mso-wrap-distance-top:0.0pt;mso-wrap-distance-right:0.0pt;mso-wrap-distance-bottom:0.0pt;" stroked="f">
                <v:path textboxrect="0,0,0,0"/>
                <v:imagedata r:id="rId15" o:title=""/>
              </v:shape>
            </w:pict>
          </mc:Fallback>
        </mc:AlternateConten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（二）教师椅</w:t>
      </w:r>
      <w:r/>
    </w:p>
    <w:p>
      <w:pPr>
        <w:spacing w:line="360" w:lineRule="auto"/>
        <w:rPr>
          <w:rFonts w:ascii="宋体" w:hAnsi="宋体" w:cs="宋体"/>
          <w:sz w:val="24"/>
          <w:szCs w:val="24"/>
        </w:rPr>
      </w:pPr>
      <w:r>
        <w:rPr>
          <w:rFonts w:hint="eastAsia" w:ascii="宋体" w:hAnsi="宋体" w:cs="宋体"/>
          <w:sz w:val="24"/>
          <w:szCs w:val="24"/>
        </w:rPr>
        <w:t xml:space="preserve">1、尺寸‌：600*650*（1000-1070）mm，座面高度可调范围符合GB/T 3326-2016《家具桌、椅、凳类主要尺寸》标准。</w:t>
      </w:r>
      <w:r/>
    </w:p>
    <w:p>
      <w:pPr>
        <w:spacing w:line="360" w:lineRule="auto"/>
        <w:rPr>
          <w:rFonts w:ascii="宋体" w:hAnsi="宋体" w:cs="宋体"/>
          <w:sz w:val="24"/>
          <w:szCs w:val="24"/>
        </w:rPr>
      </w:pPr>
      <w:r>
        <w:rPr>
          <w:rFonts w:hint="eastAsia" w:ascii="宋体" w:hAnsi="宋体" w:cs="宋体"/>
          <w:sz w:val="24"/>
          <w:szCs w:val="24"/>
        </w:rPr>
        <w:t xml:space="preserve">2、靠背材质‌：优质弹力网布，编织密度≥200孔/平方英寸，透气率≥1500L/m²/s，通过ISO 4915:1991《纺织品 透气性测定》测试。</w:t>
      </w:r>
      <w:r/>
    </w:p>
    <w:p>
      <w:pPr>
        <w:spacing w:line="360" w:lineRule="auto"/>
        <w:rPr>
          <w:rFonts w:ascii="宋体" w:hAnsi="宋体" w:cs="宋体"/>
          <w:sz w:val="24"/>
          <w:szCs w:val="24"/>
        </w:rPr>
      </w:pPr>
      <w:r>
        <w:rPr>
          <w:rFonts w:hint="eastAsia" w:ascii="宋体" w:hAnsi="宋体" w:cs="宋体"/>
          <w:sz w:val="24"/>
          <w:szCs w:val="24"/>
        </w:rPr>
        <w:t xml:space="preserve">3、▲座垫材质‌：高密度定型海绵，厚度≥80mm，密度≥45kg/m³，回弹率≥65%（按GB/T 10807-2006《软质泡沫聚合材料 硬质泡沫塑料压缩永久变形试验方法》测试）；投标文件中提供具有CMA标识的符合本项要求的检验检测报告电子件。</w:t>
      </w:r>
      <w:r/>
    </w:p>
    <w:p>
      <w:pPr>
        <w:spacing w:line="360" w:lineRule="auto"/>
        <w:rPr>
          <w:rFonts w:ascii="宋体" w:hAnsi="宋体" w:cs="宋体"/>
          <w:sz w:val="24"/>
          <w:szCs w:val="24"/>
        </w:rPr>
      </w:pPr>
      <w:r>
        <w:rPr>
          <w:rFonts w:hint="eastAsia" w:ascii="宋体" w:hAnsi="宋体" w:cs="宋体"/>
          <w:sz w:val="24"/>
          <w:szCs w:val="24"/>
        </w:rPr>
        <w:t xml:space="preserve">4、扶手‌：黑色连体扶手，材质为PC材质，表面硬度≥3H（按ASTM D3363-05《铅笔硬度测试》），通过10万次往复摆动测试（摆动角度±15°，频率1Hz）。</w:t>
      </w:r>
      <w:r/>
    </w:p>
    <w:p>
      <w:pPr>
        <w:spacing w:line="360" w:lineRule="auto"/>
        <w:rPr>
          <w:rFonts w:ascii="宋体" w:hAnsi="宋体" w:cs="宋体"/>
          <w:sz w:val="24"/>
          <w:szCs w:val="24"/>
        </w:rPr>
      </w:pPr>
      <w:r>
        <w:rPr>
          <w:rFonts w:hint="eastAsia" w:ascii="宋体" w:hAnsi="宋体" w:cs="宋体"/>
          <w:sz w:val="24"/>
          <w:szCs w:val="24"/>
        </w:rPr>
        <w:t xml:space="preserve">5、脚‌：R320黑色PP脚，通过GB/T 10357.3-2013《家具力学性能试验 第3部分：椅凳类稳定性》静压测试（载荷100kg，持续时间24h无变形）；轮‌：黑色PA轮，通过ISO 14041:1996《声学 环境噪声的测量》滚动噪音测试（≤45dB），耐磨性测试（5000次循环后磨损量≤0.5mm）。</w:t>
      </w:r>
      <w:r/>
    </w:p>
    <w:p>
      <w:pPr>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6、★底盘‌：加厚≥2.5mm钢板锁中班底盘，通过GB/T 10357.4-2013《家具力学性能试验 第4部分：椅凳类耐久性》疲劳测试（载荷100kg，循环次数10万次）。</w:t>
      </w:r>
      <w:r/>
    </w:p>
    <w:p>
      <w:pPr>
        <w:spacing w:line="360" w:lineRule="auto"/>
        <w:rPr>
          <w:rFonts w:ascii="宋体" w:hAnsi="宋体" w:cs="宋体"/>
          <w:sz w:val="24"/>
          <w:szCs w:val="24"/>
        </w:rPr>
      </w:pPr>
      <w:r>
        <w:rPr>
          <w:rFonts w:hint="eastAsia" w:ascii="宋体" w:hAnsi="宋体" w:cs="宋体"/>
          <w:sz w:val="24"/>
          <w:szCs w:val="24"/>
        </w:rPr>
        <w:t xml:space="preserve">7、气杆‌：黑色85气杆，通过BIFMA X5.1-2017《办公椅》10万次升降循环测试，防爆等级≥Class4。</w:t>
      </w:r>
      <w:r/>
    </w:p>
    <w:p>
      <w:pPr>
        <w:spacing w:line="360" w:lineRule="auto"/>
        <w:rPr>
          <w:rFonts w:ascii="宋体" w:hAnsi="宋体" w:cs="宋体"/>
          <w:sz w:val="24"/>
          <w:szCs w:val="24"/>
        </w:rPr>
      </w:pPr>
      <w:r>
        <w:rPr>
          <w:rFonts w:hint="eastAsia" w:ascii="宋体" w:hAnsi="宋体" w:cs="宋体"/>
          <w:sz w:val="24"/>
          <w:szCs w:val="24"/>
        </w:rPr>
        <w:t xml:space="preserve">参考图片：</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2058670" cy="2058670"/>
                <wp:effectExtent l="0" t="0" r="17780" b="17780"/>
                <wp:docPr id="5" name="图片 6" descr="6a0b716dd68de909560f00ddbec4f3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6" descr="6a0b716dd68de909560f00ddbec4f31f"/>
                        <pic:cNvPicPr>
                          <a:picLocks noChangeAspect="1"/>
                        </pic:cNvPicPr>
                        <pic:nvPr/>
                      </pic:nvPicPr>
                      <pic:blipFill>
                        <a:blip r:embed="rId16"/>
                        <a:stretch/>
                      </pic:blipFill>
                      <pic:spPr bwMode="auto">
                        <a:xfrm>
                          <a:off x="0" y="0"/>
                          <a:ext cx="2058670" cy="2058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2.1pt;height:162.1pt;mso-wrap-distance-left:0.0pt;mso-wrap-distance-top:0.0pt;mso-wrap-distance-right:0.0pt;mso-wrap-distance-bottom:0.0pt;" stroked="f">
                <v:path textboxrect="0,0,0,0"/>
                <v:imagedata r:id="rId16" o:title=""/>
              </v:shape>
            </w:pict>
          </mc:Fallback>
        </mc:AlternateConten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（三）、学生电脑桌</w:t>
      </w:r>
      <w:r/>
    </w:p>
    <w:p>
      <w:pPr>
        <w:spacing w:line="360" w:lineRule="auto"/>
        <w:rPr>
          <w:rFonts w:ascii="宋体" w:hAnsi="宋体" w:cs="宋体"/>
          <w:sz w:val="24"/>
          <w:szCs w:val="24"/>
        </w:rPr>
      </w:pPr>
      <w:r>
        <w:rPr>
          <w:rFonts w:hint="eastAsia" w:ascii="宋体" w:hAnsi="宋体" w:cs="宋体"/>
          <w:sz w:val="24"/>
          <w:szCs w:val="24"/>
        </w:rPr>
        <w:t xml:space="preserve">1、尺寸:800*600*750mm。</w:t>
      </w:r>
      <w:r/>
    </w:p>
    <w:p>
      <w:pPr>
        <w:spacing w:line="360" w:lineRule="auto"/>
        <w:rPr>
          <w:rFonts w:ascii="宋体" w:hAnsi="宋体" w:cs="宋体"/>
          <w:sz w:val="24"/>
          <w:szCs w:val="24"/>
          <w:highlight w:val="yellow"/>
        </w:rPr>
      </w:pPr>
      <w:r>
        <w:rPr>
          <w:rFonts w:hint="eastAsia" w:ascii="宋体" w:hAnsi="宋体" w:cs="宋体"/>
          <w:sz w:val="24"/>
          <w:szCs w:val="24"/>
        </w:rPr>
        <w:t xml:space="preserve">2、桌面采用厚度≥25mm环保E0级高能板, 前鸭嘴后圆形设计，无开裂变形，生态环保无污染。</w:t>
      </w:r>
      <w:r/>
    </w:p>
    <w:p>
      <w:pPr>
        <w:spacing w:line="360" w:lineRule="auto"/>
        <w:rPr>
          <w:rFonts w:ascii="宋体" w:hAnsi="宋体" w:cs="宋体"/>
          <w:sz w:val="24"/>
          <w:szCs w:val="24"/>
          <w:highlight w:val="none"/>
        </w:rPr>
      </w:pPr>
      <w:r>
        <w:rPr>
          <w:rFonts w:hint="eastAsia" w:ascii="宋体" w:hAnsi="宋体" w:cs="宋体"/>
          <w:sz w:val="24"/>
          <w:szCs w:val="24"/>
        </w:rPr>
        <w:t xml:space="preserve">3、▲桌面环保性能---检测依据QB/T2761-2024《室内空气净化产品净化效果测定方法》，甲醛去除率≥60%、甲苯去除率≥20</w:t>
      </w:r>
      <w:r>
        <w:rPr>
          <w:rFonts w:hint="eastAsia" w:ascii="宋体" w:hAnsi="宋体" w:cs="宋体"/>
          <w:sz w:val="24"/>
          <w:szCs w:val="24"/>
          <w:highlight w:val="none"/>
        </w:rPr>
        <w:t xml:space="preserve">%；投标文件中提供具有CMA标识的符合本项要求的检验检测报告电子件。</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4、▲桌面放射性核素限量为内照射指数IRa≤0.8和外照射指数Iy≤1.0，投标文件中提供具有CMA标识的符合本项要求的检验检测报告电子件。</w:t>
      </w:r>
      <w:r/>
    </w:p>
    <w:p>
      <w:pPr>
        <w:spacing w:line="360" w:lineRule="auto"/>
        <w:rPr>
          <w:rFonts w:ascii="宋体" w:hAnsi="宋体" w:cs="宋体"/>
          <w:b/>
          <w:bCs/>
          <w:sz w:val="24"/>
          <w:szCs w:val="24"/>
        </w:rPr>
      </w:pPr>
      <w:r>
        <w:rPr>
          <w:rFonts w:hint="eastAsia" w:ascii="宋体" w:hAnsi="宋体" w:cs="宋体"/>
          <w:b/>
          <w:bCs/>
          <w:i/>
          <w:iCs/>
          <w:sz w:val="24"/>
          <w:szCs w:val="24"/>
          <w:u w:val="single"/>
        </w:rPr>
        <w:t xml:space="preserve">5、★桌钢架采用≥15mm*50mm，壁厚≥1.2mm优质冷轧钢板弯曲成型，造型成半碟状，左右两侧可安装主机托或云终端，钢管经环氧聚酯塑粉静电喷塑处理。</w:t>
      </w:r>
      <w:r/>
    </w:p>
    <w:p>
      <w:pPr>
        <w:jc w:val="left"/>
        <w:spacing w:line="360" w:lineRule="auto"/>
        <w:rPr>
          <w:rFonts w:ascii="宋体" w:hAnsi="宋体" w:cs="宋体"/>
        </w:rPr>
      </w:pPr>
      <w:r>
        <w:rPr>
          <w:rFonts w:hint="eastAsia" w:ascii="宋体" w:hAnsi="宋体" w:cs="宋体"/>
          <w:sz w:val="24"/>
          <w:szCs w:val="24"/>
        </w:rPr>
        <w:t xml:space="preserve">6、▲桌钢架喷塑涂层硬度为5H，经耐腐蚀试验后无鼓泡产生、无锈迹、剥落、起皱、变色和失光等现象，附着力1级，可溶性重金属（铅、镉、铬、汞均未检出）未检出，投标文件中提供具有CMA标识的符合本项要求的检验检测报告电子件。</w:t>
      </w:r>
      <w:r/>
    </w:p>
    <w:p>
      <w:pPr>
        <w:jc w:val="left"/>
        <w:spacing w:line="360" w:lineRule="auto"/>
        <w:rPr>
          <w:rFonts w:ascii="宋体" w:hAnsi="宋体" w:cs="宋体"/>
          <w:sz w:val="24"/>
          <w:szCs w:val="24"/>
        </w:rPr>
      </w:pPr>
      <w:r>
        <w:rPr>
          <w:rFonts w:hint="eastAsia" w:ascii="宋体" w:hAnsi="宋体" w:cs="宋体"/>
          <w:b/>
          <w:bCs/>
          <w:sz w:val="24"/>
          <w:szCs w:val="24"/>
        </w:rPr>
        <w:t xml:space="preserve">7、</w:t>
      </w:r>
      <w:r>
        <w:rPr>
          <w:rFonts w:hint="eastAsia" w:ascii="宋体" w:hAnsi="宋体" w:cs="宋体"/>
          <w:sz w:val="24"/>
          <w:szCs w:val="24"/>
        </w:rPr>
        <w:t xml:space="preserve">主机放置区密闭，主机柜采用优质冷轧钢板,钢板厚度≥0.8mm，采用激光切割设备裁剪，二氧化碳保护焊满焊，表面经脱脂、陶化、水洗等环保工艺处理后再经环氧聚酯塑粉静电喷塑。</w:t>
      </w:r>
      <w:r/>
    </w:p>
    <w:p>
      <w:pPr>
        <w:spacing w:line="360" w:lineRule="auto"/>
        <w:rPr>
          <w:rFonts w:ascii="宋体" w:hAnsi="宋体" w:cs="宋体"/>
          <w:sz w:val="24"/>
          <w:szCs w:val="24"/>
        </w:rPr>
      </w:pPr>
      <w:r>
        <w:rPr>
          <w:rFonts w:hint="eastAsia" w:ascii="宋体" w:hAnsi="宋体" w:cs="宋体"/>
          <w:sz w:val="24"/>
          <w:szCs w:val="24"/>
        </w:rPr>
        <w:t xml:space="preserve">8、主机柜设有冷轧板槽便于走线，避免线材外漏，防止老鼠啃咬，机柜内径高度≥450mm*宽度250mm，机柜采用双开式带门设计，只需要一把锁管理，方便后期维护，机柜门采用大面积散热孔设计，易于柜内设备的通风散热，避免设备损坏。</w:t>
      </w:r>
      <w:r/>
    </w:p>
    <w:p>
      <w:pPr>
        <w:pStyle w:val="789"/>
        <w:ind w:firstLine="0"/>
        <w:spacing w:line="360" w:lineRule="auto"/>
        <w:rPr>
          <w:rFonts w:ascii="宋体" w:hAnsi="宋体" w:cs="宋体"/>
          <w:szCs w:val="24"/>
        </w:rPr>
      </w:pPr>
      <w:r>
        <w:rPr>
          <w:rFonts w:hint="eastAsia" w:ascii="宋体" w:hAnsi="宋体" w:cs="宋体"/>
          <w:szCs w:val="24"/>
        </w:rPr>
        <w:t xml:space="preserve">9、电脑桌前面板右上方配置220V国标五插电源接口≥1个用于笔记本电脑取电、手机充电，同时配置网络接口RJ45≥1个。</w:t>
      </w:r>
      <w:r/>
    </w:p>
    <w:p>
      <w:pPr>
        <w:jc w:val="left"/>
        <w:spacing w:line="360" w:lineRule="auto"/>
        <w:rPr>
          <w:rFonts w:ascii="宋体" w:hAnsi="宋体" w:cs="宋体"/>
          <w:sz w:val="24"/>
          <w:szCs w:val="24"/>
        </w:rPr>
      </w:pPr>
      <w:r>
        <w:rPr>
          <w:rFonts w:hint="eastAsia" w:ascii="宋体" w:hAnsi="宋体" w:cs="宋体"/>
          <w:sz w:val="24"/>
          <w:szCs w:val="24"/>
        </w:rPr>
        <w:t xml:space="preserve">10、桌钢架底部配备可调节塑料脚垫，脚垫主体采用优质PP工程塑料，底层搭配橡胶防滑层，耐温-40°C至120°C，可调节高度范围10-30mm，具备防滑静音、防腐蚀等功能。</w:t>
      </w:r>
      <w:r/>
    </w:p>
    <w:p>
      <w:pPr>
        <w:jc w:val="left"/>
        <w:spacing w:line="360" w:lineRule="auto"/>
        <w:rPr>
          <w:rFonts w:ascii="宋体" w:hAnsi="宋体" w:cs="宋体"/>
          <w:sz w:val="24"/>
          <w:szCs w:val="24"/>
        </w:rPr>
      </w:pPr>
      <w:r>
        <w:rPr>
          <w:rFonts w:hint="eastAsia" w:ascii="宋体" w:hAnsi="宋体" w:cs="宋体"/>
          <w:sz w:val="24"/>
          <w:szCs w:val="24"/>
        </w:rPr>
        <w:t xml:space="preserve">参考图片：</w:t>
      </w:r>
      <w:r/>
    </w:p>
    <w:p>
      <w:pPr>
        <w:spacing w:line="360" w:lineRule="auto"/>
        <w:rPr>
          <w:rFonts w:ascii="宋体" w:hAnsi="宋体" w:cs="宋体"/>
          <w:b/>
          <w:bCs/>
          <w:sz w:val="24"/>
          <w:szCs w:val="24"/>
        </w:rPr>
      </w:pPr>
      <w:r>
        <w:rPr>
          <w:rFonts w:hint="eastAsia" w:ascii="宋体" w:hAnsi="宋体" w:cs="宋体"/>
        </w:rPr>
        <mc:AlternateContent>
          <mc:Choice Requires="wpg">
            <w:drawing>
              <wp:inline xmlns:wp="http://schemas.openxmlformats.org/drawingml/2006/wordprocessingDrawing" distT="0" distB="0" distL="0" distR="0">
                <wp:extent cx="1823720" cy="1322705"/>
                <wp:effectExtent l="0" t="0" r="5080" b="10795"/>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
                        <pic:cNvPicPr>
                          <a:picLocks noChangeAspect="1"/>
                        </pic:cNvPicPr>
                        <pic:nvPr/>
                      </pic:nvPicPr>
                      <pic:blipFill>
                        <a:blip r:embed="rId17"/>
                        <a:stretch/>
                      </pic:blipFill>
                      <pic:spPr bwMode="auto">
                        <a:xfrm>
                          <a:off x="0" y="0"/>
                          <a:ext cx="1823720" cy="1322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3.6pt;height:104.1pt;mso-wrap-distance-left:0.0pt;mso-wrap-distance-top:0.0pt;mso-wrap-distance-right:0.0pt;mso-wrap-distance-bottom:0.0pt;" stroked="f">
                <v:path textboxrect="0,0,0,0"/>
                <v:imagedata r:id="rId17" o:title=""/>
              </v:shape>
            </w:pict>
          </mc:Fallback>
        </mc:AlternateConten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（四）、</w:t>
      </w:r>
      <w:r>
        <w:rPr>
          <w:rFonts w:hint="eastAsia" w:ascii="宋体" w:hAnsi="宋体" w:cs="宋体"/>
          <w:b/>
          <w:bCs/>
          <w:color w:val="333333"/>
          <w:sz w:val="24"/>
          <w:szCs w:val="24"/>
          <w:lang w:bidi="ar"/>
        </w:rPr>
        <w:t xml:space="preserve">学生椅</w:t>
      </w:r>
      <w:r/>
    </w:p>
    <w:p>
      <w:pPr>
        <w:jc w:val="left"/>
        <w:spacing w:line="360" w:lineRule="auto"/>
        <w:widowControl/>
        <w:rPr>
          <w:rFonts w:ascii="宋体" w:hAnsi="宋体" w:cs="宋体"/>
          <w:sz w:val="24"/>
          <w:szCs w:val="24"/>
        </w:rPr>
      </w:pPr>
      <w:r>
        <w:rPr>
          <w:rFonts w:hint="eastAsia" w:ascii="宋体" w:hAnsi="宋体" w:cs="宋体"/>
          <w:color w:val="000000"/>
          <w:sz w:val="24"/>
          <w:szCs w:val="24"/>
          <w:lang w:bidi="ar"/>
        </w:rPr>
        <w:t xml:space="preserve">1、</w:t>
      </w:r>
      <w:r>
        <w:rPr>
          <w:rFonts w:hint="eastAsia" w:ascii="宋体" w:hAnsi="宋体" w:cs="宋体"/>
          <w:sz w:val="24"/>
          <w:szCs w:val="24"/>
        </w:rPr>
        <w:t xml:space="preserve">尺寸：</w:t>
      </w:r>
      <w:r>
        <w:rPr>
          <w:rFonts w:hint="eastAsia" w:ascii="宋体" w:hAnsi="宋体" w:cs="宋体"/>
          <w:color w:val="000000"/>
          <w:sz w:val="24"/>
          <w:szCs w:val="24"/>
          <w:lang w:bidi="ar"/>
        </w:rPr>
        <w:t xml:space="preserve">总深540mm*宽520mm*高860mm。</w:t>
      </w:r>
      <w:r/>
    </w:p>
    <w:p>
      <w:pPr>
        <w:jc w:val="left"/>
        <w:spacing w:line="360" w:lineRule="auto"/>
        <w:widowControl/>
        <w:rPr>
          <w:rFonts w:ascii="宋体" w:hAnsi="宋体" w:cs="宋体"/>
          <w:sz w:val="24"/>
          <w:szCs w:val="24"/>
          <w:lang w:bidi="ar"/>
        </w:rPr>
      </w:pPr>
      <w:r>
        <w:rPr>
          <w:rFonts w:hint="eastAsia" w:ascii="宋体" w:hAnsi="宋体" w:cs="宋体"/>
          <w:color w:val="000000"/>
          <w:sz w:val="24"/>
          <w:szCs w:val="24"/>
          <w:lang w:bidi="ar"/>
        </w:rPr>
        <w:t xml:space="preserve">2、椅座：采用聚丙烯加玻璃纤维全新材料模具一体成型制作，坐宽 445mm</w:t>
      </w:r>
      <w:r>
        <w:rPr>
          <w:rFonts w:hint="eastAsia" w:ascii="宋体" w:hAnsi="宋体" w:cs="宋体"/>
          <w:sz w:val="24"/>
          <w:szCs w:val="24"/>
          <w:lang w:bidi="ar"/>
        </w:rPr>
        <w:t xml:space="preserve">，坐深420mm；座面安装高度440mm，椅面正面做355mm宽*400mm 深装饰沟槽面；滑动面设有≥18个滑槽，滑槽垂直地面高度≤9mm。背面配75*20mmPP材质弧型螺丝闷盖。</w:t>
      </w:r>
      <w:r/>
    </w:p>
    <w:p>
      <w:pPr>
        <w:jc w:val="left"/>
        <w:spacing w:line="360" w:lineRule="auto"/>
        <w:widowControl/>
        <w:rPr>
          <w:rFonts w:ascii="宋体" w:hAnsi="宋体" w:cs="宋体"/>
          <w:sz w:val="24"/>
          <w:szCs w:val="24"/>
        </w:rPr>
      </w:pPr>
      <w:r>
        <w:rPr>
          <w:rFonts w:hint="eastAsia" w:ascii="宋体" w:hAnsi="宋体" w:cs="宋体"/>
          <w:sz w:val="24"/>
          <w:szCs w:val="24"/>
          <w:lang w:bidi="ar"/>
        </w:rPr>
        <w:t xml:space="preserve">3、椅背：采用聚丙烯加玻璃纤维全新材料模具一体成型制作，背宽415mm，背高440mm；椅背正面设有宽325mm高345mm防滑透气面，防滑透气面设有≥34根宽度1.5*0.5mm的筋位，防滑透气。背部设有≥宽265mm*高120mm*深30mm滑动面，通过90mm*45mm*30mm塑料成型活动件、φ7*105mm 圆钢、螺丝与椅背固定连接，滑槽水平方向深度不小于25mm，内置双弹簧机构，</w:t>
      </w:r>
      <w:r>
        <w:rPr>
          <w:rFonts w:hint="eastAsia" w:ascii="宋体" w:hAnsi="宋体" w:cs="宋体"/>
          <w:color w:val="000000"/>
          <w:sz w:val="24"/>
          <w:szCs w:val="24"/>
          <w:lang w:bidi="ar"/>
        </w:rPr>
        <w:t xml:space="preserve">与使用者背部实时联动，调节角度7-10度。 </w:t>
      </w:r>
      <w:r/>
    </w:p>
    <w:p>
      <w:pPr>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4、★椅脚：采用优质圆管≥φ16mm*1.5mm厚；各金属件进行打磨、去油、酸洗、磷化、清洗、防锈等工艺处理后，通过粉沫喷涂设备进行静电喷塑，防锈防腐蚀；地脚配有4个优质PP材质脚垫。 </w:t>
      </w:r>
      <w:r/>
    </w:p>
    <w:p>
      <w:pPr>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5、 塑料件外观应无裂纹、明显变形、缩水、针孔；应无凹陷、飞边、 杂质、伤痕、白印；表面应光洁，应无划痕、毛刺、拉毛、污渍；应无明显色差。</w:t>
      </w:r>
      <w:r/>
    </w:p>
    <w:p>
      <w:pPr>
        <w:jc w:val="left"/>
        <w:spacing w:line="360" w:lineRule="auto"/>
        <w:rPr>
          <w:rFonts w:ascii="宋体" w:hAnsi="宋体" w:cs="宋体"/>
          <w:sz w:val="24"/>
          <w:szCs w:val="24"/>
        </w:rPr>
      </w:pPr>
      <w:r>
        <w:rPr>
          <w:rFonts w:hint="eastAsia" w:ascii="宋体" w:hAnsi="宋体" w:cs="宋体"/>
          <w:color w:val="000000"/>
          <w:sz w:val="24"/>
          <w:szCs w:val="24"/>
          <w:lang w:bidi="ar"/>
        </w:rPr>
        <w:t xml:space="preserve">6、</w:t>
      </w:r>
      <w:r>
        <w:rPr>
          <w:rFonts w:hint="eastAsia" w:ascii="宋体" w:hAnsi="宋体" w:cs="宋体"/>
          <w:sz w:val="24"/>
          <w:szCs w:val="24"/>
        </w:rPr>
        <w:t xml:space="preserve">▲PP塑料:依据GB/T 31402-2023《塑料和其他无孔材料表面抗菌活性的测定》、GB/T 24128-2018《塑料 塑料防霉剂的防霉效果评估》、GB/T 32487-2016《塑料家具通用技术条件》，关于抗菌率≥99%（不少于五个菌种）、防霉等级（菌种：出芽短梗霉、腊叶芽</w:t>
      </w:r>
      <w:r>
        <w:rPr>
          <w:rFonts w:hint="eastAsia" w:ascii="宋体" w:hAnsi="宋体" w:cs="宋体"/>
          <w:sz w:val="24"/>
          <w:szCs w:val="24"/>
        </w:rPr>
        <w:t xml:space="preserve">枝霉、桔青霉、链格孢、黑曲霉、宛氏拟青霉、绳状青霉 ）0级或1级、感官要求（感官：色泽正常，无异臭、不洁物等；浸泡液：迁移试验所得浸泡液无浑浊、沉淀、异臭等感官性能的劣变） 、总迁移量-4%乙酸（体积分数），40℃，10d检验结果≤1.5mg/d㎡、耐老化性（外观颜色变化评级≥3级，冲击强度的保持率≥60%）、邻苯二甲酸酯总量≤0.1%、18种多环芳烃（PAH）总量≤10mg/kg、多溴联苯≤1000mg/kg、多溴二苯醚≤1000mg/kg。投标文件中提供具有CMA标识的符合本项要求的检验检测报告电子件。</w:t>
      </w:r>
      <w:r/>
    </w:p>
    <w:p>
      <w:pPr>
        <w:jc w:val="left"/>
        <w:spacing w:line="360" w:lineRule="auto"/>
        <w:rPr>
          <w:rFonts w:ascii="宋体" w:hAnsi="宋体" w:cs="宋体"/>
          <w:sz w:val="24"/>
          <w:szCs w:val="24"/>
        </w:rPr>
      </w:pPr>
      <w:r>
        <w:rPr>
          <w:rFonts w:hint="eastAsia" w:ascii="宋体" w:hAnsi="宋体" w:cs="宋体"/>
          <w:sz w:val="24"/>
          <w:szCs w:val="24"/>
        </w:rPr>
        <w:t xml:space="preserve">参考图片：</w:t>
      </w:r>
      <w:r/>
    </w:p>
    <w:p>
      <w:pPr>
        <w:jc w:val="left"/>
        <w:spacing w:line="360" w:lineRule="auto"/>
        <w:rPr>
          <w:rFonts w:ascii="宋体" w:hAnsi="宋体" w:cs="宋体"/>
          <w:b/>
          <w:bCs/>
          <w:sz w:val="24"/>
          <w:szCs w:val="24"/>
        </w:rPr>
      </w:pPr>
      <w:r>
        <w:rPr>
          <w:rFonts w:ascii="宋体" w:hAnsi="宋体" w:cs="宋体"/>
          <w:b/>
          <w:bCs/>
          <w:sz w:val="24"/>
          <w:szCs w:val="24"/>
        </w:rPr>
      </w:r>
      <w:r/>
    </w:p>
    <w:p>
      <w:pPr>
        <w:rPr>
          <w:rFonts w:ascii="仿宋" w:hAnsi="仿宋" w:eastAsia="仿宋" w:cs="仿宋"/>
          <w:sz w:val="24"/>
          <w:szCs w:val="24"/>
        </w:rPr>
      </w:pPr>
      <w:r>
        <w:rPr>
          <w:rFonts w:ascii="仿宋" w:hAnsi="仿宋" w:eastAsia="仿宋" w:cs="仿宋"/>
          <w:sz w:val="24"/>
          <w:szCs w:val="24"/>
        </w:rPr>
      </w:r>
      <w:r/>
    </w:p>
    <w:p>
      <w:pPr>
        <w:widowControl/>
        <w:rPr>
          <w:rFonts w:ascii="仿宋" w:hAnsi="仿宋" w:eastAsia="仿宋" w:cs="仿宋"/>
          <w:sz w:val="28"/>
          <w:szCs w:val="28"/>
        </w:rPr>
      </w:pPr>
      <w:r>
        <w:rPr>
          <w:rFonts w:hint="eastAsia" w:ascii="仿宋" w:hAnsi="仿宋" w:eastAsia="仿宋" w:cs="仿宋"/>
          <w:b/>
          <w:bCs/>
        </w:rPr>
        <mc:AlternateContent>
          <mc:Choice Requires="wpg">
            <w:drawing>
              <wp:inline xmlns:wp="http://schemas.openxmlformats.org/drawingml/2006/wordprocessingDrawing" distT="0" distB="0" distL="0" distR="0">
                <wp:extent cx="1886585" cy="2232660"/>
                <wp:effectExtent l="0" t="0" r="18415" b="15240"/>
                <wp:docPr id="7" name="图片 8" descr="2aba3a046f8970bb1da1a29dc104ca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 descr="2aba3a046f8970bb1da1a29dc104caf8"/>
                        <pic:cNvPicPr>
                          <a:picLocks noChangeAspect="1"/>
                        </pic:cNvPicPr>
                        <pic:nvPr/>
                      </pic:nvPicPr>
                      <pic:blipFill>
                        <a:blip r:embed="rId18"/>
                        <a:stretch/>
                      </pic:blipFill>
                      <pic:spPr bwMode="auto">
                        <a:xfrm>
                          <a:off x="0" y="0"/>
                          <a:ext cx="1886585" cy="2232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48.5pt;height:175.8pt;mso-wrap-distance-left:0.0pt;mso-wrap-distance-top:0.0pt;mso-wrap-distance-right:0.0pt;mso-wrap-distance-bottom:0.0pt;" stroked="f">
                <v:path textboxrect="0,0,0,0"/>
                <v:imagedata r:id="rId18" o:title=""/>
              </v:shape>
            </w:pict>
          </mc:Fallback>
        </mc:AlternateContent>
      </w:r>
      <w:r/>
    </w:p>
    <w:p>
      <w:pPr>
        <w:rPr>
          <w:rFonts w:ascii="仿宋" w:hAnsi="仿宋" w:eastAsia="仿宋" w:cs="仿宋"/>
          <w:b/>
          <w:bCs/>
        </w:rPr>
      </w:pPr>
      <w:r>
        <w:rPr>
          <w:rFonts w:ascii="仿宋" w:hAnsi="仿宋" w:eastAsia="仿宋" w:cs="仿宋"/>
          <w:b/>
          <w:bCs/>
        </w:rPr>
      </w:r>
      <w:r/>
    </w:p>
    <w:p>
      <w:pPr>
        <w:jc w:val="left"/>
        <w:rPr>
          <w:rFonts w:ascii="宋体" w:hAnsi="宋体"/>
          <w:b/>
          <w:color w:val="000000"/>
          <w:sz w:val="24"/>
          <w:szCs w:val="24"/>
        </w:rPr>
      </w:pPr>
      <w:r>
        <w:rPr>
          <w:rFonts w:hint="eastAsia" w:ascii="宋体" w:hAnsi="宋体"/>
          <w:b/>
          <w:color w:val="000000"/>
          <w:sz w:val="24"/>
          <w:szCs w:val="24"/>
        </w:rPr>
        <w:t xml:space="preserve">备注：</w:t>
      </w:r>
      <w:r/>
    </w:p>
    <w:p>
      <w:pPr>
        <w:ind w:firstLine="480"/>
        <w:rPr>
          <w:color w:val="000000"/>
          <w:sz w:val="20"/>
          <w:szCs w:val="21"/>
        </w:rPr>
      </w:pPr>
      <w:r>
        <w:rPr>
          <w:rFonts w:hint="eastAsia" w:ascii="宋体" w:hAnsi="宋体" w:cs="宋体"/>
          <w:color w:val="000000"/>
          <w:sz w:val="24"/>
        </w:rPr>
        <w:t xml:space="preserve">1.</w:t>
      </w:r>
      <w:r>
        <w:rPr>
          <w:rFonts w:ascii="宋体" w:hAnsi="宋体" w:cs="宋体"/>
          <w:color w:val="000000"/>
          <w:sz w:val="24"/>
          <w:szCs w:val="21"/>
        </w:rPr>
        <w:t xml:space="preserve">家具颜色：中标单位在中标后提供色板给甲方，按甲方选定的颜色生产。</w:t>
      </w:r>
      <w:r/>
    </w:p>
    <w:p>
      <w:pPr>
        <w:ind w:firstLine="480"/>
        <w:jc w:val="left"/>
        <w:spacing w:line="431" w:lineRule="exact"/>
        <w:rPr>
          <w:color w:val="000000"/>
        </w:rPr>
      </w:pPr>
      <w:r>
        <w:rPr>
          <w:rFonts w:hint="eastAsia" w:ascii="宋体" w:hAnsi="宋体" w:cs="宋体"/>
          <w:color w:val="000000"/>
          <w:sz w:val="24"/>
        </w:rPr>
        <w:t xml:space="preserve">2</w:t>
      </w:r>
      <w:r>
        <w:rPr>
          <w:rFonts w:ascii="宋体" w:hAnsi="宋体" w:cs="宋体"/>
          <w:color w:val="000000"/>
          <w:sz w:val="24"/>
        </w:rPr>
        <w:t xml:space="preserve">.中标单位在中标后自行复核现场实际尺寸及家具方向</w:t>
      </w:r>
      <w:r>
        <w:rPr>
          <w:rFonts w:hint="eastAsia" w:ascii="宋体" w:hAnsi="宋体" w:cs="宋体"/>
          <w:color w:val="000000"/>
          <w:sz w:val="24"/>
        </w:rPr>
        <w:t xml:space="preserve">，确保家具能够正常安装</w:t>
      </w:r>
      <w:r>
        <w:rPr>
          <w:rFonts w:ascii="宋体" w:hAnsi="宋体" w:cs="宋体"/>
          <w:color w:val="000000"/>
          <w:sz w:val="24"/>
        </w:rPr>
        <w:t xml:space="preserve">。</w:t>
      </w:r>
      <w:r/>
    </w:p>
    <w:p>
      <w:pPr>
        <w:ind w:firstLine="480"/>
        <w:jc w:val="left"/>
        <w:spacing w:line="431" w:lineRule="exact"/>
        <w:rPr>
          <w:color w:val="000000"/>
        </w:rPr>
      </w:pPr>
      <w:r>
        <w:rPr>
          <w:rFonts w:hint="eastAsia" w:ascii="宋体" w:hAnsi="宋体" w:cs="宋体"/>
          <w:color w:val="000000"/>
          <w:sz w:val="24"/>
        </w:rPr>
        <w:t xml:space="preserve">3</w:t>
      </w:r>
      <w:r>
        <w:rPr>
          <w:rFonts w:ascii="宋体" w:hAnsi="宋体" w:cs="宋体"/>
          <w:color w:val="000000"/>
          <w:sz w:val="24"/>
        </w:rPr>
        <w:t xml:space="preserve">.所有供应商提供的家具及原材料须达到或优于国家相关标准</w:t>
      </w:r>
      <w:r>
        <w:rPr>
          <w:rFonts w:hint="eastAsia" w:ascii="宋体" w:hAnsi="宋体" w:cs="宋体"/>
          <w:color w:val="000000"/>
          <w:sz w:val="24"/>
        </w:rPr>
        <w:t xml:space="preserve">及招标文件</w:t>
      </w:r>
      <w:r>
        <w:rPr>
          <w:rFonts w:ascii="宋体" w:hAnsi="宋体" w:cs="宋体"/>
          <w:color w:val="000000"/>
          <w:sz w:val="24"/>
        </w:rPr>
        <w:t xml:space="preserve">的要求。</w:t>
      </w:r>
      <w:r/>
    </w:p>
    <w:p>
      <w:pPr>
        <w:ind w:firstLine="480"/>
        <w:jc w:val="left"/>
        <w:spacing w:line="431"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.投标人应在投标文件中注明投标家具中使用的主要原材料品牌、家具尺寸。</w:t>
      </w:r>
      <w:r/>
    </w:p>
    <w:p>
      <w:pPr>
        <w:numPr>
          <w:ilvl w:val="12"/>
          <w:numId w:val="0"/>
        </w:numPr>
        <w:spacing w:line="440" w:lineRule="exact"/>
        <w:rPr>
          <w:rFonts w:ascii="宋体" w:hAnsi="宋体"/>
          <w:b/>
          <w:color w:val="000000"/>
          <w:sz w:val="24"/>
        </w:rPr>
      </w:pPr>
      <w:r>
        <w:rPr>
          <w:rFonts w:ascii="宋体" w:hAnsi="宋体"/>
          <w:b/>
          <w:color w:val="000000"/>
          <w:sz w:val="24"/>
        </w:rPr>
      </w:r>
      <w:r/>
    </w:p>
    <w:p>
      <w:pPr>
        <w:spacing w:line="440" w:lineRule="exact"/>
        <w:rPr>
          <w:rFonts w:ascii="宋体" w:hAnsi="宋体"/>
          <w:b/>
          <w:color w:val="000000"/>
          <w:sz w:val="24"/>
        </w:rPr>
      </w:pPr>
      <w:r>
        <w:rPr>
          <w:rFonts w:hint="eastAsia" w:ascii="宋体" w:hAnsi="宋体"/>
          <w:b/>
          <w:color w:val="000000"/>
          <w:sz w:val="24"/>
        </w:rPr>
        <w:t xml:space="preserve">三、交付期、</w:t>
      </w:r>
      <w:r>
        <w:rPr>
          <w:rFonts w:hint="eastAsia" w:ascii="宋体" w:hAnsi="宋体" w:cs="宋体"/>
          <w:b/>
          <w:bCs/>
          <w:color w:val="000000"/>
          <w:sz w:val="24"/>
        </w:rPr>
        <w:t xml:space="preserve">交付地点</w:t>
      </w:r>
      <w:r>
        <w:rPr>
          <w:rFonts w:hint="eastAsia" w:ascii="宋体" w:hAnsi="宋体"/>
          <w:b/>
          <w:color w:val="000000"/>
          <w:sz w:val="24"/>
        </w:rPr>
        <w:t xml:space="preserve">及</w:t>
      </w:r>
      <w:r>
        <w:rPr>
          <w:rFonts w:hint="eastAsia" w:ascii="宋体" w:hAnsi="宋体" w:cs="宋体"/>
          <w:b/>
          <w:bCs/>
          <w:color w:val="000000"/>
          <w:sz w:val="24"/>
        </w:rPr>
        <w:t xml:space="preserve">质保期限</w:t>
      </w:r>
      <w:r>
        <w:rPr>
          <w:rFonts w:hint="eastAsia" w:ascii="宋体" w:hAnsi="宋体"/>
          <w:b/>
          <w:color w:val="000000"/>
          <w:sz w:val="24"/>
        </w:rPr>
        <w:t xml:space="preserve">等要求：</w:t>
      </w:r>
      <w:r/>
    </w:p>
    <w:p>
      <w:pPr>
        <w:ind w:firstLine="480"/>
        <w:spacing w:line="440" w:lineRule="exact"/>
        <w:rPr>
          <w:rFonts w:ascii="宋体" w:hAnsi="宋体"/>
          <w:color w:val="000000"/>
          <w:sz w:val="24"/>
          <w:u w:val="single"/>
        </w:rPr>
      </w:pPr>
      <w:r>
        <w:rPr>
          <w:rFonts w:hint="eastAsia" w:ascii="宋体" w:hAnsi="宋体" w:cs="宋体"/>
          <w:color w:val="000000"/>
          <w:sz w:val="24"/>
        </w:rPr>
        <w:t xml:space="preserve">1.交付期：</w:t>
      </w:r>
      <w:r>
        <w:rPr>
          <w:rFonts w:hint="eastAsia" w:ascii="宋体" w:hAnsi="宋体" w:eastAsia="宋体"/>
          <w:color w:val="000000"/>
          <w:sz w:val="24"/>
          <w:lang w:eastAsia="zh-CN"/>
        </w:rPr>
        <w:t xml:space="preserve">合同签订后20日历天内送到甲方指定地点存放，接到甲方通知10日内完成安装、调试、检测并经验收合格后交付甲方使用（含二次搬运费）</w:t>
      </w:r>
      <w:r>
        <w:rPr>
          <w:rFonts w:hint="eastAsia" w:ascii="宋体" w:hAnsi="宋体"/>
          <w:color w:val="000000"/>
          <w:sz w:val="24"/>
        </w:rPr>
        <w:t xml:space="preserve">。</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2.交付地点：采购人指定地点。</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3.质保期限：不少于</w:t>
      </w:r>
      <w:r>
        <w:rPr>
          <w:rFonts w:hint="eastAsia" w:ascii="宋体" w:hAnsi="宋体" w:cs="宋体"/>
          <w:color w:val="000000"/>
          <w:sz w:val="24"/>
          <w:u w:val="single"/>
        </w:rPr>
        <w:t xml:space="preserve">3</w:t>
      </w:r>
      <w:r>
        <w:rPr>
          <w:rFonts w:hint="eastAsia" w:ascii="宋体" w:hAnsi="宋体" w:cs="宋体"/>
          <w:color w:val="000000"/>
          <w:sz w:val="24"/>
        </w:rPr>
        <w:t xml:space="preserve">年；  </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4.质量标准：货物质量等级为“合格”，并符合招标文件中技术需求、国家现行的相关规范标准及有关部门最新颁布的相应的最新标准；项目确保按规范和标准验收，且达国家合格标准。</w:t>
      </w:r>
      <w:r/>
    </w:p>
    <w:p>
      <w:pPr>
        <w:ind w:firstLine="480"/>
        <w:spacing w:line="440" w:lineRule="exact"/>
        <w:rPr>
          <w:rFonts w:ascii="宋体" w:hAnsi="宋体"/>
          <w:b/>
          <w:bCs/>
          <w:color w:val="000000"/>
          <w:sz w:val="24"/>
        </w:rPr>
      </w:pPr>
      <w:r>
        <w:rPr>
          <w:rFonts w:hint="eastAsia" w:ascii="宋体" w:hAnsi="宋体" w:cs="宋体"/>
          <w:i/>
          <w:iCs/>
          <w:color w:val="000000"/>
          <w:sz w:val="24"/>
          <w:u w:val="single"/>
        </w:rPr>
        <w:t xml:space="preserve">5.</w:t>
      </w:r>
      <w:r>
        <w:rPr>
          <w:rFonts w:hint="eastAsia" w:ascii="宋体" w:hAnsi="宋体" w:cs="宋体"/>
          <w:b/>
          <w:bCs/>
          <w:i/>
          <w:iCs/>
          <w:color w:val="000000"/>
          <w:sz w:val="24"/>
          <w:u w:val="single"/>
        </w:rPr>
        <w:t xml:space="preserve">本项目</w:t>
      </w:r>
      <w:r>
        <w:rPr>
          <w:rFonts w:hint="eastAsia" w:ascii="宋体" w:hAnsi="宋体"/>
          <w:b/>
          <w:bCs/>
          <w:i/>
          <w:iCs/>
          <w:color w:val="000000"/>
          <w:sz w:val="24"/>
          <w:u w:val="single"/>
        </w:rPr>
        <w:t xml:space="preserve">不接受进口产品投标。</w:t>
      </w:r>
      <w:r/>
    </w:p>
    <w:p>
      <w:pPr>
        <w:spacing w:line="440" w:lineRule="exact"/>
        <w:rPr>
          <w:rFonts w:ascii="宋体" w:hAnsi="宋体"/>
          <w:b/>
          <w:color w:val="000000"/>
          <w:sz w:val="24"/>
        </w:rPr>
      </w:pPr>
      <w:r>
        <w:rPr>
          <w:rFonts w:hint="eastAsia" w:ascii="宋体" w:hAnsi="宋体"/>
          <w:b/>
          <w:color w:val="000000"/>
          <w:sz w:val="24"/>
        </w:rPr>
        <w:t xml:space="preserve">四、付款方式：</w:t>
      </w:r>
      <w:r/>
    </w:p>
    <w:p>
      <w:pPr>
        <w:pStyle w:val="794"/>
        <w:ind w:firstLine="480"/>
        <w:spacing w:before="120" w:after="120"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签订合同后，采购人支付合同总价款的30%作为预付款。货到现场，将委托第三方专业检测机构进行抽样检测(检测费用由中标供应商支付)。对家具进行破坏性抽检，对基材、五金配件及各项指标是否按照招标文件要求进行检测抽查，家具安装调试结束，采购人验收合格后，付至合同总价款的100%。</w:t>
      </w:r>
      <w:r/>
    </w:p>
    <w:p>
      <w:pPr>
        <w:ind w:firstLine="480"/>
        <w:spacing w:line="440" w:lineRule="exact"/>
        <w:rPr>
          <w:rFonts w:ascii="宋体" w:hAnsi="宋体" w:cs="宋体"/>
          <w:bCs/>
          <w:sz w:val="24"/>
        </w:rPr>
      </w:pPr>
      <w:r>
        <w:rPr>
          <w:rFonts w:hint="eastAsia" w:ascii="宋体" w:hAnsi="宋体" w:cs="宋体"/>
          <w:bCs/>
          <w:sz w:val="24"/>
        </w:rPr>
        <w:t xml:space="preserve">注：在签订合同时，中标人明确表示无需预付款或者主动要求降低预付款比例的金额，采购人可不适用预付款规定。</w:t>
      </w:r>
      <w:r/>
    </w:p>
    <w:p>
      <w:pPr>
        <w:ind w:firstLine="480"/>
        <w:spacing w:line="440" w:lineRule="exact"/>
        <w:rPr>
          <w:rFonts w:ascii="宋体" w:hAnsi="宋体" w:cs="宋体"/>
          <w:bCs/>
          <w:sz w:val="24"/>
        </w:rPr>
      </w:pPr>
      <w:r>
        <w:rPr>
          <w:rFonts w:hint="eastAsia" w:ascii="Times New Roman" w:hAnsi="Times New Roman" w:eastAsia="宋体"/>
          <w:sz w:val="24"/>
        </w:rPr>
        <w:t xml:space="preserve">本项目中标供应商须向采购人缴纳合同金额的10%的履约保证金，具体要求详见合同条款。</w:t>
      </w:r>
      <w:r/>
    </w:p>
    <w:p>
      <w:pPr>
        <w:numPr>
          <w:ilvl w:val="0"/>
          <w:numId w:val="9"/>
        </w:numPr>
        <w:spacing w:line="440" w:lineRule="exact"/>
        <w:tabs>
          <w:tab w:val="left" w:pos="900" w:leader="none"/>
        </w:tabs>
        <w:rPr>
          <w:rFonts w:ascii="宋体" w:hAnsi="宋体"/>
          <w:b/>
          <w:color w:val="000000"/>
          <w:sz w:val="24"/>
        </w:rPr>
      </w:pPr>
      <w:r>
        <w:rPr>
          <w:rFonts w:hint="eastAsia" w:ascii="宋体" w:hAnsi="宋体"/>
          <w:b/>
          <w:color w:val="000000"/>
          <w:sz w:val="24"/>
        </w:rPr>
        <w:t xml:space="preserve">商务要求</w:t>
      </w:r>
      <w:r/>
    </w:p>
    <w:p>
      <w:pPr>
        <w:ind w:firstLine="241"/>
        <w:spacing w:line="440" w:lineRule="exact"/>
        <w:tabs>
          <w:tab w:val="left" w:pos="900" w:leader="none"/>
        </w:tabs>
        <w:rPr>
          <w:rFonts w:ascii="宋体" w:hAnsi="宋体"/>
          <w:b/>
          <w:color w:val="000000"/>
          <w:sz w:val="24"/>
        </w:rPr>
      </w:pPr>
      <w:r>
        <w:rPr>
          <w:rFonts w:hint="eastAsia" w:ascii="宋体" w:hAnsi="宋体"/>
          <w:b/>
          <w:color w:val="000000"/>
          <w:sz w:val="24"/>
        </w:rPr>
        <w:t xml:space="preserve">5.1质量保证及进度安排</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1、质量保障措施要求：投标人应在投标文件中提出详细的产品生产质量管理计划，计划应包含生产车间安全管理、质量控制措施、出厂检验标准以及测试程序。</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进度安排要求：投标文件中需包含一份详尽的项目进度计划，有明确的时间节点和进度安排，展示项目各阶段的起止时间、关键过程等，且要充分考虑暑期暴雨及酷暑影响，避免影响工期。每延迟交付一天，按合同总价款的5‰支付违约金，违约金采购单位有权从本次货款中直接扣除。</w:t>
      </w:r>
      <w:r/>
    </w:p>
    <w:p>
      <w:pPr>
        <w:pStyle w:val="981"/>
        <w:jc w:val="both"/>
        <w:spacing w:beforeAutospacing="0" w:afterAutospacing="0" w:line="440" w:lineRule="exact"/>
        <w:rPr>
          <w:rFonts w:ascii="宋体" w:hAnsi="宋体"/>
          <w:b/>
          <w:color w:val="000000"/>
        </w:rPr>
      </w:pPr>
      <w:r>
        <w:rPr>
          <w:rFonts w:hint="eastAsia" w:ascii="宋体" w:hAnsi="宋体" w:cs="宋体"/>
          <w:color w:val="000000"/>
        </w:rPr>
        <w:t xml:space="preserve">  </w:t>
      </w:r>
      <w:r>
        <w:rPr>
          <w:rFonts w:hint="eastAsia" w:ascii="宋体" w:hAnsi="宋体"/>
          <w:b/>
          <w:color w:val="000000"/>
        </w:rPr>
        <w:t xml:space="preserve">5.2现场管理及突发事件处置方案</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突发事件处置要求：投标人应充分考虑履约过程可能遇到的各种突发情况，有针对性的制订预防措施，需在投标文件中进行注意阐述，并建立一个明确的沟通框架，包括定期回访、问题解决机制及变更管理流程。</w:t>
      </w:r>
      <w:r/>
    </w:p>
    <w:p>
      <w:pPr>
        <w:pStyle w:val="981"/>
        <w:jc w:val="both"/>
        <w:spacing w:beforeAutospacing="0" w:afterAutospacing="0" w:line="440" w:lineRule="exact"/>
        <w:rPr>
          <w:rFonts w:ascii="宋体" w:hAnsi="宋体"/>
          <w:b/>
          <w:color w:val="000000"/>
        </w:rPr>
      </w:pPr>
      <w:r>
        <w:rPr>
          <w:rFonts w:hint="eastAsia" w:ascii="宋体" w:hAnsi="宋体"/>
          <w:b/>
          <w:color w:val="000000"/>
        </w:rPr>
        <w:t xml:space="preserve">5.3配送及安装方案</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配送要求：a.中标供应商在设备出厂前，应提供明细的设备清单交由采购人进行确认，包含设备名称、详细规格、材质、颜色等内容，由采购人确认后，方可进行供货；b.产品必需是正规厂家新品，不得以次充好；c. 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安装要求：a.各床位保持水平，在一条直线上；b.柜门启闭灵活、顺畅、不得有磕碰现象；c.各零件、组合件表面应光滑、平整、不得有尖角突起；d.焊接件应牢固，无焊渣、无虚焊、无焊穿、焊痕光滑平整；e.喷塑涂层不脱落，漆膜无橘皮，无流挂，无返锈，色泽均匀，厚薄适中；f.安装时，所产生的垃圾应随时清理出场，保持场地干净；g.在安装过程中，对原有装修产生碰损，中标人除全部包赔外，还应处违约金1000元/次。</w:t>
      </w:r>
      <w:r/>
    </w:p>
    <w:p>
      <w:pPr>
        <w:pStyle w:val="981"/>
        <w:jc w:val="both"/>
        <w:spacing w:beforeAutospacing="0" w:afterAutospacing="0" w:line="440" w:lineRule="exact"/>
        <w:rPr>
          <w:rFonts w:ascii="宋体" w:hAnsi="宋体"/>
          <w:b/>
          <w:color w:val="000000"/>
        </w:rPr>
      </w:pPr>
      <w:r>
        <w:rPr>
          <w:rFonts w:hint="eastAsia" w:ascii="宋体" w:hAnsi="宋体"/>
          <w:b/>
          <w:color w:val="000000"/>
        </w:rPr>
        <w:t xml:space="preserve">5.4售后服务要求</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1、中标人对所售出的产品实行三包：售后服务期限为三年，即产品在正常使用情况下发生质量问题时，供方应按使用方的要求，负责对产品实行包修、包换、包退。</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3、售后服务期内容，产品发生质量问题，中标人应在接到采购人提出故障通知半小时以内做出响应，24小时内到达现场免费予以排除故障、修复或更换零部件，或启用替代品。如需更换设备或送修，需在2个工作日内解决</w:t>
      </w:r>
      <w:r>
        <w:rPr>
          <w:rFonts w:hint="eastAsia" w:ascii="宋体" w:hAnsi="宋体" w:cs="宋体"/>
          <w:color w:val="000000"/>
          <w:lang w:eastAsia="zh-CN"/>
        </w:rPr>
        <w:t xml:space="preserve">，</w:t>
      </w:r>
      <w:r>
        <w:rPr>
          <w:rFonts w:hint="eastAsia" w:ascii="宋体" w:hAnsi="宋体" w:cs="宋体"/>
          <w:color w:val="000000"/>
        </w:rPr>
        <w:t xml:space="preserve">涉及安全方面的问题4小时内解决，相关费用包含在本次投标报价内。 </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4、中标人除提供所供全部设备的安装调试服务外，还需有完善的培训服务体系，保证使用方能掌握设备的正常使用及日常维护工作。</w:t>
      </w:r>
      <w:r/>
    </w:p>
    <w:p>
      <w:pPr>
        <w:pStyle w:val="981"/>
        <w:ind w:firstLine="420"/>
        <w:jc w:val="both"/>
        <w:spacing w:beforeAutospacing="0" w:afterAutospacing="0" w:line="440" w:lineRule="exact"/>
        <w:rPr>
          <w:rFonts w:ascii="宋体" w:hAnsi="宋体"/>
          <w:b/>
          <w:color w:val="000000"/>
        </w:rPr>
      </w:pPr>
      <w:r>
        <w:rPr>
          <w:rFonts w:hint="eastAsia" w:ascii="宋体" w:hAnsi="宋体"/>
          <w:b/>
          <w:color w:val="000000"/>
        </w:rPr>
        <w:t xml:space="preserve">六、验收</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在发货前，乙方应对该批次货物的质量、规格、性能、数量或重量等进行准确而全面的检验，并出具一份证明货物符合合同规定的检验合格证书，但该证书不应视为最终检验。检验的结果和细节应附在检验证书后面。</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2、货物交付后，在安装前应仔细检查货物自身无缺陷后方可安装，如果存在货物破损、自身材质、规格等质量缺陷，甲方有权要求将货物退场，由此引起的一切后果由乙方承担。</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3、货物进场后乙方继续负责对家具的看管工作，如因看管不善所造成的一切损失均由乙方承担；家具进场后乙方应准备好相关初步验收资料，验收内容包括：产地、货号、规格、数量、外观质量</w:t>
      </w:r>
      <w:r>
        <w:rPr>
          <w:rFonts w:hint="eastAsia" w:ascii="宋体" w:hAnsi="宋体" w:cs="宋体"/>
          <w:color w:val="000000"/>
          <w:lang w:eastAsia="zh-CN"/>
        </w:rPr>
        <w:t xml:space="preserve">及</w:t>
      </w:r>
      <w:r>
        <w:rPr>
          <w:rFonts w:hint="eastAsia" w:ascii="宋体" w:hAnsi="宋体" w:cs="宋体"/>
          <w:color w:val="000000"/>
        </w:rPr>
        <w:t xml:space="preserve">家具包装是否完好。甲方应按签订采购合同约定时间组织验收。</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4、乙方货物全部进场安装调试，并提供相关初步验收资料后，甲方组织验收并出具验收报告。如果家具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5、中标人的投标实物样品在采购招标活动结束后将由采购人封存，以供批量到货验收时比对或检测选择使用。</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6、采购人有权请检测机构相关专家和采购人单位代表在生产前随时到生产现场，查看所有制作材料的型号和进货清单等书面材料及原始凭证，中标供应商承担有可能产生的材料品牌检测费。</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7、采购标的对应的中小企业划分标准所属行业一览表</w:t>
      </w:r>
      <w:r/>
    </w:p>
    <w:tbl>
      <w:tblPr>
        <w:tblStyle w:val="788"/>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14"/>
        <w:gridCol w:w="3170"/>
        <w:gridCol w:w="4173"/>
      </w:tblGrid>
      <w:tr>
        <w:trPr>
          <w:jc w:val="center"/>
          <w:tblCellSpacing w:w="0" w:type="dxa"/>
          <w:trHeight w:val="755"/>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序号</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采购标的</w:t>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对应中小企业划分标准所属行业</w:t>
            </w:r>
            <w:r/>
          </w:p>
        </w:tc>
      </w:tr>
      <w:tr>
        <w:trPr>
          <w:jc w:val="center"/>
          <w:tblCellSpacing w:w="0" w:type="dxa"/>
          <w:trHeight w:val="954"/>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981"/>
              <w:jc w:val="center"/>
              <w:spacing w:beforeAutospacing="0" w:afterAutospacing="0" w:line="0" w:lineRule="atLeas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宿迁学院信息化中心实验桌椅项目</w:t>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工业 </w:t>
            </w:r>
            <w:r/>
          </w:p>
        </w:tc>
      </w:tr>
    </w:tbl>
    <w:p>
      <w:pPr>
        <w:numPr>
          <w:ilvl w:val="0"/>
          <w:numId w:val="0"/>
        </w:numPr>
        <w:jc w:val="left"/>
        <w:spacing w:line="460" w:lineRule="exact"/>
        <w:rPr>
          <w:rFonts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投标时样品（小样）携带：</w:t>
      </w:r>
      <w:r/>
    </w:p>
    <w:p>
      <w:pPr>
        <w:jc w:val="left"/>
        <w:spacing w:line="460" w:lineRule="exact"/>
        <w:rPr>
          <w:rFonts w:ascii="宋体" w:hAnsi="宋体" w:cs="宋体"/>
          <w:b/>
          <w:bCs/>
          <w:sz w:val="24"/>
        </w:rPr>
      </w:pPr>
      <w:r>
        <w:rPr>
          <w:rFonts w:hint="eastAsia" w:ascii="宋体" w:hAnsi="宋体" w:cs="宋体"/>
          <w:sz w:val="24"/>
          <w:lang w:val="en-US" w:eastAsia="zh-CN"/>
        </w:rPr>
        <w:t xml:space="preserve">7</w:t>
      </w:r>
      <w:r>
        <w:rPr>
          <w:rFonts w:hint="eastAsia" w:ascii="宋体" w:hAnsi="宋体" w:cs="宋体"/>
          <w:sz w:val="24"/>
        </w:rPr>
        <w:t xml:space="preserve">.1、请供应商根据本项目技术参数要求和工艺要求，现场提供以下实物样品：</w:t>
      </w:r>
      <w:r/>
    </w:p>
    <w:tbl>
      <w:tblPr>
        <w:tblStyle w:val="788"/>
        <w:tblW w:w="5464" w:type="pct"/>
        <w:jc w:val="center"/>
        <w:tblLayout w:type="fixed"/>
        <w:tblCellMar>
          <w:left w:w="108" w:type="dxa"/>
          <w:top w:w="0" w:type="dxa"/>
          <w:right w:w="108" w:type="dxa"/>
          <w:bottom w:w="0" w:type="dxa"/>
        </w:tblCellMar>
        <w:tblLook w:val="04A0" w:firstRow="1" w:lastRow="0" w:firstColumn="1" w:lastColumn="0" w:noHBand="0" w:noVBand="1"/>
      </w:tblPr>
      <w:tblGrid>
        <w:gridCol w:w="738"/>
        <w:gridCol w:w="1227"/>
        <w:gridCol w:w="1429"/>
        <w:gridCol w:w="4805"/>
        <w:gridCol w:w="1822"/>
      </w:tblGrid>
      <w:tr>
        <w:trPr>
          <w:jc w:val="center"/>
          <w:trHeight w:val="661"/>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样品清单列表</w:t>
            </w:r>
            <w:r/>
          </w:p>
        </w:tc>
      </w:tr>
      <w:tr>
        <w:trPr>
          <w:jc w:val="center"/>
          <w:trHeight w:val="661"/>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样品名称</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参考规格</w:t>
            </w:r>
            <w:r/>
          </w:p>
        </w:tc>
        <w:tc>
          <w:tcPr>
            <w:tcBorders>
              <w:top w:val="single" w:color="000000" w:sz="4" w:space="0"/>
              <w:left w:val="single" w:color="auto" w:sz="4" w:space="0"/>
              <w:bottom w:val="single" w:color="000000" w:sz="4" w:space="0"/>
              <w:right w:val="single" w:color="auto" w:sz="4" w:space="0"/>
            </w:tcBorders>
            <w:tcW w:w="2398"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样品制作标准和要求</w:t>
            </w:r>
            <w:r/>
          </w:p>
        </w:tc>
        <w:tc>
          <w:tcPr>
            <w:tcBorders>
              <w:top w:val="single" w:color="000000" w:sz="4" w:space="0"/>
              <w:left w:val="single" w:color="auto" w:sz="4" w:space="0"/>
              <w:bottom w:val="single" w:color="000000" w:sz="4" w:space="0"/>
              <w:right w:val="single" w:color="000000" w:sz="4" w:space="0"/>
            </w:tcBorders>
            <w:tcW w:w="907"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备注</w:t>
            </w:r>
            <w:r/>
          </w:p>
        </w:tc>
      </w:tr>
      <w:tr>
        <w:trPr>
          <w:jc w:val="center"/>
          <w:trHeight w:val="673"/>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学生电脑桌钢架</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截面</w:t>
            </w:r>
            <w:r>
              <w:rPr>
                <w:rFonts w:hint="eastAsia" w:ascii="宋体" w:hAnsi="宋体" w:eastAsia="宋体" w:cs="宋体"/>
                <w:b/>
                <w:bCs/>
                <w:sz w:val="24"/>
                <w:szCs w:val="24"/>
              </w:rPr>
              <w:t xml:space="preserve">≥</w:t>
            </w:r>
            <w:r>
              <w:rPr>
                <w:rFonts w:hint="eastAsia" w:ascii="宋体" w:hAnsi="宋体" w:eastAsia="宋体" w:cs="宋体"/>
                <w:szCs w:val="21"/>
              </w:rPr>
              <w:t xml:space="preserve">15mm*50mm，壁厚≥1.2mm</w:t>
            </w:r>
            <w:r/>
          </w:p>
        </w:tc>
        <w:tc>
          <w:tcPr>
            <w:tcBorders>
              <w:top w:val="single" w:color="000000" w:sz="4" w:space="0"/>
              <w:left w:val="single" w:color="000000" w:sz="4" w:space="0"/>
              <w:bottom w:val="single" w:color="auto" w:sz="4" w:space="0"/>
              <w:right w:val="single" w:color="auto" w:sz="4" w:space="0"/>
            </w:tcBorders>
            <w:tcW w:w="2398" w:type="pct"/>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材质:</w:t>
            </w:r>
            <w:r>
              <w:rPr>
                <w:rFonts w:ascii="SimSun" w:hAnsi="SimSun" w:eastAsia="SimSun" w:cs="SimSun"/>
                <w:color w:val="000000"/>
                <w:sz w:val="21"/>
              </w:rPr>
              <w:t xml:space="preserve">采用优质冷轧钢板。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工艺：</w:t>
            </w:r>
            <w:r>
              <w:rPr>
                <w:rFonts w:ascii="SimSun" w:hAnsi="SimSun" w:eastAsia="SimSun" w:cs="SimSun"/>
                <w:color w:val="000000"/>
                <w:sz w:val="21"/>
              </w:rPr>
              <w:t xml:space="preserve">弯曲成型，经环氧聚酯塑粉静电喷塑处理。</w:t>
            </w:r>
            <w:r/>
          </w:p>
          <w:p>
            <w:pPr>
              <w:jc w:val="left"/>
              <w:widowControl/>
              <w:rPr>
                <w:rFonts w:hint="eastAsia" w:ascii="宋体" w:hAnsi="宋体" w:eastAsia="宋体" w:cs="宋体"/>
                <w:szCs w:val="21"/>
              </w:rPr>
            </w:pPr>
            <w:r>
              <w:rPr>
                <w:rFonts w:ascii="SimSun" w:hAnsi="SimSun" w:eastAsia="SimSun" w:cs="SimSun"/>
                <w:b/>
                <w:color w:val="000000"/>
                <w:sz w:val="21"/>
              </w:rPr>
              <w:t xml:space="preserve">外观：</w:t>
            </w:r>
            <w:r>
              <w:rPr>
                <w:rFonts w:ascii="SimSun" w:hAnsi="SimSun" w:eastAsia="SimSun" w:cs="SimSun"/>
                <w:color w:val="000000"/>
                <w:sz w:val="21"/>
              </w:rPr>
              <w:t xml:space="preserve">表面光滑，造型成半碟状。</w:t>
            </w:r>
            <w:r>
              <w:rPr>
                <w:rFonts w:hint="eastAsia" w:ascii="宋体" w:hAnsi="宋体" w:eastAsia="宋体" w:cs="宋体"/>
                <w:szCs w:val="21"/>
              </w:rPr>
            </w:r>
            <w:r/>
          </w:p>
        </w:tc>
        <w:tc>
          <w:tcPr>
            <w:tcBorders>
              <w:top w:val="single" w:color="000000" w:sz="4" w:space="0"/>
              <w:left w:val="single" w:color="auto" w:sz="4" w:space="0"/>
              <w:bottom w:val="single" w:color="auto" w:sz="4" w:space="0"/>
              <w:right w:val="single" w:color="000000" w:sz="4" w:space="0"/>
            </w:tcBorders>
            <w:tcW w:w="907" w:type="pct"/>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提供桌钢架切割小样</w:t>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主机柜冷轧钢板</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钢板厚度≥0.8mm</w:t>
            </w:r>
            <w:r/>
          </w:p>
        </w:tc>
        <w:tc>
          <w:tcPr>
            <w:tcBorders>
              <w:top w:val="single" w:color="auto" w:sz="4" w:space="0"/>
              <w:left w:val="single" w:color="000000" w:sz="4" w:space="0"/>
              <w:bottom w:val="single" w:color="auto" w:sz="4" w:space="0"/>
              <w:right w:val="single" w:color="auto" w:sz="4" w:space="0"/>
            </w:tcBorders>
            <w:tcW w:w="2398" w:type="pct"/>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材质:</w:t>
            </w:r>
            <w:r>
              <w:rPr>
                <w:rFonts w:ascii="SimSun" w:hAnsi="SimSun" w:eastAsia="SimSun" w:cs="SimSun"/>
                <w:color w:val="000000"/>
                <w:sz w:val="21"/>
              </w:rPr>
              <w:t xml:space="preserve">采用优质冷轧钢板。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工艺：</w:t>
            </w:r>
            <w:r>
              <w:rPr>
                <w:rFonts w:ascii="SimSun" w:hAnsi="SimSun" w:eastAsia="SimSun" w:cs="SimSun"/>
                <w:color w:val="000000"/>
                <w:sz w:val="21"/>
              </w:rPr>
              <w:t xml:space="preserve">经激光切割设备裁剪，二氧化碳保护焊满焊；表面经脱脂、陶化、水洗等环保工艺处理后，再经环氧聚酯塑粉静电喷塑。</w:t>
            </w:r>
            <w:r/>
          </w:p>
          <w:p>
            <w:pPr>
              <w:jc w:val="left"/>
              <w:widowControl/>
              <w:rPr>
                <w:rFonts w:hint="eastAsia" w:ascii="宋体" w:hAnsi="宋体" w:eastAsia="宋体" w:cs="宋体"/>
                <w:szCs w:val="21"/>
              </w:rPr>
            </w:pPr>
            <w:r>
              <w:rPr>
                <w:rFonts w:ascii="SimSun" w:hAnsi="SimSun" w:eastAsia="SimSun" w:cs="SimSun"/>
                <w:b/>
                <w:color w:val="000000"/>
                <w:sz w:val="21"/>
              </w:rPr>
              <w:t xml:space="preserve">外观：</w:t>
            </w:r>
            <w:r>
              <w:rPr>
                <w:rFonts w:ascii="SimSun" w:hAnsi="SimSun" w:eastAsia="SimSun" w:cs="SimSun"/>
                <w:color w:val="000000"/>
                <w:sz w:val="21"/>
              </w:rPr>
              <w:t xml:space="preserve">表面经环保处理，静电喷塑防锈防腐蚀。</w:t>
            </w: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000000" w:sz="4" w:space="0"/>
            </w:tcBorders>
            <w:tcW w:w="907" w:type="pct"/>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提供主机柜冷轧钢板切割小样</w:t>
            </w:r>
            <w:r/>
          </w:p>
        </w:tc>
      </w:tr>
      <w:tr>
        <w:trPr>
          <w:jc w:val="center"/>
          <w:trHeight w:val="1637"/>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学生电脑桌面板</w:t>
            </w:r>
            <w:r/>
          </w:p>
        </w:tc>
        <w:tc>
          <w:tcPr>
            <w:tcBorders>
              <w:top w:val="single" w:color="000000" w:sz="4" w:space="0"/>
              <w:left w:val="single" w:color="000000" w:sz="4" w:space="0"/>
              <w:bottom w:val="single" w:color="auto" w:sz="4" w:space="0"/>
              <w:right w:val="single" w:color="000000" w:sz="4" w:space="0"/>
            </w:tcBorders>
            <w:tcW w:w="713"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截面厚度≥25mm</w:t>
            </w:r>
            <w:r/>
          </w:p>
        </w:tc>
        <w:tc>
          <w:tcPr>
            <w:tcBorders>
              <w:top w:val="single" w:color="auto" w:sz="4" w:space="0"/>
              <w:left w:val="single" w:color="000000" w:sz="4" w:space="0"/>
              <w:right w:val="single" w:color="auto" w:sz="4" w:space="0"/>
            </w:tcBorders>
            <w:tcW w:w="2398" w:type="pct"/>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材质:</w:t>
            </w:r>
            <w:r>
              <w:rPr>
                <w:rFonts w:ascii="SimSun" w:hAnsi="SimSun" w:eastAsia="SimSun" w:cs="SimSun"/>
                <w:color w:val="000000"/>
                <w:sz w:val="21"/>
              </w:rPr>
              <w:t xml:space="preserve">采用环保E0级高能板。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工艺：</w:t>
            </w:r>
            <w:r>
              <w:rPr>
                <w:rFonts w:ascii="SimSun" w:hAnsi="SimSun" w:eastAsia="SimSun" w:cs="SimSun"/>
                <w:color w:val="000000"/>
                <w:sz w:val="21"/>
              </w:rPr>
              <w:t xml:space="preserve">前鸭嘴后圆形设计成型。</w:t>
            </w:r>
            <w:r/>
          </w:p>
          <w:p>
            <w:pPr>
              <w:jc w:val="left"/>
              <w:widowControl/>
              <w:rPr>
                <w:rFonts w:hint="eastAsia" w:ascii="宋体" w:hAnsi="宋体" w:eastAsia="宋体" w:cs="宋体"/>
                <w:szCs w:val="21"/>
              </w:rPr>
            </w:pPr>
            <w:r>
              <w:rPr>
                <w:rFonts w:ascii="SimSun" w:hAnsi="SimSun" w:eastAsia="SimSun" w:cs="SimSun"/>
                <w:b/>
                <w:color w:val="000000"/>
                <w:sz w:val="21"/>
              </w:rPr>
              <w:t xml:space="preserve">外观：</w:t>
            </w:r>
            <w:r>
              <w:rPr>
                <w:rFonts w:ascii="SimSun" w:hAnsi="SimSun" w:eastAsia="SimSun" w:cs="SimSun"/>
                <w:color w:val="000000"/>
                <w:sz w:val="21"/>
              </w:rPr>
              <w:t xml:space="preserve">无开裂变形，生态环保无污染。</w:t>
            </w:r>
            <w:r>
              <w:rPr>
                <w:rFonts w:hint="eastAsia" w:ascii="宋体" w:hAnsi="宋体" w:eastAsia="宋体" w:cs="宋体"/>
                <w:szCs w:val="21"/>
              </w:rPr>
            </w:r>
            <w:r/>
          </w:p>
        </w:tc>
        <w:tc>
          <w:tcPr>
            <w:tcBorders>
              <w:top w:val="single" w:color="auto" w:sz="4" w:space="0"/>
              <w:left w:val="single" w:color="auto" w:sz="4" w:space="0"/>
              <w:right w:val="single" w:color="000000" w:sz="4" w:space="0"/>
            </w:tcBorders>
            <w:tcW w:w="907" w:type="pct"/>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提供桌面板切割小样</w:t>
            </w:r>
            <w:r/>
          </w:p>
        </w:tc>
      </w:tr>
      <w:tr>
        <w:trPr>
          <w:jc w:val="center"/>
          <w:trHeight w:val="2234"/>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highlight w:val="none"/>
              </w:rPr>
              <w:t xml:space="preserve">学生椅</w:t>
            </w:r>
            <w:r/>
          </w:p>
        </w:tc>
        <w:tc>
          <w:tcPr>
            <w:tcBorders>
              <w:top w:val="single" w:color="auto"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圆钢/PP(聚丙烯)</w:t>
            </w:r>
            <w:r/>
          </w:p>
          <w:p>
            <w:pPr>
              <w:jc w:val="center"/>
              <w:widowControl/>
              <w:rPr>
                <w:rFonts w:hint="eastAsia" w:ascii="宋体" w:hAnsi="宋体" w:eastAsia="宋体" w:cs="宋体"/>
                <w:szCs w:val="21"/>
              </w:rPr>
            </w:pPr>
            <w:r>
              <w:rPr>
                <w:rFonts w:hint="eastAsia" w:ascii="宋体" w:hAnsi="宋体" w:eastAsia="宋体" w:cs="宋体"/>
                <w:szCs w:val="21"/>
              </w:rPr>
              <w:t xml:space="preserve">坐宽≥445mm，坐深≥420mm</w:t>
            </w:r>
            <w:r/>
          </w:p>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W w:w="2398" w:type="pct"/>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材质:</w:t>
            </w:r>
            <w:r>
              <w:rPr>
                <w:rFonts w:ascii="SimSun" w:hAnsi="SimSun" w:eastAsia="SimSun" w:cs="SimSun"/>
                <w:color w:val="000000"/>
                <w:sz w:val="21"/>
              </w:rPr>
              <w:t xml:space="preserve">框架采用优质圆管；椅座、椅背采用聚丙烯(PP)加玻璃纤维全新材料一体成型；地脚配4个PP材质脚垫。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工艺：</w:t>
            </w:r>
            <w:r>
              <w:rPr>
                <w:rFonts w:ascii="SimSun" w:hAnsi="SimSun" w:eastAsia="SimSun" w:cs="SimSun"/>
                <w:color w:val="000000"/>
                <w:sz w:val="21"/>
              </w:rPr>
              <w:t xml:space="preserve">背部设滑动面，内置双弹簧机构，与使用者背部实时联动，调节角度7-10度；金属件经打磨、去油、酸洗、磷化、清洗、防锈等工艺处理后，粉末喷涂静电喷塑。</w:t>
            </w:r>
            <w:r/>
          </w:p>
          <w:p>
            <w:r>
              <w:rPr>
                <w:rFonts w:ascii="SimSun" w:hAnsi="SimSun" w:eastAsia="SimSun" w:cs="SimSun"/>
                <w:b/>
                <w:color w:val="000000"/>
                <w:sz w:val="21"/>
              </w:rPr>
              <w:t xml:space="preserve">外观：</w:t>
            </w:r>
            <w:r>
              <w:rPr>
                <w:rFonts w:ascii="SimSun" w:hAnsi="SimSun" w:eastAsia="SimSun" w:cs="SimSun"/>
                <w:color w:val="000000"/>
                <w:sz w:val="21"/>
              </w:rPr>
              <w:t xml:space="preserve">塑料件无裂纹、明显变形、缩水、针孔、凹陷、飞边、杂质、伤痕、白印；表面光洁，无划痕、毛刺、拉毛、污渍；无明显色差。</w:t>
            </w:r>
            <w:r/>
          </w:p>
        </w:tc>
        <w:tc>
          <w:tcPr>
            <w:tcBorders>
              <w:top w:val="single" w:color="000000" w:sz="4" w:space="0"/>
              <w:left w:val="single" w:color="auto" w:sz="4" w:space="0"/>
              <w:bottom w:val="single" w:color="000000" w:sz="4" w:space="0"/>
              <w:right w:val="single" w:color="000000" w:sz="4" w:space="0"/>
            </w:tcBorders>
            <w:tcW w:w="907"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整件</w:t>
            </w:r>
            <w:r/>
          </w:p>
        </w:tc>
      </w:tr>
    </w:tbl>
    <w:p>
      <w:pPr>
        <w:ind w:firstLine="480"/>
        <w:jc w:val="left"/>
        <w:spacing w:line="360" w:lineRule="exact"/>
        <w:rPr>
          <w:rFonts w:hint="eastAsia" w:ascii="宋体" w:hAnsi="宋体" w:cs="宋体"/>
          <w:sz w:val="24"/>
        </w:rPr>
      </w:pPr>
      <w:r>
        <w:rPr>
          <w:rFonts w:hint="eastAsia" w:ascii="宋体" w:hAnsi="宋体" w:cs="宋体"/>
          <w:sz w:val="24"/>
        </w:rPr>
      </w:r>
      <w:r/>
    </w:p>
    <w:p>
      <w:pPr>
        <w:ind w:firstLine="480"/>
        <w:jc w:val="left"/>
        <w:spacing w:line="360" w:lineRule="exact"/>
        <w:rPr>
          <w:rFonts w:ascii="宋体" w:hAnsi="宋体" w:cs="宋体"/>
          <w:sz w:val="24"/>
        </w:rPr>
      </w:pPr>
      <w:r>
        <w:rPr>
          <w:rFonts w:hint="eastAsia" w:ascii="宋体" w:hAnsi="宋体" w:cs="宋体"/>
          <w:sz w:val="24"/>
        </w:rPr>
        <w:t xml:space="preserve">注：小样技术</w:t>
      </w:r>
      <w:r>
        <w:rPr>
          <w:rFonts w:ascii="宋体" w:hAnsi="宋体" w:cs="宋体"/>
          <w:sz w:val="24"/>
        </w:rPr>
        <w:t xml:space="preserve">参照采购需求中的技术参数</w:t>
      </w:r>
      <w:r>
        <w:rPr>
          <w:rFonts w:hint="eastAsia" w:ascii="宋体" w:hAnsi="宋体" w:cs="宋体"/>
          <w:sz w:val="24"/>
        </w:rPr>
        <w:t xml:space="preserve">，尺寸</w:t>
      </w:r>
      <w:r>
        <w:rPr>
          <w:rFonts w:hint="eastAsia" w:ascii="宋体" w:hAnsi="宋体" w:eastAsia="宋体" w:cs="宋体"/>
          <w:sz w:val="24"/>
          <w:lang w:val="en-US" w:eastAsia="zh-CN"/>
        </w:rPr>
        <w:t xml:space="preserve">参照也可</w:t>
      </w:r>
      <w:r>
        <w:rPr>
          <w:rFonts w:hint="eastAsia" w:ascii="宋体" w:hAnsi="宋体" w:cs="宋体"/>
          <w:sz w:val="24"/>
        </w:rPr>
        <w:t xml:space="preserve">自拟（便于携带和评审，不作为评分依据）。</w:t>
      </w:r>
      <w:r/>
    </w:p>
    <w:p>
      <w:pPr>
        <w:ind w:firstLine="480"/>
        <w:jc w:val="left"/>
        <w:spacing w:line="460" w:lineRule="exac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.2样品接收要求</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1）投标人提供的样品应为全新的产品。样品提交时间</w:t>
      </w:r>
      <w:r>
        <w:rPr>
          <w:rFonts w:hint="eastAsia" w:ascii="宋体" w:hAnsi="宋体"/>
          <w:color w:val="000000"/>
          <w:sz w:val="24"/>
          <w:szCs w:val="24"/>
          <w:highlight w:val="white"/>
        </w:rPr>
        <w:t xml:space="preserve">：</w:t>
      </w:r>
      <w:r>
        <w:rPr>
          <w:rFonts w:hint="eastAsia" w:ascii="宋体" w:hAnsi="宋体"/>
          <w:color w:val="000000"/>
          <w:sz w:val="24"/>
          <w:szCs w:val="24"/>
          <w:highlight w:val="white"/>
        </w:rPr>
        <w:t xml:space="preserve">2026年</w:t>
      </w:r>
      <w:r>
        <w:rPr>
          <w:rFonts w:hint="eastAsia" w:ascii="宋体" w:hAnsi="宋体" w:eastAsia="宋体"/>
          <w:color w:val="000000"/>
          <w:sz w:val="24"/>
          <w:szCs w:val="24"/>
          <w:highlight w:val="white"/>
          <w:lang w:val="en-US" w:eastAsia="zh-CN"/>
        </w:rPr>
        <w:t xml:space="preserve">9</w:t>
      </w:r>
      <w:r>
        <w:rPr>
          <w:rFonts w:hint="eastAsia" w:ascii="宋体" w:hAnsi="宋体"/>
          <w:color w:val="000000"/>
          <w:sz w:val="24"/>
          <w:szCs w:val="24"/>
          <w:highlight w:val="white"/>
        </w:rPr>
        <w:t xml:space="preserve">月28</w:t>
      </w:r>
      <w:r>
        <w:rPr>
          <w:rFonts w:hint="eastAsia" w:ascii="宋体" w:hAnsi="宋体"/>
          <w:color w:val="000000"/>
          <w:sz w:val="24"/>
          <w:szCs w:val="24"/>
          <w:highlight w:val="white"/>
        </w:rPr>
        <w:t xml:space="preserve">日上午</w:t>
      </w:r>
      <w:r>
        <w:rPr>
          <w:rFonts w:hint="eastAsia" w:ascii="宋体" w:hAnsi="宋体"/>
          <w:color w:val="000000"/>
          <w:sz w:val="24"/>
          <w:szCs w:val="24"/>
        </w:rPr>
        <w:t xml:space="preserve">10:30-12:00，</w:t>
      </w:r>
      <w:r>
        <w:rPr>
          <w:rFonts w:hint="eastAsia" w:ascii="宋体" w:hAnsi="宋体"/>
          <w:color w:val="000000"/>
          <w:sz w:val="24"/>
          <w:szCs w:val="24"/>
          <w:lang w:eastAsia="zh-CN"/>
        </w:rPr>
        <w:t xml:space="preserve">14:30</w:t>
      </w:r>
      <w:r>
        <w:rPr>
          <w:rFonts w:hint="eastAsia" w:ascii="宋体" w:hAnsi="宋体"/>
          <w:color w:val="000000"/>
          <w:sz w:val="24"/>
          <w:szCs w:val="24"/>
        </w:rPr>
        <w:t xml:space="preserve">-17:30。样品不显示品牌及投标单位名称信息。样品制作及运输费用由投标人自行承担，因投标人原因导致样品无法送达指定地点的，责任由投标人自负。</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2）样品由采购人和采购代理共同组织接收，每种样品只接收一个。接收地点：宿迁市公共资源交易中心（宿迁市便民方舟2#楼10层或11层开标厅，具体房间号按现场指示牌要求执行）。样品递交截止时间后递交的样品将被拒绝接收。</w:t>
      </w:r>
      <w:r/>
    </w:p>
    <w:p>
      <w:pPr>
        <w:keepLines w:val="0"/>
        <w:keepNext w:val="0"/>
        <w:pageBreakBefore w:val="0"/>
        <w:spacing w:line="480" w:lineRule="exact"/>
        <w:widowControl/>
        <w:rPr>
          <w:rFonts w:hint="eastAsia" w:ascii="宋体" w:hAnsi="宋体"/>
          <w:color w:val="000000"/>
          <w:sz w:val="24"/>
          <w:szCs w:val="24"/>
          <w:lang w:val="en-US" w:eastAsia="zh-CN"/>
        </w:rPr>
      </w:pPr>
      <w:r>
        <w:rPr>
          <w:rFonts w:hint="eastAsia" w:ascii="宋体" w:hAnsi="宋体"/>
          <w:color w:val="000000"/>
          <w:sz w:val="24"/>
          <w:szCs w:val="24"/>
          <w:highlight w:val="white"/>
        </w:rPr>
        <w:t xml:space="preserve">联系人：</w:t>
      </w:r>
      <w:r>
        <w:rPr>
          <w:rFonts w:hint="eastAsia" w:ascii="宋体" w:hAnsi="宋体" w:eastAsia="宋体"/>
          <w:color w:val="000000"/>
          <w:sz w:val="24"/>
          <w:szCs w:val="24"/>
          <w:highlight w:val="white"/>
          <w:lang w:val="en-US" w:eastAsia="zh-CN"/>
        </w:rPr>
        <w:t xml:space="preserve">沈老师</w:t>
      </w:r>
      <w:r>
        <w:rPr>
          <w:rFonts w:hint="eastAsia" w:ascii="宋体" w:hAnsi="宋体"/>
          <w:color w:val="000000"/>
          <w:sz w:val="24"/>
          <w:szCs w:val="24"/>
          <w:highlight w:val="white"/>
        </w:rPr>
        <w:t xml:space="preserve">15151152118</w:t>
      </w:r>
      <w:r>
        <w:rPr>
          <w:rFonts w:hint="eastAsia" w:ascii="宋体" w:hAnsi="宋体" w:eastAsia="宋体"/>
          <w:color w:val="000000"/>
          <w:sz w:val="24"/>
          <w:szCs w:val="24"/>
          <w:highlight w:val="white"/>
          <w:lang w:val="en-US" w:eastAsia="zh-CN"/>
        </w:rPr>
        <w:t xml:space="preserve"> </w:t>
      </w:r>
      <w:r>
        <w:rPr>
          <w:rFonts w:hint="eastAsia" w:ascii="宋体" w:hAnsi="宋体"/>
          <w:color w:val="000000"/>
          <w:sz w:val="24"/>
          <w:szCs w:val="24"/>
          <w:highlight w:val="white"/>
        </w:rPr>
        <w:t xml:space="preserve">；</w:t>
      </w:r>
      <w:r>
        <w:rPr>
          <w:rFonts w:hint="eastAsia" w:ascii="宋体" w:hAnsi="宋体"/>
          <w:color w:val="000000"/>
          <w:sz w:val="24"/>
          <w:szCs w:val="24"/>
          <w:highlight w:val="white"/>
          <w:lang w:val="en-US" w:eastAsia="zh-CN"/>
        </w:rPr>
        <w:t xml:space="preserve">袁帅</w:t>
      </w:r>
      <w:r>
        <w:rPr>
          <w:rFonts w:hint="eastAsia" w:ascii="宋体" w:hAnsi="宋体"/>
          <w:color w:val="000000"/>
          <w:sz w:val="24"/>
          <w:szCs w:val="24"/>
          <w:highlight w:val="white"/>
        </w:rPr>
        <w:t xml:space="preserve"> </w:t>
      </w:r>
      <w:r>
        <w:rPr>
          <w:rFonts w:hint="eastAsia" w:ascii="宋体" w:hAnsi="宋体"/>
          <w:color w:val="000000"/>
          <w:sz w:val="24"/>
          <w:szCs w:val="24"/>
          <w:highlight w:val="white"/>
          <w:lang w:val="en-US" w:eastAsia="zh-CN"/>
        </w:rPr>
        <w:t xml:space="preserve">15</w:t>
      </w:r>
      <w:r>
        <w:rPr>
          <w:rFonts w:hint="eastAsia" w:ascii="宋体" w:hAnsi="宋体"/>
          <w:color w:val="000000"/>
          <w:sz w:val="24"/>
          <w:szCs w:val="24"/>
          <w:lang w:val="en-US" w:eastAsia="zh-CN"/>
        </w:rPr>
        <w:t xml:space="preserve">751596019。</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3）样品的退还。未中标样品在招标投标活动结束后由投标人自行搬运撤离（费用自理）。各投标人应在接到退还通知后，48小时内将样品搬离；超时未取走的，由采购人自行处置。中标人的样品由中标人负责运送到采购人指定地点并封存，作为履约验收参考。</w:t>
      </w:r>
      <w:r/>
    </w:p>
    <w:p>
      <w:pPr>
        <w:ind w:firstLine="482"/>
        <w:pageBreakBefore w:val="0"/>
        <w:spacing w:line="480" w:lineRule="exact"/>
        <w:widowControl w:val="off"/>
        <w:rPr>
          <w:rFonts w:hint="eastAsia" w:ascii="宋体" w:hAnsi="宋体" w:cs="宋体"/>
          <w:bCs/>
          <w:sz w:val="24"/>
          <w:szCs w:val="24"/>
          <w:highlight w:val="none"/>
        </w:rPr>
      </w:pPr>
      <w:r>
        <w:rPr>
          <w:rFonts w:hint="eastAsia" w:ascii="宋体" w:hAnsi="宋体"/>
          <w:color w:val="000000"/>
          <w:sz w:val="24"/>
          <w:szCs w:val="24"/>
        </w:rPr>
        <w:t xml:space="preserve">（4）投标人提交、取回样品时，不得破坏或损毁其他投标人的样品，也不得对其他投标人的样品拍照、录像。</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、商品包装环保要求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商品包装层数不得超过 3 层，空隙率不大于 40%；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商品包装尽可能使用单一材质的包装材料，如因功能需求</w:t>
      </w:r>
      <w:r>
        <w:rPr>
          <w:rFonts w:hint="eastAsia" w:ascii="宋体" w:hAnsi="宋体" w:eastAsia="宋体" w:cs="宋体"/>
          <w:color w:val="000000"/>
          <w:sz w:val="24"/>
          <w:szCs w:val="24"/>
          <w:lang w:eastAsia="zh-CN"/>
        </w:rPr>
        <w:t xml:space="preserve">必须</w:t>
      </w:r>
      <w:r>
        <w:rPr>
          <w:rFonts w:hint="eastAsia" w:ascii="宋体" w:hAnsi="宋体" w:eastAsia="宋体" w:cs="宋体"/>
          <w:color w:val="000000"/>
          <w:sz w:val="24"/>
          <w:szCs w:val="24"/>
        </w:rPr>
        <w:t xml:space="preserve">使用不同材质，不同材质间应便于分离；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商品包装中铅、汞、镉、六价铬的总含量应不大于100mg/kg；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含量应不大于 5%（以重量计）；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塑料材质商品包装上呈现的印刷颜色不得超过6色；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纸质商品包装应使用75%以上的可再生纤维原料生产；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木质商品包装的原料应来源于可持续性森林。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注：检测方法 1.商品包装中重金属（铅、汞、镉、六价铬）总量的检测按照 GB/T 10004-2008《包装用塑料复合膜、袋干法复合、挤出复合》规定的方法进行。2.商品包装印刷使用的油墨中挥发性有机化合物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的检测按照 GB/T 23986-2009《色漆和清漆挥发性有机化合物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含量的测定气相色谱法》规定的方法。</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快递包装环保要求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快递包装中重金属（铅、汞、镉、六价铬）总量应不大于100mg/kg；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快递包装印刷使用的油墨中不应添加邻苯二甲酸酯，其挥发性有机化合物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含量应不大于5%（以重量计）；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快递包装中使用纸基材的包装材料，纸基材中的有机氯的含量应不大于150 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快递包装中使用塑料基材的包装材料不得使用邻苯二甲酸二异壬酯、邻苯二甲酸二正辛酯、邻苯二甲酸二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己酯、邻苯二甲酸二异癸酯、邻苯二甲酸丁基苄基酯、邻苯二甲酸二丁酯等作为增塑剂；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快递中使用的塑料包装袋不得使用聚氯乙烯作为原料，且原料应为单一材质制成，生物分解率大于60%；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快递中使用的充气类填充物不得使用聚氯乙烯作为原料，且原料为单一材质制成，生物分解率大于60%；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快递中使用的集装袋应为单一材质制成，其重复使用次数应不小于80次；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快递中应使用幅宽不大于45mm 的生物降解胶带；</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快递包装中不得使用溶剂型</w:t>
      </w:r>
      <w:r>
        <w:rPr>
          <w:rFonts w:hint="eastAsia" w:ascii="宋体" w:hAnsi="宋体" w:eastAsia="宋体" w:cs="宋体"/>
          <w:color w:val="000000"/>
          <w:sz w:val="24"/>
          <w:szCs w:val="24"/>
          <w:lang w:eastAsia="zh-CN"/>
        </w:rPr>
        <w:t xml:space="preserve">胶黏剂</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快递应使用电子面单；</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直接使用商品包装作为快递包装的商品，其商品包装满足《商品包装政府采购需求标准（试行）》即可；</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快递包装产品质量和封装方式应符合相关国家或行业标准技术指标要求。</w:t>
      </w:r>
      <w:r/>
    </w:p>
    <w:p>
      <w:pPr>
        <w:ind w:firstLine="482"/>
        <w:keepLines w:val="0"/>
        <w:keepNext w:val="0"/>
        <w:pageBreakBefore w:val="0"/>
        <w:spacing w:line="400" w:lineRule="exact"/>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szCs w:val="24"/>
          <w:highlight w:val="none"/>
          <w:lang w:val="en-US" w:eastAsia="zh-CN" w:bidi="ar-SA"/>
        </w:rPr>
        <w:t xml:space="preserve">十、</w:t>
      </w:r>
      <w:r>
        <w:rPr>
          <w:rFonts w:hint="eastAsia" w:ascii="宋体" w:hAnsi="宋体" w:eastAsia="宋体" w:cs="宋体"/>
          <w:b/>
          <w:bCs/>
          <w:color w:val="auto"/>
          <w:sz w:val="24"/>
          <w:highlight w:val="none"/>
          <w:lang w:val="en-US" w:eastAsia="zh-CN"/>
        </w:rPr>
        <w:t xml:space="preserve">采购标的需实现的功能或者目标，以及为落实政府采购政策需满足的要求</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（2）投标人提供的货物符合下列情形的，对小微企业报价给予</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的扣除，用扣除后的价格参加评审。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投标文件中上传加盖出具单位公章的电子件）。</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政府采购节能产品、环境标志产品</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采购本国产品的支持政策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shd w:val="clear" w:color="auto"/>
        <w:rPr>
          <w:rFonts w:hint="eastAsia"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ff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bookmarkEnd w:id="192"/>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p>
      <w:pPr>
        <w:pStyle w:val="961"/>
        <w:rPr>
          <w:rFonts w:hint="eastAsia"/>
          <w:lang w:val="en-US" w:eastAsia="zh-CN"/>
        </w:rPr>
      </w:pPr>
      <w:r>
        <w:rPr>
          <w:rFonts w:hint="eastAsia"/>
          <w:lang w:val="en-US" w:eastAsia="zh-CN"/>
        </w:rPr>
      </w:r>
      <w:r/>
    </w:p>
    <w:p>
      <w:pPr>
        <w:pStyle w:val="778"/>
        <w:jc w:val="center"/>
        <w:shd w:val="clear" w:color="auto"/>
        <w:rPr>
          <w:rFonts w:hint="eastAsia" w:ascii="宋体" w:hAnsi="宋体" w:eastAsia="宋体" w:cs="宋体"/>
          <w:b/>
          <w:bCs w:val="0"/>
          <w:color w:val="auto"/>
          <w:sz w:val="44"/>
          <w:highlight w:val="none"/>
        </w:rPr>
      </w:pPr>
      <w:r/>
      <w:bookmarkStart w:id="193" w:name="_Toc7441"/>
      <w:r>
        <w:rPr>
          <w:rFonts w:hint="eastAsia" w:ascii="宋体" w:hAnsi="宋体" w:eastAsia="宋体" w:cs="宋体"/>
          <w:b/>
          <w:bCs w:val="0"/>
          <w:color w:val="auto"/>
          <w:sz w:val="44"/>
          <w:highlight w:val="none"/>
        </w:rPr>
        <w:t xml:space="preserve">第五章  评标方法与评标标准</w:t>
      </w:r>
      <w:bookmarkEnd w:id="193"/>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788"/>
        <w:tblW w:w="5574" w:type="pct"/>
        <w:tblInd w:w="-49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中小（微）企业或残疾人福利性单位声明函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788"/>
        <w:tblW w:w="5568" w:type="pct"/>
        <w:tblInd w:w="-48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40"/>
        <w:gridCol w:w="2852"/>
      </w:tblGrid>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投标报价</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88"/>
        <w:tblW w:w="499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27"/>
        <w:gridCol w:w="1086"/>
        <w:gridCol w:w="6643"/>
      </w:tblGrid>
      <w:tr>
        <w:trPr>
          <w:trHeight w:val="572"/>
        </w:trPr>
        <w:tc>
          <w:tcPr>
            <w:tcBorders>
              <w:top w:val="single" w:color="auto" w:sz="6" w:space="0"/>
              <w:left w:val="single" w:color="auto" w:sz="6" w:space="0"/>
              <w:bottom w:val="single" w:color="auto" w:sz="6" w:space="0"/>
              <w:right w:val="single" w:color="auto" w:sz="6" w:space="0"/>
            </w:tcBorders>
            <w:tcW w:w="685"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评分要素</w:t>
            </w:r>
            <w:r/>
          </w:p>
        </w:tc>
        <w:tc>
          <w:tcPr>
            <w:tcBorders>
              <w:top w:val="single" w:color="auto" w:sz="6" w:space="0"/>
              <w:left w:val="single" w:color="auto" w:sz="6" w:space="0"/>
              <w:bottom w:val="single" w:color="auto" w:sz="6" w:space="0"/>
              <w:right w:val="single" w:color="auto" w:sz="6" w:space="0"/>
            </w:tcBorders>
            <w:tcW w:w="3707"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分值</w:t>
            </w:r>
            <w:r/>
          </w:p>
        </w:tc>
      </w:tr>
      <w:tr>
        <w:trPr/>
        <w:tc>
          <w:tcPr>
            <w:tcBorders>
              <w:top w:val="single" w:color="auto" w:sz="6" w:space="0"/>
              <w:left w:val="single" w:color="auto" w:sz="6" w:space="0"/>
              <w:bottom w:val="single" w:color="auto" w:sz="6"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30</w:t>
            </w:r>
            <w:r/>
          </w:p>
        </w:tc>
        <w:tc>
          <w:tcPr>
            <w:tcBorders>
              <w:top w:val="single" w:color="auto" w:sz="6" w:space="0"/>
              <w:left w:val="single" w:color="auto" w:sz="6" w:space="0"/>
              <w:bottom w:val="single" w:color="auto" w:sz="6"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采用低价优先法计算，即满足招标文件要求且投标价格最低的投标报价为评标基准价，其价格分为满分。其他投标人投标报价得分＝（评标基准价/投标报价）*30。</w:t>
            </w:r>
            <w:r/>
          </w:p>
        </w:tc>
      </w:tr>
      <w:tr>
        <w:trPr>
          <w:trHeight w:val="2001"/>
        </w:trPr>
        <w:tc>
          <w:tcPr>
            <w:tcBorders>
              <w:top w:val="single" w:color="auto" w:sz="6"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14</w:t>
            </w:r>
            <w:r/>
          </w:p>
        </w:tc>
        <w:tc>
          <w:tcPr>
            <w:tcBorders>
              <w:top w:val="single" w:color="auto" w:sz="6"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产品对招标文件具体需求的响应程度：全部响应即满足招标文件第四章“三、技术参数要求”的得14分。带★项的技术参数要求出现负偏离即为无效投标；带▲项的技术参数要求出现负偏离每项扣1分；其他技术参数要求出现负偏离每项扣0.24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（投标人需在“技术参数响应及偏离表”中如实详细填列所投产品的参数及相关承诺，并按采购文件要求提供证明材料并在偏离表中标明所在页码，否则评标委员会有权做负偏离处理）。</w:t>
            </w:r>
            <w:r/>
          </w:p>
        </w:tc>
      </w:tr>
      <w:tr>
        <w:trPr>
          <w:trHeight w:val="2001"/>
        </w:trPr>
        <w:tc>
          <w:tcPr>
            <w:tcBorders>
              <w:top w:val="single" w:color="auto" w:sz="6" w:space="0"/>
              <w:left w:val="single" w:color="auto" w:sz="6" w:space="0"/>
              <w:bottom w:val="single" w:color="auto" w:sz="4" w:space="0"/>
              <w:right w:val="single" w:color="auto" w:sz="6" w:space="0"/>
            </w:tcBorders>
            <w:tcW w:w="1227" w:type="dxa"/>
            <w:vAlign w:val="center"/>
            <w:textDirection w:val="lrTb"/>
            <w:noWrap w:val="false"/>
          </w:tcPr>
          <w:p>
            <w:pPr>
              <w:jc w:val="left"/>
              <w:spacing w:line="400" w:lineRule="exac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三、</w:t>
            </w:r>
            <w:r>
              <w:rPr>
                <w:rFonts w:hint="eastAsia" w:ascii="宋体" w:hAnsi="宋体" w:eastAsia="宋体" w:cs="宋体"/>
                <w:sz w:val="21"/>
                <w:szCs w:val="21"/>
                <w:lang w:val="en-US" w:eastAsia="en-US" w:bidi="ar-SA"/>
              </w:rPr>
              <w:t xml:space="preserve">成品检测报告</w:t>
            </w:r>
            <w:r/>
          </w:p>
        </w:tc>
        <w:tc>
          <w:tcPr>
            <w:tcBorders>
              <w:top w:val="single" w:color="auto" w:sz="6" w:space="0"/>
              <w:left w:val="single" w:color="auto" w:sz="6" w:space="0"/>
              <w:bottom w:val="single" w:color="auto" w:sz="4" w:space="0"/>
              <w:right w:val="single" w:color="auto" w:sz="6" w:space="0"/>
            </w:tcBorders>
            <w:tcW w:w="1086" w:type="dxa"/>
            <w:vAlign w:val="center"/>
            <w:textDirection w:val="lrTb"/>
            <w:noWrap w:val="false"/>
          </w:tcPr>
          <w:p>
            <w:pPr>
              <w:jc w:val="center"/>
              <w:spacing w:line="400" w:lineRule="exact"/>
              <w:rPr>
                <w:rFonts w:hint="eastAsia" w:ascii="宋体" w:hAnsi="宋体" w:eastAsia="宋体" w:cs="宋体"/>
                <w:sz w:val="21"/>
                <w:szCs w:val="21"/>
                <w:lang w:val="en-US" w:eastAsia="zh-CN" w:bidi="ar-SA"/>
              </w:rPr>
            </w:pPr>
            <w:r>
              <w:rPr>
                <w:rFonts w:hint="eastAsia" w:ascii="宋体" w:hAnsi="宋体"/>
                <w:szCs w:val="21"/>
              </w:rPr>
              <w:t xml:space="preserve">4</w:t>
            </w:r>
            <w:r/>
          </w:p>
        </w:tc>
        <w:tc>
          <w:tcPr>
            <w:tcBorders>
              <w:top w:val="single" w:color="auto" w:sz="6" w:space="0"/>
              <w:left w:val="single" w:color="auto" w:sz="6" w:space="0"/>
              <w:bottom w:val="single" w:color="auto" w:sz="4" w:space="0"/>
              <w:right w:val="single" w:color="auto" w:sz="6" w:space="0"/>
            </w:tcBorders>
            <w:tcW w:w="6643" w:type="dxa"/>
            <w:vAlign w:val="center"/>
            <w:textDirection w:val="lrTb"/>
            <w:noWrap w:val="false"/>
          </w:tcPr>
          <w:p>
            <w:pPr>
              <w:spacing w:line="400" w:lineRule="exact"/>
              <w:rPr>
                <w:rFonts w:ascii="宋体" w:hAnsi="宋体"/>
                <w:szCs w:val="21"/>
              </w:rPr>
            </w:pPr>
            <w:r>
              <w:rPr>
                <w:rFonts w:hint="eastAsia" w:ascii="宋体" w:hAnsi="宋体"/>
                <w:szCs w:val="21"/>
              </w:rPr>
              <w:t xml:space="preserve">投标人提供所投产品自</w:t>
            </w:r>
            <w:r>
              <w:rPr>
                <w:rFonts w:hint="eastAsia" w:ascii="宋体" w:hAnsi="宋体"/>
                <w:szCs w:val="21"/>
                <w:highlight w:val="none"/>
              </w:rPr>
              <w:t xml:space="preserve">2024年1月1日（以报告签发时间为准）以来权威检测机构出具的带有CMA标识的类似产品的成品</w:t>
            </w:r>
            <w:r>
              <w:rPr>
                <w:rFonts w:hint="eastAsia" w:ascii="宋体" w:hAnsi="宋体"/>
                <w:szCs w:val="21"/>
              </w:rPr>
              <w:t xml:space="preserve">送样检验合格报告，包括：</w:t>
            </w:r>
            <w:r/>
          </w:p>
          <w:p>
            <w:pPr>
              <w:jc w:val="left"/>
              <w:rPr>
                <w:rFonts w:ascii="宋体" w:hAnsi="宋体" w:cs="宋体"/>
                <w:szCs w:val="21"/>
              </w:rPr>
            </w:pPr>
            <w:r>
              <w:rPr>
                <w:rFonts w:hint="eastAsia" w:ascii="宋体" w:hAnsi="宋体" w:cs="宋体"/>
                <w:szCs w:val="21"/>
              </w:rPr>
              <w:t xml:space="preserve">1.学生电脑桌（检测要求包含但不限于形状和位置公差合格，外观性能要求中金属件外观、塑料件外观检测结果合格，力学性能强度和耐久性合格，有害物质限量（甲醛释放量、苯、甲苯、二甲苯、总挥发性有机化合物(TVOC)家具涂层可迁移元素）检测结果未检出。）</w:t>
            </w:r>
            <w:r/>
          </w:p>
          <w:p>
            <w:pPr>
              <w:jc w:val="left"/>
              <w:rPr>
                <w:rFonts w:ascii="宋体" w:hAnsi="宋体" w:cs="宋体"/>
                <w:szCs w:val="21"/>
              </w:rPr>
            </w:pPr>
            <w:r>
              <w:rPr>
                <w:rFonts w:hint="eastAsia" w:ascii="宋体" w:hAnsi="宋体" w:cs="宋体"/>
                <w:szCs w:val="21"/>
              </w:rPr>
              <w:t xml:space="preserve">2.教师讲台（检测要求包含但不限于形状和位置公差合格，外观性能要求中金属件外观、塑料件外观检测结果合格，有害物质限量:可迁移元素八项含量要求：锑(Sb)≤60 mg/kg、砷(As)≤25 mg/kg、镉(Cd)≤75mg/kg、铬(Cr)≤60mg/kg、铅(Pb)≤90mg/kg、汞(Hg)≤60mg/kg、硒(Se)≤500mg/kg，钡(Ba)≤1000 mg/kg。）</w:t>
            </w:r>
            <w:r/>
          </w:p>
          <w:p>
            <w:pPr>
              <w:jc w:val="left"/>
              <w:rPr>
                <w:rFonts w:ascii="宋体" w:hAnsi="宋体" w:cs="宋体"/>
                <w:szCs w:val="21"/>
              </w:rPr>
            </w:pPr>
            <w:r>
              <w:rPr>
                <w:rFonts w:hint="eastAsia" w:ascii="宋体" w:hAnsi="宋体" w:cs="宋体"/>
                <w:szCs w:val="21"/>
              </w:rPr>
              <w:t xml:space="preserve">3.教师椅（检测标准QB/T 2280-2016《办公家具 办公椅》外观性能要求中金属件外观、塑料件外观检测结果合格，理化性能</w:t>
            </w:r>
            <w:r>
              <w:rPr>
                <w:rFonts w:ascii="宋体" w:hAnsi="宋体" w:cs="宋体"/>
                <w:szCs w:val="21"/>
              </w:rPr>
              <w:t xml:space="preserve">-</w:t>
            </w:r>
            <w:r>
              <w:rPr>
                <w:rFonts w:hint="eastAsia" w:ascii="宋体" w:hAnsi="宋体" w:cs="宋体"/>
                <w:szCs w:val="21"/>
              </w:rPr>
              <w:t xml:space="preserve">纺织面料（级）干摩擦色牢度</w:t>
            </w:r>
            <w:r>
              <w:rPr>
                <w:rFonts w:ascii="宋体" w:hAnsi="宋体" w:cs="宋体"/>
                <w:szCs w:val="21"/>
              </w:rPr>
              <w:t xml:space="preserve">≥3 </w:t>
            </w:r>
            <w:r>
              <w:rPr>
                <w:rFonts w:hint="eastAsia" w:ascii="宋体" w:hAnsi="宋体" w:cs="宋体"/>
                <w:szCs w:val="21"/>
              </w:rPr>
              <w:t xml:space="preserve">级；甲醛释放量（</w:t>
            </w:r>
            <w:r>
              <w:rPr>
                <w:rFonts w:ascii="宋体" w:hAnsi="宋体" w:cs="宋体"/>
                <w:szCs w:val="21"/>
              </w:rPr>
              <w:t xml:space="preserve">mg/m²h</w:t>
            </w:r>
            <w:r>
              <w:rPr>
                <w:rFonts w:hint="eastAsia" w:ascii="宋体" w:hAnsi="宋体" w:cs="宋体"/>
                <w:szCs w:val="21"/>
              </w:rPr>
              <w:t xml:space="preserve">）≤0.025</w:t>
            </w:r>
            <w:r>
              <w:rPr>
                <w:rFonts w:ascii="宋体" w:hAnsi="宋体" w:cs="宋体"/>
                <w:szCs w:val="21"/>
              </w:rPr>
              <w:t xml:space="preserve">mg/m² h</w:t>
            </w:r>
            <w:r>
              <w:rPr>
                <w:rFonts w:hint="eastAsia" w:ascii="宋体" w:hAnsi="宋体" w:cs="宋体"/>
                <w:szCs w:val="21"/>
              </w:rPr>
              <w:t xml:space="preserve">；总挥发性有机化合物(TVOC)（</w:t>
            </w:r>
            <w:r>
              <w:rPr>
                <w:rFonts w:ascii="宋体" w:hAnsi="宋体" w:cs="宋体"/>
                <w:szCs w:val="21"/>
              </w:rPr>
              <w:t xml:space="preserve">mg/m²h</w:t>
            </w:r>
            <w:r>
              <w:rPr>
                <w:rFonts w:hint="eastAsia" w:ascii="宋体" w:hAnsi="宋体" w:cs="宋体"/>
                <w:szCs w:val="21"/>
              </w:rPr>
              <w:t xml:space="preserve">）≤0.4</w:t>
            </w:r>
            <w:r>
              <w:rPr>
                <w:rFonts w:ascii="宋体" w:hAnsi="宋体" w:cs="宋体"/>
                <w:szCs w:val="21"/>
              </w:rPr>
              <w:t xml:space="preserve">mg/m²h</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4.学生椅（检测标准GB 20286-2006《公共场所阻燃制品及组件燃烧性能要求和标识》阻燃性≥2级，QB/T4371-2012《家具抗菌性能的评价》抑菌率≥99%，GB/T 20285—2006《材料产烟毒性危险分级》产烟毒性危险分级≥ZA2级）。</w:t>
            </w:r>
            <w:r/>
          </w:p>
          <w:p>
            <w:pPr>
              <w:jc w:val="left"/>
              <w:spacing w:line="400" w:lineRule="exact"/>
              <w:rPr>
                <w:rFonts w:hint="eastAsia" w:ascii="宋体" w:hAnsi="宋体" w:eastAsia="宋体" w:cs="宋体"/>
                <w:sz w:val="21"/>
                <w:szCs w:val="21"/>
                <w:lang w:val="en-US" w:eastAsia="en-US" w:bidi="ar-SA"/>
              </w:rPr>
            </w:pPr>
            <w:r>
              <w:rPr>
                <w:rFonts w:hint="eastAsia" w:ascii="宋体" w:hAnsi="宋体"/>
                <w:szCs w:val="21"/>
              </w:rPr>
              <w:t xml:space="preserve">每提供1项符合上述要求的检验检测报告电子件的得1分，满分4分。</w:t>
            </w:r>
            <w:r/>
          </w:p>
        </w:tc>
      </w:tr>
      <w:tr>
        <w:trPr>
          <w:trHeight w:val="1362"/>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四</w:t>
            </w:r>
            <w:r>
              <w:rPr>
                <w:rFonts w:hint="eastAsia" w:ascii="宋体" w:hAnsi="宋体" w:eastAsia="宋体" w:cs="宋体"/>
                <w:sz w:val="21"/>
                <w:szCs w:val="21"/>
                <w:lang w:val="en-US" w:eastAsia="en-US" w:bidi="ar-SA"/>
              </w:rPr>
              <w:t xml:space="preserve">、样品</w:t>
            </w:r>
            <w:r/>
          </w:p>
        </w:tc>
        <w:tc>
          <w:tcPr>
            <w:tcBorders>
              <w:top w:val="single" w:color="auto" w:sz="4" w:space="0"/>
              <w:left w:val="single" w:color="auto" w:sz="6" w:space="0"/>
              <w:bottom w:val="single" w:color="auto" w:sz="4" w:space="0"/>
              <w:right w:val="single" w:color="auto" w:sz="6" w:space="0"/>
            </w:tcBorders>
            <w:tcW w:w="1086" w:type="dxa"/>
            <w:vAlign w:val="center"/>
            <w:textDirection w:val="lrTb"/>
            <w:noWrap w:val="false"/>
          </w:tcPr>
          <w:p>
            <w:pPr>
              <w:jc w:val="center"/>
              <w:rPr>
                <w:rFonts w:ascii="宋体" w:hAnsi="宋体" w:eastAsia="宋体" w:cs="宋体"/>
                <w:sz w:val="21"/>
                <w:szCs w:val="21"/>
                <w:highlight w:val="none"/>
                <w:lang w:val="en-US" w:eastAsia="en-US" w:bidi="ar-SA"/>
              </w:rPr>
            </w:pPr>
            <w:r>
              <w:rPr>
                <w:rFonts w:hint="eastAsia" w:ascii="宋体" w:hAnsi="宋体" w:cs="宋体"/>
                <w:szCs w:val="21"/>
                <w:highlight w:val="none"/>
              </w:rPr>
              <w:t xml:space="preserve">12</w:t>
            </w:r>
            <w:r/>
          </w:p>
        </w:tc>
        <w:tc>
          <w:tcPr>
            <w:tcBorders>
              <w:top w:val="single" w:color="auto" w:sz="4" w:space="0"/>
              <w:left w:val="single" w:color="auto" w:sz="6" w:space="0"/>
              <w:bottom w:val="single" w:color="auto" w:sz="4" w:space="0"/>
              <w:right w:val="single" w:color="auto" w:sz="6" w:space="0"/>
            </w:tcBorders>
            <w:tcW w:w="6643" w:type="dxa"/>
            <w:vAlign w:val="top"/>
            <w:textDirection w:val="lrTb"/>
            <w:noWrap w:val="false"/>
          </w:tcPr>
          <w:p>
            <w:pPr>
              <w:rPr>
                <w:rFonts w:ascii="宋体" w:hAnsi="宋体" w:eastAsia="宋体" w:cs="宋体"/>
                <w:sz w:val="21"/>
                <w:szCs w:val="21"/>
                <w:highlight w:val="none"/>
                <w:lang w:val="en-US" w:eastAsia="en-US" w:bidi="ar-SA"/>
              </w:rPr>
            </w:pPr>
            <w:r>
              <w:rPr>
                <w:rFonts w:hint="eastAsia" w:ascii="宋体" w:hAnsi="宋体" w:cs="Courier New"/>
                <w:color w:val="000000"/>
                <w:szCs w:val="21"/>
                <w:highlight w:val="none"/>
              </w:rPr>
              <w:t xml:space="preserve">评标委员会在投标人提供的符合招标文件技术参数、材质要求的前提下，根据综合比较打分。样品为：学生电脑桌钢架（3分）、学生椅（3分）、学生电脑桌面板（3分）、主机柜冷轧钢板（3分），按照样品制作标准和要求进行制作小样，评标委员会对投标人提供的小样外观、工艺等方面进行评审，优于招标文件要求得3分，小样符合招标文件要求得1.5分，注:投标人所提供的样品与招标文件要求不符合或未提供或者提供的不齐全不得分，3D打印的样品不得分。</w:t>
            </w:r>
            <w:r/>
          </w:p>
        </w:tc>
      </w:tr>
      <w:tr>
        <w:trPr>
          <w:trHeight w:val="1801"/>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五</w:t>
            </w:r>
            <w:r>
              <w:rPr>
                <w:rFonts w:hint="eastAsia" w:ascii="宋体" w:hAnsi="宋体" w:eastAsia="宋体" w:cs="宋体"/>
                <w:sz w:val="21"/>
                <w:szCs w:val="21"/>
                <w:lang w:val="en-US" w:eastAsia="en-US" w:bidi="ar-SA"/>
              </w:rPr>
              <w:t xml:space="preserve">、生产设备</w:t>
            </w:r>
            <w:r/>
          </w:p>
        </w:tc>
        <w:tc>
          <w:tcPr>
            <w:tcBorders>
              <w:top w:val="single" w:color="auto" w:sz="4" w:space="0"/>
              <w:left w:val="single" w:color="auto" w:sz="6" w:space="0"/>
              <w:bottom w:val="single" w:color="auto" w:sz="4" w:space="0"/>
              <w:right w:val="single" w:color="auto" w:sz="6" w:space="0"/>
            </w:tcBorders>
            <w:tcW w:w="1086"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cs="宋体"/>
                <w:szCs w:val="21"/>
              </w:rPr>
              <w:t xml:space="preserve">5</w:t>
            </w:r>
            <w:r/>
          </w:p>
        </w:tc>
        <w:tc>
          <w:tcPr>
            <w:tcBorders>
              <w:top w:val="single" w:color="auto" w:sz="4" w:space="0"/>
              <w:left w:val="single" w:color="auto" w:sz="6" w:space="0"/>
              <w:bottom w:val="single" w:color="auto" w:sz="4" w:space="0"/>
              <w:right w:val="single" w:color="auto" w:sz="6" w:space="0"/>
            </w:tcBorders>
            <w:tcW w:w="6643" w:type="dxa"/>
            <w:vAlign w:val="top"/>
            <w:textDirection w:val="lrTb"/>
            <w:noWrap w:val="false"/>
          </w:tcPr>
          <w:p>
            <w:pPr>
              <w:jc w:val="left"/>
              <w:rPr>
                <w:rFonts w:ascii="宋体" w:hAnsi="宋体" w:eastAsia="宋体" w:cs="宋体"/>
                <w:sz w:val="21"/>
                <w:szCs w:val="21"/>
                <w:lang w:val="en-US" w:eastAsia="en-US" w:bidi="ar-SA"/>
              </w:rPr>
            </w:pPr>
            <w:r>
              <w:rPr>
                <w:rFonts w:hint="eastAsia" w:ascii="宋体" w:hAnsi="宋体" w:cs="宋体"/>
                <w:szCs w:val="21"/>
              </w:rPr>
              <w:t xml:space="preserve">投标人或所投产品制造商需提供的生产设备：激光切割设备、焊接机器人（自动焊接设备）、全自动喷涂生产线、数控弯管机、数控排钻，每提供一项得1分，本项最高得5分。注：需提供设备生产车间实景照片、设备照片、设备清单及生产设备购置发票（发票需清晰可见相应内容），缺一不可。如所提供设备名称与本项要求不完全一致，但功能符合本项要求，且提供相应功能证明材料并满足上述材料要求可得分。</w:t>
            </w:r>
            <w:r/>
          </w:p>
        </w:tc>
      </w:tr>
      <w:tr>
        <w:trPr>
          <w:trHeight w:val="1620"/>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zh-CN" w:bidi="ar"/>
              </w:rPr>
              <w:t xml:space="preserve">六</w:t>
            </w:r>
            <w:r>
              <w:rPr>
                <w:rFonts w:hint="eastAsia" w:ascii="宋体" w:hAnsi="宋体" w:eastAsia="宋体" w:cs="宋体"/>
                <w:sz w:val="21"/>
                <w:szCs w:val="21"/>
                <w:lang w:val="en-US" w:eastAsia="en-US" w:bidi="ar"/>
              </w:rPr>
              <w:t xml:space="preserve">、环保认证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2</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both"/>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w:t>
            </w:r>
            <w:bookmarkStart w:id="194" w:name="OLE_LINK18"/>
            <w:r>
              <w:rPr>
                <w:rFonts w:hint="eastAsia" w:ascii="宋体" w:hAnsi="宋体" w:eastAsia="宋体" w:cs="宋体"/>
                <w:sz w:val="21"/>
                <w:szCs w:val="21"/>
                <w:lang w:val="en-US" w:eastAsia="en-US" w:bidi="ar-SA"/>
              </w:rPr>
              <w:t xml:space="preserve">中国环境标志产品认证证书</w:t>
            </w:r>
            <w:bookmarkEnd w:id="194"/>
            <w:r>
              <w:rPr>
                <w:rFonts w:hint="eastAsia" w:ascii="宋体" w:hAnsi="宋体" w:eastAsia="宋体" w:cs="宋体"/>
                <w:sz w:val="21"/>
                <w:szCs w:val="21"/>
                <w:lang w:val="en-US" w:eastAsia="en-US" w:bidi="ar-SA"/>
              </w:rPr>
              <w:t xml:space="preserve">电子件的，认证单元每有一项与本项目采购产品相关的得1分，本项最高得2分。</w:t>
            </w:r>
            <w:r/>
          </w:p>
          <w:p>
            <w:pPr>
              <w:jc w:val="both"/>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注：投标文件提供上述证书电子件，未提供的不得分。</w:t>
            </w:r>
            <w:r/>
          </w:p>
        </w:tc>
      </w:tr>
      <w:tr>
        <w:trPr>
          <w:trHeight w:val="1620"/>
        </w:trPr>
        <w:tc>
          <w:tcPr>
            <w:tcBorders>
              <w:top w:val="single" w:color="auto" w:sz="4" w:space="0"/>
              <w:left w:val="single" w:color="auto" w:sz="6" w:space="0"/>
              <w:bottom w:val="single" w:color="auto" w:sz="4" w:space="0"/>
              <w:right w:val="single" w:color="auto" w:sz="6" w:space="0"/>
            </w:tcBorders>
            <w:tcW w:w="1227" w:type="dxa"/>
            <w:vAlign w:val="center"/>
            <w:textDirection w:val="lrTb"/>
            <w:noWrap w:val="false"/>
          </w:tcPr>
          <w:p>
            <w:pPr>
              <w:pStyle w:val="982"/>
              <w:jc w:val="center"/>
              <w:rPr>
                <w:rFonts w:hint="eastAsia" w:ascii="宋体" w:hAnsi="宋体" w:eastAsia="宋体" w:cs="宋体"/>
                <w:sz w:val="21"/>
                <w:szCs w:val="21"/>
                <w:lang w:val="en-US" w:eastAsia="zh-CN" w:bidi="ar"/>
              </w:rPr>
            </w:pPr>
            <w:r>
              <w:rPr>
                <w:rFonts w:hint="eastAsia" w:eastAsia="宋体"/>
                <w:sz w:val="21"/>
                <w:szCs w:val="21"/>
                <w:lang w:val="en-US" w:eastAsia="zh-CN" w:bidi="ar-SA"/>
              </w:rPr>
              <w:t xml:space="preserve">七、</w:t>
            </w:r>
            <w:r>
              <w:rPr>
                <w:rFonts w:hint="eastAsia"/>
                <w:sz w:val="21"/>
                <w:szCs w:val="21"/>
                <w:lang w:val="en-US" w:bidi="ar-SA"/>
              </w:rPr>
              <w:t xml:space="preserve">资质认证</w:t>
            </w:r>
            <w:r/>
          </w:p>
        </w:tc>
        <w:tc>
          <w:tcPr>
            <w:tcBorders>
              <w:top w:val="single" w:color="auto" w:sz="4" w:space="0"/>
              <w:left w:val="single" w:color="auto" w:sz="6" w:space="0"/>
              <w:bottom w:val="single" w:color="auto" w:sz="4" w:space="0"/>
              <w:right w:val="single" w:color="auto" w:sz="6" w:space="0"/>
            </w:tcBorders>
            <w:tcW w:w="1086" w:type="dxa"/>
            <w:vAlign w:val="center"/>
            <w:textDirection w:val="lrTb"/>
            <w:noWrap w:val="false"/>
          </w:tcPr>
          <w:p>
            <w:pPr>
              <w:jc w:val="center"/>
              <w:rPr>
                <w:rFonts w:hint="eastAsia" w:ascii="宋体" w:hAnsi="宋体" w:eastAsia="宋体" w:cs="宋体"/>
                <w:sz w:val="21"/>
                <w:szCs w:val="21"/>
                <w:lang w:val="en-US" w:eastAsia="en-US" w:bidi="ar-SA"/>
              </w:rPr>
            </w:pPr>
            <w:r>
              <w:rPr>
                <w:rFonts w:hint="eastAsia" w:ascii="宋体" w:hAnsi="宋体" w:cs="宋体"/>
                <w:szCs w:val="21"/>
              </w:rPr>
              <w:t xml:space="preserve">3</w:t>
            </w:r>
            <w:r/>
          </w:p>
        </w:tc>
        <w:tc>
          <w:tcPr>
            <w:tcBorders>
              <w:top w:val="single" w:color="auto" w:sz="4" w:space="0"/>
              <w:left w:val="single" w:color="auto" w:sz="6" w:space="0"/>
              <w:bottom w:val="single" w:color="auto" w:sz="4" w:space="0"/>
              <w:right w:val="single" w:color="auto" w:sz="6" w:space="0"/>
            </w:tcBorders>
            <w:tcW w:w="6643" w:type="dxa"/>
            <w:vAlign w:val="center"/>
            <w:textDirection w:val="lrTb"/>
            <w:noWrap w:val="false"/>
          </w:tcPr>
          <w:p>
            <w:pPr>
              <w:jc w:val="left"/>
              <w:rPr>
                <w:rFonts w:ascii="宋体" w:hAnsi="宋体" w:cs="宋体"/>
                <w:szCs w:val="21"/>
              </w:rPr>
            </w:pPr>
            <w:r>
              <w:rPr>
                <w:rFonts w:hint="eastAsia" w:ascii="宋体" w:hAnsi="宋体" w:cs="宋体"/>
                <w:szCs w:val="21"/>
              </w:rPr>
              <w:t xml:space="preserve">投标人所投产品具有国家认监委认可的认证机构出具的有效家具防火阻燃产品认证证书的，得1分。（提供证书扫描件及在全国认证认可信息公共服务平台的有效查询截图）。</w:t>
            </w:r>
            <w:r/>
          </w:p>
          <w:p>
            <w:pPr>
              <w:jc w:val="left"/>
              <w:rPr>
                <w:rFonts w:ascii="宋体" w:hAnsi="宋体" w:cs="宋体"/>
                <w:szCs w:val="21"/>
              </w:rPr>
            </w:pPr>
            <w:r>
              <w:rPr>
                <w:rFonts w:hint="eastAsia" w:ascii="宋体" w:hAnsi="宋体" w:cs="宋体"/>
                <w:szCs w:val="21"/>
              </w:rPr>
              <w:t xml:space="preserve">投标人所投产品具有国家认监委认可的认证机构出具的有效家具产品有害物质限量认证证书的，得1分。（提供证书扫描件及在全国认证认可信息公共服务平台的有效查询截图）。</w:t>
            </w:r>
            <w:r/>
          </w:p>
          <w:p>
            <w:pPr>
              <w:jc w:val="left"/>
              <w:rPr>
                <w:rFonts w:hint="eastAsia" w:ascii="宋体" w:hAnsi="宋体" w:eastAsia="宋体" w:cs="宋体"/>
                <w:sz w:val="21"/>
                <w:szCs w:val="21"/>
                <w:lang w:val="en-US" w:eastAsia="en-US" w:bidi="ar-SA"/>
              </w:rPr>
            </w:pPr>
            <w:r/>
            <w:bookmarkStart w:id="213" w:name="_GoBack"/>
            <w:r/>
            <w:bookmarkEnd w:id="213"/>
            <w:r>
              <w:rPr>
                <w:rFonts w:hint="eastAsia" w:ascii="宋体" w:hAnsi="宋体" w:cs="宋体"/>
                <w:szCs w:val="21"/>
              </w:rPr>
              <w:t xml:space="preserve">投标人所投产品具有国家认监委认可的认证机构出具的有效人类工效学认证证书的，得1分。（提供证书扫描件及在全国认证认可信息公共服务平台的有效查询截图）。</w:t>
            </w:r>
            <w:r/>
          </w:p>
        </w:tc>
      </w:tr>
      <w:tr>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八</w:t>
            </w:r>
            <w:r>
              <w:rPr>
                <w:rFonts w:hint="eastAsia" w:ascii="宋体" w:hAnsi="宋体" w:eastAsia="宋体" w:cs="宋体"/>
                <w:sz w:val="21"/>
                <w:szCs w:val="21"/>
                <w:lang w:val="en-US" w:eastAsia="en-US" w:bidi="ar-SA"/>
              </w:rPr>
              <w:t xml:space="preserve">、企业业绩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12</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投标人具有自2023年1月1日（以合同签订时间为准）以来,承担过与本项目类似家具（</w:t>
            </w:r>
            <w:bookmarkStart w:id="195" w:name="OLE_LINK104"/>
            <w:r>
              <w:rPr>
                <w:rFonts w:hint="eastAsia" w:ascii="宋体" w:hAnsi="宋体" w:eastAsia="宋体" w:cs="宋体"/>
                <w:sz w:val="21"/>
                <w:szCs w:val="21"/>
                <w:lang w:val="en-US" w:eastAsia="en-US" w:bidi="ar-SA"/>
              </w:rPr>
              <w:t xml:space="preserve">合同内容至少包含本项目核心产品</w:t>
            </w:r>
            <w:bookmarkEnd w:id="195"/>
            <w:r>
              <w:rPr>
                <w:rFonts w:hint="eastAsia" w:ascii="宋体" w:hAnsi="宋体" w:eastAsia="宋体" w:cs="宋体"/>
                <w:sz w:val="21"/>
                <w:szCs w:val="21"/>
                <w:lang w:val="en-US" w:eastAsia="en-US" w:bidi="ar-SA"/>
              </w:rPr>
              <w:t xml:space="preserve">）业绩，每提供一个得</w:t>
            </w: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en-US" w:bidi="ar-SA"/>
              </w:rPr>
              <w:t xml:space="preserve">分，最多得</w:t>
            </w:r>
            <w:r>
              <w:rPr>
                <w:rFonts w:hint="eastAsia" w:ascii="宋体" w:hAnsi="宋体" w:eastAsia="宋体" w:cs="宋体"/>
                <w:sz w:val="21"/>
                <w:szCs w:val="21"/>
                <w:lang w:val="en-US" w:eastAsia="zh-CN" w:bidi="ar-SA"/>
              </w:rPr>
              <w:t xml:space="preserve">12</w:t>
            </w:r>
            <w:r>
              <w:rPr>
                <w:rFonts w:hint="eastAsia" w:ascii="宋体" w:hAnsi="宋体" w:eastAsia="宋体" w:cs="宋体"/>
                <w:sz w:val="21"/>
                <w:szCs w:val="21"/>
                <w:lang w:val="en-US" w:eastAsia="en-US" w:bidi="ar-SA"/>
              </w:rPr>
              <w:t xml:space="preserve">分。注：业绩需提供项目合同材料电子件，且业绩合同中主要内容、标的、金额、签订时间等清晰可见，否则该业绩不得分。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九</w:t>
            </w:r>
            <w:r>
              <w:rPr>
                <w:rFonts w:hint="eastAsia" w:ascii="宋体" w:hAnsi="宋体" w:eastAsia="宋体" w:cs="宋体"/>
                <w:sz w:val="21"/>
                <w:szCs w:val="21"/>
                <w:lang w:val="en-US" w:eastAsia="en-US" w:bidi="ar-SA"/>
              </w:rPr>
              <w:t xml:space="preserve">、质量保证及进度安排方案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5</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：五-商务要求，5.1质量保证及进度安排制定制定项目实施方案，优于采购需求的，得5分；满足采购需求的，得3分；</w:t>
            </w:r>
            <w:r>
              <w:rPr>
                <w:rFonts w:hint="eastAsia" w:ascii="宋体" w:hAnsi="宋体" w:eastAsia="宋体" w:cs="宋体"/>
                <w:color w:val="000000"/>
                <w:sz w:val="21"/>
                <w:szCs w:val="21"/>
                <w:lang w:val="en-US" w:eastAsia="zh-CN" w:bidi="ar"/>
              </w:rPr>
              <w:t xml:space="preserve">低于</w:t>
            </w:r>
            <w:r>
              <w:rPr>
                <w:rFonts w:hint="eastAsia" w:ascii="宋体" w:hAnsi="宋体" w:eastAsia="宋体" w:cs="宋体"/>
                <w:sz w:val="21"/>
                <w:szCs w:val="21"/>
                <w:lang w:val="en-US" w:eastAsia="en-US" w:bidi="ar-SA"/>
              </w:rPr>
              <w:t xml:space="preserve">采购需求的，得</w:t>
            </w: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未提供</w:t>
            </w:r>
            <w:r>
              <w:rPr>
                <w:rFonts w:ascii="宋体" w:hAnsi="宋体" w:eastAsia="宋体" w:cs="宋体"/>
                <w:color w:val="000000"/>
                <w:sz w:val="21"/>
                <w:szCs w:val="21"/>
                <w:lang w:val="en-US" w:eastAsia="en-US" w:bidi="ar"/>
              </w:rPr>
              <w:t xml:space="preserve">的不得分。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十</w:t>
            </w:r>
            <w:r>
              <w:rPr>
                <w:rFonts w:hint="eastAsia" w:ascii="宋体" w:hAnsi="宋体" w:eastAsia="宋体" w:cs="宋体"/>
                <w:sz w:val="21"/>
                <w:szCs w:val="21"/>
                <w:lang w:val="en-US" w:eastAsia="en-US" w:bidi="ar-SA"/>
              </w:rPr>
              <w:t xml:space="preserve">、现场管理及突发事件处置方案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5</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：五-商务要求，5.2现场管理及突发事件处置方案，优于采购需求的，得5分；满足采购需求的，得3分；</w:t>
            </w:r>
            <w:r>
              <w:rPr>
                <w:rFonts w:hint="eastAsia" w:ascii="宋体" w:hAnsi="宋体" w:eastAsia="宋体" w:cs="宋体"/>
                <w:color w:val="000000"/>
                <w:sz w:val="21"/>
                <w:szCs w:val="21"/>
                <w:lang w:val="en-US" w:eastAsia="zh-CN" w:bidi="ar"/>
              </w:rPr>
              <w:t xml:space="preserve">低于</w:t>
            </w:r>
            <w:r>
              <w:rPr>
                <w:rFonts w:hint="eastAsia" w:ascii="宋体" w:hAnsi="宋体" w:eastAsia="宋体" w:cs="宋体"/>
                <w:sz w:val="21"/>
                <w:szCs w:val="21"/>
                <w:lang w:val="en-US" w:eastAsia="en-US" w:bidi="ar-SA"/>
              </w:rPr>
              <w:t xml:space="preserve">采购需求的，得</w:t>
            </w: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未提供</w:t>
            </w:r>
            <w:r>
              <w:rPr>
                <w:rFonts w:ascii="宋体" w:hAnsi="宋体" w:eastAsia="宋体" w:cs="宋体"/>
                <w:color w:val="000000"/>
                <w:sz w:val="21"/>
                <w:szCs w:val="21"/>
                <w:lang w:val="en-US" w:eastAsia="en-US" w:bidi="ar"/>
              </w:rPr>
              <w:t xml:space="preserve">的不得分。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十一</w:t>
            </w:r>
            <w:r>
              <w:rPr>
                <w:rFonts w:hint="eastAsia" w:ascii="宋体" w:hAnsi="宋体" w:eastAsia="宋体" w:cs="宋体"/>
                <w:sz w:val="21"/>
                <w:szCs w:val="21"/>
                <w:lang w:val="en-US" w:eastAsia="en-US" w:bidi="ar-SA"/>
              </w:rPr>
              <w:t xml:space="preserve">、配送及安装方案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bCs/>
                <w:color w:val="000000"/>
                <w:sz w:val="24"/>
                <w:szCs w:val="24"/>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投标人根据招标文件“第四部分：五-商务要求，5.3配送及安装方案，优于采购需求的，得</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分；满足采购需求的，得</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zh-CN" w:bidi="ar"/>
              </w:rPr>
              <w:t xml:space="preserve">低于</w:t>
            </w:r>
            <w:r>
              <w:rPr>
                <w:rFonts w:hint="eastAsia" w:ascii="宋体" w:hAnsi="宋体" w:eastAsia="宋体" w:cs="宋体"/>
                <w:sz w:val="21"/>
                <w:szCs w:val="21"/>
                <w:lang w:val="en-US" w:eastAsia="en-US" w:bidi="ar-SA"/>
              </w:rPr>
              <w:t xml:space="preserve">采购需求的，得</w:t>
            </w: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未提供</w:t>
            </w:r>
            <w:r>
              <w:rPr>
                <w:rFonts w:ascii="宋体" w:hAnsi="宋体" w:eastAsia="宋体" w:cs="宋体"/>
                <w:color w:val="000000"/>
                <w:sz w:val="21"/>
                <w:szCs w:val="21"/>
                <w:lang w:val="en-US" w:eastAsia="en-US" w:bidi="ar"/>
              </w:rPr>
              <w:t xml:space="preserve">的不得分。</w:t>
            </w:r>
            <w:r/>
          </w:p>
        </w:tc>
      </w:tr>
      <w:tr>
        <w:trPr>
          <w:trHeight w:val="957"/>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十</w:t>
            </w:r>
            <w:r>
              <w:rPr>
                <w:rFonts w:hint="eastAsia" w:ascii="宋体" w:hAnsi="宋体" w:eastAsia="宋体" w:cs="宋体"/>
                <w:sz w:val="21"/>
                <w:szCs w:val="21"/>
                <w:lang w:val="en-US" w:eastAsia="zh-CN" w:bidi="ar-SA"/>
              </w:rPr>
              <w:t xml:space="preserve">二</w:t>
            </w:r>
            <w:r>
              <w:rPr>
                <w:rFonts w:hint="eastAsia" w:ascii="宋体" w:hAnsi="宋体" w:eastAsia="宋体" w:cs="宋体"/>
                <w:sz w:val="21"/>
                <w:szCs w:val="21"/>
                <w:lang w:val="en-US" w:eastAsia="en-US" w:bidi="ar-SA"/>
              </w:rPr>
              <w:t xml:space="preserve">、售后服务方案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：五-商务要求5.4售后服务要求”制定售后服务方案 ，评标委员会根据投标人提供的售后服务方案进行打分，优于采购需求的，得</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分；满足采购需求的，得</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zh-CN" w:bidi="ar"/>
              </w:rPr>
              <w:t xml:space="preserve">低于</w:t>
            </w:r>
            <w:r>
              <w:rPr>
                <w:rFonts w:hint="eastAsia" w:ascii="宋体" w:hAnsi="宋体" w:eastAsia="宋体" w:cs="宋体"/>
                <w:sz w:val="21"/>
                <w:szCs w:val="21"/>
                <w:lang w:val="en-US" w:eastAsia="en-US" w:bidi="ar-SA"/>
              </w:rPr>
              <w:t xml:space="preserve">采购需求的，得</w:t>
            </w: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未提供</w:t>
            </w:r>
            <w:r>
              <w:rPr>
                <w:rFonts w:ascii="宋体" w:hAnsi="宋体" w:eastAsia="宋体" w:cs="宋体"/>
                <w:color w:val="000000"/>
                <w:sz w:val="21"/>
                <w:szCs w:val="21"/>
                <w:lang w:val="en-US" w:eastAsia="en-US" w:bidi="ar"/>
              </w:rPr>
              <w:t xml:space="preserve">的不得分。</w:t>
            </w:r>
            <w:r/>
          </w:p>
        </w:tc>
      </w:tr>
    </w:tbl>
    <w:p>
      <w:pPr>
        <w:ind w:firstLine="482"/>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2（1）、3（3）、4</w:t>
      </w:r>
      <w:r>
        <w:rPr>
          <w:rFonts w:hint="eastAsia" w:ascii="宋体" w:hAnsi="宋体" w:eastAsia="宋体" w:cs="宋体"/>
          <w:b/>
          <w:bCs/>
          <w:color w:val="auto"/>
          <w:sz w:val="24"/>
          <w:highlight w:val="none"/>
          <w:u w:val="single"/>
        </w:rPr>
        <w:t xml:space="preserve">  </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采购本国产品的支持政策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78"/>
        <w:jc w:val="center"/>
        <w:shd w:val="clear" w:color="auto"/>
        <w:rPr>
          <w:rFonts w:hint="eastAsia" w:ascii="宋体" w:hAnsi="宋体" w:eastAsia="宋体" w:cs="宋体"/>
          <w:b/>
          <w:bCs w:val="0"/>
          <w:color w:val="auto"/>
          <w:sz w:val="44"/>
          <w:highlight w:val="none"/>
        </w:rPr>
      </w:pPr>
      <w:r/>
      <w:bookmarkStart w:id="196" w:name="_Toc20454"/>
      <w:r>
        <w:rPr>
          <w:rFonts w:hint="eastAsia" w:ascii="宋体" w:hAnsi="宋体" w:eastAsia="宋体" w:cs="宋体"/>
          <w:b/>
          <w:bCs w:val="0"/>
          <w:color w:val="auto"/>
          <w:sz w:val="44"/>
          <w:highlight w:val="none"/>
        </w:rPr>
        <w:t xml:space="preserve">第六章  投标文件格式</w:t>
      </w:r>
      <w:bookmarkEnd w:id="196"/>
      <w:r/>
      <w:r/>
    </w:p>
    <w:p>
      <w:pPr>
        <w:jc w:val="center"/>
        <w:shd w:val="clear" w:color="auto"/>
        <w:rPr>
          <w:rFonts w:hint="eastAsia" w:ascii="宋体" w:hAnsi="宋体" w:eastAsia="宋体" w:cs="宋体"/>
          <w:b/>
          <w:color w:val="auto"/>
          <w:sz w:val="72"/>
          <w:highlight w:val="none"/>
        </w:rPr>
      </w:pPr>
      <w:r/>
      <w:bookmarkStart w:id="197" w:name="_Hlt26955039"/>
      <w:r/>
      <w:bookmarkEnd w:id="197"/>
      <w:r/>
      <w:bookmarkStart w:id="198" w:name="_Hlt26671244"/>
      <w:r/>
      <w:bookmarkEnd w:id="198"/>
      <w:r/>
      <w:bookmarkStart w:id="199" w:name="_Toc120614282"/>
      <w:r/>
      <w:bookmarkStart w:id="200" w:name="_Toc49090576"/>
      <w:r/>
      <w:bookmarkStart w:id="201" w:name="_Toc26554094"/>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shd w:val="clear" w:color="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十一、关于符合本国产品标准的声明函</w:t>
      </w:r>
      <w:r/>
    </w:p>
    <w:p>
      <w:pPr>
        <w:ind w:firstLine="480"/>
        <w:spacing w:line="440" w:lineRule="exact"/>
        <w:shd w:val="clear" w:color="auto"/>
        <w:rPr>
          <w:rFonts w:hint="eastAsia" w:ascii="宋体" w:hAnsi="宋体" w:eastAsia="宋体" w:cs="宋体"/>
          <w:b/>
          <w:bCs/>
          <w:color w:val="auto"/>
          <w:sz w:val="24"/>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、投标所需其他材料</w:t>
      </w:r>
      <w:r/>
    </w:p>
    <w:p>
      <w:pPr>
        <w:pStyle w:val="968"/>
        <w:shd w:val="clear" w:color="auto"/>
        <w:rPr>
          <w:rFonts w:hint="eastAsia" w:ascii="宋体" w:hAnsi="宋体" w:eastAsia="宋体" w:cs="宋体"/>
          <w:b/>
          <w:color w:val="auto"/>
          <w:sz w:val="32"/>
          <w:szCs w:val="32"/>
          <w:highlight w:val="none"/>
        </w:rPr>
        <w:outlineLvl w:val="1"/>
      </w:pPr>
      <w:r/>
      <w:bookmarkStart w:id="202" w:name="_Toc23838"/>
      <w:r>
        <w:rPr>
          <w:rFonts w:hint="eastAsia" w:ascii="宋体" w:hAnsi="宋体" w:eastAsia="宋体" w:cs="宋体"/>
          <w:color w:val="auto"/>
          <w:highlight w:val="none"/>
        </w:rPr>
        <w:br w:type="page" w:clear="all"/>
      </w:r>
      <w:bookmarkEnd w:id="202"/>
      <w:r>
        <w:rPr>
          <w:rFonts w:hint="eastAsia" w:ascii="宋体" w:hAnsi="宋体" w:eastAsia="宋体" w:cs="宋体"/>
          <w:b/>
          <w:color w:val="auto"/>
          <w:sz w:val="32"/>
          <w:szCs w:val="32"/>
          <w:highlight w:val="none"/>
        </w:rPr>
        <w:t xml:space="preserve">一、</w:t>
      </w:r>
      <w:bookmarkEnd w:id="199"/>
      <w:r/>
      <w:bookmarkEnd w:id="200"/>
      <w:r/>
      <w:bookmarkEnd w:id="201"/>
      <w:r>
        <w:rPr>
          <w:rFonts w:hint="eastAsia" w:ascii="宋体" w:hAnsi="宋体" w:eastAsia="宋体" w:cs="宋体"/>
          <w:b/>
          <w:color w:val="auto"/>
          <w:sz w:val="32"/>
          <w:szCs w:val="32"/>
          <w:highlight w:val="none"/>
        </w:rPr>
        <w:t xml:space="preserve">投标声明及承诺函</w:t>
      </w:r>
      <w:r/>
    </w:p>
    <w:p>
      <w:pPr>
        <w:pStyle w:val="969"/>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969"/>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9"/>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69"/>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968"/>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970"/>
        <w:jc w:val="center"/>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970"/>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970"/>
              <w:ind w:firstLine="1432"/>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970"/>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70"/>
              <w:jc w:val="center"/>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提供营业执照等证明材料</w:t>
            </w:r>
            <w:r/>
          </w:p>
        </w:tc>
      </w:tr>
    </w:tbl>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9"/>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三、满足特定资格要求的证明文件（如果设置特定资格要求，则需要提供。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四、法定代表人身份证明或授权委托书</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cs="宋体"/>
          <w:b/>
          <w:bCs/>
          <w:color w:val="000000"/>
          <w:sz w:val="28"/>
          <w:szCs w:val="28"/>
          <w:highlight w:val="none"/>
        </w:rPr>
      </w:pPr>
      <w:r>
        <w:rPr>
          <w:rFonts w:hint="eastAsia" w:cs="宋体"/>
          <w:b/>
          <w:bCs/>
          <w:color w:val="000000"/>
          <w:sz w:val="28"/>
          <w:szCs w:val="28"/>
          <w:highlight w:val="none"/>
          <w:lang w:eastAsia="zh-CN"/>
        </w:rPr>
        <w:t xml:space="preserve">1.</w:t>
      </w:r>
      <w:r>
        <w:rPr>
          <w:rFonts w:hint="eastAsia" w:cs="宋体"/>
          <w:b/>
          <w:bCs/>
          <w:color w:val="000000"/>
          <w:sz w:val="28"/>
          <w:szCs w:val="28"/>
          <w:highlight w:val="none"/>
        </w:rPr>
        <w:t xml:space="preserve">法定代表人身份证明</w:t>
      </w:r>
      <w:r/>
    </w:p>
    <w:p>
      <w:pPr>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日</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人名称）的法定代表人。</w:t>
      </w:r>
      <w:r/>
    </w:p>
    <w:p>
      <w:pPr>
        <w:ind w:firstLine="480"/>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法人</w:t>
      </w:r>
      <w:r>
        <w:rPr>
          <w:rFonts w:hint="eastAsia" w:ascii="Times New Roman" w:hAnsi="Times New Roman"/>
          <w:color w:val="000000"/>
          <w:sz w:val="24"/>
          <w:szCs w:val="24"/>
          <w:highlight w:val="none"/>
        </w:rPr>
        <w:t xml:space="preserve">联系电话：（手机）</w:t>
      </w:r>
      <w:r>
        <w:rPr>
          <w:rFonts w:hint="eastAsia" w:ascii="Times New Roman" w:hAnsi="Times New Roman"/>
          <w:color w:val="000000"/>
          <w:sz w:val="24"/>
          <w:szCs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p>
    <w:p>
      <w:pPr>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（法定代表人出席</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的提供，未出席的可不提供。</w:t>
      </w:r>
      <w:r>
        <w:rPr>
          <w:rFonts w:hint="eastAsia" w:ascii="宋体" w:hAnsi="宋体" w:cs="宋体"/>
          <w:b/>
          <w:color w:val="000000"/>
          <w:sz w:val="24"/>
          <w:highlight w:val="none"/>
        </w:rPr>
        <w:t xml:space="preserve">附法定代表人居民身份证</w:t>
      </w:r>
      <w:r>
        <w:rPr>
          <w:rFonts w:hint="eastAsia" w:ascii="宋体" w:hAnsi="宋体" w:cs="宋体"/>
          <w:color w:val="000000"/>
          <w:sz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t xml:space="preserve">    法定代表人（签字或盖章）：</w:t>
      </w:r>
      <w:r>
        <w:rPr>
          <w:rFonts w:hint="eastAsia" w:ascii="宋体" w:hAnsi="宋体" w:eastAsia="宋体" w:cs="宋体"/>
          <w:color w:val="auto"/>
          <w:sz w:val="24"/>
          <w:szCs w:val="24"/>
          <w:highlight w:val="none"/>
          <w:u w:val="single"/>
        </w:rPr>
        <w:t xml:space="preserve">                            </w:t>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t xml:space="preserve">年   月    日   </w:t>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ascii="宋体" w:hAnsi="宋体" w:eastAsia="宋体" w:cs="宋体"/>
          <w:color w:val="auto"/>
          <w:sz w:val="24"/>
          <w:szCs w:val="24"/>
          <w:highlight w:val="none"/>
        </w:rPr>
        <w:t xml:space="preserve">投标人名称</w:t>
      </w:r>
      <w:r>
        <w:rPr>
          <w:rFonts w:hint="eastAsia" w:cs="宋体"/>
          <w:color w:val="000000"/>
          <w:sz w:val="24"/>
          <w:szCs w:val="24"/>
          <w:highlight w:val="none"/>
        </w:rPr>
        <w:t xml:space="preserve">：</w:t>
      </w:r>
      <w:r>
        <w:rPr>
          <w:rFonts w:hint="eastAsia" w:ascii="Times New Roman" w:hAnsi="Times New Roman"/>
          <w:color w:val="000000"/>
          <w:sz w:val="24"/>
          <w:szCs w:val="24"/>
          <w:highlight w:val="none"/>
        </w:rPr>
        <w:t xml:space="preserve">（加盖CA电子公章）</w:t>
      </w:r>
      <w:r>
        <w:rPr>
          <w:rFonts w:hint="eastAsia" w:cs="宋体"/>
          <w:color w:val="000000"/>
          <w:sz w:val="24"/>
          <w:szCs w:val="24"/>
          <w:highlight w:val="none"/>
        </w:rPr>
        <w:t xml:space="preserve">                                      </w:t>
      </w:r>
      <w:r/>
    </w:p>
    <w:p>
      <w:pPr>
        <w:jc w:val="right"/>
        <w:spacing w:line="360" w:lineRule="auto"/>
        <w:rPr>
          <w:rFonts w:hint="eastAsia" w:ascii="宋体" w:hAnsi="宋体" w:cs="宋体"/>
          <w:color w:val="000000"/>
          <w:sz w:val="24"/>
          <w:szCs w:val="24"/>
          <w:highlight w:val="none"/>
        </w:rPr>
      </w:pPr>
      <w:r>
        <w:rPr>
          <w:rFonts w:hint="eastAsia" w:cs="宋体"/>
          <w:color w:val="000000"/>
          <w:sz w:val="24"/>
          <w:szCs w:val="24"/>
          <w:highlight w:val="none"/>
        </w:rPr>
        <w:t xml:space="preserve">年   月    日 </w:t>
      </w:r>
      <w:r/>
    </w:p>
    <w:p>
      <w:pPr>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22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line="360" w:lineRule="auto"/>
        <w:rPr>
          <w:rFonts w:hint="default" w:cs="宋体" w:eastAsiaTheme="minorEastAsia"/>
          <w:b/>
          <w:bCs/>
          <w:color w:val="000000"/>
          <w:sz w:val="28"/>
          <w:szCs w:val="28"/>
          <w:highlight w:val="none"/>
          <w:lang w:val="en-US" w:eastAsia="zh-CN"/>
        </w:rPr>
      </w:pPr>
      <w:r>
        <w:rPr>
          <w:rFonts w:hint="eastAsia" w:cs="宋体"/>
          <w:b/>
          <w:bCs/>
          <w:color w:val="000000"/>
          <w:sz w:val="28"/>
          <w:szCs w:val="28"/>
          <w:highlight w:val="none"/>
          <w:lang w:val="en-US" w:eastAsia="zh-CN"/>
        </w:rPr>
        <w:t xml:space="preserve">2.</w:t>
      </w:r>
      <w:r>
        <w:rPr>
          <w:rFonts w:hint="eastAsia" w:cs="宋体"/>
          <w:b/>
          <w:bCs/>
          <w:color w:val="000000"/>
          <w:sz w:val="28"/>
          <w:szCs w:val="28"/>
          <w:highlight w:val="none"/>
        </w:rPr>
        <w:t xml:space="preserve">法定</w:t>
      </w:r>
      <w:r>
        <w:rPr>
          <w:rFonts w:hint="eastAsia" w:cs="宋体"/>
          <w:b/>
          <w:bCs/>
          <w:color w:val="000000"/>
          <w:sz w:val="28"/>
          <w:szCs w:val="28"/>
          <w:highlight w:val="none"/>
          <w:lang w:val="en-US" w:eastAsia="zh-CN"/>
        </w:rPr>
        <w:t xml:space="preserve">授权书</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JSZC-321300-SSJT-G2026-0067</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宿迁学院信息化中心实验桌椅项目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71"/>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71"/>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71"/>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71"/>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71"/>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71"/>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03" w:name="_Hlt26671380"/>
      <w:r/>
      <w:bookmarkEnd w:id="203"/>
      <w:r/>
      <w:bookmarkStart w:id="204" w:name="_Hlt26955070"/>
      <w:r/>
      <w:bookmarkEnd w:id="204"/>
      <w:r/>
      <w:bookmarkStart w:id="205" w:name="_格式3__银行出具的资信证明"/>
      <w:r/>
      <w:bookmarkEnd w:id="205"/>
      <w:r>
        <w:rPr>
          <w:rFonts w:hint="eastAsia" w:ascii="宋体" w:hAnsi="宋体" w:eastAsia="宋体" w:cs="宋体"/>
          <w:color w:val="auto"/>
          <w:sz w:val="24"/>
          <w:szCs w:val="24"/>
          <w:highlight w:val="none"/>
          <w:u w:val="single"/>
        </w:rPr>
        <w:t xml:space="preserve">                                            </w:t>
      </w:r>
      <w:r/>
    </w:p>
    <w:p>
      <w:pPr>
        <w:pStyle w:val="789"/>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789"/>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205"/>
        <w:shd w:val="clear" w:color="auto"/>
        <w:rPr>
          <w:rFonts w:hint="eastAsia" w:ascii="宋体" w:hAnsi="宋体" w:eastAsia="宋体" w:cs="宋体"/>
          <w:color w:val="auto"/>
          <w:sz w:val="24"/>
          <w:szCs w:val="20"/>
          <w:highlight w:val="none"/>
        </w:rPr>
        <w:outlineLvl w:val="1"/>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t xml:space="preserve">附法定代表人居民身份证</w:t>
      </w:r>
      <w:r>
        <w:rPr>
          <w:rFonts w:hint="eastAsia" w:ascii="宋体" w:hAnsi="宋体" w:cs="宋体"/>
          <w:b/>
          <w:bCs w:val="0"/>
          <w:color w:val="000000"/>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cs="宋体"/>
          <w:b/>
          <w:bCs w:val="0"/>
          <w:color w:val="000000"/>
          <w:sz w:val="24"/>
          <w:highlight w:val="none"/>
        </w:rPr>
        <w:t xml:space="preserve">居民身份证</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auto"/>
          <w:sz w:val="24"/>
          <w:highlight w:val="none"/>
        </w:rPr>
        <w:br w:type="page" w:clear="all"/>
      </w:r>
      <w:r>
        <w:rPr>
          <w:rFonts w:hint="eastAsia" w:ascii="宋体" w:hAnsi="宋体" w:eastAsia="宋体" w:cs="宋体"/>
          <w:b/>
          <w:color w:val="auto"/>
          <w:sz w:val="32"/>
          <w:szCs w:val="32"/>
          <w:highlight w:val="none"/>
        </w:rPr>
        <w:t xml:space="preserve">五、开标一览表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投标人全称（CA</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供应商名称</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宿迁学院信息化中心实验桌椅项目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JSZC-321300-SSJT-G2026-0067</w:t>
      </w:r>
      <w:r/>
    </w:p>
    <w:tbl>
      <w:tblPr>
        <w:tblStyle w:val="788"/>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Theme="minorEastAsia"/>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内容</w:t>
            </w:r>
            <w:r/>
          </w:p>
        </w:tc>
      </w:tr>
      <w:tr>
        <w:trPr>
          <w:cantSplit/>
          <w:trHeight w:val="592"/>
        </w:trPr>
        <w:tc>
          <w:tcPr>
            <w:tcW w:w="1725" w:type="dxa"/>
            <w:vAlign w:val="center"/>
            <w:textDirection w:val="lrTb"/>
            <w:noWrap w:val="false"/>
          </w:tcPr>
          <w:p>
            <w:pPr>
              <w:pStyle w:val="962"/>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小写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62"/>
              <w:ind w:firstLine="0"/>
              <w:keepLines w:val="0"/>
              <w:keepNext w:val="0"/>
              <w:pageBreakBefore w:val="0"/>
              <w:spacing w:before="0" w:after="0" w:line="560" w:lineRule="exact"/>
              <w:widowControl w:val="off"/>
              <w:rPr>
                <w:rFonts w:hint="default" w:ascii="宋体" w:hAnsi="宋体" w:cs="宋体" w:eastAsiaTheme="minorEastAsia"/>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元</w:t>
            </w:r>
            <w:r/>
          </w:p>
        </w:tc>
      </w:tr>
      <w:tr>
        <w:trPr>
          <w:cantSplit/>
          <w:trHeight w:val="612"/>
        </w:trPr>
        <w:tc>
          <w:tcPr>
            <w:tcW w:w="1725" w:type="dxa"/>
            <w:vAlign w:val="center"/>
            <w:textDirection w:val="lrTb"/>
            <w:noWrap w:val="false"/>
          </w:tcPr>
          <w:p>
            <w:pPr>
              <w:pStyle w:val="962"/>
              <w:ind w:firstLine="0"/>
              <w:keepLines w:val="0"/>
              <w:keepNext w:val="0"/>
              <w:pageBreakBefore w:val="0"/>
              <w:spacing w:before="0" w:after="0" w:line="56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大写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62"/>
              <w:ind w:firstLine="0"/>
              <w:keepLines w:val="0"/>
              <w:keepNext w:val="0"/>
              <w:pageBreakBefore w:val="0"/>
              <w:spacing w:before="0" w:after="0" w:line="560" w:lineRule="exact"/>
              <w:widowControl w:val="off"/>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金额大写（人民币：元）</w:t>
            </w:r>
            <w:r/>
          </w:p>
        </w:tc>
      </w:tr>
    </w:tbl>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9"/>
          <w:footerReference w:type="default" r:id="rId12"/>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六、投标报价明细表</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9"/>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p>
    <w:p>
      <w:pPr>
        <w:pStyle w:val="969"/>
        <w:jc w:val="center"/>
        <w:rPr>
          <w:b/>
          <w:bCs/>
        </w:rPr>
      </w:pPr>
      <w:r>
        <w:rPr>
          <w:rFonts w:hint="eastAsia" w:ascii="方正小标宋_GBK" w:eastAsia="方正小标宋_GBK"/>
          <w:bCs/>
          <w:sz w:val="32"/>
          <w:szCs w:val="32"/>
        </w:rPr>
        <w:t xml:space="preserve">（货物类）</w:t>
      </w:r>
      <w:r/>
    </w:p>
    <w:tbl>
      <w:tblPr>
        <w:tblStyle w:val="788"/>
        <w:tblW w:w="92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05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983"/>
              <w:jc w:val="center"/>
              <w:spacing w:line="500" w:lineRule="exact"/>
              <w:rPr>
                <w:rFonts w:hint="eastAsia" w:ascii="宋体" w:hAnsi="宋体"/>
                <w:b/>
                <w:bCs/>
                <w:sz w:val="24"/>
              </w:rPr>
            </w:pPr>
            <w:r>
              <w:rPr>
                <w:rFonts w:hint="eastAsia" w:ascii="宋体" w:hAnsi="宋体"/>
                <w:b/>
                <w:bCs/>
                <w:sz w:val="28"/>
                <w:szCs w:val="28"/>
              </w:rPr>
              <w:t xml:space="preserve">投标总报价</w:t>
            </w:r>
            <w:r/>
          </w:p>
        </w:tc>
        <w:tc>
          <w:tcPr>
            <w:gridSpan w:val="6"/>
            <w:tcW w:w="6911" w:type="dxa"/>
            <w:vAlign w:val="center"/>
            <w:textDirection w:val="lrTb"/>
            <w:noWrap w:val="false"/>
          </w:tcPr>
          <w:p>
            <w:pPr>
              <w:pStyle w:val="983"/>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p>
          <w:p>
            <w:pPr>
              <w:pStyle w:val="983"/>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p>
        </w:tc>
      </w:tr>
      <w:tr>
        <w:trPr>
          <w:cantSplit/>
          <w:trHeight w:val="677"/>
        </w:trPr>
        <w:tc>
          <w:tcPr>
            <w:gridSpan w:val="9"/>
            <w:tcW w:w="9277" w:type="dxa"/>
            <w:textDirection w:val="lrTb"/>
            <w:noWrap w:val="false"/>
          </w:tcPr>
          <w:p>
            <w:pPr>
              <w:pStyle w:val="807"/>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ascii="Times New Roman" w:hAnsi="Times New Roman"/>
          <w:sz w:val="24"/>
          <w:szCs w:val="21"/>
        </w:rPr>
      </w:pPr>
      <w:r>
        <w:rPr>
          <w:rFonts w:hint="eastAsia" w:ascii="Times New Roman" w:hAnsi="Times New Roman"/>
          <w:sz w:val="24"/>
          <w:szCs w:val="24"/>
        </w:rPr>
        <w:t xml:space="preserve">1.投标报价</w:t>
      </w:r>
      <w:r>
        <w:rPr>
          <w:rFonts w:hint="eastAsia" w:ascii="Times New Roman" w:hAnsi="Times New Roman"/>
          <w:sz w:val="24"/>
          <w:szCs w:val="21"/>
        </w:rPr>
        <w:t xml:space="preserve">采用总承包方式，“投标总报价”应包括所投货物（包含与货物相关的服务）费用、安装调试费、测试验收费、培训费、运行维护费用、税金、国际（如果</w:t>
      </w:r>
      <w:r>
        <w:rPr>
          <w:rFonts w:ascii="Times New Roman" w:hAnsi="Times New Roman"/>
          <w:sz w:val="24"/>
          <w:szCs w:val="21"/>
        </w:rPr>
        <w:t xml:space="preserve">有</w:t>
      </w:r>
      <w:r>
        <w:rPr>
          <w:rFonts w:hint="eastAsia" w:ascii="Times New Roman" w:hAnsi="Times New Roman"/>
          <w:sz w:val="24"/>
          <w:szCs w:val="21"/>
        </w:rPr>
        <w:t xml:space="preserve">）国内运输保险、报关清关（如果</w:t>
      </w:r>
      <w:r>
        <w:rPr>
          <w:rFonts w:ascii="Times New Roman" w:hAnsi="Times New Roman"/>
          <w:sz w:val="24"/>
          <w:szCs w:val="21"/>
        </w:rPr>
        <w:t xml:space="preserve">有</w:t>
      </w:r>
      <w:r>
        <w:rPr>
          <w:rFonts w:hint="eastAsia" w:ascii="Times New Roman" w:hAnsi="Times New Roman"/>
          <w:sz w:val="24"/>
          <w:szCs w:val="21"/>
        </w:rPr>
        <w:t xml:space="preserve">）、开证（如果</w:t>
      </w:r>
      <w:r>
        <w:rPr>
          <w:rFonts w:ascii="Times New Roman" w:hAnsi="Times New Roman"/>
          <w:sz w:val="24"/>
          <w:szCs w:val="21"/>
        </w:rPr>
        <w:t xml:space="preserve">有</w:t>
      </w:r>
      <w:r>
        <w:rPr>
          <w:rFonts w:hint="eastAsia" w:ascii="Times New Roman" w:hAnsi="Times New Roman"/>
          <w:sz w:val="24"/>
          <w:szCs w:val="21"/>
        </w:rPr>
        <w:t xml:space="preserve">）、办理全套免税手续费用（如果</w:t>
      </w:r>
      <w:r>
        <w:rPr>
          <w:rFonts w:ascii="Times New Roman" w:hAnsi="Times New Roman"/>
          <w:sz w:val="24"/>
          <w:szCs w:val="21"/>
        </w:rPr>
        <w:t xml:space="preserve">有</w:t>
      </w:r>
      <w:r>
        <w:rPr>
          <w:rFonts w:hint="eastAsia" w:ascii="Times New Roman" w:hAnsi="Times New Roman"/>
          <w:sz w:val="24"/>
          <w:szCs w:val="21"/>
        </w:rPr>
        <w:t xml:space="preserve">）及其他有关的为完成本项目发生的所有费用，招标文件中另有规定的除外。“投标总报价”数额为各“分项总价”之和。</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2.“投标分项报价表”中“投标总报价”数额应当与“开标一览表”中“投标总报价”数额一致。</w:t>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七、中小（微）企业声明函</w:t>
      </w:r>
      <w:r/>
    </w:p>
    <w:p>
      <w:pPr>
        <w:pStyle w:val="972"/>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cs="宋体"/>
          <w:sz w:val="32"/>
        </w:rPr>
        <w:t xml:space="preserve">格式详见投标文件制作工具</w:t>
      </w:r>
      <w:r>
        <w:rPr>
          <w:rFonts w:hint="eastAsia" w:ascii="宋体" w:hAnsi="宋体" w:eastAsia="宋体" w:cs="宋体"/>
          <w:color w:val="auto"/>
          <w:szCs w:val="32"/>
          <w:highlight w:val="none"/>
        </w:rPr>
        <w:br w:type="page" w:clear="all"/>
      </w:r>
      <w:r>
        <w:rPr>
          <w:rFonts w:hint="eastAsia" w:ascii="宋体" w:hAnsi="宋体" w:eastAsia="宋体" w:cs="宋体"/>
          <w:b/>
          <w:color w:val="auto"/>
          <w:sz w:val="32"/>
          <w:szCs w:val="32"/>
          <w:highlight w:val="none"/>
        </w:rPr>
        <w:t xml:space="preserve">八、技术要求响应及偏离表</w:t>
      </w:r>
      <w:r/>
    </w:p>
    <w:tbl>
      <w:tblPr>
        <w:tblStyle w:val="788"/>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九、项目组人员</w:t>
      </w:r>
      <w:r/>
    </w:p>
    <w:p>
      <w:pPr>
        <w:pStyle w:val="80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788"/>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807"/>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807"/>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4"/>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06" w:name="_Toc11176"/>
      <w:r>
        <w:rPr>
          <w:rFonts w:hint="eastAsia" w:ascii="宋体" w:hAnsi="宋体" w:eastAsia="宋体" w:cs="宋体"/>
          <w:b/>
          <w:color w:val="auto"/>
          <w:sz w:val="32"/>
          <w:highlight w:val="none"/>
        </w:rPr>
        <w:t xml:space="preserve">十、</w:t>
      </w:r>
      <w:bookmarkEnd w:id="206"/>
      <w:r>
        <w:rPr>
          <w:rFonts w:hint="eastAsia" w:ascii="宋体" w:hAnsi="宋体" w:eastAsia="宋体" w:cs="宋体"/>
          <w:b/>
          <w:color w:val="auto"/>
          <w:sz w:val="32"/>
          <w:highlight w:val="none"/>
        </w:rPr>
        <w:t xml:space="preserve">企业业绩</w:t>
      </w:r>
      <w:r/>
    </w:p>
    <w:p>
      <w:pPr>
        <w:pStyle w:val="975"/>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88"/>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975"/>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207" w:name="_Toc28140"/>
      <w:r/>
      <w:r/>
    </w:p>
    <w:p>
      <w:pPr>
        <w:pStyle w:val="977"/>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color w:val="auto"/>
          <w:highlight w:val="none"/>
          <w:lang w:val="en-US" w:eastAsia="zh-CN"/>
        </w:rPr>
        <w:t xml:space="preserve">十一、</w:t>
      </w:r>
      <w:r>
        <w:rPr>
          <w:rFonts w:hint="eastAsia" w:ascii="宋体" w:hAnsi="宋体" w:eastAsia="宋体" w:cs="宋体"/>
          <w:b/>
          <w:color w:val="auto"/>
          <w:sz w:val="32"/>
          <w:szCs w:val="32"/>
          <w:highlight w:val="none"/>
        </w:rPr>
        <w:t xml:space="preserve">关于符合本国产品标准的声明函</w:t>
      </w:r>
      <w:r/>
    </w:p>
    <w:p>
      <w:pPr>
        <w:pStyle w:val="977"/>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bookmarkEnd w:id="207"/>
      <w:r/>
      <w:r/>
    </w:p>
    <w:p>
      <w:pPr>
        <w:shd w:val="clear" w:color="auto"/>
        <w:rPr>
          <w:rFonts w:hint="eastAsia" w:ascii="宋体" w:hAnsi="宋体" w:eastAsia="宋体" w:cs="宋体"/>
          <w:color w:val="auto"/>
          <w:highlight w:val="none"/>
        </w:rPr>
      </w:pPr>
      <w:r>
        <w:rPr>
          <w:rFonts w:hint="eastAsia" w:ascii="宋体" w:hAnsi="宋体" w:cs="宋体"/>
          <w:sz w:val="32"/>
        </w:rPr>
        <w:t xml:space="preserve">格式详见投标文件制作工具</w:t>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789"/>
        <w:ind w:firstLine="0"/>
        <w:shd w:val="clear" w:color="auto"/>
        <w:rPr>
          <w:rFonts w:hint="eastAsia" w:ascii="宋体" w:hAnsi="宋体" w:eastAsia="宋体" w:cs="宋体"/>
          <w:color w:val="auto"/>
          <w:sz w:val="24"/>
          <w:highlight w:val="none"/>
        </w:rPr>
      </w:pPr>
      <w:r/>
      <w:bookmarkStart w:id="208" w:name="_Hlt26609389"/>
      <w:r/>
      <w:bookmarkEnd w:id="208"/>
      <w:r/>
      <w:bookmarkStart w:id="209" w:name="_Hlt26955066"/>
      <w:r/>
      <w:bookmarkEnd w:id="209"/>
      <w:r/>
      <w:bookmarkStart w:id="210" w:name="_Hlt26671374"/>
      <w:r/>
      <w:bookmarkEnd w:id="210"/>
      <w:r/>
      <w:bookmarkStart w:id="211" w:name="_Toc462564146"/>
      <w:r/>
      <w:bookmarkEnd w:id="211"/>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3"/>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3"/>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numPr>
          <w:ilvl w:val="0"/>
          <w:numId w:val="0"/>
        </w:numPr>
        <w:shd w:val="clear" w:color="auto"/>
        <w:rPr>
          <w:rFonts w:hint="eastAsia" w:ascii="宋体" w:hAnsi="宋体" w:eastAsia="宋体" w:cs="宋体"/>
          <w:color w:val="auto"/>
          <w:highlight w:val="none"/>
          <w:lang w:val="en-US" w:eastAsia="zh-CN"/>
        </w:rPr>
        <w:outlineLvl w:val="1"/>
      </w:pPr>
      <w:r/>
      <w:bookmarkStart w:id="212" w:name="_格式2__法定代表人授权书"/>
      <w:r/>
      <w:bookmarkEnd w:id="212"/>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highlight w:val="none"/>
          <w:lang w:val="en-US" w:eastAsia="zh-CN"/>
        </w:rPr>
        <w:t xml:space="preserve">十二、投标所需其他材料</w:t>
      </w:r>
      <w:r/>
    </w:p>
    <w:p>
      <w:pPr>
        <w:pStyle w:val="978"/>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rPr>
      </w:pPr>
      <w:r>
        <w:rPr>
          <w:rFonts w:hint="eastAsia" w:ascii="宋体" w:hAnsi="宋体" w:eastAsia="宋体" w:cs="宋体"/>
        </w:rPr>
      </w:r>
      <w:r/>
    </w:p>
    <w:p>
      <w:r/>
      <w:r/>
    </w:p>
    <w:sectPr>
      <w:headerReference w:type="default" r:id="rId10"/>
      <w:footerReference w:type="default" r:id="rId13"/>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黑体">
    <w:panose1 w:val="02010609060101010101"/>
  </w:font>
  <w:font w:name="幼圆">
    <w:panose1 w:val="02010509060101010101"/>
  </w:font>
  <w:font w:name="仿宋_GB2312">
    <w:panose1 w:val="02010609060101010101"/>
  </w:font>
  <w:font w:name="华文中宋">
    <w:panose1 w:val="02010600040101010101"/>
  </w:font>
  <w:font w:name="Courier New">
    <w:panose1 w:val="020703090202050204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enter" w:pos="4153" w:leader="none"/>
        <w:tab w:val="clear" w:pos="7143" w:leader="none"/>
        <w:tab w:val="right" w:pos="8306" w:leader="none"/>
        <w:tab w:val="clear" w:pos="14287"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num>
  <w:num w:numId="2">
    <w:abstractNumId w:val="8"/>
    <w:lvlOverride w:ilvl="0">
      <w:startOverride w:val="1"/>
    </w:lvlOverride>
  </w:num>
  <w:num w:numId="3">
    <w:abstractNumId w:val="0"/>
    <w:lvlOverride w:ilvl="0">
      <w:startOverride w:val="1"/>
    </w:lvlOverride>
  </w:num>
  <w:num w:numId="4">
    <w:abstractNumId w:val="6"/>
    <w:lvlOverride w:ilvl="0">
      <w:startOverride w:val="2"/>
    </w:lvlOverride>
  </w:num>
  <w:num w:numId="5">
    <w:abstractNumId w:val="4"/>
    <w:lvlOverride w:ilvl="0">
      <w:startOverride w:val="6"/>
    </w:lvlOverride>
  </w:num>
  <w:num w:numId="6">
    <w:abstractNumId w:val="7"/>
    <w:lvlOverride w:ilvl="0">
      <w:startOverride w:val="16"/>
    </w:lvlOverride>
  </w:num>
  <w:num w:numId="7">
    <w:abstractNumId w:val="1"/>
    <w:lvlOverride w:ilvl="0">
      <w:startOverride w:val="23"/>
    </w:lvlOverride>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uiPriority w:val="0"/>
    <w:qFormat/>
    <w:rPr>
      <w:rFonts w:hint="default" w:asciiTheme="minorHAnsi" w:hAnsiTheme="minorHAnsi" w:eastAsiaTheme="minorEastAsia" w:cstheme="minorBidi"/>
      <w:sz w:val="21"/>
      <w:szCs w:val="22"/>
      <w:lang w:val="en-US" w:eastAsia="zh-CN" w:bidi="ar-SA"/>
    </w:rPr>
  </w:style>
  <w:style w:type="paragraph" w:styleId="778">
    <w:name w:val="Heading 1"/>
    <w:basedOn w:val="777"/>
    <w:next w:val="777"/>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14"/>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89"/>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89"/>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17"/>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18"/>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20"/>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21"/>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0"/>
    <w:semiHidden/>
    <w:qFormat/>
  </w:style>
  <w:style w:type="table" w:styleId="788" w:default="1">
    <w:name w:val="Normal Table"/>
    <w:uiPriority w:val="0"/>
    <w:semiHidden/>
    <w:qFormat/>
    <w:tblPr>
      <w:tblCellMar>
        <w:left w:w="108" w:type="dxa"/>
        <w:top w:w="0" w:type="dxa"/>
        <w:right w:w="108" w:type="dxa"/>
        <w:bottom w:w="0" w:type="dxa"/>
      </w:tblCellMar>
    </w:tblPr>
  </w:style>
  <w:style w:type="paragraph" w:styleId="789">
    <w:name w:val="Normal Indent"/>
    <w:basedOn w:val="777"/>
    <w:uiPriority w:val="0"/>
    <w:qFormat/>
    <w:pPr>
      <w:ind w:firstLine="420"/>
    </w:pPr>
  </w:style>
  <w:style w:type="paragraph" w:styleId="790">
    <w:name w:val="toc 7"/>
    <w:basedOn w:val="777"/>
    <w:next w:val="777"/>
    <w:uiPriority w:val="39"/>
    <w:unhideWhenUsed/>
    <w:qFormat/>
    <w:pPr>
      <w:ind w:left="1701" w:right="0" w:firstLine="0"/>
      <w:spacing w:after="57"/>
    </w:pPr>
  </w:style>
  <w:style w:type="paragraph" w:styleId="791">
    <w:name w:val="Caption"/>
    <w:basedOn w:val="777"/>
    <w:next w:val="77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2">
    <w:name w:val="toc 5"/>
    <w:basedOn w:val="777"/>
    <w:next w:val="777"/>
    <w:uiPriority w:val="39"/>
    <w:unhideWhenUsed/>
    <w:qFormat/>
    <w:pPr>
      <w:ind w:left="1134" w:right="0" w:firstLine="0"/>
      <w:spacing w:after="57"/>
    </w:pPr>
  </w:style>
  <w:style w:type="paragraph" w:styleId="793">
    <w:name w:val="toc 3"/>
    <w:basedOn w:val="777"/>
    <w:next w:val="777"/>
    <w:uiPriority w:val="39"/>
    <w:unhideWhenUsed/>
    <w:qFormat/>
    <w:pPr>
      <w:ind w:left="567" w:right="0" w:firstLine="0"/>
      <w:spacing w:after="57"/>
    </w:pPr>
  </w:style>
  <w:style w:type="paragraph" w:styleId="794">
    <w:name w:val="Plain Text"/>
    <w:basedOn w:val="777"/>
    <w:uiPriority w:val="0"/>
    <w:qFormat/>
    <w:rPr>
      <w:rFonts w:ascii="宋体" w:hAnsi="Courier New" w:cs="Courier New"/>
    </w:rPr>
  </w:style>
  <w:style w:type="paragraph" w:styleId="795">
    <w:name w:val="toc 8"/>
    <w:basedOn w:val="777"/>
    <w:next w:val="777"/>
    <w:uiPriority w:val="39"/>
    <w:unhideWhenUsed/>
    <w:qFormat/>
    <w:pPr>
      <w:ind w:left="1984" w:right="0" w:firstLine="0"/>
      <w:spacing w:after="57"/>
    </w:pPr>
  </w:style>
  <w:style w:type="paragraph" w:styleId="796">
    <w:name w:val="endnote text"/>
    <w:basedOn w:val="777"/>
    <w:link w:val="959"/>
    <w:uiPriority w:val="99"/>
    <w:semiHidden/>
    <w:unhideWhenUsed/>
    <w:qFormat/>
    <w:pPr>
      <w:spacing w:after="0" w:line="240" w:lineRule="auto"/>
    </w:pPr>
    <w:rPr>
      <w:sz w:val="20"/>
    </w:rPr>
  </w:style>
  <w:style w:type="paragraph" w:styleId="797">
    <w:name w:val="Footer"/>
    <w:basedOn w:val="777"/>
    <w:uiPriority w:val="99"/>
    <w:unhideWhenUsed/>
    <w:qFormat/>
    <w:pPr>
      <w:tabs>
        <w:tab w:val="center" w:pos="7143" w:leader="none"/>
        <w:tab w:val="right" w:pos="14287" w:leader="none"/>
      </w:tabs>
    </w:pPr>
  </w:style>
  <w:style w:type="paragraph" w:styleId="798">
    <w:name w:val="Header"/>
    <w:basedOn w:val="777"/>
    <w:uiPriority w:val="99"/>
    <w:unhideWhenUsed/>
    <w:qFormat/>
    <w:pPr>
      <w:tabs>
        <w:tab w:val="center" w:pos="7143" w:leader="none"/>
        <w:tab w:val="right" w:pos="14287" w:leader="none"/>
      </w:tabs>
    </w:pPr>
  </w:style>
  <w:style w:type="paragraph" w:styleId="799">
    <w:name w:val="toc 1"/>
    <w:basedOn w:val="777"/>
    <w:next w:val="777"/>
    <w:uiPriority w:val="39"/>
    <w:unhideWhenUsed/>
    <w:qFormat/>
    <w:pPr>
      <w:spacing w:after="57"/>
    </w:pPr>
  </w:style>
  <w:style w:type="paragraph" w:styleId="800">
    <w:name w:val="toc 4"/>
    <w:basedOn w:val="777"/>
    <w:next w:val="777"/>
    <w:uiPriority w:val="39"/>
    <w:unhideWhenUsed/>
    <w:qFormat/>
    <w:pPr>
      <w:ind w:left="850" w:right="0" w:firstLine="0"/>
      <w:spacing w:after="57"/>
    </w:pPr>
  </w:style>
  <w:style w:type="paragraph" w:styleId="801">
    <w:name w:val="Subtitle"/>
    <w:basedOn w:val="777"/>
    <w:next w:val="777"/>
    <w:link w:val="825"/>
    <w:uiPriority w:val="11"/>
    <w:qFormat/>
    <w:pPr>
      <w:spacing w:before="200" w:after="200"/>
    </w:pPr>
    <w:rPr>
      <w:sz w:val="24"/>
      <w:szCs w:val="24"/>
    </w:rPr>
  </w:style>
  <w:style w:type="paragraph" w:styleId="802">
    <w:name w:val="footnote text"/>
    <w:basedOn w:val="777"/>
    <w:link w:val="958"/>
    <w:uiPriority w:val="99"/>
    <w:semiHidden/>
    <w:unhideWhenUsed/>
    <w:qFormat/>
    <w:pPr>
      <w:spacing w:after="40" w:line="240" w:lineRule="auto"/>
    </w:pPr>
    <w:rPr>
      <w:sz w:val="18"/>
    </w:rPr>
  </w:style>
  <w:style w:type="paragraph" w:styleId="803">
    <w:name w:val="toc 6"/>
    <w:basedOn w:val="777"/>
    <w:next w:val="777"/>
    <w:uiPriority w:val="39"/>
    <w:unhideWhenUsed/>
    <w:qFormat/>
    <w:pPr>
      <w:ind w:left="1417" w:right="0" w:firstLine="0"/>
      <w:spacing w:after="57"/>
    </w:pPr>
  </w:style>
  <w:style w:type="paragraph" w:styleId="804">
    <w:name w:val="table of figures"/>
    <w:basedOn w:val="777"/>
    <w:next w:val="777"/>
    <w:uiPriority w:val="99"/>
    <w:unhideWhenUsed/>
    <w:qFormat/>
    <w:pPr>
      <w:spacing w:after="0" w:afterAutospacing="0"/>
    </w:pPr>
  </w:style>
  <w:style w:type="paragraph" w:styleId="805">
    <w:name w:val="toc 2"/>
    <w:basedOn w:val="777"/>
    <w:next w:val="777"/>
    <w:uiPriority w:val="39"/>
    <w:unhideWhenUsed/>
    <w:qFormat/>
    <w:pPr>
      <w:ind w:left="283" w:right="0" w:firstLine="0"/>
      <w:spacing w:after="57"/>
    </w:pPr>
  </w:style>
  <w:style w:type="paragraph" w:styleId="806">
    <w:name w:val="toc 9"/>
    <w:basedOn w:val="777"/>
    <w:next w:val="777"/>
    <w:uiPriority w:val="39"/>
    <w:unhideWhenUsed/>
    <w:qFormat/>
    <w:pPr>
      <w:ind w:left="2268" w:right="0" w:firstLine="0"/>
      <w:spacing w:after="57"/>
    </w:pPr>
  </w:style>
  <w:style w:type="paragraph" w:styleId="807">
    <w:name w:val="Normal (Web)"/>
    <w:basedOn w:val="777"/>
    <w:uiPriority w:val="99"/>
    <w:qFormat/>
    <w:pPr>
      <w:spacing w:before="100" w:beforeAutospacing="1" w:after="100" w:afterAutospacing="1"/>
    </w:pPr>
    <w:rPr>
      <w:rFonts w:ascii="宋体" w:hAnsi="宋体" w:cs="宋体"/>
      <w:sz w:val="24"/>
      <w:szCs w:val="24"/>
    </w:rPr>
  </w:style>
  <w:style w:type="paragraph" w:styleId="808">
    <w:name w:val="Title"/>
    <w:basedOn w:val="777"/>
    <w:next w:val="777"/>
    <w:link w:val="824"/>
    <w:uiPriority w:val="10"/>
    <w:qFormat/>
    <w:pPr>
      <w:contextualSpacing/>
      <w:spacing w:before="300" w:after="200"/>
    </w:pPr>
    <w:rPr>
      <w:sz w:val="48"/>
      <w:szCs w:val="48"/>
    </w:rPr>
  </w:style>
  <w:style w:type="table" w:styleId="809">
    <w:name w:val="Table Grid"/>
    <w:basedOn w:val="78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endnote reference"/>
    <w:basedOn w:val="787"/>
    <w:uiPriority w:val="99"/>
    <w:semiHidden/>
    <w:unhideWhenUsed/>
    <w:qFormat/>
    <w:rPr>
      <w:vertAlign w:val="superscript"/>
    </w:rPr>
  </w:style>
  <w:style w:type="character" w:styleId="811">
    <w:name w:val="Hyperlink"/>
    <w:uiPriority w:val="99"/>
    <w:unhideWhenUsed/>
    <w:qFormat/>
    <w:rPr>
      <w:color w:val="0026e5" w:themeColor="hyperlink"/>
      <w:u w:val="single"/>
      <w14:textFill>
        <w14:solidFill>
          <w14:schemeClr w14:val="hlink"/>
        </w14:solidFill>
      </w14:textFill>
    </w:rPr>
  </w:style>
  <w:style w:type="character" w:styleId="812">
    <w:name w:val="footnote reference"/>
    <w:basedOn w:val="787"/>
    <w:uiPriority w:val="99"/>
    <w:unhideWhenUsed/>
    <w:qFormat/>
    <w:rPr>
      <w:vertAlign w:val="superscript"/>
    </w:rPr>
  </w:style>
  <w:style w:type="character" w:styleId="813" w:customStyle="1">
    <w:name w:val="Heading 1 Char"/>
    <w:basedOn w:val="787"/>
    <w:uiPriority w:val="9"/>
    <w:qFormat/>
    <w:rPr>
      <w:rFonts w:ascii="Arial" w:hAnsi="Arial" w:eastAsia="Arial" w:cs="Arial"/>
      <w:sz w:val="40"/>
      <w:szCs w:val="40"/>
    </w:rPr>
  </w:style>
  <w:style w:type="character" w:styleId="814" w:customStyle="1">
    <w:name w:val="Heading 2 Char"/>
    <w:basedOn w:val="787"/>
    <w:link w:val="779"/>
    <w:uiPriority w:val="9"/>
    <w:qFormat/>
    <w:rPr>
      <w:rFonts w:ascii="Arial" w:hAnsi="Arial" w:eastAsia="Arial" w:cs="Arial"/>
      <w:sz w:val="34"/>
    </w:rPr>
  </w:style>
  <w:style w:type="character" w:styleId="815" w:customStyle="1">
    <w:name w:val="Heading 3 Char"/>
    <w:basedOn w:val="787"/>
    <w:uiPriority w:val="9"/>
    <w:qFormat/>
    <w:rPr>
      <w:rFonts w:ascii="Arial" w:hAnsi="Arial" w:eastAsia="Arial" w:cs="Arial"/>
      <w:sz w:val="30"/>
      <w:szCs w:val="30"/>
    </w:rPr>
  </w:style>
  <w:style w:type="character" w:styleId="816" w:customStyle="1">
    <w:name w:val="Heading 4 Char"/>
    <w:basedOn w:val="787"/>
    <w:uiPriority w:val="9"/>
    <w:qFormat/>
    <w:rPr>
      <w:rFonts w:ascii="Arial" w:hAnsi="Arial" w:eastAsia="Arial" w:cs="Arial"/>
      <w:b/>
      <w:bCs/>
      <w:sz w:val="26"/>
      <w:szCs w:val="26"/>
    </w:rPr>
  </w:style>
  <w:style w:type="character" w:styleId="817" w:customStyle="1">
    <w:name w:val="Heading 5 Char"/>
    <w:basedOn w:val="787"/>
    <w:link w:val="782"/>
    <w:uiPriority w:val="9"/>
    <w:qFormat/>
    <w:rPr>
      <w:rFonts w:ascii="Arial" w:hAnsi="Arial" w:eastAsia="Arial" w:cs="Arial"/>
      <w:b/>
      <w:bCs/>
      <w:sz w:val="24"/>
      <w:szCs w:val="24"/>
    </w:rPr>
  </w:style>
  <w:style w:type="character" w:styleId="818" w:customStyle="1">
    <w:name w:val="Heading 6 Char"/>
    <w:basedOn w:val="787"/>
    <w:link w:val="783"/>
    <w:uiPriority w:val="9"/>
    <w:qFormat/>
    <w:rPr>
      <w:rFonts w:ascii="Arial" w:hAnsi="Arial" w:eastAsia="Arial" w:cs="Arial"/>
      <w:b/>
      <w:bCs/>
      <w:sz w:val="22"/>
      <w:szCs w:val="22"/>
    </w:rPr>
  </w:style>
  <w:style w:type="character" w:styleId="819" w:customStyle="1">
    <w:name w:val="Heading 7 Char"/>
    <w:basedOn w:val="787"/>
    <w:link w:val="784"/>
    <w:uiPriority w:val="9"/>
    <w:qFormat/>
    <w:rPr>
      <w:rFonts w:ascii="Arial" w:hAnsi="Arial" w:eastAsia="Arial" w:cs="Arial"/>
      <w:b/>
      <w:bCs/>
      <w:i/>
      <w:iCs/>
      <w:sz w:val="22"/>
      <w:szCs w:val="22"/>
    </w:rPr>
  </w:style>
  <w:style w:type="character" w:styleId="820" w:customStyle="1">
    <w:name w:val="Heading 8 Char"/>
    <w:basedOn w:val="787"/>
    <w:link w:val="785"/>
    <w:uiPriority w:val="9"/>
    <w:qFormat/>
    <w:rPr>
      <w:rFonts w:ascii="Arial" w:hAnsi="Arial" w:eastAsia="Arial" w:cs="Arial"/>
      <w:i/>
      <w:iCs/>
      <w:sz w:val="22"/>
      <w:szCs w:val="22"/>
    </w:rPr>
  </w:style>
  <w:style w:type="character" w:styleId="821" w:customStyle="1">
    <w:name w:val="Heading 9 Char"/>
    <w:basedOn w:val="787"/>
    <w:link w:val="786"/>
    <w:uiPriority w:val="9"/>
    <w:qFormat/>
    <w:rPr>
      <w:rFonts w:ascii="Arial" w:hAnsi="Arial" w:eastAsia="Arial" w:cs="Arial"/>
      <w:i/>
      <w:iCs/>
      <w:sz w:val="21"/>
      <w:szCs w:val="21"/>
    </w:rPr>
  </w:style>
  <w:style w:type="paragraph" w:styleId="822">
    <w:name w:val="List Paragraph"/>
    <w:basedOn w:val="777"/>
    <w:uiPriority w:val="34"/>
    <w:qFormat/>
    <w:pPr>
      <w:contextualSpacing/>
      <w:ind w:left="720"/>
    </w:pPr>
  </w:style>
  <w:style w:type="paragraph" w:styleId="823">
    <w:name w:val="No Spacing"/>
    <w:uiPriority w:val="1"/>
    <w:qFormat/>
    <w:pPr>
      <w:spacing w:before="0" w:after="0" w:line="240" w:lineRule="auto"/>
    </w:pPr>
    <w:rPr>
      <w:rFonts w:hint="default" w:asciiTheme="minorHAnsi" w:hAnsiTheme="minorHAnsi" w:eastAsiaTheme="minorEastAsia" w:cstheme="minorBidi"/>
    </w:rPr>
  </w:style>
  <w:style w:type="character" w:styleId="824" w:customStyle="1">
    <w:name w:val="Title Char"/>
    <w:basedOn w:val="787"/>
    <w:link w:val="808"/>
    <w:uiPriority w:val="10"/>
    <w:qFormat/>
    <w:rPr>
      <w:sz w:val="48"/>
      <w:szCs w:val="48"/>
    </w:rPr>
  </w:style>
  <w:style w:type="character" w:styleId="825" w:customStyle="1">
    <w:name w:val="Subtitle Char"/>
    <w:basedOn w:val="787"/>
    <w:link w:val="801"/>
    <w:uiPriority w:val="11"/>
    <w:qFormat/>
    <w:rPr>
      <w:sz w:val="24"/>
      <w:szCs w:val="24"/>
    </w:rPr>
  </w:style>
  <w:style w:type="paragraph" w:styleId="826">
    <w:name w:val="Quote"/>
    <w:basedOn w:val="777"/>
    <w:next w:val="777"/>
    <w:link w:val="827"/>
    <w:uiPriority w:val="29"/>
    <w:qFormat/>
    <w:pPr>
      <w:ind w:left="720" w:right="720"/>
    </w:pPr>
    <w:rPr>
      <w:i/>
    </w:rPr>
  </w:style>
  <w:style w:type="character" w:styleId="827" w:customStyle="1">
    <w:name w:val="Quote Char"/>
    <w:link w:val="826"/>
    <w:uiPriority w:val="29"/>
    <w:qFormat/>
    <w:rPr>
      <w:i/>
    </w:rPr>
  </w:style>
  <w:style w:type="paragraph" w:styleId="828">
    <w:name w:val="Intense Quote"/>
    <w:basedOn w:val="777"/>
    <w:next w:val="777"/>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Intense Quote Char"/>
    <w:link w:val="828"/>
    <w:uiPriority w:val="30"/>
    <w:qFormat/>
    <w:rPr>
      <w:i/>
    </w:rPr>
  </w:style>
  <w:style w:type="character" w:styleId="830" w:customStyle="1">
    <w:name w:val="Header Char"/>
    <w:basedOn w:val="787"/>
    <w:uiPriority w:val="99"/>
    <w:qFormat/>
  </w:style>
  <w:style w:type="character" w:styleId="831" w:customStyle="1">
    <w:name w:val="Footer Char"/>
    <w:basedOn w:val="787"/>
    <w:uiPriority w:val="99"/>
    <w:qFormat/>
  </w:style>
  <w:style w:type="character" w:styleId="832" w:customStyle="1">
    <w:name w:val="Caption Char"/>
    <w:uiPriority w:val="99"/>
    <w:qFormat/>
  </w:style>
  <w:style w:type="table" w:styleId="833" w:customStyle="1">
    <w:name w:val="Table Grid Light"/>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3"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8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2" w:customStyle="1">
    <w:name w:val="Grid Table 4 - Accent 2"/>
    <w:basedOn w:val="78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3" w:customStyle="1">
    <w:name w:val="Grid Table 4 - Accent 3"/>
    <w:basedOn w:val="78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4" w:customStyle="1">
    <w:name w:val="Grid Table 4 - Accent 4"/>
    <w:basedOn w:val="78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5" w:customStyle="1">
    <w:name w:val="Grid Table 4 - Accent 5"/>
    <w:basedOn w:val="78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6" w:customStyle="1">
    <w:name w:val="Grid Table 4 - Accent 6"/>
    <w:basedOn w:val="78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7"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9" w:customStyle="1">
    <w:name w:val="Grid Table 5 Dark - Accent 2"/>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0" w:customStyle="1">
    <w:name w:val="Grid Table 5 Dark - Accent 3"/>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1" w:customStyle="1">
    <w:name w:val="Grid Table 5 Dark- Accent 4"/>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2" w:customStyle="1">
    <w:name w:val="Grid Table 5 Dark - Accent 5"/>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3" w:customStyle="1">
    <w:name w:val="Grid Table 5 Dark - Accent 6"/>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4"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8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8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8" w:customStyle="1">
    <w:name w:val="Grid Table 6 Colorful - Accent 4"/>
    <w:basedOn w:val="7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8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0" w:customStyle="1">
    <w:name w:val="Grid Table 6 Colorful - Accent 6"/>
    <w:basedOn w:val="78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1"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8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8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8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8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8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8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8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8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8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8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8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8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5"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8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7" w:customStyle="1">
    <w:name w:val="List Table 2 - Accent 2"/>
    <w:basedOn w:val="78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8" w:customStyle="1">
    <w:name w:val="List Table 2 - Accent 3"/>
    <w:basedOn w:val="78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9" w:customStyle="1">
    <w:name w:val="List Table 2 - Accent 4"/>
    <w:basedOn w:val="78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0" w:customStyle="1">
    <w:name w:val="List Table 2 - Accent 5"/>
    <w:basedOn w:val="78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1" w:customStyle="1">
    <w:name w:val="List Table 2 - Accent 6"/>
    <w:basedOn w:val="78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2"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8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4" w:customStyle="1">
    <w:name w:val="List Table 3 - Accent 2"/>
    <w:basedOn w:val="7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8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8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8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9"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8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1" w:customStyle="1">
    <w:name w:val="List Table 4 - Accent 2"/>
    <w:basedOn w:val="78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2" w:customStyle="1">
    <w:name w:val="List Table 4 - Accent 3"/>
    <w:basedOn w:val="78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3" w:customStyle="1">
    <w:name w:val="List Table 4 - Accent 4"/>
    <w:basedOn w:val="78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4" w:customStyle="1">
    <w:name w:val="List Table 4 - Accent 5"/>
    <w:basedOn w:val="78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5" w:customStyle="1">
    <w:name w:val="List Table 4 - Accent 6"/>
    <w:basedOn w:val="78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6"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8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8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8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8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8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8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8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5" w:customStyle="1">
    <w:name w:val="List Table 6 Colorful - Accent 2"/>
    <w:basedOn w:val="78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6" w:customStyle="1">
    <w:name w:val="List Table 6 Colorful - Accent 3"/>
    <w:basedOn w:val="78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7" w:customStyle="1">
    <w:name w:val="List Table 6 Colorful - Accent 4"/>
    <w:basedOn w:val="78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8" w:customStyle="1">
    <w:name w:val="List Table 6 Colorful - Accent 5"/>
    <w:basedOn w:val="78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9" w:customStyle="1">
    <w:name w:val="List Table 6 Colorful - Accent 6"/>
    <w:basedOn w:val="78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0"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8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8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8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8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8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8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9" w:customStyle="1">
    <w:name w:val="Lined - Accent 2"/>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0" w:customStyle="1">
    <w:name w:val="Lined - Accent 3"/>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1" w:customStyle="1">
    <w:name w:val="Lined - Accent 4"/>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2" w:customStyle="1">
    <w:name w:val="Lined - Accent 5"/>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3" w:customStyle="1">
    <w:name w:val="Lined - Accent 6"/>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4" w:customStyle="1">
    <w:name w:val="Bordered &amp; Lined - Accent"/>
    <w:basedOn w:val="7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8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6" w:customStyle="1">
    <w:name w:val="Bordered &amp; Lined - Accent 2"/>
    <w:basedOn w:val="78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7" w:customStyle="1">
    <w:name w:val="Bordered &amp; Lined - Accent 3"/>
    <w:basedOn w:val="78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8" w:customStyle="1">
    <w:name w:val="Bordered &amp; Lined - Accent 4"/>
    <w:basedOn w:val="78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9" w:customStyle="1">
    <w:name w:val="Bordered &amp; Lined - Accent 5"/>
    <w:basedOn w:val="78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0" w:customStyle="1">
    <w:name w:val="Bordered &amp; Lined - Accent 6"/>
    <w:basedOn w:val="78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1" w:customStyle="1">
    <w:name w:val="Bordered"/>
    <w:basedOn w:val="7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3" w:customStyle="1">
    <w:name w:val="Bordered - Accent 2"/>
    <w:basedOn w:val="7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4" w:customStyle="1">
    <w:name w:val="Bordered - Accent 3"/>
    <w:basedOn w:val="7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5" w:customStyle="1">
    <w:name w:val="Bordered - Accent 4"/>
    <w:basedOn w:val="7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6" w:customStyle="1">
    <w:name w:val="Bordered - Accent 5"/>
    <w:basedOn w:val="7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7" w:customStyle="1">
    <w:name w:val="Bordered - Accent 6"/>
    <w:basedOn w:val="7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8" w:customStyle="1">
    <w:name w:val="Footnote Text Char"/>
    <w:link w:val="802"/>
    <w:uiPriority w:val="99"/>
    <w:qFormat/>
    <w:rPr>
      <w:sz w:val="18"/>
    </w:rPr>
  </w:style>
  <w:style w:type="character" w:styleId="959" w:customStyle="1">
    <w:name w:val="Endnote Text Char"/>
    <w:link w:val="796"/>
    <w:uiPriority w:val="99"/>
    <w:qFormat/>
    <w:rPr>
      <w:sz w:val="20"/>
    </w:rPr>
  </w:style>
  <w:style w:type="paragraph" w:styleId="960" w:customStyle="1">
    <w:name w:val="TOC Heading"/>
    <w:uiPriority w:val="39"/>
    <w:unhideWhenUsed/>
    <w:qFormat/>
    <w:rPr>
      <w:rFonts w:hint="default" w:asciiTheme="minorHAnsi" w:hAnsiTheme="minorHAnsi" w:eastAsiaTheme="minorEastAsia" w:cstheme="minorBidi"/>
    </w:rPr>
  </w:style>
  <w:style w:type="paragraph" w:styleId="961" w:customStyle="1">
    <w:name w:val="正文文本缩进11"/>
    <w:basedOn w:val="777"/>
    <w:next w:val="777"/>
    <w:uiPriority w:val="0"/>
    <w:qFormat/>
    <w:pPr>
      <w:ind w:firstLine="225"/>
    </w:pPr>
    <w:rPr>
      <w:rFonts w:ascii="仿宋_GB2312" w:eastAsia="仿宋_GB2312"/>
      <w:sz w:val="32"/>
    </w:rPr>
  </w:style>
  <w:style w:type="paragraph" w:styleId="962" w:customStyle="1">
    <w:name w:val="普通正文"/>
    <w:basedOn w:val="777"/>
    <w:uiPriority w:val="0"/>
    <w:qFormat/>
    <w:pPr>
      <w:ind w:firstLine="480"/>
      <w:spacing w:before="120" w:after="120" w:line="360" w:lineRule="auto"/>
    </w:pPr>
    <w:rPr>
      <w:rFonts w:ascii="Arial" w:hAnsi="Arial"/>
      <w:sz w:val="24"/>
      <w:szCs w:val="24"/>
    </w:rPr>
  </w:style>
  <w:style w:type="paragraph" w:styleId="963" w:customStyle="1">
    <w:name w:val="正文空2字"/>
    <w:basedOn w:val="964"/>
    <w:uiPriority w:val="99"/>
    <w:qFormat/>
    <w:pPr>
      <w:ind w:firstLine="640"/>
      <w:spacing w:line="560" w:lineRule="exact"/>
      <w:widowControl w:val="off"/>
    </w:pPr>
    <w:rPr>
      <w:rFonts w:ascii="仿宋_GB2312" w:hAnsi="仿宋_GB2312" w:cs="仿宋_GB2312"/>
      <w:lang w:val="zh-TW"/>
    </w:rPr>
  </w:style>
  <w:style w:type="paragraph" w:styleId="964" w:customStyle="1">
    <w:name w:val="左对齐正文"/>
    <w:uiPriority w:val="99"/>
    <w:qFormat/>
    <w:rPr>
      <w:rFonts w:hint="default" w:ascii="Calibri" w:hAnsi="Calibri" w:eastAsia="仿宋_GB2312" w:cs="Calibri"/>
      <w:sz w:val="32"/>
      <w:szCs w:val="32"/>
      <w:lang w:val="en-US" w:eastAsia="zh-CN" w:bidi="ar-SA"/>
    </w:rPr>
  </w:style>
  <w:style w:type="paragraph" w:styleId="965" w:customStyle="1">
    <w:name w:val="首行缩进"/>
    <w:basedOn w:val="777"/>
    <w:uiPriority w:val="0"/>
    <w:qFormat/>
    <w:pPr>
      <w:ind w:firstLine="480"/>
    </w:pPr>
    <w:rPr>
      <w:rFonts w:ascii="Times New Roman" w:hAnsi="Times New Roman" w:cs="Times New Roman"/>
      <w:lang w:val="zh-CN"/>
    </w:rPr>
  </w:style>
  <w:style w:type="table" w:styleId="966" w:customStyle="1">
    <w:name w:val="网格型1"/>
    <w:basedOn w:val="967"/>
    <w:uiPriority w:val="0"/>
    <w:qFormat/>
    <w:pPr>
      <w:jc w:val="both"/>
      <w:widowControl w:val="off"/>
    </w:pPr>
    <w:tblPr/>
  </w:style>
  <w:style w:type="table" w:styleId="967" w:customStyle="1">
    <w:name w:val="普通表格1"/>
    <w:uiPriority w:val="99"/>
    <w:unhideWhenUsed/>
    <w:qFormat/>
    <w:tblPr/>
  </w:style>
  <w:style w:type="paragraph" w:styleId="96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7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71" w:customStyle="1">
    <w:name w:val="Char"/>
    <w:basedOn w:val="777"/>
    <w:uiPriority w:val="0"/>
    <w:qFormat/>
    <w:pPr>
      <w:ind w:firstLine="200"/>
      <w:tabs>
        <w:tab w:val="left" w:pos="360" w:leader="none"/>
      </w:tabs>
    </w:pPr>
    <w:rPr>
      <w:sz w:val="28"/>
      <w:szCs w:val="30"/>
    </w:rPr>
  </w:style>
  <w:style w:type="paragraph" w:styleId="972" w:customStyle="1">
    <w:name w:val="Normal_12_0"/>
    <w:uiPriority w:val="0"/>
    <w:qFormat/>
    <w:rPr>
      <w:rFonts w:hint="default" w:ascii="黑体" w:hAnsi="黑体" w:eastAsia="黑体" w:cs="Times New Roman"/>
      <w:b/>
      <w:sz w:val="32"/>
      <w:szCs w:val="24"/>
      <w:lang w:val="en-US" w:eastAsia="zh-CN" w:bidi="ar-SA"/>
    </w:rPr>
  </w:style>
  <w:style w:type="paragraph" w:styleId="973" w:customStyle="1">
    <w:name w:val="正文_12_0_0_0_0"/>
    <w:basedOn w:val="777"/>
    <w:uiPriority w:val="0"/>
    <w:qFormat/>
    <w:rPr>
      <w:rFonts w:ascii="Times New Roman" w:hAnsi="Times New Roman"/>
      <w:szCs w:val="24"/>
    </w:rPr>
  </w:style>
  <w:style w:type="paragraph" w:styleId="97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7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Normal_20"/>
    <w:uiPriority w:val="0"/>
    <w:qFormat/>
    <w:rPr>
      <w:rFonts w:hint="default" w:ascii="黑体" w:hAnsi="黑体" w:eastAsia="黑体" w:cs="黑体"/>
      <w:b/>
      <w:sz w:val="32"/>
      <w:szCs w:val="24"/>
      <w:lang w:val="en-US" w:eastAsia="zh-CN" w:bidi="ar-SA"/>
    </w:rPr>
  </w:style>
  <w:style w:type="paragraph" w:styleId="97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79" w:customStyle="1">
    <w:name w:val="font11"/>
    <w:basedOn w:val="787"/>
    <w:uiPriority w:val="0"/>
    <w:qFormat/>
    <w:rPr>
      <w:rFonts w:hint="eastAsia" w:ascii="宋体" w:hAnsi="宋体" w:eastAsia="宋体" w:cs="宋体"/>
      <w:color w:val="000000"/>
      <w:sz w:val="20"/>
      <w:szCs w:val="20"/>
      <w:u w:val="none"/>
    </w:rPr>
  </w:style>
  <w:style w:type="character" w:styleId="980" w:customStyle="1">
    <w:name w:val="font01"/>
    <w:basedOn w:val="787"/>
    <w:uiPriority w:val="0"/>
    <w:qFormat/>
    <w:rPr>
      <w:rFonts w:hint="default" w:ascii="Arial" w:hAnsi="Arial" w:cs="Arial"/>
      <w:color w:val="000000"/>
      <w:sz w:val="20"/>
      <w:szCs w:val="20"/>
      <w:u w:val="none"/>
    </w:rPr>
  </w:style>
  <w:style w:type="paragraph" w:styleId="981" w:customStyle="1">
    <w:name w:val="普通(网站)1"/>
    <w:basedOn w:val="777"/>
    <w:uiPriority w:val="0"/>
    <w:qFormat/>
    <w:pPr>
      <w:jc w:val="left"/>
      <w:spacing w:beforeAutospacing="1" w:afterAutospacing="1"/>
    </w:pPr>
    <w:rPr>
      <w:sz w:val="24"/>
    </w:rPr>
  </w:style>
  <w:style w:type="paragraph" w:styleId="982" w:customStyle="1">
    <w:name w:val="Table Paragraph"/>
    <w:basedOn w:val="777"/>
    <w:uiPriority w:val="0"/>
    <w:qFormat/>
    <w:pPr>
      <w:jc w:val="left"/>
    </w:pPr>
    <w:rPr>
      <w:rFonts w:ascii="宋体" w:hAnsi="宋体" w:cs="宋体"/>
      <w:sz w:val="22"/>
      <w:lang w:val="zh-CN" w:bidi="zh-CN"/>
    </w:rPr>
  </w:style>
  <w:style w:type="paragraph" w:styleId="983" w:customStyle="1">
    <w:name w:val="正文_3_0"/>
    <w:uiPriority w:val="0"/>
    <w:qFormat/>
    <w:pPr>
      <w:jc w:val="both"/>
      <w:widowControl w:val="off"/>
    </w:pPr>
    <w:rPr>
      <w:rFonts w:hint="default" w:ascii="Calibri" w:hAnsi="Calibri" w:eastAsia="宋体" w:cs="Times New Roman"/>
      <w:sz w:val="21"/>
      <w:szCs w:val="22"/>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 Id="rId17" Type="http://schemas.openxmlformats.org/officeDocument/2006/relationships/image" Target="media/image3.png"/><Relationship Id="rId18"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张祥</cp:lastModifiedBy>
  <cp:revision>14</cp:revision>
  <dcterms:created xsi:type="dcterms:W3CDTF">2022-10-10T04:43:00Z</dcterms:created>
  <dcterms:modified xsi:type="dcterms:W3CDTF">2026-09-18T07:21:17Z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CD416544197942ED999F44903FA8F967</vt:lpwstr>
  </property>
  <property fmtid="{D5CDD505-2E9C-101B-9397-08002B2CF9AE}" pid="4" name="KSOTemplateDocerSaveRecord">
    <vt:lpwstr>eyJoZGlkIjoiODAyYjE2NTJhMzMzODg2NGNjYWU0OWNkMTJiN2E5MWYiLCJ1c2VySWQiOiIxOTQ5NzAzNjMifQ==</vt:lpwstr>
  </property>
</Properties>
</file>