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江苏省政府采购</w:t>
      </w:r>
      <w:r/>
    </w:p>
    <w:p>
      <w:pPr>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t xml:space="preserve">竞争性磋商文件</w:t>
      </w:r>
      <w:r/>
    </w:p>
    <w:p>
      <w:pPr>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r>
      <w:r/>
    </w:p>
    <w:p>
      <w:pPr>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r>
      <w:r/>
    </w:p>
    <w:tbl>
      <w:tblPr>
        <w:tblW w:w="89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83"/>
      </w:tblGrid>
      <w:tr>
        <w:trPr>
          <w:jc w:val="center"/>
          <w:trHeight w:val="1716"/>
        </w:trPr>
        <w:tc>
          <w:tcPr>
            <w:tcW w:w="8983" w:type="dxa"/>
            <w:textDirection w:val="lrTb"/>
            <w:noWrap w:val="false"/>
          </w:tcPr>
          <w:p>
            <w:pPr>
              <w:spacing w:line="360" w:lineRule="auto"/>
              <w:tabs>
                <w:tab w:val="left" w:pos="5818" w:leader="none"/>
              </w:tabs>
              <w:rPr>
                <w:rFonts w:hint="eastAsia" w:ascii="黑体" w:hAnsi="黑体" w:eastAsia="黑体"/>
                <w:sz w:val="36"/>
                <w:szCs w:val="36"/>
              </w:rPr>
            </w:pPr>
            <w:r>
              <w:rPr>
                <w:rFonts w:hint="eastAsia" w:ascii="黑体" w:hAnsi="黑体" w:eastAsia="黑体"/>
                <w:sz w:val="36"/>
                <w:szCs w:val="36"/>
              </w:rPr>
              <w:t xml:space="preserve">采购编号：</w:t>
            </w:r>
            <w:r>
              <w:rPr>
                <w:rFonts w:hint="eastAsia" w:ascii="黑体" w:hAnsi="黑体" w:eastAsia="黑体"/>
                <w:sz w:val="36"/>
                <w:szCs w:val="36"/>
              </w:rPr>
              <w:t xml:space="preserve">JSZC-320000-JSCY-C2026-0025</w:t>
            </w:r>
            <w:r>
              <w:rPr>
                <w:rFonts w:ascii="黑体" w:hAnsi="黑体" w:eastAsia="黑体"/>
                <w:sz w:val="36"/>
                <w:szCs w:val="36"/>
              </w:rPr>
              <w:tab/>
            </w:r>
            <w:r/>
          </w:p>
          <w:p>
            <w:pPr>
              <w:spacing w:line="360" w:lineRule="auto"/>
              <w:rPr>
                <w:rFonts w:hint="eastAsia" w:ascii="方正黑体_GBK" w:hAnsi="方正黑体_GBK" w:eastAsia="方正黑体_GBK" w:cs="方正黑体_GBK"/>
                <w:color w:val="000000"/>
                <w:sz w:val="28"/>
                <w:szCs w:val="28"/>
                <w:lang w:val="en-US"/>
              </w:rPr>
              <w:outlineLvl w:val="0"/>
            </w:pPr>
            <w:r>
              <w:rPr>
                <w:rFonts w:hint="eastAsia" w:ascii="黑体" w:hAnsi="黑体" w:eastAsia="黑体"/>
                <w:sz w:val="36"/>
                <w:szCs w:val="36"/>
              </w:rPr>
              <w:t xml:space="preserve">采购项目：</w:t>
            </w:r>
            <w:r>
              <w:rPr>
                <w:rFonts w:ascii="黑体" w:hAnsi="黑体" w:eastAsia="黑体"/>
                <w:sz w:val="36"/>
                <w:szCs w:val="36"/>
              </w:rPr>
              <w:t xml:space="preserve">机房及硬件维修维保服务</w:t>
            </w:r>
            <w:r/>
          </w:p>
          <w:p>
            <w:pPr>
              <w:spacing w:line="360" w:lineRule="auto"/>
              <w:rPr>
                <w:rFonts w:hint="eastAsia" w:ascii="黑体" w:hAnsi="黑体" w:eastAsia="黑体"/>
                <w:sz w:val="36"/>
                <w:szCs w:val="36"/>
              </w:rPr>
              <w:outlineLvl w:val="0"/>
            </w:pPr>
            <w:r>
              <w:rPr>
                <w:rFonts w:hint="eastAsia" w:ascii="黑体" w:hAnsi="黑体" w:eastAsia="黑体"/>
                <w:sz w:val="36"/>
                <w:szCs w:val="36"/>
              </w:rPr>
              <w:t xml:space="preserve">采购单位：</w:t>
            </w:r>
            <w:bookmarkStart w:id="0" w:name="OLE_LINK14"/>
            <w:r>
              <w:rPr>
                <w:rFonts w:ascii="黑体" w:hAnsi="黑体" w:eastAsia="黑体" w:cs="黑体"/>
                <w:sz w:val="36"/>
                <w:szCs w:val="36"/>
              </w:rPr>
              <w:t xml:space="preserve">江苏省应急管理厅</w:t>
            </w:r>
            <w:bookmarkEnd w:id="0"/>
            <w:r/>
            <w:r/>
          </w:p>
          <w:p>
            <w:pPr>
              <w:spacing w:line="360" w:lineRule="auto"/>
              <w:rPr>
                <w:rFonts w:hint="eastAsia" w:ascii="黑体" w:hAnsi="黑体" w:eastAsia="黑体"/>
                <w:sz w:val="36"/>
                <w:szCs w:val="36"/>
              </w:rPr>
            </w:pPr>
            <w:r>
              <w:rPr>
                <w:rFonts w:hint="eastAsia" w:ascii="黑体" w:hAnsi="黑体" w:eastAsia="黑体"/>
                <w:sz w:val="36"/>
                <w:szCs w:val="36"/>
              </w:rPr>
              <w:t xml:space="preserve">采购类别：服务类</w:t>
            </w:r>
            <w:r/>
          </w:p>
        </w:tc>
      </w:tr>
    </w:tbl>
    <w:p>
      <w:pPr>
        <w:jc w:val="center"/>
        <w:rPr>
          <w:rFonts w:hint="eastAsia" w:ascii="黑体" w:hAnsi="黑体" w:eastAsia="黑体"/>
          <w:sz w:val="32"/>
        </w:rPr>
      </w:pPr>
      <w:r>
        <w:rPr>
          <w:rFonts w:hint="eastAsia" w:ascii="黑体" w:hAnsi="黑体" w:eastAsia="黑体"/>
          <w:sz w:val="32"/>
        </w:rPr>
      </w:r>
      <w:r/>
    </w:p>
    <w:p>
      <w:pPr>
        <w:jc w:val="center"/>
        <w:rPr>
          <w:rFonts w:hint="eastAsia" w:ascii="黑体" w:hAnsi="黑体" w:eastAsia="黑体"/>
          <w:sz w:val="32"/>
        </w:rPr>
      </w:pPr>
      <w:r>
        <w:rPr>
          <w:rFonts w:hint="eastAsia" w:ascii="黑体" w:hAnsi="黑体" w:eastAsia="黑体"/>
          <w:sz w:val="32"/>
        </w:rPr>
      </w:r>
      <w:r/>
    </w:p>
    <w:p>
      <w:pPr>
        <w:pStyle w:val="1075"/>
        <w:ind w:firstLine="400"/>
        <w:rPr>
          <w:rFonts w:eastAsia="等线"/>
        </w:rPr>
      </w:pPr>
      <w:r>
        <w:rPr>
          <w:rFonts w:eastAsia="等线"/>
        </w:rPr>
      </w:r>
      <w:r/>
    </w:p>
    <w:p>
      <w:pPr>
        <w:jc w:val="center"/>
        <w:rPr>
          <w:rFonts w:hint="eastAsia" w:ascii="黑体" w:hAnsi="黑体" w:eastAsia="黑体"/>
          <w:sz w:val="32"/>
        </w:rPr>
      </w:pPr>
      <w:r>
        <w:rPr>
          <w:rFonts w:hint="eastAsia" w:ascii="黑体" w:hAnsi="黑体" w:eastAsia="黑体"/>
          <w:sz w:val="32"/>
        </w:rPr>
        <mc:AlternateContent>
          <mc:Choice Requires="wpg">
            <w:drawing>
              <wp:inline xmlns:wp="http://schemas.openxmlformats.org/drawingml/2006/wordprocessingDrawing" distT="0" distB="0" distL="0" distR="0">
                <wp:extent cx="3663950" cy="204152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8"/>
                        <a:stretch/>
                      </pic:blipFill>
                      <pic:spPr bwMode="auto">
                        <a:xfrm>
                          <a:off x="0" y="0"/>
                          <a:ext cx="3664522" cy="204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8.5pt;height:160.8pt;mso-wrap-distance-left:0.0pt;mso-wrap-distance-top:0.0pt;mso-wrap-distance-right:0.0pt;mso-wrap-distance-bottom:0.0pt;" stroked="f">
                <v:path textboxrect="0,0,0,0"/>
                <v:imagedata r:id="rId18" o:title=""/>
              </v:shape>
            </w:pict>
          </mc:Fallback>
        </mc:AlternateContent>
      </w:r>
      <w:r/>
    </w:p>
    <w:p>
      <w:pPr>
        <w:rPr>
          <w:rFonts w:hint="eastAsia" w:ascii="黑体" w:hAnsi="黑体" w:eastAsia="黑体"/>
          <w:sz w:val="32"/>
        </w:rPr>
      </w:pPr>
      <w:r>
        <w:rPr>
          <w:rFonts w:hint="eastAsia" w:ascii="黑体" w:hAnsi="黑体" w:eastAsia="黑体"/>
          <w:sz w:val="32"/>
        </w:rPr>
      </w:r>
      <w:r/>
    </w:p>
    <w:p>
      <w:pPr>
        <w:rPr>
          <w:rFonts w:hint="eastAsia" w:ascii="黑体" w:hAnsi="黑体" w:eastAsia="黑体"/>
          <w:sz w:val="32"/>
        </w:rPr>
      </w:pPr>
      <w:r>
        <w:rPr>
          <w:rFonts w:hint="eastAsia" w:ascii="黑体" w:hAnsi="黑体" w:eastAsia="黑体"/>
          <w:sz w:val="32"/>
        </w:rPr>
      </w:r>
      <w:r/>
    </w:p>
    <w:p>
      <w:pPr>
        <w:pStyle w:val="1075"/>
        <w:ind w:firstLine="400"/>
        <w:rPr>
          <w:rFonts w:eastAsia="等线"/>
        </w:rPr>
      </w:pPr>
      <w:r>
        <w:rPr>
          <w:rFonts w:eastAsia="等线"/>
        </w:rPr>
      </w:r>
      <w:r/>
    </w:p>
    <w:p>
      <w:pPr>
        <w:jc w:val="center"/>
        <w:spacing w:line="360" w:lineRule="auto"/>
        <w:rPr>
          <w:rFonts w:hint="eastAsia" w:ascii="黑体" w:hAnsi="黑体" w:eastAsia="黑体" w:cs="黑体"/>
          <w:sz w:val="36"/>
          <w:szCs w:val="36"/>
        </w:rPr>
        <w:outlineLvl w:val="0"/>
      </w:pPr>
      <w:r/>
      <w:bookmarkStart w:id="1" w:name="OLE_LINK20"/>
      <w:r>
        <w:rPr>
          <w:rFonts w:hint="eastAsia" w:ascii="黑体" w:hAnsi="黑体" w:eastAsia="黑体" w:cs="黑体"/>
          <w:sz w:val="36"/>
          <w:szCs w:val="36"/>
        </w:rPr>
        <w:t xml:space="preserve">江苏驰驿招标代理有限公司</w:t>
      </w:r>
      <w:bookmarkEnd w:id="1"/>
      <w:r/>
      <w:r/>
    </w:p>
    <w:p>
      <w:pPr>
        <w:jc w:val="center"/>
        <w:spacing w:line="360" w:lineRule="auto"/>
        <w:rPr>
          <w:rFonts w:hint="eastAsia" w:ascii="黑体" w:hAnsi="黑体" w:eastAsia="黑体"/>
          <w:sz w:val="36"/>
          <w:szCs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1418" w:bottom="1418" w:left="1418" w:header="851" w:footer="680" w:gutter="0"/>
          <w:pgNumType w:start="1"/>
          <w:cols w:num="1" w:sep="0" w:space="720" w:equalWidth="1"/>
          <w:docGrid w:linePitch="360"/>
          <w:titlePg/>
        </w:sectPr>
        <w:outlineLvl w:val="0"/>
      </w:pPr>
      <w:r>
        <w:rPr>
          <w:rFonts w:hint="eastAsia" w:ascii="黑体" w:hAnsi="黑体" w:eastAsia="黑体" w:cs="黑体"/>
          <w:sz w:val="36"/>
          <w:szCs w:val="36"/>
        </w:rPr>
        <w:t xml:space="preserve">二</w:t>
      </w:r>
      <w:r>
        <w:rPr>
          <w:rFonts w:hint="eastAsia" w:ascii="黑体" w:hAnsi="黑体" w:eastAsia="黑体" w:cs="黑体"/>
          <w:sz w:val="36"/>
          <w:szCs w:val="36"/>
          <w:lang w:val="en-US" w:eastAsia="en-US"/>
        </w:rPr>
        <w:t xml:space="preserve">〇</w:t>
      </w: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九</w:t>
      </w:r>
      <w:r>
        <w:rPr>
          <w:rFonts w:hint="eastAsia" w:ascii="黑体" w:hAnsi="黑体" w:eastAsia="黑体" w:cs="黑体"/>
          <w:sz w:val="36"/>
          <w:szCs w:val="36"/>
        </w:rPr>
        <w:t xml:space="preserve">月</w:t>
      </w:r>
      <w:r/>
    </w:p>
    <w:p>
      <w:pPr>
        <w:jc w:val="center"/>
        <w:spacing w:before="100" w:beforeAutospacing="1" w:after="100" w:afterAutospacing="1"/>
        <w:rPr>
          <w:rFonts w:hint="eastAsia" w:ascii="宋体" w:hAnsi="宋体" w:eastAsia="宋体"/>
          <w:b/>
          <w:sz w:val="32"/>
          <w:szCs w:val="32"/>
        </w:rPr>
      </w:pPr>
      <w:r>
        <w:rPr>
          <w:rFonts w:hint="eastAsia" w:ascii="宋体" w:hAnsi="宋体" w:eastAsia="宋体"/>
          <w:b/>
          <w:sz w:val="32"/>
          <w:szCs w:val="32"/>
        </w:rPr>
        <w:t xml:space="preserve">目  录</w:t>
      </w:r>
      <w:r/>
    </w:p>
    <w:p>
      <w:pPr>
        <w:pStyle w:val="870"/>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hyperlink w:tooltip="#_Toc381716859" w:anchor="_Toc381716859" w:history="1">
        <w:r>
          <w:rPr>
            <w:rStyle w:val="902"/>
            <w:rFonts w:hint="eastAsia" w:ascii="宋体" w:hAnsi="宋体" w:eastAsia="宋体"/>
            <w:bCs/>
            <w:color w:val="000000"/>
            <w:sz w:val="24"/>
            <w:szCs w:val="24"/>
          </w:rPr>
          <w:t xml:space="preserve">第一章  竞争性磋商</w:t>
        </w:r>
        <w:r>
          <w:rPr>
            <w:rStyle w:val="902"/>
            <w:rFonts w:hint="eastAsia" w:ascii="宋体" w:hAnsi="宋体" w:eastAsia="宋体"/>
            <w:bCs/>
            <w:color w:val="000000"/>
            <w:sz w:val="24"/>
            <w:szCs w:val="24"/>
            <w:lang w:val="en-US" w:eastAsia="en-US"/>
          </w:rPr>
          <w:t xml:space="preserve">采购公告</w:t>
        </w:r>
        <w:r>
          <w:rPr>
            <w:rFonts w:hint="eastAsia" w:ascii="宋体" w:hAnsi="宋体" w:eastAsia="宋体"/>
            <w:sz w:val="24"/>
            <w:szCs w:val="24"/>
          </w:rPr>
          <w:tab/>
        </w:r>
        <w:r>
          <w:rPr>
            <w:rFonts w:hint="eastAsia" w:ascii="宋体" w:hAnsi="宋体" w:eastAsia="宋体"/>
            <w:sz w:val="24"/>
            <w:szCs w:val="24"/>
            <w:lang w:val="en-US"/>
          </w:rPr>
          <w:t xml:space="preserve">2</w:t>
        </w:r>
      </w:hyperlink>
      <w:r/>
      <w:r/>
    </w:p>
    <w:p>
      <w:pPr>
        <w:pStyle w:val="870"/>
        <w:ind w:left="-200" w:firstLine="241"/>
        <w:spacing w:before="240" w:after="360" w:line="360" w:lineRule="auto"/>
        <w:tabs>
          <w:tab w:val="right" w:pos="9746" w:leader="middleDot"/>
        </w:tabs>
        <w:rPr>
          <w:rFonts w:hint="eastAsia" w:ascii="宋体" w:hAnsi="宋体" w:eastAsia="宋体"/>
          <w:caps w:val="0"/>
          <w:sz w:val="24"/>
          <w:szCs w:val="24"/>
        </w:rPr>
      </w:pPr>
      <w:r/>
      <w:hyperlink w:tooltip="#_Toc381716860" w:anchor="_Toc381716860" w:history="1">
        <w:r>
          <w:rPr>
            <w:rStyle w:val="902"/>
            <w:rFonts w:hint="eastAsia" w:ascii="宋体" w:hAnsi="宋体" w:eastAsia="宋体"/>
            <w:color w:val="000000"/>
            <w:sz w:val="24"/>
            <w:szCs w:val="24"/>
          </w:rPr>
          <w:t xml:space="preserve">第二</w:t>
        </w:r>
        <w:r>
          <w:rPr>
            <w:rStyle w:val="902"/>
            <w:rFonts w:hint="eastAsia" w:ascii="宋体" w:hAnsi="宋体" w:eastAsia="宋体"/>
            <w:bCs/>
            <w:color w:val="000000"/>
            <w:sz w:val="24"/>
            <w:szCs w:val="24"/>
          </w:rPr>
          <w:t xml:space="preserve">章</w:t>
        </w:r>
        <w:r>
          <w:rPr>
            <w:rStyle w:val="902"/>
            <w:rFonts w:hint="eastAsia" w:ascii="宋体" w:hAnsi="宋体" w:eastAsia="宋体"/>
            <w:color w:val="000000"/>
            <w:sz w:val="24"/>
            <w:szCs w:val="24"/>
          </w:rPr>
          <w:t xml:space="preserve">  竞争性磋商须知</w:t>
        </w:r>
        <w:r>
          <w:rPr>
            <w:rFonts w:hint="eastAsia" w:ascii="宋体" w:hAnsi="宋体" w:eastAsia="宋体"/>
            <w:sz w:val="24"/>
            <w:szCs w:val="24"/>
          </w:rPr>
          <w:tab/>
          <w:t xml:space="preserve">5</w:t>
        </w:r>
      </w:hyperlink>
      <w:r/>
      <w:r/>
    </w:p>
    <w:p>
      <w:pPr>
        <w:pStyle w:val="870"/>
        <w:ind w:left="-200" w:firstLine="241"/>
        <w:spacing w:before="240" w:after="360" w:line="360" w:lineRule="auto"/>
        <w:tabs>
          <w:tab w:val="right" w:pos="9746" w:leader="middleDot"/>
        </w:tabs>
        <w:rPr>
          <w:rFonts w:hint="eastAsia" w:ascii="宋体" w:hAnsi="宋体" w:eastAsia="宋体"/>
          <w:caps w:val="0"/>
          <w:sz w:val="24"/>
          <w:szCs w:val="24"/>
        </w:rPr>
      </w:pPr>
      <w:r/>
      <w:hyperlink w:tooltip="#_Toc381716860" w:anchor="_Toc381716860" w:history="1">
        <w:r>
          <w:rPr>
            <w:rStyle w:val="902"/>
            <w:rFonts w:hint="eastAsia" w:ascii="宋体" w:hAnsi="宋体" w:eastAsia="宋体"/>
            <w:color w:val="000000"/>
            <w:sz w:val="24"/>
            <w:szCs w:val="24"/>
          </w:rPr>
          <w:t xml:space="preserve">第三</w:t>
        </w:r>
        <w:r>
          <w:rPr>
            <w:rStyle w:val="902"/>
            <w:rFonts w:hint="eastAsia" w:ascii="宋体" w:hAnsi="宋体" w:eastAsia="宋体"/>
            <w:bCs/>
            <w:color w:val="000000"/>
            <w:sz w:val="24"/>
            <w:szCs w:val="24"/>
          </w:rPr>
          <w:t xml:space="preserve">章</w:t>
        </w:r>
        <w:r>
          <w:rPr>
            <w:rStyle w:val="902"/>
            <w:rFonts w:hint="eastAsia" w:ascii="宋体" w:hAnsi="宋体" w:eastAsia="宋体"/>
            <w:color w:val="000000"/>
            <w:sz w:val="24"/>
            <w:szCs w:val="24"/>
          </w:rPr>
          <w:t xml:space="preserve">  成交标准</w:t>
        </w:r>
        <w:r>
          <w:rPr>
            <w:rFonts w:hint="eastAsia" w:ascii="宋体" w:hAnsi="宋体" w:eastAsia="宋体"/>
            <w:sz w:val="24"/>
            <w:szCs w:val="24"/>
          </w:rPr>
          <w:tab/>
        </w:r>
        <w:r>
          <w:rPr>
            <w:rFonts w:hint="eastAsia" w:ascii="宋体" w:hAnsi="宋体" w:eastAsia="宋体"/>
            <w:sz w:val="24"/>
            <w:szCs w:val="24"/>
            <w:lang w:val="en-US"/>
          </w:rPr>
          <w:t xml:space="preserve">18</w:t>
        </w:r>
      </w:hyperlink>
      <w:r/>
      <w:r/>
    </w:p>
    <w:p>
      <w:pPr>
        <w:pStyle w:val="870"/>
        <w:ind w:left="-200" w:firstLine="241"/>
        <w:spacing w:before="240" w:after="360" w:line="360" w:lineRule="auto"/>
        <w:tabs>
          <w:tab w:val="right" w:pos="9746" w:leader="middleDot"/>
        </w:tabs>
        <w:rPr>
          <w:rFonts w:hint="eastAsia" w:ascii="宋体" w:hAnsi="宋体" w:eastAsia="宋体"/>
          <w:caps w:val="0"/>
          <w:sz w:val="24"/>
          <w:szCs w:val="24"/>
        </w:rPr>
      </w:pPr>
      <w:r/>
      <w:hyperlink w:tooltip="#_Toc381716860" w:anchor="_Toc381716860" w:history="1">
        <w:r>
          <w:rPr>
            <w:rStyle w:val="902"/>
            <w:rFonts w:hint="eastAsia" w:ascii="宋体" w:hAnsi="宋体" w:eastAsia="宋体"/>
            <w:color w:val="000000"/>
            <w:sz w:val="24"/>
            <w:szCs w:val="24"/>
          </w:rPr>
          <w:t xml:space="preserve">第四</w:t>
        </w:r>
        <w:r>
          <w:rPr>
            <w:rStyle w:val="902"/>
            <w:rFonts w:hint="eastAsia" w:ascii="宋体" w:hAnsi="宋体" w:eastAsia="宋体"/>
            <w:bCs/>
            <w:color w:val="000000"/>
            <w:sz w:val="24"/>
            <w:szCs w:val="24"/>
          </w:rPr>
          <w:t xml:space="preserve">章</w:t>
        </w:r>
        <w:r>
          <w:rPr>
            <w:rStyle w:val="902"/>
            <w:rFonts w:hint="eastAsia" w:ascii="宋体" w:hAnsi="宋体" w:eastAsia="宋体"/>
            <w:color w:val="000000"/>
            <w:sz w:val="24"/>
            <w:szCs w:val="24"/>
          </w:rPr>
          <w:t xml:space="preserve">  采购项目需求</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lang w:val="en-US"/>
          </w:rPr>
          <w:t xml:space="preserve">8</w:t>
        </w:r>
      </w:hyperlink>
      <w:r/>
      <w:r/>
    </w:p>
    <w:p>
      <w:pPr>
        <w:pStyle w:val="870"/>
        <w:ind w:left="-200" w:firstLine="241"/>
        <w:spacing w:before="240" w:after="360" w:line="360" w:lineRule="auto"/>
        <w:tabs>
          <w:tab w:val="right" w:pos="9746" w:leader="middleDot"/>
        </w:tabs>
        <w:rPr>
          <w:rFonts w:hint="eastAsia" w:ascii="宋体" w:hAnsi="宋体" w:eastAsia="宋体"/>
        </w:rPr>
      </w:pPr>
      <w:r/>
      <w:hyperlink w:tooltip="#_Toc381716885" w:anchor="_Toc381716885" w:history="1">
        <w:r>
          <w:rPr>
            <w:rStyle w:val="902"/>
            <w:rFonts w:hint="eastAsia" w:ascii="宋体" w:hAnsi="宋体" w:eastAsia="宋体"/>
            <w:color w:val="000000"/>
            <w:sz w:val="24"/>
            <w:szCs w:val="24"/>
          </w:rPr>
          <w:t xml:space="preserve">第五章 </w:t>
        </w:r>
        <w:r>
          <w:rPr>
            <w:rStyle w:val="902"/>
            <w:rFonts w:hint="eastAsia" w:ascii="宋体" w:hAnsi="宋体" w:eastAsia="宋体"/>
            <w:color w:val="000000"/>
            <w:sz w:val="24"/>
            <w:szCs w:val="24"/>
            <w:lang w:val="en-US"/>
          </w:rPr>
          <w:t xml:space="preserve"> </w:t>
        </w:r>
        <w:r>
          <w:rPr>
            <w:rStyle w:val="902"/>
            <w:rFonts w:hint="eastAsia" w:ascii="宋体" w:hAnsi="宋体" w:eastAsia="宋体"/>
            <w:color w:val="000000"/>
            <w:sz w:val="24"/>
            <w:szCs w:val="24"/>
          </w:rPr>
          <w:t xml:space="preserve">合同草案条款及格式</w:t>
        </w:r>
        <w:r>
          <w:rPr>
            <w:rFonts w:hint="eastAsia" w:ascii="宋体" w:hAnsi="宋体" w:eastAsia="宋体"/>
            <w:sz w:val="24"/>
            <w:szCs w:val="24"/>
          </w:rPr>
          <w:tab/>
        </w:r>
        <w:r>
          <w:rPr>
            <w:rFonts w:hint="eastAsia" w:ascii="宋体" w:hAnsi="宋体" w:eastAsia="宋体"/>
            <w:sz w:val="24"/>
            <w:szCs w:val="24"/>
            <w:lang w:val="en-US"/>
          </w:rPr>
          <w:t xml:space="preserve">5</w:t>
        </w:r>
      </w:hyperlink>
      <w:r>
        <w:rPr>
          <w:rFonts w:hint="eastAsia" w:ascii="宋体" w:hAnsi="宋体" w:eastAsia="宋体"/>
          <w:sz w:val="24"/>
          <w:szCs w:val="24"/>
          <w:lang w:val="en-US"/>
        </w:rPr>
        <w:t xml:space="preserve">4</w:t>
      </w:r>
      <w:r/>
    </w:p>
    <w:p>
      <w:pPr>
        <w:pStyle w:val="870"/>
        <w:ind w:left="-200" w:firstLine="241"/>
        <w:spacing w:before="240" w:after="360" w:line="360" w:lineRule="auto"/>
        <w:tabs>
          <w:tab w:val="right" w:pos="9746" w:leader="middleDot"/>
        </w:tabs>
        <w:rPr>
          <w:rFonts w:hint="eastAsia" w:ascii="宋体" w:hAnsi="宋体" w:eastAsia="宋体"/>
          <w:sz w:val="24"/>
          <w:szCs w:val="24"/>
        </w:rPr>
      </w:pPr>
      <w:r/>
      <w:hyperlink w:tooltip="#_Toc381716888" w:anchor="_Toc381716888" w:history="1">
        <w:r>
          <w:rPr>
            <w:rStyle w:val="902"/>
            <w:rFonts w:hint="eastAsia" w:ascii="宋体" w:hAnsi="宋体" w:eastAsia="宋体"/>
            <w:color w:val="000000"/>
            <w:sz w:val="24"/>
            <w:szCs w:val="24"/>
          </w:rPr>
          <w:t xml:space="preserve">第六章  响应文件格式</w:t>
        </w:r>
        <w:r>
          <w:rPr>
            <w:rFonts w:hint="eastAsia" w:ascii="宋体" w:hAnsi="宋体" w:eastAsia="宋体"/>
            <w:sz w:val="24"/>
            <w:szCs w:val="24"/>
          </w:rPr>
          <w:tab/>
        </w:r>
      </w:hyperlink>
      <w:r>
        <w:rPr>
          <w:rFonts w:hint="eastAsia" w:ascii="宋体" w:hAnsi="宋体" w:eastAsia="宋体"/>
          <w:sz w:val="24"/>
          <w:szCs w:val="24"/>
          <w:lang w:val="en-US"/>
        </w:rPr>
        <w:t xml:space="preserve">59</w:t>
      </w:r>
      <w:r/>
    </w:p>
    <w:p>
      <w:pPr>
        <w:rPr>
          <w:rFonts w:hint="eastAsia" w:ascii="宋体" w:hAnsi="宋体" w:eastAsia="宋体"/>
          <w:lang w:val="en-US"/>
        </w:rPr>
      </w:pPr>
      <w:r>
        <w:rPr>
          <w:rFonts w:hint="eastAsia" w:ascii="宋体" w:hAnsi="宋体" w:eastAsia="宋体"/>
          <w:lang w:val="en-US"/>
        </w:rPr>
      </w:r>
      <w:r/>
    </w:p>
    <w:p>
      <w:pPr>
        <w:rPr>
          <w:rFonts w:hint="eastAsia" w:ascii="宋体" w:hAnsi="宋体" w:eastAsia="宋体"/>
          <w:lang w:val="en-US"/>
        </w:rPr>
      </w:pPr>
      <w:r>
        <w:rPr>
          <w:rFonts w:hint="eastAsia" w:ascii="宋体" w:hAnsi="宋体" w:eastAsia="宋体"/>
          <w:lang w:val="en-US"/>
        </w:rPr>
      </w:r>
      <w:r/>
    </w:p>
    <w:p>
      <w:pPr>
        <w:jc w:val="center"/>
        <w:spacing w:line="420" w:lineRule="auto"/>
        <w:rPr>
          <w:rFonts w:hint="eastAsia" w:ascii="宋体" w:hAnsi="宋体" w:eastAsia="宋体"/>
          <w:sz w:val="24"/>
          <w:szCs w:val="24"/>
        </w:rPr>
      </w:pPr>
      <w:r>
        <w:rPr>
          <w:rFonts w:hint="eastAsia" w:ascii="宋体" w:hAnsi="宋体" w:eastAsia="宋体"/>
          <w:sz w:val="24"/>
          <w:szCs w:val="24"/>
        </w:rPr>
        <w:fldChar w:fldCharType="end"/>
      </w:r>
      <w:r/>
    </w:p>
    <w:p>
      <w:pPr>
        <w:ind w:right="-318"/>
        <w:jc w:val="center"/>
        <w:spacing w:line="360" w:lineRule="auto"/>
        <w:rPr>
          <w:rFonts w:hint="eastAsia" w:ascii="黑体" w:hAnsi="黑体" w:eastAsia="黑体" w:cs="黑体"/>
          <w:sz w:val="32"/>
          <w:szCs w:val="32"/>
        </w:rPr>
      </w:pPr>
      <w:r>
        <w:rPr>
          <w:rFonts w:hint="eastAsia" w:ascii="宋体" w:hAnsi="宋体" w:eastAsia="宋体"/>
          <w:sz w:val="24"/>
          <w:szCs w:val="24"/>
        </w:rPr>
        <w:br w:type="page" w:clear="all"/>
      </w:r>
      <w:r>
        <w:rPr>
          <w:rFonts w:hint="eastAsia" w:ascii="黑体" w:hAnsi="黑体" w:eastAsia="黑体" w:cs="黑体"/>
          <w:sz w:val="32"/>
          <w:szCs w:val="32"/>
        </w:rPr>
        <w:t xml:space="preserve">第一章  竞争性磋商</w:t>
      </w:r>
      <w:r>
        <w:rPr>
          <w:rFonts w:hint="eastAsia" w:ascii="黑体" w:hAnsi="黑体" w:eastAsia="黑体" w:cs="黑体"/>
          <w:sz w:val="32"/>
          <w:szCs w:val="32"/>
          <w:lang w:val="en-US"/>
        </w:rPr>
        <w:t xml:space="preserve">采购公告</w:t>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cs="宋体"/>
          <w:u w:val="single"/>
        </w:rPr>
        <w:t xml:space="preserve">机房及硬件维修维保服务</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江苏政府采购网“苏采云”系统</w:t>
      </w:r>
      <w:r>
        <w:rPr>
          <w:rFonts w:hint="eastAsia" w:ascii="宋体" w:hAnsi="宋体" w:eastAsia="宋体" w:cs="宋体"/>
        </w:rPr>
        <w:t xml:space="preserve">获取磋商文件，</w:t>
      </w:r>
      <w:r>
        <w:rPr>
          <w:rFonts w:hint="eastAsia" w:ascii="宋体" w:hAnsi="宋体" w:eastAsia="宋体" w:cs="宋体"/>
        </w:rPr>
        <w:t xml:space="preserve">并于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rPr>
        <w:t xml:space="preserve">9</w:t>
      </w:r>
      <w:r>
        <w:rPr>
          <w:rFonts w:hint="eastAsia" w:ascii="宋体" w:hAnsi="宋体" w:eastAsia="宋体" w:cs="宋体"/>
          <w:u w:val="single"/>
        </w:rPr>
        <w:t xml:space="preserve">月</w:t>
      </w:r>
      <w:r>
        <w:rPr>
          <w:rFonts w:hint="eastAsia" w:ascii="宋体" w:hAnsi="宋体" w:eastAsia="宋体" w:cs="宋体"/>
          <w:u w:val="single"/>
        </w:rPr>
        <w:t xml:space="preserve">15</w:t>
      </w:r>
      <w:r>
        <w:rPr>
          <w:rFonts w:hint="eastAsia" w:ascii="宋体" w:hAnsi="宋体" w:eastAsia="宋体" w:cs="宋体"/>
          <w:u w:val="single"/>
        </w:rPr>
        <w:t xml:space="preserve">日</w:t>
      </w:r>
      <w:r>
        <w:rPr>
          <w:rFonts w:hint="eastAsia" w:ascii="宋体" w:hAnsi="宋体" w:eastAsia="宋体" w:cs="宋体"/>
          <w:u w:val="single"/>
        </w:rPr>
        <w:t xml:space="preserve">14</w:t>
      </w:r>
      <w:r>
        <w:rPr>
          <w:rFonts w:hint="eastAsia" w:ascii="宋体" w:hAnsi="宋体" w:eastAsia="宋体" w:cs="宋体"/>
          <w:u w:val="single"/>
        </w:rPr>
        <w:t xml:space="preserve">时</w:t>
      </w:r>
      <w:r>
        <w:rPr>
          <w:rFonts w:hint="eastAsia" w:ascii="宋体" w:hAnsi="宋体" w:eastAsia="宋体" w:cs="宋体"/>
          <w:u w:val="single"/>
        </w:rPr>
        <w:t xml:space="preserve">30</w:t>
      </w:r>
      <w:r>
        <w:rPr>
          <w:rFonts w:hint="eastAsia" w:ascii="宋体" w:hAnsi="宋体" w:eastAsia="宋体" w:cs="宋体"/>
          <w:u w:val="single"/>
        </w:rPr>
        <w:t xml:space="preserve">分</w:t>
      </w:r>
      <w:r>
        <w:rPr>
          <w:rFonts w:hint="eastAsia" w:ascii="宋体" w:hAnsi="宋体" w:eastAsia="宋体" w:cs="宋体"/>
        </w:rPr>
        <w:t xml:space="preserve">（</w:t>
      </w:r>
      <w:r>
        <w:rPr>
          <w:rFonts w:hint="eastAsia" w:ascii="宋体" w:hAnsi="宋体" w:eastAsia="宋体" w:cs="宋体"/>
        </w:rPr>
        <w:t xml:space="preserve">北京时间）前递交</w:t>
      </w:r>
      <w:r>
        <w:rPr>
          <w:rFonts w:ascii="宋体" w:hAnsi="宋体" w:eastAsia="宋体" w:cs="宋体"/>
        </w:rPr>
        <w:t xml:space="preserve">响应文件</w:t>
      </w:r>
      <w:r>
        <w:rPr>
          <w:rFonts w:hint="eastAsia" w:ascii="宋体" w:hAnsi="宋体" w:eastAsia="宋体" w:cs="宋体"/>
        </w:rPr>
        <w:t xml:space="preserve">。</w:t>
      </w:r>
      <w:r/>
    </w:p>
    <w:p>
      <w:pPr>
        <w:pStyle w:val="886"/>
        <w:spacing w:before="0" w:beforeAutospacing="0" w:after="0" w:afterAutospacing="0" w:line="360" w:lineRule="auto"/>
        <w:rPr>
          <w:rFonts w:hint="eastAsia" w:ascii="宋体" w:hAnsi="宋体" w:eastAsia="宋体" w:cs="宋体"/>
          <w:b/>
          <w:bCs/>
        </w:rPr>
      </w:pPr>
      <w:r>
        <w:rPr>
          <w:rFonts w:hint="eastAsia" w:ascii="宋体" w:hAnsi="宋体" w:eastAsia="宋体" w:cs="宋体"/>
          <w:b/>
          <w:bCs/>
          <w:lang w:val="en-US"/>
        </w:rPr>
        <w:t xml:space="preserve">一、</w:t>
      </w:r>
      <w:r>
        <w:rPr>
          <w:rFonts w:hint="eastAsia" w:ascii="宋体" w:hAnsi="宋体" w:eastAsia="宋体" w:cs="宋体"/>
          <w:b/>
          <w:bCs/>
        </w:rPr>
        <w:t xml:space="preserve">基本情况</w:t>
      </w:r>
      <w:r/>
    </w:p>
    <w:p>
      <w:pPr>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1.1采购编号：</w:t>
      </w:r>
      <w:r>
        <w:rPr>
          <w:rFonts w:hint="eastAsia" w:ascii="宋体" w:hAnsi="宋体" w:eastAsia="宋体"/>
          <w:sz w:val="24"/>
          <w:szCs w:val="24"/>
        </w:rPr>
        <w:t xml:space="preserve">JSZC-320000-JSCY-C2026-0025</w:t>
      </w:r>
      <w:r/>
    </w:p>
    <w:p>
      <w:pPr>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1.2项目名称：机房及硬件维修维保服务</w:t>
      </w:r>
      <w:r/>
    </w:p>
    <w:p>
      <w:pPr>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1.3预算金额：</w:t>
      </w:r>
      <w:r>
        <w:rPr>
          <w:rFonts w:hint="eastAsia" w:ascii="宋体" w:hAnsi="宋体" w:eastAsia="宋体"/>
          <w:bCs/>
          <w:sz w:val="24"/>
          <w:szCs w:val="24"/>
          <w:lang w:val="en-US"/>
        </w:rPr>
        <w:t xml:space="preserve">255.57</w:t>
      </w:r>
      <w:r>
        <w:rPr>
          <w:rFonts w:hint="eastAsia" w:ascii="宋体" w:hAnsi="宋体" w:eastAsia="宋体"/>
          <w:bCs/>
          <w:color w:val="000000"/>
          <w:sz w:val="24"/>
          <w:szCs w:val="24"/>
          <w:lang w:val="en-US"/>
        </w:rPr>
        <w:t xml:space="preserve">万</w:t>
      </w:r>
      <w:r>
        <w:rPr>
          <w:rFonts w:hint="eastAsia" w:ascii="宋体" w:hAnsi="宋体" w:eastAsia="宋体"/>
          <w:sz w:val="24"/>
          <w:szCs w:val="24"/>
        </w:rPr>
        <w:t xml:space="preserve">元</w:t>
      </w:r>
      <w:r>
        <w:rPr>
          <w:rFonts w:ascii="宋体" w:hAnsi="宋体" w:eastAsia="宋体"/>
          <w:sz w:val="24"/>
          <w:szCs w:val="24"/>
        </w:rPr>
        <w:t xml:space="preserve">（</w:t>
      </w:r>
      <w:r>
        <w:rPr>
          <w:rFonts w:hint="eastAsia" w:ascii="宋体" w:hAnsi="宋体" w:eastAsia="宋体"/>
          <w:sz w:val="24"/>
          <w:szCs w:val="24"/>
        </w:rPr>
        <w:t xml:space="preserve">采购包1：</w:t>
      </w:r>
      <w:r>
        <w:rPr>
          <w:rFonts w:ascii="宋体" w:hAnsi="宋体" w:eastAsia="宋体"/>
          <w:sz w:val="24"/>
          <w:szCs w:val="24"/>
        </w:rPr>
        <w:t xml:space="preserve">146.57</w:t>
      </w:r>
      <w:r>
        <w:rPr>
          <w:rFonts w:hint="eastAsia" w:ascii="宋体" w:hAnsi="宋体" w:eastAsia="宋体"/>
          <w:sz w:val="24"/>
          <w:szCs w:val="24"/>
        </w:rPr>
        <w:t xml:space="preserve">万元；采购包2：109万元</w:t>
      </w:r>
      <w:r>
        <w:rPr>
          <w:rFonts w:ascii="宋体" w:hAnsi="宋体" w:eastAsia="宋体"/>
          <w:sz w:val="24"/>
          <w:szCs w:val="24"/>
        </w:rPr>
        <w:t xml:space="preserve">） </w:t>
      </w:r>
      <w:r/>
    </w:p>
    <w:p>
      <w:pPr>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1.4最高限价：见采购需求</w:t>
      </w:r>
      <w:r/>
    </w:p>
    <w:p>
      <w:pPr>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1.5采购需求：</w:t>
      </w:r>
      <w:r/>
    </w:p>
    <w:tbl>
      <w:tblPr>
        <w:tblW w:w="500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8"/>
        <w:gridCol w:w="4394"/>
        <w:gridCol w:w="3506"/>
      </w:tblGrid>
      <w:tr>
        <w:trPr/>
        <w:tc>
          <w:tcPr>
            <w:tcW w:w="944"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采购包号</w:t>
            </w:r>
            <w:r/>
          </w:p>
        </w:tc>
        <w:tc>
          <w:tcPr>
            <w:tcW w:w="2256"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采购包名称</w:t>
            </w:r>
            <w:r/>
          </w:p>
        </w:tc>
        <w:tc>
          <w:tcPr>
            <w:tcW w:w="1800"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最高限价</w:t>
            </w:r>
            <w:r>
              <w:rPr>
                <w:rFonts w:ascii="宋体" w:hAnsi="宋体" w:eastAsia="宋体"/>
                <w:sz w:val="24"/>
                <w:szCs w:val="24"/>
              </w:rPr>
              <w:t xml:space="preserve">（人民币：万元）</w:t>
            </w:r>
            <w:r/>
          </w:p>
        </w:tc>
      </w:tr>
      <w:tr>
        <w:trPr/>
        <w:tc>
          <w:tcPr>
            <w:tcW w:w="944"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2256" w:type="pct"/>
            <w:textDirection w:val="lrTb"/>
            <w:noWrap w:val="false"/>
          </w:tcPr>
          <w:p>
            <w:pPr>
              <w:jc w:val="center"/>
              <w:spacing w:line="360" w:lineRule="auto"/>
              <w:rPr>
                <w:rFonts w:hint="eastAsia" w:ascii="宋体" w:hAnsi="宋体" w:eastAsia="宋体"/>
                <w:sz w:val="24"/>
                <w:szCs w:val="24"/>
              </w:rPr>
            </w:pPr>
            <w:r/>
            <w:bookmarkStart w:id="2" w:name="OLE_LINK13"/>
            <w:r>
              <w:rPr>
                <w:rFonts w:hint="eastAsia" w:ascii="宋体" w:hAnsi="宋体" w:eastAsia="宋体"/>
                <w:sz w:val="24"/>
                <w:szCs w:val="24"/>
              </w:rPr>
              <w:t xml:space="preserve">指挥网网络和安全运维服务</w:t>
            </w:r>
            <w:bookmarkEnd w:id="2"/>
            <w:r/>
            <w:r/>
          </w:p>
        </w:tc>
        <w:tc>
          <w:tcPr>
            <w:tcW w:w="1800" w:type="pct"/>
            <w:textDirection w:val="lrTb"/>
            <w:noWrap w:val="false"/>
          </w:tcPr>
          <w:p>
            <w:pPr>
              <w:jc w:val="center"/>
              <w:spacing w:line="360" w:lineRule="auto"/>
              <w:rPr>
                <w:rFonts w:hint="eastAsia" w:ascii="宋体" w:hAnsi="宋体" w:eastAsia="宋体"/>
                <w:sz w:val="24"/>
                <w:szCs w:val="24"/>
              </w:rPr>
            </w:pPr>
            <w:r>
              <w:rPr>
                <w:rFonts w:hint="eastAsia" w:ascii="宋体" w:hAnsi="宋体"/>
                <w:sz w:val="24"/>
                <w:szCs w:val="24"/>
              </w:rPr>
              <w:t xml:space="preserve">146.57</w:t>
            </w:r>
            <w:r/>
          </w:p>
        </w:tc>
      </w:tr>
      <w:tr>
        <w:trPr/>
        <w:tc>
          <w:tcPr>
            <w:tcW w:w="944"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w:t>
            </w:r>
            <w:r/>
          </w:p>
        </w:tc>
        <w:tc>
          <w:tcPr>
            <w:tcW w:w="2256"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机房及硬件维修维保服务</w:t>
            </w:r>
            <w:r/>
          </w:p>
        </w:tc>
        <w:tc>
          <w:tcPr>
            <w:tcW w:w="1800" w:type="pct"/>
            <w:textDirection w:val="lrTb"/>
            <w:noWrap w:val="false"/>
          </w:tcPr>
          <w:p>
            <w:pPr>
              <w:jc w:val="center"/>
              <w:spacing w:line="360" w:lineRule="auto"/>
              <w:rPr>
                <w:rFonts w:hint="eastAsia" w:ascii="宋体" w:hAnsi="宋体" w:eastAsia="宋体"/>
                <w:sz w:val="24"/>
                <w:szCs w:val="24"/>
              </w:rPr>
            </w:pPr>
            <w:r>
              <w:rPr>
                <w:rFonts w:hint="eastAsia" w:ascii="宋体" w:hAnsi="宋体"/>
                <w:sz w:val="24"/>
                <w:szCs w:val="24"/>
              </w:rPr>
              <w:t xml:space="preserve">109</w:t>
            </w:r>
            <w:r/>
          </w:p>
        </w:tc>
      </w:tr>
    </w:tbl>
    <w:p>
      <w:pPr>
        <w:jc w:val="left"/>
        <w:spacing w:line="360" w:lineRule="auto"/>
        <w:rPr>
          <w:rFonts w:hint="eastAsia" w:ascii="宋体" w:hAnsi="宋体" w:eastAsia="宋体"/>
          <w:sz w:val="24"/>
          <w:szCs w:val="24"/>
          <w:u w:val="single"/>
          <w:lang w:val="en-US"/>
        </w:rPr>
        <w:outlineLvl w:val="0"/>
      </w:pPr>
      <w:r>
        <w:rPr>
          <w:rFonts w:ascii="宋体" w:hAnsi="宋体" w:eastAsia="宋体"/>
          <w:sz w:val="24"/>
          <w:szCs w:val="24"/>
          <w:lang w:val="en-US"/>
        </w:rPr>
        <w:t xml:space="preserve">对江苏省应急</w:t>
      </w:r>
      <w:r>
        <w:rPr>
          <w:rFonts w:hint="eastAsia" w:ascii="宋体" w:hAnsi="宋体" w:eastAsia="宋体"/>
          <w:sz w:val="24"/>
          <w:szCs w:val="24"/>
          <w:lang w:val="en-US"/>
        </w:rPr>
        <w:t xml:space="preserve">管理</w:t>
      </w:r>
      <w:r>
        <w:rPr>
          <w:rFonts w:ascii="宋体" w:hAnsi="宋体" w:eastAsia="宋体"/>
          <w:sz w:val="24"/>
          <w:szCs w:val="24"/>
          <w:lang w:val="en-US"/>
        </w:rPr>
        <w:t xml:space="preserve">厅指挥网网络和安全运维服务、机房及硬件维修维保服务开展维保工作，为期一年。（详细内容见本</w:t>
      </w:r>
      <w:r>
        <w:rPr>
          <w:rFonts w:hint="eastAsia" w:ascii="宋体" w:hAnsi="宋体" w:eastAsia="宋体"/>
          <w:sz w:val="24"/>
          <w:szCs w:val="24"/>
          <w:lang w:val="en-US"/>
        </w:rPr>
        <w:t xml:space="preserve">磋商</w:t>
      </w:r>
      <w:r>
        <w:rPr>
          <w:rFonts w:ascii="宋体" w:hAnsi="宋体" w:eastAsia="宋体"/>
          <w:sz w:val="24"/>
          <w:szCs w:val="24"/>
          <w:lang w:val="en-US"/>
        </w:rPr>
        <w:t xml:space="preserve">文件第四章）</w:t>
      </w:r>
      <w:r/>
    </w:p>
    <w:p>
      <w:pPr>
        <w:pStyle w:val="854"/>
        <w:jc w:val="left"/>
        <w:spacing w:line="360" w:lineRule="auto"/>
        <w:rPr>
          <w:rFonts w:hint="eastAsia" w:ascii="宋体" w:hAnsi="宋体" w:eastAsia="宋体"/>
          <w:b/>
          <w:bCs/>
          <w:color w:val="000000"/>
          <w:sz w:val="24"/>
          <w:lang w:val="en-US"/>
        </w:rPr>
      </w:pPr>
      <w:r>
        <w:rPr>
          <w:rFonts w:hint="eastAsia" w:ascii="宋体" w:hAnsi="宋体" w:eastAsia="宋体"/>
          <w:sz w:val="24"/>
          <w:szCs w:val="24"/>
        </w:rPr>
        <w:t xml:space="preserve">1.6合同履行期限：</w:t>
      </w:r>
      <w:r>
        <w:rPr>
          <w:rFonts w:hint="eastAsia" w:ascii="宋体" w:hAnsi="宋体" w:eastAsia="宋体"/>
          <w:bCs/>
          <w:sz w:val="24"/>
          <w:szCs w:val="24"/>
          <w:lang w:val="en-US"/>
        </w:rPr>
        <w:t xml:space="preserve">自合同签订之日起一年</w:t>
      </w:r>
      <w:r>
        <w:rPr>
          <w:rFonts w:hint="eastAsia" w:ascii="宋体" w:hAnsi="宋体" w:eastAsia="宋体"/>
          <w:sz w:val="24"/>
          <w:szCs w:val="24"/>
        </w:rPr>
        <w:t xml:space="preserve">。</w:t>
      </w:r>
      <w:r/>
    </w:p>
    <w:p>
      <w:pPr>
        <w:pStyle w:val="854"/>
        <w:jc w:val="left"/>
        <w:spacing w:line="360" w:lineRule="auto"/>
        <w:rPr>
          <w:rFonts w:hint="eastAsia" w:ascii="宋体" w:hAnsi="宋体" w:eastAsia="宋体"/>
          <w:b/>
          <w:bCs/>
          <w:color w:val="000000"/>
          <w:sz w:val="24"/>
          <w:lang w:val="en-US"/>
        </w:rPr>
      </w:pPr>
      <w:r>
        <w:rPr>
          <w:rFonts w:hint="eastAsia" w:ascii="宋体" w:hAnsi="宋体" w:eastAsia="宋体"/>
          <w:sz w:val="24"/>
          <w:szCs w:val="24"/>
          <w:lang w:val="en-US"/>
        </w:rPr>
        <w:t xml:space="preserve">1.7本项目不接受联合体投标。</w:t>
      </w:r>
      <w:r/>
    </w:p>
    <w:p>
      <w:pPr>
        <w:pStyle w:val="886"/>
        <w:spacing w:before="0" w:beforeAutospacing="0" w:after="0" w:afterAutospacing="0" w:line="360" w:lineRule="auto"/>
        <w:rPr>
          <w:rFonts w:hint="eastAsia" w:ascii="宋体" w:hAnsi="宋体" w:eastAsia="宋体" w:cs="宋体"/>
          <w:b/>
          <w:bCs/>
        </w:rPr>
      </w:pPr>
      <w:r>
        <w:rPr>
          <w:rStyle w:val="893"/>
          <w:rFonts w:hint="eastAsia" w:ascii="宋体" w:hAnsi="宋体" w:eastAsia="宋体" w:cs="宋体"/>
        </w:rPr>
        <w:t xml:space="preserve">二、申请人的资格要求：</w:t>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2.1满足《中华人民共和国政府采购法》第二十二条规定。</w:t>
      </w:r>
      <w:r/>
    </w:p>
    <w:p>
      <w:pPr>
        <w:jc w:val="left"/>
        <w:spacing w:line="360" w:lineRule="auto"/>
        <w:rPr>
          <w:rFonts w:hint="eastAsia" w:ascii="宋体" w:hAnsi="宋体" w:eastAsia="宋体"/>
          <w:bCs/>
          <w:sz w:val="24"/>
          <w:szCs w:val="24"/>
        </w:rPr>
        <w:outlineLvl w:val="0"/>
      </w:pPr>
      <w:r>
        <w:rPr>
          <w:rFonts w:hint="eastAsia" w:ascii="宋体" w:hAnsi="宋体" w:eastAsia="宋体"/>
          <w:bCs/>
          <w:sz w:val="24"/>
          <w:szCs w:val="24"/>
        </w:rPr>
        <w:t xml:space="preserve">（1）具有独立承担民事责任的能力；</w:t>
      </w:r>
      <w:r/>
    </w:p>
    <w:p>
      <w:pPr>
        <w:jc w:val="left"/>
        <w:spacing w:line="360" w:lineRule="auto"/>
        <w:rPr>
          <w:rFonts w:hint="eastAsia" w:ascii="宋体" w:hAnsi="宋体" w:eastAsia="宋体"/>
          <w:bCs/>
          <w:sz w:val="24"/>
          <w:szCs w:val="24"/>
        </w:rPr>
        <w:outlineLvl w:val="0"/>
      </w:pPr>
      <w:r>
        <w:rPr>
          <w:rFonts w:hint="eastAsia" w:ascii="宋体" w:hAnsi="宋体" w:eastAsia="宋体"/>
          <w:bCs/>
          <w:sz w:val="24"/>
          <w:szCs w:val="24"/>
        </w:rPr>
        <w:t xml:space="preserve">（2）具有良好的商业信誉和健全的财务会计制度；</w:t>
      </w:r>
      <w:r/>
    </w:p>
    <w:p>
      <w:pPr>
        <w:jc w:val="left"/>
        <w:spacing w:line="360" w:lineRule="auto"/>
        <w:rPr>
          <w:rFonts w:hint="eastAsia" w:ascii="宋体" w:hAnsi="宋体" w:eastAsia="宋体"/>
          <w:bCs/>
          <w:sz w:val="24"/>
          <w:szCs w:val="24"/>
        </w:rPr>
        <w:outlineLvl w:val="0"/>
      </w:pPr>
      <w:r>
        <w:rPr>
          <w:rFonts w:hint="eastAsia" w:ascii="宋体" w:hAnsi="宋体" w:eastAsia="宋体"/>
          <w:bCs/>
          <w:sz w:val="24"/>
          <w:szCs w:val="24"/>
        </w:rPr>
        <w:t xml:space="preserve">（3）具有履行合同所必需的设备和专业技术能力； </w:t>
      </w:r>
      <w:r/>
    </w:p>
    <w:p>
      <w:pPr>
        <w:jc w:val="left"/>
        <w:spacing w:line="360" w:lineRule="auto"/>
        <w:rPr>
          <w:rFonts w:hint="eastAsia" w:ascii="宋体" w:hAnsi="宋体" w:eastAsia="宋体"/>
          <w:bCs/>
          <w:sz w:val="24"/>
          <w:szCs w:val="24"/>
        </w:rPr>
        <w:outlineLvl w:val="0"/>
      </w:pPr>
      <w:r>
        <w:rPr>
          <w:rFonts w:hint="eastAsia" w:ascii="宋体" w:hAnsi="宋体" w:eastAsia="宋体"/>
          <w:bCs/>
          <w:sz w:val="24"/>
          <w:szCs w:val="24"/>
        </w:rPr>
        <w:t xml:space="preserve">（4）有依法缴纳税收和社会保障资金的良好记录；</w:t>
      </w:r>
      <w:r/>
    </w:p>
    <w:p>
      <w:pPr>
        <w:jc w:val="left"/>
        <w:spacing w:line="360" w:lineRule="auto"/>
        <w:rPr>
          <w:rFonts w:hint="eastAsia" w:ascii="宋体" w:hAnsi="宋体" w:eastAsia="宋体"/>
          <w:bCs/>
          <w:sz w:val="24"/>
          <w:szCs w:val="24"/>
        </w:rPr>
        <w:outlineLvl w:val="0"/>
      </w:pPr>
      <w:r>
        <w:rPr>
          <w:rFonts w:hint="eastAsia" w:ascii="宋体" w:hAnsi="宋体" w:eastAsia="宋体"/>
          <w:bCs/>
          <w:sz w:val="24"/>
          <w:szCs w:val="24"/>
        </w:rPr>
        <w:t xml:space="preserve">（5）参加政府采购活动前三年内，在经营活动中没有重大违法记录。</w:t>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2.2落实政府采购政策需满足的资格要求：本项目为非预留份额的采购项目或采购包，执行价格扣除优惠政策。</w:t>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rPr>
        <w:t xml:space="preserve">2.3本项</w:t>
      </w:r>
      <w:r>
        <w:rPr>
          <w:rFonts w:hint="eastAsia" w:ascii="宋体" w:hAnsi="宋体" w:eastAsia="宋体" w:cs="宋体"/>
        </w:rPr>
        <w:t xml:space="preserve">目的特定资格要求：无。</w:t>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88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88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（3）拒绝被“信用中国”网站（www.creditchina.gov.cn)、中国政府采购网（www.ccgp.gov.cn）网站列入失信被执行人、重大税收违法案件当事人名单、政府采购严重违法失信行为记录名单的供应商参与政府采购活动。</w:t>
      </w:r>
      <w:r/>
    </w:p>
    <w:p>
      <w:pPr>
        <w:pStyle w:val="886"/>
        <w:spacing w:before="0" w:beforeAutospacing="0" w:after="0" w:afterAutospacing="0" w:line="360" w:lineRule="auto"/>
        <w:rPr>
          <w:rFonts w:hint="eastAsia" w:ascii="宋体" w:hAnsi="宋体" w:eastAsia="宋体" w:cs="宋体"/>
          <w:b/>
          <w:bCs/>
        </w:rPr>
      </w:pPr>
      <w:r>
        <w:rPr>
          <w:rStyle w:val="893"/>
          <w:rFonts w:hint="eastAsia" w:ascii="宋体" w:hAnsi="宋体" w:eastAsia="宋体" w:cs="宋体"/>
        </w:rPr>
        <w:t xml:space="preserve">三、获取</w:t>
      </w:r>
      <w:r>
        <w:rPr>
          <w:rStyle w:val="893"/>
          <w:rFonts w:ascii="宋体" w:hAnsi="宋体" w:eastAsia="宋体" w:cs="宋体"/>
        </w:rPr>
        <w:t xml:space="preserve">磋商文件</w:t>
      </w:r>
      <w:r/>
    </w:p>
    <w:p>
      <w:pPr>
        <w:pStyle w:val="886"/>
        <w:spacing w:before="0" w:beforeAutospacing="0" w:after="0" w:afterAutospacing="0" w:line="360" w:lineRule="auto"/>
        <w:rPr>
          <w:rStyle w:val="893"/>
          <w:rFonts w:hint="eastAsia" w:ascii="宋体" w:hAnsi="宋体" w:eastAsia="宋体" w:cs="宋体"/>
          <w:b w:val="0"/>
          <w:bCs w:val="0"/>
        </w:rPr>
      </w:pPr>
      <w:r>
        <w:rPr>
          <w:rStyle w:val="893"/>
          <w:rFonts w:hint="eastAsia" w:ascii="宋体" w:hAnsi="宋体" w:eastAsia="宋体" w:cs="宋体"/>
          <w:b w:val="0"/>
          <w:bCs w:val="0"/>
          <w:lang w:val="en-US"/>
        </w:rPr>
        <w:t xml:space="preserve">3.1</w:t>
      </w:r>
      <w:r>
        <w:rPr>
          <w:rStyle w:val="893"/>
          <w:rFonts w:hint="eastAsia" w:ascii="宋体" w:hAnsi="宋体" w:eastAsia="宋体" w:cs="宋体"/>
          <w:b w:val="0"/>
          <w:bCs w:val="0"/>
        </w:rPr>
        <w:t xml:space="preserve">时间：自磋商文件公告发布之日起</w:t>
      </w:r>
      <w:r>
        <w:rPr>
          <w:rFonts w:hint="eastAsia" w:ascii="宋体" w:hAnsi="宋体" w:eastAsia="宋体" w:cs="宋体"/>
        </w:rPr>
        <w:t xml:space="preserve">5个工作日；</w:t>
      </w:r>
      <w:r/>
    </w:p>
    <w:p>
      <w:pPr>
        <w:pStyle w:val="886"/>
        <w:spacing w:before="0" w:beforeAutospacing="0" w:after="0" w:afterAutospacing="0" w:line="360" w:lineRule="auto"/>
        <w:rPr>
          <w:rStyle w:val="893"/>
          <w:rFonts w:hint="eastAsia" w:ascii="宋体" w:hAnsi="宋体" w:eastAsia="宋体" w:cs="宋体"/>
          <w:b w:val="0"/>
          <w:bCs w:val="0"/>
        </w:rPr>
      </w:pPr>
      <w:r>
        <w:rPr>
          <w:rStyle w:val="893"/>
          <w:rFonts w:hint="eastAsia" w:ascii="宋体" w:hAnsi="宋体" w:eastAsia="宋体" w:cs="宋体"/>
          <w:b w:val="0"/>
          <w:bCs w:val="0"/>
          <w:lang w:val="en-US"/>
        </w:rPr>
        <w:t xml:space="preserve">3.2</w:t>
      </w:r>
      <w:r>
        <w:rPr>
          <w:rStyle w:val="893"/>
          <w:rFonts w:hint="eastAsia" w:ascii="宋体" w:hAnsi="宋体" w:eastAsia="宋体" w:cs="宋体"/>
          <w:b w:val="0"/>
          <w:bCs w:val="0"/>
        </w:rPr>
        <w:t xml:space="preserve">地点：江苏政府采购网“苏采云”系统；</w:t>
      </w:r>
      <w:r/>
    </w:p>
    <w:p>
      <w:pPr>
        <w:pStyle w:val="886"/>
        <w:spacing w:before="0" w:beforeAutospacing="0" w:after="0" w:afterAutospacing="0" w:line="360" w:lineRule="auto"/>
        <w:rPr>
          <w:rStyle w:val="893"/>
          <w:rFonts w:hint="eastAsia" w:ascii="宋体" w:hAnsi="宋体" w:eastAsia="宋体" w:cs="宋体"/>
          <w:b w:val="0"/>
          <w:bCs w:val="0"/>
        </w:rPr>
      </w:pPr>
      <w:r>
        <w:rPr>
          <w:rStyle w:val="893"/>
          <w:rFonts w:hint="eastAsia" w:ascii="宋体" w:hAnsi="宋体" w:eastAsia="宋体" w:cs="宋体"/>
          <w:b w:val="0"/>
          <w:bCs w:val="0"/>
          <w:lang w:val="en-US"/>
        </w:rPr>
        <w:t xml:space="preserve">3.3</w:t>
      </w:r>
      <w:r>
        <w:rPr>
          <w:rStyle w:val="893"/>
          <w:rFonts w:hint="eastAsia" w:ascii="宋体" w:hAnsi="宋体" w:eastAsia="宋体" w:cs="宋体"/>
          <w:b w:val="0"/>
          <w:bCs w:val="0"/>
        </w:rPr>
        <w:t xml:space="preserve">方式：</w:t>
      </w:r>
      <w:r>
        <w:rPr>
          <w:rFonts w:hint="eastAsia" w:ascii="宋体" w:hAnsi="宋体" w:eastAsia="宋体" w:cs="宋体"/>
        </w:rPr>
        <w:t xml:space="preserve">供应商登录“江苏政府采购网”，在网站首页点击“苏采云”→使用CA锁登录系统（新用户需进</w:t>
      </w:r>
      <w:r>
        <w:rPr>
          <w:rFonts w:hint="eastAsia" w:ascii="宋体" w:hAnsi="宋体" w:eastAsia="宋体" w:cs="宋体"/>
        </w:rPr>
        <w:t xml:space="preserve">行“平台用户注册”）→“项目参与”进行登记，在“可参与项目”中选择“我要参与”，参与成功后到“已参与项目”界面中找到该项目下载文件并进行操作；</w:t>
      </w:r>
      <w:r/>
    </w:p>
    <w:p>
      <w:pPr>
        <w:pStyle w:val="886"/>
        <w:spacing w:before="0" w:beforeAutospacing="0" w:after="0" w:afterAutospacing="0" w:line="360" w:lineRule="auto"/>
        <w:rPr>
          <w:rStyle w:val="893"/>
          <w:rFonts w:hint="eastAsia" w:ascii="宋体" w:hAnsi="宋体" w:eastAsia="宋体" w:cs="宋体"/>
          <w:b w:val="0"/>
          <w:bCs w:val="0"/>
        </w:rPr>
      </w:pPr>
      <w:r>
        <w:rPr>
          <w:rStyle w:val="893"/>
          <w:rFonts w:hint="eastAsia" w:ascii="宋体" w:hAnsi="宋体" w:eastAsia="宋体" w:cs="宋体"/>
          <w:b w:val="0"/>
          <w:bCs w:val="0"/>
          <w:lang w:val="en-US"/>
        </w:rPr>
        <w:t xml:space="preserve">3.4</w:t>
      </w:r>
      <w:r>
        <w:rPr>
          <w:rStyle w:val="893"/>
          <w:rFonts w:hint="eastAsia" w:ascii="宋体" w:hAnsi="宋体" w:eastAsia="宋体" w:cs="宋体"/>
          <w:b w:val="0"/>
          <w:bCs w:val="0"/>
        </w:rPr>
        <w:t xml:space="preserve">售价：0.00元。 </w:t>
      </w:r>
      <w:r/>
    </w:p>
    <w:p>
      <w:pPr>
        <w:pStyle w:val="886"/>
        <w:spacing w:before="0" w:beforeAutospacing="0" w:after="0" w:afterAutospacing="0" w:line="360" w:lineRule="auto"/>
        <w:rPr>
          <w:rFonts w:hint="eastAsia" w:ascii="宋体" w:hAnsi="宋体" w:eastAsia="宋体" w:cs="宋体"/>
        </w:rPr>
      </w:pPr>
      <w:r>
        <w:rPr>
          <w:rStyle w:val="893"/>
          <w:rFonts w:hint="eastAsia" w:ascii="宋体" w:hAnsi="宋体" w:eastAsia="宋体" w:cs="宋体"/>
        </w:rPr>
        <w:t xml:space="preserve">四、</w:t>
      </w:r>
      <w:r>
        <w:rPr>
          <w:rFonts w:hint="eastAsia" w:ascii="宋体" w:hAnsi="宋体" w:eastAsia="宋体" w:cs="宋体"/>
          <w:b/>
          <w:bCs/>
          <w:lang w:val="en-US"/>
        </w:rPr>
        <w:t xml:space="preserve">响应文件提交</w:t>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4.1</w:t>
      </w:r>
      <w:r>
        <w:rPr>
          <w:rFonts w:hint="eastAsia" w:ascii="宋体" w:hAnsi="宋体" w:eastAsia="宋体" w:cs="宋体"/>
        </w:rPr>
        <w:t xml:space="preserve">截止时间：</w:t>
      </w:r>
      <w:bookmarkStart w:id="3" w:name="OLE_LINK2"/>
      <w:r>
        <w:rPr>
          <w:rFonts w:hint="eastAsia" w:ascii="宋体" w:hAnsi="宋体" w:eastAsia="宋体" w:cs="宋体"/>
        </w:rPr>
        <w:t xml:space="preserve">2026年</w:t>
      </w:r>
      <w:r>
        <w:rPr>
          <w:rFonts w:hint="eastAsia" w:ascii="宋体" w:hAnsi="宋体" w:eastAsia="宋体" w:cs="宋体"/>
        </w:rPr>
        <w:t xml:space="preserve">9</w:t>
      </w:r>
      <w:r>
        <w:rPr>
          <w:rFonts w:hint="eastAsia" w:ascii="宋体" w:hAnsi="宋体" w:eastAsia="宋体" w:cs="宋体"/>
        </w:rPr>
        <w:t xml:space="preserve">月</w:t>
      </w:r>
      <w:r>
        <w:rPr>
          <w:rFonts w:hint="eastAsia" w:ascii="宋体" w:hAnsi="宋体" w:eastAsia="宋体" w:cs="宋体"/>
        </w:rPr>
        <w:t xml:space="preserve">15</w:t>
      </w:r>
      <w:r>
        <w:rPr>
          <w:rFonts w:hint="eastAsia" w:ascii="宋体" w:hAnsi="宋体" w:eastAsia="宋体" w:cs="宋体"/>
        </w:rPr>
        <w:t xml:space="preserve">日</w:t>
      </w:r>
      <w:r>
        <w:rPr>
          <w:rFonts w:hint="eastAsia" w:ascii="宋体" w:hAnsi="宋体" w:eastAsia="宋体" w:cs="宋体"/>
        </w:rPr>
        <w:t xml:space="preserve">14</w:t>
      </w:r>
      <w:r>
        <w:rPr>
          <w:rFonts w:hint="eastAsia" w:ascii="宋体" w:hAnsi="宋体" w:eastAsia="宋体" w:cs="宋体"/>
        </w:rPr>
        <w:t xml:space="preserve">时</w:t>
      </w:r>
      <w:r>
        <w:rPr>
          <w:rFonts w:hint="eastAsia" w:ascii="宋体" w:hAnsi="宋体" w:eastAsia="宋体" w:cs="宋体"/>
        </w:rPr>
        <w:t xml:space="preserve">30</w:t>
      </w:r>
      <w:r>
        <w:rPr>
          <w:rFonts w:hint="eastAsia" w:ascii="宋体" w:hAnsi="宋体" w:eastAsia="宋体" w:cs="宋体"/>
        </w:rPr>
        <w:t xml:space="preserve">分（北京时间）；</w:t>
      </w:r>
      <w:bookmarkEnd w:id="3"/>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地点：“苏采云”政府采购交易系统网上开标大厅。</w:t>
      </w:r>
      <w:r/>
    </w:p>
    <w:p>
      <w:pPr>
        <w:pStyle w:val="886"/>
        <w:spacing w:before="0" w:beforeAutospacing="0" w:after="0" w:afterAutospacing="0" w:line="360" w:lineRule="auto"/>
        <w:rPr>
          <w:rFonts w:hint="eastAsia" w:ascii="宋体" w:hAnsi="宋体" w:eastAsia="宋体" w:cs="宋体"/>
          <w:b/>
          <w:bCs/>
        </w:rPr>
      </w:pPr>
      <w:r>
        <w:rPr>
          <w:rFonts w:hint="eastAsia" w:ascii="宋体" w:hAnsi="宋体" w:eastAsia="宋体" w:cs="宋体"/>
          <w:b/>
          <w:bCs/>
        </w:rPr>
        <w:t xml:space="preserve">五、开启</w:t>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5.1时间：2026年</w:t>
      </w:r>
      <w:r>
        <w:rPr>
          <w:rFonts w:hint="eastAsia" w:ascii="宋体" w:hAnsi="宋体" w:eastAsia="宋体" w:cs="宋体"/>
        </w:rPr>
        <w:t xml:space="preserve">9</w:t>
      </w:r>
      <w:r>
        <w:rPr>
          <w:rFonts w:hint="eastAsia" w:ascii="宋体" w:hAnsi="宋体" w:eastAsia="宋体" w:cs="宋体"/>
        </w:rPr>
        <w:t xml:space="preserve">月</w:t>
      </w:r>
      <w:r>
        <w:rPr>
          <w:rFonts w:hint="eastAsia" w:ascii="宋体" w:hAnsi="宋体" w:eastAsia="宋体" w:cs="宋体"/>
        </w:rPr>
        <w:t xml:space="preserve">15</w:t>
      </w:r>
      <w:r>
        <w:rPr>
          <w:rFonts w:hint="eastAsia" w:ascii="宋体" w:hAnsi="宋体" w:eastAsia="宋体" w:cs="宋体"/>
        </w:rPr>
        <w:t xml:space="preserve">日</w:t>
      </w:r>
      <w:r>
        <w:rPr>
          <w:rFonts w:hint="eastAsia" w:ascii="宋体" w:hAnsi="宋体" w:eastAsia="宋体" w:cs="宋体"/>
        </w:rPr>
        <w:t xml:space="preserve">14</w:t>
      </w:r>
      <w:r>
        <w:rPr>
          <w:rFonts w:hint="eastAsia" w:ascii="宋体" w:hAnsi="宋体" w:eastAsia="宋体" w:cs="宋体"/>
        </w:rPr>
        <w:t xml:space="preserve">时</w:t>
      </w:r>
      <w:r>
        <w:rPr>
          <w:rFonts w:hint="eastAsia" w:ascii="宋体" w:hAnsi="宋体" w:eastAsia="宋体" w:cs="宋体"/>
        </w:rPr>
        <w:t xml:space="preserve">30</w:t>
      </w:r>
      <w:r>
        <w:rPr>
          <w:rFonts w:hint="eastAsia" w:ascii="宋体" w:hAnsi="宋体" w:eastAsia="宋体" w:cs="宋体"/>
        </w:rPr>
        <w:t xml:space="preserve">分（北京时间）；</w:t>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5.2地点：“苏采云”政府采购交易系统网上开标大厅。  </w:t>
      </w:r>
      <w:r/>
    </w:p>
    <w:p>
      <w:pPr>
        <w:pStyle w:val="886"/>
        <w:spacing w:before="0" w:beforeAutospacing="0" w:after="0" w:afterAutospacing="0" w:line="360" w:lineRule="auto"/>
        <w:rPr>
          <w:rFonts w:hint="eastAsia" w:ascii="宋体" w:hAnsi="宋体" w:eastAsia="宋体" w:cs="宋体"/>
          <w:b/>
          <w:bCs/>
        </w:rPr>
      </w:pPr>
      <w:r>
        <w:rPr>
          <w:rStyle w:val="893"/>
          <w:rFonts w:hint="eastAsia" w:ascii="宋体" w:hAnsi="宋体" w:eastAsia="宋体" w:cs="宋体"/>
        </w:rPr>
        <w:t xml:space="preserve">六、公告期限</w:t>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自本公告发布之日起</w:t>
      </w:r>
      <w:r>
        <w:rPr>
          <w:rFonts w:ascii="宋体" w:hAnsi="宋体" w:eastAsia="宋体" w:cs="宋体"/>
        </w:rPr>
        <w:t xml:space="preserve">3</w:t>
      </w:r>
      <w:r>
        <w:rPr>
          <w:rFonts w:hint="eastAsia" w:ascii="宋体" w:hAnsi="宋体" w:eastAsia="宋体" w:cs="宋体"/>
        </w:rPr>
        <w:t xml:space="preserve">个工作日。</w:t>
      </w:r>
      <w:r/>
    </w:p>
    <w:p>
      <w:pPr>
        <w:pStyle w:val="886"/>
        <w:spacing w:before="0" w:beforeAutospacing="0" w:after="0" w:afterAutospacing="0" w:line="360" w:lineRule="auto"/>
        <w:rPr>
          <w:rStyle w:val="893"/>
          <w:rFonts w:hint="eastAsia" w:ascii="宋体" w:hAnsi="宋体" w:eastAsia="宋体" w:cs="宋体"/>
        </w:rPr>
      </w:pPr>
      <w:r>
        <w:rPr>
          <w:rStyle w:val="893"/>
          <w:rFonts w:hint="eastAsia" w:ascii="宋体" w:hAnsi="宋体" w:eastAsia="宋体" w:cs="宋体"/>
        </w:rPr>
        <w:t xml:space="preserve">七、其他补充事宜</w:t>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7.1集中现场</w:t>
      </w:r>
      <w:r>
        <w:rPr>
          <w:rFonts w:hint="eastAsia" w:ascii="宋体" w:hAnsi="宋体" w:eastAsia="宋体" w:cs="宋体"/>
        </w:rPr>
        <w:t xml:space="preserve">勘察</w:t>
      </w:r>
      <w:r>
        <w:rPr>
          <w:rFonts w:hint="eastAsia" w:ascii="宋体" w:hAnsi="宋体" w:eastAsia="宋体" w:cs="宋体"/>
        </w:rPr>
        <w:t xml:space="preserve">或答疑：</w:t>
      </w:r>
      <w:r>
        <w:rPr>
          <w:rFonts w:hint="eastAsia" w:ascii="宋体" w:hAnsi="宋体" w:eastAsia="宋体"/>
        </w:rPr>
        <w:t xml:space="preserve">采购人</w:t>
      </w:r>
      <w:r>
        <w:rPr>
          <w:rFonts w:hint="eastAsia" w:ascii="宋体" w:hAnsi="宋体" w:eastAsia="宋体"/>
        </w:rPr>
        <w:t xml:space="preserve">不组织</w:t>
      </w:r>
      <w:r>
        <w:rPr>
          <w:rFonts w:hint="eastAsia" w:ascii="宋体" w:hAnsi="宋体" w:eastAsia="宋体" w:cs="宋体"/>
        </w:rPr>
        <w:t xml:space="preserve">，如有疑问详询采购人</w:t>
      </w:r>
      <w:r>
        <w:rPr>
          <w:rFonts w:hint="eastAsia" w:ascii="宋体" w:hAnsi="宋体" w:eastAsia="宋体"/>
        </w:rPr>
        <w:t xml:space="preserve">。</w:t>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7.2磋商保证金数额及交纳办法：本项目不收取磋商保证金。</w:t>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7.3</w:t>
      </w:r>
      <w:r>
        <w:rPr>
          <w:rFonts w:ascii="宋体" w:hAnsi="宋体" w:eastAsia="宋体" w:cs="宋体"/>
        </w:rPr>
        <w:t xml:space="preserve">供应商可任意选取若干个采购包进行投标，磋商小组按采购包号顺序依次对采购包1、采购包2进行评审，兼投兼中。</w:t>
      </w:r>
      <w:r/>
    </w:p>
    <w:p>
      <w:pPr>
        <w:pStyle w:val="88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7.4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bookmarkStart w:id="4" w:name="OLE_LINK9"/>
      <w:r>
        <w:rPr>
          <w:rFonts w:hint="eastAsia" w:ascii="宋体" w:hAnsi="宋体" w:eastAsia="宋体" w:cs="宋体"/>
        </w:rPr>
        <w:t xml:space="preserve">http://www.ccgp-jiangsu.gov.cn/jiangsu/zlxz/ee/ee3a4bc5a3454aa2b0d9312230633ce9.html</w:t>
      </w:r>
      <w:bookmarkEnd w:id="4"/>
      <w:r>
        <w:rPr>
          <w:rFonts w:hint="eastAsia" w:ascii="宋体" w:hAnsi="宋体" w:eastAsia="宋体" w:cs="宋体"/>
        </w:rPr>
        <w:t xml:space="preserve">）。</w:t>
      </w:r>
      <w:r/>
    </w:p>
    <w:p>
      <w:pPr>
        <w:pStyle w:val="88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p>
    <w:p>
      <w:pPr>
        <w:pStyle w:val="88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7.5公告媒体</w:t>
      </w:r>
      <w:r/>
    </w:p>
    <w:p>
      <w:pPr>
        <w:pStyle w:val="88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（1）本采购公告在江苏政府采购网（http://www.ccgp-jiangsu.gov.cn）、</w:t>
      </w:r>
      <w:r>
        <w:rPr>
          <w:rFonts w:hint="eastAsia" w:ascii="宋体" w:hAnsi="宋体" w:eastAsia="宋体" w:cs="宋体"/>
          <w:lang w:val="en-US"/>
        </w:rPr>
        <w:t xml:space="preserve">中国政府采购网（www.ccgp.gov.cn）</w:t>
      </w:r>
      <w:r>
        <w:rPr>
          <w:rFonts w:hint="eastAsia" w:ascii="宋体" w:hAnsi="宋体" w:eastAsia="宋体" w:cs="宋体"/>
        </w:rPr>
        <w:t xml:space="preserve">公示发布，敬请各供应商关注；</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（2）若有关本次采购存在变动或修改，敬请各供应商及时关注江苏政府采购网（http://www.ccgp-jiangsu.gov.cn/）、中国政府采购网（www.ccgp.gov.cn）发布的关于本项目的信息更正公告。</w:t>
      </w:r>
      <w:r/>
    </w:p>
    <w:p>
      <w:pPr>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八、对本次招标提出询问，请按以下方式联系。</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8.1</w:t>
      </w:r>
      <w:r>
        <w:rPr>
          <w:rFonts w:hint="eastAsia" w:ascii="宋体" w:hAnsi="宋体" w:eastAsia="宋体"/>
          <w:sz w:val="24"/>
          <w:szCs w:val="24"/>
          <w:lang w:val="en-US"/>
        </w:rPr>
        <w:t xml:space="preserve">采</w:t>
      </w:r>
      <w:r>
        <w:rPr>
          <w:rFonts w:hint="eastAsia" w:ascii="宋体" w:hAnsi="宋体" w:eastAsia="宋体"/>
          <w:sz w:val="24"/>
          <w:szCs w:val="24"/>
          <w:lang w:val="en-US"/>
        </w:rPr>
        <w:t xml:space="preserve">购人信息</w:t>
      </w:r>
      <w:r/>
    </w:p>
    <w:p>
      <w:pPr>
        <w:jc w:val="left"/>
        <w:spacing w:line="360" w:lineRule="auto"/>
        <w:rPr>
          <w:rFonts w:hint="eastAsia" w:ascii="宋体" w:hAnsi="宋体" w:eastAsia="宋体"/>
          <w:sz w:val="24"/>
          <w:szCs w:val="24"/>
        </w:rPr>
      </w:pPr>
      <w:r/>
      <w:bookmarkStart w:id="5" w:name="OLE_LINK3"/>
      <w:r>
        <w:rPr>
          <w:rFonts w:hint="eastAsia" w:ascii="宋体" w:hAnsi="宋体" w:eastAsia="宋体"/>
          <w:sz w:val="24"/>
          <w:szCs w:val="24"/>
        </w:rPr>
        <w:t xml:space="preserve">单位名称：</w:t>
      </w:r>
      <w:r>
        <w:rPr>
          <w:rFonts w:ascii="宋体" w:hAnsi="宋体" w:eastAsia="宋体"/>
          <w:sz w:val="24"/>
          <w:szCs w:val="24"/>
        </w:rPr>
        <w:t xml:space="preserve">江苏省应急管理厅</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单位地址：江苏省南京市鼓楼区浦江路30号鸿瑞大厦1号楼</w:t>
      </w:r>
      <w:r/>
    </w:p>
    <w:p>
      <w:pPr>
        <w:jc w:val="left"/>
        <w:spacing w:line="360" w:lineRule="auto"/>
        <w:rPr>
          <w:rFonts w:hint="eastAsia" w:ascii="宋体" w:hAnsi="宋体" w:eastAsia="宋体"/>
          <w:sz w:val="24"/>
          <w:szCs w:val="24"/>
        </w:rPr>
      </w:pPr>
      <w:r/>
      <w:bookmarkStart w:id="6" w:name="OLE_LINK15"/>
      <w:r/>
      <w:bookmarkEnd w:id="5"/>
      <w:r>
        <w:rPr>
          <w:rFonts w:hint="eastAsia" w:ascii="宋体" w:hAnsi="宋体" w:eastAsia="宋体"/>
          <w:sz w:val="24"/>
          <w:szCs w:val="24"/>
        </w:rPr>
        <w:t xml:space="preserve">联系人：周小云 林乐灿</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联系电话：</w:t>
      </w:r>
      <w:r>
        <w:rPr>
          <w:rFonts w:ascii="宋体" w:hAnsi="宋体" w:eastAsia="宋体"/>
          <w:sz w:val="24"/>
          <w:szCs w:val="24"/>
        </w:rPr>
        <w:t xml:space="preserve">025-83332331 </w:t>
      </w:r>
      <w:r>
        <w:rPr>
          <w:rFonts w:hint="eastAsia" w:ascii="宋体" w:hAnsi="宋体" w:eastAsia="宋体"/>
          <w:sz w:val="24"/>
          <w:szCs w:val="24"/>
        </w:rPr>
        <w:t xml:space="preserve">025-</w:t>
      </w:r>
      <w:r>
        <w:rPr>
          <w:rFonts w:ascii="宋体" w:hAnsi="宋体" w:eastAsia="宋体"/>
          <w:sz w:val="24"/>
          <w:szCs w:val="24"/>
        </w:rPr>
        <w:t xml:space="preserve">83332393</w:t>
      </w:r>
      <w:bookmarkEnd w:id="6"/>
      <w:r>
        <w:rPr>
          <w:rFonts w:ascii="宋体" w:hAnsi="宋体" w:eastAsia="宋体"/>
          <w:sz w:val="24"/>
          <w:szCs w:val="24"/>
        </w:rPr>
        <w:t xml:space="preserve">　</w:t>
      </w:r>
      <w:r>
        <w:rPr>
          <w:rFonts w:hint="eastAsia" w:ascii="宋体" w:hAnsi="宋体" w:eastAsia="宋体"/>
          <w:sz w:val="24"/>
          <w:szCs w:val="24"/>
          <w:lang w:val="en-US"/>
        </w:rPr>
        <w:t xml:space="preserve"> </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8.2</w:t>
      </w:r>
      <w:r>
        <w:rPr>
          <w:rFonts w:hint="eastAsia" w:ascii="宋体" w:hAnsi="宋体" w:eastAsia="宋体"/>
          <w:sz w:val="24"/>
          <w:szCs w:val="24"/>
          <w:lang w:val="en-US"/>
        </w:rPr>
        <w:t xml:space="preserve">采购代理机构信息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单位名称：江苏驰驿招标代理有限公司</w:t>
      </w:r>
      <w:r>
        <w:rPr>
          <w:rFonts w:ascii="宋体" w:hAnsi="宋体" w:eastAsia="宋体"/>
          <w:sz w:val="24"/>
          <w:szCs w:val="24"/>
        </w:rPr>
        <w:t xml:space="preserve">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rPr>
        <w:t xml:space="preserve">南京市鼓楼区水佑岗6号</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联系人：刘工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联系电话：</w:t>
      </w:r>
      <w:bookmarkStart w:id="7" w:name="OLE_LINK1"/>
      <w:r>
        <w:rPr>
          <w:rFonts w:hint="eastAsia" w:ascii="宋体" w:hAnsi="宋体" w:eastAsia="宋体"/>
          <w:sz w:val="24"/>
          <w:szCs w:val="24"/>
        </w:rPr>
        <w:t xml:space="preserve">025-58956151 </w:t>
      </w:r>
      <w:bookmarkEnd w:id="7"/>
      <w:r/>
      <w:r/>
    </w:p>
    <w:p>
      <w:pPr>
        <w:jc w:val="left"/>
        <w:spacing w:line="360" w:lineRule="auto"/>
        <w:rPr>
          <w:rFonts w:hint="eastAsia" w:ascii="宋体" w:hAnsi="宋体" w:eastAsia="宋体"/>
          <w:sz w:val="24"/>
          <w:szCs w:val="24"/>
          <w:shd w:val="clear" w:color="auto" w:fill="ffffff"/>
          <w:lang w:val="en-US"/>
        </w:rPr>
      </w:pPr>
      <w:r>
        <w:rPr>
          <w:rFonts w:hint="eastAsia" w:ascii="宋体" w:hAnsi="宋体" w:eastAsia="宋体"/>
          <w:sz w:val="24"/>
          <w:szCs w:val="24"/>
          <w:shd w:val="clear" w:color="auto" w:fill="ffffff"/>
        </w:rPr>
        <w:t xml:space="preserve">8.3</w:t>
      </w:r>
      <w:r>
        <w:rPr>
          <w:rFonts w:hint="eastAsia" w:ascii="宋体" w:hAnsi="宋体" w:eastAsia="宋体"/>
          <w:sz w:val="24"/>
          <w:szCs w:val="24"/>
          <w:shd w:val="clear" w:color="auto" w:fill="ffffff"/>
          <w:lang w:val="en-US"/>
        </w:rPr>
        <w:t xml:space="preserve">项目联系方式</w:t>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项目联系人：刘工</w:t>
      </w:r>
      <w:r/>
    </w:p>
    <w:p>
      <w:pPr>
        <w:pStyle w:val="88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电话：</w:t>
      </w:r>
      <w:r>
        <w:rPr>
          <w:rFonts w:hint="eastAsia" w:ascii="宋体" w:hAnsi="宋体" w:eastAsia="宋体"/>
        </w:rPr>
        <w:t xml:space="preserve">025-58956151 </w:t>
      </w:r>
      <w:r>
        <w:rPr>
          <w:rFonts w:hint="eastAsia" w:ascii="宋体" w:hAnsi="宋体" w:eastAsia="宋体" w:cs="宋体"/>
        </w:rPr>
        <w:t xml:space="preserve"> </w:t>
      </w:r>
      <w:r/>
    </w:p>
    <w:p>
      <w:pPr>
        <w:pStyle w:val="886"/>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886"/>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886"/>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886"/>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886"/>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51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6"/>
        <w:gridCol w:w="2125"/>
        <w:gridCol w:w="7250"/>
      </w:tblGrid>
      <w:tr>
        <w:trPr>
          <w:jc w:val="center"/>
          <w:trHeight w:val="518"/>
        </w:trPr>
        <w:tc>
          <w:tcPr>
            <w:tcW w:w="35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1054"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名 </w:t>
            </w:r>
            <w:r>
              <w:rPr>
                <w:rFonts w:hint="eastAsia" w:ascii="宋体" w:hAnsi="宋体" w:eastAsia="宋体"/>
                <w:b/>
                <w:sz w:val="21"/>
                <w:szCs w:val="21"/>
                <w:lang w:val="en-US"/>
              </w:rPr>
              <w:t xml:space="preserve"> </w:t>
            </w:r>
            <w:r>
              <w:rPr>
                <w:rFonts w:hint="eastAsia" w:ascii="宋体" w:hAnsi="宋体" w:eastAsia="宋体"/>
                <w:b/>
                <w:sz w:val="21"/>
                <w:szCs w:val="21"/>
              </w:rPr>
              <w:t xml:space="preserve">称</w:t>
            </w:r>
            <w:r/>
          </w:p>
        </w:tc>
        <w:tc>
          <w:tcPr>
            <w:tcW w:w="3597"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  容</w:t>
            </w:r>
            <w:r/>
          </w:p>
        </w:tc>
      </w:tr>
      <w:tr>
        <w:trPr>
          <w:jc w:val="center"/>
        </w:trPr>
        <w:tc>
          <w:tcPr>
            <w:tcW w:w="350" w:type="pct"/>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w:t>
            </w:r>
            <w:r/>
          </w:p>
        </w:tc>
        <w:tc>
          <w:tcPr>
            <w:tcW w:w="1054" w:type="pct"/>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w:t>
            </w:r>
            <w:r>
              <w:rPr>
                <w:rFonts w:hint="eastAsia" w:ascii="宋体" w:hAnsi="宋体" w:eastAsia="宋体"/>
                <w:sz w:val="21"/>
                <w:szCs w:val="21"/>
                <w:lang w:val="en-US" w:eastAsia="en-US"/>
              </w:rPr>
              <w:t xml:space="preserve">项目联系</w:t>
            </w:r>
            <w:r>
              <w:rPr>
                <w:rFonts w:hint="eastAsia" w:ascii="宋体" w:hAnsi="宋体" w:eastAsia="宋体"/>
                <w:sz w:val="21"/>
                <w:szCs w:val="21"/>
              </w:rPr>
              <w:t xml:space="preserve">人</w:t>
            </w:r>
            <w:r/>
          </w:p>
        </w:tc>
        <w:tc>
          <w:tcPr>
            <w:tcW w:w="3597" w:type="pct"/>
            <w:textDirection w:val="lrTb"/>
            <w:noWrap w:val="false"/>
          </w:tcPr>
          <w:p>
            <w:pPr>
              <w:spacing w:line="360" w:lineRule="auto"/>
              <w:widowControl/>
              <w:rPr>
                <w:rFonts w:hint="eastAsia" w:ascii="宋体" w:hAnsi="宋体" w:eastAsia="宋体"/>
                <w:sz w:val="21"/>
                <w:szCs w:val="21"/>
              </w:rPr>
            </w:pPr>
            <w:r>
              <w:rPr>
                <w:rFonts w:hint="eastAsia" w:ascii="宋体" w:hAnsi="宋体" w:eastAsia="宋体"/>
                <w:sz w:val="21"/>
                <w:szCs w:val="21"/>
              </w:rPr>
              <w:t xml:space="preserve">名称：</w:t>
            </w:r>
            <w:r>
              <w:rPr>
                <w:rFonts w:hint="eastAsia" w:ascii="宋体" w:hAnsi="宋体" w:eastAsia="宋体"/>
                <w:iCs/>
                <w:sz w:val="21"/>
                <w:szCs w:val="21"/>
              </w:rPr>
              <w:t xml:space="preserve">江苏省应急管理厅</w:t>
            </w:r>
            <w:r/>
          </w:p>
          <w:p>
            <w:pPr>
              <w:spacing w:line="360" w:lineRule="auto"/>
              <w:widowControl/>
              <w:rPr>
                <w:rFonts w:hint="eastAsia" w:ascii="宋体" w:hAnsi="宋体" w:eastAsia="宋体"/>
                <w:iCs/>
                <w:sz w:val="21"/>
                <w:szCs w:val="21"/>
              </w:rPr>
            </w:pPr>
            <w:r>
              <w:rPr>
                <w:rFonts w:hint="eastAsia" w:ascii="宋体" w:hAnsi="宋体" w:eastAsia="宋体"/>
                <w:sz w:val="21"/>
                <w:szCs w:val="21"/>
              </w:rPr>
              <w:t xml:space="preserve">地址：</w:t>
            </w:r>
            <w:r>
              <w:rPr>
                <w:rFonts w:hint="eastAsia" w:ascii="宋体" w:hAnsi="宋体" w:eastAsia="宋体"/>
                <w:color w:val="000000"/>
                <w:sz w:val="21"/>
                <w:szCs w:val="21"/>
              </w:rPr>
              <w:t xml:space="preserve">江苏省南京市鼓楼区浦</w:t>
            </w:r>
            <w:r>
              <w:rPr>
                <w:rFonts w:hint="eastAsia" w:ascii="宋体" w:hAnsi="宋体" w:eastAsia="宋体"/>
                <w:sz w:val="21"/>
                <w:szCs w:val="21"/>
              </w:rPr>
              <w:t xml:space="preserve">江路30号鸿瑞大厦1号楼</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联系人：周小云 林乐灿</w:t>
            </w:r>
            <w:r/>
          </w:p>
          <w:p>
            <w:pPr>
              <w:spacing w:line="360" w:lineRule="auto"/>
              <w:widowControl/>
              <w:rPr>
                <w:rFonts w:hint="eastAsia" w:ascii="宋体" w:hAnsi="宋体" w:eastAsia="宋体"/>
                <w:iCs/>
                <w:sz w:val="21"/>
                <w:szCs w:val="21"/>
                <w:lang w:val="en-US"/>
              </w:rPr>
            </w:pPr>
            <w:r>
              <w:rPr>
                <w:rFonts w:hint="eastAsia" w:ascii="宋体" w:hAnsi="宋体" w:eastAsia="宋体"/>
                <w:sz w:val="21"/>
                <w:szCs w:val="21"/>
              </w:rPr>
              <w:t xml:space="preserve">电话：</w:t>
            </w:r>
            <w:r>
              <w:rPr>
                <w:rFonts w:ascii="宋体" w:hAnsi="宋体" w:eastAsia="宋体"/>
                <w:sz w:val="21"/>
                <w:szCs w:val="21"/>
              </w:rPr>
              <w:t xml:space="preserve">025-83332331 </w:t>
            </w:r>
            <w:r>
              <w:rPr>
                <w:rFonts w:hint="eastAsia" w:ascii="宋体" w:hAnsi="宋体" w:eastAsia="宋体"/>
                <w:sz w:val="21"/>
                <w:szCs w:val="21"/>
              </w:rPr>
              <w:t xml:space="preserve">025-</w:t>
            </w:r>
            <w:r>
              <w:rPr>
                <w:rFonts w:ascii="宋体" w:hAnsi="宋体" w:eastAsia="宋体"/>
                <w:sz w:val="21"/>
                <w:szCs w:val="21"/>
              </w:rPr>
              <w:t xml:space="preserve">83332393</w:t>
            </w:r>
            <w:r/>
          </w:p>
        </w:tc>
      </w:tr>
      <w:tr>
        <w:trPr>
          <w:jc w:val="center"/>
        </w:trPr>
        <w:tc>
          <w:tcPr>
            <w:tcW w:w="350" w:type="pct"/>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2</w:t>
            </w:r>
            <w:r/>
          </w:p>
        </w:tc>
        <w:tc>
          <w:tcPr>
            <w:tcW w:w="1054" w:type="pct"/>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采购代理机构</w:t>
            </w:r>
            <w:r/>
          </w:p>
        </w:tc>
        <w:tc>
          <w:tcPr>
            <w:tcW w:w="3597" w:type="pct"/>
            <w:vAlign w:val="center"/>
            <w:textDirection w:val="lrTb"/>
            <w:noWrap w:val="false"/>
          </w:tcPr>
          <w:p>
            <w:pPr>
              <w:spacing w:line="360" w:lineRule="auto"/>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spacing w:line="360" w:lineRule="auto"/>
              <w:widowControl/>
              <w:rPr>
                <w:rFonts w:hint="eastAsia"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t xml:space="preserve">南京市鼓楼区水佑岗6号</w:t>
            </w:r>
            <w:r/>
          </w:p>
          <w:p>
            <w:pPr>
              <w:spacing w:line="360" w:lineRule="auto"/>
              <w:widowControl/>
              <w:rPr>
                <w:rFonts w:hint="eastAsia" w:ascii="宋体" w:hAnsi="宋体" w:eastAsia="宋体"/>
                <w:sz w:val="21"/>
                <w:szCs w:val="21"/>
              </w:rPr>
            </w:pPr>
            <w:r>
              <w:rPr>
                <w:rFonts w:hint="eastAsia" w:ascii="宋体" w:hAnsi="宋体" w:eastAsia="宋体"/>
                <w:sz w:val="21"/>
                <w:szCs w:val="21"/>
              </w:rPr>
              <w:t xml:space="preserve">联系人：刘工  </w:t>
            </w:r>
            <w:r/>
          </w:p>
          <w:p>
            <w:pPr>
              <w:spacing w:line="360" w:lineRule="auto"/>
              <w:widowControl/>
              <w:rPr>
                <w:rFonts w:hint="eastAsia"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t xml:space="preserve">025-5895615</w:t>
            </w:r>
            <w:r>
              <w:rPr>
                <w:rFonts w:hint="eastAsia" w:ascii="宋体" w:hAnsi="宋体" w:eastAsia="宋体"/>
                <w:sz w:val="21"/>
                <w:szCs w:val="21"/>
              </w:rPr>
              <w:t xml:space="preserve">1</w:t>
            </w:r>
            <w:r/>
          </w:p>
        </w:tc>
      </w:tr>
      <w:tr>
        <w:trPr>
          <w:jc w:val="center"/>
        </w:trPr>
        <w:tc>
          <w:tcPr>
            <w:tcW w:w="350" w:type="pct"/>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3</w:t>
            </w:r>
            <w:r/>
          </w:p>
        </w:tc>
        <w:tc>
          <w:tcPr>
            <w:tcW w:w="1054" w:type="pct"/>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采购项目名称</w:t>
            </w:r>
            <w:r/>
          </w:p>
        </w:tc>
        <w:tc>
          <w:tcPr>
            <w:tcW w:w="3597" w:type="pct"/>
            <w:vAlign w:val="center"/>
            <w:textDirection w:val="lrTb"/>
            <w:noWrap w:val="false"/>
          </w:tcPr>
          <w:p>
            <w:pPr>
              <w:spacing w:line="360" w:lineRule="auto"/>
              <w:widowControl/>
              <w:rPr>
                <w:rFonts w:hint="eastAsia" w:ascii="宋体" w:hAnsi="宋体" w:eastAsia="宋体"/>
                <w:sz w:val="21"/>
                <w:szCs w:val="21"/>
              </w:rPr>
            </w:pPr>
            <w:r>
              <w:rPr>
                <w:rFonts w:hint="eastAsia" w:ascii="宋体" w:hAnsi="宋体" w:eastAsia="宋体"/>
                <w:sz w:val="21"/>
                <w:szCs w:val="21"/>
              </w:rPr>
              <w:t xml:space="preserve">机房及硬件维修维保服务</w:t>
            </w:r>
            <w:r/>
          </w:p>
        </w:tc>
      </w:tr>
      <w:tr>
        <w:trPr>
          <w:jc w:val="center"/>
        </w:trPr>
        <w:tc>
          <w:tcPr>
            <w:tcW w:w="350" w:type="pct"/>
            <w:vAlign w:val="center"/>
            <w:textDirection w:val="lrTb"/>
            <w:noWrap w:val="false"/>
          </w:tcPr>
          <w:p>
            <w:pPr>
              <w:jc w:val="cente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4</w:t>
            </w:r>
            <w:r/>
          </w:p>
        </w:tc>
        <w:tc>
          <w:tcPr>
            <w:tcW w:w="1054" w:type="pct"/>
            <w:vAlign w:val="center"/>
            <w:textDirection w:val="lrTb"/>
            <w:noWrap w:val="false"/>
          </w:tcPr>
          <w:p>
            <w:pPr>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lang w:val="en-US"/>
              </w:rPr>
              <w:t xml:space="preserve">项目所属行业</w:t>
            </w:r>
            <w:r>
              <w:rPr>
                <w:rFonts w:hint="eastAsia" w:ascii="宋体" w:hAnsi="宋体" w:eastAsia="宋体"/>
                <w:sz w:val="21"/>
                <w:szCs w:val="21"/>
                <w:lang w:val="en-US" w:eastAsia="en-US"/>
              </w:rPr>
              <w:t xml:space="preserve">划分</w:t>
            </w:r>
            <w:r/>
          </w:p>
        </w:tc>
        <w:tc>
          <w:tcPr>
            <w:tcW w:w="3597" w:type="pct"/>
            <w:vAlign w:val="center"/>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w:t>
            </w:r>
            <w:bookmarkStart w:id="8" w:name="OLE_LINK19"/>
            <w:r>
              <w:rPr>
                <w:rFonts w:hint="eastAsia" w:ascii="宋体" w:hAnsi="宋体" w:eastAsia="宋体"/>
                <w:sz w:val="21"/>
                <w:szCs w:val="21"/>
                <w:lang w:val="en-US"/>
              </w:rPr>
              <w:t xml:space="preserve">软件和信息技术服务业</w:t>
            </w:r>
            <w:bookmarkEnd w:id="8"/>
            <w:r>
              <w:rPr>
                <w:rFonts w:hint="eastAsia" w:ascii="宋体" w:hAnsi="宋体" w:eastAsia="宋体"/>
                <w:sz w:val="21"/>
                <w:szCs w:val="21"/>
                <w:lang w:val="en-US"/>
              </w:rPr>
              <w:t xml:space="preserve">”。</w:t>
            </w:r>
            <w:r/>
          </w:p>
        </w:tc>
      </w:tr>
      <w:tr>
        <w:trPr>
          <w:jc w:val="center"/>
        </w:trPr>
        <w:tc>
          <w:tcPr>
            <w:tcW w:w="350" w:type="pct"/>
            <w:vAlign w:val="center"/>
            <w:textDirection w:val="lrTb"/>
            <w:noWrap w:val="false"/>
          </w:tcPr>
          <w:p>
            <w:pPr>
              <w:jc w:val="center"/>
              <w:spacing w:line="360" w:lineRule="auto"/>
              <w:widowControl/>
              <w:rPr>
                <w:rFonts w:hint="eastAsia" w:ascii="宋体" w:hAnsi="宋体" w:eastAsia="宋体"/>
                <w:sz w:val="21"/>
                <w:szCs w:val="21"/>
              </w:rPr>
            </w:pPr>
            <w:r>
              <w:rPr>
                <w:rFonts w:ascii="宋体" w:hAnsi="宋体" w:eastAsia="宋体"/>
                <w:sz w:val="21"/>
                <w:szCs w:val="21"/>
              </w:rPr>
              <w:t xml:space="preserve">5</w:t>
            </w:r>
            <w:r/>
          </w:p>
        </w:tc>
        <w:tc>
          <w:tcPr>
            <w:tcW w:w="1054" w:type="pct"/>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分包划分</w:t>
            </w:r>
            <w:r/>
          </w:p>
        </w:tc>
        <w:tc>
          <w:tcPr>
            <w:tcW w:w="3597" w:type="pct"/>
            <w:vAlign w:val="center"/>
            <w:textDirection w:val="lrTb"/>
            <w:noWrap w:val="false"/>
          </w:tcPr>
          <w:p>
            <w:pPr>
              <w:spacing w:line="360" w:lineRule="auto"/>
              <w:widowControl/>
              <w:rPr>
                <w:rFonts w:hint="eastAsia" w:ascii="宋体" w:hAnsi="宋体" w:eastAsia="宋体"/>
                <w:b/>
                <w:sz w:val="21"/>
                <w:szCs w:val="21"/>
              </w:rPr>
            </w:pPr>
            <w:r>
              <w:rPr>
                <w:rFonts w:hint="eastAsia" w:ascii="宋体" w:hAnsi="宋体" w:eastAsia="宋体"/>
                <w:sz w:val="21"/>
                <w:szCs w:val="21"/>
              </w:rPr>
              <w:t xml:space="preserve">两个分包</w:t>
            </w:r>
            <w:r/>
          </w:p>
        </w:tc>
      </w:tr>
      <w:tr>
        <w:trPr>
          <w:jc w:val="center"/>
        </w:trPr>
        <w:tc>
          <w:tcPr>
            <w:tcW w:w="350" w:type="pct"/>
            <w:vAlign w:val="center"/>
            <w:textDirection w:val="lrTb"/>
            <w:noWrap w:val="false"/>
          </w:tcPr>
          <w:p>
            <w:pPr>
              <w:jc w:val="center"/>
              <w:spacing w:line="360" w:lineRule="auto"/>
              <w:widowControl/>
              <w:rPr>
                <w:rFonts w:hint="eastAsia" w:ascii="宋体" w:hAnsi="宋体" w:eastAsia="宋体"/>
                <w:sz w:val="21"/>
                <w:szCs w:val="21"/>
              </w:rPr>
            </w:pPr>
            <w:r>
              <w:rPr>
                <w:rFonts w:ascii="宋体" w:hAnsi="宋体" w:eastAsia="宋体"/>
                <w:sz w:val="21"/>
                <w:szCs w:val="21"/>
              </w:rPr>
              <w:t xml:space="preserve">6</w:t>
            </w:r>
            <w:r/>
          </w:p>
        </w:tc>
        <w:tc>
          <w:tcPr>
            <w:tcW w:w="1054" w:type="pct"/>
            <w:vAlign w:val="center"/>
            <w:textDirection w:val="lrTb"/>
            <w:noWrap w:val="false"/>
          </w:tcPr>
          <w:p>
            <w:pPr>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分包主体</w:t>
            </w:r>
            <w:r/>
          </w:p>
        </w:tc>
        <w:tc>
          <w:tcPr>
            <w:tcW w:w="3597" w:type="pct"/>
            <w:vAlign w:val="center"/>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bCs/>
                <w:sz w:val="21"/>
                <w:szCs w:val="21"/>
              </w:rPr>
              <w:t xml:space="preserve">供应商根据</w:t>
            </w:r>
            <w:r>
              <w:rPr>
                <w:rFonts w:hint="eastAsia" w:ascii="宋体" w:hAnsi="宋体" w:eastAsia="宋体"/>
                <w:bCs/>
                <w:sz w:val="21"/>
                <w:szCs w:val="21"/>
                <w:lang w:val="en-US"/>
              </w:rPr>
              <w:t xml:space="preserve">磋商</w:t>
            </w:r>
            <w:r>
              <w:rPr>
                <w:rFonts w:hint="eastAsia" w:ascii="宋体" w:hAnsi="宋体" w:eastAsia="宋体"/>
                <w:bCs/>
                <w:sz w:val="21"/>
                <w:szCs w:val="21"/>
              </w:rPr>
              <w:t xml:space="preserve">文件的规定和采购项目的实际情况，如在</w:t>
            </w:r>
            <w:r>
              <w:rPr>
                <w:rFonts w:hint="eastAsia" w:ascii="宋体" w:hAnsi="宋体" w:eastAsia="宋体"/>
                <w:bCs/>
                <w:sz w:val="21"/>
                <w:szCs w:val="21"/>
                <w:lang w:val="en-US"/>
              </w:rPr>
              <w:t xml:space="preserve">成交</w:t>
            </w:r>
            <w:r>
              <w:rPr>
                <w:rFonts w:hint="eastAsia" w:ascii="宋体" w:hAnsi="宋体" w:eastAsia="宋体"/>
                <w:bCs/>
                <w:sz w:val="21"/>
                <w:szCs w:val="21"/>
              </w:rPr>
              <w:t xml:space="preserve">后将本项目的非主体、非关键性工作分包的，应当在</w:t>
            </w:r>
            <w:r>
              <w:rPr>
                <w:rFonts w:hint="eastAsia" w:ascii="宋体" w:hAnsi="宋体" w:eastAsia="宋体"/>
                <w:bCs/>
                <w:sz w:val="21"/>
                <w:szCs w:val="21"/>
                <w:lang w:val="en-US"/>
              </w:rPr>
              <w:t xml:space="preserve">响应</w:t>
            </w:r>
            <w:r>
              <w:rPr>
                <w:rFonts w:hint="eastAsia" w:ascii="宋体" w:hAnsi="宋体" w:eastAsia="宋体"/>
                <w:bCs/>
                <w:sz w:val="21"/>
                <w:szCs w:val="21"/>
              </w:rPr>
              <w:t xml:space="preserve">文件中载明分包承担主体，分包承担主体应当具备第一章投标邀请</w:t>
            </w:r>
            <w:r>
              <w:rPr>
                <w:rFonts w:ascii="宋体" w:hAnsi="宋体" w:eastAsia="宋体"/>
                <w:bCs/>
                <w:sz w:val="21"/>
                <w:szCs w:val="21"/>
              </w:rPr>
              <w:t xml:space="preserve">2</w:t>
            </w:r>
            <w:r>
              <w:rPr>
                <w:rFonts w:hint="eastAsia" w:ascii="宋体" w:hAnsi="宋体" w:eastAsia="宋体"/>
                <w:bCs/>
                <w:sz w:val="21"/>
                <w:szCs w:val="21"/>
                <w:lang w:val="en-US"/>
              </w:rPr>
              <w:t xml:space="preserve">.1、</w:t>
            </w:r>
            <w:r>
              <w:rPr>
                <w:rFonts w:ascii="宋体" w:hAnsi="宋体" w:eastAsia="宋体"/>
                <w:bCs/>
                <w:sz w:val="21"/>
                <w:szCs w:val="21"/>
              </w:rPr>
              <w:t xml:space="preserve">2</w:t>
            </w:r>
            <w:r>
              <w:rPr>
                <w:rFonts w:hint="eastAsia" w:ascii="宋体" w:hAnsi="宋体" w:eastAsia="宋体"/>
                <w:bCs/>
                <w:sz w:val="21"/>
                <w:szCs w:val="21"/>
                <w:lang w:val="en-US"/>
              </w:rPr>
              <w:t xml:space="preserve">.</w:t>
            </w:r>
            <w:r>
              <w:rPr>
                <w:rFonts w:ascii="宋体" w:hAnsi="宋体" w:eastAsia="宋体"/>
                <w:bCs/>
                <w:sz w:val="21"/>
                <w:szCs w:val="21"/>
              </w:rPr>
              <w:t xml:space="preserve">3</w:t>
            </w:r>
            <w:r>
              <w:rPr>
                <w:rFonts w:hint="eastAsia" w:ascii="宋体" w:hAnsi="宋体" w:eastAsia="宋体"/>
                <w:bCs/>
                <w:sz w:val="21"/>
                <w:szCs w:val="21"/>
              </w:rPr>
              <w:t xml:space="preserve">相应资质条件且不得再次分包。</w:t>
            </w:r>
            <w:r/>
          </w:p>
        </w:tc>
      </w:tr>
      <w:tr>
        <w:trPr>
          <w:jc w:val="center"/>
        </w:trPr>
        <w:tc>
          <w:tcPr>
            <w:tcW w:w="350" w:type="pct"/>
            <w:vAlign w:val="center"/>
            <w:textDirection w:val="lrTb"/>
            <w:noWrap w:val="false"/>
          </w:tcPr>
          <w:p>
            <w:pPr>
              <w:jc w:val="center"/>
              <w:spacing w:line="360" w:lineRule="auto"/>
              <w:widowControl/>
              <w:rPr>
                <w:rFonts w:hint="eastAsia" w:ascii="宋体" w:hAnsi="宋体" w:eastAsia="宋体"/>
                <w:sz w:val="21"/>
                <w:szCs w:val="21"/>
              </w:rPr>
            </w:pPr>
            <w:r>
              <w:rPr>
                <w:rFonts w:ascii="宋体" w:hAnsi="宋体" w:eastAsia="宋体"/>
                <w:sz w:val="21"/>
                <w:szCs w:val="21"/>
              </w:rPr>
              <w:t xml:space="preserve">7</w:t>
            </w:r>
            <w:r/>
          </w:p>
        </w:tc>
        <w:tc>
          <w:tcPr>
            <w:tcW w:w="1054" w:type="pct"/>
            <w:vAlign w:val="center"/>
            <w:textDirection w:val="lrTb"/>
            <w:noWrap w:val="false"/>
          </w:tcPr>
          <w:p>
            <w:pPr>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资金来源</w:t>
            </w:r>
            <w:r/>
          </w:p>
        </w:tc>
        <w:tc>
          <w:tcPr>
            <w:tcW w:w="3597" w:type="pct"/>
            <w:vAlign w:val="center"/>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财政资金</w:t>
            </w:r>
            <w:r/>
          </w:p>
        </w:tc>
      </w:tr>
      <w:tr>
        <w:trPr>
          <w:jc w:val="center"/>
        </w:trPr>
        <w:tc>
          <w:tcPr>
            <w:tcW w:w="350" w:type="pct"/>
            <w:vAlign w:val="center"/>
            <w:textDirection w:val="lrTb"/>
            <w:noWrap w:val="false"/>
          </w:tcPr>
          <w:p>
            <w:pPr>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8</w:t>
            </w:r>
            <w:r/>
          </w:p>
        </w:tc>
        <w:tc>
          <w:tcPr>
            <w:tcW w:w="1054" w:type="pct"/>
            <w:vAlign w:val="center"/>
            <w:textDirection w:val="lrTb"/>
            <w:noWrap w:val="false"/>
          </w:tcPr>
          <w:p>
            <w:pPr>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rPr>
              <w:t xml:space="preserve">投标有效期</w:t>
            </w:r>
            <w:r/>
          </w:p>
        </w:tc>
        <w:tc>
          <w:tcPr>
            <w:tcW w:w="3597" w:type="pct"/>
            <w:vAlign w:val="center"/>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提交</w:t>
            </w:r>
            <w:r>
              <w:rPr>
                <w:rFonts w:ascii="宋体" w:hAnsi="宋体" w:eastAsia="宋体"/>
                <w:sz w:val="21"/>
                <w:szCs w:val="21"/>
              </w:rPr>
              <w:t xml:space="preserve">响应文件</w:t>
            </w:r>
            <w:r>
              <w:rPr>
                <w:rFonts w:hint="eastAsia" w:ascii="宋体" w:hAnsi="宋体" w:eastAsia="宋体"/>
                <w:sz w:val="21"/>
                <w:szCs w:val="21"/>
              </w:rPr>
              <w:t xml:space="preserve">截止之日起</w:t>
            </w:r>
            <w:r>
              <w:rPr>
                <w:rFonts w:hint="eastAsia" w:ascii="宋体" w:hAnsi="宋体" w:eastAsia="宋体"/>
                <w:sz w:val="21"/>
                <w:szCs w:val="21"/>
                <w:lang w:val="en-US"/>
              </w:rPr>
              <w:t xml:space="preserve">60</w:t>
            </w:r>
            <w:r>
              <w:rPr>
                <w:rFonts w:hint="eastAsia" w:ascii="宋体" w:hAnsi="宋体" w:eastAsia="宋体"/>
                <w:sz w:val="21"/>
                <w:szCs w:val="21"/>
              </w:rPr>
              <w:t xml:space="preserve">日（供应商应承诺投标有效期不少于</w:t>
            </w:r>
            <w:r>
              <w:rPr>
                <w:rFonts w:hint="eastAsia" w:ascii="宋体" w:hAnsi="宋体" w:eastAsia="宋体"/>
                <w:sz w:val="21"/>
                <w:szCs w:val="21"/>
                <w:lang w:val="en-US"/>
              </w:rPr>
              <w:t xml:space="preserve">60日</w:t>
            </w:r>
            <w:r>
              <w:rPr>
                <w:rFonts w:hint="eastAsia" w:ascii="宋体" w:hAnsi="宋体" w:eastAsia="宋体"/>
                <w:sz w:val="21"/>
                <w:szCs w:val="21"/>
              </w:rPr>
              <w:t xml:space="preserve">）</w:t>
            </w:r>
            <w:r/>
          </w:p>
        </w:tc>
      </w:tr>
      <w:tr>
        <w:trPr>
          <w:jc w:val="center"/>
        </w:trPr>
        <w:tc>
          <w:tcPr>
            <w:tcW w:w="350" w:type="pct"/>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9</w:t>
            </w:r>
            <w:r/>
          </w:p>
        </w:tc>
        <w:tc>
          <w:tcPr>
            <w:tcW w:w="1054" w:type="pct"/>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响应文件拒收情形</w:t>
            </w:r>
            <w:r/>
          </w:p>
        </w:tc>
        <w:tc>
          <w:tcPr>
            <w:tcW w:w="3597" w:type="pct"/>
            <w:vAlign w:val="center"/>
            <w:textDirection w:val="lrTb"/>
            <w:noWrap w:val="false"/>
          </w:tcPr>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（1）拒绝接收提交响应文件截止时间后上传的任何电子响应文件。</w:t>
            </w:r>
            <w:r/>
          </w:p>
        </w:tc>
      </w:tr>
      <w:tr>
        <w:trPr>
          <w:jc w:val="center"/>
        </w:trPr>
        <w:tc>
          <w:tcPr>
            <w:tcW w:w="350" w:type="pct"/>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10</w:t>
            </w:r>
            <w:r/>
          </w:p>
        </w:tc>
        <w:tc>
          <w:tcPr>
            <w:tcW w:w="1054" w:type="pct"/>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无效响应文件情形</w:t>
            </w:r>
            <w:r/>
          </w:p>
        </w:tc>
        <w:tc>
          <w:tcPr>
            <w:tcW w:w="3597" w:type="pct"/>
            <w:vAlign w:val="center"/>
            <w:textDirection w:val="lrTb"/>
            <w:noWrap w:val="false"/>
          </w:tcPr>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（1）供应商在苏采云系统规定的时间内未成功解密电子响应文件。</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（2）供应商未按照磋商文件要求上传电子响应文件。</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（3）同一供应商提交两个（含两个）以上不同的响应文件或者最后报价。</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（4）供应商不具备磋商文件中规定资格要求。</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（5）供应商的最后报价超过了采购预算或最高限价。</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（6）不符合磋商文件中规定的实质性要求和条件。</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（7）供应商被“信用中国”网站（www.creditchina.gov.cn）、“中国政府采购网”（www.ccgp.gov.cn）失信被执行人、重大税收违法案件当事人名单、政府采购严重违法失信行为记录名单。</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（8）响应文件含有采购人不能接受的附加条件。</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磋商小组按照本磋商文件规定对供应商进行异常低价投标审查后，认为供应商不能证明其报价合理性的</w:t>
            </w:r>
            <w:r>
              <w:rPr>
                <w:rFonts w:hint="eastAsia" w:ascii="宋体" w:hAnsi="宋体" w:eastAsia="宋体"/>
                <w:sz w:val="21"/>
                <w:szCs w:val="21"/>
              </w:rPr>
              <w:t xml:space="preserve">。</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（10）采购产品被财政部、国家发改委、生态环境部等列入“节能产品品目清单”强制采购范围，而供应商提供的产品不在强制采购范围内。</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（11）响应文件未按照磋商文件要求加盖电子公章。</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（12）法律法规及本磋商文件规定的其他无效响应的情形。</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（13）未实质性响应磋商文件的响应文件按无效响应处理。</w:t>
            </w:r>
            <w:r/>
          </w:p>
        </w:tc>
      </w:tr>
      <w:tr>
        <w:trPr>
          <w:jc w:val="center"/>
        </w:trPr>
        <w:tc>
          <w:tcPr>
            <w:tcW w:w="350" w:type="pct"/>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11</w:t>
            </w:r>
            <w:r/>
          </w:p>
        </w:tc>
        <w:tc>
          <w:tcPr>
            <w:tcW w:w="1054" w:type="pct"/>
            <w:vAlign w:val="center"/>
            <w:textDirection w:val="lrTb"/>
            <w:noWrap w:val="false"/>
          </w:tcPr>
          <w:p>
            <w:pPr>
              <w:jc w:val="center"/>
              <w:spacing w:line="360" w:lineRule="auto"/>
              <w:widowControl/>
              <w:rPr>
                <w:rFonts w:hint="eastAsia" w:ascii="宋体" w:hAnsi="宋体" w:eastAsia="宋体"/>
                <w:sz w:val="21"/>
                <w:szCs w:val="21"/>
                <w:lang w:val="en-US" w:eastAsia="en-US"/>
              </w:rPr>
            </w:pPr>
            <w:r>
              <w:rPr>
                <w:rFonts w:hint="eastAsia" w:ascii="宋体" w:hAnsi="宋体" w:eastAsia="宋体"/>
                <w:sz w:val="21"/>
                <w:szCs w:val="21"/>
                <w:lang w:val="en-US" w:eastAsia="en-US"/>
              </w:rPr>
              <w:t xml:space="preserve">磋商终止</w:t>
            </w:r>
            <w:r/>
          </w:p>
        </w:tc>
        <w:tc>
          <w:tcPr>
            <w:tcW w:w="3597" w:type="pct"/>
            <w:vAlign w:val="center"/>
            <w:textDirection w:val="lrTb"/>
            <w:noWrap w:val="false"/>
          </w:tcPr>
          <w:p>
            <w:pPr>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因情况变化，不再符合竞争性磋商采购方式适用情形。</w:t>
            </w:r>
            <w:r/>
          </w:p>
          <w:p>
            <w:pPr>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出现影响采购公正的违法、违规行为。</w:t>
            </w:r>
            <w:r/>
          </w:p>
          <w:p>
            <w:pPr>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在苏采云系统规定时间内成功解密电子响应文件的供应商不足3家；</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除本磋商文件第二章第21.1（5）条第三款规定的情形外，磋商过程中符合要求的供应商或者提交最后报价且未超过采购预算（最高限价）的供应商不足3家。</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）法律法规规定的其他应当终止情形。</w:t>
            </w:r>
            <w:r/>
          </w:p>
        </w:tc>
      </w:tr>
      <w:tr>
        <w:trPr>
          <w:jc w:val="center"/>
        </w:trPr>
        <w:tc>
          <w:tcPr>
            <w:tcW w:w="350" w:type="pct"/>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12</w:t>
            </w:r>
            <w:r/>
          </w:p>
        </w:tc>
        <w:tc>
          <w:tcPr>
            <w:tcW w:w="1054" w:type="pct"/>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盖章要求</w:t>
            </w:r>
            <w:r/>
          </w:p>
        </w:tc>
        <w:tc>
          <w:tcPr>
            <w:tcW w:w="3597" w:type="pct"/>
            <w:vAlign w:val="center"/>
            <w:textDirection w:val="lrTb"/>
            <w:noWrap w:val="false"/>
          </w:tcPr>
          <w:p>
            <w:pPr>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lang w:val="en-US"/>
              </w:rPr>
              <w:t xml:space="preserve">（1）供应商响应文件不得使用其他形式（如带有“专用章”“合同章”“财务章”“业务章”等字样）的电子印章；否则，按无效响应文件处理。</w:t>
            </w:r>
            <w:r/>
          </w:p>
          <w:p>
            <w:pPr>
              <w:jc w:val="left"/>
              <w:spacing w:line="360" w:lineRule="auto"/>
              <w:widowControl/>
              <w:rPr>
                <w:rFonts w:hint="eastAsia" w:ascii="宋体" w:hAnsi="宋体" w:eastAsia="宋体"/>
                <w:sz w:val="21"/>
                <w:szCs w:val="21"/>
              </w:rPr>
            </w:pPr>
            <w:r>
              <w:rPr>
                <w:rFonts w:hint="eastAsia" w:ascii="宋体" w:hAnsi="宋体" w:eastAsia="宋体"/>
                <w:b/>
                <w:bCs/>
                <w:sz w:val="21"/>
                <w:szCs w:val="21"/>
                <w:lang w:val="en-US"/>
              </w:rPr>
              <w:t xml:space="preserve">（2）磋商文件要求供应商提供加盖公章的证明材料可以使用加盖公章的扫描件上传至投标系统或者先将证明材料上传至投标系统后再加盖电子签章。</w:t>
            </w:r>
            <w:r/>
          </w:p>
        </w:tc>
      </w:tr>
    </w:tbl>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ind w:firstLine="241"/>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1、适用法律</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1.1《中华人民共和国政府采购法》、《中华人民共和国政府采购法实施条例》、《政府采购竞争性磋商采购方式管理暂行办法》等有关法律、规章和规定等。</w:t>
      </w:r>
      <w:r/>
    </w:p>
    <w:p>
      <w:pPr>
        <w:ind w:firstLine="241"/>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2、定义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2.1“供应商”是指参加磋商竞争，并符合采购文件规定资格条件的法人、其他组织或者自然人。</w:t>
      </w:r>
      <w:r/>
    </w:p>
    <w:p>
      <w:pPr>
        <w:ind w:firstLine="240"/>
        <w:spacing w:line="360" w:lineRule="auto"/>
        <w:rPr>
          <w:rFonts w:hint="eastAsia" w:ascii="宋体" w:hAnsi="宋体" w:eastAsia="宋体"/>
          <w:b/>
          <w:sz w:val="24"/>
          <w:szCs w:val="24"/>
        </w:rPr>
      </w:pPr>
      <w:r>
        <w:rPr>
          <w:rFonts w:hint="eastAsia" w:ascii="宋体" w:hAnsi="宋体" w:eastAsia="宋体"/>
          <w:sz w:val="24"/>
          <w:szCs w:val="24"/>
        </w:rPr>
        <w:t xml:space="preserve">2.2“服务”指本磋商文件中所述服务。</w:t>
      </w:r>
      <w:r/>
    </w:p>
    <w:p>
      <w:pPr>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3、政策功能</w:t>
      </w:r>
      <w:r/>
    </w:p>
    <w:p>
      <w:pPr>
        <w:ind w:firstLine="240"/>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w:t>
      </w:r>
      <w:r>
        <w:rPr>
          <w:rFonts w:hint="eastAsia" w:ascii="宋体" w:hAnsi="宋体" w:eastAsia="宋体"/>
          <w:bCs/>
          <w:sz w:val="24"/>
          <w:szCs w:val="24"/>
        </w:rPr>
        <w:t xml:space="preserve">〔2014〕68号）或《关于促进残疾人就业政府采购政策的通知》（财库〔2017〕141号）的相关规定。</w:t>
      </w:r>
      <w:r/>
    </w:p>
    <w:p>
      <w:pPr>
        <w:ind w:firstLine="240"/>
        <w:spacing w:line="360" w:lineRule="auto"/>
        <w:rPr>
          <w:rFonts w:hint="eastAsia" w:ascii="宋体" w:hAnsi="宋体" w:eastAsia="宋体"/>
          <w:b/>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w:t>
      </w:r>
      <w:r>
        <w:rPr>
          <w:rFonts w:hint="eastAsia" w:ascii="宋体" w:hAnsi="宋体" w:eastAsia="宋体"/>
          <w:b/>
          <w:sz w:val="24"/>
          <w:szCs w:val="24"/>
        </w:rPr>
        <w:t xml:space="preserve">投标供应商为小微企业，则给予投标价格10%的扣除，用扣除后的价格参与评审。</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4）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2%的价格扣除。</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（6）组成联合体的大中型企业和其他自然人、法人或者其他组织，与小型、微型企业之间不得存在投资关系。</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（7）供应商同时为小型、微型企业、监狱企业或残疾人福利性单位的，评审中只享受一次价格扣除。不重复进行价格扣除。</w:t>
      </w:r>
      <w:r/>
    </w:p>
    <w:p>
      <w:pP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（8）未按要求提供相关材料的，不享受相关政策。</w:t>
      </w:r>
      <w:r/>
    </w:p>
    <w:p>
      <w:pPr>
        <w:ind w:firstLine="240"/>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3.2</w:t>
      </w:r>
      <w:r>
        <w:rPr>
          <w:rFonts w:ascii="宋体" w:hAnsi="宋体" w:eastAsia="宋体"/>
          <w:bCs/>
          <w:sz w:val="24"/>
          <w:szCs w:val="24"/>
        </w:rPr>
        <w:t xml:space="preserve">政府采购中实施本国产品标准及相关政策</w:t>
      </w:r>
      <w:r>
        <w:rPr>
          <w:rFonts w:hint="eastAsia" w:ascii="宋体" w:hAnsi="宋体" w:eastAsia="宋体"/>
          <w:bCs/>
          <w:sz w:val="24"/>
          <w:szCs w:val="24"/>
        </w:rPr>
        <w:t xml:space="preserve">：本项目为服务类采购，不执行本国产品的支持政策。</w:t>
      </w:r>
      <w:r/>
    </w:p>
    <w:p>
      <w:pP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3.3供应商信用：</w:t>
      </w:r>
      <w:r>
        <w:rPr>
          <w:rFonts w:hint="eastAsia" w:ascii="宋体" w:hAnsi="宋体" w:eastAsia="宋体"/>
          <w:bCs/>
          <w:sz w:val="24"/>
          <w:szCs w:val="24"/>
        </w:rPr>
        <w:t xml:space="preserve">拒绝被</w:t>
      </w:r>
      <w:r>
        <w:rPr>
          <w:rFonts w:hint="eastAsia" w:ascii="宋体" w:hAnsi="宋体" w:eastAsia="宋体"/>
          <w:bCs/>
          <w:sz w:val="24"/>
          <w:szCs w:val="24"/>
          <w:lang w:val="en-US"/>
        </w:rPr>
        <w:t xml:space="preserve">“</w:t>
      </w:r>
      <w:r>
        <w:rPr>
          <w:rFonts w:hint="eastAsia" w:ascii="宋体" w:hAnsi="宋体" w:eastAsia="宋体"/>
          <w:bCs/>
          <w:sz w:val="24"/>
          <w:szCs w:val="24"/>
        </w:rPr>
        <w:t xml:space="preserve">信用中国</w:t>
      </w:r>
      <w:r>
        <w:rPr>
          <w:rFonts w:hint="eastAsia" w:ascii="宋体" w:hAnsi="宋体" w:eastAsia="宋体"/>
          <w:bCs/>
          <w:sz w:val="24"/>
          <w:szCs w:val="24"/>
          <w:lang w:val="en-US"/>
        </w:rPr>
        <w:t xml:space="preserve">”</w:t>
      </w:r>
      <w:r>
        <w:rPr>
          <w:rFonts w:hint="eastAsia" w:ascii="宋体" w:hAnsi="宋体" w:eastAsia="宋体"/>
          <w:bCs/>
          <w:sz w:val="24"/>
          <w:szCs w:val="24"/>
        </w:rPr>
        <w:t xml:space="preserve">网站</w:t>
      </w:r>
      <w:r>
        <w:rPr>
          <w:rFonts w:hint="eastAsia" w:ascii="宋体" w:hAnsi="宋体" w:eastAsia="宋体"/>
          <w:bCs/>
          <w:sz w:val="24"/>
          <w:szCs w:val="24"/>
          <w:lang w:val="en-US"/>
        </w:rPr>
        <w:t xml:space="preserve">（www.creditchina.gov.cn）</w:t>
      </w:r>
      <w:r>
        <w:rPr>
          <w:rFonts w:hint="eastAsia" w:ascii="宋体" w:hAnsi="宋体" w:eastAsia="宋体"/>
          <w:bCs/>
          <w:sz w:val="24"/>
          <w:szCs w:val="24"/>
        </w:rPr>
        <w:t xml:space="preserve">、中国政府采购网</w:t>
      </w:r>
      <w:r>
        <w:rPr>
          <w:rFonts w:hint="eastAsia" w:ascii="宋体" w:hAnsi="宋体" w:eastAsia="宋体"/>
          <w:bCs/>
          <w:sz w:val="24"/>
          <w:szCs w:val="24"/>
          <w:lang w:val="en-US"/>
        </w:rPr>
        <w:t xml:space="preserve">（www.ccgp.gov.cn）</w:t>
      </w:r>
      <w:r>
        <w:rPr>
          <w:rFonts w:hint="eastAsia" w:ascii="宋体" w:hAnsi="宋体" w:eastAsia="宋体"/>
          <w:bCs/>
          <w:sz w:val="24"/>
          <w:szCs w:val="24"/>
        </w:rPr>
        <w:t xml:space="preserve">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p>
    <w:p>
      <w:pPr>
        <w:ind w:firstLine="241"/>
        <w:spacing w:line="360" w:lineRule="auto"/>
        <w:rPr>
          <w:rFonts w:hint="eastAsia" w:ascii="宋体" w:hAnsi="宋体" w:eastAsia="宋体"/>
          <w:b/>
          <w:bCs/>
          <w:sz w:val="24"/>
          <w:szCs w:val="24"/>
        </w:rPr>
        <w:outlineLvl w:val="0"/>
      </w:pPr>
      <w:r>
        <w:rPr>
          <w:rFonts w:hint="eastAsia" w:ascii="宋体" w:hAnsi="宋体" w:eastAsia="宋体"/>
          <w:b/>
          <w:sz w:val="24"/>
          <w:szCs w:val="24"/>
        </w:rPr>
        <w:t xml:space="preserve">4、</w:t>
      </w:r>
      <w:r>
        <w:rPr>
          <w:rFonts w:hint="eastAsia" w:ascii="宋体" w:hAnsi="宋体" w:eastAsia="宋体"/>
          <w:b/>
          <w:bCs/>
          <w:sz w:val="24"/>
          <w:szCs w:val="24"/>
        </w:rPr>
        <w:t xml:space="preserve">磋商费用</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4.1供应商应承担所有与准备和参加磋商有关的费用，无论采购结果如何，采购代理机构和采购人在任何情况下均无义务和责任承担这些费用。</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4.2本次采购招标代理服务费由各成交供应商参照计价格【2002】1980号文件规定的基准</w:t>
      </w:r>
      <w:r>
        <w:rPr>
          <w:rFonts w:hint="eastAsia" w:ascii="宋体" w:hAnsi="宋体" w:eastAsia="宋体"/>
          <w:sz w:val="24"/>
          <w:szCs w:val="24"/>
        </w:rPr>
        <w:t xml:space="preserve">费率标准计算支付给采购代理机构，计算不足5000元的，按5000元支付。请供应商予以关注并核算到总报价中（无需单列，但得包含）。</w:t>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4</w:t>
      </w:r>
      <w:r>
        <w:rPr>
          <w:rFonts w:hint="eastAsia" w:ascii="宋体" w:hAnsi="宋体" w:eastAsia="宋体"/>
          <w:sz w:val="24"/>
          <w:szCs w:val="24"/>
        </w:rPr>
        <w:t xml:space="preserve">.3本次采购招标代理服务费在成交供应商领取中标通知书时结算。</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二、响应文件编制</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5、供应商应当按照磋商文件的要求编制响应文件，并对其提交的响应文件真实性、合法性承担法律责任。</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6、响应文件的语言、计量单位、货币和编制</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6.1提交的响应文件、技术文件和资料，包括相关说明，以及供应商与采购代理机构就有关磋商的所有来往函电均应使用中文。</w:t>
      </w:r>
      <w:r>
        <w:rPr>
          <w:rFonts w:hint="eastAsia" w:ascii="宋体" w:hAnsi="宋体" w:eastAsia="宋体"/>
          <w:b/>
          <w:bCs/>
          <w:sz w:val="24"/>
          <w:szCs w:val="24"/>
        </w:rPr>
        <w:t xml:space="preserve">响应文件中若有英文或其他语言文字的资料，应提供相应的中文翻译资料，</w:t>
      </w:r>
      <w:r>
        <w:rPr>
          <w:rFonts w:hint="eastAsia" w:ascii="宋体" w:hAnsi="宋体" w:eastAsia="宋体"/>
          <w:b/>
          <w:bCs/>
          <w:sz w:val="24"/>
          <w:szCs w:val="24"/>
          <w:lang w:val="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对不同文本响应文件的解释发生异议的，以中文文本为准。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6.2供应商所使用的计量单位应为国家法定计量单位。</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6.3供应商应用人民币报价。</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6.4响应文件应字迹清楚、内容齐全。</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7、响应文件的组成</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7.1供应商应当根据投标系统格式编制响应文件。</w:t>
      </w:r>
      <w:r/>
    </w:p>
    <w:p>
      <w:pPr>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7.2响应文件的商务部分。</w:t>
      </w:r>
      <w:r>
        <w:rPr>
          <w:rFonts w:hint="eastAsia" w:ascii="宋体" w:hAnsi="宋体" w:eastAsia="宋体"/>
          <w:sz w:val="24"/>
          <w:szCs w:val="24"/>
        </w:rPr>
        <w:t xml:space="preserve">商务部分是证明供应商有资格参加磋商和成交后有能力履行合同的文件，这些文件应能满足竞争性磋商采购文件的要求，包括但不限于下列文件，</w:t>
      </w:r>
      <w:r>
        <w:rPr>
          <w:rFonts w:hint="eastAsia" w:ascii="宋体" w:hAnsi="宋体" w:eastAsia="宋体" w:cs="仿宋"/>
          <w:b/>
          <w:bCs/>
          <w:sz w:val="24"/>
          <w:szCs w:val="24"/>
        </w:rPr>
        <w:t xml:space="preserve">其中加※项目不得有缺失或无效，</w:t>
      </w:r>
      <w:r>
        <w:rPr>
          <w:rFonts w:hint="eastAsia" w:ascii="宋体" w:hAnsi="宋体" w:eastAsia="宋体" w:cs="仿宋"/>
          <w:b/>
          <w:bCs/>
          <w:sz w:val="24"/>
          <w:szCs w:val="24"/>
          <w:lang w:val="en-US"/>
        </w:rPr>
        <w:t xml:space="preserve">格式见：</w:t>
      </w:r>
      <w:r>
        <w:rPr>
          <w:rFonts w:hint="eastAsia" w:ascii="宋体" w:hAnsi="宋体" w:eastAsia="宋体" w:cs="仿宋"/>
          <w:b/>
          <w:bCs/>
          <w:sz w:val="24"/>
          <w:szCs w:val="24"/>
        </w:rPr>
        <w:t xml:space="preserve">第六章  响应文件格式。</w:t>
      </w:r>
      <w:r/>
    </w:p>
    <w:p>
      <w:pPr>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（1）※磋商申请及声明；</w:t>
      </w:r>
      <w:r/>
    </w:p>
    <w:p>
      <w:pPr>
        <w:ind w:firstLine="241"/>
        <w:jc w:val="left"/>
        <w:spacing w:line="360" w:lineRule="auto"/>
        <w:widowControl/>
        <w:rPr>
          <w:rFonts w:hint="eastAsia" w:ascii="宋体" w:hAnsi="宋体" w:eastAsia="宋体" w:cs="仿宋"/>
          <w:b/>
          <w:bCs/>
          <w:sz w:val="24"/>
          <w:szCs w:val="24"/>
        </w:rPr>
      </w:pPr>
      <w:r>
        <w:rPr>
          <w:rFonts w:hint="eastAsia" w:ascii="宋体" w:hAnsi="宋体" w:eastAsia="宋体" w:cs="仿宋"/>
          <w:b/>
          <w:bCs/>
          <w:sz w:val="24"/>
          <w:szCs w:val="24"/>
        </w:rPr>
        <w:t xml:space="preserve">（2）※法定代表人授权委托书； </w:t>
      </w:r>
      <w:r/>
    </w:p>
    <w:p>
      <w:pPr>
        <w:ind w:firstLine="241"/>
        <w:jc w:val="left"/>
        <w:spacing w:line="360" w:lineRule="auto"/>
        <w:shd w:val="clear" w:color="auto" w:fill="ffffff"/>
        <w:widowControl/>
        <w:rPr>
          <w:rFonts w:hint="eastAsia" w:ascii="宋体" w:hAnsi="宋体" w:eastAsia="宋体" w:cs="仿宋"/>
          <w:b/>
          <w:bCs/>
          <w:sz w:val="24"/>
          <w:szCs w:val="24"/>
        </w:rPr>
      </w:pPr>
      <w:r>
        <w:rPr>
          <w:rFonts w:hint="eastAsia" w:ascii="宋体" w:hAnsi="宋体" w:eastAsia="宋体" w:cs="仿宋"/>
          <w:b/>
          <w:bCs/>
          <w:sz w:val="24"/>
          <w:szCs w:val="24"/>
        </w:rPr>
        <w:t xml:space="preserve">（</w:t>
      </w:r>
      <w:r>
        <w:rPr>
          <w:rFonts w:hint="eastAsia" w:ascii="宋体" w:hAnsi="宋体" w:eastAsia="宋体" w:cs="仿宋"/>
          <w:b/>
          <w:bCs/>
          <w:sz w:val="24"/>
          <w:szCs w:val="24"/>
          <w:lang w:val="en-US"/>
        </w:rPr>
        <w:t xml:space="preserve">3</w:t>
      </w:r>
      <w:r>
        <w:rPr>
          <w:rFonts w:hint="eastAsia" w:ascii="宋体" w:hAnsi="宋体" w:eastAsia="宋体" w:cs="仿宋"/>
          <w:b/>
          <w:bCs/>
          <w:sz w:val="24"/>
          <w:szCs w:val="24"/>
        </w:rPr>
        <w:t xml:space="preserve">）※不存在与参加本项目的其他供应商单位负责人为同一人或者存在直接控股、管理关系承诺；</w:t>
      </w:r>
      <w:r/>
    </w:p>
    <w:p>
      <w:pPr>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（4）※第一章竞争性磋商</w:t>
      </w:r>
      <w:r>
        <w:rPr>
          <w:rFonts w:hint="eastAsia" w:ascii="宋体" w:hAnsi="宋体" w:eastAsia="宋体" w:cs="仿宋"/>
          <w:b/>
          <w:bCs/>
          <w:sz w:val="24"/>
          <w:szCs w:val="24"/>
          <w:lang w:val="en-US"/>
        </w:rPr>
        <w:t xml:space="preserve">公告</w:t>
      </w:r>
      <w:r>
        <w:rPr>
          <w:rFonts w:hint="eastAsia" w:ascii="宋体" w:hAnsi="宋体" w:eastAsia="宋体" w:cs="仿宋"/>
          <w:b/>
          <w:bCs/>
          <w:sz w:val="24"/>
          <w:szCs w:val="24"/>
        </w:rPr>
        <w:t xml:space="preserve">中</w:t>
      </w:r>
      <w:r>
        <w:rPr>
          <w:rFonts w:ascii="宋体" w:hAnsi="宋体" w:eastAsia="宋体" w:cs="仿宋"/>
          <w:b/>
          <w:bCs/>
          <w:sz w:val="24"/>
          <w:szCs w:val="24"/>
        </w:rPr>
        <w:t xml:space="preserve">2</w:t>
      </w:r>
      <w:r>
        <w:rPr>
          <w:rFonts w:hint="eastAsia" w:ascii="宋体" w:hAnsi="宋体" w:eastAsia="宋体" w:cs="仿宋"/>
          <w:b/>
          <w:bCs/>
          <w:sz w:val="24"/>
          <w:szCs w:val="24"/>
        </w:rPr>
        <w:t xml:space="preserve">.1《中华人民共和国政府采购法》第二十二条规定条件的证明文件；</w:t>
      </w:r>
      <w:r/>
    </w:p>
    <w:p>
      <w:pP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  （5）※第一章竞争性磋商公告中</w:t>
      </w:r>
      <w:r>
        <w:rPr>
          <w:rFonts w:ascii="宋体" w:hAnsi="宋体" w:eastAsia="宋体" w:cs="仿宋"/>
          <w:b/>
          <w:bCs/>
          <w:sz w:val="24"/>
          <w:szCs w:val="24"/>
        </w:rPr>
        <w:t xml:space="preserve">2</w:t>
      </w:r>
      <w:r>
        <w:rPr>
          <w:rFonts w:hint="eastAsia" w:ascii="宋体" w:hAnsi="宋体" w:eastAsia="宋体" w:cs="仿宋"/>
          <w:b/>
          <w:bCs/>
          <w:sz w:val="24"/>
          <w:szCs w:val="24"/>
        </w:rPr>
        <w:t xml:space="preserve">.</w:t>
      </w:r>
      <w:r>
        <w:rPr>
          <w:rFonts w:ascii="宋体" w:hAnsi="宋体" w:eastAsia="宋体" w:cs="仿宋"/>
          <w:b/>
          <w:bCs/>
          <w:sz w:val="24"/>
          <w:szCs w:val="24"/>
        </w:rPr>
        <w:t xml:space="preserve">3</w:t>
      </w:r>
      <w:r>
        <w:rPr>
          <w:rFonts w:hint="eastAsia" w:ascii="宋体" w:hAnsi="宋体" w:eastAsia="宋体" w:cs="仿宋"/>
          <w:b/>
          <w:bCs/>
          <w:sz w:val="24"/>
          <w:szCs w:val="24"/>
        </w:rPr>
        <w:t xml:space="preserve">采购人根据采购项目的特殊要求规定的特定条件的证明文件； </w:t>
      </w:r>
      <w:r/>
    </w:p>
    <w:p>
      <w:pPr>
        <w:ind w:firstLine="240"/>
        <w:spacing w:line="360" w:lineRule="auto"/>
        <w:widowControl/>
        <w:rPr>
          <w:rFonts w:hint="eastAsia" w:ascii="宋体" w:hAnsi="宋体" w:eastAsia="宋体"/>
          <w:sz w:val="24"/>
          <w:szCs w:val="24"/>
        </w:rPr>
      </w:pPr>
      <w:r>
        <w:rPr>
          <w:rFonts w:hint="eastAsia" w:ascii="宋体" w:hAnsi="宋体" w:eastAsia="宋体" w:cs="仿宋"/>
          <w:sz w:val="24"/>
          <w:szCs w:val="24"/>
        </w:rPr>
        <w:t xml:space="preserve">（</w:t>
      </w:r>
      <w:r>
        <w:rPr>
          <w:rFonts w:hint="eastAsia" w:ascii="宋体" w:hAnsi="宋体" w:eastAsia="宋体" w:cs="仿宋"/>
          <w:sz w:val="24"/>
          <w:szCs w:val="24"/>
          <w:lang w:val="en-US"/>
        </w:rPr>
        <w:t xml:space="preserve">6</w:t>
      </w:r>
      <w:r>
        <w:rPr>
          <w:rFonts w:hint="eastAsia" w:ascii="宋体" w:hAnsi="宋体" w:eastAsia="宋体" w:cs="仿宋"/>
          <w:sz w:val="24"/>
          <w:szCs w:val="24"/>
        </w:rPr>
        <w:t xml:space="preserve">）《商务条款偏离表》。</w:t>
      </w:r>
      <w:r/>
    </w:p>
    <w:p>
      <w:pPr>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7.3响应文件的技术部分。</w:t>
      </w:r>
      <w:r>
        <w:rPr>
          <w:rFonts w:hint="eastAsia" w:ascii="宋体" w:hAnsi="宋体" w:eastAsia="宋体"/>
          <w:sz w:val="24"/>
          <w:szCs w:val="24"/>
        </w:rPr>
        <w:t xml:space="preserve">技术部分是证明供应商提供的服务是合格的，并符合磋商文件要求的证明文件，以及对服务的详细说明，这些文件可以是文字资料、图纸（表）和数据等。</w:t>
      </w:r>
      <w:r>
        <w:rPr>
          <w:rFonts w:hint="eastAsia" w:ascii="宋体" w:hAnsi="宋体" w:eastAsia="宋体"/>
          <w:sz w:val="24"/>
          <w:szCs w:val="24"/>
        </w:rPr>
        <w:t xml:space="preserve">提供的服务如与磋商文件要求有不符之处，应说明其差别之所在。包括但不限于下列文件，</w:t>
      </w:r>
      <w:r>
        <w:rPr>
          <w:rFonts w:hint="eastAsia" w:ascii="宋体" w:hAnsi="宋体" w:eastAsia="宋体" w:cs="仿宋"/>
          <w:b/>
          <w:bCs/>
          <w:sz w:val="24"/>
          <w:szCs w:val="24"/>
        </w:rPr>
        <w:t xml:space="preserve">其中加“※”项目不得有缺失或无效，</w:t>
      </w:r>
      <w:r>
        <w:rPr>
          <w:rFonts w:hint="eastAsia" w:ascii="宋体" w:hAnsi="宋体" w:eastAsia="宋体" w:cs="仿宋"/>
          <w:b/>
          <w:bCs/>
          <w:sz w:val="24"/>
          <w:szCs w:val="24"/>
          <w:lang w:val="en-US"/>
        </w:rPr>
        <w:t xml:space="preserve">格式见：</w:t>
      </w:r>
      <w:r>
        <w:rPr>
          <w:rFonts w:hint="eastAsia" w:ascii="宋体" w:hAnsi="宋体" w:eastAsia="宋体" w:cs="仿宋"/>
          <w:b/>
          <w:bCs/>
          <w:sz w:val="24"/>
          <w:szCs w:val="24"/>
        </w:rPr>
        <w:t xml:space="preserve">第六章  响应文件格式。</w:t>
      </w:r>
      <w:r/>
    </w:p>
    <w:p>
      <w:pPr>
        <w:numPr>
          <w:ilvl w:val="0"/>
          <w:numId w:val="6"/>
        </w:numPr>
        <w:ind w:firstLine="241"/>
        <w:spacing w:line="360" w:lineRule="auto"/>
        <w:widowControl/>
        <w:rPr>
          <w:rFonts w:hint="eastAsia" w:ascii="宋体" w:hAnsi="宋体" w:eastAsia="宋体"/>
          <w:sz w:val="24"/>
          <w:szCs w:val="24"/>
        </w:rPr>
      </w:pPr>
      <w:r>
        <w:rPr>
          <w:rFonts w:hint="eastAsia" w:ascii="仿宋" w:hAnsi="仿宋" w:eastAsia="仿宋" w:cs="仿宋"/>
          <w:b/>
          <w:sz w:val="24"/>
          <w:szCs w:val="24"/>
        </w:rPr>
        <w:t xml:space="preserve">※</w:t>
      </w:r>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w:t>
      </w:r>
      <w:r/>
    </w:p>
    <w:p>
      <w:pPr>
        <w:ind w:firstLine="240"/>
        <w:spacing w:line="360" w:lineRule="auto"/>
        <w:widowControl/>
        <w:rPr>
          <w:rFonts w:hint="eastAsia" w:ascii="宋体" w:hAnsi="宋体" w:eastAsia="宋体"/>
          <w:sz w:val="24"/>
          <w:szCs w:val="24"/>
        </w:rPr>
      </w:pPr>
      <w:r>
        <w:rPr>
          <w:rFonts w:hint="eastAsia" w:ascii="宋体" w:hAnsi="宋体" w:eastAsia="宋体" w:cs="黑体"/>
          <w:sz w:val="24"/>
          <w:szCs w:val="24"/>
          <w:lang w:val="en-US"/>
        </w:rPr>
        <w:t xml:space="preserve">（2）第三章成交标准要求提供的方案或相关证明材料等</w:t>
      </w:r>
      <w:r>
        <w:rPr>
          <w:rFonts w:hint="eastAsia" w:ascii="宋体" w:hAnsi="宋体" w:eastAsia="宋体" w:cs="仿宋"/>
          <w:sz w:val="24"/>
          <w:szCs w:val="24"/>
        </w:rPr>
        <w:t xml:space="preserve">；</w:t>
      </w:r>
      <w:r/>
    </w:p>
    <w:p>
      <w:pPr>
        <w:ind w:left="240"/>
        <w:spacing w:line="360" w:lineRule="auto"/>
        <w:widowControl/>
        <w:rPr>
          <w:rFonts w:hint="eastAsia" w:ascii="宋体" w:hAnsi="宋体" w:eastAsia="宋体" w:cs="仿宋"/>
          <w:sz w:val="24"/>
          <w:szCs w:val="24"/>
        </w:rPr>
      </w:pPr>
      <w:r>
        <w:rPr>
          <w:rFonts w:hint="eastAsia" w:ascii="宋体" w:hAnsi="宋体" w:eastAsia="宋体"/>
          <w:sz w:val="24"/>
          <w:szCs w:val="24"/>
        </w:rPr>
        <w:t xml:space="preserve">（3）</w:t>
      </w:r>
      <w:r>
        <w:rPr>
          <w:rFonts w:ascii="宋体" w:hAnsi="宋体" w:eastAsia="宋体"/>
          <w:sz w:val="24"/>
          <w:szCs w:val="24"/>
        </w:rPr>
        <w:t xml:space="preserve">验收标准；</w:t>
      </w:r>
      <w:r/>
    </w:p>
    <w:p>
      <w:pPr>
        <w:ind w:left="240"/>
        <w:spacing w:line="360" w:lineRule="auto"/>
        <w:widowControl/>
        <w:rPr>
          <w:rFonts w:hint="eastAsia" w:ascii="宋体" w:hAnsi="宋体" w:eastAsia="宋体"/>
          <w:sz w:val="24"/>
          <w:szCs w:val="24"/>
        </w:rPr>
      </w:pPr>
      <w:r>
        <w:rPr>
          <w:rFonts w:hint="eastAsia" w:ascii="宋体" w:hAnsi="宋体" w:eastAsia="宋体"/>
          <w:sz w:val="24"/>
          <w:szCs w:val="24"/>
        </w:rPr>
        <w:t xml:space="preserve">（4）服务承诺；</w:t>
      </w:r>
      <w:r/>
    </w:p>
    <w:p>
      <w:pPr>
        <w:ind w:left="240"/>
        <w:spacing w:line="360" w:lineRule="auto"/>
        <w:widowControl/>
        <w:rPr>
          <w:rFonts w:hint="eastAsia" w:ascii="宋体" w:hAnsi="宋体" w:eastAsia="宋体"/>
          <w:sz w:val="24"/>
          <w:szCs w:val="24"/>
        </w:rPr>
      </w:pPr>
      <w:r>
        <w:rPr>
          <w:rFonts w:hint="eastAsia" w:ascii="宋体" w:hAnsi="宋体" w:eastAsia="宋体"/>
          <w:sz w:val="24"/>
          <w:szCs w:val="24"/>
        </w:rPr>
        <w:t xml:space="preserve">（5）供应商认为需要提供的其他技术资料等；</w:t>
      </w:r>
      <w:r/>
    </w:p>
    <w:p>
      <w:pPr>
        <w:ind w:left="240"/>
        <w:spacing w:line="360" w:lineRule="auto"/>
        <w:widowControl/>
        <w:rPr>
          <w:rFonts w:hint="eastAsia" w:ascii="宋体" w:hAnsi="宋体" w:eastAsia="宋体"/>
          <w:sz w:val="24"/>
          <w:szCs w:val="24"/>
        </w:rPr>
      </w:pPr>
      <w:r>
        <w:rPr>
          <w:rFonts w:hint="eastAsia" w:ascii="宋体" w:hAnsi="宋体" w:eastAsia="宋体"/>
          <w:sz w:val="24"/>
          <w:szCs w:val="24"/>
        </w:rPr>
        <w:t xml:space="preserve">（6）《技术条款偏离表》。</w:t>
      </w:r>
      <w:r/>
    </w:p>
    <w:p>
      <w:pPr>
        <w:ind w:firstLine="241"/>
        <w:spacing w:line="360" w:lineRule="auto"/>
        <w:rPr>
          <w:rFonts w:hint="eastAsia" w:ascii="宋体" w:hAnsi="宋体" w:eastAsia="宋体"/>
          <w:b/>
          <w:sz w:val="24"/>
          <w:szCs w:val="24"/>
        </w:rPr>
      </w:pPr>
      <w:r>
        <w:rPr>
          <w:rFonts w:hint="eastAsia" w:ascii="宋体" w:hAnsi="宋体" w:eastAsia="宋体"/>
          <w:b/>
          <w:bCs/>
          <w:sz w:val="24"/>
          <w:szCs w:val="24"/>
        </w:rPr>
        <w:t xml:space="preserve">7.4</w:t>
      </w:r>
      <w:r>
        <w:rPr>
          <w:rFonts w:hint="eastAsia" w:ascii="宋体" w:hAnsi="宋体" w:eastAsia="宋体"/>
          <w:b/>
          <w:sz w:val="24"/>
          <w:szCs w:val="24"/>
        </w:rPr>
        <w:t xml:space="preserve">响应文件的价格部分</w:t>
      </w:r>
      <w:r/>
    </w:p>
    <w:p>
      <w:pPr>
        <w:ind w:firstLine="240"/>
        <w:jc w:val="left"/>
        <w:spacing w:line="360" w:lineRule="auto"/>
        <w:rPr>
          <w:rFonts w:hint="eastAsia" w:ascii="宋体" w:hAnsi="宋体" w:eastAsia="宋体"/>
          <w:b/>
          <w:bCs/>
          <w:sz w:val="24"/>
          <w:szCs w:val="24"/>
        </w:rPr>
      </w:pPr>
      <w:r>
        <w:rPr>
          <w:rFonts w:hint="eastAsia" w:ascii="宋体" w:hAnsi="宋体" w:eastAsia="宋体"/>
          <w:sz w:val="24"/>
          <w:szCs w:val="24"/>
        </w:rPr>
        <w:t xml:space="preserve">（1）价格部分是对服务价格构成的说明，磋商文件如没有特别说明的话，对每一项服务仅接受一个价格。</w:t>
      </w:r>
      <w:r>
        <w:rPr>
          <w:rFonts w:hint="eastAsia" w:ascii="宋体" w:hAnsi="宋体" w:eastAsia="宋体"/>
          <w:b/>
          <w:bCs/>
          <w:sz w:val="24"/>
          <w:szCs w:val="24"/>
        </w:rPr>
        <w:t xml:space="preserve">首次报价按投标系统格式填写，分项报价表按第六章格式要求上传至投标系统。</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（2）报价应包含完成本服务项目发生的所有含税费用、支付给员工的工资和国家强制缴纳的各种社会保障资金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及供应商认为需要的其他费用等</w:t>
      </w:r>
      <w:r>
        <w:rPr>
          <w:rFonts w:hint="eastAsia" w:ascii="宋体" w:hAnsi="宋体" w:eastAsia="宋体"/>
          <w:b/>
          <w:sz w:val="24"/>
          <w:szCs w:val="24"/>
        </w:rPr>
        <w:t xml:space="preserve">。</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（3）供应商应充分考虑到市场价格变动，以及项目实施过程中的不可预见因素，一旦成交，</w:t>
      </w:r>
      <w:r>
        <w:rPr>
          <w:rFonts w:hint="eastAsia" w:ascii="宋体" w:hAnsi="宋体" w:eastAsia="宋体"/>
          <w:b/>
          <w:bCs/>
          <w:sz w:val="24"/>
          <w:szCs w:val="24"/>
          <w:lang w:val="en-US"/>
        </w:rPr>
        <w:t xml:space="preserve">投标报价</w:t>
      </w:r>
      <w:r>
        <w:rPr>
          <w:rFonts w:hint="eastAsia" w:ascii="宋体" w:hAnsi="宋体" w:eastAsia="宋体"/>
          <w:b/>
          <w:bCs/>
          <w:sz w:val="24"/>
          <w:szCs w:val="24"/>
        </w:rPr>
        <w:t xml:space="preserve">不变。如果有漏项，视同让利。</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）供应商响应文件所报的投标</w:t>
      </w:r>
      <w:r>
        <w:rPr>
          <w:rFonts w:hint="eastAsia" w:ascii="宋体" w:hAnsi="宋体" w:eastAsia="宋体"/>
          <w:sz w:val="24"/>
          <w:szCs w:val="24"/>
          <w:lang w:val="en-US"/>
        </w:rPr>
        <w:t xml:space="preserve">报价</w:t>
      </w:r>
      <w:r>
        <w:rPr>
          <w:rFonts w:hint="eastAsia" w:ascii="宋体" w:hAnsi="宋体" w:eastAsia="宋体"/>
          <w:sz w:val="24"/>
          <w:szCs w:val="24"/>
        </w:rPr>
        <w:t xml:space="preserve">（</w:t>
      </w:r>
      <w:r>
        <w:rPr>
          <w:rFonts w:hint="eastAsia" w:ascii="宋体" w:hAnsi="宋体" w:eastAsia="宋体"/>
          <w:sz w:val="24"/>
          <w:szCs w:val="24"/>
          <w:lang w:val="en-US"/>
        </w:rPr>
        <w:t xml:space="preserve">包含</w:t>
      </w:r>
      <w:r>
        <w:rPr>
          <w:rFonts w:hint="eastAsia" w:ascii="宋体" w:hAnsi="宋体" w:eastAsia="宋体"/>
          <w:sz w:val="24"/>
          <w:szCs w:val="24"/>
        </w:rPr>
        <w:t xml:space="preserve">首次报价）不得超过磋商文件规定的预算、</w:t>
      </w:r>
      <w:r>
        <w:rPr>
          <w:rFonts w:hint="eastAsia" w:ascii="宋体" w:hAnsi="宋体" w:eastAsia="宋体"/>
          <w:sz w:val="24"/>
          <w:szCs w:val="24"/>
          <w:lang w:val="en-US"/>
        </w:rPr>
        <w:t xml:space="preserve">最高</w:t>
      </w:r>
      <w:r>
        <w:rPr>
          <w:rFonts w:hint="eastAsia" w:ascii="宋体" w:hAnsi="宋体" w:eastAsia="宋体"/>
          <w:sz w:val="24"/>
          <w:szCs w:val="24"/>
        </w:rPr>
        <w:t xml:space="preserve">限价，超过磋商文件规定的，按无效投标处理。</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5</w:t>
      </w:r>
      <w:r>
        <w:rPr>
          <w:rFonts w:ascii="宋体" w:hAnsi="宋体" w:eastAsia="宋体"/>
          <w:sz w:val="24"/>
          <w:szCs w:val="24"/>
        </w:rPr>
        <w:t xml:space="preserve">）经磋商后，如果成交价高于或低于供应商在响应文件首次报价的，分项报价同比例调整。</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8、磋商保证金</w:t>
      </w:r>
      <w:r/>
    </w:p>
    <w:p>
      <w:pPr>
        <w:ind w:firstLine="240"/>
        <w:spacing w:line="360" w:lineRule="auto"/>
        <w:rPr>
          <w:rFonts w:hint="eastAsia" w:ascii="宋体" w:hAnsi="宋体" w:eastAsia="宋体"/>
          <w:sz w:val="24"/>
          <w:szCs w:val="24"/>
        </w:rPr>
        <w:outlineLvl w:val="0"/>
      </w:pPr>
      <w:r>
        <w:rPr>
          <w:rFonts w:hint="eastAsia" w:ascii="宋体" w:hAnsi="宋体" w:eastAsia="宋体"/>
          <w:sz w:val="24"/>
          <w:szCs w:val="24"/>
        </w:rPr>
        <w:t xml:space="preserve">8.1本项目不收取磋商保证金。</w:t>
      </w:r>
      <w:r/>
    </w:p>
    <w:p>
      <w:pPr>
        <w:ind w:firstLine="241"/>
        <w:spacing w:line="360" w:lineRule="auto"/>
        <w:rPr>
          <w:rFonts w:hint="eastAsia" w:ascii="宋体" w:hAnsi="宋体" w:eastAsia="宋体"/>
          <w:b/>
          <w:bCs/>
          <w:sz w:val="24"/>
          <w:szCs w:val="24"/>
          <w:lang w:val="en-US"/>
        </w:rPr>
        <w:outlineLvl w:val="0"/>
      </w:pPr>
      <w:r>
        <w:rPr>
          <w:rFonts w:hint="eastAsia" w:ascii="宋体" w:hAnsi="宋体" w:eastAsia="宋体"/>
          <w:b/>
          <w:bCs/>
          <w:sz w:val="24"/>
          <w:szCs w:val="24"/>
        </w:rPr>
        <w:t xml:space="preserve">三、响应文件签署与提交、</w:t>
      </w:r>
      <w:r>
        <w:rPr>
          <w:rFonts w:hint="eastAsia" w:ascii="宋体" w:hAnsi="宋体" w:eastAsia="宋体"/>
          <w:b/>
          <w:bCs/>
          <w:sz w:val="24"/>
          <w:szCs w:val="24"/>
          <w:lang w:val="en-US"/>
        </w:rPr>
        <w:t xml:space="preserve">撤回与修改</w:t>
      </w:r>
      <w:r/>
    </w:p>
    <w:p>
      <w:pPr>
        <w:ind w:firstLine="241"/>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9、供应商应当按照《操作手册》规定，在磋商公告规定的提交响应文件截止时间前制作并上传电子响应文件。</w:t>
      </w:r>
      <w:r/>
    </w:p>
    <w:p>
      <w:pPr>
        <w:ind w:firstLine="241"/>
        <w:spacing w:line="360" w:lineRule="auto"/>
        <w:rPr>
          <w:rFonts w:hint="eastAsia" w:ascii="宋体" w:hAnsi="宋体" w:eastAsia="宋体"/>
          <w:sz w:val="24"/>
          <w:szCs w:val="24"/>
        </w:rPr>
      </w:pPr>
      <w:r>
        <w:rPr>
          <w:rFonts w:hint="eastAsia" w:ascii="宋体" w:hAnsi="宋体" w:eastAsia="宋体"/>
          <w:b/>
          <w:bCs/>
          <w:sz w:val="24"/>
          <w:szCs w:val="24"/>
          <w:lang w:val="en-US"/>
        </w:rPr>
        <w:t xml:space="preserve">10、供应商应充分考虑网络环境、网络带宽等因素可能对磋商产生的影响，如因供应商自身原因造成的电子响应文件上传不成功的，按无效响应文件处理。</w:t>
      </w:r>
      <w:r/>
    </w:p>
    <w:p>
      <w:pPr>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11、</w:t>
      </w:r>
      <w:r>
        <w:rPr>
          <w:rFonts w:hint="eastAsia" w:ascii="宋体" w:hAnsi="宋体" w:eastAsia="宋体"/>
          <w:b/>
          <w:sz w:val="24"/>
          <w:szCs w:val="24"/>
        </w:rPr>
        <w:t xml:space="preserve">有下列情形之一的响应文件将拒收：</w:t>
      </w:r>
      <w:r/>
    </w:p>
    <w:p>
      <w:pPr>
        <w:ind w:firstLine="241"/>
        <w:spacing w:line="360" w:lineRule="auto"/>
        <w:rPr>
          <w:rFonts w:hint="eastAsia" w:ascii="宋体" w:hAnsi="宋体" w:eastAsia="宋体"/>
          <w:b/>
          <w:bCs/>
          <w:sz w:val="24"/>
          <w:szCs w:val="24"/>
        </w:rPr>
      </w:pPr>
      <w:r>
        <w:rPr>
          <w:rFonts w:ascii="宋体" w:hAnsi="宋体" w:eastAsia="宋体"/>
          <w:b/>
          <w:bCs/>
          <w:sz w:val="24"/>
          <w:szCs w:val="24"/>
        </w:rPr>
        <w:t xml:space="preserve">11.</w:t>
      </w:r>
      <w:r>
        <w:rPr>
          <w:rFonts w:hint="eastAsia" w:ascii="宋体" w:hAnsi="宋体" w:eastAsia="宋体"/>
          <w:b/>
          <w:bCs/>
          <w:sz w:val="24"/>
          <w:szCs w:val="24"/>
        </w:rPr>
        <w:t xml:space="preserve">1拒绝接收提交响应文件截止时间后上传的任何电子响应文件。</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12</w:t>
      </w:r>
      <w:r>
        <w:rPr>
          <w:rFonts w:hint="eastAsia" w:ascii="宋体" w:hAnsi="宋体" w:eastAsia="宋体"/>
          <w:b/>
          <w:bCs/>
          <w:sz w:val="24"/>
          <w:szCs w:val="24"/>
        </w:rPr>
        <w:t xml:space="preserve">、响应文件的撤回</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12.1</w:t>
      </w:r>
      <w:r>
        <w:rPr>
          <w:rFonts w:hint="eastAsia" w:ascii="宋体" w:hAnsi="宋体" w:eastAsia="宋体"/>
          <w:sz w:val="24"/>
          <w:szCs w:val="24"/>
        </w:rPr>
        <w:t xml:space="preserve">供应商可在提交响应文件截止时间前撤回其电子响应文件，具体操作方法见《操作手册》。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12.2</w:t>
      </w:r>
      <w:r>
        <w:rPr>
          <w:rFonts w:hint="eastAsia" w:ascii="宋体" w:hAnsi="宋体" w:eastAsia="宋体"/>
          <w:sz w:val="24"/>
          <w:szCs w:val="24"/>
        </w:rPr>
        <w:t xml:space="preserve">供应商撤回电子响应文件，则认为其不再参与本项目磋商活动。</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13、</w:t>
      </w:r>
      <w:r>
        <w:rPr>
          <w:rFonts w:hint="eastAsia" w:ascii="宋体" w:hAnsi="宋体" w:eastAsia="宋体"/>
          <w:b/>
          <w:bCs/>
          <w:sz w:val="24"/>
          <w:szCs w:val="24"/>
        </w:rPr>
        <w:t xml:space="preserve">响应文件的修改</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13.1</w:t>
      </w:r>
      <w:r>
        <w:rPr>
          <w:rFonts w:hint="eastAsia" w:ascii="宋体" w:hAnsi="宋体" w:eastAsia="宋体"/>
          <w:sz w:val="24"/>
          <w:szCs w:val="24"/>
        </w:rPr>
        <w:t xml:space="preserve">供应商可在提交响应文件截止时间前对其电子响应文件进行修改，具体操作方法见《操作手册》。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13.2</w:t>
      </w:r>
      <w:r>
        <w:rPr>
          <w:rFonts w:hint="eastAsia" w:ascii="宋体" w:hAnsi="宋体" w:eastAsia="宋体"/>
          <w:sz w:val="24"/>
          <w:szCs w:val="24"/>
        </w:rPr>
        <w:t xml:space="preserve">提交响应文件截止时间之后，供应商不得对其电子响应文件作任何修改。</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w:t>
      </w:r>
      <w:r>
        <w:rPr>
          <w:rFonts w:hint="eastAsia" w:ascii="宋体" w:hAnsi="宋体" w:eastAsia="宋体"/>
          <w:sz w:val="24"/>
          <w:szCs w:val="24"/>
        </w:rPr>
        <w:t xml:space="preserve">.3在提交响应文件截止时间至磋商文件中规定的磋商有效期满之间的这段时间内，供应商不得撤回其响应文件。</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14、采购代理机构可以按照规定，通过修改磋商文件酌情延长提交响应文件截止日期，在此情况下，供应商的所有权利和义务均以延长后新的截止日期为准。</w:t>
      </w:r>
      <w:r/>
    </w:p>
    <w:p>
      <w:pPr>
        <w:ind w:firstLine="241"/>
        <w:spacing w:line="360" w:lineRule="auto"/>
        <w:rPr>
          <w:rFonts w:hint="eastAsia" w:ascii="宋体" w:hAnsi="宋体" w:eastAsia="宋体"/>
          <w:b/>
          <w:bCs/>
          <w:sz w:val="24"/>
          <w:szCs w:val="24"/>
        </w:rPr>
      </w:pPr>
      <w:r/>
      <w:bookmarkStart w:id="9" w:name="_Toc16938545"/>
      <w:r/>
      <w:bookmarkStart w:id="10" w:name="_Toc20823301"/>
      <w:r/>
      <w:bookmarkStart w:id="11" w:name="_Toc120614218"/>
      <w:r/>
      <w:bookmarkStart w:id="12" w:name="_Toc513029229"/>
      <w:r>
        <w:rPr>
          <w:rFonts w:hint="eastAsia" w:ascii="宋体" w:hAnsi="宋体" w:eastAsia="宋体"/>
          <w:b/>
          <w:bCs/>
          <w:sz w:val="24"/>
          <w:szCs w:val="24"/>
          <w:lang w:val="en-US"/>
        </w:rPr>
        <w:t xml:space="preserve">四、</w:t>
      </w:r>
      <w:r>
        <w:rPr>
          <w:rFonts w:hint="eastAsia" w:ascii="宋体" w:hAnsi="宋体" w:eastAsia="宋体"/>
          <w:b/>
          <w:bCs/>
          <w:sz w:val="24"/>
          <w:szCs w:val="24"/>
        </w:rPr>
        <w:t xml:space="preserve">联合体</w:t>
      </w:r>
      <w:r/>
    </w:p>
    <w:p>
      <w:pPr>
        <w:ind w:firstLine="240"/>
        <w:spacing w:line="360" w:lineRule="auto"/>
        <w:rPr>
          <w:rFonts w:hint="eastAsia" w:ascii="宋体" w:hAnsi="宋体" w:eastAsia="宋体"/>
          <w:sz w:val="24"/>
          <w:szCs w:val="24"/>
        </w:rPr>
      </w:pPr>
      <w:r>
        <w:rPr>
          <w:rFonts w:hint="eastAsia" w:ascii="宋体" w:hAnsi="宋体" w:eastAsia="宋体"/>
          <w:bCs/>
          <w:sz w:val="24"/>
          <w:szCs w:val="24"/>
          <w:lang w:val="en-US"/>
        </w:rPr>
        <w:t xml:space="preserve">15、</w:t>
      </w:r>
      <w:r>
        <w:rPr>
          <w:rFonts w:hint="eastAsia" w:ascii="宋体" w:hAnsi="宋体" w:eastAsia="宋体"/>
          <w:bCs/>
          <w:sz w:val="24"/>
          <w:szCs w:val="24"/>
        </w:rPr>
        <w:t xml:space="preserve">本项目不接受联合体投标</w:t>
      </w:r>
      <w:r>
        <w:rPr>
          <w:rFonts w:hint="eastAsia" w:ascii="宋体" w:hAnsi="宋体" w:eastAsia="宋体"/>
          <w:sz w:val="24"/>
          <w:szCs w:val="24"/>
        </w:rPr>
        <w:t xml:space="preserve">。</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五</w:t>
      </w:r>
      <w:r>
        <w:rPr>
          <w:rFonts w:hint="eastAsia" w:ascii="宋体" w:hAnsi="宋体" w:eastAsia="宋体"/>
          <w:b/>
          <w:bCs/>
          <w:sz w:val="24"/>
          <w:szCs w:val="24"/>
        </w:rPr>
        <w:t xml:space="preserve">、响应文件的解密与评审</w:t>
      </w:r>
      <w:bookmarkEnd w:id="9"/>
      <w:r/>
      <w:bookmarkEnd w:id="10"/>
      <w:r/>
      <w:bookmarkEnd w:id="11"/>
      <w:r/>
      <w:bookmarkEnd w:id="12"/>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16</w:t>
      </w:r>
      <w:r>
        <w:rPr>
          <w:rFonts w:hint="eastAsia" w:ascii="宋体" w:hAnsi="宋体" w:eastAsia="宋体"/>
          <w:b/>
          <w:bCs/>
          <w:sz w:val="24"/>
          <w:szCs w:val="24"/>
        </w:rPr>
        <w:t xml:space="preserve">、响应文件解密</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16.1</w:t>
      </w:r>
      <w:r>
        <w:rPr>
          <w:rFonts w:hint="eastAsia" w:ascii="宋体" w:hAnsi="宋体" w:eastAsia="宋体"/>
          <w:sz w:val="24"/>
          <w:szCs w:val="24"/>
        </w:rPr>
        <w:t xml:space="preserve">供应商应当按照《操作手册》规定，在苏采云系统规定的时间内对响应文件进行解密。</w:t>
      </w:r>
      <w:r/>
    </w:p>
    <w:p>
      <w:pPr>
        <w:ind w:firstLine="241"/>
        <w:spacing w:line="360" w:lineRule="auto"/>
        <w:rPr>
          <w:rFonts w:hint="eastAsia" w:ascii="宋体" w:hAnsi="宋体" w:eastAsia="宋体"/>
          <w:b/>
          <w:bCs/>
          <w:sz w:val="24"/>
          <w:szCs w:val="24"/>
        </w:rPr>
      </w:pPr>
      <w:r/>
      <w:bookmarkStart w:id="13" w:name="_Toc16938547"/>
      <w:r/>
      <w:bookmarkStart w:id="14" w:name="_Toc20823303"/>
      <w:r/>
      <w:bookmarkStart w:id="15" w:name="_Toc513029231"/>
      <w:r>
        <w:rPr>
          <w:rFonts w:hint="eastAsia" w:ascii="宋体" w:hAnsi="宋体" w:eastAsia="宋体"/>
          <w:b/>
          <w:bCs/>
          <w:sz w:val="24"/>
          <w:szCs w:val="24"/>
          <w:lang w:val="en-US"/>
        </w:rPr>
        <w:t xml:space="preserve">17、</w:t>
      </w:r>
      <w:r>
        <w:rPr>
          <w:rFonts w:hint="eastAsia" w:ascii="宋体" w:hAnsi="宋体" w:eastAsia="宋体"/>
          <w:b/>
          <w:bCs/>
          <w:sz w:val="24"/>
          <w:szCs w:val="24"/>
        </w:rPr>
        <w:t xml:space="preserve">磋商</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.1</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将组织磋商小组对响应文件进行评审。</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.2磋商小组由采购人代表和有关技术、经济等方面的专家组成，且人员构成符合政府采购有关规定。</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.3磋商小组独立工作，负责评审所有响应文件并推荐成交候选人，或根据采购人授权直接确定成交供应商。</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18</w:t>
      </w:r>
      <w:r>
        <w:rPr>
          <w:rFonts w:hint="eastAsia" w:ascii="宋体" w:hAnsi="宋体" w:eastAsia="宋体"/>
          <w:b/>
          <w:bCs/>
          <w:sz w:val="24"/>
          <w:szCs w:val="24"/>
        </w:rPr>
        <w:t xml:space="preserve">、评审过程的保密与公正</w:t>
      </w:r>
      <w:bookmarkEnd w:id="13"/>
      <w:r/>
      <w:bookmarkEnd w:id="14"/>
      <w:r/>
      <w:bookmarkEnd w:id="15"/>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.1磋商小组、采购人和</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工作人员、相关监督人员等与评审工作有关的人员，对评审情况以及在评审过程中获悉的国家秘密、商业秘密负有保密责任。</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.2供应商不得以任何方式影响磋商评审，否则其响应文件将被作为无效响应文件。</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.3</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和磋商小组不向未成交的供应商解释未成交原因，也不公布评审过程中的相关细节。</w:t>
      </w:r>
      <w:r/>
    </w:p>
    <w:p>
      <w:pPr>
        <w:ind w:firstLine="241"/>
        <w:spacing w:line="360" w:lineRule="auto"/>
        <w:rPr>
          <w:rFonts w:hint="eastAsia" w:ascii="宋体" w:hAnsi="宋体" w:eastAsia="宋体"/>
          <w:b/>
          <w:bCs/>
          <w:sz w:val="24"/>
          <w:szCs w:val="24"/>
        </w:rPr>
      </w:pPr>
      <w:r/>
      <w:bookmarkStart w:id="16" w:name="_Toc20823304"/>
      <w:r/>
      <w:bookmarkStart w:id="17" w:name="_Toc513029232"/>
      <w:r/>
      <w:bookmarkStart w:id="18" w:name="_Toc16938548"/>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、评审过程中的澄清</w:t>
      </w:r>
      <w:bookmarkEnd w:id="16"/>
      <w:r/>
      <w:bookmarkEnd w:id="17"/>
      <w:r/>
      <w:bookmarkEnd w:id="18"/>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.1项目评审期间，磋商小组有权要求供应商对响应文件中含义不明确、同类问题表述不</w:t>
      </w:r>
      <w:r>
        <w:rPr>
          <w:rFonts w:hint="eastAsia" w:ascii="宋体" w:hAnsi="宋体" w:eastAsia="宋体"/>
          <w:sz w:val="24"/>
          <w:szCs w:val="24"/>
        </w:rPr>
        <w:t xml:space="preserve">一致或者有明显文字和计算错误的内容等作出必要的澄清、说明或者补正。</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供应商的澄清、说明或者补正不得超出响应文件的范围或者改变响应文件的实质性内容。</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磋商小组并非对每个供应商都作澄清要求。</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.3接到磋商小组澄清、说明和补正要求的供应商如未按规定做出澄清、说明和补正，其风险由供应商自行承担。</w:t>
      </w:r>
      <w:r/>
    </w:p>
    <w:p>
      <w:pPr>
        <w:ind w:firstLine="241"/>
        <w:spacing w:line="360" w:lineRule="auto"/>
        <w:rPr>
          <w:rFonts w:hint="eastAsia" w:ascii="宋体" w:hAnsi="宋体" w:eastAsia="宋体"/>
          <w:b/>
          <w:bCs/>
          <w:sz w:val="24"/>
          <w:szCs w:val="24"/>
        </w:rPr>
      </w:pPr>
      <w:r/>
      <w:bookmarkStart w:id="19" w:name="_Toc513029233"/>
      <w:r/>
      <w:bookmarkStart w:id="20" w:name="_Toc16938549"/>
      <w:r/>
      <w:bookmarkStart w:id="21" w:name="_Toc20823305"/>
      <w:r>
        <w:rPr>
          <w:rFonts w:hint="eastAsia" w:ascii="宋体" w:hAnsi="宋体" w:eastAsia="宋体"/>
          <w:b/>
          <w:bCs/>
          <w:sz w:val="24"/>
          <w:szCs w:val="24"/>
          <w:lang w:val="en-US"/>
        </w:rPr>
        <w:t xml:space="preserve">20</w:t>
      </w:r>
      <w:r>
        <w:rPr>
          <w:rFonts w:hint="eastAsia" w:ascii="宋体" w:hAnsi="宋体" w:eastAsia="宋体"/>
          <w:b/>
          <w:bCs/>
          <w:sz w:val="24"/>
          <w:szCs w:val="24"/>
        </w:rPr>
        <w:t xml:space="preserve">、响应文件的审</w:t>
      </w:r>
      <w:bookmarkEnd w:id="19"/>
      <w:r/>
      <w:bookmarkEnd w:id="20"/>
      <w:r/>
      <w:bookmarkEnd w:id="21"/>
      <w:r>
        <w:rPr>
          <w:rFonts w:hint="eastAsia" w:ascii="宋体" w:hAnsi="宋体" w:eastAsia="宋体"/>
          <w:b/>
          <w:bCs/>
          <w:sz w:val="24"/>
          <w:szCs w:val="24"/>
        </w:rPr>
        <w:t xml:space="preserve">查</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响应文件审查分为资格审查和符合性审查。</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.1资格审查</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依据法律法规和磋商文件的规定，磋商小组对响应文件中的资格证明文件进行审查，以确定供应商是否具备参加磋商的资格。</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接受联合体的项目，联合体成员存在不良信用记录的，视同联合体存在不良信用记录。</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符合性审查</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依据磋商文件的规定，由磋商小组从有效性、完整性和对磋商文件的响应程度等方面对响应文件进行审查，以确定是否对磋商文件的实质性要求作出响应。</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未通过资格审查或符合性审查的供应商，磋商小组将通过苏采云系统告知具体原因，评审结束后将不再接受有关询问。</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0.5</w:t>
      </w:r>
      <w:r>
        <w:rPr>
          <w:rFonts w:hint="eastAsia" w:ascii="宋体" w:hAnsi="宋体" w:eastAsia="宋体"/>
          <w:sz w:val="24"/>
          <w:szCs w:val="24"/>
        </w:rPr>
        <w:t xml:space="preserve">未实质性响应磋商文件的情形</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（1）供应商在苏采云系统规定的时间内未成功解密电子响应文件。</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（2）供应商未按照磋商文件要求上传电子响应文件。</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（3）同一供应商提交两个（含两个）以上不同的响应文件或者最后报价。</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（4）供应商不具备磋商文件中规定资格要求。</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（5）供应商的最后报价超过了采购预算或最高限价。</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（6）不符合磋商文件中规定的实质性要求和条件。</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（7）供应商被“信用中国”网站（www.creditchina.gov.cn）、“中国政府采购网”（www.ccgp.gov.cn）失信被执行人、重大税收违法案件当事人名单、政府采购严重违法失信行为记录名单。</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（8）响应文件含有采购人不能接受的附加条件。</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磋商小组按照本磋商文件规定对供应商进行异常低价投标审查后，认为供应商不能证明其报价合理性的。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（10）采购产品被财政部、国家发改委、生态环境部等列入“节能产品品目清单”强制采购范围，而供应商提供的产品不在强制采购范围内。</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（11）响应文件未按照磋商文件要求加盖电子公章。</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（12）法律法规及本磋商文件规定的其他无效响应的情形。</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（13）未实质性响应磋商文件的响应文件按无效响应处理。</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20.6</w:t>
      </w:r>
      <w:r>
        <w:rPr>
          <w:rFonts w:hint="eastAsia" w:ascii="宋体" w:hAnsi="宋体" w:eastAsia="宋体"/>
          <w:sz w:val="24"/>
          <w:szCs w:val="24"/>
        </w:rPr>
        <w:t xml:space="preserve">如果响应文件实质上没有响应磋商文件的要求，磋商小组将予以拒绝，供应商不得通过修改或撤销不合要求的偏离或保留而使其成为实质性响应的文件。</w:t>
      </w:r>
      <w:r/>
    </w:p>
    <w:p>
      <w:pPr>
        <w:ind w:firstLine="240"/>
        <w:spacing w:line="360" w:lineRule="auto"/>
        <w:rPr>
          <w:rFonts w:hint="eastAsia" w:ascii="宋体" w:hAnsi="宋体" w:eastAsia="宋体"/>
          <w:sz w:val="24"/>
          <w:szCs w:val="24"/>
        </w:rPr>
      </w:pPr>
      <w:r/>
      <w:bookmarkStart w:id="22" w:name="_Toc20823306"/>
      <w:r/>
      <w:bookmarkStart w:id="23" w:name="_Toc16938550"/>
      <w:r/>
      <w:bookmarkStart w:id="24" w:name="_Toc513029234"/>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7</w:t>
      </w:r>
      <w:r>
        <w:rPr>
          <w:rFonts w:hint="eastAsia" w:ascii="宋体" w:hAnsi="宋体" w:eastAsia="宋体"/>
          <w:sz w:val="24"/>
          <w:szCs w:val="24"/>
        </w:rPr>
        <w:t xml:space="preserve">供应商在项目评审全过程中应保持通讯畅通，及时登录苏采云系统查阅、答复相关信息，并安排专人与采购代理机构及磋商小组联系。</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bookmarkEnd w:id="22"/>
      <w:r/>
      <w:bookmarkEnd w:id="23"/>
      <w:r/>
      <w:bookmarkEnd w:id="24"/>
      <w:r>
        <w:rPr>
          <w:rFonts w:hint="eastAsia" w:ascii="宋体" w:hAnsi="宋体" w:eastAsia="宋体"/>
          <w:b/>
          <w:bCs/>
          <w:sz w:val="24"/>
          <w:szCs w:val="24"/>
          <w:lang w:val="en-US"/>
        </w:rPr>
        <w:t xml:space="preserve">1</w:t>
      </w:r>
      <w:r>
        <w:rPr>
          <w:rFonts w:hint="eastAsia" w:ascii="宋体" w:hAnsi="宋体" w:eastAsia="宋体"/>
          <w:b/>
          <w:bCs/>
          <w:sz w:val="24"/>
          <w:szCs w:val="24"/>
        </w:rPr>
        <w:t xml:space="preserve">、磋商程序及评审方法和评审标准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 磋商程序</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（1）磋商小组将与通过资格审查和符合性审查的供应商分别进行磋商。磋商小组通过苏采云系统向供应商发出《磋商函》，供应商应当按照要求在苏采云系统提交《磋商响应函》并加盖电子公章。</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5）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6）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（7）异常低价投标审查</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rPr>
          <w:rFonts w:ascii="宋体" w:hAnsi="宋体" w:eastAsia="宋体"/>
          <w:sz w:val="24"/>
          <w:szCs w:val="24"/>
          <w:lang w:val="en-US"/>
        </w:rPr>
        <w:t xml:space="preserve">政府采购评审中出现下列情形之一的，评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委员会应当启动异常低价投标（响应）审查程序：</w:t>
      </w:r>
      <w:r/>
    </w:p>
    <w:p>
      <w:pPr>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1.投标（响应）报价低于全部通过符合性审查供应商投标（响应）报价平均值50%的，即投标（响应）报价&lt;全部通过符合性审查供应商投标（响应）报价平均值×50%；</w:t>
      </w:r>
      <w:r/>
    </w:p>
    <w:p>
      <w:pPr>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2.投标（响应）报价低于通过符合性审查的次低报价供应商投标（响应）报价50%的，即投标（响应）报价&lt;通过符合性审查的次低报价供应商投标（响应）报价×50%；</w:t>
      </w:r>
      <w:r/>
    </w:p>
    <w:p>
      <w:pPr>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3.投标（响应）报价低于采购项目最高限价45%的，即投标（响应）报价&lt;采购项目最高限价×45%；</w:t>
      </w:r>
      <w:r/>
    </w:p>
    <w:p>
      <w:pPr>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4.评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委员会基于专业判断，认为供应商报价过低，有可能影响产品质量或者不能诚信履约的其他情形。</w:t>
      </w:r>
      <w:r/>
    </w:p>
    <w:p>
      <w:pPr>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相关法律法规对供应商报价有规定的，从其规定。</w:t>
      </w:r>
      <w:r/>
    </w:p>
    <w:p>
      <w:pPr>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w:t>
      </w:r>
      <w:r>
        <w:rPr>
          <w:rFonts w:ascii="宋体" w:hAnsi="宋体" w:eastAsia="宋体"/>
          <w:sz w:val="24"/>
          <w:szCs w:val="24"/>
          <w:lang w:val="en-US"/>
        </w:rPr>
        <w:t xml:space="preserve">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ascii="宋体" w:hAnsi="宋体" w:eastAsia="宋体"/>
          <w:sz w:val="24"/>
          <w:szCs w:val="24"/>
          <w:lang w:val="en-US"/>
        </w:rPr>
        <w:t xml:space="preserve">供应商已随投标（响应）文件一并提交相关书面说明及必要的证明材料的，在评审现场可不再重复提交。</w:t>
      </w:r>
      <w:r/>
    </w:p>
    <w:p>
      <w:pPr>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委员会应当将其作为无效投标（响应）处理。</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.2 评审方法和评审标准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（1）评审方法</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经磋商确定最终采购需求和提交最后报价的供应商后，由磋商小组采用综合评分法对提交最后报价的供应商的响应文件和最后报价进行综合评分。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）评审标准：见本磋商文件第</w:t>
      </w:r>
      <w:r>
        <w:rPr>
          <w:rFonts w:hint="eastAsia" w:ascii="宋体" w:hAnsi="宋体" w:eastAsia="宋体"/>
          <w:sz w:val="24"/>
          <w:szCs w:val="24"/>
          <w:lang w:val="en-US"/>
        </w:rPr>
        <w:t xml:space="preserve">三</w:t>
      </w:r>
      <w:r>
        <w:rPr>
          <w:rFonts w:hint="eastAsia" w:ascii="宋体" w:hAnsi="宋体" w:eastAsia="宋体"/>
          <w:sz w:val="24"/>
          <w:szCs w:val="24"/>
        </w:rPr>
        <w:t xml:space="preserve">章。</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）采购活动终止</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出现下列情形之一的，本次采购活动将被终止：</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）因情况变化，不再符合竞争性磋商采购方式适用情形。</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出现影响采购公正的违法、违规行为。</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在苏采云系统规定时间内成功解密电子响应文件的供应商不足3家。</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除本磋商文件第二章第2</w:t>
      </w:r>
      <w:r>
        <w:rPr>
          <w:rFonts w:hint="eastAsia" w:ascii="宋体" w:hAnsi="宋体" w:eastAsia="宋体"/>
          <w:sz w:val="24"/>
          <w:szCs w:val="24"/>
          <w:lang w:val="en-US"/>
        </w:rPr>
        <w:t xml:space="preserve">1</w:t>
      </w:r>
      <w:r>
        <w:rPr>
          <w:rFonts w:hint="eastAsia" w:ascii="宋体" w:hAnsi="宋体" w:eastAsia="宋体"/>
          <w:sz w:val="24"/>
          <w:szCs w:val="24"/>
        </w:rPr>
        <w:t xml:space="preserve">.1（</w:t>
      </w:r>
      <w:r>
        <w:rPr>
          <w:rFonts w:hint="eastAsia" w:ascii="宋体" w:hAnsi="宋体" w:eastAsia="宋体"/>
          <w:sz w:val="24"/>
          <w:szCs w:val="24"/>
          <w:lang w:val="en-US"/>
        </w:rPr>
        <w:t xml:space="preserve">5</w:t>
      </w:r>
      <w:r>
        <w:rPr>
          <w:rFonts w:hint="eastAsia" w:ascii="宋体" w:hAnsi="宋体" w:eastAsia="宋体"/>
          <w:sz w:val="24"/>
          <w:szCs w:val="24"/>
        </w:rPr>
        <w:t xml:space="preserve">）条第三款规定的情形外，磋商过程中符合要求的供应商或者提交最后报价且未超过采购预算（最高限价）的供应商不足3家。</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法律法规规定的其他应当终止情形。</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22</w:t>
      </w:r>
      <w:r>
        <w:rPr>
          <w:rFonts w:hint="eastAsia" w:ascii="宋体" w:hAnsi="宋体" w:eastAsia="宋体"/>
          <w:b/>
          <w:bCs/>
          <w:sz w:val="24"/>
          <w:szCs w:val="24"/>
        </w:rPr>
        <w:t xml:space="preserve">、确定成交候选供应商</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22.</w:t>
      </w:r>
      <w:r>
        <w:rPr>
          <w:rFonts w:hint="eastAsia" w:ascii="宋体" w:hAnsi="宋体" w:eastAsia="宋体"/>
          <w:sz w:val="24"/>
          <w:szCs w:val="24"/>
        </w:rPr>
        <w:t xml:space="preserve">1 成交候选供应商的确定原则和数量：</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）采用综合评分法，评标结果按评审后得分由高到低顺序排列。得分相同的，按投标报价由低到高顺序排列。得分且投标报价相同的，按“</w:t>
      </w:r>
      <w:r>
        <w:rPr>
          <w:rFonts w:hint="eastAsia" w:ascii="宋体" w:hAnsi="宋体" w:eastAsia="宋体"/>
          <w:b/>
          <w:bCs/>
          <w:sz w:val="24"/>
          <w:szCs w:val="24"/>
          <w:lang w:val="en-US"/>
        </w:rPr>
        <w:t xml:space="preserve">第三章成交标准中主观分</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总</w:t>
      </w:r>
      <w:r>
        <w:rPr>
          <w:rFonts w:hint="eastAsia" w:ascii="宋体" w:hAnsi="宋体" w:eastAsia="宋体"/>
          <w:b/>
          <w:bCs/>
          <w:sz w:val="24"/>
          <w:szCs w:val="24"/>
        </w:rPr>
        <w:t xml:space="preserve">得分由高到低顺序排列。在投标</w:t>
      </w:r>
      <w:r>
        <w:rPr>
          <w:rFonts w:hint="eastAsia" w:ascii="宋体" w:hAnsi="宋体" w:eastAsia="宋体"/>
          <w:b/>
          <w:bCs/>
          <w:sz w:val="24"/>
          <w:szCs w:val="24"/>
          <w:lang w:val="en-US"/>
        </w:rPr>
        <w:t xml:space="preserve">响应</w:t>
      </w:r>
      <w:r>
        <w:rPr>
          <w:rFonts w:hint="eastAsia" w:ascii="宋体" w:hAnsi="宋体" w:eastAsia="宋体"/>
          <w:b/>
          <w:bCs/>
          <w:sz w:val="24"/>
          <w:szCs w:val="24"/>
        </w:rPr>
        <w:t xml:space="preserve">文件满足</w:t>
      </w:r>
      <w:r>
        <w:rPr>
          <w:rFonts w:hint="eastAsia" w:ascii="宋体" w:hAnsi="宋体" w:eastAsia="宋体"/>
          <w:b/>
          <w:bCs/>
          <w:sz w:val="24"/>
          <w:szCs w:val="24"/>
          <w:lang w:val="en-US"/>
        </w:rPr>
        <w:t xml:space="preserve">磋商</w:t>
      </w:r>
      <w:r>
        <w:rPr>
          <w:rFonts w:hint="eastAsia" w:ascii="宋体" w:hAnsi="宋体" w:eastAsia="宋体"/>
          <w:b/>
          <w:bCs/>
          <w:sz w:val="24"/>
          <w:szCs w:val="24"/>
        </w:rPr>
        <w:t xml:space="preserve">文件全部实质性要求的供应商中，按照评审得分由高到低选取3名</w:t>
      </w:r>
      <w:r>
        <w:rPr>
          <w:rFonts w:hint="eastAsia" w:ascii="宋体" w:hAnsi="宋体" w:eastAsia="宋体"/>
          <w:b/>
          <w:bCs/>
          <w:sz w:val="24"/>
          <w:szCs w:val="24"/>
          <w:lang w:val="en-US"/>
        </w:rPr>
        <w:t xml:space="preserve">成交</w:t>
      </w:r>
      <w:r>
        <w:rPr>
          <w:rFonts w:hint="eastAsia" w:ascii="宋体" w:hAnsi="宋体" w:eastAsia="宋体"/>
          <w:b/>
          <w:bCs/>
          <w:sz w:val="24"/>
          <w:szCs w:val="24"/>
        </w:rPr>
        <w:t xml:space="preserve">候选人。</w:t>
      </w:r>
      <w:r/>
    </w:p>
    <w:p>
      <w:pPr>
        <w:ind w:firstLine="241"/>
        <w:spacing w:line="360" w:lineRule="auto"/>
        <w:rPr>
          <w:rFonts w:hint="eastAsia" w:ascii="宋体" w:hAnsi="宋体" w:eastAsia="宋体"/>
          <w:b/>
          <w:bCs/>
          <w:sz w:val="24"/>
          <w:szCs w:val="24"/>
          <w:lang w:val="en-US"/>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小微企业的价格扣除方法详见“第三章成交标准”。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.2 按以下第（2）种方式确定成交供应商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（1）磋商小组直接确定排名第一的成交候选供应商为成交供应商；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（2）采购人在磋商小组推荐的成交候选供应商中按顺序确定成交供应商。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按第二种方式确定成交供应商的，</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自评审结束之日起两个工作日内将评审报告送交采购人，采购人自收到评审报告之日起五个工作日内，在评审报告推荐的成交候选供应商中按顺序确定成交供应商。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.3 </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将在江苏政府采购网（http://www.ccgp-jiangsu.gov.cn）、中国政府采购网（www.ccgp.gov.cn）发布成交结果公告，公告期限为1个工作日。</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.4 若有充分证据证明成交供应商有下列情况之一的，一经查实将被取消成交资格：</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（1）提供虚假材料谋取成交。</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（2）与评审专家、采购人、其他供应商或者采购代理机构工作人员恶意串通。</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（3）向评审专家、采购人或采购代理机构工作人员行贿或者提供其他不正当利益。</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（4）不满足本磋商文件规定的实质性要求，但在评审过程中未被磋商小组发现。</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（5）成交后无正当理由拒不与采购人签订政府采购合同或者未按照磋商文件确定的事项签订政府采购合同。</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（6）擅自将合同标的转包。</w:t>
      </w:r>
      <w:r/>
    </w:p>
    <w:p>
      <w:pPr>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23</w:t>
      </w:r>
      <w:r>
        <w:rPr>
          <w:rFonts w:hint="eastAsia" w:ascii="宋体" w:hAnsi="宋体" w:eastAsia="宋体"/>
          <w:b/>
          <w:sz w:val="24"/>
          <w:szCs w:val="24"/>
        </w:rPr>
        <w:t xml:space="preserve">、成交通知书</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23.1《成交通知书》将是合同的一个组成部分，对采购人和成交供应商均具有法律效力。《成交通知书》发出后，采购人改变成交结果的，或者成交供应商放弃成交项目的，应当依法承担法律责任。</w:t>
      </w:r>
      <w:r/>
    </w:p>
    <w:p>
      <w:pPr>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24</w:t>
      </w:r>
      <w:r>
        <w:rPr>
          <w:rFonts w:hint="eastAsia" w:ascii="宋体" w:hAnsi="宋体" w:eastAsia="宋体"/>
          <w:b/>
          <w:sz w:val="24"/>
          <w:szCs w:val="24"/>
        </w:rPr>
        <w:t xml:space="preserve">、签订合同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.1成交供应商应当自成交通知书发出之日起三十日内，与采购人签订政府采购合同，所签订的合同不得对磋商文件和响应文件作实质性修改。</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.2采购人不得向成交供应商提出任何不合理的要求作为签订合同的条件，不得与成交供应商私下订立背离合同实质性内容的协议。</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.3除不可抗力等因素外，成交通知书发出后，采购人改变成交结果，或者成交供应商拒绝签订政府采购合同的，应当承担相应的法律责任。</w:t>
      </w:r>
      <w:r/>
    </w:p>
    <w:p>
      <w:pPr>
        <w:ind w:firstLine="241"/>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lang w:val="en-US"/>
        </w:rPr>
        <w:t xml:space="preserve">24</w:t>
      </w:r>
      <w:r>
        <w:rPr>
          <w:rFonts w:hint="eastAsia" w:ascii="宋体" w:hAnsi="宋体" w:eastAsia="宋体"/>
          <w:b/>
          <w:bCs/>
          <w:sz w:val="24"/>
          <w:szCs w:val="24"/>
        </w:rPr>
        <w:t xml:space="preserve">.4成交供应商除发生法律规定的不能预见、不能避免并不能克服的客观情况外不得放弃或拒绝签订合同的。放弃或拒绝签订合同的，财政部门视情将其列入不良行为名单，在一至三年内禁止参加</w:t>
      </w:r>
      <w:r>
        <w:rPr>
          <w:rFonts w:ascii="宋体" w:hAnsi="宋体" w:eastAsia="宋体"/>
          <w:b/>
          <w:bCs/>
          <w:sz w:val="24"/>
          <w:szCs w:val="24"/>
        </w:rPr>
        <w:t xml:space="preserve">江苏省应急管理厅</w:t>
      </w:r>
      <w:r>
        <w:rPr>
          <w:rFonts w:hint="eastAsia" w:ascii="宋体" w:hAnsi="宋体" w:eastAsia="宋体"/>
          <w:b/>
          <w:bCs/>
          <w:sz w:val="24"/>
          <w:szCs w:val="24"/>
        </w:rPr>
        <w:t xml:space="preserve">组织的政府采购活动，并予以通报。</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.5成交供应商拒绝签订政府采购合同的，或因不可抗力或者自身原因不能履行政府采购</w:t>
      </w:r>
      <w:r>
        <w:rPr>
          <w:rFonts w:hint="eastAsia" w:ascii="宋体" w:hAnsi="宋体" w:eastAsia="宋体"/>
          <w:sz w:val="24"/>
          <w:szCs w:val="24"/>
        </w:rPr>
        <w:t xml:space="preserve">合同的，采购人可以视情与排位在成交供应商之后第一位的成交候选供应商签订政府采购合同，也可以重新开展采购活动。</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六、询问、质疑、投诉和诚实信用</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25、</w:t>
      </w:r>
      <w:r>
        <w:rPr>
          <w:rFonts w:hint="eastAsia" w:ascii="宋体" w:hAnsi="宋体" w:eastAsia="宋体"/>
          <w:b/>
          <w:bCs/>
          <w:sz w:val="24"/>
          <w:szCs w:val="24"/>
        </w:rPr>
        <w:t xml:space="preserve">询问</w:t>
      </w:r>
      <w:r/>
    </w:p>
    <w:p>
      <w:pPr>
        <w:spacing w:line="360" w:lineRule="auto"/>
        <w:rPr>
          <w:rFonts w:hint="eastAsia" w:ascii="宋体" w:hAnsi="宋体" w:eastAsia="宋体"/>
          <w:bCs/>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25</w:t>
      </w:r>
      <w:r>
        <w:rPr>
          <w:rFonts w:hint="eastAsia" w:ascii="宋体" w:hAnsi="宋体" w:eastAsia="宋体"/>
          <w:sz w:val="24"/>
          <w:szCs w:val="24"/>
        </w:rPr>
        <w:t xml:space="preserve">.1供应商对采购活动事项有疑问的，可以依法向采购代理机构或采购人提出询问（口头或书面），采购人或者采购代理机构在三个工作日内对供应商依法提出的询问作出答复，但答复的内容不涉及商业秘密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26</w:t>
      </w:r>
      <w:r>
        <w:rPr>
          <w:rFonts w:hint="eastAsia" w:ascii="宋体" w:hAnsi="宋体" w:eastAsia="宋体"/>
          <w:b/>
          <w:bCs/>
          <w:sz w:val="24"/>
          <w:szCs w:val="24"/>
        </w:rPr>
        <w:t xml:space="preserve">、质疑</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.1供应商认为采购文件、采购过程和中标结果使自己的合法权益受到损害的，可以在知道或者应当知道其权益受到损害之日起七个工作日内，将书面质疑文件原件送达采购代理机构。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26.2 供应商的质疑行为应符合《政府采购质疑和投诉办法》（财政部令第 94 号） 相关规定，提出质疑的供应商应当是参与项目投标活动的供应商，潜在供应商已依法获取</w:t>
      </w:r>
      <w:r>
        <w:rPr>
          <w:rFonts w:ascii="宋体" w:hAnsi="宋体" w:eastAsia="宋体"/>
          <w:sz w:val="24"/>
          <w:szCs w:val="24"/>
          <w:lang w:bidi="ar"/>
        </w:rPr>
        <w:t xml:space="preserve">磋商文件</w:t>
      </w:r>
      <w:r>
        <w:rPr>
          <w:rFonts w:hint="eastAsia" w:ascii="宋体" w:hAnsi="宋体" w:eastAsia="宋体"/>
          <w:sz w:val="24"/>
          <w:szCs w:val="24"/>
          <w:lang w:val="en-US" w:bidi="ar"/>
        </w:rPr>
        <w:t xml:space="preserve">的，可以对磋商文件提出质疑。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26.3 供应商应知其权益受到损害之日，是指：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（1）对磋商文件提出质疑的，自磋商公告期限届满之日起计算；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（2）对磋商过程提出质疑的，自磋商各程序环节结束之日起计算；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（3）对成交结果提出质疑的，自成交结果公告期限届满之日起计算。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26.4供应商应在法定质疑期内一次性提出针对同一采购程序环节的质疑。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26.5 供应商提出质疑应当提交质疑函和必要的证明材料。质疑函应当包括下列内容：</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委托代理人提出的质疑，应当提交供应商签署的授权委托书。其授权委托书应当载明委托代理人的姓名或者名称、代理事项、具体权限、期限和相关事项。 </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26.6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bidi="ar"/>
        </w:rPr>
        <w:t xml:space="preserve">磋商</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8</w:t>
      </w:r>
      <w:r>
        <w:rPr>
          <w:rFonts w:hint="eastAsia" w:ascii="宋体" w:hAnsi="宋体" w:eastAsia="宋体"/>
          <w:sz w:val="24"/>
          <w:szCs w:val="24"/>
        </w:rPr>
        <w:t xml:space="preserve">质疑联系方式</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联系人：邢工，</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3</w:t>
      </w:r>
      <w:r>
        <w:rPr>
          <w:rFonts w:hint="eastAsia" w:ascii="宋体" w:hAnsi="宋体" w:eastAsia="宋体"/>
          <w:sz w:val="24"/>
          <w:szCs w:val="24"/>
        </w:rPr>
        <w:t xml:space="preserve"> </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传真：</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2</w:t>
      </w:r>
      <w:r/>
    </w:p>
    <w:p>
      <w:pPr>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27</w:t>
      </w:r>
      <w:r>
        <w:rPr>
          <w:rFonts w:hint="eastAsia" w:ascii="宋体" w:hAnsi="宋体" w:eastAsia="宋体"/>
          <w:b/>
          <w:bCs/>
          <w:sz w:val="24"/>
          <w:szCs w:val="24"/>
        </w:rPr>
        <w:t xml:space="preserve">、投诉</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27</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28</w:t>
      </w:r>
      <w:r>
        <w:rPr>
          <w:rFonts w:hint="eastAsia" w:ascii="宋体" w:hAnsi="宋体" w:eastAsia="宋体"/>
          <w:b/>
          <w:bCs/>
          <w:sz w:val="24"/>
          <w:szCs w:val="24"/>
        </w:rPr>
        <w:t xml:space="preserve">、诚实信用</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.1供应商之间不得相互串通报价，不得妨碍其他供应商的公平竞争，不得损害采购人和其他供应商的合法权益。</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.2供应商不得以向采购代理机构工作人员、磋商小组行贿或者采取其他不正当手段谋取成交。经查实供应商有此行为的，政府采购监督管理部门将供应商列入不良行为记录名单，按照政府采购法有关规定处理。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供应商不得虚假承诺，否则，按照提供虚假材料谋取成交处理。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8</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供应商应自觉遵守磋商、评审纪律，扰乱磋商、评审现场秩序的，属于失信行为，根据《江苏省政府采购供应商监督管理暂行办法》，失信行为将被记入供应商诚信档案。</w:t>
      </w:r>
      <w:r>
        <w:rPr>
          <w:rFonts w:hint="eastAsia" w:ascii="宋体" w:hAnsi="宋体" w:eastAsia="宋体"/>
          <w:sz w:val="24"/>
          <w:szCs w:val="24"/>
        </w:rPr>
      </w:r>
      <w:r/>
    </w:p>
    <w:p>
      <w:pPr>
        <w:numPr>
          <w:ilvl w:val="0"/>
          <w:numId w:val="7"/>
        </w:numPr>
        <w:jc w:val="center"/>
        <w:spacing w:line="360" w:lineRule="auto"/>
        <w:rPr>
          <w:rFonts w:hint="eastAsia" w:ascii="黑体" w:hAnsi="黑体" w:eastAsia="黑体" w:cs="黑体"/>
          <w:bCs/>
          <w:sz w:val="32"/>
          <w:szCs w:val="44"/>
        </w:rPr>
        <w:outlineLvl w:val="0"/>
      </w:pPr>
      <w:r>
        <w:rPr>
          <w:rFonts w:hint="eastAsia" w:ascii="黑体" w:hAnsi="黑体" w:eastAsia="黑体" w:cs="黑体"/>
          <w:bCs/>
          <w:sz w:val="32"/>
          <w:szCs w:val="44"/>
        </w:rPr>
        <w:t xml:space="preserve"> 成交标准</w:t>
      </w:r>
      <w:r/>
    </w:p>
    <w:p>
      <w:pPr>
        <w:pStyle w:val="830"/>
        <w:jc w:val="center"/>
        <w:spacing w:before="0" w:after="0" w:line="360" w:lineRule="auto"/>
        <w:rPr>
          <w:rFonts w:hint="eastAsia"/>
          <w:sz w:val="24"/>
        </w:rPr>
      </w:pPr>
      <w:r>
        <w:rPr>
          <w:rFonts w:hint="eastAsia"/>
          <w:sz w:val="24"/>
        </w:rPr>
        <w:t xml:space="preserve">采购包1：指挥网网络和安全运维服务</w:t>
      </w:r>
      <w:r/>
    </w:p>
    <w:tbl>
      <w:tblPr>
        <w:tblW w:w="10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40"/>
        <w:gridCol w:w="1198"/>
        <w:gridCol w:w="7535"/>
        <w:gridCol w:w="709"/>
        <w:gridCol w:w="850"/>
      </w:tblGrid>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评分</w:t>
            </w:r>
            <w:r/>
          </w:p>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因素</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评分</w:t>
            </w:r>
            <w:r/>
          </w:p>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类型</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10932"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一、价格部分（10分）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价格</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105"/>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采用低价优先法计算，即满足磋商文件要求且最终投标价格最低的投标报价为评标基准价，其价格分为满分。</w:t>
            </w:r>
            <w:r/>
          </w:p>
          <w:p>
            <w:pPr>
              <w:ind w:firstLine="105"/>
              <w:jc w:val="left"/>
              <w:spacing w:line="360" w:lineRule="auto"/>
              <w:widowControl/>
              <w:rPr>
                <w:rFonts w:hint="eastAsia" w:ascii="宋体" w:hAnsi="宋体" w:eastAsia="宋体"/>
                <w:b/>
                <w:sz w:val="21"/>
                <w:szCs w:val="21"/>
              </w:rPr>
            </w:pPr>
            <w:r>
              <w:rPr>
                <w:rFonts w:hint="eastAsia" w:ascii="宋体" w:hAnsi="宋体" w:eastAsia="宋体"/>
                <w:color w:val="000000"/>
                <w:sz w:val="21"/>
                <w:szCs w:val="21"/>
                <w:lang w:bidi="ar"/>
              </w:rPr>
              <w:t xml:space="preserve">其他供应商的价格分统一按照下列公式计算：投标报价得分=（评标基准价/投标报价）×10（小数点保留两位）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价格分</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10932"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二、技术部分（</w:t>
            </w:r>
            <w:r>
              <w:rPr>
                <w:rFonts w:hint="eastAsia" w:ascii="宋体" w:hAnsi="宋体" w:eastAsia="宋体"/>
                <w:b/>
                <w:sz w:val="21"/>
                <w:szCs w:val="21"/>
              </w:rPr>
              <w:t xml:space="preserve">59</w:t>
            </w:r>
            <w:r>
              <w:rPr>
                <w:rFonts w:hint="eastAsia" w:ascii="宋体" w:hAnsi="宋体" w:eastAsia="宋体"/>
                <w:b/>
                <w:sz w:val="21"/>
                <w:szCs w:val="21"/>
              </w:rPr>
              <w:t xml:space="preserve">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b/>
                <w:bCs/>
                <w:sz w:val="21"/>
                <w:szCs w:val="21"/>
              </w:rPr>
            </w:pPr>
            <w:r>
              <w:rPr>
                <w:rFonts w:ascii="宋体" w:hAnsi="宋体" w:eastAsia="宋体"/>
                <w:b/>
                <w:bCs/>
                <w:color w:val="000000"/>
                <w:sz w:val="21"/>
                <w:szCs w:val="21"/>
                <w:lang w:val="en-US" w:bidi="ar"/>
              </w:rPr>
              <w:t xml:space="preserve">技术参数响应</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105"/>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bidi="ar"/>
              </w:rPr>
              <w:t xml:space="preserve">第四章采购项目需求中标记“</w:t>
            </w:r>
            <w:r>
              <w:rPr>
                <w:rFonts w:ascii="宋体" w:hAnsi="宋体" w:eastAsia="宋体"/>
                <w:color w:val="000000"/>
                <w:sz w:val="21"/>
                <w:szCs w:val="21"/>
                <w:lang w:bidi="ar"/>
              </w:rPr>
              <w:t xml:space="preserve">▲</w:t>
            </w:r>
            <w:r>
              <w:rPr>
                <w:rFonts w:hint="eastAsia" w:ascii="宋体" w:hAnsi="宋体" w:eastAsia="宋体"/>
                <w:color w:val="000000"/>
                <w:sz w:val="21"/>
                <w:szCs w:val="21"/>
                <w:lang w:bidi="ar"/>
              </w:rPr>
              <w:t xml:space="preserve">”的条款为关键指标，每有一项满足得2分，该项满分10分。（供应商需提供承诺函）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cs="Times New Roman"/>
                <w:b/>
                <w:sz w:val="21"/>
                <w:szCs w:val="21"/>
              </w:rPr>
              <w:t xml:space="preserve">1</w:t>
            </w:r>
            <w:r>
              <w:rPr>
                <w:rFonts w:hint="eastAsia" w:ascii="宋体" w:hAnsi="宋体" w:eastAsia="宋体" w:cs="Times New Roman"/>
                <w:b/>
                <w:sz w:val="21"/>
                <w:szCs w:val="21"/>
                <w:lang w:val="en-US"/>
              </w:rPr>
              <w:t xml:space="preserve">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b/>
                <w:bCs/>
                <w:color w:val="000000"/>
                <w:sz w:val="21"/>
                <w:szCs w:val="21"/>
                <w:lang w:bidi="ar"/>
              </w:rPr>
            </w:pPr>
            <w:r>
              <w:rPr>
                <w:rFonts w:hint="eastAsia" w:ascii="宋体" w:hAnsi="宋体" w:eastAsia="宋体"/>
                <w:b/>
                <w:bCs/>
                <w:color w:val="000000"/>
                <w:sz w:val="21"/>
                <w:szCs w:val="21"/>
                <w:lang w:bidi="ar"/>
              </w:rPr>
              <w:t xml:space="preserve">现状和需求分析</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现状和需求分析</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评委根据响应文件对磋商文件采购需求中 “现状和需求分析”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（1）响应文件未符合 “现状和需求分析”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（2）响应文件符合 “现状和需求分析” 中全部条款要求的，视为符合磋商文件，本项得 3 分。</w:t>
            </w:r>
            <w:r/>
          </w:p>
          <w:p>
            <w:pPr>
              <w:ind w:firstLine="210"/>
              <w:jc w:val="left"/>
              <w:spacing w:line="360" w:lineRule="auto"/>
              <w:rPr>
                <w:rFonts w:hint="eastAsia" w:ascii="宋体" w:hAnsi="宋体" w:eastAsia="宋体"/>
                <w:sz w:val="21"/>
                <w:szCs w:val="21"/>
                <w:lang w:val="en-US"/>
              </w:rPr>
            </w:pPr>
            <w:r>
              <w:rPr>
                <w:rFonts w:hint="eastAsia" w:ascii="宋体" w:hAnsi="宋体" w:eastAsia="宋体"/>
                <w:color w:val="000000"/>
                <w:sz w:val="21"/>
                <w:szCs w:val="21"/>
                <w:lang w:bidi="ar"/>
              </w:rPr>
              <w:t xml:space="preserve">（3）响应文件对 “现状和需求分析” 中的难点分析、需求梳理内容响应详实、分析深入，整体响应内容优于磋商文件要求的（前提是响应文件其余响应内容全部符合磋商文件要求），本项得 5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cs="Times New Roman"/>
                <w:b/>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b/>
                <w:bCs/>
                <w:color w:val="000000"/>
                <w:sz w:val="21"/>
                <w:szCs w:val="21"/>
                <w:lang w:bidi="ar"/>
              </w:rPr>
            </w:pPr>
            <w:r>
              <w:rPr>
                <w:rFonts w:hint="eastAsia" w:ascii="宋体" w:hAnsi="宋体" w:eastAsia="宋体"/>
                <w:b/>
                <w:bCs/>
                <w:color w:val="000000"/>
                <w:sz w:val="21"/>
                <w:szCs w:val="21"/>
                <w:lang w:bidi="ar"/>
              </w:rPr>
              <w:t xml:space="preserve">驻场运维服务方案</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驻场运维服务方案</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评委根据响应文件对磋商文件采购需求中 “驻场运维服务方案”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（1）响应文件未符合 “驻场运维服务方案”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（2）响应文件符合 “驻场运维服务方案” 中全部条款要求的，视为符合磋商文件，本项得 </w:t>
            </w:r>
            <w:r>
              <w:rPr>
                <w:rFonts w:hint="eastAsia" w:ascii="宋体" w:hAnsi="宋体" w:eastAsia="宋体"/>
                <w:color w:val="000000"/>
                <w:sz w:val="21"/>
                <w:szCs w:val="21"/>
                <w:lang w:bidi="ar"/>
              </w:rPr>
              <w:t xml:space="preserve">5</w:t>
            </w:r>
            <w:r>
              <w:rPr>
                <w:rFonts w:hint="eastAsia" w:ascii="宋体" w:hAnsi="宋体" w:eastAsia="宋体"/>
                <w:color w:val="000000"/>
                <w:sz w:val="21"/>
                <w:szCs w:val="21"/>
                <w:lang w:bidi="ar"/>
              </w:rPr>
              <w:t xml:space="preserve"> 分。</w:t>
            </w:r>
            <w:r/>
          </w:p>
          <w:p>
            <w:pPr>
              <w:ind w:firstLine="210"/>
              <w:jc w:val="left"/>
              <w:spacing w:line="360" w:lineRule="auto"/>
              <w:rPr>
                <w:rFonts w:hint="eastAsia" w:ascii="宋体" w:hAnsi="宋体" w:eastAsia="宋体" w:cs="Times New Roman"/>
                <w:sz w:val="21"/>
                <w:szCs w:val="21"/>
              </w:rPr>
            </w:pPr>
            <w:r>
              <w:rPr>
                <w:rFonts w:hint="eastAsia" w:ascii="宋体" w:hAnsi="宋体" w:eastAsia="宋体"/>
                <w:color w:val="000000"/>
                <w:sz w:val="21"/>
                <w:szCs w:val="21"/>
                <w:lang w:bidi="ar"/>
              </w:rPr>
              <w:t xml:space="preserve">（3）响应文件对驻场人员配置、人员能力、工作清单、成果产出等核心内容响应全面细化、方案可落地性强，整体优于磋商文件要求的（前提是响应文件其余响应内容全部符合磋商文件要求），本项得 </w:t>
            </w:r>
            <w:r>
              <w:rPr>
                <w:rFonts w:hint="eastAsia" w:ascii="宋体" w:hAnsi="宋体" w:eastAsia="宋体"/>
                <w:color w:val="000000"/>
                <w:sz w:val="21"/>
                <w:szCs w:val="21"/>
                <w:lang w:bidi="ar"/>
              </w:rPr>
              <w:t xml:space="preserve">10</w:t>
            </w:r>
            <w:r>
              <w:rPr>
                <w:rFonts w:hint="eastAsia" w:ascii="宋体" w:hAnsi="宋体" w:eastAsia="宋体"/>
                <w:color w:val="000000"/>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巡检方案</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巡检方案</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评委根据响应文件对磋商文件采购需求中 “巡检方案”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（1）响应文件未符合 “巡检方案”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（2）响应文件符合 “巡检方案” 中全部条款要求的，视为符合磋商文件，本项得 </w:t>
            </w:r>
            <w:r>
              <w:rPr>
                <w:rFonts w:hint="eastAsia" w:ascii="宋体" w:hAnsi="宋体" w:eastAsia="宋体"/>
                <w:color w:val="000000"/>
                <w:sz w:val="21"/>
                <w:szCs w:val="21"/>
                <w:lang w:bidi="ar"/>
              </w:rPr>
              <w:t xml:space="preserve">4</w:t>
            </w:r>
            <w:r>
              <w:rPr>
                <w:rFonts w:hint="eastAsia" w:ascii="宋体" w:hAnsi="宋体" w:eastAsia="宋体"/>
                <w:color w:val="000000"/>
                <w:sz w:val="21"/>
                <w:szCs w:val="21"/>
                <w:lang w:bidi="ar"/>
              </w:rPr>
              <w:t xml:space="preserve"> 分。</w:t>
            </w:r>
            <w:r/>
          </w:p>
          <w:p>
            <w:pPr>
              <w:ind w:firstLine="210"/>
              <w:jc w:val="left"/>
              <w:spacing w:line="360" w:lineRule="auto"/>
              <w:rPr>
                <w:rFonts w:hint="eastAsia" w:ascii="宋体" w:hAnsi="宋体" w:eastAsia="宋体" w:cs="Times New Roman"/>
                <w:sz w:val="21"/>
                <w:szCs w:val="21"/>
              </w:rPr>
            </w:pPr>
            <w:r>
              <w:rPr>
                <w:rFonts w:hint="eastAsia" w:ascii="宋体" w:hAnsi="宋体" w:eastAsia="宋体"/>
                <w:color w:val="000000"/>
                <w:sz w:val="21"/>
                <w:szCs w:val="21"/>
                <w:lang w:bidi="ar"/>
              </w:rPr>
              <w:t xml:space="preserve">（3）响应文件对巡检计划、人员安排、巡检频率、巡检内容等核心内容规划细致、流程完善、闭环性强，整体响应内容优于磋商文件要求的（前提是响应文件其余响应内容全部符合磋商文件要求），本项得 </w:t>
            </w:r>
            <w:r>
              <w:rPr>
                <w:rFonts w:hint="eastAsia" w:ascii="宋体" w:hAnsi="宋体" w:eastAsia="宋体"/>
                <w:color w:val="000000"/>
                <w:sz w:val="21"/>
                <w:szCs w:val="21"/>
                <w:lang w:bidi="ar"/>
              </w:rPr>
              <w:t xml:space="preserve">7</w:t>
            </w:r>
            <w:r>
              <w:rPr>
                <w:rFonts w:hint="eastAsia" w:ascii="宋体" w:hAnsi="宋体" w:eastAsia="宋体"/>
                <w:color w:val="000000"/>
                <w:sz w:val="21"/>
                <w:szCs w:val="21"/>
                <w:lang w:bidi="ar"/>
              </w:rPr>
              <w:t xml:space="preserve">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b/>
                <w:bCs/>
                <w:color w:val="000000"/>
                <w:sz w:val="21"/>
                <w:szCs w:val="21"/>
                <w:lang w:bidi="ar"/>
              </w:rPr>
            </w:pPr>
            <w:r>
              <w:rPr>
                <w:rFonts w:hint="eastAsia" w:ascii="宋体" w:hAnsi="宋体" w:eastAsia="宋体"/>
                <w:b/>
                <w:bCs/>
                <w:color w:val="000000"/>
                <w:sz w:val="21"/>
                <w:szCs w:val="21"/>
                <w:lang w:bidi="ar"/>
              </w:rPr>
              <w:t xml:space="preserve">质保延期服务方案</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质保延期服务方案</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评委根据响应文件对磋商文件采购需求中 “质保延期服务方案”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（1）响应文件未符合 “质保延期服务方案”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（2）响应文件符合 “质保延期服务方案” 中全部条款要求的，视为符合磋商文件，本项得 </w:t>
            </w:r>
            <w:r>
              <w:rPr>
                <w:rFonts w:hint="eastAsia" w:ascii="宋体" w:hAnsi="宋体" w:eastAsia="宋体"/>
                <w:color w:val="000000"/>
                <w:sz w:val="21"/>
                <w:szCs w:val="21"/>
                <w:lang w:bidi="ar"/>
              </w:rPr>
              <w:t xml:space="preserve">4</w:t>
            </w:r>
            <w:r>
              <w:rPr>
                <w:rFonts w:hint="eastAsia" w:ascii="宋体" w:hAnsi="宋体" w:eastAsia="宋体"/>
                <w:color w:val="000000"/>
                <w:sz w:val="21"/>
                <w:szCs w:val="21"/>
                <w:lang w:bidi="ar"/>
              </w:rPr>
              <w:t xml:space="preserve"> 分。</w:t>
            </w:r>
            <w:r/>
          </w:p>
          <w:p>
            <w:pPr>
              <w:ind w:firstLine="210"/>
              <w:jc w:val="left"/>
              <w:spacing w:line="360" w:lineRule="auto"/>
              <w:rPr>
                <w:rFonts w:hint="eastAsia" w:ascii="宋体" w:hAnsi="宋体" w:eastAsia="宋体" w:cs="Times New Roman"/>
                <w:sz w:val="21"/>
                <w:szCs w:val="21"/>
              </w:rPr>
            </w:pPr>
            <w:r>
              <w:rPr>
                <w:rFonts w:hint="eastAsia" w:ascii="宋体" w:hAnsi="宋体" w:eastAsia="宋体"/>
                <w:color w:val="000000"/>
                <w:sz w:val="21"/>
                <w:szCs w:val="21"/>
                <w:lang w:bidi="ar"/>
              </w:rPr>
              <w:t xml:space="preserve">（3）响应文件对质保延期范围、服务标准、技术支撑、故障保障等内容规划全面、保障机制完善，整体响应内容优于磋商文件要求的（前提是响应文件其余响应内容全部符合磋商文件要求），本项得 </w:t>
            </w:r>
            <w:r>
              <w:rPr>
                <w:rFonts w:hint="eastAsia" w:ascii="宋体" w:hAnsi="宋体" w:eastAsia="宋体"/>
                <w:color w:val="000000"/>
                <w:sz w:val="21"/>
                <w:szCs w:val="21"/>
                <w:lang w:bidi="ar"/>
              </w:rPr>
              <w:t xml:space="preserve">7</w:t>
            </w:r>
            <w:r>
              <w:rPr>
                <w:rFonts w:hint="eastAsia" w:ascii="宋体" w:hAnsi="宋体" w:eastAsia="宋体"/>
                <w:color w:val="000000"/>
                <w:sz w:val="21"/>
                <w:szCs w:val="21"/>
                <w:lang w:bidi="ar"/>
              </w:rPr>
              <w:t xml:space="preserve">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lang w:val="en-US"/>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lang w:val="en-US"/>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b/>
                <w:bCs/>
                <w:color w:val="000000"/>
                <w:sz w:val="21"/>
                <w:szCs w:val="21"/>
                <w:lang w:bidi="ar"/>
              </w:rPr>
            </w:pPr>
            <w:r>
              <w:rPr>
                <w:rFonts w:hint="eastAsia" w:ascii="宋体" w:hAnsi="宋体" w:eastAsia="宋体"/>
                <w:b/>
                <w:bCs/>
                <w:color w:val="000000"/>
                <w:sz w:val="21"/>
                <w:szCs w:val="21"/>
                <w:lang w:bidi="ar"/>
              </w:rPr>
              <w:t xml:space="preserve">网络安全日志大模型分析服务方案</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网络安全日志大模型分析服务方案</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评委根据响应文件对磋商文件采购需求中 “网络安全日志大模型分析服务方案”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（1）响应文件未符合 “网络安全日志大模型分析服务方案”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（2）响应文件符合 “网络安全日志大模型分析服务方案” 中全部条款要求的，视为符合磋商文件，本项得 3 分。</w:t>
            </w:r>
            <w:r/>
          </w:p>
          <w:p>
            <w:pPr>
              <w:ind w:firstLine="210"/>
              <w:jc w:val="left"/>
              <w:spacing w:line="360" w:lineRule="auto"/>
              <w:rPr>
                <w:rFonts w:hint="eastAsia" w:ascii="宋体" w:hAnsi="宋体" w:eastAsia="宋体" w:cs="Times New Roman"/>
                <w:sz w:val="21"/>
                <w:szCs w:val="21"/>
              </w:rPr>
            </w:pPr>
            <w:r>
              <w:rPr>
                <w:rFonts w:ascii="宋体" w:hAnsi="宋体" w:eastAsia="宋体"/>
                <w:color w:val="000000"/>
                <w:sz w:val="21"/>
                <w:szCs w:val="21"/>
                <w:lang w:bidi="ar"/>
              </w:rPr>
              <w:t xml:space="preserve">（3）响应文件对性能配置、部署方案、预期效果等核心内容设计科学、贴合项目实际、技术方案先进，整体响应内容优于磋商文件要求的（前提是响应文件其余响应内容全部符合磋商文件要求），本项得 5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项目实施方案</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项目实施方案</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评委根据响应文件对磋商文件采购需求中 “项目实施方案”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（1）响应文件未符合 “项目实施方案”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（2）响应文件符合 “项目实施方案” 中全部条款要求的，视为符合磋商文件，本项得 3 分。</w:t>
            </w:r>
            <w:r/>
          </w:p>
          <w:p>
            <w:pPr>
              <w:ind w:firstLine="210"/>
              <w:jc w:val="left"/>
              <w:spacing w:line="360" w:lineRule="auto"/>
              <w:rPr>
                <w:rFonts w:hint="eastAsia" w:ascii="宋体" w:hAnsi="宋体" w:eastAsia="宋体" w:cs="Times New Roman"/>
                <w:sz w:val="21"/>
                <w:szCs w:val="21"/>
              </w:rPr>
            </w:pPr>
            <w:r>
              <w:rPr>
                <w:rFonts w:hint="eastAsia" w:ascii="宋体" w:hAnsi="宋体" w:eastAsia="宋体"/>
                <w:color w:val="000000"/>
                <w:sz w:val="21"/>
                <w:szCs w:val="21"/>
                <w:lang w:bidi="ar"/>
              </w:rPr>
              <w:t xml:space="preserve">（3）响应文件对项目组织、进度、变更、风险、验收等实施体系规划完善、落地性强、管控机制健全，整体响应内容优于磋商文件要求的（前提是响应文件其余响应内容全部符合磋商文件要求），本项得 5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售后服务方案</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评委根据响应文件对磋商文件采购需求中 “售后服务方案”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（1）响应文件未符合 “售后服务方案”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（2）响应文件符合 “售后服务方案” 中全部条款要求的，视为符合磋商文件，本项得 3 分。</w:t>
            </w:r>
            <w:r/>
          </w:p>
          <w:p>
            <w:pPr>
              <w:ind w:firstLine="210"/>
              <w:jc w:val="left"/>
              <w:spacing w:line="360" w:lineRule="auto"/>
              <w:rPr>
                <w:rFonts w:hint="eastAsia" w:ascii="宋体" w:hAnsi="宋体" w:eastAsia="宋体" w:cs="Times New Roman"/>
                <w:sz w:val="21"/>
                <w:szCs w:val="21"/>
              </w:rPr>
            </w:pPr>
            <w:r>
              <w:rPr>
                <w:rFonts w:hint="eastAsia" w:ascii="宋体" w:hAnsi="宋体" w:eastAsia="宋体"/>
                <w:color w:val="000000"/>
                <w:sz w:val="21"/>
                <w:szCs w:val="21"/>
                <w:lang w:bidi="ar"/>
              </w:rPr>
              <w:t xml:space="preserve">（3）响应文件对服务体系、响应机制、故障保障、巡检及容灾保障等内容完善详实、保障能力突出，整体响应内容优于磋商文件要求的（前提是响应文件其余响应内容全部符合磋商文件要求），本项得 5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lang w:val="en-US"/>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lang w:val="en-US"/>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培训服务方案</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培训服务方案</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评委根据响应文件对磋商文件采购需求中 “培训服务方案”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（1）响应文件未符合 “培训服务方案”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（2）响应文件符合 “培训服务方案” 中全部条款要求的，视为符合磋商文件，本项得 3 分。</w:t>
            </w:r>
            <w:r/>
          </w:p>
          <w:p>
            <w:pPr>
              <w:ind w:firstLine="210"/>
              <w:jc w:val="left"/>
              <w:spacing w:line="360" w:lineRule="auto"/>
              <w:rPr>
                <w:rFonts w:hint="eastAsia" w:ascii="宋体" w:hAnsi="宋体" w:eastAsia="宋体" w:cs="Times New Roman"/>
                <w:sz w:val="21"/>
                <w:szCs w:val="21"/>
              </w:rPr>
            </w:pPr>
            <w:r>
              <w:rPr>
                <w:rFonts w:hint="eastAsia" w:ascii="宋体" w:hAnsi="宋体" w:eastAsia="宋体"/>
                <w:color w:val="000000"/>
                <w:sz w:val="21"/>
                <w:szCs w:val="21"/>
                <w:lang w:bidi="ar"/>
              </w:rPr>
              <w:t xml:space="preserve">（3）响应文件对培训目标、培训内容、培训计划、效果评估等内容分层细化、体系完善、考核机制健全，整体响应内容优于磋商文件要求的（前提是响应文件其余响应内容全部符合磋商文件要求），本项得 5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lang w:val="en-US"/>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lang w:val="en-US"/>
              </w:rPr>
            </w:pPr>
            <w:r>
              <w:rPr>
                <w:rFonts w:hint="eastAsia" w:ascii="宋体" w:hAnsi="宋体" w:eastAsia="宋体" w:cs="Times New Roman"/>
                <w:b/>
                <w:sz w:val="21"/>
                <w:szCs w:val="21"/>
              </w:rPr>
              <w:t xml:space="preserve">主观分</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10932"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三、商务部分（</w:t>
            </w:r>
            <w:r>
              <w:rPr>
                <w:rFonts w:hint="eastAsia" w:ascii="宋体" w:hAnsi="宋体" w:eastAsia="宋体"/>
                <w:b/>
                <w:sz w:val="21"/>
                <w:szCs w:val="21"/>
              </w:rPr>
              <w:t xml:space="preserve">31</w:t>
            </w:r>
            <w:r>
              <w:rPr>
                <w:rFonts w:hint="eastAsia" w:ascii="宋体" w:hAnsi="宋体" w:eastAsia="宋体"/>
                <w:b/>
                <w:sz w:val="21"/>
                <w:szCs w:val="21"/>
              </w:rPr>
              <w:t xml:space="preserve">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hint="eastAsia" w:ascii="宋体" w:hAnsi="宋体" w:eastAsia="宋体"/>
                <w:b/>
                <w:bCs/>
                <w:color w:val="000000"/>
                <w:sz w:val="21"/>
                <w:szCs w:val="21"/>
                <w:lang w:bidi="ar"/>
              </w:rPr>
              <w:t xml:space="preserve">项目团队负责人</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210"/>
              <w:jc w:val="left"/>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项目团队负责人。</w:t>
            </w:r>
            <w:r/>
          </w:p>
          <w:p>
            <w:pPr>
              <w:ind w:firstLine="210"/>
              <w:jc w:val="left"/>
              <w:spacing w:line="360" w:lineRule="auto"/>
              <w:rPr>
                <w:rFonts w:hint="eastAsia" w:ascii="宋体" w:hAnsi="宋体" w:eastAsia="宋体" w:cs="等线"/>
                <w:sz w:val="21"/>
                <w:szCs w:val="21"/>
                <w:lang w:val="en-US" w:bidi="ar"/>
              </w:rPr>
            </w:pPr>
            <w:r>
              <w:rPr>
                <w:rFonts w:hint="eastAsia" w:ascii="宋体" w:hAnsi="宋体" w:eastAsia="宋体"/>
                <w:color w:val="000000"/>
                <w:sz w:val="21"/>
                <w:szCs w:val="21"/>
                <w:lang w:bidi="ar"/>
              </w:rPr>
              <w:t xml:space="preserve">供应商拟投入本项目的项目团队负责人具有正</w:t>
            </w:r>
            <w:bookmarkStart w:id="25" w:name="OLE_LINK23"/>
            <w:r>
              <w:rPr>
                <w:rFonts w:hint="eastAsia" w:ascii="宋体" w:hAnsi="宋体" w:eastAsia="宋体"/>
                <w:color w:val="000000"/>
                <w:sz w:val="21"/>
                <w:szCs w:val="21"/>
                <w:lang w:bidi="ar"/>
              </w:rPr>
              <w:t xml:space="preserve">高级工程师职称证书、信息系统项目管理师证书、CISAW信息安全保障人员认证证书的</w:t>
            </w:r>
            <w:bookmarkEnd w:id="25"/>
            <w:r>
              <w:rPr>
                <w:rFonts w:hint="eastAsia" w:ascii="宋体" w:hAnsi="宋体" w:eastAsia="宋体"/>
                <w:color w:val="000000"/>
                <w:sz w:val="21"/>
                <w:szCs w:val="21"/>
                <w:lang w:bidi="ar"/>
              </w:rPr>
              <w:t xml:space="preserve">，有1个得2分，满分6分。提供证书以及供应商近3个月任意一月为其缴纳社保的证明，扫描上传。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hint="eastAsia" w:ascii="宋体" w:hAnsi="宋体" w:eastAsia="宋体"/>
                <w:b/>
                <w:bCs/>
                <w:color w:val="000000"/>
                <w:sz w:val="21"/>
                <w:szCs w:val="21"/>
                <w:lang w:bidi="ar"/>
              </w:rPr>
              <w:t xml:space="preserve">技术团队负责人</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210"/>
              <w:jc w:val="left"/>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技术团队负责人。</w:t>
            </w:r>
            <w:r/>
          </w:p>
          <w:p>
            <w:pPr>
              <w:ind w:firstLine="210"/>
              <w:jc w:val="left"/>
              <w:spacing w:line="360" w:lineRule="auto"/>
              <w:rPr>
                <w:rFonts w:hint="eastAsia" w:ascii="宋体" w:hAnsi="宋体" w:eastAsia="宋体" w:cs="等线"/>
                <w:sz w:val="21"/>
                <w:szCs w:val="21"/>
                <w:lang w:val="en-US" w:bidi="ar"/>
              </w:rPr>
            </w:pPr>
            <w:r>
              <w:rPr>
                <w:rFonts w:hint="eastAsia" w:ascii="宋体" w:hAnsi="宋体" w:eastAsia="宋体"/>
                <w:color w:val="000000"/>
                <w:sz w:val="21"/>
                <w:szCs w:val="21"/>
                <w:lang w:bidi="ar"/>
              </w:rPr>
              <w:t xml:space="preserve">供应商拟投入本项目的技术负责人具有高级工程师职称证书、高级系统架构设计师证书、注册信息安全专业人员（CISP）证书的，有1个得2分，满分6分。提供证书以及供应商近3个月任意一月为其缴纳社保的证明，扫描上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color w:val="000000"/>
                <w:sz w:val="21"/>
                <w:szCs w:val="21"/>
              </w:rPr>
            </w:pPr>
            <w:r>
              <w:rPr>
                <w:rFonts w:hint="eastAsia" w:ascii="宋体" w:hAnsi="宋体" w:eastAsia="宋体" w:cs="Times New Roman"/>
                <w:b/>
                <w:sz w:val="21"/>
                <w:szCs w:val="21"/>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hint="eastAsia" w:ascii="宋体" w:hAnsi="宋体" w:eastAsia="宋体"/>
                <w:b/>
                <w:bCs/>
                <w:color w:val="000000"/>
                <w:sz w:val="21"/>
                <w:szCs w:val="21"/>
                <w:lang w:bidi="ar"/>
              </w:rPr>
              <w:t xml:space="preserve">安全团队负责人</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210"/>
              <w:jc w:val="left"/>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安全团队负责人。</w:t>
            </w:r>
            <w:r/>
          </w:p>
          <w:p>
            <w:pPr>
              <w:ind w:firstLine="210"/>
              <w:jc w:val="left"/>
              <w:spacing w:line="360" w:lineRule="auto"/>
              <w:rPr>
                <w:rFonts w:hint="eastAsia" w:ascii="宋体" w:hAnsi="宋体" w:eastAsia="宋体" w:cs="等线"/>
                <w:sz w:val="21"/>
                <w:szCs w:val="21"/>
                <w:lang w:val="en-US" w:bidi="ar"/>
              </w:rPr>
            </w:pPr>
            <w:r>
              <w:rPr>
                <w:rFonts w:hint="eastAsia" w:ascii="宋体" w:hAnsi="宋体" w:eastAsia="宋体"/>
                <w:color w:val="000000"/>
                <w:sz w:val="21"/>
                <w:szCs w:val="21"/>
                <w:lang w:bidi="ar"/>
              </w:rPr>
              <w:t xml:space="preserve">供应商拟投入本项目的安全负责人具有</w:t>
            </w:r>
            <w:bookmarkStart w:id="26" w:name="OLE_LINK8"/>
            <w:r/>
            <w:bookmarkStart w:id="27" w:name="OLE_LINK11"/>
            <w:r>
              <w:rPr>
                <w:rFonts w:hint="eastAsia" w:ascii="宋体" w:hAnsi="宋体" w:eastAsia="宋体"/>
                <w:color w:val="000000"/>
                <w:sz w:val="21"/>
                <w:szCs w:val="21"/>
                <w:lang w:bidi="ar"/>
              </w:rPr>
              <w:t xml:space="preserve">注册数据安全治理专业人员</w:t>
            </w:r>
            <w:bookmarkEnd w:id="26"/>
            <w:r>
              <w:rPr>
                <w:rFonts w:hint="eastAsia" w:ascii="宋体" w:hAnsi="宋体" w:eastAsia="宋体"/>
                <w:color w:val="000000"/>
                <w:sz w:val="21"/>
                <w:szCs w:val="21"/>
                <w:lang w:bidi="ar"/>
              </w:rPr>
              <w:t xml:space="preserve">（CISP-DSG）证书</w:t>
            </w:r>
            <w:bookmarkEnd w:id="27"/>
            <w:r>
              <w:rPr>
                <w:rFonts w:hint="eastAsia" w:ascii="宋体" w:hAnsi="宋体" w:eastAsia="宋体"/>
                <w:color w:val="000000"/>
                <w:sz w:val="21"/>
                <w:szCs w:val="21"/>
                <w:lang w:bidi="ar"/>
              </w:rPr>
              <w:t xml:space="preserve">、</w:t>
            </w:r>
            <w:bookmarkStart w:id="28" w:name="OLE_LINK34"/>
            <w:r/>
            <w:bookmarkStart w:id="29" w:name="OLE_LINK17"/>
            <w:r>
              <w:rPr>
                <w:rFonts w:hint="eastAsia" w:ascii="宋体" w:hAnsi="宋体" w:eastAsia="宋体"/>
                <w:color w:val="000000"/>
                <w:sz w:val="21"/>
                <w:szCs w:val="21"/>
                <w:lang w:bidi="ar"/>
              </w:rPr>
              <w:t xml:space="preserve">网络安全能力认证CCSC-网络安全技术</w:t>
            </w:r>
            <w:bookmarkEnd w:id="28"/>
            <w:r>
              <w:rPr>
                <w:rFonts w:hint="eastAsia" w:ascii="宋体" w:hAnsi="宋体" w:eastAsia="宋体"/>
                <w:color w:val="000000"/>
                <w:sz w:val="21"/>
                <w:szCs w:val="21"/>
                <w:lang w:bidi="ar"/>
              </w:rPr>
              <w:t xml:space="preserve">(I级及以上)</w:t>
            </w:r>
            <w:bookmarkEnd w:id="29"/>
            <w:r>
              <w:rPr>
                <w:rFonts w:hint="eastAsia" w:ascii="宋体" w:hAnsi="宋体" w:eastAsia="宋体"/>
                <w:color w:val="000000"/>
                <w:sz w:val="21"/>
                <w:szCs w:val="21"/>
                <w:lang w:bidi="ar"/>
              </w:rPr>
              <w:t xml:space="preserve">、CCRC-DSO数据安全官证书、CISAW信息安全保障人员认证证书的，每提供其中一个证书得1.5分，本项最高得6分，不提供得0分。提供证书以及供应商近3个月任意一月为其缴纳社保的证明，扫描上传。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color w:val="000000"/>
                <w:sz w:val="21"/>
                <w:szCs w:val="21"/>
              </w:rPr>
            </w:pPr>
            <w:r>
              <w:rPr>
                <w:rFonts w:hint="eastAsia" w:ascii="宋体" w:hAnsi="宋体" w:eastAsia="宋体"/>
                <w:b/>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hint="eastAsia" w:ascii="宋体" w:hAnsi="宋体" w:eastAsia="宋体"/>
                <w:b/>
                <w:bCs/>
                <w:color w:val="000000"/>
                <w:sz w:val="21"/>
                <w:szCs w:val="21"/>
                <w:lang w:bidi="ar"/>
              </w:rPr>
              <w:t xml:space="preserve">项目运维支撑团队成员</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210"/>
              <w:jc w:val="left"/>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项目运维支撑团队成员。</w:t>
            </w:r>
            <w:r/>
          </w:p>
          <w:p>
            <w:pPr>
              <w:ind w:firstLine="210"/>
              <w:jc w:val="left"/>
              <w:spacing w:line="360" w:lineRule="auto"/>
              <w:rPr>
                <w:rFonts w:hint="eastAsia" w:ascii="宋体" w:hAnsi="宋体" w:eastAsia="宋体" w:cs="等线"/>
                <w:sz w:val="21"/>
                <w:szCs w:val="21"/>
                <w:lang w:val="en-US" w:bidi="ar"/>
              </w:rPr>
            </w:pPr>
            <w:r>
              <w:rPr>
                <w:rFonts w:hint="eastAsia" w:ascii="宋体" w:hAnsi="宋体" w:eastAsia="宋体"/>
                <w:color w:val="000000"/>
                <w:sz w:val="21"/>
                <w:szCs w:val="21"/>
                <w:lang w:bidi="ar"/>
              </w:rPr>
              <w:t xml:space="preserve">供应商拟投入本项目的项目团队人员（除团队负责人）具有软考高级系统架构设计师、软考高级网络规划设计师、软考高级信息系统项目管理师的，每提供其中一类证书得1分，本项最高得3分，不提供得0分。</w:t>
            </w:r>
            <w:bookmarkStart w:id="30" w:name="OLE_LINK22"/>
            <w:r/>
            <w:bookmarkStart w:id="31" w:name="OLE_LINK21"/>
            <w:r>
              <w:rPr>
                <w:rFonts w:hint="eastAsia" w:ascii="宋体" w:hAnsi="宋体" w:eastAsia="宋体"/>
                <w:color w:val="000000"/>
                <w:sz w:val="21"/>
                <w:szCs w:val="21"/>
                <w:lang w:bidi="ar"/>
              </w:rPr>
              <w:t xml:space="preserve">提供同一人</w:t>
            </w:r>
            <w:r>
              <w:rPr>
                <w:rFonts w:hint="eastAsia" w:ascii="宋体" w:hAnsi="宋体" w:eastAsia="宋体"/>
                <w:color w:val="000000"/>
                <w:sz w:val="21"/>
                <w:szCs w:val="21"/>
                <w:lang w:bidi="ar"/>
              </w:rPr>
              <w:t xml:space="preserve">不同</w:t>
            </w:r>
            <w:r>
              <w:rPr>
                <w:rFonts w:hint="eastAsia" w:ascii="宋体" w:hAnsi="宋体" w:eastAsia="宋体"/>
                <w:color w:val="000000"/>
                <w:sz w:val="21"/>
                <w:szCs w:val="21"/>
                <w:lang w:bidi="ar"/>
              </w:rPr>
              <w:t xml:space="preserve">证书不重复计分、</w:t>
            </w:r>
            <w:r>
              <w:rPr>
                <w:rFonts w:hint="eastAsia" w:ascii="宋体" w:hAnsi="宋体" w:eastAsia="宋体"/>
                <w:color w:val="000000"/>
                <w:sz w:val="21"/>
                <w:szCs w:val="21"/>
                <w:lang w:bidi="ar"/>
              </w:rPr>
              <w:t xml:space="preserve">提供同一类证书不重复计分，</w:t>
            </w:r>
            <w:bookmarkEnd w:id="30"/>
            <w:r>
              <w:rPr>
                <w:rFonts w:hint="eastAsia" w:ascii="宋体" w:hAnsi="宋体" w:eastAsia="宋体"/>
                <w:color w:val="000000"/>
                <w:sz w:val="21"/>
                <w:szCs w:val="21"/>
                <w:lang w:bidi="ar"/>
              </w:rPr>
              <w:t xml:space="preserve">提供证书以及供应商近3个月任意一月为其缴纳社保的证明，扫描上传</w:t>
            </w:r>
            <w:bookmarkEnd w:id="31"/>
            <w:r>
              <w:rPr>
                <w:rFonts w:hint="eastAsia" w:ascii="宋体" w:hAnsi="宋体" w:eastAsia="宋体"/>
                <w:color w:val="00000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color w:val="000000"/>
                <w:sz w:val="21"/>
                <w:szCs w:val="21"/>
              </w:rPr>
            </w:pPr>
            <w:r>
              <w:rPr>
                <w:rFonts w:hint="eastAsia" w:ascii="宋体" w:hAnsi="宋体" w:eastAsia="宋体"/>
                <w:b/>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类似项目业绩</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供应商</w:t>
            </w:r>
            <w:r>
              <w:rPr>
                <w:rFonts w:hint="eastAsia" w:ascii="宋体" w:hAnsi="宋体" w:eastAsia="宋体"/>
                <w:sz w:val="21"/>
                <w:szCs w:val="21"/>
              </w:rPr>
              <w:t xml:space="preserve">自2023年1月1日以来，具有类似运维项目合同案例</w:t>
            </w:r>
            <w:r>
              <w:rPr>
                <w:rFonts w:hint="eastAsia" w:ascii="宋体" w:hAnsi="宋体" w:eastAsia="宋体"/>
                <w:color w:val="000000"/>
                <w:sz w:val="21"/>
                <w:szCs w:val="21"/>
                <w:lang w:bidi="ar"/>
              </w:rPr>
              <w:t xml:space="preserve">，每提供1项有效的类似运维项目业绩的加2分，本项最多加10分，没有案例得0分。</w:t>
            </w:r>
            <w:r/>
          </w:p>
          <w:p>
            <w:pPr>
              <w:ind w:firstLine="210"/>
              <w:spacing w:line="360" w:lineRule="auto"/>
              <w:rPr>
                <w:rFonts w:hint="eastAsia" w:ascii="宋体" w:hAnsi="宋体" w:eastAsia="宋体"/>
                <w:sz w:val="21"/>
                <w:szCs w:val="21"/>
              </w:rPr>
            </w:pPr>
            <w:r>
              <w:rPr>
                <w:rFonts w:hint="eastAsia" w:ascii="宋体" w:hAnsi="宋体" w:eastAsia="宋体"/>
                <w:color w:val="000000"/>
                <w:sz w:val="21"/>
                <w:szCs w:val="21"/>
                <w:lang w:bidi="ar"/>
              </w:rPr>
              <w:t xml:space="preserve">注：提供合同复印件并加盖磋商供应商公章（</w:t>
            </w:r>
            <w:r>
              <w:rPr>
                <w:rFonts w:hint="eastAsia" w:ascii="宋体" w:hAnsi="宋体" w:eastAsia="宋体"/>
                <w:sz w:val="21"/>
                <w:szCs w:val="21"/>
              </w:rPr>
              <w:t xml:space="preserve">时间以合同签订日期为准</w:t>
            </w:r>
            <w:r>
              <w:rPr>
                <w:rFonts w:hint="eastAsia" w:ascii="宋体" w:hAnsi="宋体" w:eastAsia="宋体"/>
                <w:color w:val="000000"/>
                <w:sz w:val="21"/>
                <w:szCs w:val="21"/>
                <w:lang w:bidi="ar"/>
              </w:rPr>
              <w:t xml:space="preserve">，复印件能清楚表明项目名称及主要内容（</w:t>
            </w:r>
            <w:r>
              <w:rPr>
                <w:rFonts w:hint="eastAsia" w:ascii="宋体" w:hAnsi="宋体" w:eastAsia="宋体"/>
                <w:sz w:val="21"/>
                <w:szCs w:val="21"/>
              </w:rPr>
              <w:t xml:space="preserve">主要内容为网络及网络安全运维</w:t>
            </w:r>
            <w:r>
              <w:rPr>
                <w:rFonts w:hint="eastAsia" w:ascii="宋体" w:hAnsi="宋体" w:eastAsia="宋体"/>
                <w:color w:val="000000"/>
                <w:sz w:val="21"/>
                <w:szCs w:val="21"/>
                <w:lang w:bidi="ar"/>
              </w:rPr>
              <w:t xml:space="preserve">），必须包含甲乙双方名称及公章）。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b/>
                <w:color w:val="000000"/>
                <w:sz w:val="21"/>
                <w:szCs w:val="21"/>
                <w:lang w:bidi="ar"/>
              </w:rPr>
            </w:pPr>
            <w:r>
              <w:rPr>
                <w:rFonts w:hint="eastAsia" w:ascii="宋体" w:hAnsi="宋体" w:eastAsia="宋体"/>
                <w:b/>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客观分</w:t>
            </w:r>
            <w:r/>
          </w:p>
        </w:tc>
      </w:tr>
    </w:tbl>
    <w:p>
      <w:pPr>
        <w:ind w:firstLine="211"/>
        <w:spacing w:line="360" w:lineRule="auto"/>
        <w:rPr>
          <w:rFonts w:hint="eastAsia" w:ascii="宋体" w:hAnsi="宋体" w:eastAsia="宋体"/>
          <w:b/>
          <w:sz w:val="21"/>
          <w:szCs w:val="21"/>
        </w:rPr>
      </w:pPr>
      <w:r>
        <w:rPr>
          <w:rFonts w:hint="eastAsia" w:ascii="宋体" w:hAnsi="宋体" w:eastAsia="宋体"/>
          <w:b/>
          <w:sz w:val="21"/>
          <w:szCs w:val="21"/>
        </w:rPr>
        <w:t xml:space="preserve">说明：</w:t>
      </w: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rPr>
          <w:rFonts w:hint="eastAsia" w:ascii="宋体" w:hAnsi="宋体" w:eastAsia="宋体"/>
          <w:b/>
          <w:sz w:val="21"/>
          <w:szCs w:val="21"/>
        </w:rPr>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ind w:firstLine="207"/>
        <w:jc w:val="left"/>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r>
      <w:r>
        <w:rPr>
          <w:rFonts w:ascii="宋体" w:hAnsi="宋体" w:eastAsia="宋体"/>
          <w:b/>
          <w:sz w:val="21"/>
          <w:szCs w:val="21"/>
        </w:rPr>
        <w:br w:type="textWrapping" w:clear="all"/>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rPr>
          <w:rFonts w:hint="eastAsia" w:ascii="宋体" w:hAnsi="宋体" w:eastAsia="宋体"/>
          <w:b/>
          <w:sz w:val="21"/>
          <w:szCs w:val="21"/>
        </w:rPr>
      </w:r>
      <w:r/>
    </w:p>
    <w:p>
      <w:pPr>
        <w:pStyle w:val="830"/>
        <w:jc w:val="center"/>
        <w:spacing w:before="0" w:after="0" w:line="360" w:lineRule="auto"/>
        <w:rPr>
          <w:rFonts w:hint="eastAsia"/>
          <w:sz w:val="24"/>
        </w:rPr>
      </w:pPr>
      <w:r>
        <w:rPr>
          <w:rFonts w:hint="eastAsia"/>
          <w:sz w:val="24"/>
        </w:rPr>
        <w:t xml:space="preserve">采购包2：机房及硬件维修维保服务</w:t>
      </w:r>
      <w:r/>
    </w:p>
    <w:tbl>
      <w:tblPr>
        <w:tblW w:w="10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40"/>
        <w:gridCol w:w="1198"/>
        <w:gridCol w:w="7535"/>
        <w:gridCol w:w="709"/>
        <w:gridCol w:w="850"/>
      </w:tblGrid>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评分</w:t>
            </w:r>
            <w:r/>
          </w:p>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因素</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评分</w:t>
            </w:r>
            <w:r/>
          </w:p>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类型</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10932"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一、价格部分（10分）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价格</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105"/>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采用低价优先法计算，即满足磋商文件要求且最终投标价格最低的投标报价为评标基准价，其价格分为满分。</w:t>
            </w:r>
            <w:r/>
          </w:p>
          <w:p>
            <w:pPr>
              <w:ind w:firstLine="105"/>
              <w:jc w:val="left"/>
              <w:spacing w:line="360" w:lineRule="auto"/>
              <w:widowControl/>
              <w:rPr>
                <w:rFonts w:hint="eastAsia" w:ascii="宋体" w:hAnsi="宋体" w:eastAsia="宋体"/>
                <w:b/>
                <w:sz w:val="21"/>
                <w:szCs w:val="21"/>
              </w:rPr>
            </w:pPr>
            <w:r>
              <w:rPr>
                <w:rFonts w:hint="eastAsia" w:ascii="宋体" w:hAnsi="宋体" w:eastAsia="宋体"/>
                <w:color w:val="000000"/>
                <w:sz w:val="21"/>
                <w:szCs w:val="21"/>
                <w:lang w:bidi="ar"/>
              </w:rPr>
              <w:t xml:space="preserve">其他供应商的价格分统一按照下列公式计算：投标报价得分=（评标基准价/投标报价）×10（小数点保留两位）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价格分</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10932"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二、技术部分（</w:t>
            </w:r>
            <w:r>
              <w:rPr>
                <w:rFonts w:hint="eastAsia" w:ascii="宋体" w:hAnsi="宋体" w:eastAsia="宋体"/>
                <w:b/>
                <w:sz w:val="21"/>
                <w:szCs w:val="21"/>
              </w:rPr>
              <w:t xml:space="preserve">61</w:t>
            </w:r>
            <w:r>
              <w:rPr>
                <w:rFonts w:hint="eastAsia" w:ascii="宋体" w:hAnsi="宋体" w:eastAsia="宋体"/>
                <w:b/>
                <w:sz w:val="21"/>
                <w:szCs w:val="21"/>
              </w:rPr>
              <w:t xml:space="preserve">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b/>
                <w:bCs/>
                <w:color w:val="000000"/>
                <w:sz w:val="21"/>
                <w:szCs w:val="21"/>
                <w:lang w:bidi="ar"/>
              </w:rPr>
            </w:pPr>
            <w:r>
              <w:rPr>
                <w:rFonts w:ascii="宋体" w:hAnsi="宋体" w:eastAsia="宋体"/>
                <w:b/>
                <w:bCs/>
                <w:color w:val="000000"/>
                <w:sz w:val="21"/>
                <w:szCs w:val="21"/>
                <w:lang w:bidi="ar"/>
              </w:rPr>
              <w:t xml:space="preserve">难点分析及对应方案</w:t>
            </w:r>
            <w:r/>
          </w:p>
        </w:tc>
        <w:tc>
          <w:tcPr>
            <w:tcBorders>
              <w:top w:val="single" w:color="000000" w:sz="4" w:space="0"/>
              <w:left w:val="single" w:color="000000" w:sz="4" w:space="0"/>
              <w:bottom w:val="single" w:color="000000" w:sz="4" w:space="0"/>
              <w:right w:val="single" w:color="000000" w:sz="4" w:space="0"/>
            </w:tcBorders>
            <w:tcW w:w="7535" w:type="dxa"/>
            <w:textDirection w:val="lrTb"/>
            <w:noWrap/>
          </w:tcPr>
          <w:p>
            <w:pPr>
              <w:ind w:left="20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难点分析及对应方案</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评委根据响应文件对磋商文件采购需求中 “难点分析及对应方案”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（1）响应文件未符合 “难点分析及对应方案”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（2）响应文件符合 “难点分析及对应方案” 中全部条款要求的，视为符合磋商文件，本项得 </w:t>
            </w:r>
            <w:r>
              <w:rPr>
                <w:rFonts w:hint="eastAsia" w:ascii="宋体" w:hAnsi="宋体" w:eastAsia="宋体"/>
                <w:color w:val="000000"/>
                <w:sz w:val="21"/>
                <w:szCs w:val="21"/>
                <w:lang w:bidi="ar"/>
              </w:rPr>
              <w:t xml:space="preserve">4</w:t>
            </w:r>
            <w:r>
              <w:rPr>
                <w:rFonts w:ascii="宋体" w:hAnsi="宋体" w:eastAsia="宋体"/>
                <w:color w:val="000000"/>
                <w:sz w:val="21"/>
                <w:szCs w:val="21"/>
                <w:lang w:bidi="ar"/>
              </w:rPr>
              <w:t xml:space="preserve"> 分。</w:t>
            </w:r>
            <w:r/>
          </w:p>
          <w:p>
            <w:pPr>
              <w:ind w:firstLine="210"/>
              <w:jc w:val="left"/>
              <w:spacing w:line="360" w:lineRule="auto"/>
              <w:rPr>
                <w:rFonts w:hint="eastAsia" w:ascii="宋体" w:hAnsi="宋体" w:eastAsia="宋体"/>
                <w:sz w:val="21"/>
                <w:szCs w:val="21"/>
                <w:lang w:val="en-US"/>
              </w:rPr>
            </w:pPr>
            <w:r>
              <w:rPr>
                <w:rFonts w:ascii="宋体" w:hAnsi="宋体" w:eastAsia="宋体"/>
                <w:color w:val="000000"/>
                <w:sz w:val="21"/>
                <w:szCs w:val="21"/>
                <w:lang w:bidi="ar"/>
              </w:rPr>
              <w:t xml:space="preserve">（3）响应文件对 “难点分析及对应方案” 中的难点研判、应对措施、应急演练及编制大纲内容响应详实、方案针对性强，整体响应内容优于磋商文件要求的（前提是响应文件其余响应内容全部符合磋商文件要求），本项得 </w:t>
            </w:r>
            <w:r>
              <w:rPr>
                <w:rFonts w:hint="eastAsia" w:ascii="宋体" w:hAnsi="宋体" w:eastAsia="宋体"/>
                <w:color w:val="000000"/>
                <w:sz w:val="21"/>
                <w:szCs w:val="21"/>
                <w:lang w:bidi="ar"/>
              </w:rPr>
              <w:t xml:space="preserve">7</w:t>
            </w:r>
            <w:r>
              <w:rPr>
                <w:rFonts w:ascii="宋体" w:hAnsi="宋体" w:eastAsia="宋体"/>
                <w:color w:val="000000"/>
                <w:sz w:val="21"/>
                <w:szCs w:val="21"/>
                <w:lang w:bidi="ar"/>
              </w:rPr>
              <w:t xml:space="preserve">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cs="Times New Roman"/>
                <w:b/>
                <w:sz w:val="21"/>
                <w:szCs w:val="21"/>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b/>
                <w:bCs/>
                <w:color w:val="000000"/>
                <w:sz w:val="21"/>
                <w:szCs w:val="21"/>
                <w:lang w:bidi="ar"/>
              </w:rPr>
            </w:pPr>
            <w:r>
              <w:rPr>
                <w:rFonts w:ascii="宋体" w:hAnsi="宋体" w:eastAsia="宋体"/>
                <w:b/>
                <w:bCs/>
                <w:color w:val="000000"/>
                <w:sz w:val="21"/>
                <w:szCs w:val="21"/>
                <w:lang w:bidi="ar"/>
              </w:rPr>
              <w:t xml:space="preserve">总体实施方案</w:t>
            </w:r>
            <w:r/>
          </w:p>
        </w:tc>
        <w:tc>
          <w:tcPr>
            <w:tcBorders>
              <w:top w:val="single" w:color="000000" w:sz="4" w:space="0"/>
              <w:left w:val="single" w:color="000000" w:sz="4" w:space="0"/>
              <w:bottom w:val="single" w:color="000000" w:sz="4" w:space="0"/>
              <w:right w:val="single" w:color="000000" w:sz="4" w:space="0"/>
            </w:tcBorders>
            <w:tcW w:w="7535" w:type="dxa"/>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总体实施方案</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评委根据响应文件对磋商文件采购需求中 “运维总体实施方案”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（1）响应文件未符合 “运维总体实施方案”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（2）响应文件符合 “运维总体实施方案” 中全部条款要求的，视为符合磋商文件，本项得 </w:t>
            </w:r>
            <w:r>
              <w:rPr>
                <w:rFonts w:hint="eastAsia" w:ascii="宋体" w:hAnsi="宋体" w:eastAsia="宋体"/>
                <w:color w:val="000000"/>
                <w:sz w:val="21"/>
                <w:szCs w:val="21"/>
                <w:lang w:bidi="ar"/>
              </w:rPr>
              <w:t xml:space="preserve">4</w:t>
            </w:r>
            <w:r>
              <w:rPr>
                <w:rFonts w:ascii="宋体" w:hAnsi="宋体" w:eastAsia="宋体"/>
                <w:color w:val="000000"/>
                <w:sz w:val="21"/>
                <w:szCs w:val="21"/>
                <w:lang w:bidi="ar"/>
              </w:rPr>
              <w:t xml:space="preserve"> 分。</w:t>
            </w:r>
            <w:r/>
          </w:p>
          <w:p>
            <w:pPr>
              <w:ind w:firstLine="210"/>
              <w:jc w:val="left"/>
              <w:spacing w:line="360" w:lineRule="auto"/>
              <w:rPr>
                <w:rFonts w:hint="eastAsia" w:ascii="宋体" w:hAnsi="宋体" w:eastAsia="宋体" w:cs="Times New Roman"/>
                <w:sz w:val="21"/>
                <w:szCs w:val="21"/>
              </w:rPr>
            </w:pPr>
            <w:r>
              <w:rPr>
                <w:rFonts w:ascii="宋体" w:hAnsi="宋体" w:eastAsia="宋体"/>
                <w:color w:val="000000"/>
                <w:sz w:val="21"/>
                <w:szCs w:val="21"/>
                <w:lang w:bidi="ar"/>
              </w:rPr>
              <w:t xml:space="preserve">（3）响应文件对 “运维总体实施方案” 中的团队组建、运维流程、运维工具选型等内容响应详实、可落地性强，整体响应内容优于磋商文件要求的（前提是响应文件其余响应内容全部符合磋商文件要求），本项得 </w:t>
            </w:r>
            <w:r>
              <w:rPr>
                <w:rFonts w:hint="eastAsia" w:ascii="宋体" w:hAnsi="宋体" w:eastAsia="宋体"/>
                <w:color w:val="000000"/>
                <w:sz w:val="21"/>
                <w:szCs w:val="21"/>
                <w:lang w:bidi="ar"/>
              </w:rPr>
              <w:t xml:space="preserve">7</w:t>
            </w:r>
            <w:r>
              <w:rPr>
                <w:rFonts w:ascii="宋体" w:hAnsi="宋体" w:eastAsia="宋体"/>
                <w:color w:val="000000"/>
                <w:sz w:val="21"/>
                <w:szCs w:val="21"/>
                <w:lang w:bidi="ar"/>
              </w:rPr>
              <w:t xml:space="preserve">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ascii="宋体" w:hAnsi="宋体" w:eastAsia="宋体" w:cs="Times New Roman"/>
                <w:b/>
                <w:bCs/>
                <w:sz w:val="21"/>
                <w:szCs w:val="21"/>
              </w:rPr>
              <w:t xml:space="preserve">网络设备模块维保方案</w:t>
            </w:r>
            <w:r/>
          </w:p>
        </w:tc>
        <w:tc>
          <w:tcPr>
            <w:tcBorders>
              <w:top w:val="single" w:color="000000" w:sz="4" w:space="0"/>
              <w:left w:val="single" w:color="000000" w:sz="4" w:space="0"/>
              <w:bottom w:val="single" w:color="000000" w:sz="4" w:space="0"/>
              <w:right w:val="single" w:color="000000" w:sz="4" w:space="0"/>
            </w:tcBorders>
            <w:tcW w:w="7535" w:type="dxa"/>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网络设备模块维保方案</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评委根据响应文件对磋商文件采购需求中 “网络设备模块维保方案”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（1）响应文件未符合 “网络设备模块维保方案”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（2）响应文件符合 “网络设备模块维保方案” 中全部条款要求的，视为符合磋商文件，本项得 </w:t>
            </w:r>
            <w:r>
              <w:rPr>
                <w:rFonts w:hint="eastAsia" w:ascii="宋体" w:hAnsi="宋体" w:eastAsia="宋体"/>
                <w:color w:val="000000"/>
                <w:sz w:val="21"/>
                <w:szCs w:val="21"/>
                <w:lang w:bidi="ar"/>
              </w:rPr>
              <w:t xml:space="preserve">4</w:t>
            </w:r>
            <w:r>
              <w:rPr>
                <w:rFonts w:ascii="宋体" w:hAnsi="宋体" w:eastAsia="宋体"/>
                <w:color w:val="000000"/>
                <w:sz w:val="21"/>
                <w:szCs w:val="21"/>
                <w:lang w:bidi="ar"/>
              </w:rPr>
              <w:t xml:space="preserve"> 分。</w:t>
            </w:r>
            <w:r/>
          </w:p>
          <w:p>
            <w:pPr>
              <w:ind w:firstLine="210"/>
              <w:jc w:val="left"/>
              <w:spacing w:line="360" w:lineRule="auto"/>
              <w:rPr>
                <w:rFonts w:hint="eastAsia" w:ascii="宋体" w:hAnsi="宋体" w:eastAsia="宋体" w:cs="Times New Roman"/>
                <w:sz w:val="21"/>
                <w:szCs w:val="21"/>
              </w:rPr>
            </w:pPr>
            <w:r>
              <w:rPr>
                <w:rFonts w:ascii="宋体" w:hAnsi="宋体" w:eastAsia="宋体"/>
                <w:color w:val="000000"/>
                <w:sz w:val="21"/>
                <w:szCs w:val="21"/>
                <w:lang w:bidi="ar"/>
              </w:rPr>
              <w:t xml:space="preserve">（3）响应文件对 “网络设备模块维保方案” 中的日常巡检、故障排查、安全加固等内容响应详实、措施完善，整体响应内容优于磋商文件要求的（前提是响应文件其余响应内容全部符合磋商文件要求），本项得 </w:t>
            </w:r>
            <w:r>
              <w:rPr>
                <w:rFonts w:hint="eastAsia" w:ascii="宋体" w:hAnsi="宋体" w:eastAsia="宋体"/>
                <w:color w:val="000000"/>
                <w:sz w:val="21"/>
                <w:szCs w:val="21"/>
                <w:lang w:bidi="ar"/>
              </w:rPr>
              <w:t xml:space="preserve">7</w:t>
            </w:r>
            <w:r>
              <w:rPr>
                <w:rFonts w:ascii="宋体" w:hAnsi="宋体" w:eastAsia="宋体"/>
                <w:color w:val="000000"/>
                <w:sz w:val="21"/>
                <w:szCs w:val="21"/>
                <w:lang w:bidi="ar"/>
              </w:rPr>
              <w:t xml:space="preserve">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b/>
                <w:bCs/>
                <w:color w:val="000000"/>
                <w:sz w:val="21"/>
                <w:szCs w:val="21"/>
                <w:lang w:bidi="ar"/>
              </w:rPr>
            </w:pPr>
            <w:r>
              <w:rPr>
                <w:rFonts w:ascii="宋体" w:hAnsi="宋体" w:eastAsia="宋体"/>
                <w:b/>
                <w:bCs/>
                <w:color w:val="000000"/>
                <w:sz w:val="21"/>
                <w:szCs w:val="21"/>
                <w:lang w:bidi="ar"/>
              </w:rPr>
              <w:t xml:space="preserve">精密空调维保方案</w:t>
            </w:r>
            <w:r/>
          </w:p>
        </w:tc>
        <w:tc>
          <w:tcPr>
            <w:tcBorders>
              <w:top w:val="single" w:color="000000" w:sz="4" w:space="0"/>
              <w:left w:val="single" w:color="000000" w:sz="4" w:space="0"/>
              <w:bottom w:val="single" w:color="000000" w:sz="4" w:space="0"/>
              <w:right w:val="single" w:color="000000" w:sz="4" w:space="0"/>
            </w:tcBorders>
            <w:tcW w:w="7535" w:type="dxa"/>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精密空调维保方案</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评委根据响应文件对磋商文件采购需求中 “精密空调维保方案” 要求的响应情况进行评审。</w:t>
            </w:r>
            <w:r/>
          </w:p>
          <w:p>
            <w:pPr>
              <w:ind w:firstLine="105"/>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（1）响应文件未符合 “精密空调维保方案” 中全部条款要求的，视为不符合磋商文件，本项得 0 分。</w:t>
            </w:r>
            <w:r/>
          </w:p>
          <w:p>
            <w:pPr>
              <w:ind w:firstLine="105"/>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（2）响应文件符合 “精密空调维保方案” 中全部条款要求的，视为符合磋商文件，本项得 3 分。</w:t>
            </w:r>
            <w:r/>
          </w:p>
          <w:p>
            <w:pPr>
              <w:ind w:firstLine="210"/>
              <w:jc w:val="left"/>
              <w:spacing w:line="360" w:lineRule="auto"/>
              <w:rPr>
                <w:rFonts w:hint="eastAsia" w:ascii="宋体" w:hAnsi="宋体" w:eastAsia="宋体" w:cs="Times New Roman"/>
                <w:sz w:val="21"/>
                <w:szCs w:val="21"/>
              </w:rPr>
            </w:pPr>
            <w:r>
              <w:rPr>
                <w:rFonts w:ascii="宋体" w:hAnsi="宋体" w:eastAsia="宋体"/>
                <w:color w:val="000000"/>
                <w:sz w:val="21"/>
                <w:szCs w:val="21"/>
                <w:lang w:bidi="ar"/>
              </w:rPr>
              <w:t xml:space="preserve">（3）响应文件对 “精密空调维保方案” 中的部件清理、状态监测、部件更换等内容响应详实、流程清晰，整体响应内容优于磋商文件要求的（前提是响应文件其余响应内容全部符合磋商文件要求），本项得 5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lang w:val="en-US"/>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lang w:val="en-US"/>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b/>
                <w:bCs/>
                <w:color w:val="000000"/>
                <w:sz w:val="21"/>
                <w:szCs w:val="21"/>
                <w:lang w:bidi="ar"/>
              </w:rPr>
            </w:pPr>
            <w:r>
              <w:rPr>
                <w:rFonts w:ascii="宋体" w:hAnsi="宋体" w:eastAsia="宋体"/>
                <w:b/>
                <w:bCs/>
                <w:color w:val="000000"/>
                <w:sz w:val="21"/>
                <w:szCs w:val="21"/>
                <w:lang w:bidi="ar"/>
              </w:rPr>
              <w:t xml:space="preserve">UPS系统维保方案</w:t>
            </w:r>
            <w:r/>
          </w:p>
        </w:tc>
        <w:tc>
          <w:tcPr>
            <w:tcBorders>
              <w:top w:val="single" w:color="000000" w:sz="4" w:space="0"/>
              <w:left w:val="single" w:color="000000" w:sz="4" w:space="0"/>
              <w:bottom w:val="single" w:color="000000" w:sz="4" w:space="0"/>
              <w:right w:val="single" w:color="000000" w:sz="4" w:space="0"/>
            </w:tcBorders>
            <w:tcW w:w="7535" w:type="dxa"/>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UPS系统维保方案</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评委根据响应文件对磋商文件采购需求中 “UPS 系统维保方案” 要求的响应情况进行评审。</w:t>
            </w:r>
            <w:r/>
          </w:p>
          <w:p>
            <w:pPr>
              <w:ind w:firstLine="105"/>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（1）响应文件未符合 “UPS 系统维保方案” 中全部条款要求的，视为不符合磋商文件，本项得 0 分。</w:t>
            </w:r>
            <w:r/>
          </w:p>
          <w:p>
            <w:pPr>
              <w:ind w:firstLine="105"/>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（2）响应文件符合 “UPS 系统维保方案” 中全部条款要求的，视为符合磋商文件，本项得 3 分。</w:t>
            </w:r>
            <w:r/>
          </w:p>
          <w:p>
            <w:pPr>
              <w:ind w:firstLine="210"/>
              <w:jc w:val="left"/>
              <w:spacing w:line="360" w:lineRule="auto"/>
              <w:rPr>
                <w:rFonts w:hint="eastAsia" w:ascii="宋体" w:hAnsi="宋体" w:eastAsia="宋体" w:cs="Times New Roman"/>
                <w:sz w:val="21"/>
                <w:szCs w:val="21"/>
              </w:rPr>
            </w:pPr>
            <w:r>
              <w:rPr>
                <w:rFonts w:ascii="宋体" w:hAnsi="宋体" w:eastAsia="宋体"/>
                <w:color w:val="000000"/>
                <w:sz w:val="21"/>
                <w:szCs w:val="21"/>
                <w:lang w:bidi="ar"/>
              </w:rPr>
              <w:t xml:space="preserve">（3）响应文件对 “UPS 系统维保方案” 中的蓄电池检测、工况监测、供电系统评估等内容响应详实、保障充分，整体响应内容优于磋商文件要求的（前提是响应文件其余响应内容全部符合磋商文件要求），本项得 5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ascii="宋体" w:hAnsi="宋体" w:eastAsia="宋体" w:cs="Times New Roman"/>
                <w:b/>
                <w:bCs/>
                <w:sz w:val="21"/>
                <w:szCs w:val="21"/>
              </w:rPr>
              <w:t xml:space="preserve">会议系统维保方案</w:t>
            </w:r>
            <w:r/>
          </w:p>
        </w:tc>
        <w:tc>
          <w:tcPr>
            <w:tcBorders>
              <w:top w:val="single" w:color="000000" w:sz="4" w:space="0"/>
              <w:left w:val="single" w:color="000000" w:sz="4" w:space="0"/>
              <w:bottom w:val="single" w:color="000000" w:sz="4" w:space="0"/>
              <w:right w:val="single" w:color="000000" w:sz="4" w:space="0"/>
            </w:tcBorders>
            <w:tcW w:w="7535" w:type="dxa"/>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会议系统维保方案</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评委根据响应文件对磋商文件采购需求中 “会议系统维保方案” 要求的响应情况进行评审。</w:t>
            </w:r>
            <w:r/>
          </w:p>
          <w:p>
            <w:pPr>
              <w:ind w:firstLine="105"/>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（1）响应文件未符合 “会议系统维保方案”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（2）响应文件符合 “会议系统维保方案” 中全部条款要求的，视为符合磋商文件，本项得 3 分。</w:t>
            </w:r>
            <w:r/>
          </w:p>
          <w:p>
            <w:pPr>
              <w:ind w:firstLine="210"/>
              <w:jc w:val="left"/>
              <w:spacing w:line="360" w:lineRule="auto"/>
              <w:rPr>
                <w:rFonts w:hint="eastAsia" w:ascii="宋体" w:hAnsi="宋体" w:eastAsia="宋体" w:cs="Times New Roman"/>
                <w:sz w:val="21"/>
                <w:szCs w:val="21"/>
              </w:rPr>
            </w:pPr>
            <w:r>
              <w:rPr>
                <w:rFonts w:ascii="宋体" w:hAnsi="宋体" w:eastAsia="宋体"/>
                <w:color w:val="000000"/>
                <w:sz w:val="21"/>
                <w:szCs w:val="21"/>
                <w:lang w:bidi="ar"/>
              </w:rPr>
              <w:t xml:space="preserve">（3）响应文件对 “会议系统维保方案” 中的终端巡检、线缆排查、大屏运维等内容响应详实、保障机制完善，整体响应内容优于磋商文件要求的（前提是响应文件其余响应内容全部符合磋商文件要求），本项得 5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ascii="宋体" w:hAnsi="宋体" w:eastAsia="宋体" w:cs="Times New Roman"/>
                <w:b/>
                <w:bCs/>
                <w:sz w:val="21"/>
                <w:szCs w:val="21"/>
              </w:rPr>
              <w:t xml:space="preserve">环境及智能化维保方案</w:t>
            </w:r>
            <w:r>
              <w:rPr>
                <w:rFonts w:ascii="宋体" w:hAnsi="宋体" w:eastAsia="宋体" w:cs="Times New Roman"/>
                <w:b/>
                <w:bCs/>
                <w:sz w:val="21"/>
                <w:szCs w:val="21"/>
              </w:rPr>
              <w:br/>
            </w:r>
            <w:r/>
          </w:p>
        </w:tc>
        <w:tc>
          <w:tcPr>
            <w:tcBorders>
              <w:top w:val="single" w:color="000000" w:sz="4" w:space="0"/>
              <w:left w:val="single" w:color="000000" w:sz="4" w:space="0"/>
              <w:bottom w:val="single" w:color="000000" w:sz="4" w:space="0"/>
              <w:right w:val="single" w:color="000000" w:sz="4" w:space="0"/>
            </w:tcBorders>
            <w:tcW w:w="7535" w:type="dxa"/>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环境及智能化维保方案</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评委根据响应文件对磋商文件采购需求中 “环境及智能化维保方案”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（1）响应文件未符合 “环境及智能化维保方案”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（2）响应文件符合 “环境及智能化维保方案” 中全部条款要求的，视为符合磋商文件，本项得 3 分。</w:t>
            </w:r>
            <w:r/>
          </w:p>
          <w:p>
            <w:pPr>
              <w:ind w:firstLine="210"/>
              <w:jc w:val="left"/>
              <w:spacing w:line="360" w:lineRule="auto"/>
              <w:rPr>
                <w:rFonts w:hint="eastAsia" w:ascii="宋体" w:hAnsi="宋体" w:eastAsia="宋体" w:cs="Times New Roman"/>
                <w:sz w:val="21"/>
                <w:szCs w:val="21"/>
              </w:rPr>
            </w:pPr>
            <w:r>
              <w:rPr>
                <w:rFonts w:ascii="宋体" w:hAnsi="宋体" w:eastAsia="宋体"/>
                <w:color w:val="000000"/>
                <w:sz w:val="21"/>
                <w:szCs w:val="21"/>
                <w:lang w:bidi="ar"/>
              </w:rPr>
              <w:t xml:space="preserve">（3）响应文件对 “环境及智能化维保方案” 中的动环检查、冷通道检测、防静电检测等内容响应详实、覆盖全面，整体响应内容优于磋商文件要求的（前提是响应文件其余响应内容全部符合磋商文件要求），本项得 5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lang w:val="en-US"/>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lang w:val="en-US"/>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ascii="宋体" w:hAnsi="宋体" w:eastAsia="宋体" w:cs="Times New Roman"/>
                <w:b/>
                <w:bCs/>
                <w:sz w:val="21"/>
                <w:szCs w:val="21"/>
              </w:rPr>
              <w:t xml:space="preserve">机房整治专项方案</w:t>
            </w:r>
            <w:r/>
          </w:p>
        </w:tc>
        <w:tc>
          <w:tcPr>
            <w:tcBorders>
              <w:top w:val="single" w:color="000000" w:sz="4" w:space="0"/>
              <w:left w:val="single" w:color="000000" w:sz="4" w:space="0"/>
              <w:bottom w:val="single" w:color="000000" w:sz="4" w:space="0"/>
              <w:right w:val="single" w:color="000000" w:sz="4" w:space="0"/>
            </w:tcBorders>
            <w:tcW w:w="7535" w:type="dxa"/>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机房整治专项方案</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评委根据响应文件对磋商文件采购需求中 “机房整治专项方案”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（1）响应文件未符合 “机房整治专项方案”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（2）响应文件符合 “机房整治专项方案” 中全部条款要求的，视为符合磋商文件，本项得 3 分。</w:t>
            </w:r>
            <w:r/>
          </w:p>
          <w:p>
            <w:pPr>
              <w:ind w:firstLine="210"/>
              <w:jc w:val="left"/>
              <w:spacing w:line="360" w:lineRule="auto"/>
              <w:rPr>
                <w:rFonts w:hint="eastAsia" w:ascii="宋体" w:hAnsi="宋体" w:eastAsia="宋体" w:cs="Times New Roman"/>
                <w:sz w:val="21"/>
                <w:szCs w:val="21"/>
              </w:rPr>
            </w:pPr>
            <w:r>
              <w:rPr>
                <w:rFonts w:ascii="宋体" w:hAnsi="宋体" w:eastAsia="宋体"/>
                <w:color w:val="000000"/>
                <w:sz w:val="21"/>
                <w:szCs w:val="21"/>
                <w:lang w:bidi="ar"/>
              </w:rPr>
              <w:t xml:space="preserve">（3）响应文件对 “机房整治专项方案” 中的机房整理、运维室改造、施工管控等内容响应详实、实施计划清晰，整体响应内容优于磋商文件要求的（前提是响应文件其余响应内容全部符合磋商文件要求），本项得 5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lang w:val="en-US"/>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lang w:val="en-US"/>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2.9</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ascii="宋体" w:hAnsi="宋体" w:eastAsia="宋体" w:cs="Times New Roman"/>
                <w:b/>
                <w:bCs/>
                <w:sz w:val="21"/>
                <w:szCs w:val="21"/>
              </w:rPr>
              <w:t xml:space="preserve">应急保障与演练方案</w:t>
            </w:r>
            <w:r/>
          </w:p>
        </w:tc>
        <w:tc>
          <w:tcPr>
            <w:tcBorders>
              <w:top w:val="single" w:color="000000" w:sz="4" w:space="0"/>
              <w:left w:val="single" w:color="000000" w:sz="4" w:space="0"/>
              <w:bottom w:val="single" w:color="000000" w:sz="4" w:space="0"/>
              <w:right w:val="single" w:color="000000" w:sz="4" w:space="0"/>
            </w:tcBorders>
            <w:tcW w:w="7535" w:type="dxa"/>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应急保障与演练方案</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评委根据响应文件对磋商文件采购需求中 “应急保障与演练方案”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（1）响应文件未符合 “应急保障与演练方案”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（2）响应文件符合 “应急保障与演练方案” 中全部条款要求的，视为符合磋商文件，本项得 3 分。</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（3）响应文件对 “应急保障与演练方案” 中的重大活动保障、应急演练组织、复盘改进机制等内容响应详实、预案完备，整体响应内容优于磋商文件要求的（前提是响应文件其余响应内容全部符合磋商文件要求），本项得 5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lang w:val="en-US"/>
              </w:rPr>
            </w:pPr>
            <w:r>
              <w:rPr>
                <w:rFonts w:hint="eastAsia" w:ascii="宋体" w:hAnsi="宋体" w:eastAsia="宋体" w:cs="Times New Roman"/>
                <w:b/>
                <w:sz w:val="21"/>
                <w:szCs w:val="21"/>
                <w:lang w:val="en-US"/>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ascii="宋体" w:hAnsi="宋体" w:eastAsia="宋体" w:cs="Times New Roman"/>
                <w:b/>
                <w:bCs/>
                <w:sz w:val="21"/>
                <w:szCs w:val="21"/>
              </w:rPr>
              <w:t xml:space="preserve">备品备件方案</w:t>
            </w:r>
            <w:r/>
          </w:p>
        </w:tc>
        <w:tc>
          <w:tcPr>
            <w:tcBorders>
              <w:top w:val="single" w:color="000000" w:sz="4" w:space="0"/>
              <w:left w:val="single" w:color="000000" w:sz="4" w:space="0"/>
              <w:bottom w:val="single" w:color="000000" w:sz="4" w:space="0"/>
              <w:right w:val="single" w:color="000000" w:sz="4" w:space="0"/>
            </w:tcBorders>
            <w:tcW w:w="7535" w:type="dxa"/>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备品备件方案</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评委根据响应文件对磋商文件采购需求中 “维保设备备品、备件及消耗品方案”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（1）响应文件未符合 “维保设备备品、备件及消耗品方案”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（2）响应文件符合 “维保设备备品、备件及消耗品方案” 中全部条款要求的，视为符合磋商文件，本项得 3 分。</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（3）响应文件对 “维保设备备品、备件及消耗品方案” 中的响应时效、供应管理、储备规划、质量管控等内容响应详实、管控机制健全，整体响应内容优于磋商文件要求的（前提是响应文件其余响应内容全部符合磋商文件要求），本项得 5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lang w:val="en-US"/>
              </w:rPr>
            </w:pPr>
            <w:r>
              <w:rPr>
                <w:rFonts w:hint="eastAsia" w:ascii="宋体" w:hAnsi="宋体" w:eastAsia="宋体" w:cs="Times New Roman"/>
                <w:b/>
                <w:sz w:val="21"/>
                <w:szCs w:val="21"/>
                <w:lang w:val="en-US"/>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2.11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ascii="宋体" w:hAnsi="宋体" w:eastAsia="宋体" w:cs="Times New Roman"/>
                <w:b/>
                <w:bCs/>
                <w:sz w:val="21"/>
                <w:szCs w:val="21"/>
              </w:rPr>
              <w:t xml:space="preserve">本地化服务方案</w:t>
            </w:r>
            <w:r/>
          </w:p>
        </w:tc>
        <w:tc>
          <w:tcPr>
            <w:tcBorders>
              <w:top w:val="single" w:color="000000" w:sz="4" w:space="0"/>
              <w:left w:val="single" w:color="000000" w:sz="4" w:space="0"/>
              <w:bottom w:val="single" w:color="000000" w:sz="4" w:space="0"/>
              <w:right w:val="single" w:color="000000" w:sz="4" w:space="0"/>
            </w:tcBorders>
            <w:tcW w:w="7535" w:type="dxa"/>
            <w:textDirection w:val="lrTb"/>
            <w:noWrap/>
          </w:tcPr>
          <w:p>
            <w:pPr>
              <w:ind w:firstLine="210"/>
              <w:jc w:val="left"/>
              <w:spacing w:line="360" w:lineRule="auto"/>
              <w:widowControl/>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本地化服务方案</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评委根据响应文件对磋商文件采购需求中 “本地化服务方案” 要求的响应情况进行评审。</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（1）响应文件未符合 “本地化服务方案” 中全部条款要求的，视为不符合磋商文件，本项得 0 分。</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（2）响应文件符合 “本地化服务方案” 中全部条款要求的，视为符合磋商文件，本项得 3 分。</w:t>
            </w:r>
            <w:r/>
          </w:p>
          <w:p>
            <w:pPr>
              <w:ind w:firstLine="210"/>
              <w:jc w:val="left"/>
              <w:spacing w:line="360" w:lineRule="auto"/>
              <w:widowControl/>
              <w:rPr>
                <w:rFonts w:hint="eastAsia" w:ascii="宋体" w:hAnsi="宋体" w:eastAsia="宋体"/>
                <w:color w:val="000000"/>
                <w:sz w:val="21"/>
                <w:szCs w:val="21"/>
                <w:lang w:bidi="ar"/>
              </w:rPr>
            </w:pPr>
            <w:r>
              <w:rPr>
                <w:rFonts w:ascii="宋体" w:hAnsi="宋体" w:eastAsia="宋体"/>
                <w:color w:val="000000"/>
                <w:sz w:val="21"/>
                <w:szCs w:val="21"/>
                <w:lang w:bidi="ar"/>
              </w:rPr>
              <w:t xml:space="preserve">（3）响应文件对 “本地化服务方案” 中的本地服务机构、技术团队、上门响应机制等内容响应详实、保障力度更强，整体响应内容优于磋商文件要求的（前提是</w:t>
            </w:r>
            <w:r>
              <w:rPr>
                <w:rFonts w:hint="eastAsia" w:ascii="宋体" w:hAnsi="宋体" w:eastAsia="宋体"/>
                <w:color w:val="000000"/>
                <w:sz w:val="21"/>
                <w:szCs w:val="21"/>
                <w:lang w:bidi="ar"/>
              </w:rPr>
              <w:t xml:space="preserve">响应</w:t>
            </w:r>
            <w:r>
              <w:rPr>
                <w:rFonts w:ascii="宋体" w:hAnsi="宋体" w:eastAsia="宋体"/>
                <w:color w:val="000000"/>
                <w:sz w:val="21"/>
                <w:szCs w:val="21"/>
                <w:lang w:bidi="ar"/>
              </w:rPr>
              <w:t xml:space="preserve">文件其余响应内容全部符合磋商文件要求），本项得 5 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sz w:val="21"/>
                <w:szCs w:val="21"/>
                <w:lang w:val="en-US"/>
              </w:rPr>
            </w:pPr>
            <w:r>
              <w:rPr>
                <w:rFonts w:hint="eastAsia" w:ascii="宋体" w:hAnsi="宋体" w:eastAsia="宋体" w:cs="Times New Roman"/>
                <w:b/>
                <w:sz w:val="21"/>
                <w:szCs w:val="21"/>
                <w:lang w:val="en-US"/>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10932"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三、商务部分（</w:t>
            </w:r>
            <w:r>
              <w:rPr>
                <w:rFonts w:hint="eastAsia" w:ascii="宋体" w:hAnsi="宋体" w:eastAsia="宋体"/>
                <w:b/>
                <w:sz w:val="21"/>
                <w:szCs w:val="21"/>
              </w:rPr>
              <w:t xml:space="preserve">29</w:t>
            </w:r>
            <w:r>
              <w:rPr>
                <w:rFonts w:hint="eastAsia" w:ascii="宋体" w:hAnsi="宋体" w:eastAsia="宋体"/>
                <w:b/>
                <w:sz w:val="21"/>
                <w:szCs w:val="21"/>
              </w:rPr>
              <w:t xml:space="preserve"> 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hint="eastAsia" w:ascii="宋体" w:hAnsi="宋体" w:eastAsia="宋体"/>
                <w:b/>
                <w:bCs/>
                <w:color w:val="000000"/>
                <w:sz w:val="21"/>
                <w:szCs w:val="21"/>
                <w:lang w:bidi="ar"/>
              </w:rPr>
              <w:t xml:space="preserve">项目团队负责人</w:t>
            </w:r>
            <w:r/>
          </w:p>
        </w:tc>
        <w:tc>
          <w:tcPr>
            <w:tcBorders>
              <w:top w:val="single" w:color="000000" w:sz="4" w:space="0"/>
              <w:left w:val="single" w:color="000000" w:sz="4" w:space="0"/>
              <w:bottom w:val="single" w:color="000000" w:sz="4" w:space="0"/>
              <w:right w:val="single" w:color="000000" w:sz="4" w:space="0"/>
            </w:tcBorders>
            <w:tcW w:w="7535" w:type="dxa"/>
            <w:textDirection w:val="lrTb"/>
            <w:noWrap/>
          </w:tcPr>
          <w:p>
            <w:pPr>
              <w:ind w:firstLine="210"/>
              <w:jc w:val="left"/>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项目团队负责人。</w:t>
            </w:r>
            <w:r/>
          </w:p>
          <w:p>
            <w:pPr>
              <w:ind w:firstLine="210"/>
              <w:jc w:val="left"/>
              <w:spacing w:line="360" w:lineRule="auto"/>
              <w:rPr>
                <w:rFonts w:hint="eastAsia" w:ascii="宋体" w:hAnsi="宋体" w:eastAsia="宋体" w:cs="等线"/>
                <w:sz w:val="21"/>
                <w:szCs w:val="21"/>
                <w:lang w:val="en-US" w:bidi="ar"/>
              </w:rPr>
            </w:pPr>
            <w:r>
              <w:rPr>
                <w:rFonts w:hint="eastAsia" w:ascii="宋体" w:hAnsi="宋体" w:eastAsia="宋体"/>
                <w:color w:val="000000"/>
                <w:sz w:val="21"/>
                <w:szCs w:val="21"/>
                <w:lang w:bidi="ar"/>
              </w:rPr>
              <w:t xml:space="preserve">供应商拟投入本项目的项目团队负责人具有正高级工程师职称证书、信息系统项目管理师证书、CISAW信息安全保障人员认证证书的，有1个得2分，满分6分。提供证书以及供应商近3个月任意一月为其缴纳社保的证明，扫描上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hint="eastAsia" w:ascii="宋体" w:hAnsi="宋体" w:eastAsia="宋体"/>
                <w:b/>
                <w:bCs/>
                <w:color w:val="000000"/>
                <w:sz w:val="21"/>
                <w:szCs w:val="21"/>
                <w:lang w:bidi="ar"/>
              </w:rPr>
              <w:t xml:space="preserve">技术团队负责人</w:t>
            </w:r>
            <w:r/>
          </w:p>
        </w:tc>
        <w:tc>
          <w:tcPr>
            <w:tcBorders>
              <w:top w:val="single" w:color="000000" w:sz="4" w:space="0"/>
              <w:left w:val="single" w:color="000000" w:sz="4" w:space="0"/>
              <w:bottom w:val="single" w:color="000000" w:sz="4" w:space="0"/>
              <w:right w:val="single" w:color="000000" w:sz="4" w:space="0"/>
            </w:tcBorders>
            <w:tcW w:w="7535" w:type="dxa"/>
            <w:textDirection w:val="lrTb"/>
            <w:noWrap/>
          </w:tcPr>
          <w:p>
            <w:pPr>
              <w:ind w:firstLine="210"/>
              <w:jc w:val="left"/>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技术团队负责人。</w:t>
            </w:r>
            <w:r/>
          </w:p>
          <w:p>
            <w:pPr>
              <w:ind w:firstLine="210"/>
              <w:jc w:val="left"/>
              <w:spacing w:line="360" w:lineRule="auto"/>
              <w:rPr>
                <w:rFonts w:hint="eastAsia" w:ascii="宋体" w:hAnsi="宋体" w:eastAsia="宋体" w:cs="等线"/>
                <w:sz w:val="21"/>
                <w:szCs w:val="21"/>
                <w:lang w:val="en-US" w:bidi="ar"/>
              </w:rPr>
            </w:pPr>
            <w:r>
              <w:rPr>
                <w:rFonts w:hint="eastAsia" w:ascii="宋体" w:hAnsi="宋体" w:eastAsia="宋体"/>
                <w:color w:val="000000"/>
                <w:sz w:val="21"/>
                <w:szCs w:val="21"/>
                <w:lang w:bidi="ar"/>
              </w:rPr>
              <w:t xml:space="preserve">供应商拟投入本项目的技术负责人具有高级工程师职称证书、高级系统架构设计师证书、注册信息安全专业人员（CISP）证书的，有1个得2分，满分6分。提供证书以及供应商近3个月任意一月为其缴纳社保的证明，扫描上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color w:val="000000"/>
                <w:sz w:val="21"/>
                <w:szCs w:val="21"/>
              </w:rPr>
            </w:pPr>
            <w:r>
              <w:rPr>
                <w:rFonts w:hint="eastAsia" w:ascii="宋体" w:hAnsi="宋体" w:eastAsia="宋体" w:cs="Times New Roman"/>
                <w:b/>
                <w:sz w:val="21"/>
                <w:szCs w:val="21"/>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hint="eastAsia" w:ascii="宋体" w:hAnsi="宋体" w:eastAsia="宋体"/>
                <w:b/>
                <w:bCs/>
                <w:color w:val="000000"/>
                <w:sz w:val="21"/>
                <w:szCs w:val="21"/>
                <w:lang w:bidi="ar"/>
              </w:rPr>
              <w:t xml:space="preserve">安全团队负责人</w:t>
            </w:r>
            <w:r/>
          </w:p>
        </w:tc>
        <w:tc>
          <w:tcPr>
            <w:tcBorders>
              <w:top w:val="single" w:color="000000" w:sz="4" w:space="0"/>
              <w:left w:val="single" w:color="000000" w:sz="4" w:space="0"/>
              <w:bottom w:val="single" w:color="000000" w:sz="4" w:space="0"/>
              <w:right w:val="single" w:color="000000" w:sz="4" w:space="0"/>
            </w:tcBorders>
            <w:tcW w:w="7535" w:type="dxa"/>
            <w:textDirection w:val="lrTb"/>
            <w:noWrap/>
          </w:tcPr>
          <w:p>
            <w:pPr>
              <w:ind w:firstLine="210"/>
              <w:jc w:val="left"/>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安全团队负责人。</w:t>
            </w:r>
            <w:r/>
          </w:p>
          <w:p>
            <w:pPr>
              <w:ind w:firstLine="210"/>
              <w:jc w:val="left"/>
              <w:spacing w:line="360" w:lineRule="auto"/>
              <w:rPr>
                <w:rFonts w:hint="eastAsia" w:ascii="宋体" w:hAnsi="宋体" w:eastAsia="宋体" w:cs="等线"/>
                <w:sz w:val="21"/>
                <w:szCs w:val="21"/>
                <w:lang w:val="en-US" w:bidi="ar"/>
              </w:rPr>
            </w:pPr>
            <w:r>
              <w:rPr>
                <w:rFonts w:hint="eastAsia" w:ascii="宋体" w:hAnsi="宋体" w:eastAsia="宋体"/>
                <w:color w:val="000000"/>
                <w:sz w:val="21"/>
                <w:szCs w:val="21"/>
                <w:lang w:bidi="ar"/>
              </w:rPr>
              <w:t xml:space="preserve">供应商拟投入本项目的安全负责人具有注册数据安全治理专业人员（CISP-DSG）证书、网络安全能力认证CCSC-网络安全技术(I级及以上)、CCRC-DSO数据安全官证书、CISAW信息安全保障人员认证证书的，每提供其中一个证书得1.5分，本项最高得6分，不提供得0分。提供证书以及供应商近3个月任意一月为其缴纳社保的证明，扫描上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color w:val="000000"/>
                <w:sz w:val="21"/>
                <w:szCs w:val="21"/>
              </w:rPr>
            </w:pPr>
            <w:r>
              <w:rPr>
                <w:rFonts w:hint="eastAsia" w:ascii="宋体" w:hAnsi="宋体" w:eastAsia="宋体"/>
                <w:b/>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3.4</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bCs/>
                <w:sz w:val="21"/>
                <w:szCs w:val="21"/>
              </w:rPr>
            </w:pPr>
            <w:r>
              <w:rPr>
                <w:rFonts w:hint="eastAsia" w:ascii="宋体" w:hAnsi="宋体" w:eastAsia="宋体"/>
                <w:b/>
                <w:bCs/>
                <w:color w:val="000000"/>
                <w:sz w:val="21"/>
                <w:szCs w:val="21"/>
                <w:lang w:bidi="ar"/>
              </w:rPr>
              <w:t xml:space="preserve">项目运维支撑团队成员</w:t>
            </w:r>
            <w:r/>
          </w:p>
        </w:tc>
        <w:tc>
          <w:tcPr>
            <w:tcBorders>
              <w:top w:val="single" w:color="000000" w:sz="4" w:space="0"/>
              <w:left w:val="single" w:color="000000" w:sz="4" w:space="0"/>
              <w:bottom w:val="single" w:color="000000" w:sz="4" w:space="0"/>
              <w:right w:val="single" w:color="000000" w:sz="4" w:space="0"/>
            </w:tcBorders>
            <w:tcW w:w="7535" w:type="dxa"/>
            <w:textDirection w:val="lrTb"/>
            <w:noWrap/>
          </w:tcPr>
          <w:p>
            <w:pPr>
              <w:ind w:firstLine="210"/>
              <w:jc w:val="left"/>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项目运维支撑团队成员。</w:t>
            </w:r>
            <w:r/>
          </w:p>
          <w:p>
            <w:pPr>
              <w:ind w:firstLine="210"/>
              <w:jc w:val="left"/>
              <w:spacing w:line="360" w:lineRule="auto"/>
              <w:rPr>
                <w:rFonts w:hint="eastAsia" w:ascii="宋体" w:hAnsi="宋体" w:eastAsia="宋体" w:cs="等线"/>
                <w:sz w:val="21"/>
                <w:szCs w:val="21"/>
                <w:lang w:val="en-US" w:bidi="ar"/>
              </w:rPr>
            </w:pPr>
            <w:r>
              <w:rPr>
                <w:rFonts w:hint="eastAsia" w:ascii="宋体" w:hAnsi="宋体" w:eastAsia="宋体"/>
                <w:color w:val="000000"/>
                <w:sz w:val="21"/>
                <w:szCs w:val="21"/>
                <w:lang w:bidi="ar"/>
              </w:rPr>
              <w:t xml:space="preserve">供应商拟投入本项目的项目团队人员（除团队负责人）具有软考高级系统架构设计师、软考高级网络规划设计师、软考高级信息系统项目管理师的，每提供其中一类证书得1分，本项最高得3分，不提供得0分。</w:t>
            </w:r>
            <w:r>
              <w:rPr>
                <w:rFonts w:hint="eastAsia" w:ascii="宋体" w:hAnsi="宋体" w:eastAsia="宋体"/>
                <w:color w:val="000000"/>
                <w:sz w:val="21"/>
                <w:szCs w:val="21"/>
                <w:lang w:bidi="ar"/>
              </w:rPr>
              <w:t xml:space="preserve">提供同一人不同证书不重复计分、提供同一类证书不重复计分，</w:t>
            </w:r>
            <w:r>
              <w:rPr>
                <w:rFonts w:hint="eastAsia" w:ascii="宋体" w:hAnsi="宋体" w:eastAsia="宋体"/>
                <w:color w:val="000000"/>
                <w:sz w:val="21"/>
                <w:szCs w:val="21"/>
                <w:lang w:bidi="ar"/>
              </w:rPr>
              <w:t xml:space="preserve">提供证书以及供应商近3个月任意一月为其缴纳社保的证明，扫描上传。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cs="Times New Roman"/>
                <w:b/>
                <w:color w:val="000000"/>
                <w:sz w:val="21"/>
                <w:szCs w:val="21"/>
              </w:rPr>
            </w:pPr>
            <w:r>
              <w:rPr>
                <w:rFonts w:hint="eastAsia" w:ascii="宋体" w:hAnsi="宋体" w:eastAsia="宋体"/>
                <w:b/>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类似项目业绩</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tcPr>
          <w:p>
            <w:pPr>
              <w:ind w:firstLine="210"/>
              <w:spacing w:line="360" w:lineRule="auto"/>
              <w:rPr>
                <w:rFonts w:hint="eastAsia" w:ascii="宋体" w:hAnsi="宋体" w:eastAsia="宋体"/>
                <w:color w:val="000000"/>
                <w:sz w:val="21"/>
                <w:szCs w:val="21"/>
                <w:lang w:val="en-US" w:bidi="ar"/>
              </w:rPr>
            </w:pPr>
            <w:r>
              <w:rPr>
                <w:rFonts w:ascii="宋体" w:hAnsi="宋体" w:eastAsia="宋体"/>
                <w:color w:val="000000"/>
                <w:sz w:val="21"/>
                <w:szCs w:val="21"/>
                <w:lang w:val="en-US" w:bidi="ar"/>
              </w:rPr>
              <w:t xml:space="preserve">供应商</w:t>
            </w:r>
            <w:r>
              <w:rPr>
                <w:rFonts w:hint="eastAsia" w:ascii="宋体" w:hAnsi="宋体" w:eastAsia="宋体"/>
                <w:color w:val="000000"/>
                <w:sz w:val="21"/>
                <w:szCs w:val="21"/>
                <w:lang w:val="en-US" w:bidi="ar"/>
              </w:rPr>
              <w:t xml:space="preserve">自</w:t>
            </w:r>
            <w:r>
              <w:rPr>
                <w:rFonts w:ascii="宋体" w:hAnsi="宋体" w:eastAsia="宋体"/>
                <w:color w:val="000000"/>
                <w:sz w:val="21"/>
                <w:szCs w:val="21"/>
                <w:lang w:val="en-US" w:bidi="ar"/>
              </w:rPr>
              <w:t xml:space="preserve">2023年1月1日</w:t>
            </w:r>
            <w:r>
              <w:rPr>
                <w:rFonts w:hint="eastAsia" w:ascii="宋体" w:hAnsi="宋体" w:eastAsia="宋体"/>
                <w:color w:val="000000"/>
                <w:sz w:val="21"/>
                <w:szCs w:val="21"/>
                <w:lang w:val="en-US" w:bidi="ar"/>
              </w:rPr>
              <w:t xml:space="preserve">以来，具有类似运维项目合同案例，</w:t>
            </w:r>
            <w:r>
              <w:rPr>
                <w:rFonts w:ascii="宋体" w:hAnsi="宋体" w:eastAsia="宋体"/>
                <w:color w:val="000000"/>
                <w:sz w:val="21"/>
                <w:szCs w:val="21"/>
                <w:lang w:val="en-US" w:bidi="ar"/>
              </w:rPr>
              <w:t xml:space="preserve">每提供1项有效的类似</w:t>
            </w:r>
            <w:r>
              <w:rPr>
                <w:rFonts w:hint="eastAsia" w:ascii="宋体" w:hAnsi="宋体" w:eastAsia="宋体"/>
                <w:color w:val="000000"/>
                <w:sz w:val="21"/>
                <w:szCs w:val="21"/>
                <w:lang w:val="en-US" w:bidi="ar"/>
              </w:rPr>
              <w:t xml:space="preserve">运维</w:t>
            </w:r>
            <w:r>
              <w:rPr>
                <w:rFonts w:ascii="宋体" w:hAnsi="宋体" w:eastAsia="宋体"/>
                <w:color w:val="000000"/>
                <w:sz w:val="21"/>
                <w:szCs w:val="21"/>
                <w:lang w:val="en-US" w:bidi="ar"/>
              </w:rPr>
              <w:t xml:space="preserve">项目业绩的加2分，本项最多加8分，没有案例得0分。</w:t>
            </w:r>
            <w:r/>
          </w:p>
          <w:p>
            <w:pPr>
              <w:ind w:firstLine="210"/>
              <w:spacing w:line="360" w:lineRule="auto"/>
              <w:rPr>
                <w:rFonts w:hint="eastAsia" w:ascii="宋体" w:hAnsi="宋体" w:eastAsia="宋体"/>
                <w:color w:val="000000"/>
                <w:sz w:val="21"/>
                <w:szCs w:val="21"/>
                <w:lang w:bidi="ar"/>
              </w:rPr>
            </w:pPr>
            <w:r>
              <w:rPr>
                <w:rFonts w:ascii="宋体" w:hAnsi="宋体" w:eastAsia="宋体"/>
                <w:color w:val="000000"/>
                <w:sz w:val="21"/>
                <w:szCs w:val="21"/>
                <w:lang w:val="en-US" w:bidi="ar"/>
              </w:rPr>
              <w:t xml:space="preserve">注：提供合同复印件并加盖</w:t>
            </w:r>
            <w:r>
              <w:rPr>
                <w:rFonts w:hint="eastAsia" w:ascii="宋体" w:hAnsi="宋体" w:eastAsia="宋体"/>
                <w:color w:val="000000"/>
                <w:sz w:val="21"/>
                <w:szCs w:val="21"/>
                <w:lang w:val="en-US" w:bidi="ar"/>
              </w:rPr>
              <w:t xml:space="preserve">磋商</w:t>
            </w:r>
            <w:r>
              <w:rPr>
                <w:rFonts w:ascii="宋体" w:hAnsi="宋体" w:eastAsia="宋体"/>
                <w:color w:val="000000"/>
                <w:sz w:val="21"/>
                <w:szCs w:val="21"/>
                <w:lang w:val="en-US" w:bidi="ar"/>
              </w:rPr>
              <w:t xml:space="preserve">供应商公章（</w:t>
            </w:r>
            <w:r>
              <w:rPr>
                <w:rFonts w:hint="eastAsia" w:ascii="宋体" w:hAnsi="宋体" w:eastAsia="宋体"/>
                <w:sz w:val="21"/>
                <w:szCs w:val="21"/>
              </w:rPr>
              <w:t xml:space="preserve">时间以合同签订日期为准</w:t>
            </w:r>
            <w:r>
              <w:rPr>
                <w:rFonts w:ascii="宋体" w:hAnsi="宋体" w:eastAsia="宋体"/>
                <w:color w:val="000000"/>
                <w:sz w:val="21"/>
                <w:szCs w:val="21"/>
                <w:lang w:val="en-US" w:bidi="ar"/>
              </w:rPr>
              <w:t xml:space="preserve">，复印件能清楚表明项目名称及主要内容，必须包含甲乙双方名称及公章）</w:t>
            </w:r>
            <w:r>
              <w:rPr>
                <w:rFonts w:hint="eastAsia" w:ascii="宋体" w:hAnsi="宋体" w:eastAsia="宋体"/>
                <w:color w:val="000000"/>
                <w:sz w:val="21"/>
                <w:szCs w:val="21"/>
                <w:lang w:val="en-US" w:bidi="ar"/>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eastAsia="宋体"/>
                <w:b/>
                <w:color w:val="000000"/>
                <w:sz w:val="21"/>
                <w:szCs w:val="21"/>
                <w:lang w:bidi="ar"/>
              </w:rPr>
            </w:pPr>
            <w:r>
              <w:rPr>
                <w:rFonts w:hint="eastAsia" w:ascii="宋体" w:hAnsi="宋体" w:eastAsia="宋体"/>
                <w:b/>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客观分</w:t>
            </w:r>
            <w:r/>
          </w:p>
        </w:tc>
      </w:tr>
    </w:tbl>
    <w:p>
      <w:pPr>
        <w:ind w:firstLine="211"/>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ind w:firstLine="211"/>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ind w:firstLine="207"/>
        <w:jc w:val="left"/>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r>
      <w:r>
        <w:rPr>
          <w:rFonts w:ascii="宋体" w:hAnsi="宋体" w:eastAsia="宋体"/>
          <w:b/>
          <w:sz w:val="21"/>
          <w:szCs w:val="21"/>
        </w:rPr>
        <w:br w:type="textWrapping" w:clear="all"/>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p>
    <w:p>
      <w:pPr>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p>
    <w:p>
      <w:pPr>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lang w:val="zh-TW"/>
        </w:rPr>
      </w:r>
      <w:r/>
    </w:p>
    <w:p>
      <w:pPr>
        <w:ind w:firstLine="211"/>
        <w:spacing w:line="360" w:lineRule="auto"/>
        <w:rPr>
          <w:rFonts w:hint="eastAsia" w:ascii="宋体" w:hAnsi="宋体" w:eastAsia="宋体"/>
          <w:b/>
          <w:sz w:val="21"/>
          <w:szCs w:val="21"/>
        </w:rPr>
      </w:pPr>
      <w:r>
        <w:rPr>
          <w:rFonts w:hint="eastAsia" w:ascii="宋体" w:hAnsi="宋体" w:eastAsia="宋体"/>
          <w:b/>
          <w:sz w:val="21"/>
          <w:szCs w:val="21"/>
        </w:rPr>
      </w:r>
      <w:r/>
    </w:p>
    <w:p>
      <w:pPr>
        <w:pStyle w:val="1075"/>
        <w:rPr>
          <w:rFonts w:eastAsia="等线"/>
          <w:lang w:eastAsia="zh-CN"/>
        </w:rPr>
        <w:sectPr>
          <w:headerReference w:type="default" r:id="rId12"/>
          <w:footerReference w:type="default" r:id="rId16"/>
          <w:footnotePr/>
          <w:endnotePr/>
          <w:type w:val="nextPage"/>
          <w:pgSz w:w="11906" w:h="16838" w:orient="portrait"/>
          <w:pgMar w:top="1440" w:right="1080" w:bottom="1440" w:left="1080" w:header="1020" w:footer="624" w:gutter="0"/>
          <w:pgNumType w:start="1"/>
          <w:cols w:num="1" w:sep="0" w:space="720" w:equalWidth="1"/>
          <w:docGrid w:linePitch="360"/>
        </w:sectPr>
      </w:pPr>
      <w:r>
        <w:rPr>
          <w:rFonts w:eastAsia="等线"/>
          <w:lang w:eastAsia="zh-CN"/>
        </w:rPr>
      </w:r>
      <w:r/>
    </w:p>
    <w:p>
      <w:pPr>
        <w:jc w:val="center"/>
        <w:spacing w:line="360" w:lineRule="auto"/>
        <w:tabs>
          <w:tab w:val="left" w:pos="321" w:leader="none"/>
        </w:tabs>
        <w:rPr>
          <w:rFonts w:hint="eastAsia" w:ascii="黑体" w:hAnsi="黑体" w:eastAsia="黑体" w:cs="黑体"/>
          <w:bCs/>
          <w:sz w:val="32"/>
          <w:szCs w:val="32"/>
        </w:rPr>
      </w:pPr>
      <w:r>
        <w:rPr>
          <w:rFonts w:hint="eastAsia" w:ascii="黑体" w:hAnsi="黑体" w:eastAsia="黑体" w:cs="黑体"/>
          <w:bCs/>
          <w:sz w:val="32"/>
          <w:szCs w:val="32"/>
        </w:rPr>
        <w:t xml:space="preserve">第四章 </w:t>
      </w:r>
      <w:r>
        <w:rPr>
          <w:rFonts w:hint="eastAsia" w:ascii="黑体" w:hAnsi="黑体" w:eastAsia="黑体" w:cs="黑体"/>
          <w:bCs/>
          <w:sz w:val="32"/>
          <w:szCs w:val="32"/>
          <w:lang w:val="en-US"/>
        </w:rPr>
        <w:t xml:space="preserve"> </w:t>
      </w:r>
      <w:r>
        <w:rPr>
          <w:rFonts w:hint="eastAsia" w:ascii="黑体" w:hAnsi="黑体" w:eastAsia="黑体" w:cs="黑体"/>
          <w:bCs/>
          <w:sz w:val="32"/>
          <w:szCs w:val="32"/>
        </w:rPr>
        <w:t xml:space="preserve">采购项目需求</w:t>
      </w:r>
      <w:r/>
    </w:p>
    <w:p>
      <w:pPr>
        <w:ind w:firstLine="482"/>
        <w:spacing w:line="360" w:lineRule="auto"/>
        <w:rPr>
          <w:rFonts w:hint="eastAsia" w:ascii="宋体" w:hAnsi="宋体" w:eastAsia="宋体"/>
          <w:b/>
          <w:bCs/>
          <w:sz w:val="24"/>
          <w:szCs w:val="24"/>
        </w:rPr>
        <w:outlineLvl w:val="0"/>
      </w:pPr>
      <w:r/>
      <w:bookmarkStart w:id="32" w:name="_Hlk160193362"/>
      <w:r/>
      <w:bookmarkStart w:id="33" w:name="_Hlk160435917"/>
      <w:r>
        <w:rPr>
          <w:rFonts w:ascii="宋体" w:hAnsi="宋体" w:eastAsia="宋体"/>
          <w:b/>
          <w:bCs/>
          <w:sz w:val="24"/>
          <w:szCs w:val="24"/>
        </w:rPr>
        <w:t xml:space="preserve">一、采购标的清单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56"/>
        <w:gridCol w:w="3404"/>
        <w:gridCol w:w="3826"/>
        <w:gridCol w:w="950"/>
      </w:tblGrid>
      <w:tr>
        <w:trPr>
          <w:cantSplit/>
          <w:jc w:val="center"/>
          <w:trHeight w:val="45"/>
        </w:trPr>
        <w:tc>
          <w:tcPr>
            <w:tcW w:w="799"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采购包</w:t>
            </w:r>
            <w:r>
              <w:rPr>
                <w:rFonts w:hint="eastAsia" w:ascii="宋体" w:hAnsi="宋体" w:eastAsia="宋体"/>
                <w:sz w:val="24"/>
                <w:szCs w:val="24"/>
              </w:rPr>
              <w:t xml:space="preserve">号</w:t>
            </w:r>
            <w:r/>
          </w:p>
        </w:tc>
        <w:tc>
          <w:tcPr>
            <w:tcW w:w="1748"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采购标的</w:t>
            </w:r>
            <w:r/>
          </w:p>
        </w:tc>
        <w:tc>
          <w:tcPr>
            <w:tcW w:w="1965"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对应中小企业划分标准所属行业</w:t>
            </w:r>
            <w:r/>
          </w:p>
        </w:tc>
        <w:tc>
          <w:tcPr>
            <w:tcW w:w="489" w:type="pct"/>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类型</w:t>
            </w:r>
            <w:r/>
          </w:p>
        </w:tc>
      </w:tr>
      <w:tr>
        <w:trPr>
          <w:cantSplit/>
          <w:jc w:val="center"/>
          <w:trHeight w:val="45"/>
        </w:trPr>
        <w:tc>
          <w:tcPr>
            <w:tcW w:w="799"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1748"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指挥网网络和安全运维服务</w:t>
            </w:r>
            <w:r/>
          </w:p>
        </w:tc>
        <w:tc>
          <w:tcPr>
            <w:tcW w:w="1965"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软件和信息技术服务业</w:t>
            </w:r>
            <w:r/>
          </w:p>
        </w:tc>
        <w:tc>
          <w:tcPr>
            <w:tcW w:w="489" w:type="pct"/>
            <w:textDirection w:val="lrTb"/>
            <w:noWrap w:val="false"/>
          </w:tcPr>
          <w:p>
            <w:pPr>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服务</w:t>
            </w:r>
            <w:r/>
          </w:p>
        </w:tc>
      </w:tr>
      <w:tr>
        <w:trPr>
          <w:cantSplit/>
          <w:jc w:val="center"/>
          <w:trHeight w:val="45"/>
        </w:trPr>
        <w:tc>
          <w:tcPr>
            <w:tcW w:w="799"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w:t>
            </w:r>
            <w:r/>
          </w:p>
        </w:tc>
        <w:tc>
          <w:tcPr>
            <w:tcW w:w="1748"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机房及硬件维修维保服务</w:t>
            </w:r>
            <w:r/>
          </w:p>
        </w:tc>
        <w:tc>
          <w:tcPr>
            <w:tcW w:w="1965"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lang w:val="en-US"/>
              </w:rPr>
              <w:t xml:space="preserve">软件和信息技术服务业</w:t>
            </w:r>
            <w:r/>
          </w:p>
        </w:tc>
        <w:tc>
          <w:tcPr>
            <w:tcW w:w="489" w:type="pct"/>
            <w:textDirection w:val="lrTb"/>
            <w:noWrap w:val="false"/>
          </w:tcPr>
          <w:p>
            <w:pPr>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服务</w:t>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注：供应商可任意选取若干个采购包进行投标，磋商小组按采购包号顺序依次对采购包1、采购包2进行评审，兼投兼中。</w:t>
      </w:r>
      <w:r/>
    </w:p>
    <w:p>
      <w:pPr>
        <w:ind w:firstLine="482"/>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二、技术要求</w:t>
      </w:r>
      <w:r/>
    </w:p>
    <w:p>
      <w:pPr>
        <w:pStyle w:val="830"/>
        <w:jc w:val="center"/>
        <w:spacing w:before="0" w:after="0" w:line="360" w:lineRule="auto"/>
        <w:rPr>
          <w:rFonts w:hint="eastAsia"/>
          <w:sz w:val="24"/>
        </w:rPr>
      </w:pPr>
      <w:r>
        <w:rPr>
          <w:rFonts w:hint="eastAsia"/>
          <w:sz w:val="24"/>
        </w:rPr>
        <w:t xml:space="preserve">采购包1：指挥网网络和安全运维服务</w:t>
      </w:r>
      <w:r/>
    </w:p>
    <w:p>
      <w:pPr>
        <w:ind w:firstLine="499"/>
        <w:keepLines/>
        <w:keepNext/>
        <w:spacing w:line="360" w:lineRule="auto"/>
        <w:rPr>
          <w:rFonts w:hint="eastAsia" w:ascii="宋体" w:hAnsi="宋体" w:eastAsia="宋体"/>
          <w:b/>
          <w:bCs/>
          <w:color w:val="000000"/>
          <w:sz w:val="24"/>
          <w:szCs w:val="24"/>
        </w:rPr>
        <w:outlineLvl w:val="2"/>
      </w:pPr>
      <w:r>
        <w:rPr>
          <w:rFonts w:hint="eastAsia" w:ascii="宋体" w:hAnsi="宋体" w:eastAsia="宋体"/>
          <w:b/>
          <w:bCs/>
          <w:color w:val="000000"/>
          <w:sz w:val="24"/>
          <w:szCs w:val="24"/>
        </w:rPr>
        <w:t xml:space="preserve">一、驻场运维服务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（一）人员配置要求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基础配置：在江苏省应急管理厅机房驻场，组建驻场运维服务团队，团队人员年流动率小于20%，确保驻场服务稳定。</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人员替换机制：运维人员出现生病、请假、休假等情况，在 1 小时内无间断安排替换人员常驻。</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人员资质要求：驻场人员需具备网络、计算机、软件故障处理工作经验，能独立熟练处理各类相关故障。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（二）工作时间要求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全年提供 7×24 小时驻场服务，采用轮班制。工作时间内，保证随时至少有 2 名驻场工程师在岗；夜间、节假日等非工作时间，至少有 1 名驻场工程师在岗值守。驻场人员总人数不少于5人。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（三）费用承担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驻场运维人员的食宿费用、当地交通等应急费用均包含在供应商报价中，采购人不另行承担。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（四）服务内容</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1、网络环境日常监测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对省厅指挥网、政务网、互联网网络状态进行实时监测，发现异常需在15分钟内响应处理。问题处理的事前、事中、事后全过程需详细记录，形成处理日志，于当日下班前上报至应急管理服务中心。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2、设备巡检</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除网络设备日常监测外，对机房服务器、路由器、网络接设备、安全设备、管理设备等关键设备，每周进行一次巡检，并记录巡检过程。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3、应急响应处理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接到省厅人员关于网络故障报修后，需在 10 分钟内响应，及时处理故障，并记录故障产生的原因、解决方式。</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4、日常卫生管理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每日对运维办公区域地面进行卫生清洁，保证运维办公区域干净整洁。</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每季度对机房内线缆进行整理，确保线缆整齐、标识清晰，无缠绕、杂乱现象。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每半年对机房消防设备进行外观检查和有效期确认，发现问题及时上报更换。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每半年对机房空调外机进行清洗，并对空调制冷效果进行监测。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5、运维场所进出管理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权限管理：协助管理服务中心严格管理机房进出人员，仅允许经采购人授权的驻场运维人员、设备厂商技术人员（需提前申请并获批准）等进入机房，未经授权人员禁止入内。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登记流程：所有进入机房人员必须在运维管理平台上详细填写姓名、单位、进入时间、事由、预计离开时间等信息。</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人员签到：协助管理服务中心做好驻场运维人员上下班签到管理，签到记录需留存备查。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6、信息化资产管理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协助管理服务中心做好省厅信息化资产管理，包括但不限于物理机、云主机、ip、端口、策略等。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7、其他日常工作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协助管理服务中心做好日常信息系统运维管理工作；协助安服单位做好网络安全台账归档；做好日常主机资源、端口、策略等工单的申请；做好管理服务中心交办的其他工作任务。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（五）成果产出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问题处理报告：每日下班前将当日问题处理记录及结果等提交至省厅运维管理平台。</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周报：每周五下班前将本周运维工作周报至省厅运维管理平台，总结一周内网络运行状况、故障处理数量及类型等。</w:t>
      </w:r>
      <w:r/>
    </w:p>
    <w:p>
      <w:pPr>
        <w:ind w:firstLine="499"/>
        <w:keepLines/>
        <w:keepNext/>
        <w:spacing w:line="360" w:lineRule="auto"/>
        <w:rPr>
          <w:rFonts w:hint="eastAsia" w:ascii="宋体" w:hAnsi="宋体" w:eastAsia="宋体"/>
          <w:b/>
          <w:bCs/>
          <w:color w:val="000000"/>
          <w:sz w:val="24"/>
          <w:szCs w:val="24"/>
        </w:rPr>
        <w:outlineLvl w:val="2"/>
      </w:pPr>
      <w:r>
        <w:rPr>
          <w:rFonts w:hint="eastAsia" w:ascii="宋体" w:hAnsi="宋体" w:eastAsia="宋体"/>
          <w:b/>
          <w:bCs/>
          <w:color w:val="000000"/>
          <w:sz w:val="24"/>
          <w:szCs w:val="24"/>
        </w:rPr>
        <w:t xml:space="preserve">二、现场巡检服务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（一）巡检频次</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每年至少开展两次现场巡检服务，具体时间需提前与采购人沟通确定。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（二）巡检范围与内容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对13个地市指挥信息网广域网、地市分支节点广域网及局域网环境进行全面检查，检查内容与驻场运维服务中的网络环境监测内容一致，即网络设备 CPU 利用状况、内存利用状况等相关指标，以及机房环境的设备位置、供电情况等方面。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（三）问题处理与上报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巡检过程中发现的各类网络问题，需在现场及时处理解决。对于无法现场解决的问题，需制定解决方案并明确解决时间节点，同时记录详细问题情况、处理过程及后续计划，在巡检结束后 24 小时内上报采购人。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（四）成果产出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巡检报告：每次巡检结束后 7 个工作日内，提交详细的巡检报告，包含巡检情况概述、问题清单、处理结果、设备健康评估等。</w:t>
      </w:r>
      <w:r/>
    </w:p>
    <w:p>
      <w:pPr>
        <w:ind w:firstLine="499"/>
        <w:keepLines/>
        <w:keepNext/>
        <w:spacing w:line="360" w:lineRule="auto"/>
        <w:rPr>
          <w:rFonts w:hint="eastAsia" w:ascii="宋体" w:hAnsi="宋体" w:eastAsia="宋体"/>
          <w:b/>
          <w:bCs/>
          <w:color w:val="000000"/>
          <w:sz w:val="24"/>
          <w:szCs w:val="24"/>
        </w:rPr>
        <w:outlineLvl w:val="2"/>
      </w:pPr>
      <w:r>
        <w:rPr>
          <w:rFonts w:hint="eastAsia" w:ascii="宋体" w:hAnsi="宋体" w:eastAsia="宋体"/>
          <w:b/>
          <w:bCs/>
          <w:color w:val="000000"/>
          <w:sz w:val="24"/>
          <w:szCs w:val="24"/>
        </w:rPr>
        <w:t xml:space="preserve">三、质保延期服务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提供以下网络安全设备及其相关配件的</w:t>
      </w:r>
      <w:r>
        <w:rPr>
          <w:rFonts w:hint="eastAsia" w:ascii="宋体" w:hAnsi="宋体" w:eastAsia="宋体"/>
          <w:sz w:val="24"/>
          <w:szCs w:val="24"/>
          <w:lang w:val="en-US"/>
        </w:rPr>
        <w:t xml:space="preserve">12</w:t>
      </w:r>
      <w:r>
        <w:rPr>
          <w:rFonts w:hint="eastAsia" w:ascii="宋体" w:hAnsi="宋体" w:eastAsia="宋体"/>
          <w:sz w:val="24"/>
          <w:szCs w:val="24"/>
        </w:rPr>
        <w:t xml:space="preserve">个月原厂质保服务，合同签订前提供原厂质保函，设备列表如下：</w:t>
      </w:r>
      <w:r/>
    </w:p>
    <w:tbl>
      <w:tblPr>
        <w:tblW w:w="0" w:type="auto"/>
        <w:jc w:val="center"/>
        <w:tblCellMar>
          <w:left w:w="15" w:type="dxa"/>
          <w:top w:w="15" w:type="dxa"/>
          <w:right w:w="15" w:type="dxa"/>
        </w:tblCellMar>
        <w:tblLook w:val="04A0" w:firstRow="1" w:lastRow="0" w:firstColumn="1" w:lastColumn="0" w:noHBand="0" w:noVBand="1"/>
      </w:tblPr>
      <w:tblGrid>
        <w:gridCol w:w="846"/>
        <w:gridCol w:w="850"/>
        <w:gridCol w:w="1276"/>
        <w:gridCol w:w="3827"/>
        <w:gridCol w:w="851"/>
        <w:gridCol w:w="709"/>
        <w:gridCol w:w="1377"/>
      </w:tblGrid>
      <w:tr>
        <w:trPr>
          <w:jc w:val="center"/>
          <w:trHeight w:val="6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6" w:type="dxa"/>
            <w:vAlign w:val="center"/>
            <w:textDirection w:val="lrTb"/>
            <w:noWrap w:val="false"/>
          </w:tcPr>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厂家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7" w:type="dxa"/>
            <w:vAlign w:val="center"/>
            <w:textDirection w:val="lrTb"/>
            <w:noWrap w:val="false"/>
          </w:tcPr>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型号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服务要求</w:t>
            </w:r>
            <w:r/>
          </w:p>
        </w:tc>
      </w:tr>
      <w:tr>
        <w:trPr>
          <w:jc w:val="center"/>
          <w:trHeight w:val="7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6"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深信服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VPN防火墙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7"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VPN-4050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12个月硬件原厂质保</w:t>
            </w:r>
            <w:r/>
          </w:p>
        </w:tc>
      </w:tr>
      <w:tr>
        <w:trPr>
          <w:jc w:val="center"/>
          <w:trHeight w:val="6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6"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省级节点路由器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27"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NE40E-X8A（配置含机箱/双主控/两块480G交换网/六块交流电源/两个风扇框/24端口100/1000Base-X-SFP灵活插卡A(P101-A)/ 20端口10/100/1000Base-RJ45 灵活插卡A(P51-A)/ 6端口10GBase LAN/WAN-SFP+灵活插卡A(P120-A)。）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12个月硬件原厂质保</w:t>
            </w:r>
            <w:r/>
          </w:p>
        </w:tc>
      </w:tr>
    </w:tbl>
    <w:p>
      <w:pPr>
        <w:ind w:firstLine="499"/>
        <w:keepLines/>
        <w:keepNext/>
        <w:spacing w:line="360" w:lineRule="auto"/>
        <w:rPr>
          <w:rFonts w:hint="eastAsia" w:ascii="宋体" w:hAnsi="宋体" w:eastAsia="宋体"/>
          <w:b/>
          <w:bCs/>
          <w:color w:val="000000"/>
          <w:sz w:val="24"/>
          <w:szCs w:val="24"/>
        </w:rPr>
        <w:outlineLvl w:val="2"/>
      </w:pPr>
      <w:r>
        <w:rPr>
          <w:rFonts w:hint="eastAsia" w:ascii="宋体" w:hAnsi="宋体" w:eastAsia="宋体"/>
          <w:b/>
          <w:bCs/>
          <w:color w:val="000000"/>
          <w:sz w:val="24"/>
          <w:szCs w:val="24"/>
        </w:rPr>
        <w:t xml:space="preserve">四、网络安全日志大模型分析服务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供应商承诺为省厅提供网络安全日志大模型分析服务，支持Deepseek 7B-14B参数，提供必要的运行环境，支持本地研发和中等规模推理，要求本地化提供服务，保障数据隐私安全。</w:t>
      </w:r>
      <w:r/>
    </w:p>
    <w:p>
      <w:pPr>
        <w:ind w:firstLine="499"/>
        <w:keepLines/>
        <w:keepNext/>
        <w:spacing w:line="360" w:lineRule="auto"/>
        <w:rPr>
          <w:rFonts w:hint="eastAsia" w:ascii="宋体" w:hAnsi="宋体" w:eastAsia="宋体"/>
          <w:b/>
          <w:bCs/>
          <w:color w:val="000000"/>
          <w:sz w:val="24"/>
          <w:szCs w:val="24"/>
        </w:rPr>
        <w:outlineLvl w:val="2"/>
      </w:pPr>
      <w:r>
        <w:rPr>
          <w:rFonts w:hint="eastAsia" w:ascii="宋体" w:hAnsi="宋体" w:eastAsia="宋体"/>
          <w:b/>
          <w:bCs/>
          <w:color w:val="000000"/>
          <w:sz w:val="24"/>
          <w:szCs w:val="24"/>
        </w:rPr>
        <w:t xml:space="preserve">五、方案要求</w:t>
      </w:r>
      <w:r/>
    </w:p>
    <w:p>
      <w:pPr>
        <w:ind w:firstLine="480"/>
        <w:spacing w:line="360" w:lineRule="auto"/>
        <w:rPr>
          <w:rFonts w:hint="eastAsia" w:ascii="宋体" w:hAnsi="宋体" w:eastAsia="宋体"/>
          <w:sz w:val="24"/>
          <w:szCs w:val="24"/>
        </w:rPr>
      </w:pPr>
      <w:r/>
      <w:bookmarkStart w:id="34" w:name="OLE_LINK18"/>
      <w:r>
        <w:rPr>
          <w:rFonts w:hint="eastAsia" w:ascii="宋体" w:hAnsi="宋体" w:eastAsia="宋体"/>
          <w:sz w:val="24"/>
          <w:szCs w:val="24"/>
        </w:rPr>
        <w:t xml:space="preserve">（一）现状和需求分析</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供应商将针对本项目开展全面的现状调研与需求分析工作，系统梳理项目建设背景、基础设施、系统运行、运维保障、网络安全等整体现状，客观分析项目现存问题、实施难点及潜在风险。结合项目建设目标，全面梳理业务需求、功能需求、非功能需求及安全需求，确保充分贴合项目实际建设与运行要求，为项目实施提供依据。</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（二）驻场运维服务方案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供应商需完整编制针对性驻场运维服务方案，评标将依据供应商提交的驻场运维服务方案综合打分。方案中必须清晰、完整明确服务团队总配置人数，白班在岗驻场人员数量、晚班值守驻场人员数量，全部驻场服务人员对应的专业能力、技能能力、项目相关从业资质材料说明，标准化驻场全流程工作清单，以及驻场运维过程中全部交付成果产出、交付规范等相关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（三）巡检方案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供应商需编制标准化、规范化巡检方案，评标将依据供应商提交的巡检方案综合打分，方案完整覆盖巡检计划、巡检执行人员安排、不同设备及业务场景对应的巡检频率、全维度巡检核查内容四大板块，各项内容需贴合本项目软硬件、网络、安全设备实际运行环境，内容完整、流程清晰可落地。</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（四）质保延期服务方案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供应商需结合本项目设备、系统、安全平台整体建设内容编制专属质保延期服务方案，评标将依据供应商提交的质保延期服务方案综合打分，方案需明确延期质保覆盖范围、延期服务保障标准、全周期技术支撑、故障处置保障等相关完整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（五）网络安全日志大模型分析服务方案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供应商需编制完整可行的网络安全日志大模型分析服务方案，评标将依据供应商提交的本专项服务方案综合打分，方案需要完整包含平台性能配置参数、整体部署实施方案、服务上线后可实现的预期效果三大核心板块，配套说明日志接入、智能分析、威胁处置相关配套保障内容。</w:t>
      </w:r>
      <w:r/>
    </w:p>
    <w:p>
      <w:pPr>
        <w:ind w:firstLine="480"/>
        <w:spacing w:line="360" w:lineRule="auto"/>
        <w:rPr>
          <w:rFonts w:hint="eastAsia" w:ascii="宋体" w:hAnsi="宋体" w:eastAsia="宋体"/>
          <w:sz w:val="24"/>
          <w:szCs w:val="24"/>
        </w:rPr>
      </w:pPr>
      <w:r/>
      <w:bookmarkStart w:id="35" w:name="OLE_LINK16"/>
      <w:r>
        <w:rPr>
          <w:rFonts w:hint="eastAsia" w:ascii="宋体" w:hAnsi="宋体" w:eastAsia="宋体"/>
          <w:sz w:val="24"/>
          <w:szCs w:val="24"/>
        </w:rPr>
        <w:t xml:space="preserve">（六）项目实施方案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供应商将根据采购单位相关实施要求，制定完整、规范、可落地的项目实施方案。方案涵盖项目组织管理、进度管理、沟通管理、需求变更管理、文档管理、风险管理、验收管理等全套实施体系。明确项目团队架构与岗位职责，建立常态化沟通机制，合理规划项目实施</w:t>
      </w:r>
      <w:r>
        <w:rPr>
          <w:rFonts w:hint="eastAsia" w:ascii="宋体" w:hAnsi="宋体" w:eastAsia="宋体"/>
          <w:sz w:val="24"/>
          <w:szCs w:val="24"/>
        </w:rPr>
        <w:t xml:space="preserve">进度与里程碑，规范项目变更流程、文档管控机制，全面识别并防范项目实施风险，严格按照规范完成项目实施及验收交付工作。</w:t>
      </w:r>
      <w:bookmarkEnd w:id="35"/>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（七）售后服务方案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供应商将结合项目售后保障要求，建立完善、长效的售后服务保障体系。方案明确售后服务组织架构、人员配置与岗位职责，建立标准化故障分级响应处置机制，明确各类故障响应及处置时限。落实常态化日常巡检保障机制，配套完善的业务连续与灾难恢复保障措施，</w:t>
      </w:r>
      <w:r>
        <w:rPr>
          <w:rFonts w:hint="eastAsia" w:ascii="宋体" w:hAnsi="宋体" w:eastAsia="宋体"/>
          <w:sz w:val="24"/>
          <w:szCs w:val="24"/>
        </w:rPr>
        <w:t xml:space="preserve">建立良好的协同运维机制，全面保障系统稳定、安全、连续运行。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（八）培训服务方案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供应商将根据项目培训需求，制定系统化、规范化的培训服务方案。明确项目培训总体目标、培训计划、培训形式与师资配置，针对不同岗位人员开展分层分类专项培训，覆盖系统运维、业务操作、安全管理等相关培训内容。建立完善的培训考核与效果评估机制，保障参训人员熟练掌握相关操作及运维技能，确保培训效果满足项目需求。</w:t>
      </w:r>
      <w:bookmarkEnd w:id="34"/>
      <w:r/>
      <w:r/>
    </w:p>
    <w:p>
      <w:pPr>
        <w:ind w:firstLine="499"/>
        <w:keepLines/>
        <w:keepNext/>
        <w:spacing w:line="360" w:lineRule="auto"/>
        <w:rPr>
          <w:rFonts w:hint="eastAsia" w:ascii="宋体" w:hAnsi="宋体" w:eastAsia="宋体"/>
          <w:b/>
          <w:bCs/>
          <w:sz w:val="24"/>
          <w:szCs w:val="24"/>
        </w:rPr>
        <w:outlineLvl w:val="2"/>
      </w:pPr>
      <w:r>
        <w:rPr>
          <w:rFonts w:hint="eastAsia" w:ascii="宋体" w:hAnsi="宋体" w:eastAsia="宋体"/>
          <w:b/>
          <w:bCs/>
          <w:color w:val="000000"/>
          <w:sz w:val="24"/>
          <w:szCs w:val="24"/>
        </w:rPr>
        <w:t xml:space="preserve">六、其它要求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（一）服务时间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自合同签订之日起一年。供应商需承担于现有维保单位交接期间产生的费用。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（二）费用支付</w:t>
      </w:r>
      <w:r/>
    </w:p>
    <w:p>
      <w:pPr>
        <w:ind w:firstLine="480"/>
        <w:spacing w:line="360" w:lineRule="auto"/>
        <w:rPr>
          <w:rFonts w:hint="eastAsia" w:ascii="宋体" w:hAnsi="宋体" w:eastAsia="宋体"/>
          <w:sz w:val="24"/>
          <w:szCs w:val="24"/>
        </w:rPr>
      </w:pPr>
      <w:r/>
      <w:bookmarkStart w:id="36" w:name="OLE_LINK47"/>
      <w:r>
        <w:rPr>
          <w:rFonts w:hint="eastAsia" w:ascii="宋体" w:hAnsi="宋体" w:eastAsia="宋体"/>
          <w:sz w:val="24"/>
          <w:szCs w:val="24"/>
        </w:rPr>
        <w:t xml:space="preserve">本项目采用合同签订后一次性付清全款的付款方式。采购合同正式签订且成交供应商提交合法有效全额发票后，采购人一次性支付合同全部款项。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成交供应</w:t>
      </w:r>
      <w:r>
        <w:rPr>
          <w:rFonts w:hint="eastAsia" w:ascii="宋体" w:hAnsi="宋体" w:eastAsia="宋体"/>
          <w:sz w:val="24"/>
          <w:szCs w:val="24"/>
        </w:rPr>
        <w:t xml:space="preserve">商须在合同签订前按采购人要求足额提交履约保证金，履约保证金按合同总价规定比例计取</w:t>
      </w:r>
      <w:r>
        <w:rPr>
          <w:rFonts w:hint="eastAsia" w:ascii="宋体" w:hAnsi="宋体" w:eastAsia="宋体"/>
          <w:sz w:val="24"/>
          <w:szCs w:val="24"/>
        </w:rPr>
        <w:t xml:space="preserve">（合同总价的10％）</w:t>
      </w:r>
      <w:r>
        <w:rPr>
          <w:rFonts w:hint="eastAsia" w:ascii="宋体" w:hAnsi="宋体" w:eastAsia="宋体"/>
          <w:sz w:val="24"/>
          <w:szCs w:val="24"/>
        </w:rPr>
        <w:t xml:space="preserve">。供应</w:t>
      </w:r>
      <w:r>
        <w:rPr>
          <w:rFonts w:hint="eastAsia" w:ascii="宋体" w:hAnsi="宋体" w:eastAsia="宋体"/>
          <w:sz w:val="24"/>
          <w:szCs w:val="24"/>
        </w:rPr>
        <w:t xml:space="preserve">商可采用银行转账、数字人民币、银行保函、政府采购电子履约保函、履约保证保险等合规形式缴纳。项目服务期满、全部合同义务履行完毕且验收合格后，履约保证金由采购人无息全额退还。若供应商存在违约、服务不达标等情形，采购人有权依据合同约定扣除相应履约保证金。</w:t>
      </w:r>
      <w:bookmarkEnd w:id="36"/>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（三）验收要求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w:t>
      </w:r>
      <w:r>
        <w:rPr>
          <w:rFonts w:ascii="宋体" w:hAnsi="宋体" w:eastAsia="宋体"/>
          <w:sz w:val="24"/>
          <w:szCs w:val="24"/>
        </w:rPr>
        <w:t xml:space="preserve">验收依据</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采购文件、投标响应文件、项目合同。</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验收条件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项目服务供应商按要求完成本项目要求的服务内容，服务到期后可申请验收，验收应提供完整的服务记录等相关文档。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（四）其它要求</w:t>
      </w:r>
      <w:r/>
    </w:p>
    <w:p>
      <w:pPr>
        <w:ind w:firstLine="482"/>
        <w:spacing w:line="360" w:lineRule="auto"/>
        <w:rPr>
          <w:rFonts w:hint="eastAsia" w:ascii="宋体" w:hAnsi="宋体" w:eastAsia="宋体"/>
          <w:b/>
          <w:bCs/>
          <w:i/>
          <w:iCs/>
          <w:sz w:val="24"/>
          <w:szCs w:val="24"/>
          <w:u w:val="single"/>
        </w:rPr>
      </w:pPr>
      <w:r>
        <w:rPr>
          <w:rFonts w:hint="eastAsia" w:ascii="宋体" w:hAnsi="宋体" w:eastAsia="宋体"/>
          <w:b/>
          <w:bCs/>
          <w:i/>
          <w:iCs/>
          <w:sz w:val="24"/>
          <w:szCs w:val="24"/>
          <w:u w:val="single"/>
        </w:rPr>
        <w:t xml:space="preserve">需要提供原厂质保服务的，供应商需承诺在合同签订前提供原厂质保函。</w:t>
      </w:r>
      <w:r/>
    </w:p>
    <w:p>
      <w:pPr>
        <w:ind w:firstLine="482"/>
        <w:spacing w:line="360" w:lineRule="auto"/>
        <w:rPr>
          <w:rFonts w:hint="eastAsia" w:ascii="宋体" w:hAnsi="宋体" w:eastAsia="宋体"/>
          <w:b/>
          <w:bCs/>
          <w:i/>
          <w:iCs/>
          <w:sz w:val="24"/>
          <w:szCs w:val="24"/>
          <w:u w:val="single"/>
        </w:rPr>
      </w:pPr>
      <w:r>
        <w:rPr>
          <w:rFonts w:hint="eastAsia" w:ascii="宋体" w:hAnsi="宋体" w:eastAsia="宋体"/>
          <w:b/>
          <w:bCs/>
          <w:i/>
          <w:iCs/>
          <w:sz w:val="24"/>
          <w:szCs w:val="24"/>
          <w:u w:val="single"/>
        </w:rPr>
        <w:t xml:space="preserve">需要提供前沿技术培训，丰富培训形式与授课内容，一年培训次数不少于 3 次。</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斜体下划线内容均为实质性技术参数要求，不允许负偏离（或不满足），</w:t>
      </w:r>
      <w:r>
        <w:rPr>
          <w:rFonts w:hint="eastAsia" w:ascii="宋体" w:hAnsi="宋体" w:eastAsia="宋体"/>
          <w:b/>
          <w:bCs/>
          <w:sz w:val="24"/>
          <w:szCs w:val="24"/>
          <w:u w:val="single"/>
        </w:rPr>
        <w:t xml:space="preserve">供应商</w:t>
      </w:r>
      <w:r>
        <w:rPr>
          <w:rFonts w:ascii="宋体" w:hAnsi="宋体" w:eastAsia="宋体"/>
          <w:b/>
          <w:bCs/>
          <w:sz w:val="24"/>
          <w:szCs w:val="24"/>
          <w:u w:val="single"/>
        </w:rPr>
        <w:t xml:space="preserve">须承诺完全响应并提供承诺书（格式见</w:t>
      </w:r>
      <w:r>
        <w:rPr>
          <w:rFonts w:hint="eastAsia" w:ascii="宋体" w:hAnsi="宋体" w:eastAsia="宋体"/>
          <w:b/>
          <w:bCs/>
          <w:sz w:val="24"/>
          <w:szCs w:val="24"/>
          <w:u w:val="single"/>
        </w:rPr>
        <w:t xml:space="preserve">第六章 第十五条“</w:t>
      </w:r>
      <w:r>
        <w:rPr>
          <w:rFonts w:hint="eastAsia" w:ascii="宋体" w:hAnsi="宋体" w:eastAsia="宋体"/>
          <w:b/>
          <w:sz w:val="24"/>
          <w:szCs w:val="24"/>
          <w:u w:val="single"/>
        </w:rPr>
        <w:t xml:space="preserve">实质性要求完全响应承诺书”</w:t>
      </w:r>
      <w:r>
        <w:rPr>
          <w:rFonts w:ascii="宋体" w:hAnsi="宋体" w:eastAsia="宋体"/>
          <w:b/>
          <w:bCs/>
          <w:sz w:val="24"/>
          <w:szCs w:val="24"/>
          <w:u w:val="single"/>
        </w:rPr>
        <w:t xml:space="preserve">）</w:t>
      </w:r>
      <w:r>
        <w:rPr>
          <w:rFonts w:hint="eastAsia" w:ascii="宋体" w:hAnsi="宋体" w:eastAsia="宋体"/>
          <w:b/>
          <w:bCs/>
          <w:sz w:val="24"/>
          <w:szCs w:val="24"/>
          <w:u w:val="single"/>
        </w:rPr>
        <w:t xml:space="preserve">上传至投标系统，</w:t>
      </w:r>
      <w:r>
        <w:rPr>
          <w:rFonts w:ascii="宋体" w:hAnsi="宋体" w:eastAsia="宋体"/>
          <w:b/>
          <w:bCs/>
          <w:sz w:val="24"/>
          <w:szCs w:val="24"/>
          <w:u w:val="single"/>
        </w:rPr>
        <w:t xml:space="preserve">否则作为无效投标。</w:t>
      </w:r>
      <w:r/>
    </w:p>
    <w:p>
      <w:pPr>
        <w:ind w:firstLine="499"/>
        <w:keepLines/>
        <w:keepNext/>
        <w:spacing w:line="360" w:lineRule="auto"/>
        <w:rPr>
          <w:rFonts w:hint="eastAsia" w:ascii="宋体" w:hAnsi="宋体" w:eastAsia="宋体"/>
          <w:b/>
          <w:bCs/>
          <w:color w:val="000000"/>
          <w:sz w:val="24"/>
          <w:szCs w:val="24"/>
        </w:rPr>
        <w:outlineLvl w:val="2"/>
      </w:pPr>
      <w:r>
        <w:rPr>
          <w:rFonts w:hint="eastAsia" w:ascii="宋体" w:hAnsi="宋体" w:eastAsia="宋体"/>
          <w:b/>
          <w:bCs/>
          <w:color w:val="000000"/>
          <w:sz w:val="24"/>
          <w:szCs w:val="24"/>
        </w:rPr>
        <w:t xml:space="preserve">七、供应商履约能力要求</w:t>
      </w:r>
      <w:r/>
    </w:p>
    <w:p>
      <w:pPr>
        <w:ind w:firstLine="480"/>
        <w:spacing w:line="360" w:lineRule="auto"/>
        <w:rPr>
          <w:rFonts w:hint="eastAsia" w:ascii="宋体" w:hAnsi="宋体" w:eastAsia="宋体"/>
          <w:sz w:val="24"/>
          <w:szCs w:val="24"/>
        </w:rPr>
      </w:pPr>
      <w:r/>
      <w:bookmarkStart w:id="37" w:name="OLE_LINK29"/>
      <w:r>
        <w:rPr>
          <w:rFonts w:hint="eastAsia" w:ascii="宋体" w:hAnsi="宋体" w:eastAsia="宋体"/>
          <w:sz w:val="24"/>
          <w:szCs w:val="24"/>
        </w:rPr>
        <w:t xml:space="preserve">（一）</w:t>
      </w:r>
      <w:r>
        <w:rPr>
          <w:rFonts w:hint="eastAsia" w:ascii="宋体" w:hAnsi="宋体" w:eastAsia="宋体"/>
          <w:sz w:val="24"/>
          <w:szCs w:val="24"/>
        </w:rPr>
        <w:t xml:space="preserve">成功案例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供应商自2023年1月1日以来，具有类似运维项目合同案例。时间以合同签订日期为准，合同需清晰可见合同签订时间及合同主要内容为网络及网络安全运维，否则视为无效案例。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（二）</w:t>
      </w:r>
      <w:r>
        <w:rPr>
          <w:rFonts w:hint="eastAsia" w:ascii="宋体" w:hAnsi="宋体" w:eastAsia="宋体"/>
          <w:sz w:val="24"/>
          <w:szCs w:val="24"/>
        </w:rPr>
        <w:t xml:space="preserve">人员服务能力</w:t>
      </w:r>
      <w:r/>
    </w:p>
    <w:p>
      <w:pPr>
        <w:ind w:firstLine="480"/>
        <w:spacing w:line="360" w:lineRule="auto"/>
        <w:rPr>
          <w:rFonts w:hint="eastAsia" w:ascii="宋体" w:hAnsi="宋体" w:eastAsia="宋体"/>
          <w:sz w:val="24"/>
          <w:szCs w:val="24"/>
        </w:rPr>
      </w:pPr>
      <w:r/>
      <w:bookmarkStart w:id="38" w:name="OLE_LINK31"/>
      <w:r>
        <w:rPr>
          <w:rFonts w:hint="eastAsia" w:ascii="宋体" w:hAnsi="宋体" w:eastAsia="宋体"/>
          <w:sz w:val="24"/>
          <w:szCs w:val="24"/>
        </w:rPr>
        <w:t xml:space="preserve">供应商拟投入本项目的项目团队负责人具有正高级工程师职称证书、信息系统项目管理师证书、CISAW信息安全保障人员认证证书。</w:t>
      </w:r>
      <w:r/>
    </w:p>
    <w:p>
      <w:pPr>
        <w:ind w:firstLine="480"/>
        <w:spacing w:line="360" w:lineRule="auto"/>
        <w:rPr>
          <w:rFonts w:hint="eastAsia" w:ascii="宋体" w:hAnsi="宋体" w:eastAsia="宋体"/>
          <w:color w:val="000000"/>
          <w:sz w:val="24"/>
          <w:szCs w:val="24"/>
          <w:lang w:val="en-US" w:bidi="ar"/>
        </w:rPr>
      </w:pPr>
      <w:r>
        <w:rPr>
          <w:rFonts w:ascii="宋体" w:hAnsi="宋体" w:eastAsia="宋体"/>
          <w:color w:val="000000"/>
          <w:sz w:val="24"/>
          <w:szCs w:val="24"/>
          <w:lang w:val="en-US" w:bidi="ar"/>
        </w:rPr>
        <w:t xml:space="preserve">供应商拟投入本项目的技术负责人具有高级工程师职称证书、高级系统架构设计师证书、注册信息安全专业人员（CISP）证书</w:t>
      </w:r>
      <w:r>
        <w:rPr>
          <w:rFonts w:hint="eastAsia" w:ascii="宋体" w:hAnsi="宋体" w:eastAsia="宋体"/>
          <w:color w:val="000000"/>
          <w:sz w:val="24"/>
          <w:szCs w:val="24"/>
          <w:lang w:val="en-US" w:bidi="ar"/>
        </w:rPr>
        <w:t xml:space="preserve">。</w:t>
      </w:r>
      <w:r/>
    </w:p>
    <w:p>
      <w:pPr>
        <w:ind w:firstLine="480"/>
        <w:spacing w:line="360" w:lineRule="auto"/>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供应商拟投入本项目的安全负责人具有注册数据安全治理专业人员（CISP-</w:t>
      </w:r>
      <w:bookmarkStart w:id="39" w:name="OLE_LINK28"/>
      <w:r>
        <w:rPr>
          <w:rFonts w:hint="eastAsia" w:ascii="宋体" w:hAnsi="宋体" w:eastAsia="宋体"/>
          <w:color w:val="000000"/>
          <w:sz w:val="24"/>
          <w:szCs w:val="24"/>
          <w:lang w:bidi="ar"/>
        </w:rPr>
        <w:t xml:space="preserve">DSG</w:t>
      </w:r>
      <w:bookmarkEnd w:id="39"/>
      <w:r>
        <w:rPr>
          <w:rFonts w:hint="eastAsia" w:ascii="宋体" w:hAnsi="宋体" w:eastAsia="宋体"/>
          <w:color w:val="000000"/>
          <w:sz w:val="24"/>
          <w:szCs w:val="24"/>
          <w:lang w:bidi="ar"/>
        </w:rPr>
        <w:t xml:space="preserve">）证书、网络安全能力认证CCSC-网络安全技术(I级及以上)、CCRC-DSO数据安全官证书、CISAW信息安全保障人员认证证书。</w:t>
      </w:r>
      <w:r/>
    </w:p>
    <w:p>
      <w:pPr>
        <w:ind w:firstLine="480"/>
        <w:spacing w:line="360" w:lineRule="auto"/>
        <w:rPr>
          <w:rFonts w:hint="eastAsia" w:ascii="宋体" w:hAnsi="宋体" w:eastAsia="宋体"/>
          <w:sz w:val="24"/>
          <w:szCs w:val="24"/>
        </w:rPr>
      </w:pPr>
      <w:r>
        <w:rPr>
          <w:rFonts w:hint="eastAsia" w:ascii="宋体" w:hAnsi="宋体" w:eastAsia="宋体"/>
          <w:color w:val="000000"/>
          <w:sz w:val="24"/>
          <w:szCs w:val="24"/>
          <w:lang w:bidi="ar"/>
        </w:rPr>
        <w:t xml:space="preserve">供应商拟投入本项目的项目团队人员（除团队负责人）具有软考高级系统架构设计师、软考高级网络规划设计师、软考高级信息系统项目管理师。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以上人员，除提供相应证书外还需</w:t>
      </w:r>
      <w:r>
        <w:rPr>
          <w:rFonts w:ascii="宋体" w:hAnsi="宋体" w:eastAsia="宋体"/>
          <w:color w:val="000000"/>
          <w:sz w:val="24"/>
          <w:szCs w:val="24"/>
          <w:lang w:val="en-US" w:bidi="ar"/>
        </w:rPr>
        <w:t xml:space="preserve">提供供应商近3个月</w:t>
      </w:r>
      <w:r>
        <w:rPr>
          <w:rFonts w:hint="eastAsia" w:ascii="宋体" w:hAnsi="宋体" w:eastAsia="宋体"/>
          <w:color w:val="000000"/>
          <w:sz w:val="24"/>
          <w:szCs w:val="24"/>
          <w:lang w:val="en-US" w:bidi="ar"/>
        </w:rPr>
        <w:t xml:space="preserve">任意一月</w:t>
      </w:r>
      <w:r>
        <w:rPr>
          <w:rFonts w:ascii="宋体" w:hAnsi="宋体" w:eastAsia="宋体"/>
          <w:color w:val="000000"/>
          <w:sz w:val="24"/>
          <w:szCs w:val="24"/>
          <w:lang w:val="en-US" w:bidi="ar"/>
        </w:rPr>
        <w:t xml:space="preserve">为其缴纳社保的证明，扫描上传</w:t>
      </w:r>
      <w:r>
        <w:rPr>
          <w:rFonts w:hint="eastAsia" w:ascii="宋体" w:hAnsi="宋体" w:eastAsia="宋体"/>
          <w:sz w:val="24"/>
          <w:szCs w:val="24"/>
        </w:rPr>
        <w:t xml:space="preserve">，否则视为无效提供。</w:t>
      </w:r>
      <w:bookmarkEnd w:id="37"/>
      <w:r/>
      <w:bookmarkEnd w:id="38"/>
      <w:r/>
      <w:r/>
    </w:p>
    <w:p>
      <w:pPr>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cstheme="majorBidi"/>
          <w:sz w:val="24"/>
          <w:szCs w:val="24"/>
        </w:rPr>
      </w:pPr>
      <w:r>
        <w:rPr>
          <w:rFonts w:hint="eastAsia" w:ascii="宋体" w:hAnsi="宋体" w:eastAsia="宋体"/>
          <w:sz w:val="24"/>
          <w:szCs w:val="24"/>
        </w:rPr>
        <w:br w:type="page" w:clear="all"/>
      </w:r>
      <w:r/>
    </w:p>
    <w:p>
      <w:pPr>
        <w:pStyle w:val="830"/>
        <w:jc w:val="center"/>
        <w:spacing w:before="0" w:after="0" w:line="360" w:lineRule="auto"/>
        <w:rPr>
          <w:rFonts w:hint="eastAsia"/>
          <w:sz w:val="24"/>
        </w:rPr>
      </w:pPr>
      <w:r>
        <w:rPr>
          <w:rFonts w:hint="eastAsia"/>
          <w:sz w:val="24"/>
        </w:rPr>
        <w:t xml:space="preserve">采购包2：机房及硬件维修维保服务</w:t>
      </w:r>
      <w:r/>
    </w:p>
    <w:p>
      <w:pPr>
        <w:ind w:firstLine="499"/>
        <w:keepLines/>
        <w:keepNext/>
        <w:spacing w:line="360" w:lineRule="auto"/>
        <w:rPr>
          <w:rFonts w:hint="eastAsia" w:ascii="宋体" w:hAnsi="宋体" w:eastAsia="宋体"/>
          <w:b/>
          <w:bCs/>
          <w:color w:val="000000"/>
          <w:sz w:val="24"/>
          <w:szCs w:val="24"/>
        </w:rPr>
        <w:outlineLvl w:val="2"/>
      </w:pPr>
      <w:r>
        <w:rPr>
          <w:rFonts w:hint="eastAsia" w:ascii="宋体" w:hAnsi="宋体" w:eastAsia="宋体"/>
          <w:b/>
          <w:bCs/>
          <w:color w:val="000000"/>
          <w:sz w:val="24"/>
          <w:szCs w:val="24"/>
        </w:rPr>
        <w:t xml:space="preserve">一、项目背景</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项目为江苏省应急管理厅机房及指挥系统专项维保项目，服务范围覆盖1号楼4层省应急管理厅IT机房、电源室、通信间、屏蔽机房、值班室，6层会议室，现场无线AP网络，江苏省各地市、区、县指挥网等全栈设施设备，旨在通过专业化、标准化的维保服务，保障服务范围内IT设备、供配电系统、制冷系统、智能化系统、会议系统及指挥网基础设施的稳定、安全、高效运行，防范各类故障及安全风险，降低设备故障率和停机时间，确保应急管理各项业务连续、可靠开展。</w:t>
      </w:r>
      <w:r/>
    </w:p>
    <w:p>
      <w:pPr>
        <w:ind w:firstLine="499"/>
        <w:keepLines/>
        <w:keepNext/>
        <w:spacing w:line="360" w:lineRule="auto"/>
        <w:rPr>
          <w:rFonts w:hint="eastAsia" w:ascii="宋体" w:hAnsi="宋体" w:eastAsia="宋体"/>
          <w:b/>
          <w:bCs/>
          <w:color w:val="000000"/>
          <w:sz w:val="24"/>
          <w:szCs w:val="24"/>
        </w:rPr>
        <w:outlineLvl w:val="2"/>
      </w:pPr>
      <w:r>
        <w:rPr>
          <w:rFonts w:hint="eastAsia" w:ascii="宋体" w:hAnsi="宋体" w:eastAsia="宋体"/>
          <w:b/>
          <w:bCs/>
          <w:color w:val="000000"/>
          <w:sz w:val="24"/>
          <w:szCs w:val="24"/>
        </w:rPr>
        <w:t xml:space="preserve">二、核心维保模块及技术要求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（一）网络设备模块</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1、维保工作内容</w:t>
      </w:r>
      <w:r/>
    </w:p>
    <w:p>
      <w:pPr>
        <w:ind w:firstLine="480"/>
        <w:spacing w:line="360" w:lineRule="auto"/>
        <w:rPr>
          <w:rFonts w:hint="eastAsia" w:ascii="宋体" w:hAnsi="宋体" w:eastAsia="宋体"/>
          <w:sz w:val="24"/>
          <w:szCs w:val="24"/>
        </w:rPr>
      </w:pPr>
      <w:r/>
      <w:bookmarkStart w:id="40" w:name="OLE_LINK36"/>
      <w:r>
        <w:rPr>
          <w:rFonts w:hint="eastAsia" w:ascii="宋体" w:hAnsi="宋体" w:eastAsia="宋体"/>
          <w:sz w:val="24"/>
          <w:szCs w:val="24"/>
        </w:rPr>
        <w:t xml:space="preserve">（1）日常定期巡检：每月对厅四楼主机房、保密机房全部网络设备进行现场巡检及各区域无尘清理，核查设备运行温度、端口流量、风扇、电源、光模块状态、硬盘运行状态，记录设备告警、丢包、错包、端口闪断等异常情况；核对设备年限、过保状态台账，重点标记超期服役设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硬件清洁与故障排查：半年度对设备机柜、网口、光口、防尘网、光纤跳线除尘清理；检测光纤链路衰减、尾纤损耗，更换老化、破损尾纤、高清线；针对宕机、端口故障、光模块失效、转发异常等问题提供7×24小时应急抢修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（3）版本与安全加固：梳理设备固件版本漏洞，根据业务窗口制定升级方案；关闭闲置端口、弱密码、多余远程服务，配置ACL、安全策略，升级并定期核查所有防火墙、安全网关策略的有效性。</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（4）无线AP专项维护：对全覆盖楼宇华为无线AP进行巡检，核查在线状态、信号强度、漫游切换、信道干扰；清理AP防尘罩，排查供电POE交换机的故障，优化无线覆盖点位，保障应急厅工作全域无线稳定。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（5）台账与报告输出：建立网络设备全生命周期台账，记录设备厂家、维保联系人、使用年限、续保费用等信息。</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2、设备清单</w:t>
      </w:r>
      <w:r/>
    </w:p>
    <w:tbl>
      <w:tblPr>
        <w:tblW w:w="5000" w:type="pct"/>
        <w:tblLook w:val="04A0" w:firstRow="1" w:lastRow="0" w:firstColumn="1" w:lastColumn="0" w:noHBand="0" w:noVBand="1"/>
      </w:tblPr>
      <w:tblGrid>
        <w:gridCol w:w="760"/>
        <w:gridCol w:w="2856"/>
        <w:gridCol w:w="2376"/>
        <w:gridCol w:w="696"/>
        <w:gridCol w:w="696"/>
        <w:gridCol w:w="936"/>
        <w:gridCol w:w="1416"/>
      </w:tblGrid>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型号</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品牌</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投入使用</w:t>
            </w:r>
            <w:r/>
          </w:p>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时间</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DCN控制节点</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H22H-05</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2010.12.21</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DDOS防护省级</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H22H-05</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2019.12.20</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GPU服务器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NF5468M6</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浪潮</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2024.01</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I9000刀片</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浪潮</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2017.11</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MDM终端管理</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7X04</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联系</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2021.09.24</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PC服务器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DCIS-N20200800003</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戴尔</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过保</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PDT核心网服务器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2288H V6</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2024.06.12</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PUC+ULP服务器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7X04</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2021.12.09</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smc服务器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H22X-05</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联想</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2021.03.06</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WM虚拟云平台</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I9000</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联想</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2017.11</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WM虚拟云平台（存储）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AS2200G2(25)</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联想</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2018.04</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安全隔离与信息交换系统</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GAP-1000 V3.0</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深信服</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2019.08.31</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安元共享交换平台</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NF5280M4</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浪潮</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2016.09</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堡垒机省级</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H22H-05</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2019.12.6</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备份存储扩展柜</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DAE52435U4</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2019.10.19</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刀片服务器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H3C</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过保</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调度客户端服务器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2288H V6</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2024.06.12</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调度系统服务器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2288H V6</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2024.06.12</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H22H-05</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2019.08.22</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KI2212-HT4</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坤前</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过保</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KI2212-HT4</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浪潮</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2016.06</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SR550</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联想</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过保</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R620 G40</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宁畅</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过保</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aServer-W-2105P</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深信服</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过保</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华为emr</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NF5280M5</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浪潮</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2020.10</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华为业务存储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OceanStor 5510F V5</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过保</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华为业务存储扩展柜</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0</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过保</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华为云平台计算节点</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NF8460M3</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浪潮</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2016.06</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华为云平台控制节点</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K22R-02</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过保</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集群同播放控制服务器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SR550</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联想</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2021.09.24</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科达融合通信</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NF5280M4</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浪潮</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2016.06</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录音系统服务器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2288H V6</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2024.06.12</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日志服务器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7X04</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2021.09.24</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日志审计</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H22H-05</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2019.12.06</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沙箱检测设备省级</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FireHunter6300</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2019.12.21</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深信服HCI</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NF8460M3</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浪潮</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过保</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深信服HCI</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NF8460M3</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过保</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数据存储服务器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DP2200</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2023.11.01</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数据库审计</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H12H-05</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2019.12.13</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态势感知平台</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SIP-1000-L1000H</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深信服</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过保</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网管服务器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2288H V6</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2024.06.12</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网管客户端服务器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7X04</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联想</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过保</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违规外联控制台</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VRV-NBG</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北信源</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过保</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业务备份存储</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SPE23C0212</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2019.10.19</w:t>
            </w:r>
            <w:r/>
          </w:p>
        </w:tc>
      </w:tr>
      <w:tr>
        <w:trPr>
          <w:trHeight w:val="288"/>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纵向网准入网管</w:t>
            </w:r>
            <w:r/>
          </w:p>
        </w:tc>
        <w:tc>
          <w:tcPr>
            <w:tcBorders>
              <w:top w:val="single" w:color="000000" w:sz="4" w:space="0"/>
              <w:left w:val="single" w:color="000000" w:sz="4" w:space="0"/>
              <w:bottom w:val="single" w:color="000000" w:sz="4" w:space="0"/>
              <w:right w:val="single" w:color="000000" w:sz="4" w:space="0"/>
            </w:tcBorders>
            <w:tcW w:w="119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VRV-NBG</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北信源</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过保</w:t>
            </w:r>
            <w:bookmarkEnd w:id="40"/>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（二）精密空调系统</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1、维保工作内容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（1）对室内机过滤网、蒸发器、冷凝水盘、排水管路进行彻底清理疏通，消除积水、堵塞、溢水隐患。清洗室外机散热翅片，清除积灰、柳絮、杂物，保障散热效率。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（2）全面检查空调铜管管路、接头位置，检测冷媒有无渗漏，对破损、脱落的橡塑保温层修补更换，重点排查80米超长连接铜管及所有接头的泄漏点；紧固所有铜管固定支架，整理管路排布。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（3）对蓄电池组开展检测，</w:t>
      </w:r>
      <w:r>
        <w:rPr>
          <w:rFonts w:hint="eastAsia" w:ascii="宋体" w:hAnsi="宋体" w:eastAsia="宋体"/>
          <w:sz w:val="24"/>
          <w:szCs w:val="24"/>
        </w:rPr>
        <w:t xml:space="preserve">外观检查：蓄电池无鼓包、漏液、壳体破裂，极柱无腐蚀、松动；电压检测：测量每节蓄电池端电压（12V蓄电池正常范围12.0-13.2V），记录单体电压偏差（≤0.3V）；环境检查：蓄电池室温度（15-25℃）、湿度（40%-60%RH）符合要求，通风良好，无杂物堆积。</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（4）调试机组加湿、除湿、风机调速模块，结合机房负载优化恒温恒湿运行策略；模拟机房峰值负载开展整机制冷、除湿、加湿性能全项测试，以评估机组极限运行能力。</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（5）处理压缩机损坏、风机故障、冷媒泄漏、控制器宕机、管路漏水、传感器失效等全部故障，按需更换风机、阀门、过滤器、传感器等损坏的备件。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（6）设备清洁保养：深度清洁室内机蒸发器、接水盘，清理排水管路污垢；每半年安排一次室外机翅片全面清洗，每季度进行表面及重点部位积灰清理。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（7）建立精密空调设备故障、配件更换、运行参数完整台账，定期输出设备健康检测报告，针对老化、性能衰减机组出具更换、升级优化建议。</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2、设备清单</w:t>
      </w:r>
      <w:r/>
    </w:p>
    <w:tbl>
      <w:tblPr>
        <w:tblStyle w:val="892"/>
        <w:tblW w:w="5000" w:type="pct"/>
        <w:jc w:val="center"/>
        <w:tblLook w:val="04A0" w:firstRow="1" w:lastRow="0" w:firstColumn="1" w:lastColumn="0" w:noHBand="0" w:noVBand="1"/>
      </w:tblPr>
      <w:tblGrid>
        <w:gridCol w:w="1147"/>
        <w:gridCol w:w="2276"/>
        <w:gridCol w:w="3797"/>
        <w:gridCol w:w="1221"/>
        <w:gridCol w:w="1295"/>
      </w:tblGrid>
      <w:tr>
        <w:trPr>
          <w:jc w:val="center"/>
          <w:trHeight w:val="54"/>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olor w:val="000000"/>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W w:w="116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olor w:val="000000"/>
                <w:sz w:val="24"/>
                <w:szCs w:val="24"/>
                <w:lang w:bidi="ar"/>
              </w:rPr>
              <w:t xml:space="preserve">名称</w:t>
            </w:r>
            <w:r/>
          </w:p>
        </w:tc>
        <w:tc>
          <w:tcPr>
            <w:tcBorders>
              <w:top w:val="single" w:color="auto" w:sz="4" w:space="0"/>
              <w:left w:val="single" w:color="auto" w:sz="4" w:space="0"/>
              <w:bottom w:val="single" w:color="auto" w:sz="4" w:space="0"/>
              <w:right w:val="single" w:color="auto" w:sz="4" w:space="0"/>
            </w:tcBorders>
            <w:tcW w:w="19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olor w:val="000000"/>
                <w:sz w:val="24"/>
                <w:szCs w:val="24"/>
                <w:lang w:bidi="ar"/>
              </w:rPr>
              <w:t xml:space="preserve">规格型号</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olor w:val="000000"/>
                <w:sz w:val="24"/>
                <w:szCs w:val="24"/>
                <w:lang w:bidi="ar"/>
              </w:rPr>
              <w:t xml:space="preserve">单位</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olor w:val="000000"/>
                <w:sz w:val="24"/>
                <w:szCs w:val="24"/>
                <w:lang w:bidi="ar"/>
              </w:rPr>
              <w:t xml:space="preserve">数量</w:t>
            </w:r>
            <w:r/>
          </w:p>
        </w:tc>
      </w:tr>
      <w:tr>
        <w:trPr>
          <w:jc w:val="center"/>
          <w:trHeight w:val="754"/>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16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精密空调室内机</w:t>
            </w:r>
            <w:r/>
          </w:p>
        </w:tc>
        <w:tc>
          <w:tcPr>
            <w:tcBorders>
              <w:top w:val="single" w:color="auto" w:sz="4" w:space="0"/>
              <w:left w:val="single" w:color="auto" w:sz="4" w:space="0"/>
              <w:bottom w:val="single" w:color="auto" w:sz="4" w:space="0"/>
              <w:right w:val="single" w:color="auto" w:sz="4" w:space="0"/>
            </w:tcBorders>
            <w:tcW w:w="1950" w:type="pct"/>
            <w:vAlign w:val="center"/>
            <w:vMerge w:val="restart"/>
            <w:textDirection w:val="lrTb"/>
            <w:noWrap w:val="false"/>
          </w:tcPr>
          <w:p>
            <w:pPr>
              <w:spacing w:line="360" w:lineRule="auto"/>
              <w:rPr>
                <w:rFonts w:hint="eastAsia" w:ascii="宋体" w:hAnsi="宋体" w:eastAsia="宋体"/>
                <w:sz w:val="24"/>
                <w:szCs w:val="24"/>
              </w:rPr>
            </w:pPr>
            <w:r>
              <w:rPr>
                <w:rFonts w:hint="eastAsia" w:ascii="宋体" w:hAnsi="宋体" w:eastAsia="宋体"/>
                <w:color w:val="000000"/>
                <w:sz w:val="24"/>
                <w:szCs w:val="24"/>
                <w:lang w:bidi="ar"/>
              </w:rPr>
              <w:t xml:space="preserve">制冷量：30KW，上送风，风冷。风量：10000</w:t>
            </w:r>
            <w:r>
              <w:rPr>
                <w:rFonts w:hint="eastAsia" w:ascii="宋体" w:hAnsi="宋体" w:eastAsia="宋体"/>
                <w:sz w:val="24"/>
                <w:szCs w:val="24"/>
              </w:rPr>
              <w:t xml:space="preserve"> m3/h；度调节范围：+17℃～+30℃。</w:t>
            </w:r>
            <w:r/>
          </w:p>
          <w:p>
            <w:pPr>
              <w:spacing w:line="360" w:lineRule="auto"/>
              <w:rPr>
                <w:rFonts w:hint="eastAsia" w:ascii="宋体" w:hAnsi="宋体" w:eastAsia="宋体"/>
                <w:sz w:val="24"/>
                <w:szCs w:val="24"/>
              </w:rPr>
            </w:pPr>
            <w:r>
              <w:rPr>
                <w:rFonts w:hint="eastAsia" w:ascii="宋体" w:hAnsi="宋体" w:eastAsia="宋体"/>
                <w:sz w:val="24"/>
                <w:szCs w:val="24"/>
              </w:rPr>
              <w:t xml:space="preserve">温度控制精度:±1K。湿度调节范围：20%～95%RH。湿度控制精度: ±5%,3%～10%可调整</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6</w:t>
            </w:r>
            <w:r/>
          </w:p>
        </w:tc>
      </w:tr>
      <w:tr>
        <w:trPr>
          <w:jc w:val="center"/>
          <w:trHeight w:val="754"/>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16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精密空调室外机</w:t>
            </w:r>
            <w:r/>
          </w:p>
        </w:tc>
        <w:tc>
          <w:tcPr>
            <w:tcBorders>
              <w:top w:val="single" w:color="auto" w:sz="4" w:space="0"/>
              <w:left w:val="single" w:color="auto" w:sz="4" w:space="0"/>
              <w:bottom w:val="single" w:color="auto" w:sz="4" w:space="0"/>
              <w:right w:val="single" w:color="auto" w:sz="4" w:space="0"/>
            </w:tcBorders>
            <w:tcW w:w="1950" w:type="pct"/>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6</w:t>
            </w:r>
            <w:r/>
          </w:p>
        </w:tc>
      </w:tr>
      <w:tr>
        <w:trPr>
          <w:jc w:val="center"/>
          <w:trHeight w:val="54"/>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116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室内外机底座</w:t>
            </w:r>
            <w:r/>
          </w:p>
        </w:tc>
        <w:tc>
          <w:tcPr>
            <w:tcBorders>
              <w:top w:val="single" w:color="auto" w:sz="4" w:space="0"/>
              <w:left w:val="single" w:color="auto" w:sz="4" w:space="0"/>
              <w:bottom w:val="single" w:color="auto" w:sz="4" w:space="0"/>
              <w:right w:val="single" w:color="auto" w:sz="4" w:space="0"/>
            </w:tcBorders>
            <w:tcW w:w="1950"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定制</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2</w:t>
            </w:r>
            <w:r/>
          </w:p>
        </w:tc>
      </w:tr>
      <w:tr>
        <w:trPr>
          <w:jc w:val="center"/>
          <w:trHeight w:val="54"/>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116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铜管管路</w:t>
            </w:r>
            <w:r/>
          </w:p>
        </w:tc>
        <w:tc>
          <w:tcPr>
            <w:tcBorders>
              <w:top w:val="single" w:color="auto" w:sz="4" w:space="0"/>
              <w:left w:val="single" w:color="auto" w:sz="4" w:space="0"/>
              <w:bottom w:val="single" w:color="auto" w:sz="4" w:space="0"/>
              <w:right w:val="single" w:color="auto" w:sz="4" w:space="0"/>
            </w:tcBorders>
            <w:tcW w:w="1950"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19&amp;25</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米</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80</w:t>
            </w:r>
            <w:r/>
          </w:p>
        </w:tc>
      </w:tr>
      <w:tr>
        <w:trPr>
          <w:jc w:val="center"/>
          <w:trHeight w:val="54"/>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16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制冷剂</w:t>
            </w:r>
            <w:r/>
          </w:p>
        </w:tc>
        <w:tc>
          <w:tcPr>
            <w:tcBorders>
              <w:top w:val="single" w:color="auto" w:sz="4" w:space="0"/>
              <w:left w:val="single" w:color="auto" w:sz="4" w:space="0"/>
              <w:bottom w:val="single" w:color="auto" w:sz="4" w:space="0"/>
              <w:right w:val="single" w:color="auto" w:sz="4" w:space="0"/>
            </w:tcBorders>
            <w:tcW w:w="1950"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410A</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瓶</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4</w:t>
            </w:r>
            <w:r/>
          </w:p>
        </w:tc>
      </w:tr>
      <w:tr>
        <w:trPr>
          <w:jc w:val="center"/>
          <w:trHeight w:val="54"/>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116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延长组件</w:t>
            </w:r>
            <w:r/>
          </w:p>
        </w:tc>
        <w:tc>
          <w:tcPr>
            <w:tcBorders>
              <w:top w:val="single" w:color="auto" w:sz="4" w:space="0"/>
              <w:left w:val="single" w:color="auto" w:sz="4" w:space="0"/>
              <w:bottom w:val="single" w:color="auto" w:sz="4" w:space="0"/>
              <w:right w:val="single" w:color="auto" w:sz="4" w:space="0"/>
            </w:tcBorders>
            <w:tcW w:w="1950"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1</w:t>
            </w:r>
            <w:r/>
          </w:p>
        </w:tc>
      </w:tr>
      <w:tr>
        <w:trPr>
          <w:jc w:val="center"/>
          <w:trHeight w:val="54"/>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7</w:t>
            </w:r>
            <w:r/>
          </w:p>
        </w:tc>
        <w:tc>
          <w:tcPr>
            <w:tcBorders>
              <w:top w:val="single" w:color="auto" w:sz="4" w:space="0"/>
              <w:left w:val="single" w:color="auto" w:sz="4" w:space="0"/>
              <w:bottom w:val="single" w:color="auto" w:sz="4" w:space="0"/>
              <w:right w:val="single" w:color="auto" w:sz="4" w:space="0"/>
            </w:tcBorders>
            <w:tcW w:w="116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安装辅材</w:t>
            </w:r>
            <w:r/>
          </w:p>
        </w:tc>
        <w:tc>
          <w:tcPr>
            <w:tcBorders>
              <w:top w:val="single" w:color="auto" w:sz="4" w:space="0"/>
              <w:left w:val="single" w:color="auto" w:sz="4" w:space="0"/>
              <w:bottom w:val="single" w:color="auto" w:sz="4" w:space="0"/>
              <w:right w:val="single" w:color="auto" w:sz="4" w:space="0"/>
            </w:tcBorders>
            <w:tcW w:w="1950"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不包含室内机电源线。</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项</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若干</w:t>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（三）UPS系统</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1、维保工作内容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（1）蓄电池组专项检测：抽样检测蓄电池单体内阻（不低于20%），必要时需在服务周期范围内更换蓄电池组。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（2）全面查看UPS主机运行工况，采集输入输出电压、电流、整机负载率、逆变/旁路工作状态、模块告警信息；逐组测量蓄电池单体电压、内阻，排查电池鼓包、漏液、发热等安全隐患。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（3）完整检测UPS输入柜、输出柜、市电总配电柜、精密配电柜全部接线端子，紧固松动点位；检测各级防雷器、铜排、接地端子运行状态，更换老化绝缘配件。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（4）在业务低影响时段完成市电、逆变、旁路模式切换全流程测试，记录切换时长与业</w:t>
      </w:r>
      <w:r>
        <w:rPr>
          <w:rFonts w:hint="eastAsia" w:ascii="宋体" w:hAnsi="宋体" w:eastAsia="宋体"/>
          <w:sz w:val="24"/>
          <w:szCs w:val="24"/>
        </w:rPr>
        <w:t xml:space="preserve">务运行情况；开展蓄电池带载放电测试，核验实际后备时长是否满足一小时设计标准。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不影响工作效能的情况下，对UPS主机、功率模块、电池柜进行深度除尘，紧固所有电力铜排、线缆接头；检测蓄电池整体容量，更换内阻超标、性能衰减失效电池；校验智能电源盘、电池采集模块运行精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（6）统一维护机房全套供配电配套设施，包含各类阻燃电力电缆、强弱电桥架、JDG穿线管、金属软管、机柜PDU配电排，排查线路过载、绝缘破损隐患。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（7）针对UPS整机宕机、电池故障、切换异常、短路告警等故障提供7×24小时应急处置；建立UPS、蓄电池、配电柜全生命周期台账，出具机房供电系统整体安全评估报告。</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2、设备清单</w:t>
      </w:r>
      <w:r/>
    </w:p>
    <w:tbl>
      <w:tblPr>
        <w:tblStyle w:val="892"/>
        <w:tblW w:w="4850" w:type="pct"/>
        <w:jc w:val="center"/>
        <w:tblLook w:val="04A0" w:firstRow="1" w:lastRow="0" w:firstColumn="1" w:lastColumn="0" w:noHBand="0" w:noVBand="1"/>
      </w:tblPr>
      <w:tblGrid>
        <w:gridCol w:w="1111"/>
        <w:gridCol w:w="3421"/>
        <w:gridCol w:w="2472"/>
        <w:gridCol w:w="1184"/>
        <w:gridCol w:w="1256"/>
      </w:tblGrid>
      <w:tr>
        <w:trPr>
          <w:jc w:val="center"/>
          <w:trHeight w:val="47"/>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olor w:val="000000"/>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olor w:val="000000"/>
                <w:sz w:val="24"/>
                <w:szCs w:val="24"/>
                <w:lang w:bidi="ar"/>
              </w:rPr>
              <w:t xml:space="preserve">名称</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olor w:val="000000"/>
                <w:sz w:val="24"/>
                <w:szCs w:val="24"/>
                <w:lang w:bidi="ar"/>
              </w:rPr>
              <w:t xml:space="preserve">规格型号</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olor w:val="000000"/>
                <w:sz w:val="24"/>
                <w:szCs w:val="24"/>
                <w:lang w:bidi="ar"/>
              </w:rPr>
              <w:t xml:space="preserve">单位</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color w:val="000000"/>
                <w:sz w:val="24"/>
                <w:szCs w:val="24"/>
                <w:lang w:bidi="ar"/>
              </w:rPr>
              <w:t xml:space="preserve">数量</w:t>
            </w:r>
            <w:r/>
          </w:p>
        </w:tc>
      </w:tr>
      <w:tr>
        <w:trPr>
          <w:jc w:val="center"/>
          <w:trHeight w:val="47"/>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300K-UPS主机框</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ZXUPSE X300</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2</w:t>
            </w:r>
            <w:r/>
          </w:p>
        </w:tc>
      </w:tr>
      <w:tr>
        <w:trPr>
          <w:jc w:val="center"/>
          <w:trHeight w:val="47"/>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行级精密空调室内机</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HRZ-F040B1</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4</w:t>
            </w:r>
            <w:r/>
          </w:p>
        </w:tc>
      </w:tr>
      <w:tr>
        <w:trPr>
          <w:jc w:val="center"/>
          <w:trHeight w:val="47"/>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行级空调室外机</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HR-FW16A1</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4</w:t>
            </w:r>
            <w:r/>
          </w:p>
        </w:tc>
      </w:tr>
      <w:tr>
        <w:trPr>
          <w:jc w:val="center"/>
          <w:trHeight w:val="47"/>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行级精密空调室内机</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HRZ-F025A1</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2</w:t>
            </w:r>
            <w:r/>
          </w:p>
        </w:tc>
      </w:tr>
      <w:tr>
        <w:trPr>
          <w:jc w:val="center"/>
          <w:trHeight w:val="47"/>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精密空调室外机</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HR-FW10A1</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2</w:t>
            </w:r>
            <w:r/>
          </w:p>
        </w:tc>
      </w:tr>
      <w:tr>
        <w:trPr>
          <w:jc w:val="center"/>
          <w:trHeight w:val="47"/>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房间级精密空调</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KHJA-P12</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2</w:t>
            </w:r>
            <w:r/>
          </w:p>
        </w:tc>
      </w:tr>
      <w:tr>
        <w:trPr>
          <w:jc w:val="center"/>
          <w:trHeight w:val="54"/>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7</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房间级精密空调室外机、配套</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配套</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2</w:t>
            </w:r>
            <w:r/>
          </w:p>
        </w:tc>
      </w:tr>
      <w:tr>
        <w:trPr>
          <w:jc w:val="center"/>
          <w:trHeight w:val="47"/>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8</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市电总配电柜</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2</w:t>
            </w:r>
            <w:r/>
          </w:p>
        </w:tc>
      </w:tr>
      <w:tr>
        <w:trPr>
          <w:jc w:val="center"/>
          <w:trHeight w:val="345"/>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9</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一体化配电柜</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ZXDP03-H601</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1</w:t>
            </w:r>
            <w:r/>
          </w:p>
        </w:tc>
      </w:tr>
      <w:tr>
        <w:trPr>
          <w:jc w:val="center"/>
          <w:trHeight w:val="47"/>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10</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精密配电柜</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ZXDP03-H601</w:t>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1</w:t>
            </w:r>
            <w:r/>
          </w:p>
        </w:tc>
      </w:tr>
      <w:tr>
        <w:trPr>
          <w:jc w:val="center"/>
          <w:trHeight w:val="416"/>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11</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UPS输入柜</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1</w:t>
            </w:r>
            <w:r/>
          </w:p>
        </w:tc>
      </w:tr>
      <w:tr>
        <w:trPr>
          <w:jc w:val="center"/>
          <w:trHeight w:val="47"/>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12</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UPS输出柜</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2</w:t>
            </w:r>
            <w:r/>
          </w:p>
        </w:tc>
      </w:tr>
      <w:tr>
        <w:trPr>
          <w:jc w:val="center"/>
          <w:trHeight w:val="47"/>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13</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空调配电柜</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360" w:lineRule="auto"/>
              <w:widowControl/>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1</w:t>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（四）会议系统</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1、维保工作内容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（1）全覆盖巡检视频会议系统和音视频终端，检查设备开机、图像输出、拾音收音、远程连线基础功能，记录卡顿、无画面、杂音等问题。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（2）全面排查高清线、音频线、控制线、光纤尾纤接头，紧固松动接口，更换老化破损传输线材；调试大屏信号传输链路，降低信号衰减与切换延时。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（3）对厅6楼会议室大屏、高清矩阵及配套硬件设施维保。校准屏幕色彩亮度，检修壁挂支架与信号线路；实现会议室音视频、大屏、会场设备系统正常运行。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（4）梳理所有会议设备运行状况，建立设备台账；优化网络保障会议带宽，针对老旧故障设备出具更换、续保建议，输出整套会议系统运维评估报告。</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2、设备清单</w:t>
      </w:r>
      <w:r/>
    </w:p>
    <w:tbl>
      <w:tblPr>
        <w:tblW w:w="4998" w:type="pct"/>
        <w:jc w:val="center"/>
        <w:tblLook w:val="04A0" w:firstRow="1" w:lastRow="0" w:firstColumn="1" w:lastColumn="0" w:noHBand="0" w:noVBand="1"/>
      </w:tblPr>
      <w:tblGrid>
        <w:gridCol w:w="804"/>
        <w:gridCol w:w="4545"/>
        <w:gridCol w:w="1440"/>
        <w:gridCol w:w="2943"/>
      </w:tblGrid>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b/>
                <w:bCs/>
                <w:color w:val="000000"/>
                <w:sz w:val="24"/>
                <w:szCs w:val="24"/>
              </w:rPr>
            </w:pPr>
            <w:r>
              <w:rPr>
                <w:rFonts w:ascii="宋体" w:hAnsi="宋体" w:eastAsia="宋体" w:cs="方正仿宋_GBK"/>
                <w:b/>
                <w:bCs/>
                <w:color w:val="000000"/>
                <w:sz w:val="24"/>
                <w:szCs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b/>
                <w:bCs/>
                <w:color w:val="000000"/>
                <w:sz w:val="24"/>
                <w:szCs w:val="24"/>
              </w:rPr>
            </w:pPr>
            <w:r>
              <w:rPr>
                <w:rFonts w:ascii="宋体" w:hAnsi="宋体" w:eastAsia="宋体" w:cs="方正仿宋_GBK"/>
                <w:b/>
                <w:bCs/>
                <w:color w:val="000000"/>
                <w:sz w:val="24"/>
                <w:szCs w:val="24"/>
                <w:lang w:bidi="ar"/>
              </w:rPr>
              <w:t xml:space="preserve">生产厂家</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b/>
                <w:bCs/>
                <w:color w:val="000000"/>
                <w:sz w:val="24"/>
                <w:szCs w:val="24"/>
              </w:rPr>
            </w:pPr>
            <w:r>
              <w:rPr>
                <w:rFonts w:ascii="宋体" w:hAnsi="宋体" w:eastAsia="宋体" w:cs="方正仿宋_GBK"/>
                <w:b/>
                <w:bCs/>
                <w:color w:val="000000"/>
                <w:sz w:val="24"/>
                <w:szCs w:val="24"/>
                <w:lang w:bidi="ar"/>
              </w:rPr>
              <w:t xml:space="preserve">当前状态（是否过保）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三代服务器平台</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Centos-16G</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音频服务器</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音频服务器</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录播主机</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录播服务器</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淳中视频会议单元盒子</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分布式输出：华为3</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淳中</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视频云结构化服务器</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海康威视</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海康NVR</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海康威视</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网络硬盘录像机</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海康威视</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视频处理器</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海康威视</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录音系统服务器 2288H V6</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海能达</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在保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MTU</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海能达</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华为视频会议终端</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华为视频终端</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华为政务外网</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会议主机</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会议终端</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VDC</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华为融合通信小站</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会议终端</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科达</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解码器17-20</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科达</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科达解码器1-16</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科达</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融合通信二期</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科达</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融合通信二期</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科达</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融合通信一期</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科达</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融合通信一期</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科达</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双路解码器</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科达</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双路解码器</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科达</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49</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双路解码器</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科达</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双路解码器</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科达</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2334"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入侵检测设备</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中孚</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tcPr>
          <w:p>
            <w:pPr>
              <w:jc w:val="center"/>
              <w:spacing w:line="360" w:lineRule="auto"/>
              <w:widowControl/>
              <w:rPr>
                <w:rFonts w:hint="eastAsia" w:ascii="宋体" w:hAnsi="宋体" w:eastAsia="宋体" w:cs="方正仿宋_GBK"/>
                <w:color w:val="000000"/>
                <w:sz w:val="24"/>
                <w:szCs w:val="24"/>
              </w:rPr>
            </w:pPr>
            <w:r>
              <w:rPr>
                <w:rFonts w:ascii="宋体" w:hAnsi="宋体" w:eastAsia="宋体" w:cs="方正仿宋_GBK"/>
                <w:color w:val="000000"/>
                <w:sz w:val="24"/>
                <w:szCs w:val="24"/>
                <w:lang w:bidi="ar"/>
              </w:rPr>
              <w:t xml:space="preserve">过保</w:t>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（五）环境及智能化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1、维保工作内容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（1）动环系统专项检查：校准温湿度、漏水、烟感等各类传感器，测试动环监控平台声光告警及短信告警功能，完整备份动环系统数据；</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（2）冷通道系统检查：检查冷通道封闭门密封性、天窗联动功能，测试冷通道内不同区域温度均匀性，填写检查结果；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（3）防静电检测：测试机房地面、工作台面防静电性能，检查防静电腕带、接地扣的有效性，填写检测结果；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（4）装饰装修检查：检查机房墙面、地面、吊顶有无破损，检查门窗密封胶老化情况，及时处理渗漏及防尘隐患；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（5）备品备件盘点：全面盘点服务器、交换机、空调、UPS等设备的备品备件数量及状态，补充缺失及过期备件。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2、设备清单</w:t>
      </w:r>
      <w:r/>
    </w:p>
    <w:tbl>
      <w:tblPr>
        <w:tblW w:w="5166" w:type="pct"/>
        <w:jc w:val="center"/>
        <w:tblLayout w:type="fixed"/>
        <w:tblLook w:val="04A0" w:firstRow="1" w:lastRow="0" w:firstColumn="1" w:lastColumn="0" w:noHBand="0" w:noVBand="1"/>
      </w:tblPr>
      <w:tblGrid>
        <w:gridCol w:w="843"/>
        <w:gridCol w:w="1970"/>
        <w:gridCol w:w="2569"/>
        <w:gridCol w:w="851"/>
        <w:gridCol w:w="851"/>
        <w:gridCol w:w="1275"/>
        <w:gridCol w:w="1700"/>
      </w:tblGrid>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型号</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品牌</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投入使用时间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装饰工程</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强电工程</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照明工程</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地面防雷</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电脑</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ThinkCentre M920T</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联想</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柜式七氟丙烷灭火装置</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GQQ70/2.5*1</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柜式七氟丙烷灭火装置</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GQQ100/2.5*1</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柜式七氟丙烷灭火装置</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GQQ120/2.5*1</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药剂</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HFC-227ea</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Kg</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614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灭火系统标识牌</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灭火系统标识牌</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泄压口</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400*400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气体灭火控制盘</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气体灭火控制盘</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智能电源盘</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智能电源盘</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点型光电感烟火灾探测器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JTY-GD-ZM992</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点型感温火灾探测器（A2）</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JTW-BD-ZM995</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通用底座</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通用底座</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放气指示灯</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CQ2013A</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紧急启停按钮标牌</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紧急启停按钮标牌</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声光报警器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3000-9018</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紧急启停按钮</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GC-QTQT-J2000型</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气体灭火模块</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气体灭火模块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输入模块</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TF2011E</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输入输出模块</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JSKM-M900D</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空鹰</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室内红外彩色半球摄像机</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bidi="ar"/>
              </w:rPr>
              <w:t xml:space="preserve">DS-IPC-T12-I/POE</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海康威视</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摄像机电源</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摄像机电源（DC12V)</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硬盘录像机</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DS-7104N-F1/4P(B)</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海康威视</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4T硬盘</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4T硬盘</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希捷</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IC卡</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BSN-IC</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张</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博西尼</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四门门禁控制器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BSN-AC/IP4SA</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博西尼</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读卡器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BSN-R60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博西尼</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双门磁力锁</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BSN-LC280/D</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博西尼</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单门磁力锁</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BSN-LC280/S</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把</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博西尼</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出门按钮</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BSN-A86</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博西尼</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加密狗</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BSN-KU200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博西尼</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门禁管理软件</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BSN-ACV3.0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博西尼</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壁挂双鉴探测器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壁挂双鉴探测器</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手动报警按钮</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手动报警按钮86型</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八防区报警模块</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八防区报警模块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DC12V电源</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DC12V电源</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报警控制主机</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报警控制主机</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报警键盘</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报警键盘</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联动模块</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联动模块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模块电源</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模块电源</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拼接屏</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Mcrx55</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迈创</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大屏系统总控软件</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V1.0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迈创</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高清矩阵</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PT-4-4</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PTJJ</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显示单元壁挂式挂架</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配套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迈创</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屏蔽壳体(地面)</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平方米</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40.8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宝钢</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49</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屏蔽壳体(墙面及顶面)</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平方米</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125.32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宝钢</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电动屏蔽门C级</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樘</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信号滤波箱</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接地滤波器100A</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UPS滤波器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54</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消防信号滤波器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消防电源滤波器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电话信号滤波器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57</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网络信号滤波器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58</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烟感信号滤波器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59</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温感信号滤波器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报警信号滤波器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报警电源滤波器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62</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视频信号滤波器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63</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光纤波导管</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64</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六角通风波导窗</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地面柱面绝缘处理</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平方米</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常州雷宁</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66</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服务器机柜</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Z0612-20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67</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机柜侧板</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ZXDUPA-CM</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68</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配电排（PDU）</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SWP8860H</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胜威南方</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69</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控制天窗（固定天窗）</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ZXDUPA-TC</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70</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天窗</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ZXDUPA-TC</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双开推拉门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ZXDUPA-TDM</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组</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双开旋转门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ZXDUPA-TDM</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组</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73</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线槽</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ZXDUPA-XC</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组</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74</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一体化配电柜</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ZXDP03-H601</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75</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300K-UPS主机框</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ZXUPSE X300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功率模块</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ZXUPSE X50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77</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蓄电池（后备时间1小时）</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LHR12694W</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理士</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78</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UPS电池架</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ZXDUPA-BF</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79</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电池保护开关</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ZXDUPA-BC01</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80</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电池汇流盒</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ZXDUPA-BC01</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81</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微模块监控采集器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ZX-UG016</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82</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天窗翻转开启系统</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ZXDUPA-JDQ</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83</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通道内视频监控系统</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DS-2CD2000系列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海康</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84</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通道内照明系统</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欧普星众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欧普星众</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85</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通道门禁系统</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速力思S80系列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速力思S80系列</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86</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多功能传感器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ZX-RH-11</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87</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温湿度传感器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ZX-RH-11</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88</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监控采集器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ZX-UG016</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89</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用户接口模块</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ZXCLOUD iDCIM</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90</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感烟探测器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HM-613PC-4</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海曼</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91</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智能电池管理采集模块</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CM-02N-S</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华塑</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92</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电池管理系统配套组件</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H3G-TL-02</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194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华塑</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93</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电池检测配套附件</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集成辅材</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94</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数据中心管理基础平台</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ZXCLOUD iDCIM</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95</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能效管理</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ZXCLOUD iDCIM</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96</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制冷优化(风冷)</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ZXCLOUD iDCIM</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97</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火灾报警控制器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JB-BQ-JBF5009</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98</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烟感</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JTY-GD-JBF5100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99</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声光</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JBF5172</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报警</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JBF5173</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101</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喷水误入</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指示牌</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102</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双电源风机控制箱4回路</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800*700*300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103</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细水雾喷头</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不锈钢304高压开项喷头</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104</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电磁阀DN25</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铜制24V</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105</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排空阀DN25</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铜制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106</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压力传感器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不锈钢DN16</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107</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阀门箱体</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钢制400600300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108</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排风风机</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混流风机</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109</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排风风口</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喷塑</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110</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防雨百叶</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喷塑双层防雨，需拆卸外墙玻璃，玻璃上开孔安装防雨百叶，安装完毕将玻璃装回</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111</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电动风阀</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排烟风阀反馈</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112</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增加消防电话分机</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接入消防主机</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座</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113</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甲级防火双开门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甲级防火双开门，根据现场定制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扇</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114</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强弱电走线槽</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ZXDUPA-XC</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中兴通讯</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115</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PDU</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SWP8860H</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胜威南方</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116</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机柜连接电缆</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WDZ-YJY-3*10mm²</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160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117</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监控系统</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有毒有害气体监测传感器</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118</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管理软件</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BSN-ACV3.0J</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博西尼</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119</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指纹读卡器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BSN-FR120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博西尼</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120</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发卡器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BSN-AT500/S50</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博西尼</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121</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卡片</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BSN-FM1216-137BK</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张</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博西尼</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122</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双门门禁控制器</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BSN-AC-IP/2</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博西尼</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123</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防水堤坝</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防水堤坝</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124</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机房应急排水管，排水阀</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机房应急排水管，排水阀</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125</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机房给水管，给水阀</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机房给水管，给水阀</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126</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室外机基础</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室外机基础</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127</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100mm深围框、室内机围框与机</w:t>
            </w:r>
            <w:r>
              <w:rPr>
                <w:rFonts w:hint="eastAsia" w:ascii="宋体" w:hAnsi="宋体" w:eastAsia="宋体"/>
                <w:color w:val="000000"/>
                <w:sz w:val="24"/>
                <w:szCs w:val="24"/>
                <w:lang w:bidi="ar"/>
              </w:rPr>
              <w:t xml:space="preserve">组集成一起，深度1200mm</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100mm深围框、室内机围框与机组集成一起，深度1200mm</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室内机围框与机组集成一</w:t>
            </w:r>
            <w:r>
              <w:rPr>
                <w:rFonts w:hint="eastAsia" w:ascii="宋体" w:hAnsi="宋体" w:eastAsia="宋体"/>
                <w:color w:val="000000"/>
                <w:sz w:val="24"/>
                <w:szCs w:val="24"/>
                <w:lang w:bidi="ar"/>
              </w:rPr>
              <w:t xml:space="preserve">起，深度1200mm</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128</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VRV空调（一拖二）</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VRV空调（一拖二）GMV-250WL/L</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格力</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129</w:t>
            </w:r>
            <w:r/>
          </w:p>
        </w:tc>
        <w:tc>
          <w:tcPr>
            <w:tcBorders>
              <w:top w:val="single" w:color="000000" w:sz="4" w:space="0"/>
              <w:left w:val="single" w:color="000000" w:sz="4" w:space="0"/>
              <w:bottom w:val="single" w:color="000000" w:sz="4" w:space="0"/>
              <w:right w:val="single" w:color="000000" w:sz="4" w:space="0"/>
            </w:tcBorders>
            <w:tcW w:w="979"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现场所有辅材</w:t>
            </w:r>
            <w:r/>
          </w:p>
        </w:tc>
        <w:tc>
          <w:tcPr>
            <w:tcBorders>
              <w:top w:val="single" w:color="000000" w:sz="4" w:space="0"/>
              <w:left w:val="single" w:color="000000" w:sz="4" w:space="0"/>
              <w:bottom w:val="single" w:color="000000" w:sz="4" w:space="0"/>
              <w:right w:val="single" w:color="000000" w:sz="4" w:space="0"/>
            </w:tcBorders>
            <w:tcW w:w="1277"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定制</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国产优质</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bidi="ar"/>
              </w:rPr>
              <w:t xml:space="preserve">2021年</w:t>
            </w:r>
            <w:r/>
          </w:p>
        </w:tc>
      </w:tr>
    </w:tbl>
    <w:p>
      <w:pPr>
        <w:ind w:firstLine="499"/>
        <w:keepLines/>
        <w:keepNext/>
        <w:spacing w:line="360" w:lineRule="auto"/>
        <w:rPr>
          <w:rFonts w:hint="eastAsia" w:ascii="宋体" w:hAnsi="宋体" w:eastAsia="宋体"/>
          <w:b/>
          <w:bCs/>
          <w:color w:val="000000"/>
          <w:sz w:val="24"/>
          <w:szCs w:val="24"/>
        </w:rPr>
        <w:outlineLvl w:val="2"/>
      </w:pPr>
      <w:r>
        <w:rPr>
          <w:rFonts w:hint="eastAsia" w:ascii="宋体" w:hAnsi="宋体" w:eastAsia="宋体"/>
          <w:b/>
          <w:bCs/>
          <w:color w:val="000000"/>
          <w:sz w:val="24"/>
          <w:szCs w:val="24"/>
        </w:rPr>
        <w:t xml:space="preserve">三、维保服务要求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（一）巡检服务要求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1、巡检频次：提供每周现场巡检、每季度全面维保、年度深度巡检服务；暴雨、雷电、台风等恶劣天气，重大节假日、重要业务上线/升级期间，增加巡视频次，对核心设备与环境开展专项检查。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巡检标准：严格按照本方案各模块巡检内容执行，完整填写《机房巡检登记簿》，详细记录设备运行状态、参数数值、异常情况、处理措施，巡检记录需由巡检人、复核人双签字确认，归档保存，做到全流程可追溯。</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3、巡检流程：严格执行“巡检准备→现场巡检→异常处理→记录归档” 的标准化流程，巡检过程中发现重大异常（如设备告警、漏水、火灾隐患、供电中断等），立即停止巡检，启动应急处置流程，同步上报采购人相关负责人。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（二）故障处置服务要求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1、响应时效：提供7*24小时故障响应服务，接到采购人故障报修后，30分钟内响应，2小时内到达现场，4小时内排查故障根因，24小时内修复故障（特殊复杂故障除外，需提前向采购人报备修复计划）。</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处置规范：按照故障处置规范，制定专项处置方案，快速排查故障根因，优先采取措施恢复业务运行，再开展故障修复；故障处置完成后，形成完整的故障处理报告，包含故障现象、根因分析、处置过程、预防措施，归档留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ab/>
        <w:t xml:space="preserve">应急处置：发生重大故障（如大面积停电、机房高温、核心网络中断、火灾隐患等），立即启动应急预案，组织应急处置，同步上报采购人负责人，确保业务连续、安全可控。</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（三）机房整治专项要求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1、机房整理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线路整理：线路规整，新增全部设备标签，每个机柜布置机柜大样图，方便后期使用；网线及部分老旧材料全部更新。</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实施保障：制定实施方案，确保机房整治过程中所有设备不损坏，且不影响应急厅正常工作秩序。</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2、运维室改造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装饰装修：在不破坏整体结构的情况下，小范围进行装饰装修工程（增隔间）。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设备更新：更新办公桌及相关办公设备。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新风系统：根据实际情况改善新风系统，增加通风设备，改善整个运维室闷热的环境。</w:t>
      </w:r>
      <w:r/>
    </w:p>
    <w:p>
      <w:pPr>
        <w:ind w:firstLine="480"/>
        <w:spacing w:line="360" w:lineRule="auto"/>
        <w:rPr>
          <w:rFonts w:hint="eastAsia" w:ascii="宋体" w:hAnsi="宋体" w:eastAsia="宋体"/>
          <w:sz w:val="24"/>
          <w:szCs w:val="24"/>
        </w:rPr>
      </w:pPr>
      <w:r/>
      <w:bookmarkStart w:id="41" w:name="OLE_LINK7"/>
      <w:r>
        <w:rPr>
          <w:rFonts w:hint="eastAsia" w:ascii="宋体" w:hAnsi="宋体" w:eastAsia="宋体"/>
          <w:sz w:val="24"/>
          <w:szCs w:val="24"/>
        </w:rPr>
        <w:t xml:space="preserve">（四）指挥网和无线AP专项要求</w:t>
      </w:r>
      <w:bookmarkEnd w:id="41"/>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应急厅指挥网主要由路由设备及防火墙设备组成，路由器设备共计110台，分布在105个区域，设备年限7年，全部处于过保状态。因指挥网属于关键网络，要确保路由设备的正常运作。且在断联后可以第一时间恢复通信，计划采购原厂质保服务，确保故障及时修复。</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防火墙设备共计106台，分布在104个区域，设备年限7年，全部处于过保状态，保证所有防火墙处于最新版本。</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应急厅无线AP共160台设备，使用期限7年，全部处于过保状态，如果设备损坏，直接更换备品备件。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（五）应急保障与演练要求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重大活动保障：在重大活动、重要会议、应急指挥场景前，对全量设施设备开展专项维保及节前安全检查，隐患排查整改完成率100%；加密巡检频次，备齐备品备件、维保器械、仪器仪表，提供现场全程技术保障，确保万无一失。</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应急演练：每季度开展1—2次专项应急演练，全年完成全部科目的全覆盖演练，演练场景包括但不限于：市电突然中断停电应急演练、UPS故障转旁路应急演练、精密空调故障停机/机房高温应急演练、机房漏水应急演练、消防火警联动模拟演练、配电柜异常应急演练等。演练后输出完整的演练复盘总结与整改优化报告，持续优化应急预案与处置流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（六）备品备件管理要求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备件库建设：提供符合防火、防盗、防潮、防尘要求的备品备件库，并根据设备重要性、故障率，储备充足的备品备件，包括但不限于：不低于机房原服务器效能的服务器至少1台，可移动空调至少4台，其余备品备件若干（如服务器硬盘、内存、风扇，UPS蓄电池，网络设备光模块/端口模块，空调滤网、制冷剂，消防器材，设备电源、线缆等）。确保备件种类齐全、数量充足，可满足应急抢修需求。</w:t>
      </w:r>
      <w:r>
        <w:rPr>
          <w:rFonts w:hint="eastAsia" w:ascii="宋体" w:hAnsi="宋体" w:eastAsia="宋体"/>
          <w:b/>
          <w:bCs/>
          <w:i/>
          <w:iCs/>
          <w:color w:val="000000" w:themeColor="text1"/>
          <w:sz w:val="24"/>
          <w:szCs w:val="24"/>
          <w:u w:val="single"/>
        </w:rPr>
        <w:t xml:space="preserve">同时承诺清单外硬件设备发生损坏的，提供免费更换服务，免费更换总价值不超过人民币10万元。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2、台账管理：建立完善的备件台账，实行分类管理，明确备件名称、型号、规格、数量、</w:t>
      </w:r>
      <w:r>
        <w:rPr>
          <w:rFonts w:hint="eastAsia" w:ascii="宋体" w:hAnsi="宋体" w:eastAsia="宋体"/>
          <w:sz w:val="24"/>
          <w:szCs w:val="24"/>
        </w:rPr>
        <w:t xml:space="preserve">存储位置、采购时间、有效期等信息；每季度开展1次备件盘点，确保账实相符，对过期、损坏的备件及时更换。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3、领用制度：备件领用、归还实行登记制度，领用备件需填写领用单，注明领用原因、数量、领用人员、领用时间，归还时核对备件状态，同步更新台账。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（七）人员服务要求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1、团队配置：供应商须配备专业的维保团队，团队成员须具备相关专业资质，具备3年以上机房维保相关工作经验；项目负责人须具备5年以上机房运维管理经验，具有政府机关、事业单位机房维保项目管理经验。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2、人员管理：维保人员需熟悉本项目机房设备、系统架构、运维流程，严格遵守采购人的各项管理制度，持证上岗；人员变动需提前15个工作日报备采购人，经采购人同意后方可更换。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3、安全规范：高空作业、带电作业需由具备相应资质的人员执行，严格遵守安全操作规程，作业前制定安全作业方案，落实安全防护措施，安排专人监护，确保作业安全。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（八）现场故障处理能力要求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1、维保服务单位需根据系统使用情况及日常维护需要，在运维服务现场配备相应维修维护工具及线缆辅材，确保在上述规定时间内完成巡检维护及故障维修。</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本维保项目不要求维保服务单位提供指定的备品备件，维保服务单位需对现有系统进行评估，明确备件渠道和快速供货流程，相关可替换设备能够在现场、项目所在地或设备厂家处快速获取，确保在上述规定时间内完成故障维修。设备故障发生后，维保服务单位无自行修复能力或具有较大维修风险的，须协调原厂商技术力量开展现场修复。因原厂商技术力量现场修复产生的费用，全部由维保服务单位承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3、因设备维修而更换的维修配件等，相关产权归采购人所有，损坏设备需根据采购人相关 规定要求进行处置。</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（九）维保服务单位要求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1、维保服务单位技术能力要求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维保服务单位要拥有完善的技术支持团队，对监控、机房、有线通信、无线通信、综合布线、音视频等系统有较强的运行维护能力。拥有稳定、专业化的技术支持服务队伍和完善的技术支持服务体系。具有负责重大故障处理的技术专家，定期对系统运行情况进行分析，并提出整改或优化方案和建议。</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2、运维服务流程管理要求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运维服务单位需提供值班管理、工单管理、巡检管理、项目管理、文档管理、通信设备运维台账管理等电子化台账，通过运维数据的积累、分析，合理加强运维服务薄弱环节，科学分配驻场人员工作，提升运维服务的质量和效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3、日常监管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（1）根据江苏省应急管理厅安全管理要求，定期开展安全保密教育，增强现场人员安全保密意识，规范行为；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（2）加强施工安全等教育培训，对现场运维人员定人定岗，责任到人。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（3）及时掌握驻场人员工作状态及行为动态，加强思想认识和业务能力培训，对驻场服务不到位或违反我方相关管理规定的人员，开展批评教育或根据我方要求进行人员更换。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4、本地化服务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为保障维保服务的及时响应，供应商承诺</w:t>
      </w:r>
      <w:r>
        <w:rPr>
          <w:rFonts w:hint="eastAsia" w:ascii="宋体" w:hAnsi="宋体" w:eastAsia="宋体"/>
          <w:sz w:val="24"/>
          <w:szCs w:val="24"/>
        </w:rPr>
        <w:t xml:space="preserve">中标后提供本地化服务团队，为采购人提供及时响应服务。服务范围须至少覆盖5个江苏省地级市，应在不少于2个江苏省地级市内设有服务机构（分支机构或办事处，含申请人企业所在地）。</w:t>
      </w:r>
      <w:r/>
    </w:p>
    <w:p>
      <w:pPr>
        <w:ind w:firstLine="499"/>
        <w:keepLines/>
        <w:keepNext/>
        <w:spacing w:line="360" w:lineRule="auto"/>
        <w:rPr>
          <w:rFonts w:hint="eastAsia" w:ascii="宋体" w:hAnsi="宋体" w:eastAsia="宋体"/>
          <w:b/>
          <w:bCs/>
          <w:color w:val="000000"/>
          <w:sz w:val="24"/>
          <w:szCs w:val="24"/>
        </w:rPr>
        <w:outlineLvl w:val="2"/>
      </w:pPr>
      <w:r>
        <w:rPr>
          <w:rFonts w:hint="eastAsia" w:ascii="宋体" w:hAnsi="宋体" w:eastAsia="宋体"/>
          <w:b/>
          <w:bCs/>
          <w:color w:val="000000"/>
          <w:sz w:val="24"/>
          <w:szCs w:val="24"/>
        </w:rPr>
        <w:t xml:space="preserve">四、方案要求</w:t>
      </w:r>
      <w:r/>
    </w:p>
    <w:p>
      <w:pPr>
        <w:ind w:firstLine="480"/>
        <w:spacing w:line="360" w:lineRule="auto"/>
        <w:rPr>
          <w:rFonts w:hint="eastAsia" w:ascii="宋体" w:hAnsi="宋体" w:eastAsia="宋体"/>
          <w:sz w:val="24"/>
          <w:szCs w:val="24"/>
        </w:rPr>
      </w:pPr>
      <w:r/>
      <w:bookmarkStart w:id="42" w:name="_Hlk236125653"/>
      <w:r>
        <w:rPr>
          <w:rFonts w:hint="eastAsia" w:ascii="宋体" w:hAnsi="宋体" w:eastAsia="宋体"/>
          <w:sz w:val="24"/>
          <w:szCs w:val="24"/>
        </w:rPr>
        <w:t xml:space="preserve">（一）供应商需完整编制针对性难点分析及对应方案，评标将依据供应商提交的难点分析及对应方案综合打分。方案需紧密结合本项目需求与技术特点，做到难点分析全面准确，应对方案合理可行，同时配套提供应急演练实施细则以及专项方案编制大纲，清晰列明大纲框架、章节要点与编制规范，满足项目风险研判、应急管理工作需要。</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二）供应商需完整编制针对性运维总体实施方案，评标将依据供应商提交的运维总体实施方案综合打分。方案需紧密结合本项目需求与技术特点，做到内容完整、条理清晰、科学合理且具备可操作性，至少清晰涵盖运维服务团队组织架构与人员组建规划、标准化分级运维管理流程、适配项目场景的运维工具选型、部署及应用管理机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三）供应商需完整编制针对性网络设备模块维保方案，评标将依据供应商提交的网络设备模块维保方案综合打分。方案需紧密结合本项目需求与技术特点，做到内容完整、条理清晰、科学合理且具备可操作性，至少包含网络设备常态化日常巡检机制、设备清洁养护、故障监测与排查处置、固件版本管理、系统漏洞整改与安全加固等工作细则。</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四）供应商需完整编制针对性精密空调维保方案，评标将依据供应商提交的精密空调维保方案综合打分。方案需紧密结合本项目需求与技术特点，做到内容完整、条理清晰、科学合理且具备可操作性，至少包含定期对过滤器、风扇、冷凝器等空调各部件开展检查与清理，持续监测设备运行状态，建立部件定期维护、老化零部件评估与更换工作流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五）供应商需完整编制针对性UPS系统维保方案，评标将依据供应商提交的UPS系统维保方案综合打分。方案需紧密结合本项目需求与技术特点，做到内容完整、条理清晰、科学合理且具备可操作性，至少包含蓄电池组性能周期性检测、UPS主机运行工况监测、系统充放电测试、整体供电系统健康度评估及风险预警处置相关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六）供应商需完整编制针对性会议系统维保方案，评标将依据供应商提交的会议系统维保方案综合打分。方案需紧密结合本项目需求与技术特点，做到内容完整、条理清晰、科学合理且具备可操作性，至少包含视频会议系统、音视频终端常态化巡检，传输线缆排查检修、显示大屏日常运维、会前保障及故障应急处置相关工作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七）供应商需完整编制针对性环境及智能化维保方案，评标将依据供应商提交的环境及智能化维保方案综合打分。方案需紧密结合本项目需求与技术特点，做到内容完整、条理清晰、科学合理且具备可操作性，至少包含动环监控系统巡检校准、冷通道系统运行状态检查、机房防静电性能检测、装饰装修设施隐患排查与维护等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八）供应商需完整编制针对性机房整治专项方案，评标将依据供应商提交的机房整治专项方案综合打分。方案需紧密结合本项目需求与技术特点，做到内容完整、条理清晰、科学合理且具备可操作性，至少包含机房线缆规整、设备标识标准化、机房环境整理、运维室功能改造、现场施工管控及验收标准等相关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九）供应商需完整编制针对性应急保障与演练方案，评标将依据供应商提交的应急保障与演练方案综合打分。方案需紧密结合本项目需求与技术特点，做到内容完整、条理清晰、科学合理且具备可操作性，至少包含重大活动专项保障组织机制、人员排班安排、突发故障应急处置流程、应急演练场景设计、演练实施与复盘整改机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十）供应商需完整编制针对性维保设备备品、备件及消耗品方案，评标将依据供应商提交的备品备件及消耗品方案综合打分。方案需紧密结合本项目需求与技术特点，做到内容完整详实、规划合理、具备可操作性，至少包含故障响应时间标准、物资供应流转管理、备品备件质量管控、分级储备规划、出入库及更换报废管理等核心要素。</w:t>
      </w:r>
      <w:r/>
    </w:p>
    <w:p>
      <w:pPr>
        <w:ind w:firstLine="480"/>
        <w:spacing w:line="360" w:lineRule="auto"/>
        <w:rPr>
          <w:rFonts w:hint="eastAsia" w:ascii="宋体" w:hAnsi="宋体" w:eastAsia="宋体"/>
          <w:sz w:val="24"/>
          <w:szCs w:val="24"/>
          <w:highlight w:val="yellow"/>
        </w:rPr>
      </w:pPr>
      <w:r>
        <w:rPr>
          <w:rFonts w:hint="eastAsia" w:ascii="宋体" w:hAnsi="宋体" w:eastAsia="宋体"/>
          <w:sz w:val="24"/>
          <w:szCs w:val="24"/>
        </w:rPr>
        <w:t xml:space="preserve">（十一）供应商需完整编制针对性本地化服务方案，评标将依据供应商提交的本地化服务方案综合打分。方案需紧密结合本项目需求与技术特点，做到内容完整、条理清晰、科学合理且具备可操作性，至少包含本地化常设服务机构配置、本地技术服务团队人员组成、人员资质能力、上门响应机制、现场常态化技术支撑保障措施。</w:t>
      </w:r>
      <w:bookmarkEnd w:id="42"/>
      <w:r/>
      <w:r/>
    </w:p>
    <w:p>
      <w:pPr>
        <w:ind w:firstLine="499"/>
        <w:keepLines/>
        <w:keepNext/>
        <w:spacing w:line="360" w:lineRule="auto"/>
        <w:rPr>
          <w:rFonts w:hint="eastAsia" w:ascii="宋体" w:hAnsi="宋体" w:eastAsia="宋体"/>
          <w:b/>
          <w:bCs/>
          <w:sz w:val="24"/>
          <w:szCs w:val="24"/>
        </w:rPr>
        <w:outlineLvl w:val="2"/>
      </w:pPr>
      <w:r>
        <w:rPr>
          <w:rFonts w:hint="eastAsia" w:ascii="宋体" w:hAnsi="宋体" w:eastAsia="宋体"/>
          <w:b/>
          <w:bCs/>
          <w:color w:val="000000"/>
          <w:sz w:val="24"/>
          <w:szCs w:val="24"/>
        </w:rPr>
        <w:t xml:space="preserve">五、其它要求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（一）服务时间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自合同签订之日起一年。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（二）费用支付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本项目采用合同签订后一次性付清全款的付款方式。采购合同正式签订且成交供应商提交合法有效全额发票后，采购人一次性支付合同全部款项。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成交供应商须在合同签订前按采购人要求足额提交履约保证金，履约保证金按合同总价规定比例计</w:t>
      </w:r>
      <w:r>
        <w:rPr>
          <w:rFonts w:hint="eastAsia" w:ascii="宋体" w:hAnsi="宋体" w:eastAsia="宋体"/>
          <w:sz w:val="24"/>
          <w:szCs w:val="24"/>
        </w:rPr>
        <w:t xml:space="preserve">取</w:t>
      </w:r>
      <w:r>
        <w:rPr>
          <w:rFonts w:hint="eastAsia" w:ascii="宋体" w:hAnsi="宋体" w:eastAsia="宋体"/>
          <w:sz w:val="24"/>
          <w:szCs w:val="24"/>
        </w:rPr>
        <w:t xml:space="preserve">（合同总价的10％）</w:t>
      </w:r>
      <w:r>
        <w:rPr>
          <w:rFonts w:hint="eastAsia" w:ascii="宋体" w:hAnsi="宋体" w:eastAsia="宋体"/>
          <w:sz w:val="24"/>
          <w:szCs w:val="24"/>
        </w:rPr>
        <w:t xml:space="preserve">。供</w:t>
      </w:r>
      <w:r>
        <w:rPr>
          <w:rFonts w:hint="eastAsia" w:ascii="宋体" w:hAnsi="宋体" w:eastAsia="宋体"/>
          <w:sz w:val="24"/>
          <w:szCs w:val="24"/>
        </w:rPr>
        <w:t xml:space="preserve">应</w:t>
      </w:r>
      <w:bookmarkStart w:id="43" w:name="OLE_LINK4"/>
      <w:r>
        <w:rPr>
          <w:rFonts w:hint="eastAsia" w:ascii="宋体" w:hAnsi="宋体" w:eastAsia="宋体"/>
          <w:sz w:val="24"/>
          <w:szCs w:val="24"/>
        </w:rPr>
        <w:t xml:space="preserve">商可采用银行转账、数字人民币、银行保函、政府采购电子履约保函、履约保证保险等合规形式缴纳</w:t>
      </w:r>
      <w:bookmarkEnd w:id="43"/>
      <w:r>
        <w:rPr>
          <w:rFonts w:hint="eastAsia" w:ascii="宋体" w:hAnsi="宋体" w:eastAsia="宋体"/>
          <w:sz w:val="24"/>
          <w:szCs w:val="24"/>
        </w:rPr>
        <w:t xml:space="preserve">。项目服务期满、全部合同义务履行完毕且验收合格后，履约保证金由采购人无息全额退还。若供应商存在违约、服务不达标等情形，采购人有权依据合同约定扣除相应履约保证金。</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（三）验收要求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w:t>
      </w:r>
      <w:r>
        <w:rPr>
          <w:rFonts w:ascii="宋体" w:hAnsi="宋体" w:eastAsia="宋体"/>
          <w:sz w:val="24"/>
          <w:szCs w:val="24"/>
        </w:rPr>
        <w:t xml:space="preserve">验收依据</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采购文件、投标响应文件、项目合同。</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验收条件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项目服务供应商按要求完成本项目要求的服务内容，服务到期后可申请验收，验收应提供完整的服务记录等相关文档。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（四）其它要求</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本采购包上述斜体下划线内容为实质性技术参数要求，不允许负偏离（或不满足），</w:t>
      </w:r>
      <w:r>
        <w:rPr>
          <w:rFonts w:hint="eastAsia" w:ascii="宋体" w:hAnsi="宋体" w:eastAsia="宋体"/>
          <w:b/>
          <w:bCs/>
          <w:sz w:val="24"/>
          <w:szCs w:val="24"/>
          <w:u w:val="single"/>
        </w:rPr>
        <w:t xml:space="preserve">供应商</w:t>
      </w:r>
      <w:r>
        <w:rPr>
          <w:rFonts w:ascii="宋体" w:hAnsi="宋体" w:eastAsia="宋体"/>
          <w:b/>
          <w:bCs/>
          <w:sz w:val="24"/>
          <w:szCs w:val="24"/>
          <w:u w:val="single"/>
        </w:rPr>
        <w:t xml:space="preserve">须承诺完全响应并提供承诺书（格式见</w:t>
      </w:r>
      <w:r>
        <w:rPr>
          <w:rFonts w:hint="eastAsia" w:ascii="宋体" w:hAnsi="宋体" w:eastAsia="宋体"/>
          <w:b/>
          <w:bCs/>
          <w:sz w:val="24"/>
          <w:szCs w:val="24"/>
          <w:u w:val="single"/>
        </w:rPr>
        <w:t xml:space="preserve">第六章 第十五条“</w:t>
      </w:r>
      <w:r>
        <w:rPr>
          <w:rFonts w:hint="eastAsia" w:ascii="宋体" w:hAnsi="宋体" w:eastAsia="宋体"/>
          <w:b/>
          <w:sz w:val="24"/>
          <w:szCs w:val="24"/>
          <w:u w:val="single"/>
        </w:rPr>
        <w:t xml:space="preserve">实质性要求完全响应承诺书”</w:t>
      </w:r>
      <w:r>
        <w:rPr>
          <w:rFonts w:ascii="宋体" w:hAnsi="宋体" w:eastAsia="宋体"/>
          <w:b/>
          <w:bCs/>
          <w:sz w:val="24"/>
          <w:szCs w:val="24"/>
          <w:u w:val="single"/>
        </w:rPr>
        <w:t xml:space="preserve">）</w:t>
      </w:r>
      <w:r>
        <w:rPr>
          <w:rFonts w:hint="eastAsia" w:ascii="宋体" w:hAnsi="宋体" w:eastAsia="宋体"/>
          <w:b/>
          <w:bCs/>
          <w:sz w:val="24"/>
          <w:szCs w:val="24"/>
          <w:u w:val="single"/>
        </w:rPr>
        <w:t xml:space="preserve">上传至投标系统，</w:t>
      </w:r>
      <w:r>
        <w:rPr>
          <w:rFonts w:ascii="宋体" w:hAnsi="宋体" w:eastAsia="宋体"/>
          <w:b/>
          <w:bCs/>
          <w:sz w:val="24"/>
          <w:szCs w:val="24"/>
          <w:u w:val="single"/>
        </w:rPr>
        <w:t xml:space="preserve">否则作为无效投标。</w:t>
      </w:r>
      <w:r/>
    </w:p>
    <w:p>
      <w:pPr>
        <w:ind w:firstLine="499"/>
        <w:keepLines/>
        <w:keepNext/>
        <w:spacing w:line="360" w:lineRule="auto"/>
        <w:rPr>
          <w:rFonts w:hint="eastAsia" w:ascii="宋体" w:hAnsi="宋体" w:eastAsia="宋体"/>
          <w:b/>
          <w:bCs/>
          <w:color w:val="000000"/>
          <w:sz w:val="24"/>
          <w:szCs w:val="24"/>
        </w:rPr>
        <w:outlineLvl w:val="2"/>
      </w:pPr>
      <w:r>
        <w:rPr>
          <w:rFonts w:hint="eastAsia" w:ascii="宋体" w:hAnsi="宋体" w:eastAsia="宋体"/>
          <w:b/>
          <w:bCs/>
          <w:color w:val="000000"/>
          <w:sz w:val="24"/>
          <w:szCs w:val="24"/>
        </w:rPr>
        <w:t xml:space="preserve">六、供应商履约能力要求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（一）成功案例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供应商自2023年1月1日以来，具有类似运维项目合同案例。时间以合同签订日期为准，合同需清晰可见合同签订时间及合同主要内容，否则视为无效案例。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二</w:t>
      </w:r>
      <w:r>
        <w:rPr>
          <w:rFonts w:hint="eastAsia" w:ascii="宋体" w:hAnsi="宋体" w:eastAsia="宋体"/>
          <w:sz w:val="24"/>
          <w:szCs w:val="24"/>
        </w:rPr>
        <w:t xml:space="preserve">）人员服务能力</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供应商拟投入本项目的项目团队负责人具有正高级工程师职称证书、信息系统项目管理师证书、CISAW信息安全保障人员认证证书。</w:t>
      </w:r>
      <w:r/>
    </w:p>
    <w:p>
      <w:pPr>
        <w:ind w:firstLine="480"/>
        <w:spacing w:line="360" w:lineRule="auto"/>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供应商拟投入本项目的技术负责人具有高级工程师职称证书、高级系统架构设计师证书、注册信息安全专业人员（CISP）证书</w:t>
      </w:r>
      <w:r>
        <w:rPr>
          <w:rFonts w:hint="eastAsia" w:ascii="宋体" w:hAnsi="宋体" w:eastAsia="宋体"/>
          <w:color w:val="000000"/>
          <w:sz w:val="24"/>
          <w:szCs w:val="24"/>
          <w:lang w:bidi="ar"/>
        </w:rPr>
        <w:t xml:space="preserve">。</w:t>
      </w:r>
      <w:r/>
    </w:p>
    <w:p>
      <w:pPr>
        <w:ind w:firstLine="480"/>
        <w:spacing w:line="360" w:lineRule="auto"/>
        <w:rPr>
          <w:rFonts w:hint="eastAsia" w:ascii="宋体" w:hAnsi="宋体" w:eastAsia="宋体"/>
          <w:color w:val="000000"/>
          <w:sz w:val="24"/>
          <w:szCs w:val="24"/>
          <w:lang w:bidi="ar"/>
        </w:rPr>
      </w:pPr>
      <w:r>
        <w:rPr>
          <w:rFonts w:hint="eastAsia" w:ascii="宋体" w:hAnsi="宋体" w:eastAsia="宋体"/>
          <w:color w:val="000000"/>
          <w:sz w:val="24"/>
          <w:szCs w:val="24"/>
          <w:lang w:bidi="ar"/>
        </w:rPr>
        <w:t xml:space="preserve">供应商拟投入本项目的安全负责人具有注册数据安全治理专业人员（CISP-DSG）证书、网络安全能力认证CCSC-网络安全技术(I级及以上)、CCRC-DSO数据安全官证书、CISAW信息</w:t>
      </w:r>
      <w:r>
        <w:rPr>
          <w:rFonts w:hint="eastAsia" w:ascii="宋体" w:hAnsi="宋体" w:eastAsia="宋体"/>
          <w:color w:val="000000"/>
          <w:sz w:val="24"/>
          <w:szCs w:val="24"/>
          <w:lang w:bidi="ar"/>
        </w:rPr>
        <w:t xml:space="preserve">安全保障人员认证证书</w:t>
      </w:r>
      <w:r>
        <w:rPr>
          <w:rFonts w:hint="eastAsia" w:ascii="宋体" w:hAnsi="宋体" w:eastAsia="宋体"/>
          <w:color w:val="000000"/>
          <w:sz w:val="24"/>
          <w:szCs w:val="24"/>
          <w:lang w:bidi="ar"/>
        </w:rPr>
        <w:t xml:space="preserve">。</w:t>
      </w:r>
      <w:r/>
    </w:p>
    <w:p>
      <w:pPr>
        <w:ind w:firstLine="480"/>
        <w:spacing w:line="360" w:lineRule="auto"/>
        <w:rPr>
          <w:rFonts w:hint="eastAsia" w:ascii="宋体" w:hAnsi="宋体" w:eastAsia="宋体"/>
          <w:sz w:val="24"/>
          <w:szCs w:val="24"/>
        </w:rPr>
      </w:pPr>
      <w:r>
        <w:rPr>
          <w:rFonts w:hint="eastAsia" w:ascii="宋体" w:hAnsi="宋体" w:eastAsia="宋体"/>
          <w:color w:val="000000"/>
          <w:sz w:val="24"/>
          <w:szCs w:val="24"/>
          <w:lang w:bidi="ar"/>
        </w:rPr>
        <w:t xml:space="preserve">供应商拟投入本项目的项目团队人员（除团队负责人）具有软考高级系统架构设计师、软考高级网络规划设计师、软考高级信息系统项目管理师。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以上人员，除提供相应证书外还需</w:t>
      </w:r>
      <w:r>
        <w:rPr>
          <w:rFonts w:ascii="宋体" w:hAnsi="宋体" w:eastAsia="宋体"/>
          <w:color w:val="000000"/>
          <w:sz w:val="24"/>
          <w:szCs w:val="24"/>
          <w:lang w:val="en-US" w:bidi="ar"/>
        </w:rPr>
        <w:t xml:space="preserve">提供供应商近3个月</w:t>
      </w:r>
      <w:r>
        <w:rPr>
          <w:rFonts w:hint="eastAsia" w:ascii="宋体" w:hAnsi="宋体" w:eastAsia="宋体"/>
          <w:color w:val="000000"/>
          <w:sz w:val="24"/>
          <w:szCs w:val="24"/>
          <w:lang w:val="en-US" w:bidi="ar"/>
        </w:rPr>
        <w:t xml:space="preserve">任意一月</w:t>
      </w:r>
      <w:r>
        <w:rPr>
          <w:rFonts w:ascii="宋体" w:hAnsi="宋体" w:eastAsia="宋体"/>
          <w:color w:val="000000"/>
          <w:sz w:val="24"/>
          <w:szCs w:val="24"/>
          <w:lang w:val="en-US" w:bidi="ar"/>
        </w:rPr>
        <w:t xml:space="preserve">为其缴纳社保的证明，扫描上传</w:t>
      </w:r>
      <w:r>
        <w:rPr>
          <w:rFonts w:hint="eastAsia" w:ascii="宋体" w:hAnsi="宋体" w:eastAsia="宋体"/>
          <w:sz w:val="24"/>
          <w:szCs w:val="24"/>
        </w:rPr>
        <w:t xml:space="preserve">，否则视为无效提供。</w:t>
      </w:r>
      <w:r/>
    </w:p>
    <w:p>
      <w:pPr>
        <w:ind w:firstLine="482"/>
        <w:spacing w:line="360" w:lineRule="auto"/>
        <w:rPr>
          <w:rFonts w:ascii="宋体" w:hAnsi="宋体"/>
          <w:b/>
          <w:bCs/>
          <w:sz w:val="24"/>
          <w:szCs w:val="24"/>
        </w:rPr>
        <w:outlineLvl w:val="0"/>
      </w:pPr>
      <w:r>
        <w:rPr>
          <w:rFonts w:hint="eastAsia" w:ascii="宋体" w:hAnsi="宋体"/>
          <w:b/>
          <w:bCs/>
          <w:sz w:val="24"/>
          <w:szCs w:val="24"/>
        </w:rPr>
        <w:t xml:space="preserve">三、商务要求</w:t>
      </w:r>
      <w:r/>
    </w:p>
    <w:p>
      <w:pPr>
        <w:ind w:firstLine="482"/>
        <w:spacing w:line="360" w:lineRule="auto"/>
        <w:rPr>
          <w:rFonts w:hint="eastAsia" w:ascii="宋体" w:hAnsi="宋体" w:eastAsiaTheme="minorEastAsia"/>
          <w:sz w:val="24"/>
          <w:szCs w:val="24"/>
        </w:rPr>
      </w:pPr>
      <w:r>
        <w:rPr>
          <w:rFonts w:hint="eastAsia" w:ascii="宋体" w:hAnsi="宋体" w:eastAsia="宋体"/>
          <w:sz w:val="24"/>
          <w:szCs w:val="24"/>
        </w:rPr>
        <w:t xml:space="preserve">（一）</w:t>
      </w:r>
      <w:r>
        <w:rPr>
          <w:rFonts w:hint="eastAsia" w:ascii="宋体" w:hAnsi="宋体"/>
          <w:sz w:val="24"/>
          <w:szCs w:val="24"/>
        </w:rPr>
        <w:t xml:space="preserve">项目工期：自合同签订之日起一年</w:t>
      </w:r>
      <w:r>
        <w:rPr>
          <w:rFonts w:hint="eastAsia" w:ascii="宋体" w:hAnsi="宋体" w:eastAsia="宋体"/>
          <w:sz w:val="24"/>
          <w:szCs w:val="24"/>
        </w:rPr>
        <w:t xml:space="preserve">。</w:t>
      </w:r>
      <w:r/>
    </w:p>
    <w:p>
      <w:pPr>
        <w:ind w:firstLine="482"/>
        <w:spacing w:line="360" w:lineRule="auto"/>
        <w:rPr>
          <w:rFonts w:ascii="宋体" w:hAnsi="宋体"/>
          <w:sz w:val="24"/>
          <w:szCs w:val="24"/>
        </w:rPr>
      </w:pPr>
      <w:r>
        <w:rPr>
          <w:rFonts w:hint="eastAsia" w:ascii="宋体" w:hAnsi="宋体" w:eastAsia="宋体"/>
          <w:sz w:val="24"/>
          <w:szCs w:val="24"/>
        </w:rPr>
        <w:t xml:space="preserve">（二）</w:t>
      </w:r>
      <w:r>
        <w:rPr>
          <w:rFonts w:hint="eastAsia" w:ascii="宋体" w:hAnsi="宋体"/>
          <w:sz w:val="24"/>
          <w:szCs w:val="24"/>
        </w:rPr>
        <w:t xml:space="preserve">实施地点</w:t>
      </w:r>
      <w:r>
        <w:rPr>
          <w:rFonts w:hint="eastAsia" w:ascii="宋体" w:hAnsi="宋体"/>
          <w:sz w:val="24"/>
          <w:szCs w:val="24"/>
        </w:rPr>
        <w:t xml:space="preserve">：</w:t>
      </w:r>
      <w:r>
        <w:rPr>
          <w:rFonts w:hint="eastAsia" w:ascii="宋体" w:hAnsi="宋体" w:eastAsia="宋体"/>
          <w:sz w:val="24"/>
          <w:szCs w:val="24"/>
          <w:lang w:val="en-US"/>
        </w:rPr>
        <w:t xml:space="preserve">江苏省应急管理</w:t>
      </w:r>
      <w:r>
        <w:rPr>
          <w:rFonts w:hint="eastAsia" w:ascii="宋体" w:hAnsi="宋体" w:eastAsia="宋体"/>
          <w:sz w:val="24"/>
          <w:szCs w:val="24"/>
          <w:lang w:val="en-US"/>
        </w:rPr>
        <w:t xml:space="preserve">厅</w:t>
      </w:r>
      <w:r>
        <w:rPr>
          <w:rFonts w:hint="eastAsia" w:ascii="宋体" w:hAnsi="宋体" w:eastAsia="宋体"/>
          <w:sz w:val="24"/>
          <w:szCs w:val="24"/>
          <w:lang w:val="en-US"/>
        </w:rPr>
        <w:t xml:space="preserve">以及采购人指定的地点</w:t>
      </w:r>
      <w:r>
        <w:rPr>
          <w:rFonts w:hint="eastAsia" w:ascii="宋体" w:hAnsi="宋体" w:eastAsia="宋体"/>
          <w:sz w:val="24"/>
          <w:szCs w:val="24"/>
          <w:lang w:val="en-US"/>
        </w:rPr>
        <w:t xml:space="preserve">。</w:t>
      </w:r>
      <w:r/>
    </w:p>
    <w:p>
      <w:pPr>
        <w:ind w:firstLine="480"/>
        <w:spacing w:line="360" w:lineRule="auto"/>
        <w:rPr>
          <w:rFonts w:hint="eastAsia" w:ascii="宋体" w:hAnsi="宋体" w:eastAsia="宋体"/>
          <w:sz w:val="24"/>
          <w:szCs w:val="24"/>
        </w:rPr>
      </w:pPr>
      <w:r/>
      <w:bookmarkStart w:id="44" w:name="OLE_LINK45"/>
      <w:r>
        <w:rPr>
          <w:rFonts w:hint="eastAsia" w:ascii="宋体" w:hAnsi="宋体" w:eastAsia="宋体"/>
          <w:sz w:val="24"/>
          <w:szCs w:val="24"/>
        </w:rPr>
        <w:t xml:space="preserve">（三）</w:t>
      </w:r>
      <w:r>
        <w:rPr>
          <w:rFonts w:hint="eastAsia" w:ascii="宋体" w:hAnsi="宋体"/>
          <w:sz w:val="24"/>
          <w:szCs w:val="24"/>
        </w:rPr>
        <w:t xml:space="preserve">付款方式</w:t>
      </w:r>
      <w:bookmarkEnd w:id="44"/>
      <w:r>
        <w:rPr>
          <w:rFonts w:hint="eastAsia" w:ascii="宋体" w:hAnsi="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本项目采用合同签订后一次性付清全款的付款方式。采购合同正式签订且成交供应商提交合法有效全额发票后，采购人一次性支付合同全部款项。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成交供应商须在合同签订前按采购人要求足额提交履约保证金，履约保证金按合同总价规定比例计取</w:t>
      </w:r>
      <w:r>
        <w:rPr>
          <w:rFonts w:hint="eastAsia" w:ascii="宋体" w:hAnsi="宋体" w:eastAsia="宋体"/>
          <w:sz w:val="24"/>
          <w:szCs w:val="24"/>
        </w:rPr>
        <w:t xml:space="preserve">（合同总价的10％）</w:t>
      </w:r>
      <w:r>
        <w:rPr>
          <w:rFonts w:hint="eastAsia" w:ascii="宋体" w:hAnsi="宋体" w:eastAsia="宋体"/>
          <w:sz w:val="24"/>
          <w:szCs w:val="24"/>
        </w:rPr>
        <w:t xml:space="preserve">。供应商</w:t>
      </w:r>
      <w:r>
        <w:rPr>
          <w:rFonts w:hint="eastAsia" w:ascii="宋体" w:hAnsi="宋体" w:eastAsia="宋体"/>
          <w:sz w:val="24"/>
          <w:szCs w:val="24"/>
        </w:rPr>
        <w:t xml:space="preserve">可采用银行转账、数字人民币、银行保函、政府采购电子履约保函、履约保证保险等合规形式缴纳。项目服务期满、全部合同义务履行完毕且验收合格后，履约保证金由采购人无息全额退还。若供应商存在违约、服务不达标等情形，采购人有权依据合同约定扣除相应履约保证金。</w:t>
      </w:r>
      <w:r/>
    </w:p>
    <w:p>
      <w:pPr>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bookmarkEnd w:id="32"/>
      <w:r/>
      <w:bookmarkEnd w:id="33"/>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第五章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合同草案条款及格式</w:t>
      </w:r>
      <w:r/>
    </w:p>
    <w:p>
      <w:pPr>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spacing w:line="360" w:lineRule="auto"/>
        <w:shd w:val="clear" w:color="auto" w:fill="ffffff"/>
        <w:widowControl/>
        <w:rPr>
          <w:rFonts w:hint="eastAsia" w:ascii="宋体" w:hAnsi="宋体" w:eastAsia="宋体"/>
          <w:b/>
          <w:bCs/>
          <w:color w:val="000000"/>
          <w:sz w:val="36"/>
          <w:szCs w:val="36"/>
        </w:rPr>
      </w:pPr>
      <w:r/>
      <w:bookmarkStart w:id="45" w:name="_Toc381716888"/>
      <w:r/>
      <w:r/>
    </w:p>
    <w:p>
      <w:pPr>
        <w:jc w:val="center"/>
        <w:spacing w:line="360" w:lineRule="auto"/>
        <w:shd w:val="clear" w:color="auto" w:fill="ffffff"/>
        <w:widowControl/>
        <w:rPr>
          <w:rFonts w:hint="eastAsia" w:ascii="宋体" w:hAnsi="宋体" w:eastAsia="宋体"/>
          <w:color w:val="000000"/>
          <w:szCs w:val="21"/>
        </w:rPr>
      </w:pPr>
      <w:r>
        <w:rPr>
          <w:rFonts w:hint="eastAsia" w:ascii="宋体" w:hAnsi="宋体" w:eastAsia="宋体"/>
          <w:color w:val="000000"/>
          <w:szCs w:val="21"/>
        </w:rPr>
      </w:r>
      <w:r/>
    </w:p>
    <w:p>
      <w:pPr>
        <w:jc w:val="center"/>
        <w:spacing w:line="360" w:lineRule="auto"/>
        <w:shd w:val="clear" w:color="auto" w:fill="ffffff"/>
        <w:widowControl/>
        <w:rPr>
          <w:rFonts w:hint="eastAsia" w:ascii="宋体" w:hAnsi="宋体" w:eastAsia="宋体"/>
          <w:b/>
          <w:bCs/>
          <w:color w:val="000000"/>
          <w:sz w:val="32"/>
          <w:szCs w:val="32"/>
        </w:rPr>
      </w:pPr>
      <w:r>
        <w:rPr>
          <w:rFonts w:hint="eastAsia" w:ascii="宋体" w:hAnsi="宋体" w:eastAsia="宋体"/>
          <w:b/>
          <w:bCs/>
          <w:color w:val="000000"/>
          <w:sz w:val="32"/>
          <w:szCs w:val="32"/>
        </w:rPr>
        <w:t xml:space="preserve">政府采购合同</w:t>
      </w:r>
      <w:r/>
    </w:p>
    <w:p>
      <w:pPr>
        <w:spacing w:line="360" w:lineRule="auto"/>
        <w:shd w:val="clear" w:color="auto" w:fill="ffffff"/>
        <w:widowControl/>
        <w:rPr>
          <w:rFonts w:hint="eastAsia" w:ascii="宋体" w:hAnsi="宋体" w:eastAsia="宋体"/>
          <w:b/>
          <w:bCs/>
          <w:color w:val="000000"/>
          <w:sz w:val="36"/>
          <w:szCs w:val="36"/>
        </w:rPr>
      </w:pPr>
      <w:r>
        <w:rPr>
          <w:rFonts w:hint="eastAsia" w:ascii="宋体" w:hAnsi="宋体" w:eastAsia="宋体"/>
          <w:b/>
          <w:bCs/>
          <w:color w:val="000000"/>
          <w:sz w:val="36"/>
          <w:szCs w:val="36"/>
        </w:rPr>
      </w:r>
      <w:r/>
    </w:p>
    <w:p>
      <w:pPr>
        <w:ind w:firstLine="315"/>
        <w:spacing w:line="360" w:lineRule="auto"/>
        <w:shd w:val="clear" w:color="auto" w:fill="ffffff"/>
        <w:widowControl/>
        <w:rPr>
          <w:rFonts w:hint="eastAsia" w:ascii="宋体" w:hAnsi="宋体" w:eastAsia="宋体"/>
          <w:color w:val="000000"/>
          <w:szCs w:val="21"/>
        </w:rPr>
      </w:pPr>
      <w:r>
        <w:rPr>
          <w:rFonts w:hint="eastAsia" w:ascii="宋体" w:hAnsi="宋体" w:eastAsia="宋体"/>
          <w:color w:val="000000"/>
          <w:szCs w:val="21"/>
        </w:rPr>
      </w:r>
      <w:r/>
    </w:p>
    <w:p>
      <w:pPr>
        <w:ind w:firstLine="315"/>
        <w:spacing w:line="360" w:lineRule="auto"/>
        <w:shd w:val="clear" w:color="auto" w:fill="ffffff"/>
        <w:widowControl/>
        <w:rPr>
          <w:rFonts w:hint="eastAsia" w:ascii="宋体" w:hAnsi="宋体" w:eastAsia="宋体"/>
          <w:color w:val="000000"/>
          <w:szCs w:val="21"/>
        </w:rPr>
      </w:pPr>
      <w:r>
        <w:rPr>
          <w:rFonts w:hint="eastAsia" w:ascii="宋体" w:hAnsi="宋体" w:eastAsia="宋体"/>
          <w:color w:val="000000"/>
          <w:szCs w:val="21"/>
        </w:rPr>
      </w:r>
      <w:r/>
    </w:p>
    <w:p>
      <w:pPr>
        <w:ind w:firstLine="315"/>
        <w:spacing w:line="360" w:lineRule="auto"/>
        <w:shd w:val="clear" w:color="auto" w:fill="ffffff"/>
        <w:widowControl/>
        <w:rPr>
          <w:rFonts w:hint="eastAsia" w:ascii="宋体" w:hAnsi="宋体" w:eastAsia="宋体"/>
          <w:color w:val="000000"/>
          <w:szCs w:val="21"/>
        </w:rPr>
      </w:pPr>
      <w:r>
        <w:rPr>
          <w:rFonts w:hint="eastAsia" w:ascii="宋体" w:hAnsi="宋体" w:eastAsia="宋体"/>
          <w:color w:val="000000"/>
          <w:szCs w:val="21"/>
        </w:rPr>
      </w:r>
      <w:r/>
    </w:p>
    <w:p>
      <w:pPr>
        <w:ind w:firstLine="315"/>
        <w:spacing w:line="360" w:lineRule="auto"/>
        <w:shd w:val="clear" w:color="auto" w:fill="ffffff"/>
        <w:widowControl/>
        <w:rPr>
          <w:rFonts w:hint="eastAsia" w:ascii="宋体" w:hAnsi="宋体" w:eastAsia="宋体"/>
          <w:color w:val="000000"/>
          <w:szCs w:val="21"/>
        </w:rPr>
      </w:pPr>
      <w:r>
        <w:rPr>
          <w:rFonts w:hint="eastAsia" w:ascii="宋体" w:hAnsi="宋体" w:eastAsia="宋体"/>
          <w:color w:val="000000"/>
          <w:szCs w:val="21"/>
        </w:rPr>
      </w:r>
      <w:r/>
    </w:p>
    <w:p>
      <w:pPr>
        <w:ind w:firstLine="315"/>
        <w:spacing w:line="360" w:lineRule="auto"/>
        <w:shd w:val="clear" w:color="auto" w:fill="ffffff"/>
        <w:widowControl/>
        <w:rPr>
          <w:rFonts w:hint="eastAsia" w:ascii="宋体" w:hAnsi="宋体" w:eastAsia="宋体"/>
          <w:color w:val="000000"/>
          <w:szCs w:val="21"/>
        </w:rPr>
      </w:pPr>
      <w:r>
        <w:rPr>
          <w:rFonts w:hint="eastAsia" w:ascii="宋体" w:hAnsi="宋体" w:eastAsia="宋体"/>
          <w:color w:val="000000"/>
          <w:szCs w:val="21"/>
        </w:rPr>
      </w:r>
      <w:r/>
    </w:p>
    <w:p>
      <w:pPr>
        <w:ind w:firstLine="315"/>
        <w:spacing w:line="360" w:lineRule="auto"/>
        <w:shd w:val="clear" w:color="auto" w:fill="ffffff"/>
        <w:widowControl/>
        <w:rPr>
          <w:rFonts w:hint="eastAsia" w:ascii="宋体" w:hAnsi="宋体" w:eastAsia="宋体"/>
          <w:color w:val="000000"/>
          <w:szCs w:val="21"/>
        </w:rPr>
      </w:pPr>
      <w:r>
        <w:rPr>
          <w:rFonts w:hint="eastAsia" w:ascii="宋体" w:hAnsi="宋体" w:eastAsia="宋体"/>
          <w:color w:val="000000"/>
          <w:szCs w:val="21"/>
        </w:rPr>
      </w:r>
      <w:r/>
    </w:p>
    <w:p>
      <w:pPr>
        <w:spacing w:line="360" w:lineRule="auto"/>
        <w:shd w:val="clear" w:color="auto" w:fill="ffffff"/>
        <w:widowControl/>
        <w:rPr>
          <w:rFonts w:hint="eastAsia" w:ascii="宋体" w:hAnsi="宋体" w:eastAsia="宋体"/>
          <w:color w:val="000000"/>
          <w:szCs w:val="21"/>
        </w:rPr>
      </w:pPr>
      <w:r>
        <w:rPr>
          <w:rFonts w:hint="eastAsia" w:ascii="宋体" w:hAnsi="宋体" w:eastAsia="宋体"/>
          <w:color w:val="000000"/>
          <w:szCs w:val="21"/>
        </w:rPr>
      </w:r>
      <w:r/>
    </w:p>
    <w:p>
      <w:pPr>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合同编号 ：</w:t>
      </w:r>
      <w:r>
        <w:rPr>
          <w:rFonts w:hint="eastAsia" w:ascii="宋体" w:hAnsi="宋体" w:eastAsia="宋体"/>
          <w:b/>
          <w:bCs/>
          <w:color w:val="000000"/>
          <w:sz w:val="30"/>
          <w:szCs w:val="30"/>
          <w:u w:val="single"/>
        </w:rPr>
        <w:t xml:space="preserve">          </w:t>
      </w:r>
      <w:r/>
    </w:p>
    <w:p>
      <w:pPr>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项目名称 ：</w:t>
      </w:r>
      <w:r>
        <w:rPr>
          <w:rFonts w:hint="eastAsia" w:ascii="宋体" w:hAnsi="宋体" w:eastAsia="宋体"/>
          <w:b/>
          <w:bCs/>
          <w:color w:val="000000"/>
          <w:sz w:val="30"/>
          <w:szCs w:val="30"/>
          <w:u w:val="single"/>
        </w:rPr>
        <w:t xml:space="preserve">          </w:t>
      </w:r>
      <w:r/>
    </w:p>
    <w:p>
      <w:pPr>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采 购 人 ：</w:t>
      </w:r>
      <w:r>
        <w:rPr>
          <w:rFonts w:hint="eastAsia" w:ascii="宋体" w:hAnsi="宋体" w:eastAsia="宋体"/>
          <w:b/>
          <w:bCs/>
          <w:color w:val="000000"/>
          <w:sz w:val="30"/>
          <w:szCs w:val="30"/>
          <w:u w:val="single"/>
        </w:rPr>
        <w:t xml:space="preserve">          </w:t>
      </w:r>
      <w:r/>
    </w:p>
    <w:p>
      <w:pPr>
        <w:ind w:firstLine="1916"/>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供 应 商 ：</w:t>
      </w:r>
      <w:r>
        <w:rPr>
          <w:rFonts w:hint="eastAsia" w:ascii="宋体" w:hAnsi="宋体" w:eastAsia="宋体"/>
          <w:b/>
          <w:bCs/>
          <w:color w:val="000000"/>
          <w:sz w:val="30"/>
          <w:szCs w:val="30"/>
          <w:u w:val="single"/>
        </w:rPr>
        <w:t xml:space="preserve">          </w:t>
      </w:r>
      <w:r/>
    </w:p>
    <w:p>
      <w:pPr>
        <w:ind w:firstLine="1916"/>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签订日期 ：</w:t>
      </w:r>
      <w:r>
        <w:rPr>
          <w:rFonts w:hint="eastAsia" w:ascii="宋体" w:hAnsi="宋体" w:eastAsia="宋体"/>
          <w:b/>
          <w:bCs/>
          <w:color w:val="000000"/>
          <w:sz w:val="30"/>
          <w:szCs w:val="30"/>
          <w:u w:val="single"/>
        </w:rPr>
        <w:t xml:space="preserve">          </w:t>
      </w:r>
      <w:r/>
    </w:p>
    <w:p>
      <w:pPr>
        <w:spacing w:line="360" w:lineRule="auto"/>
        <w:shd w:val="clear" w:color="auto" w:fill="ffffff"/>
        <w:widowControl/>
        <w:rPr>
          <w:rFonts w:hint="eastAsia" w:ascii="宋体" w:hAnsi="宋体" w:eastAsia="宋体"/>
          <w:color w:val="000000"/>
          <w:sz w:val="30"/>
          <w:szCs w:val="30"/>
        </w:rPr>
      </w:pPr>
      <w:r>
        <w:rPr>
          <w:rFonts w:hint="eastAsia" w:ascii="宋体" w:hAnsi="宋体" w:eastAsia="宋体"/>
          <w:color w:val="000000"/>
          <w:sz w:val="30"/>
          <w:szCs w:val="30"/>
        </w:rPr>
        <w:t xml:space="preserve">      </w:t>
      </w:r>
      <w:r/>
    </w:p>
    <w:p>
      <w:pPr>
        <w:spacing w:line="360" w:lineRule="auto"/>
        <w:shd w:val="clear" w:color="auto" w:fill="ffffff"/>
        <w:widowControl/>
        <w:rPr>
          <w:rFonts w:hint="eastAsia" w:ascii="宋体" w:hAnsi="宋体" w:eastAsia="宋体"/>
          <w:color w:val="000000"/>
          <w:sz w:val="30"/>
          <w:szCs w:val="30"/>
        </w:rPr>
      </w:pPr>
      <w:r>
        <w:rPr>
          <w:rFonts w:hint="eastAsia" w:ascii="宋体" w:hAnsi="宋体" w:eastAsia="宋体"/>
          <w:color w:val="000000"/>
          <w:sz w:val="30"/>
          <w:szCs w:val="30"/>
        </w:rPr>
      </w:r>
      <w:r/>
    </w:p>
    <w:p>
      <w:pPr>
        <w:spacing w:line="360" w:lineRule="auto"/>
        <w:shd w:val="clear" w:color="auto" w:fill="ffffff"/>
        <w:widowControl/>
        <w:rPr>
          <w:rFonts w:hint="eastAsia" w:ascii="宋体" w:hAnsi="宋体" w:eastAsia="宋体"/>
          <w:color w:val="000000"/>
          <w:sz w:val="30"/>
          <w:szCs w:val="30"/>
        </w:rPr>
      </w:pPr>
      <w:r>
        <w:rPr>
          <w:rFonts w:hint="eastAsia" w:ascii="宋体" w:hAnsi="宋体" w:eastAsia="宋体"/>
          <w:color w:val="000000"/>
          <w:sz w:val="30"/>
          <w:szCs w:val="30"/>
        </w:rPr>
      </w:r>
      <w:r/>
    </w:p>
    <w:p>
      <w:pPr>
        <w:spacing w:line="360" w:lineRule="auto"/>
        <w:shd w:val="clear" w:color="auto" w:fill="ffffff"/>
        <w:widowControl/>
        <w:rPr>
          <w:rFonts w:hint="eastAsia" w:ascii="宋体" w:hAnsi="宋体" w:eastAsia="宋体"/>
          <w:color w:val="000000"/>
          <w:sz w:val="30"/>
          <w:szCs w:val="30"/>
        </w:rPr>
      </w:pPr>
      <w:r>
        <w:rPr>
          <w:rFonts w:hint="eastAsia" w:ascii="宋体" w:hAnsi="宋体" w:eastAsia="宋体"/>
          <w:color w:val="000000"/>
          <w:sz w:val="30"/>
          <w:szCs w:val="30"/>
        </w:rPr>
      </w:r>
      <w:r/>
    </w:p>
    <w:p>
      <w:pPr>
        <w:spacing w:line="360" w:lineRule="auto"/>
        <w:shd w:val="clear" w:color="auto" w:fill="ffffff"/>
        <w:widowControl/>
        <w:rPr>
          <w:rFonts w:hint="eastAsia" w:ascii="宋体" w:hAnsi="宋体" w:eastAsia="宋体"/>
          <w:color w:val="000000"/>
          <w:sz w:val="30"/>
          <w:szCs w:val="30"/>
        </w:rPr>
      </w:pPr>
      <w:r>
        <w:rPr>
          <w:rFonts w:hint="eastAsia" w:ascii="宋体" w:hAnsi="宋体" w:eastAsia="宋体"/>
          <w:color w:val="000000"/>
          <w:sz w:val="30"/>
          <w:szCs w:val="30"/>
        </w:rPr>
      </w:r>
      <w:r/>
    </w:p>
    <w:p>
      <w:pPr>
        <w:spacing w:line="360" w:lineRule="auto"/>
        <w:shd w:val="clear" w:color="auto" w:fill="ffffff"/>
        <w:widowControl/>
        <w:rPr>
          <w:rFonts w:hint="eastAsia" w:ascii="宋体" w:hAnsi="宋体" w:eastAsia="宋体"/>
          <w:color w:val="000000"/>
          <w:sz w:val="30"/>
          <w:szCs w:val="30"/>
        </w:rPr>
      </w:pPr>
      <w:r>
        <w:rPr>
          <w:rFonts w:hint="eastAsia" w:ascii="宋体" w:hAnsi="宋体" w:eastAsia="宋体"/>
          <w:color w:val="000000"/>
          <w:sz w:val="30"/>
          <w:szCs w:val="30"/>
        </w:rPr>
      </w:r>
      <w:r/>
    </w:p>
    <w:p>
      <w:pPr>
        <w:jc w:val="center"/>
        <w:spacing w:line="360" w:lineRule="auto"/>
        <w:rPr>
          <w:rFonts w:ascii="宋体" w:hAnsi="宋体"/>
          <w:bCs/>
          <w:sz w:val="24"/>
          <w:szCs w:val="21"/>
        </w:rPr>
      </w:pPr>
      <w:r/>
      <w:bookmarkStart w:id="46" w:name="_Toc16938559"/>
      <w:r/>
      <w:bookmarkStart w:id="47" w:name="_Toc20823315"/>
      <w:r/>
      <w:bookmarkStart w:id="48" w:name="_Toc513029243"/>
      <w:r>
        <w:rPr>
          <w:rFonts w:hint="eastAsia" w:ascii="宋体" w:hAnsi="宋体"/>
          <w:bCs/>
          <w:sz w:val="24"/>
          <w:szCs w:val="21"/>
        </w:rPr>
        <w:t xml:space="preserve">以下为成交后签定本项目合同的通用条款，成交供应商不得提出实质性的修改。</w:t>
      </w:r>
      <w:bookmarkEnd w:id="46"/>
      <w:r/>
      <w:bookmarkEnd w:id="47"/>
      <w:r/>
      <w:bookmarkEnd w:id="48"/>
      <w:r/>
      <w:r/>
    </w:p>
    <w:p>
      <w:pPr>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w:t>
      </w:r>
      <w:r>
        <w:rPr>
          <w:rFonts w:hint="eastAsia" w:ascii="宋体" w:hAnsi="宋体" w:eastAsia="宋体"/>
          <w:color w:val="000000"/>
          <w:sz w:val="24"/>
          <w:szCs w:val="24"/>
        </w:rPr>
        <w:t xml:space="preserve"> </w:t>
      </w:r>
      <w:r>
        <w:rPr>
          <w:rFonts w:ascii="宋体" w:hAnsi="宋体" w:eastAsia="宋体"/>
          <w:color w:val="000000"/>
          <w:sz w:val="24"/>
          <w:szCs w:val="24"/>
        </w:rPr>
        <w:t xml:space="preserve"> </w:t>
      </w:r>
      <w:r>
        <w:rPr>
          <w:rFonts w:hint="eastAsia" w:ascii="宋体" w:hAnsi="宋体" w:eastAsia="宋体" w:cs="方正仿宋_GBK"/>
          <w:color w:val="000000"/>
          <w:sz w:val="24"/>
          <w:szCs w:val="24"/>
        </w:rPr>
        <w:t xml:space="preserve">                  </w:t>
      </w:r>
      <w:r/>
    </w:p>
    <w:p>
      <w:pPr>
        <w:jc w:val="left"/>
        <w:spacing w:line="360" w:lineRule="auto"/>
        <w:rPr>
          <w:rFonts w:hint="eastAsia" w:ascii="宋体" w:hAnsi="宋体" w:eastAsia="宋体" w:cs="方正仿宋_GBK"/>
          <w:color w:val="ff0000"/>
          <w:sz w:val="24"/>
          <w:szCs w:val="24"/>
        </w:rPr>
      </w:pPr>
      <w:r>
        <w:rPr>
          <w:rFonts w:hint="eastAsia" w:ascii="宋体" w:hAnsi="宋体" w:eastAsia="宋体" w:cs="方正仿宋_GBK"/>
          <w:color w:val="000000"/>
          <w:sz w:val="24"/>
          <w:szCs w:val="24"/>
        </w:rPr>
        <w:t xml:space="preserve">采购编号：</w:t>
      </w:r>
      <w:r>
        <w:rPr>
          <w:rFonts w:hint="eastAsia" w:ascii="宋体" w:hAnsi="宋体" w:eastAsia="宋体"/>
          <w:color w:val="000000"/>
          <w:sz w:val="24"/>
          <w:szCs w:val="24"/>
        </w:rPr>
        <w:t xml:space="preserve">      </w:t>
      </w:r>
      <w:r>
        <w:rPr>
          <w:rFonts w:hint="eastAsia" w:ascii="宋体" w:hAnsi="宋体" w:eastAsia="宋体" w:cs="方正仿宋_GBK"/>
          <w:color w:val="000000"/>
          <w:sz w:val="24"/>
          <w:szCs w:val="24"/>
        </w:rPr>
        <w:t xml:space="preserve">        </w:t>
      </w:r>
      <w:r>
        <w:rPr>
          <w:rFonts w:hint="eastAsia" w:ascii="宋体" w:hAnsi="宋体" w:eastAsia="宋体" w:cs="方正仿宋_GBK"/>
          <w:color w:val="ff0000"/>
          <w:sz w:val="24"/>
          <w:szCs w:val="24"/>
        </w:rPr>
        <w:t xml:space="preserve"> </w:t>
      </w:r>
      <w:r/>
    </w:p>
    <w:p>
      <w:pPr>
        <w:jc w:val="left"/>
        <w:spacing w:line="360" w:lineRule="auto"/>
        <w:rPr>
          <w:rFonts w:hint="eastAsia" w:ascii="宋体" w:hAnsi="宋体" w:eastAsia="宋体" w:cs="方正仿宋_GBK"/>
          <w:sz w:val="24"/>
          <w:szCs w:val="24"/>
        </w:rPr>
      </w:pPr>
      <w:r>
        <w:rPr>
          <w:rFonts w:hint="eastAsia" w:ascii="宋体" w:hAnsi="宋体" w:eastAsia="宋体" w:cs="方正仿宋_GBK"/>
          <w:sz w:val="24"/>
          <w:szCs w:val="24"/>
        </w:rPr>
        <w:t xml:space="preserve">采购包号：</w:t>
      </w:r>
      <w:r>
        <w:rPr>
          <w:rFonts w:hint="eastAsia" w:ascii="宋体" w:hAnsi="宋体" w:eastAsia="宋体"/>
          <w:color w:val="000000"/>
          <w:sz w:val="24"/>
          <w:szCs w:val="24"/>
        </w:rPr>
        <w:t xml:space="preserve"> </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甲方：（买方/采购人）_________</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乙方：（卖方/成交供应商）_________</w:t>
      </w:r>
      <w:r/>
    </w:p>
    <w:p>
      <w:pPr>
        <w:pStyle w:val="860"/>
        <w:jc w:val="left"/>
        <w:spacing w:line="360" w:lineRule="auto"/>
        <w:rPr>
          <w:rFonts w:hint="eastAsia" w:hAnsi="宋体" w:cs="方正仿宋_GBK"/>
          <w:b/>
          <w:sz w:val="24"/>
          <w:szCs w:val="24"/>
        </w:rPr>
      </w:pPr>
      <w:r>
        <w:rPr>
          <w:rFonts w:hint="eastAsia" w:hAnsi="宋体" w:cs="方正仿宋_GBK"/>
          <w:sz w:val="24"/>
          <w:szCs w:val="24"/>
        </w:rPr>
        <w:t xml:space="preserve">甲、乙双方根据采购代理机构</w:t>
      </w:r>
      <w:r>
        <w:rPr>
          <w:rFonts w:hint="eastAsia" w:hAnsi="宋体" w:cs="方正仿宋_GBK"/>
          <w:sz w:val="24"/>
          <w:szCs w:val="24"/>
          <w:u w:val="single"/>
        </w:rPr>
        <w:t xml:space="preserve">         </w:t>
      </w:r>
      <w:r>
        <w:rPr>
          <w:rFonts w:hint="eastAsia" w:hAnsi="宋体" w:cs="方正仿宋_GBK"/>
          <w:sz w:val="24"/>
          <w:szCs w:val="24"/>
        </w:rPr>
        <w:t xml:space="preserve">项目竞争性磋商的结果，签署本合同。</w:t>
      </w:r>
      <w:r/>
    </w:p>
    <w:p>
      <w:pPr>
        <w:pStyle w:val="860"/>
        <w:jc w:val="left"/>
        <w:spacing w:line="360" w:lineRule="auto"/>
        <w:rPr>
          <w:rFonts w:hint="eastAsia" w:hAnsi="宋体" w:cs="方正黑体_GBK"/>
          <w:b/>
          <w:sz w:val="24"/>
          <w:szCs w:val="24"/>
        </w:rPr>
      </w:pPr>
      <w:r>
        <w:rPr>
          <w:rFonts w:hint="eastAsia" w:hAnsi="宋体" w:cs="方正黑体_GBK"/>
          <w:b/>
          <w:sz w:val="24"/>
          <w:szCs w:val="24"/>
        </w:rPr>
        <w:t xml:space="preserve">一、合同内容</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1.1 标的名称：</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1.2标的质量：</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1.3 标的数量（规模）：</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1.4 履行时间（期限）：</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1.5 履行地点：</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1.6 履行方式：</w:t>
      </w:r>
      <w:r/>
    </w:p>
    <w:p>
      <w:pPr>
        <w:pStyle w:val="860"/>
        <w:jc w:val="left"/>
        <w:spacing w:line="360" w:lineRule="auto"/>
        <w:rPr>
          <w:rFonts w:hint="eastAsia" w:hAnsi="宋体" w:cs="方正黑体_GBK"/>
          <w:b/>
          <w:sz w:val="24"/>
          <w:szCs w:val="24"/>
        </w:rPr>
      </w:pPr>
      <w:r>
        <w:rPr>
          <w:rFonts w:hint="eastAsia" w:hAnsi="宋体" w:cs="方正黑体_GBK"/>
          <w:b/>
          <w:sz w:val="24"/>
          <w:szCs w:val="24"/>
        </w:rPr>
        <w:t xml:space="preserve">二、合同金额</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2.1 本合同金额为（大写）：________圆（________元）人民币</w:t>
      </w:r>
      <w:r>
        <w:rPr>
          <w:rFonts w:hint="eastAsia" w:hAnsi="宋体" w:cs="Courier New"/>
          <w:sz w:val="24"/>
          <w:szCs w:val="24"/>
        </w:rPr>
        <w:t xml:space="preserve">或其他币种</w:t>
      </w:r>
      <w:r>
        <w:rPr>
          <w:rFonts w:hint="eastAsia" w:hAnsi="宋体" w:cs="方正仿宋_GBK"/>
          <w:sz w:val="24"/>
          <w:szCs w:val="24"/>
        </w:rPr>
        <w:t xml:space="preserve">。</w:t>
      </w:r>
      <w:r/>
    </w:p>
    <w:p>
      <w:pPr>
        <w:pStyle w:val="860"/>
        <w:jc w:val="left"/>
        <w:spacing w:line="360" w:lineRule="auto"/>
        <w:rPr>
          <w:rFonts w:hint="eastAsia" w:hAnsi="宋体" w:cs="方正黑体_GBK"/>
          <w:b/>
          <w:sz w:val="24"/>
          <w:szCs w:val="24"/>
        </w:rPr>
      </w:pPr>
      <w:r>
        <w:rPr>
          <w:rFonts w:hint="eastAsia" w:hAnsi="宋体" w:cs="方正黑体_GBK"/>
          <w:b/>
          <w:sz w:val="24"/>
          <w:szCs w:val="24"/>
        </w:rPr>
        <w:t xml:space="preserve">三、技术资料</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3.1乙方应按磋商文件规定的时间向甲方提供服务（包含与服务相关的货物）的有关技术资料。</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0"/>
        <w:jc w:val="left"/>
        <w:spacing w:line="360" w:lineRule="auto"/>
        <w:rPr>
          <w:rFonts w:hint="eastAsia" w:hAnsi="宋体" w:cs="方正黑体_GBK"/>
          <w:b/>
          <w:sz w:val="24"/>
          <w:szCs w:val="24"/>
        </w:rPr>
      </w:pPr>
      <w:r>
        <w:rPr>
          <w:rFonts w:hint="eastAsia" w:hAnsi="宋体" w:cs="方正黑体_GBK"/>
          <w:b/>
          <w:sz w:val="24"/>
          <w:szCs w:val="24"/>
        </w:rPr>
        <w:t xml:space="preserve">四、知识产权</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60"/>
        <w:jc w:val="left"/>
        <w:spacing w:line="360" w:lineRule="auto"/>
        <w:rPr>
          <w:rFonts w:hint="eastAsia" w:hAnsi="宋体" w:cs="方正黑体_GBK"/>
          <w:b/>
          <w:sz w:val="24"/>
          <w:szCs w:val="24"/>
        </w:rPr>
      </w:pPr>
      <w:r>
        <w:rPr>
          <w:rFonts w:hint="eastAsia" w:hAnsi="宋体" w:cs="方正黑体_GBK"/>
          <w:b/>
          <w:sz w:val="24"/>
          <w:szCs w:val="24"/>
        </w:rPr>
        <w:t xml:space="preserve">五、产权担保</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5.1 乙方保证所交付的服务（包含与服务相关的货物）的所有权完全属于乙方且无任何抵押、查封等产权瑕疵。</w:t>
      </w:r>
      <w:r/>
    </w:p>
    <w:p>
      <w:pPr>
        <w:pStyle w:val="860"/>
        <w:jc w:val="left"/>
        <w:spacing w:line="360" w:lineRule="auto"/>
        <w:rPr>
          <w:rFonts w:hint="eastAsia" w:hAnsi="宋体" w:cs="方正黑体_GBK"/>
          <w:b/>
          <w:sz w:val="24"/>
          <w:szCs w:val="24"/>
        </w:rPr>
      </w:pPr>
      <w:r>
        <w:rPr>
          <w:rFonts w:hint="eastAsia" w:hAnsi="宋体" w:cs="方正黑体_GBK"/>
          <w:b/>
          <w:sz w:val="24"/>
          <w:szCs w:val="24"/>
        </w:rPr>
        <w:t xml:space="preserve">六、履约保证金</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6.1 乙方交纳人民币</w:t>
      </w:r>
      <w:r>
        <w:rPr>
          <w:rFonts w:hint="eastAsia" w:hAnsi="宋体" w:cs="方正仿宋_GBK"/>
          <w:sz w:val="24"/>
          <w:szCs w:val="24"/>
          <w:u w:val="single"/>
        </w:rPr>
        <w:t xml:space="preserve">          </w:t>
      </w:r>
      <w:r>
        <w:rPr>
          <w:rFonts w:hint="eastAsia" w:hAnsi="宋体" w:cs="方正仿宋_GBK"/>
          <w:sz w:val="24"/>
          <w:szCs w:val="24"/>
        </w:rPr>
        <w:t xml:space="preserve">元作为本合同的履约保证金。</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6.2合同履行结束后，甲方应及时退还交纳的履约保证金。</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6.2.1履约保证金退还方式：</w:t>
      </w:r>
      <w:r>
        <w:rPr>
          <w:rFonts w:hint="eastAsia" w:hAnsi="宋体"/>
          <w:color w:val="000000"/>
          <w:sz w:val="24"/>
          <w:szCs w:val="24"/>
        </w:rPr>
        <w:t xml:space="preserve">   </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6.2.2履约保证金退还时间：</w:t>
      </w:r>
      <w:r>
        <w:rPr>
          <w:rFonts w:hint="eastAsia" w:hAnsi="宋体"/>
          <w:color w:val="000000"/>
          <w:sz w:val="24"/>
          <w:szCs w:val="24"/>
        </w:rPr>
        <w:t xml:space="preserve">  </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6.2.3履约保证金退还条件：</w:t>
      </w:r>
      <w:r>
        <w:rPr>
          <w:rFonts w:hint="eastAsia" w:hAnsi="宋体"/>
          <w:color w:val="000000"/>
          <w:sz w:val="24"/>
          <w:szCs w:val="24"/>
        </w:rPr>
        <w:t xml:space="preserve">  </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6.2.4履约保证金不予退还的情形：</w:t>
      </w:r>
      <w:r>
        <w:rPr>
          <w:rFonts w:hint="eastAsia" w:hAnsi="宋体"/>
          <w:color w:val="000000"/>
          <w:sz w:val="24"/>
          <w:szCs w:val="24"/>
        </w:rPr>
        <w:t xml:space="preserve">  </w:t>
      </w:r>
      <w:r/>
    </w:p>
    <w:p>
      <w:pPr>
        <w:pStyle w:val="860"/>
        <w:jc w:val="left"/>
        <w:spacing w:line="360" w:lineRule="auto"/>
        <w:rPr>
          <w:rFonts w:hint="eastAsia" w:hAnsi="宋体" w:cs="方正黑体_GBK"/>
          <w:b/>
          <w:sz w:val="24"/>
          <w:szCs w:val="24"/>
        </w:rPr>
      </w:pPr>
      <w:r>
        <w:rPr>
          <w:rFonts w:hint="eastAsia" w:hAnsi="宋体" w:cs="方正黑体_GBK"/>
          <w:b/>
          <w:sz w:val="24"/>
          <w:szCs w:val="24"/>
        </w:rPr>
        <w:t xml:space="preserve">七、合同转包或分包</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7.1乙方不得将合同标的转包给他人履行。</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7.2乙方不得将合同标的分包给他人履行。</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7.3乙方如有转包或未经甲方同意的分包行为，甲方有权解除合同。</w:t>
      </w:r>
      <w:r/>
    </w:p>
    <w:p>
      <w:pPr>
        <w:pStyle w:val="860"/>
        <w:jc w:val="left"/>
        <w:spacing w:line="360" w:lineRule="auto"/>
        <w:rPr>
          <w:rFonts w:hint="eastAsia" w:hAnsi="宋体" w:cs="方正黑体_GBK"/>
          <w:b/>
          <w:sz w:val="24"/>
          <w:szCs w:val="24"/>
        </w:rPr>
      </w:pPr>
      <w:r>
        <w:rPr>
          <w:rFonts w:hint="eastAsia" w:hAnsi="宋体" w:cs="方正黑体_GBK"/>
          <w:b/>
          <w:sz w:val="24"/>
          <w:szCs w:val="24"/>
        </w:rPr>
        <w:t xml:space="preserve">八、合同款项支付</w:t>
      </w:r>
      <w:r/>
    </w:p>
    <w:p>
      <w:pPr>
        <w:pStyle w:val="860"/>
        <w:jc w:val="left"/>
        <w:spacing w:line="360" w:lineRule="auto"/>
        <w:rPr>
          <w:rFonts w:hint="eastAsia" w:hAnsi="宋体" w:cs="方正仿宋_GBK"/>
          <w:sz w:val="24"/>
          <w:szCs w:val="24"/>
        </w:rPr>
      </w:pPr>
      <w:r/>
      <w:bookmarkStart w:id="49" w:name="OLE_LINK46"/>
      <w:r>
        <w:rPr>
          <w:rFonts w:hint="eastAsia" w:hAnsi="宋体" w:cs="方正仿宋_GBK"/>
          <w:sz w:val="24"/>
          <w:szCs w:val="24"/>
        </w:rPr>
        <w:t xml:space="preserve">8.1付款方式及履约保证金</w:t>
      </w:r>
      <w:r/>
    </w:p>
    <w:p>
      <w:pPr>
        <w:pStyle w:val="860"/>
        <w:jc w:val="left"/>
        <w:spacing w:line="360" w:lineRule="auto"/>
        <w:rPr>
          <w:rFonts w:hint="eastAsia" w:hAnsi="宋体" w:cs="方正仿宋_GBK"/>
          <w:sz w:val="24"/>
          <w:szCs w:val="24"/>
        </w:rPr>
      </w:pPr>
      <w:r/>
      <w:bookmarkStart w:id="50" w:name="OLE_LINK40"/>
      <w:r>
        <w:rPr>
          <w:rFonts w:hint="eastAsia" w:hAnsi="宋体" w:cs="方正仿宋_GBK"/>
          <w:sz w:val="24"/>
          <w:szCs w:val="24"/>
        </w:rPr>
        <w:t xml:space="preserve">8.1.1 本项目采用合同签订后一次性付清全款的付款方式。采购合同正式签订且乙方提交合法有效全额发票后，甲方一次性支付合同全部款项。</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8.1.2乙方须在合同签订前按甲方要求足额提交履约保证金，履约保证金按合同总价规定比例计</w:t>
      </w:r>
      <w:r>
        <w:rPr>
          <w:rFonts w:hint="eastAsia" w:hAnsi="宋体" w:cs="方正仿宋_GBK"/>
          <w:sz w:val="24"/>
          <w:szCs w:val="24"/>
        </w:rPr>
        <w:t xml:space="preserve">取</w:t>
      </w:r>
      <w:r>
        <w:rPr>
          <w:rFonts w:hint="eastAsia" w:hAnsi="宋体" w:cs="方正仿宋_GBK"/>
          <w:sz w:val="24"/>
          <w:szCs w:val="24"/>
        </w:rPr>
        <w:t xml:space="preserve">（</w:t>
      </w:r>
      <w:r>
        <w:rPr>
          <w:rFonts w:hint="eastAsia" w:hAnsi="宋体"/>
          <w:sz w:val="24"/>
          <w:szCs w:val="24"/>
        </w:rPr>
        <w:t xml:space="preserve">合同总价的10％</w:t>
      </w:r>
      <w:r>
        <w:rPr>
          <w:rFonts w:hint="eastAsia" w:hAnsi="宋体" w:cs="方正仿宋_GBK"/>
          <w:sz w:val="24"/>
          <w:szCs w:val="24"/>
        </w:rPr>
        <w:t xml:space="preserve">）</w:t>
      </w:r>
      <w:r>
        <w:rPr>
          <w:rFonts w:hint="eastAsia" w:hAnsi="宋体" w:cs="方正仿宋_GBK"/>
          <w:sz w:val="24"/>
          <w:szCs w:val="24"/>
        </w:rPr>
        <w:t xml:space="preserve">。乙方可采用银</w:t>
      </w:r>
      <w:r>
        <w:rPr>
          <w:rFonts w:hint="eastAsia" w:hAnsi="宋体" w:cs="方正仿宋_GBK"/>
          <w:sz w:val="24"/>
          <w:szCs w:val="24"/>
        </w:rPr>
        <w:t xml:space="preserve">行转账、数字人民币、银行保函、政府采购电子履约保函、履约保证保险等合规形式缴纳。项目服务期满、全部合同义务履行完毕且验收合格后，履约保证金由甲方无息全额退还。若乙方存在违约、服务不达标等情形，甲方有权依据合同约定扣除相应履约保证金。</w:t>
      </w:r>
      <w:bookmarkEnd w:id="49"/>
      <w:r/>
      <w:bookmarkEnd w:id="50"/>
      <w:r/>
      <w:r/>
    </w:p>
    <w:p>
      <w:pPr>
        <w:pStyle w:val="860"/>
        <w:jc w:val="left"/>
        <w:spacing w:line="360" w:lineRule="auto"/>
        <w:rPr>
          <w:rFonts w:hint="eastAsia" w:hAnsi="宋体" w:cs="方正黑体_GBK"/>
          <w:b/>
          <w:sz w:val="24"/>
          <w:szCs w:val="24"/>
        </w:rPr>
      </w:pPr>
      <w:r>
        <w:rPr>
          <w:rFonts w:hint="eastAsia" w:hAnsi="宋体" w:cs="方正黑体_GBK"/>
          <w:b/>
          <w:sz w:val="24"/>
          <w:szCs w:val="24"/>
        </w:rPr>
        <w:t xml:space="preserve">九、税费</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9.1本合同执行中相关的一切税费均由乙方负担。</w:t>
      </w:r>
      <w:r/>
    </w:p>
    <w:p>
      <w:pPr>
        <w:pStyle w:val="860"/>
        <w:jc w:val="left"/>
        <w:spacing w:line="360" w:lineRule="auto"/>
        <w:rPr>
          <w:rFonts w:hint="eastAsia" w:hAnsi="宋体" w:cs="方正黑体_GBK"/>
          <w:b/>
          <w:sz w:val="24"/>
          <w:szCs w:val="24"/>
        </w:rPr>
      </w:pPr>
      <w:r>
        <w:rPr>
          <w:rFonts w:hint="eastAsia" w:hAnsi="宋体" w:cs="方正黑体_GBK"/>
          <w:b/>
          <w:sz w:val="24"/>
          <w:szCs w:val="24"/>
        </w:rPr>
        <w:t xml:space="preserve">十、项目验收</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10.1 甲方依法组织履约验收工作。</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10.3 对于实际使用人和甲方分离的项目，甲方邀请实际使用人参与验收。</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10.4 如有必要，甲方邀请参加本项目的其他供应商或第三方专业机构及专家参与验收，相关意见将作为验收书的参考资料。</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10.5 甲方成立验收小组，按照采购合同的约定对乙方的履约情况进行验收。验收时,甲方按</w:t>
      </w:r>
      <w:r>
        <w:rPr>
          <w:rFonts w:hint="eastAsia" w:hAnsi="宋体" w:cs="方正仿宋_GBK"/>
          <w:sz w:val="24"/>
          <w:szCs w:val="24"/>
        </w:rPr>
        <w:t xml:space="preserve">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0"/>
        <w:jc w:val="left"/>
        <w:spacing w:line="360" w:lineRule="auto"/>
        <w:rPr>
          <w:rFonts w:hint="eastAsia" w:hAnsi="宋体" w:cs="方正黑体_GBK"/>
          <w:b/>
          <w:sz w:val="24"/>
          <w:szCs w:val="24"/>
        </w:rPr>
      </w:pPr>
      <w:r>
        <w:rPr>
          <w:rFonts w:hint="eastAsia" w:hAnsi="宋体" w:cs="方正黑体_GBK"/>
          <w:b/>
          <w:sz w:val="24"/>
          <w:szCs w:val="24"/>
        </w:rPr>
        <w:t xml:space="preserve">十一、违约责任</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11.1 甲方无正当理由拒绝接受乙方提供服务的，甲方向乙方偿付拒绝接受服务合同价款总值</w:t>
      </w:r>
      <w:r>
        <w:rPr>
          <w:rFonts w:hint="eastAsia" w:hAnsi="宋体"/>
          <w:color w:val="000000"/>
          <w:sz w:val="24"/>
          <w:szCs w:val="24"/>
          <w:u w:val="single"/>
        </w:rPr>
        <w:t xml:space="preserve">       </w:t>
      </w:r>
      <w:r>
        <w:rPr>
          <w:rFonts w:hint="eastAsia" w:hAnsi="宋体" w:cs="方正仿宋_GBK"/>
          <w:sz w:val="24"/>
          <w:szCs w:val="24"/>
          <w:u w:val="single"/>
        </w:rPr>
        <w:t xml:space="preserve">%</w:t>
      </w:r>
      <w:r>
        <w:rPr>
          <w:rFonts w:hint="eastAsia" w:hAnsi="宋体" w:cs="方正仿宋_GBK"/>
          <w:sz w:val="24"/>
          <w:szCs w:val="24"/>
        </w:rPr>
        <w:t xml:space="preserve">的违约金。</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11.2 甲方无故逾期验收和办理合同款项支付手续的,甲方应按逾期付款总额</w:t>
      </w:r>
      <w:r>
        <w:rPr>
          <w:rFonts w:hint="eastAsia" w:hAnsi="宋体"/>
          <w:color w:val="000000"/>
          <w:sz w:val="24"/>
          <w:szCs w:val="24"/>
          <w:u w:val="single"/>
        </w:rPr>
        <w:t xml:space="preserve">      </w:t>
      </w:r>
      <w:r>
        <w:rPr>
          <w:rFonts w:hint="eastAsia" w:hAnsi="宋体" w:cs="方正仿宋_GBK"/>
          <w:sz w:val="24"/>
          <w:szCs w:val="24"/>
          <w:u w:val="single"/>
        </w:rPr>
        <w:t xml:space="preserve">%</w:t>
      </w:r>
      <w:r>
        <w:rPr>
          <w:rFonts w:hint="eastAsia" w:hAnsi="宋体" w:cs="方正仿宋_GBK"/>
          <w:sz w:val="24"/>
          <w:szCs w:val="24"/>
        </w:rPr>
        <w:t xml:space="preserve">每日向乙方支付违约金。</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olor w:val="000000"/>
          <w:sz w:val="24"/>
          <w:szCs w:val="24"/>
          <w:u w:val="single"/>
        </w:rPr>
        <w:t xml:space="preserve">     </w:t>
      </w:r>
      <w:r>
        <w:rPr>
          <w:rFonts w:hint="eastAsia" w:hAnsi="宋体" w:cs="方正仿宋_GBK"/>
          <w:sz w:val="24"/>
          <w:szCs w:val="24"/>
          <w:u w:val="single"/>
        </w:rPr>
        <w:t xml:space="preserve">%</w:t>
      </w:r>
      <w:r>
        <w:rPr>
          <w:rFonts w:hint="eastAsia" w:hAnsi="宋体" w:cs="方正仿宋_GBK"/>
          <w:sz w:val="24"/>
          <w:szCs w:val="24"/>
        </w:rPr>
        <w:t xml:space="preserve">的违约金，如造成甲方损失超过违约金的，超出部分由乙方继续承担赔偿责任。 </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11.4 乙方所提供服务的标准不符合合同规定及磋商文件规定标准的，甲方有权拒绝接受服务，并可单方面解除合同。</w:t>
      </w:r>
      <w:r/>
    </w:p>
    <w:p>
      <w:pPr>
        <w:pStyle w:val="860"/>
        <w:jc w:val="left"/>
        <w:spacing w:line="360" w:lineRule="auto"/>
        <w:rPr>
          <w:rFonts w:hint="eastAsia" w:hAnsi="宋体" w:cs="方正黑体_GBK"/>
          <w:b/>
          <w:sz w:val="24"/>
          <w:szCs w:val="24"/>
        </w:rPr>
      </w:pPr>
      <w:r>
        <w:rPr>
          <w:rFonts w:hint="eastAsia" w:hAnsi="宋体" w:cs="方正黑体_GBK"/>
          <w:b/>
          <w:sz w:val="24"/>
          <w:szCs w:val="24"/>
        </w:rPr>
        <w:t xml:space="preserve">十二、不可抗力事件处理</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12.1 在合同有效期内，任何一方因不可抗力事件导致不能履行合同，则合同履行期可延长，其延长期与不可抗力影响 期相同。</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12.2 不可抗力事件发生后，应立即通知对方，并寄送有关权威机构出具的证明。</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12.3 不可抗力事件延续120天以上，双方应通过友好协商，确定是否继续履行合同。</w:t>
      </w:r>
      <w:r/>
    </w:p>
    <w:p>
      <w:pPr>
        <w:pStyle w:val="860"/>
        <w:jc w:val="left"/>
        <w:spacing w:line="360" w:lineRule="auto"/>
        <w:rPr>
          <w:rFonts w:hint="eastAsia" w:hAnsi="宋体" w:cs="方正黑体_GBK"/>
          <w:b/>
          <w:sz w:val="24"/>
          <w:szCs w:val="24"/>
        </w:rPr>
      </w:pPr>
      <w:r>
        <w:rPr>
          <w:rFonts w:hint="eastAsia" w:hAnsi="宋体" w:cs="方正黑体_GBK"/>
          <w:b/>
          <w:sz w:val="24"/>
          <w:szCs w:val="24"/>
        </w:rPr>
        <w:t xml:space="preserve">十三、解决争议的方法</w:t>
      </w:r>
      <w:r/>
    </w:p>
    <w:p>
      <w:pPr>
        <w:pStyle w:val="860"/>
        <w:jc w:val="left"/>
        <w:spacing w:line="360" w:lineRule="auto"/>
        <w:rPr>
          <w:rFonts w:hint="eastAsia" w:hAnsi="宋体"/>
          <w:sz w:val="24"/>
          <w:szCs w:val="24"/>
        </w:rPr>
      </w:pPr>
      <w:r>
        <w:rPr>
          <w:rFonts w:hint="eastAsia" w:hAnsi="宋体" w:cs="方正仿宋_GBK"/>
          <w:sz w:val="24"/>
          <w:szCs w:val="24"/>
        </w:rPr>
        <w:t xml:space="preserve">13.1双方在签订、履行合同中所发生的一切争议，应通过友好协商解决。如协商不成，由甲方住所地人民法院管辖。</w:t>
      </w:r>
      <w:r/>
    </w:p>
    <w:p>
      <w:pPr>
        <w:pStyle w:val="860"/>
        <w:jc w:val="left"/>
        <w:spacing w:line="360" w:lineRule="auto"/>
        <w:rPr>
          <w:rFonts w:hint="eastAsia" w:hAnsi="宋体" w:cs="方正黑体_GBK"/>
          <w:b/>
          <w:sz w:val="24"/>
          <w:szCs w:val="24"/>
        </w:rPr>
      </w:pPr>
      <w:r>
        <w:rPr>
          <w:rFonts w:hint="eastAsia" w:hAnsi="宋体" w:cs="方正黑体_GBK"/>
          <w:b/>
          <w:sz w:val="24"/>
          <w:szCs w:val="24"/>
        </w:rPr>
        <w:t xml:space="preserve">十四、合同生效及其它</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14.1 合同经双方法定代表人或授权委托代表人签字并加盖单位公章后生效。</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14.2本合同未尽事宜，遵照中华人民共和国现行法律法规有关条文执行。</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14.3 本合同正本一式两份，具有同等法律效力，甲方、乙方各执一份。</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甲方：                        乙方： </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地址：                        地址： </w:t>
      </w:r>
      <w:r/>
    </w:p>
    <w:p>
      <w:pPr>
        <w:pStyle w:val="860"/>
        <w:jc w:val="left"/>
        <w:spacing w:line="360" w:lineRule="auto"/>
        <w:rPr>
          <w:rFonts w:hint="eastAsia" w:hAnsi="宋体" w:cs="方正仿宋_GBK"/>
          <w:sz w:val="24"/>
          <w:szCs w:val="24"/>
        </w:rPr>
      </w:pPr>
      <w:r>
        <w:rPr>
          <w:rFonts w:hint="eastAsia" w:hAnsi="宋体" w:cs="方正仿宋_GBK"/>
          <w:sz w:val="24"/>
          <w:szCs w:val="24"/>
        </w:rPr>
        <w:t xml:space="preserve">法定代表人或授权代表：        法定代表人或授权代表：</w:t>
      </w:r>
      <w:r/>
    </w:p>
    <w:p>
      <w:pPr>
        <w:pStyle w:val="860"/>
        <w:jc w:val="left"/>
        <w:spacing w:line="360" w:lineRule="auto"/>
        <w:rPr>
          <w:rFonts w:hint="eastAsia" w:hAnsi="宋体"/>
          <w:sz w:val="24"/>
          <w:szCs w:val="24"/>
        </w:rPr>
      </w:pPr>
      <w:r>
        <w:rPr>
          <w:rFonts w:hint="eastAsia" w:hAnsi="宋体" w:cs="方正仿宋_GBK"/>
          <w:sz w:val="24"/>
          <w:szCs w:val="24"/>
        </w:rPr>
        <w:t xml:space="preserve">联系电话：                    联系电话：    </w:t>
      </w:r>
      <w:r>
        <w:rPr>
          <w:rFonts w:hint="eastAsia" w:hAnsi="宋体"/>
          <w:sz w:val="24"/>
          <w:szCs w:val="24"/>
        </w:rPr>
        <w:t xml:space="preserve">      </w:t>
      </w:r>
      <w:r/>
    </w:p>
    <w:p>
      <w:pPr>
        <w:pStyle w:val="860"/>
        <w:jc w:val="left"/>
        <w:spacing w:line="360" w:lineRule="auto"/>
        <w:rPr>
          <w:rFonts w:hint="eastAsia" w:hAnsi="宋体"/>
          <w:sz w:val="24"/>
          <w:szCs w:val="24"/>
        </w:rPr>
      </w:pPr>
      <w:r>
        <w:rPr>
          <w:rFonts w:hint="eastAsia" w:hAnsi="宋体"/>
          <w:sz w:val="24"/>
          <w:szCs w:val="24"/>
        </w:rPr>
        <w:t xml:space="preserve">                                         </w:t>
      </w:r>
      <w:r/>
    </w:p>
    <w:p>
      <w:pPr>
        <w:pStyle w:val="860"/>
        <w:jc w:val="left"/>
        <w:spacing w:line="360" w:lineRule="auto"/>
        <w:rPr>
          <w:rFonts w:hint="eastAsia" w:hAnsi="宋体"/>
          <w:sz w:val="24"/>
          <w:szCs w:val="24"/>
        </w:rPr>
      </w:pPr>
      <w:r>
        <w:rPr>
          <w:rFonts w:hint="eastAsia" w:hAnsi="宋体"/>
          <w:sz w:val="24"/>
          <w:szCs w:val="24"/>
        </w:rPr>
        <w:t xml:space="preserve"> </w:t>
      </w:r>
      <w:r/>
    </w:p>
    <w:p>
      <w:pPr>
        <w:ind w:firstLine="3600"/>
        <w:jc w:val="left"/>
        <w:spacing w:line="360" w:lineRule="auto"/>
        <w:rPr>
          <w:rFonts w:hint="eastAsia" w:ascii="宋体" w:hAnsi="宋体" w:eastAsia="宋体" w:cs="方正仿宋_GBK"/>
          <w:sz w:val="24"/>
          <w:szCs w:val="24"/>
        </w:rPr>
      </w:pPr>
      <w:r>
        <w:rPr>
          <w:rFonts w:hint="eastAsia" w:ascii="宋体" w:hAnsi="宋体" w:eastAsia="宋体" w:cs="方正仿宋_GBK"/>
          <w:sz w:val="24"/>
          <w:szCs w:val="24"/>
        </w:rPr>
        <w:t xml:space="preserve">签订日期：</w:t>
      </w:r>
      <w:r>
        <w:rPr>
          <w:rFonts w:hint="eastAsia" w:ascii="宋体" w:hAnsi="宋体" w:eastAsia="宋体" w:cs="方正仿宋_GBK"/>
          <w:sz w:val="24"/>
          <w:szCs w:val="24"/>
          <w:u w:val="single"/>
        </w:rPr>
        <w:t xml:space="preserve">   </w:t>
      </w:r>
      <w:r>
        <w:rPr>
          <w:rFonts w:hint="eastAsia" w:ascii="宋体" w:hAnsi="宋体" w:eastAsia="宋体" w:cs="方正仿宋_GBK"/>
          <w:sz w:val="24"/>
          <w:szCs w:val="24"/>
        </w:rPr>
        <w:t xml:space="preserve">年</w:t>
      </w:r>
      <w:r>
        <w:rPr>
          <w:rFonts w:hint="eastAsia" w:ascii="宋体" w:hAnsi="宋体" w:eastAsia="宋体" w:cs="方正仿宋_GBK"/>
          <w:sz w:val="24"/>
          <w:szCs w:val="24"/>
          <w:u w:val="single"/>
        </w:rPr>
        <w:t xml:space="preserve">   </w:t>
      </w:r>
      <w:r>
        <w:rPr>
          <w:rFonts w:hint="eastAsia" w:ascii="宋体" w:hAnsi="宋体" w:eastAsia="宋体" w:cs="方正仿宋_GBK"/>
          <w:sz w:val="24"/>
          <w:szCs w:val="24"/>
        </w:rPr>
        <w:t xml:space="preserve">月</w:t>
      </w:r>
      <w:r>
        <w:rPr>
          <w:rFonts w:hint="eastAsia" w:ascii="宋体" w:hAnsi="宋体" w:eastAsia="宋体" w:cs="方正仿宋_GBK"/>
          <w:sz w:val="24"/>
          <w:szCs w:val="24"/>
          <w:u w:val="single"/>
        </w:rPr>
        <w:t xml:space="preserve">   </w:t>
      </w:r>
      <w:r>
        <w:rPr>
          <w:rFonts w:hint="eastAsia" w:ascii="宋体" w:hAnsi="宋体" w:eastAsia="宋体" w:cs="方正仿宋_GBK"/>
          <w:sz w:val="24"/>
          <w:szCs w:val="24"/>
        </w:rPr>
        <w:t xml:space="preserve">日</w:t>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360" w:lineRule="auto"/>
        <w:rPr>
          <w:rFonts w:hint="eastAsia" w:ascii="黑体" w:hAnsi="黑体" w:eastAsia="黑体"/>
          <w:sz w:val="32"/>
          <w:szCs w:val="32"/>
        </w:rPr>
      </w:pPr>
      <w:r>
        <w:rPr>
          <w:rFonts w:hint="eastAsia" w:ascii="黑体" w:hAnsi="黑体" w:eastAsia="黑体"/>
          <w:sz w:val="32"/>
          <w:szCs w:val="32"/>
        </w:rPr>
        <w:t xml:space="preserve">第六章  响应文件格式</w:t>
      </w:r>
      <w:bookmarkEnd w:id="45"/>
      <w:r/>
      <w:r/>
    </w:p>
    <w:p>
      <w:pPr>
        <w:jc w:val="center"/>
        <w:spacing w:before="100" w:beforeAutospacing="1" w:after="100" w:afterAutospacing="1" w:line="360" w:lineRule="auto"/>
        <w:rPr>
          <w:rFonts w:hint="eastAsia" w:ascii="宋体" w:hAnsi="宋体" w:eastAsia="宋体"/>
          <w:b/>
          <w:sz w:val="24"/>
          <w:szCs w:val="24"/>
          <w:u w:val="single"/>
          <w:lang w:val="en-US" w:bidi="ar"/>
        </w:rPr>
      </w:pPr>
      <w:r>
        <w:rPr>
          <w:rFonts w:hint="eastAsia" w:ascii="宋体" w:hAnsi="宋体" w:eastAsia="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的格式编制，也可以根据自身实际情况进行添加、删除等调整；第二章7.2、7.3条未作为实质性要求的内容可以不提供，若供应商认为需要提供的，请在投标系统自行添加、上传。</w:t>
      </w:r>
      <w:r>
        <w:rPr>
          <w:rFonts w:hint="eastAsia" w:ascii="宋体" w:hAnsi="宋体" w:eastAsia="宋体"/>
          <w:b/>
          <w:sz w:val="24"/>
          <w:szCs w:val="24"/>
          <w:u w:val="single"/>
          <w:lang w:val="en-US" w:bidi="ar"/>
        </w:rPr>
        <w:t xml:space="preserve">）</w:t>
      </w:r>
      <w:r/>
    </w:p>
    <w:p>
      <w:pPr>
        <w:jc w:val="center"/>
        <w:spacing w:line="360" w:lineRule="auto"/>
        <w:rPr>
          <w:rFonts w:hint="eastAsia" w:ascii="宋体" w:hAnsi="宋体" w:eastAsia="宋体" w:cs="黑体"/>
          <w:b/>
          <w:bCs/>
          <w:sz w:val="24"/>
          <w:szCs w:val="24"/>
        </w:rPr>
      </w:pPr>
      <w:r>
        <w:rPr>
          <w:rFonts w:hint="eastAsia" w:ascii="宋体" w:hAnsi="宋体" w:eastAsia="宋体" w:cs="黑体"/>
          <w:b/>
          <w:bCs/>
          <w:sz w:val="24"/>
          <w:szCs w:val="24"/>
        </w:rPr>
        <w:t xml:space="preserve">一、磋商申请及声明</w:t>
      </w:r>
      <w:r/>
    </w:p>
    <w:p>
      <w:pPr>
        <w:spacing w:line="360" w:lineRule="auto"/>
        <w:shd w:val="clear" w:color="auto" w:fill="ffffff"/>
        <w:widowControl/>
        <w:rPr>
          <w:rFonts w:hint="eastAsia" w:ascii="宋体" w:hAnsi="宋体" w:eastAsia="宋体" w:cs="黑体"/>
          <w:sz w:val="24"/>
          <w:szCs w:val="24"/>
        </w:rPr>
      </w:pPr>
      <w:r>
        <w:rPr>
          <w:rFonts w:hint="eastAsia" w:ascii="宋体" w:hAnsi="宋体" w:eastAsia="宋体" w:cs="黑体"/>
          <w:sz w:val="24"/>
          <w:szCs w:val="24"/>
        </w:rPr>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江苏省应急管理厅</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（采购编号）磋商邀请，正式授权</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（供应商名称），提交响应文件并参加磋商。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据此函，兹宣布同意如下：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1、我们的资格条件完全符合政府采购法和本次采购要求，我们同意并向贵方提供了与本次采购活动有关的所有证据和资料。</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2、项目名称：</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、我们已详细审核全部磋商文件及其有效补充文件，我们放弃对磋商文件任何误解的权利，提交响应文件后，</w:t>
      </w:r>
      <w:r>
        <w:rPr>
          <w:rFonts w:hint="eastAsia" w:ascii="宋体" w:hAnsi="宋体" w:eastAsia="宋体"/>
          <w:bCs/>
          <w:sz w:val="24"/>
          <w:szCs w:val="24"/>
        </w:rPr>
        <w:t xml:space="preserve">不对磋商文件本身提出质疑。</w:t>
      </w:r>
      <w:r>
        <w:rPr>
          <w:rFonts w:hint="eastAsia" w:ascii="宋体" w:hAnsi="宋体" w:eastAsia="宋体"/>
          <w:sz w:val="24"/>
          <w:szCs w:val="24"/>
        </w:rPr>
        <w:t xml:space="preserve">否则，属于不诚信和故意扰乱政府采购活动行为，我们将无条件接受处罚。</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、一旦我方成交，我方将根据磋商文件的规定，严格履行合同，保证于承诺的时间内完成本项目规定的服务内容。</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6</w:t>
      </w:r>
      <w:r>
        <w:rPr>
          <w:rFonts w:hint="eastAsia" w:ascii="宋体" w:hAnsi="宋体" w:eastAsia="宋体"/>
          <w:sz w:val="24"/>
          <w:szCs w:val="24"/>
        </w:rPr>
        <w:t xml:space="preserve">、与本投标有关的正式联系方式为：</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center"/>
        <w:spacing w:line="360" w:lineRule="auto"/>
        <w:widowControl/>
        <w:rPr>
          <w:rFonts w:hint="eastAsia" w:ascii="宋体" w:hAnsi="宋体" w:eastAsia="宋体" w:cs="黑体"/>
          <w:b/>
          <w:bCs/>
          <w:sz w:val="24"/>
          <w:szCs w:val="24"/>
        </w:rPr>
      </w:pPr>
      <w:r>
        <w:rPr>
          <w:rFonts w:hint="eastAsia" w:ascii="宋体" w:hAnsi="宋体" w:eastAsia="宋体"/>
          <w:sz w:val="28"/>
          <w:szCs w:val="28"/>
        </w:rPr>
        <w:br w:type="page" w:clear="all"/>
      </w:r>
      <w:r>
        <w:rPr>
          <w:rFonts w:hint="eastAsia" w:ascii="宋体" w:hAnsi="宋体" w:eastAsia="宋体" w:cs="黑体"/>
          <w:b/>
          <w:bCs/>
          <w:sz w:val="24"/>
          <w:szCs w:val="24"/>
        </w:rPr>
        <w:t xml:space="preserve">二、法定代表人授权委托书</w:t>
      </w:r>
      <w:r/>
    </w:p>
    <w:p>
      <w:pPr>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江苏省应急管理厅</w:t>
      </w:r>
      <w:r/>
    </w:p>
    <w:p>
      <w:pPr>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ind w:firstLine="480"/>
        <w:spacing w:line="480" w:lineRule="exact"/>
        <w:rPr>
          <w:rFonts w:ascii="宋体" w:hAnsi="宋体"/>
          <w:sz w:val="24"/>
          <w:szCs w:val="24"/>
        </w:rPr>
      </w:pPr>
      <w:r>
        <w:rPr>
          <w:rFonts w:hint="eastAsia" w:ascii="宋体" w:hAnsi="宋体" w:eastAsia="宋体"/>
          <w:sz w:val="24"/>
          <w:szCs w:val="24"/>
        </w:rPr>
        <w:t xml:space="preserve">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p>
    <w:p>
      <w:pPr>
        <w:ind w:firstLine="480"/>
        <w:spacing w:line="480" w:lineRule="exact"/>
        <w:rPr>
          <w:rFonts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p>
    <w:p>
      <w:pPr>
        <w:ind w:firstLine="480"/>
        <w:spacing w:line="480" w:lineRule="exact"/>
        <w:rPr>
          <w:rFonts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p>
    <w:p>
      <w:pPr>
        <w:ind w:firstLine="480"/>
        <w:spacing w:line="480" w:lineRule="exact"/>
        <w:rPr>
          <w:rFonts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（手机）</w:t>
      </w:r>
      <w:r/>
    </w:p>
    <w:p>
      <w:pPr>
        <w:ind w:firstLine="480"/>
        <w:spacing w:line="480" w:lineRule="exact"/>
        <w:rPr>
          <w:rFonts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（加盖公章扫描上传或</w:t>
      </w:r>
      <w:r>
        <w:rPr>
          <w:rFonts w:hint="eastAsia" w:ascii="宋体" w:hAnsi="宋体" w:eastAsia="宋体"/>
          <w:sz w:val="24"/>
          <w:szCs w:val="24"/>
          <w:lang w:val="en-US"/>
        </w:rPr>
        <w:t xml:space="preserve">上传后加盖</w:t>
      </w:r>
      <w:r>
        <w:rPr>
          <w:rFonts w:hint="eastAsia" w:ascii="宋体" w:hAnsi="宋体" w:eastAsia="宋体"/>
          <w:sz w:val="24"/>
          <w:szCs w:val="24"/>
        </w:rPr>
        <w:t xml:space="preserve">电子签章）</w:t>
      </w:r>
      <w:r/>
    </w:p>
    <w:p>
      <w:pPr>
        <w:ind w:firstLine="480"/>
        <w:spacing w:line="480" w:lineRule="exact"/>
        <w:rPr>
          <w:rFonts w:hint="eastAsia"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ind w:firstLine="480"/>
        <w:spacing w:line="480" w:lineRule="exact"/>
        <w:rPr>
          <w:rFonts w:hint="eastAsia" w:ascii="宋体" w:hAnsi="宋体" w:eastAsia="等线"/>
          <w:sz w:val="24"/>
          <w:szCs w:val="24"/>
          <w:u w:val="single"/>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pStyle w:val="1075"/>
        <w:ind w:firstLine="400"/>
        <w:rPr>
          <w:rFonts w:eastAsia="等线"/>
        </w:rPr>
      </w:pPr>
      <w:r>
        <w:rPr>
          <w:rFonts w:hint="eastAsia" w:eastAsia="等线"/>
        </w:rPr>
        <w:t xml:space="preserve">    </w:t>
      </w:r>
      <w:r/>
    </w:p>
    <w:p>
      <w:pPr>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被授权人的身份证明文件的复印件：</w:t>
      </w:r>
      <w:r/>
    </w:p>
    <w:p>
      <w:pPr>
        <w:pStyle w:val="1075"/>
        <w:ind w:firstLine="400"/>
        <w:rPr>
          <w:rFonts w:eastAsia="等线"/>
        </w:rPr>
      </w:pPr>
      <w:r>
        <w:rPr>
          <w:rFonts w:eastAsia="等线"/>
        </w:rPr>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三、不存在与参加本项目的其他供应商单位负责人为同一人或者存在直接控股、</w:t>
      </w:r>
      <w:r/>
    </w:p>
    <w:p>
      <w:pPr>
        <w:jc w:val="center"/>
        <w:spacing w:line="420" w:lineRule="auto"/>
        <w:rPr>
          <w:rFonts w:hint="eastAsia" w:ascii="黑体" w:hAnsi="黑体" w:eastAsia="黑体" w:cs="黑体"/>
          <w:sz w:val="24"/>
          <w:szCs w:val="24"/>
        </w:rPr>
      </w:pPr>
      <w:r>
        <w:rPr>
          <w:rFonts w:hint="eastAsia" w:ascii="黑体" w:hAnsi="黑体" w:eastAsia="黑体" w:cs="黑体"/>
          <w:sz w:val="24"/>
          <w:szCs w:val="24"/>
        </w:rPr>
        <w:t xml:space="preserve">管理关系承诺</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江苏省应急管理厅</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磋商邀请，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w:t>
      </w:r>
      <w:r>
        <w:rPr>
          <w:rFonts w:hint="eastAsia" w:ascii="宋体" w:hAnsi="宋体" w:eastAsia="宋体"/>
          <w:sz w:val="24"/>
          <w:szCs w:val="24"/>
          <w:lang w:val="en-US"/>
        </w:rPr>
        <w:t xml:space="preserve">上传后加盖</w:t>
      </w:r>
      <w:r>
        <w:rPr>
          <w:rFonts w:hint="eastAsia" w:ascii="宋体" w:hAnsi="宋体" w:eastAsia="宋体"/>
          <w:sz w:val="24"/>
          <w:szCs w:val="24"/>
        </w:rPr>
        <w:t xml:space="preserve">电子签章）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pStyle w:val="1075"/>
        <w:ind w:firstLine="400"/>
        <w:rPr>
          <w:rFonts w:eastAsia="等线"/>
          <w:lang w:eastAsia="zh-CN"/>
        </w:rPr>
      </w:pPr>
      <w:r>
        <w:rPr>
          <w:rFonts w:eastAsia="等线"/>
          <w:lang w:eastAsia="zh-CN"/>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spacing w:line="420" w:lineRule="auto"/>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四、第一章竞争性磋商公告中</w:t>
      </w:r>
      <w:r>
        <w:rPr>
          <w:rFonts w:ascii="黑体" w:hAnsi="黑体" w:eastAsia="黑体" w:cs="黑体"/>
          <w:sz w:val="24"/>
          <w:szCs w:val="24"/>
        </w:rPr>
        <w:t xml:space="preserve">2</w:t>
      </w:r>
      <w:r>
        <w:rPr>
          <w:rFonts w:hint="eastAsia" w:ascii="黑体" w:hAnsi="黑体" w:eastAsia="黑体" w:cs="黑体"/>
          <w:sz w:val="24"/>
          <w:szCs w:val="24"/>
        </w:rPr>
        <w:t xml:space="preserve">.1《中华人民共和国政府采购法》第二十二条</w:t>
      </w:r>
      <w:r/>
    </w:p>
    <w:p>
      <w:pPr>
        <w:jc w:val="center"/>
        <w:spacing w:line="420" w:lineRule="auto"/>
        <w:rPr>
          <w:rFonts w:hint="eastAsia" w:ascii="黑体" w:hAnsi="黑体" w:eastAsia="黑体" w:cs="黑体"/>
          <w:sz w:val="24"/>
          <w:szCs w:val="24"/>
        </w:rPr>
      </w:pPr>
      <w:r>
        <w:rPr>
          <w:rFonts w:hint="eastAsia" w:ascii="黑体" w:hAnsi="黑体" w:eastAsia="黑体" w:cs="黑体"/>
          <w:sz w:val="24"/>
          <w:szCs w:val="24"/>
        </w:rPr>
        <w:t xml:space="preserve">规定条件的证明文件</w:t>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、具有独立承担民事责任的能力：</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）如供应商是事业单位的，应提供有效的“事业单位法人证书”；</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）如供应商是非企业专业服务机构的，应提供有效的执业许可证等证明文件；</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4</w:t>
      </w:r>
      <w:r>
        <w:rPr>
          <w:rFonts w:hint="eastAsia" w:ascii="宋体" w:hAnsi="宋体" w:eastAsia="宋体"/>
          <w:sz w:val="24"/>
          <w:szCs w:val="24"/>
          <w:lang w:val="en-US"/>
        </w:rPr>
        <w:t xml:space="preserve">）如供应商是个体工商户的，应提供有效的“个体工商户营业执照”；</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5</w:t>
      </w:r>
      <w:r>
        <w:rPr>
          <w:rFonts w:hint="eastAsia" w:ascii="宋体" w:hAnsi="宋体" w:eastAsia="宋体"/>
          <w:sz w:val="24"/>
          <w:szCs w:val="24"/>
          <w:lang w:val="en-US"/>
        </w:rPr>
        <w:t xml:space="preserve">）如供应商是自然人的，应提供有效的自然人身份证明。</w:t>
      </w:r>
      <w:r/>
    </w:p>
    <w:p>
      <w:pPr>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rPr>
        <w:t xml:space="preserve">、具有良好的商业信誉和健全的财务会计制度：</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lang w:val="en-US"/>
        </w:rPr>
        <w:t xml:space="preserve">2</w:t>
      </w:r>
      <w:r>
        <w:rPr>
          <w:rFonts w:hint="eastAsia" w:ascii="宋体" w:hAnsi="宋体" w:eastAsia="宋体"/>
          <w:sz w:val="24"/>
          <w:szCs w:val="24"/>
          <w:lang w:val="en-US"/>
        </w:rPr>
        <w:t xml:space="preserve">）依法作出的财务状况报告包括参加本次政府采购活动前：</w:t>
      </w:r>
      <w:r>
        <w:rPr>
          <w:rFonts w:ascii="宋体" w:hAnsi="宋体" w:eastAsia="宋体"/>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sz w:val="24"/>
          <w:szCs w:val="24"/>
          <w:lang w:val="en-US"/>
        </w:rPr>
        <w:t xml:space="preserve">②</w:t>
      </w:r>
      <w:r>
        <w:rPr>
          <w:rFonts w:hint="eastAsia" w:ascii="宋体" w:hAnsi="宋体" w:eastAsia="宋体"/>
          <w:sz w:val="24"/>
          <w:szCs w:val="24"/>
          <w:lang w:val="en-US"/>
        </w:rPr>
        <w:t xml:space="preserve">六个月内（任意一个月）银行出具的资信证明；</w:t>
      </w:r>
      <w:r>
        <w:rPr>
          <w:rFonts w:ascii="宋体" w:hAnsi="宋体" w:eastAsia="宋体"/>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）供应商成立不满一个月的可以不提供。</w:t>
      </w:r>
      <w:r/>
    </w:p>
    <w:p>
      <w:pPr>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rPr>
        <w:t xml:space="preserve">、具有履行合同所必需的设备和专业技术能力：</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）根据项目需求提供履行合同所必需的设备和专业技术能力的证明材料；</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）可提供与项目实施有关的相关设备购置或租赁票据，或者相关服务人员劳动合同，或者具有生产、代理所投设备的能力，也可以提供具有履行合同所必需的设备和专业技术能力承诺函。</w:t>
      </w:r>
      <w:r/>
    </w:p>
    <w:p>
      <w:pPr>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rPr>
        <w:t xml:space="preserve">、有依法缴纳税收和社会保障资金的良好记录：</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缴纳增值税或企业所得税凭据，未有税收产生的则提供无欠税证明；</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缴纳社会保险的凭据（专用收据或社会保障资金缴纳清单）；</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）依法免税或不需要缴纳社会保障资金的供应商应提供相关证明材料。</w:t>
      </w:r>
      <w:r/>
    </w:p>
    <w:p>
      <w:pPr>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p>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sz w:val="24"/>
          <w:szCs w:val="24"/>
        </w:rPr>
        <w:t xml:space="preserve">江苏省应急管理厅</w:t>
      </w:r>
      <w:r/>
    </w:p>
    <w:p>
      <w:pPr>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江苏驰驿招标代理有限公司</w:t>
      </w:r>
      <w:r/>
    </w:p>
    <w:p>
      <w:pPr>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r>
        <w:rPr>
          <w:rFonts w:hint="eastAsia" w:ascii="宋体" w:hAnsi="宋体" w:eastAsia="宋体"/>
          <w:sz w:val="24"/>
          <w:szCs w:val="24"/>
          <w:lang w:val="en-US"/>
        </w:rPr>
        <w:t xml:space="preserve">财库〔2022〕3号：《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pStyle w:val="1075"/>
        <w:ind w:firstLine="400"/>
        <w:rPr>
          <w:rFonts w:eastAsia="等线"/>
          <w:lang w:eastAsia="zh-CN"/>
        </w:rPr>
      </w:pPr>
      <w:r>
        <w:rPr>
          <w:rFonts w:eastAsia="等线"/>
          <w:lang w:eastAsia="zh-CN"/>
        </w:rPr>
      </w:r>
      <w:r/>
    </w:p>
    <w:p>
      <w:pPr>
        <w:ind w:right="-159"/>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1075"/>
        <w:rPr>
          <w:rFonts w:eastAsia="等线"/>
          <w:lang w:val="en-US" w:eastAsia="zh-CN"/>
        </w:rPr>
      </w:pPr>
      <w:r>
        <w:rPr>
          <w:rFonts w:eastAsia="等线"/>
          <w:lang w:val="en-US" w:eastAsia="zh-CN"/>
        </w:rPr>
      </w:r>
      <w:r/>
    </w:p>
    <w:p>
      <w:pPr>
        <w:jc w:val="center"/>
        <w:spacing w:line="360" w:lineRule="auto"/>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五、第一章竞争性磋商公告中</w:t>
      </w:r>
      <w:r>
        <w:rPr>
          <w:rFonts w:ascii="宋体" w:hAnsi="宋体" w:eastAsia="宋体" w:cs="黑体"/>
          <w:b/>
          <w:bCs/>
          <w:sz w:val="24"/>
          <w:szCs w:val="24"/>
          <w:lang w:val="en-US"/>
        </w:rPr>
        <w:t xml:space="preserve">2</w:t>
      </w:r>
      <w:r>
        <w:rPr>
          <w:rFonts w:hint="eastAsia" w:ascii="宋体" w:hAnsi="宋体" w:eastAsia="宋体" w:cs="黑体"/>
          <w:b/>
          <w:bCs/>
          <w:sz w:val="24"/>
          <w:szCs w:val="24"/>
          <w:lang w:val="en-US"/>
        </w:rPr>
        <w:t xml:space="preserve">.</w:t>
      </w:r>
      <w:r>
        <w:rPr>
          <w:rFonts w:ascii="宋体" w:hAnsi="宋体" w:eastAsia="宋体" w:cs="黑体"/>
          <w:b/>
          <w:bCs/>
          <w:sz w:val="24"/>
          <w:szCs w:val="24"/>
          <w:lang w:val="en-US"/>
        </w:rPr>
        <w:t xml:space="preserve">3</w:t>
      </w:r>
      <w:r>
        <w:rPr>
          <w:rFonts w:hint="eastAsia" w:ascii="宋体" w:hAnsi="宋体" w:eastAsia="宋体" w:cs="黑体"/>
          <w:b/>
          <w:bCs/>
          <w:sz w:val="24"/>
          <w:szCs w:val="24"/>
          <w:lang w:val="en-US"/>
        </w:rPr>
        <w:t xml:space="preserve">采购人根据采购项目的特殊要求规定的</w:t>
      </w:r>
      <w:r/>
    </w:p>
    <w:p>
      <w:pPr>
        <w:jc w:val="center"/>
        <w:spacing w:line="360" w:lineRule="auto"/>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特定条件的证明文件</w:t>
      </w:r>
      <w:r/>
    </w:p>
    <w:p>
      <w:pPr>
        <w:jc w:val="left"/>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注：供应商应当按照采购文件规定的要求上传相关证明材料，如未做要求，则不提供。</w:t>
      </w:r>
      <w:r/>
    </w:p>
    <w:p>
      <w:pPr>
        <w:jc w:val="center"/>
        <w:spacing w:line="360" w:lineRule="auto"/>
        <w:rPr>
          <w:rFonts w:hint="eastAsia" w:ascii="宋体" w:hAnsi="宋体" w:eastAsia="宋体" w:cs="黑体"/>
          <w:b/>
          <w:bCs/>
          <w:sz w:val="24"/>
          <w:szCs w:val="24"/>
          <w:lang w:val="en-US"/>
        </w:rPr>
      </w:pPr>
      <w:r>
        <w:rPr>
          <w:rFonts w:hint="eastAsia" w:ascii="宋体" w:hAnsi="宋体" w:eastAsia="宋体" w:cs="黑体"/>
          <w:b/>
          <w:bCs/>
          <w:sz w:val="24"/>
          <w:szCs w:val="24"/>
          <w:lang w:val="en-US"/>
        </w:rPr>
      </w:r>
      <w:r/>
    </w:p>
    <w:p>
      <w:pPr>
        <w:jc w:val="center"/>
        <w:spacing w:line="360" w:lineRule="auto"/>
        <w:rPr>
          <w:rFonts w:hint="eastAsia" w:ascii="宋体" w:hAnsi="宋体" w:eastAsia="宋体" w:cs="黑体"/>
          <w:b/>
          <w:bCs/>
          <w:sz w:val="24"/>
          <w:szCs w:val="24"/>
          <w:lang w:val="en-US"/>
        </w:rPr>
      </w:pPr>
      <w:r>
        <w:rPr>
          <w:rFonts w:hint="eastAsia" w:ascii="宋体" w:hAnsi="宋体" w:eastAsia="宋体" w:cs="黑体"/>
          <w:b/>
          <w:bCs/>
          <w:sz w:val="24"/>
          <w:szCs w:val="24"/>
          <w:lang w:val="en-US"/>
        </w:rPr>
      </w:r>
      <w:r/>
    </w:p>
    <w:p>
      <w:pPr>
        <w:jc w:val="center"/>
        <w:spacing w:line="360" w:lineRule="auto"/>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六、第三章成交标准要求提供的方案或相关证明材料等</w:t>
      </w:r>
      <w:r/>
    </w:p>
    <w:p>
      <w:pPr>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各供应商根据企业自身实际情况以及对本项目的理解，并结合磋商文件第三章成交标准中各评审因素提供相关证明文件，格式自拟，证明文件包括但不限于以下内容：各方案要求、相关业绩、荣誉，以及成交标准要求的其他相关证明文件。</w:t>
      </w:r>
      <w:r/>
    </w:p>
    <w:p>
      <w:pPr>
        <w:pStyle w:val="1075"/>
        <w:rPr>
          <w:rFonts w:eastAsia="等线"/>
          <w:lang w:val="en-US" w:eastAsia="zh-CN"/>
        </w:rPr>
      </w:pPr>
      <w:r>
        <w:rPr>
          <w:rFonts w:eastAsia="等线"/>
          <w:lang w:val="en-US" w:eastAsia="zh-CN"/>
        </w:rPr>
      </w:r>
      <w:r/>
    </w:p>
    <w:p>
      <w:pPr>
        <w:pStyle w:val="1075"/>
        <w:rPr>
          <w:rFonts w:eastAsia="等线"/>
          <w:lang w:val="en-US" w:eastAsia="zh-CN"/>
        </w:rPr>
      </w:pPr>
      <w:r>
        <w:rPr>
          <w:rFonts w:eastAsia="等线"/>
          <w:lang w:val="en-US" w:eastAsia="zh-CN"/>
        </w:rPr>
      </w:r>
      <w:r/>
    </w:p>
    <w:p>
      <w:pPr>
        <w:jc w:val="center"/>
        <w:spacing w:line="360" w:lineRule="auto"/>
        <w:rPr>
          <w:rFonts w:hint="eastAsia" w:ascii="宋体" w:hAnsi="宋体" w:eastAsia="宋体" w:cs="黑体"/>
          <w:b/>
          <w:bCs/>
          <w:sz w:val="24"/>
          <w:szCs w:val="24"/>
          <w:lang w:val="en-US"/>
        </w:rPr>
        <w:outlineLvl w:val="0"/>
      </w:pPr>
      <w:r>
        <w:rPr>
          <w:rFonts w:hint="eastAsia" w:ascii="宋体" w:hAnsi="宋体" w:eastAsia="宋体" w:cs="黑体"/>
          <w:b/>
          <w:bCs/>
          <w:sz w:val="24"/>
          <w:szCs w:val="24"/>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七、无围标、串标行为承诺函</w:t>
      </w:r>
      <w:r/>
    </w:p>
    <w:p>
      <w:pPr>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iCs/>
          <w:sz w:val="24"/>
          <w:szCs w:val="24"/>
        </w:rPr>
        <w:t xml:space="preserve">江苏省应急管理厅</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响应文件行为作为实施串通投标违法行为的关键环节，由我单位及法定代表人承担相应的法律责任，接受相应行政处罚和失信惩戒。因我单位围标、串标行为所导致的一切责任均与采购人、采购代理机构无关。</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84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期：</w:t>
      </w:r>
      <w:r/>
    </w:p>
    <w:p>
      <w:pP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widowControl/>
        <w:rPr>
          <w:rFonts w:hint="eastAsia" w:ascii="宋体" w:hAnsi="宋体" w:eastAsia="宋体"/>
          <w:b/>
          <w:bCs/>
          <w:sz w:val="24"/>
          <w:szCs w:val="24"/>
        </w:rPr>
      </w:pPr>
      <w:r>
        <w:rPr>
          <w:rFonts w:hint="eastAsia" w:ascii="宋体" w:hAnsi="宋体" w:eastAsia="宋体"/>
          <w:bCs/>
          <w:sz w:val="24"/>
          <w:szCs w:val="24"/>
          <w:lang w:val="en-US"/>
        </w:rPr>
        <w:br w:type="page" w:clear="all"/>
      </w:r>
      <w:r>
        <w:rPr>
          <w:rFonts w:hint="eastAsia" w:ascii="宋体" w:hAnsi="宋体" w:eastAsia="宋体"/>
          <w:b/>
          <w:bCs/>
          <w:sz w:val="24"/>
          <w:szCs w:val="24"/>
        </w:rPr>
        <w:t xml:space="preserve">八、报价表格式（首次报价）</w:t>
      </w:r>
      <w:r/>
    </w:p>
    <w:p>
      <w:pPr>
        <w:jc w:val="center"/>
        <w:spacing w:line="360" w:lineRule="auto"/>
        <w:widowControl/>
        <w:rPr>
          <w:rFonts w:hint="eastAsia" w:ascii="宋体" w:hAnsi="宋体" w:eastAsia="宋体"/>
          <w:b/>
          <w:bCs/>
          <w:sz w:val="24"/>
          <w:szCs w:val="24"/>
        </w:rPr>
      </w:pPr>
      <w:r>
        <w:rPr>
          <w:rFonts w:hint="eastAsia" w:ascii="宋体" w:hAnsi="宋体" w:eastAsia="宋体"/>
          <w:b/>
          <w:sz w:val="24"/>
          <w:szCs w:val="24"/>
        </w:rPr>
        <w:t xml:space="preserve">注：按投标系统格式填写</w:t>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t xml:space="preserve">九、首次报价的</w:t>
      </w:r>
      <w:r>
        <w:rPr>
          <w:rFonts w:hint="eastAsia" w:ascii="宋体" w:hAnsi="宋体" w:eastAsia="宋体" w:cs="黑体"/>
          <w:b/>
          <w:bCs/>
          <w:sz w:val="24"/>
          <w:szCs w:val="24"/>
        </w:rPr>
        <w:t xml:space="preserve">分项报价表格式</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采购编号：</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05"/>
        <w:gridCol w:w="3672"/>
        <w:gridCol w:w="1110"/>
        <w:gridCol w:w="944"/>
        <w:gridCol w:w="1556"/>
        <w:gridCol w:w="1449"/>
      </w:tblGrid>
      <w:tr>
        <w:trPr>
          <w:jc w:val="center"/>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360" w:lineRule="auto"/>
              <w:widowControl/>
              <w:rPr>
                <w:rFonts w:hint="eastAsia" w:ascii="宋体" w:hAnsi="宋体" w:eastAsia="宋体"/>
                <w:color w:val="000000"/>
                <w:sz w:val="24"/>
                <w:szCs w:val="24"/>
              </w:rPr>
            </w:pPr>
            <w:r/>
            <w:bookmarkStart w:id="51" w:name="OLE_LINK6"/>
            <w:r/>
            <w:bookmarkStart w:id="52" w:name="_Hlk231474686"/>
            <w:r/>
            <w:bookmarkStart w:id="53" w:name="OLE_LINK12"/>
            <w:r>
              <w:rPr>
                <w:rFonts w:hint="eastAsia" w:ascii="宋体" w:hAnsi="宋体" w:eastAsia="宋体"/>
                <w:color w:val="000000"/>
                <w:sz w:val="24"/>
                <w:szCs w:val="24"/>
              </w:rPr>
              <w:t xml:space="preserve">序号</w:t>
            </w:r>
            <w:r/>
          </w:p>
        </w:tc>
        <w:tc>
          <w:tcPr>
            <w:tcBorders>
              <w:top w:val="single" w:color="000000" w:sz="4" w:space="0"/>
              <w:left w:val="single" w:color="000000" w:sz="4" w:space="0"/>
              <w:right w:val="single" w:color="000000" w:sz="4" w:space="0"/>
            </w:tcBorders>
            <w:tcW w:w="1886" w:type="pct"/>
            <w:vAlign w:val="center"/>
            <w:textDirection w:val="lrTb"/>
            <w:noWrap w:val="false"/>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费用类别名称</w:t>
            </w:r>
            <w:r/>
          </w:p>
        </w:tc>
        <w:tc>
          <w:tcPr>
            <w:tcBorders>
              <w:top w:val="single" w:color="000000" w:sz="4" w:space="0"/>
              <w:left w:val="single" w:color="000000" w:sz="4" w:space="0"/>
              <w:right w:val="single" w:color="000000" w:sz="4" w:space="0"/>
            </w:tcBorders>
            <w:tcW w:w="570" w:type="pct"/>
            <w:vAlign w:val="center"/>
            <w:textDirection w:val="lrTb"/>
            <w:noWrap w:val="false"/>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Borders>
              <w:top w:val="single" w:color="000000" w:sz="4" w:space="0"/>
              <w:left w:val="single" w:color="000000" w:sz="4" w:space="0"/>
              <w:right w:val="single" w:color="000000" w:sz="4" w:space="0"/>
            </w:tcBorders>
            <w:tcW w:w="485" w:type="pct"/>
            <w:vAlign w:val="center"/>
            <w:textDirection w:val="lrTb"/>
            <w:noWrap w:val="false"/>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单位</w:t>
            </w:r>
            <w:r/>
          </w:p>
        </w:tc>
        <w:tc>
          <w:tcPr>
            <w:tcBorders>
              <w:top w:val="single" w:color="000000" w:sz="4" w:space="0"/>
              <w:left w:val="single" w:color="000000" w:sz="4" w:space="0"/>
              <w:right w:val="single" w:color="000000" w:sz="4" w:space="0"/>
            </w:tcBorders>
            <w:tcW w:w="799" w:type="pct"/>
            <w:vAlign w:val="center"/>
            <w:textDirection w:val="lrTb"/>
            <w:noWrap w:val="false"/>
          </w:tcPr>
          <w:p>
            <w:pPr>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单价（元）</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小计（元）</w:t>
            </w:r>
            <w:bookmarkEnd w:id="51"/>
            <w:r/>
            <w:bookmarkEnd w:id="52"/>
            <w:r/>
            <w:bookmarkEnd w:id="53"/>
            <w:r/>
            <w:r/>
          </w:p>
        </w:tc>
      </w:tr>
      <w:tr>
        <w:trPr>
          <w:jc w:val="center"/>
        </w:trPr>
        <w:tc>
          <w:tcPr>
            <w:tcBorders>
              <w:top w:val="single" w:color="000000" w:sz="4" w:space="0"/>
              <w:left w:val="single" w:color="000000" w:sz="4" w:space="0"/>
              <w:bottom w:val="single" w:color="000000" w:sz="4" w:space="0"/>
              <w:right w:val="single" w:color="000000" w:sz="4" w:space="0"/>
            </w:tcBorders>
            <w:tcW w:w="516" w:type="pct"/>
            <w:textDirection w:val="lrTb"/>
            <w:noWrap w:val="false"/>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886"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70"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85"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16" w:type="pct"/>
            <w:textDirection w:val="lrTb"/>
            <w:noWrap w:val="false"/>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886"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70"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85"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16" w:type="pct"/>
            <w:textDirection w:val="lrTb"/>
            <w:noWrap w:val="false"/>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886"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70"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85"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16" w:type="pct"/>
            <w:textDirection w:val="lrTb"/>
            <w:noWrap w:val="false"/>
          </w:tcPr>
          <w:p>
            <w:pPr>
              <w:jc w:val="center"/>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w:t>
            </w:r>
            <w:r/>
          </w:p>
        </w:tc>
        <w:tc>
          <w:tcPr>
            <w:tcBorders>
              <w:left w:val="single" w:color="000000" w:sz="4" w:space="0"/>
              <w:right w:val="single" w:color="000000" w:sz="4" w:space="0"/>
            </w:tcBorders>
            <w:tcW w:w="1886"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70"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85"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2402" w:type="pct"/>
            <w:textDirection w:val="lrTb"/>
            <w:noWrap w:val="false"/>
          </w:tcPr>
          <w:p>
            <w:pPr>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合计总金额（元）</w:t>
            </w:r>
            <w:r/>
          </w:p>
        </w:tc>
        <w:tc>
          <w:tcPr>
            <w:gridSpan w:val="4"/>
            <w:tcBorders>
              <w:top w:val="single" w:color="000000" w:sz="4" w:space="0"/>
              <w:left w:val="single" w:color="000000" w:sz="4" w:space="0"/>
              <w:bottom w:val="single" w:color="000000" w:sz="4" w:space="0"/>
              <w:right w:val="single" w:color="000000" w:sz="4" w:space="0"/>
            </w:tcBorders>
            <w:tcW w:w="2598" w:type="pct"/>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说明：1、如果行数不够，请自行增加。</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color w:val="000000"/>
          <w:sz w:val="24"/>
          <w:szCs w:val="24"/>
        </w:rPr>
        <w:t xml:space="preserve">2、</w:t>
      </w:r>
      <w:r>
        <w:rPr>
          <w:rFonts w:hint="eastAsia" w:ascii="宋体" w:hAnsi="宋体" w:eastAsia="宋体"/>
          <w:sz w:val="24"/>
          <w:szCs w:val="24"/>
        </w:rPr>
        <w:t xml:space="preserve">经磋商后，如果成交价高于或低于供应商在响应文件首次报价的，分项报价同比例调整。</w:t>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lang w:val="en-US"/>
        </w:rPr>
        <w:t xml:space="preserve">十、</w:t>
      </w:r>
      <w:r>
        <w:rPr>
          <w:rFonts w:hint="eastAsia" w:ascii="宋体" w:hAnsi="宋体" w:eastAsia="宋体"/>
          <w:b/>
          <w:sz w:val="24"/>
          <w:szCs w:val="24"/>
        </w:rPr>
        <w:t xml:space="preserve">商务条款偏离表格式</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88"/>
        <w:gridCol w:w="1713"/>
        <w:gridCol w:w="2856"/>
        <w:gridCol w:w="1444"/>
        <w:gridCol w:w="1967"/>
        <w:gridCol w:w="1078"/>
      </w:tblGrid>
      <w:tr>
        <w:trPr>
          <w:jc w:val="center"/>
          <w:trHeight w:val="284"/>
          <w:tblHeader/>
        </w:trPr>
        <w:tc>
          <w:tcPr>
            <w:gridSpan w:val="4"/>
            <w:tcBorders>
              <w:top w:val="none" w:color="000000" w:sz="4" w:space="0"/>
              <w:left w:val="none" w:color="000000" w:sz="4" w:space="0"/>
              <w:right w:val="none" w:color="000000" w:sz="4" w:space="0"/>
            </w:tcBorders>
            <w:tcW w:w="3438"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1562"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商务条款</w:t>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商务部分与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ind w:firstLine="480"/>
        <w:jc w:val="left"/>
        <w:spacing w:line="360" w:lineRule="auto"/>
        <w:widowControl/>
        <w:rPr>
          <w:rFonts w:hint="eastAsia" w:ascii="宋体" w:hAnsi="宋体" w:eastAsia="宋体"/>
          <w:b/>
          <w:bCs/>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（加盖公章扫描上传或上传后加盖电子签章）</w:t>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jc w:val="center"/>
        <w:spacing w:line="360" w:lineRule="auto"/>
        <w:rPr>
          <w:rFonts w:hint="eastAsia" w:ascii="宋体" w:hAnsi="宋体" w:eastAsia="宋体"/>
          <w:b/>
          <w:sz w:val="24"/>
          <w:szCs w:val="24"/>
        </w:rPr>
      </w:pPr>
      <w:r>
        <w:rPr>
          <w:rFonts w:hint="eastAsia" w:ascii="宋体" w:hAnsi="宋体" w:eastAsia="宋体"/>
          <w:b/>
          <w:sz w:val="24"/>
          <w:szCs w:val="24"/>
          <w:lang w:val="en-US"/>
        </w:rPr>
        <w:t xml:space="preserve">十一、</w:t>
      </w:r>
      <w:r>
        <w:rPr>
          <w:rFonts w:hint="eastAsia" w:ascii="宋体" w:hAnsi="宋体" w:eastAsia="宋体"/>
          <w:b/>
          <w:sz w:val="24"/>
          <w:szCs w:val="24"/>
        </w:rPr>
        <w:t xml:space="preserve">技术条款偏离表格式</w:t>
      </w:r>
      <w:r/>
    </w:p>
    <w:tbl>
      <w:tblPr>
        <w:tblW w:w="5000" w:type="pct"/>
        <w:jc w:val="center"/>
        <w:tblCellMar>
          <w:left w:w="0" w:type="dxa"/>
          <w:right w:w="0" w:type="dxa"/>
        </w:tblCellMar>
        <w:tblLook w:val="04A0" w:firstRow="1" w:lastRow="0" w:firstColumn="1" w:lastColumn="0" w:noHBand="0" w:noVBand="1"/>
      </w:tblPr>
      <w:tblGrid>
        <w:gridCol w:w="790"/>
        <w:gridCol w:w="1674"/>
        <w:gridCol w:w="2789"/>
        <w:gridCol w:w="1532"/>
        <w:gridCol w:w="1815"/>
        <w:gridCol w:w="1146"/>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3481"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1519"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技术、服务条款</w:t>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（加盖公章扫描上传或上传后加盖电子签章）</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cs="黑体"/>
          <w:b/>
          <w:sz w:val="24"/>
          <w:szCs w:val="24"/>
          <w:lang w:val="en-US"/>
        </w:rPr>
        <w:t xml:space="preserve">十二、</w:t>
      </w:r>
      <w:r>
        <w:rPr>
          <w:rFonts w:hint="eastAsia" w:ascii="宋体" w:hAnsi="宋体" w:eastAsia="宋体"/>
          <w:b/>
          <w:sz w:val="24"/>
          <w:szCs w:val="24"/>
        </w:rPr>
        <w:t xml:space="preserve">中小企业声明函格式（如供应商为中小企业可提供此函）</w:t>
      </w:r>
      <w:r/>
    </w:p>
    <w:p>
      <w:pPr>
        <w:jc w:val="center"/>
        <w:spacing w:line="42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widowControl/>
        <w:rPr>
          <w:rFonts w:hint="eastAsia" w:ascii="宋体" w:hAnsi="宋体" w:eastAsia="宋体"/>
          <w:b/>
          <w:color w:val="000000"/>
          <w:sz w:val="24"/>
          <w:szCs w:val="24"/>
          <w:lang w:val="en-US" w:bidi="ar"/>
        </w:rPr>
      </w:pPr>
      <w:r>
        <w:rPr>
          <w:rFonts w:hint="eastAsia" w:ascii="宋体" w:hAnsi="宋体" w:eastAsia="宋体"/>
          <w:b/>
          <w:color w:val="000000"/>
          <w:sz w:val="24"/>
          <w:szCs w:val="24"/>
          <w:lang w:val="en-US" w:bidi="ar"/>
        </w:rPr>
        <w:t xml:space="preserve">中小企业声明函（服务）</w:t>
      </w:r>
      <w:bookmarkStart w:id="54" w:name="OLE_LINK5"/>
      <w:r>
        <w:rPr>
          <w:rFonts w:ascii="宋体" w:hAnsi="宋体" w:eastAsia="宋体"/>
          <w:b/>
          <w:color w:val="000000"/>
          <w:sz w:val="24"/>
          <w:szCs w:val="24"/>
          <w:lang w:val="en-US" w:bidi="ar"/>
        </w:rPr>
        <w:t xml:space="preserve">（采购包号：</w:t>
      </w:r>
      <w:r>
        <w:rPr>
          <w:rFonts w:hint="eastAsia" w:ascii="宋体" w:hAnsi="宋体" w:eastAsia="宋体"/>
          <w:b/>
          <w:color w:val="000000"/>
          <w:sz w:val="24"/>
          <w:szCs w:val="24"/>
          <w:u w:val="single"/>
          <w:lang w:val="en-US" w:bidi="ar"/>
        </w:rPr>
        <w:t xml:space="preserve">    </w:t>
      </w:r>
      <w:r>
        <w:rPr>
          <w:rFonts w:ascii="宋体" w:hAnsi="宋体" w:eastAsia="宋体"/>
          <w:b/>
          <w:color w:val="000000"/>
          <w:sz w:val="24"/>
          <w:szCs w:val="24"/>
          <w:lang w:val="en-US" w:bidi="ar"/>
        </w:rPr>
        <w:t xml:space="preserve">）</w:t>
      </w:r>
      <w:bookmarkEnd w:id="54"/>
      <w:r/>
      <w:r/>
    </w:p>
    <w:p>
      <w:pPr>
        <w:ind w:firstLine="480"/>
        <w:jc w:val="left"/>
        <w:spacing w:line="360" w:lineRule="auto"/>
        <w:widowControl/>
        <w:rPr>
          <w:rFonts w:hint="eastAsia" w:ascii="宋体" w:hAnsi="宋体" w:eastAsia="宋体"/>
          <w:b/>
          <w:i/>
          <w:color w:val="000000"/>
          <w:sz w:val="24"/>
          <w:szCs w:val="24"/>
          <w:u w:val="single"/>
          <w:lang w:val="en-US" w:bidi="ar"/>
        </w:rPr>
      </w:pPr>
      <w:r>
        <w:rPr>
          <w:rFonts w:hint="eastAsia" w:ascii="宋体" w:hAnsi="宋体" w:eastAsia="宋体"/>
          <w:color w:val="000000"/>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u w:val="single"/>
          <w:lang w:val="en-US" w:bidi="ar"/>
        </w:rPr>
        <w:t xml:space="preserve">（单位名称）</w:t>
      </w:r>
      <w:r>
        <w:rPr>
          <w:rFonts w:hint="eastAsia" w:ascii="宋体" w:hAnsi="宋体" w:eastAsia="宋体"/>
          <w:color w:val="000000"/>
          <w:sz w:val="24"/>
          <w:szCs w:val="24"/>
          <w:lang w:val="en-US" w:bidi="ar"/>
        </w:rPr>
        <w:t xml:space="preserve">的</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u w:val="single"/>
          <w:lang w:val="en-US" w:bidi="ar"/>
        </w:rPr>
        <w:t xml:space="preserve">（项目名称）</w:t>
      </w:r>
      <w:r>
        <w:rPr>
          <w:rFonts w:ascii="宋体" w:hAnsi="宋体" w:eastAsia="宋体"/>
          <w:bCs/>
          <w:i/>
          <w:color w:val="000000"/>
          <w:sz w:val="24"/>
          <w:szCs w:val="24"/>
          <w:u w:val="single"/>
          <w:lang w:val="en-US" w:bidi="ar"/>
        </w:rPr>
        <w:t xml:space="preserve">（采购包号：    ）</w:t>
      </w:r>
      <w:r>
        <w:rPr>
          <w:rFonts w:hint="eastAsia" w:ascii="宋体" w:hAnsi="宋体" w:eastAsia="宋体"/>
          <w:color w:val="000000"/>
          <w:sz w:val="24"/>
          <w:szCs w:val="24"/>
          <w:lang w:val="en-US" w:bidi="ar"/>
        </w:rPr>
        <w:t xml:space="preserve">采购活动，服务全部由符合政策要求的中小企业承接。相关企业（含联合体中的中小企业、签订分包意向协议的中小企业）的具体情况如下： </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u w:val="single"/>
          <w:lang w:val="en-US" w:bidi="ar"/>
        </w:rPr>
        <w:t xml:space="preserve">        </w:t>
      </w:r>
      <w:r>
        <w:rPr>
          <w:rFonts w:hint="eastAsia" w:ascii="宋体" w:hAnsi="宋体" w:eastAsia="宋体"/>
          <w:i/>
          <w:color w:val="000000"/>
          <w:sz w:val="24"/>
          <w:szCs w:val="24"/>
          <w:u w:val="single"/>
          <w:lang w:bidi="ar"/>
        </w:rPr>
        <w:t xml:space="preserve">（标的名称）</w:t>
      </w:r>
      <w:r>
        <w:rPr>
          <w:rFonts w:hint="eastAsia" w:ascii="宋体" w:hAnsi="宋体" w:eastAsia="宋体"/>
          <w:sz w:val="24"/>
          <w:szCs w:val="24"/>
          <w:lang w:val="en-US" w:bidi="ar"/>
        </w:rPr>
        <w:t xml:space="preserve">，属于</w:t>
      </w:r>
      <w:r>
        <w:rPr>
          <w:rFonts w:hint="eastAsia" w:ascii="宋体" w:hAnsi="宋体" w:eastAsia="宋体"/>
          <w:sz w:val="24"/>
          <w:szCs w:val="24"/>
          <w:u w:val="single"/>
          <w:lang w:val="en-US" w:bidi="ar"/>
        </w:rPr>
        <w:t xml:space="preserve">            </w:t>
      </w:r>
      <w:r>
        <w:rPr>
          <w:rFonts w:hint="eastAsia" w:ascii="宋体" w:hAnsi="宋体" w:eastAsia="宋体"/>
          <w:i/>
          <w:iCs/>
          <w:sz w:val="24"/>
          <w:szCs w:val="24"/>
          <w:u w:val="single"/>
          <w:lang w:val="en-US" w:bidi="ar"/>
        </w:rPr>
        <w:t xml:space="preserve">（</w:t>
      </w:r>
      <w:r>
        <w:rPr>
          <w:rFonts w:hint="eastAsia" w:ascii="宋体" w:hAnsi="宋体" w:eastAsia="宋体"/>
          <w:i/>
          <w:iCs/>
          <w:sz w:val="24"/>
          <w:szCs w:val="24"/>
          <w:u w:val="single"/>
          <w:lang w:val="en-US" w:bidi="ar"/>
        </w:rPr>
        <w:t xml:space="preserve">填写</w:t>
      </w:r>
      <w:r>
        <w:rPr>
          <w:rFonts w:hint="eastAsia" w:ascii="宋体" w:hAnsi="宋体" w:eastAsia="宋体"/>
          <w:i/>
          <w:iCs/>
          <w:sz w:val="24"/>
          <w:szCs w:val="24"/>
          <w:u w:val="single"/>
          <w:lang w:val="en-US" w:bidi="ar"/>
        </w:rPr>
        <w:t xml:space="preserve">磋商</w:t>
      </w:r>
      <w:r>
        <w:rPr>
          <w:rFonts w:ascii="宋体" w:hAnsi="宋体" w:eastAsia="宋体"/>
          <w:i/>
          <w:iCs/>
          <w:sz w:val="24"/>
          <w:szCs w:val="24"/>
          <w:u w:val="single"/>
          <w:lang w:val="en-US" w:bidi="ar"/>
        </w:rPr>
        <w:t xml:space="preserve">文件中明确的所属行业</w:t>
      </w:r>
      <w:r>
        <w:rPr>
          <w:rFonts w:hint="eastAsia" w:ascii="宋体" w:hAnsi="宋体" w:eastAsia="宋体"/>
          <w:i/>
          <w:iCs/>
          <w:sz w:val="24"/>
          <w:szCs w:val="24"/>
          <w:u w:val="single"/>
          <w:lang w:val="en-US" w:bidi="ar"/>
        </w:rPr>
        <w:t xml:space="preserve">）</w:t>
      </w:r>
      <w:r>
        <w:rPr>
          <w:rFonts w:hint="eastAsia" w:ascii="宋体" w:hAnsi="宋体" w:eastAsia="宋体"/>
          <w:sz w:val="24"/>
          <w:szCs w:val="24"/>
          <w:lang w:val="en-US" w:bidi="ar"/>
        </w:rPr>
        <w:t xml:space="preserve">；承建（承接）企业为</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（企业名称）</w:t>
      </w:r>
      <w:r>
        <w:rPr>
          <w:rFonts w:hint="eastAsia" w:ascii="宋体" w:hAnsi="宋体" w:eastAsia="宋体"/>
          <w:sz w:val="24"/>
          <w:szCs w:val="24"/>
          <w:lang w:val="en-US" w:bidi="ar"/>
        </w:rPr>
        <w:t xml:space="preserve">，</w:t>
      </w:r>
      <w:r>
        <w:rPr>
          <w:rFonts w:hint="eastAsia" w:ascii="宋体" w:hAnsi="宋体" w:eastAsia="宋体"/>
          <w:color w:val="000000"/>
          <w:sz w:val="24"/>
          <w:szCs w:val="24"/>
          <w:lang w:val="en-US" w:bidi="ar"/>
        </w:rPr>
        <w:t xml:space="preserve">从业人员</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人，营业收入为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万元，资产总额为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万元，属于</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lang w:val="en-US" w:bidi="ar"/>
        </w:rPr>
        <w:t xml:space="preserve">（中型企业、小型企业、微型企业）</w:t>
      </w:r>
      <w:r>
        <w:rPr>
          <w:rFonts w:hint="eastAsia" w:ascii="宋体" w:hAnsi="宋体" w:eastAsia="宋体"/>
          <w:color w:val="000000"/>
          <w:sz w:val="24"/>
          <w:szCs w:val="24"/>
          <w:lang w:val="en-US" w:bidi="ar"/>
        </w:rPr>
        <w:t xml:space="preserve">； </w:t>
      </w:r>
      <w:r/>
    </w:p>
    <w:p>
      <w:pPr>
        <w:ind w:firstLine="480"/>
        <w:jc w:val="left"/>
        <w:spacing w:line="360" w:lineRule="auto"/>
        <w:widowControl/>
        <w:rPr>
          <w:rFonts w:hint="eastAsia" w:ascii="宋体" w:hAnsi="宋体" w:eastAsia="宋体"/>
          <w:color w:val="000000"/>
          <w:sz w:val="24"/>
          <w:szCs w:val="24"/>
          <w:lang w:val="en-US" w:bidi="ar"/>
        </w:rPr>
      </w:pPr>
      <w:r>
        <w:rPr>
          <w:rFonts w:hint="eastAsia" w:ascii="宋体" w:hAnsi="宋体" w:eastAsia="宋体"/>
          <w:color w:val="000000"/>
          <w:sz w:val="24"/>
          <w:szCs w:val="24"/>
          <w:lang w:val="en-US" w:bidi="ar"/>
        </w:rPr>
      </w:r>
      <w:r/>
    </w:p>
    <w:p>
      <w:pPr>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本企业对上述声明内容的真实性负责。如有虚假，将依法承担相应责任。 </w:t>
      </w:r>
      <w:r/>
    </w:p>
    <w:p>
      <w:pPr>
        <w:ind w:firstLine="2880"/>
        <w:jc w:val="left"/>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p>
      <w:pPr>
        <w:ind w:firstLine="28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企业名称：</w:t>
      </w:r>
      <w:r>
        <w:rPr>
          <w:rFonts w:hint="eastAsia" w:ascii="宋体" w:hAnsi="宋体" w:eastAsia="宋体"/>
          <w:sz w:val="24"/>
          <w:szCs w:val="24"/>
          <w:u w:val="single"/>
          <w:lang w:val="en-US" w:bidi="ar"/>
        </w:rPr>
        <w:t xml:space="preserve">     </w:t>
      </w:r>
      <w:r>
        <w:rPr>
          <w:rFonts w:hint="eastAsia" w:ascii="宋体" w:hAnsi="宋体" w:eastAsia="宋体"/>
          <w:sz w:val="24"/>
          <w:szCs w:val="24"/>
          <w:lang w:val="en-US" w:bidi="ar"/>
        </w:rPr>
        <w:t xml:space="preserve">（加盖公章扫描上传或上传后加盖电子签章） </w:t>
      </w:r>
      <w:r/>
    </w:p>
    <w:p>
      <w:pPr>
        <w:ind w:firstLine="28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日    期： </w:t>
      </w:r>
      <w:r/>
    </w:p>
    <w:p>
      <w:pPr>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 </w:t>
      </w:r>
      <w:r/>
    </w:p>
    <w:p>
      <w:pPr>
        <w:ind w:firstLine="482"/>
        <w:jc w:val="left"/>
        <w:spacing w:line="360" w:lineRule="auto"/>
        <w:widowControl/>
        <w:rPr>
          <w:rFonts w:hint="eastAsia" w:ascii="宋体" w:hAnsi="宋体" w:eastAsia="宋体"/>
          <w:color w:val="000000"/>
          <w:sz w:val="24"/>
          <w:szCs w:val="24"/>
          <w:lang w:val="en-US" w:bidi="ar"/>
        </w:rPr>
      </w:pPr>
      <w:r>
        <w:rPr>
          <w:rFonts w:hint="eastAsia" w:ascii="宋体" w:hAnsi="宋体" w:eastAsia="宋体"/>
          <w:b/>
          <w:bCs/>
          <w:color w:val="000000"/>
          <w:sz w:val="24"/>
          <w:szCs w:val="24"/>
          <w:lang w:val="en-US" w:bidi="ar"/>
        </w:rPr>
        <w:t xml:space="preserve">备注：</w:t>
      </w:r>
      <w:r>
        <w:rPr>
          <w:rFonts w:hint="eastAsia" w:ascii="宋体" w:hAnsi="宋体" w:eastAsia="宋体"/>
          <w:color w:val="000000"/>
          <w:sz w:val="24"/>
          <w:szCs w:val="24"/>
          <w:lang w:val="en-US" w:bidi="ar"/>
        </w:rPr>
        <w:t xml:space="preserve">从业人员、营业收入、资产总额填报上一年度数据，无上一年度数据的新成立企业可不填报。</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 </w:t>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lang w:val="en-US"/>
        </w:rPr>
        <w:t xml:space="preserve">十三</w:t>
      </w:r>
      <w:r>
        <w:rPr>
          <w:rFonts w:hint="eastAsia" w:ascii="宋体" w:hAnsi="宋体" w:eastAsia="宋体"/>
          <w:b/>
          <w:bCs/>
          <w:sz w:val="24"/>
          <w:szCs w:val="24"/>
        </w:rPr>
        <w:t xml:space="preserve">、残疾人福利性单位声明函格式</w:t>
      </w:r>
      <w:bookmarkStart w:id="55" w:name="OLE_LINK10"/>
      <w:r>
        <w:rPr>
          <w:rFonts w:hint="eastAsia" w:ascii="宋体" w:hAnsi="宋体" w:eastAsia="宋体"/>
          <w:b/>
          <w:sz w:val="24"/>
          <w:szCs w:val="24"/>
        </w:rPr>
        <w:t xml:space="preserve">（如供应商为残疾人福利性单位可提供此函）</w:t>
      </w:r>
      <w:bookmarkEnd w:id="55"/>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残疾人福利性单位声明函</w:t>
      </w:r>
      <w:r>
        <w:rPr>
          <w:rFonts w:ascii="宋体" w:hAnsi="宋体" w:eastAsia="宋体"/>
          <w:b/>
          <w:color w:val="000000"/>
          <w:sz w:val="24"/>
          <w:szCs w:val="24"/>
          <w:lang w:val="en-US" w:bidi="ar"/>
        </w:rPr>
        <w:t xml:space="preserve">（采购包号：</w:t>
      </w:r>
      <w:r>
        <w:rPr>
          <w:rFonts w:hint="eastAsia" w:ascii="宋体" w:hAnsi="宋体" w:eastAsia="宋体"/>
          <w:b/>
          <w:color w:val="000000"/>
          <w:sz w:val="24"/>
          <w:szCs w:val="24"/>
          <w:u w:val="single"/>
          <w:lang w:val="en-US" w:bidi="ar"/>
        </w:rPr>
        <w:t xml:space="preserve">    </w:t>
      </w:r>
      <w:r>
        <w:rPr>
          <w:rFonts w:ascii="宋体" w:hAnsi="宋体" w:eastAsia="宋体"/>
          <w:b/>
          <w:color w:val="000000"/>
          <w:sz w:val="24"/>
          <w:szCs w:val="24"/>
          <w:lang w:val="en-US" w:bidi="ar"/>
        </w:rPr>
        <w:t xml:space="preserve">）</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2400"/>
        <w:spacing w:line="420" w:lineRule="auto"/>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（加盖公章扫描上传或上传后加盖电子签章）</w:t>
      </w:r>
      <w:r/>
    </w:p>
    <w:p>
      <w:pPr>
        <w:ind w:firstLine="240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spacing w:line="420" w:lineRule="auto"/>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b/>
          <w:sz w:val="24"/>
          <w:szCs w:val="24"/>
        </w:rPr>
      </w:pPr>
      <w:r>
        <w:rPr>
          <w:rFonts w:hint="eastAsia" w:ascii="宋体" w:hAnsi="宋体" w:eastAsia="宋体"/>
          <w:b/>
          <w:sz w:val="24"/>
          <w:szCs w:val="24"/>
          <w:lang w:val="en-US"/>
        </w:rPr>
        <w:t xml:space="preserve">十四</w:t>
      </w:r>
      <w:r>
        <w:rPr>
          <w:rFonts w:hint="eastAsia" w:ascii="宋体" w:hAnsi="宋体" w:eastAsia="宋体"/>
          <w:b/>
          <w:sz w:val="24"/>
          <w:szCs w:val="24"/>
        </w:rPr>
        <w:t xml:space="preserve">、</w:t>
      </w:r>
      <w:r>
        <w:rPr>
          <w:rFonts w:hint="eastAsia" w:ascii="宋体" w:hAnsi="宋体" w:eastAsia="宋体"/>
          <w:b/>
          <w:bCs/>
          <w:sz w:val="24"/>
          <w:szCs w:val="24"/>
        </w:rPr>
        <w:t xml:space="preserve">属于监狱企业的证明文件</w:t>
      </w:r>
      <w:r>
        <w:rPr>
          <w:rFonts w:hint="eastAsia" w:ascii="宋体" w:hAnsi="宋体" w:eastAsia="宋体"/>
          <w:b/>
          <w:sz w:val="24"/>
          <w:szCs w:val="24"/>
        </w:rPr>
        <w:t xml:space="preserve">（如供应商为监狱企业可提供此</w:t>
      </w:r>
      <w:r>
        <w:rPr>
          <w:rFonts w:hint="eastAsia" w:ascii="宋体" w:hAnsi="宋体" w:eastAsia="宋体"/>
          <w:b/>
          <w:sz w:val="24"/>
          <w:szCs w:val="24"/>
          <w:lang w:val="en-US"/>
        </w:rPr>
        <w:t xml:space="preserve">证明文件</w:t>
      </w:r>
      <w:r>
        <w:rPr>
          <w:rFonts w:hint="eastAsia" w:ascii="宋体" w:hAnsi="宋体" w:eastAsia="宋体"/>
          <w:b/>
          <w:sz w:val="24"/>
          <w:szCs w:val="24"/>
        </w:rPr>
        <w:t xml:space="preserve">）</w:t>
      </w:r>
      <w:r/>
    </w:p>
    <w:p>
      <w:pPr>
        <w:jc w:val="center"/>
        <w:spacing w:line="420" w:lineRule="auto"/>
        <w:rPr>
          <w:rFonts w:hint="eastAsia" w:ascii="宋体" w:hAnsi="宋体" w:eastAsia="宋体"/>
          <w:b/>
          <w:sz w:val="24"/>
          <w:szCs w:val="24"/>
        </w:rPr>
      </w:pPr>
      <w:r>
        <w:rPr>
          <w:rFonts w:ascii="宋体" w:hAnsi="宋体" w:eastAsia="宋体"/>
          <w:b/>
          <w:color w:val="000000"/>
          <w:sz w:val="24"/>
          <w:szCs w:val="24"/>
          <w:lang w:val="en-US" w:bidi="ar"/>
        </w:rPr>
        <w:t xml:space="preserve">（采购包号：</w:t>
      </w:r>
      <w:r>
        <w:rPr>
          <w:rFonts w:hint="eastAsia" w:ascii="宋体" w:hAnsi="宋体" w:eastAsia="宋体"/>
          <w:b/>
          <w:color w:val="000000"/>
          <w:sz w:val="24"/>
          <w:szCs w:val="24"/>
          <w:u w:val="single"/>
          <w:lang w:val="en-US" w:bidi="ar"/>
        </w:rPr>
        <w:t xml:space="preserve">    </w:t>
      </w:r>
      <w:r>
        <w:rPr>
          <w:rFonts w:ascii="宋体" w:hAnsi="宋体" w:eastAsia="宋体"/>
          <w:b/>
          <w:color w:val="000000"/>
          <w:sz w:val="24"/>
          <w:szCs w:val="24"/>
          <w:lang w:val="en-US" w:bidi="ar"/>
        </w:rPr>
        <w:t xml:space="preserve">）</w:t>
      </w:r>
      <w:r/>
    </w:p>
    <w:p>
      <w:pPr>
        <w:spacing w:line="420" w:lineRule="auto"/>
        <w:rPr>
          <w:rFonts w:hint="eastAsia" w:ascii="宋体" w:hAnsi="宋体" w:eastAsia="宋体"/>
          <w:sz w:val="24"/>
          <w:szCs w:val="24"/>
        </w:rPr>
      </w:pPr>
      <w:r>
        <w:rPr>
          <w:rFonts w:hint="eastAsia" w:ascii="宋体" w:hAnsi="宋体" w:eastAsia="宋体"/>
          <w:sz w:val="24"/>
          <w:szCs w:val="24"/>
        </w:rPr>
      </w:r>
      <w:r/>
    </w:p>
    <w:p>
      <w:pPr>
        <w:ind w:firstLine="480"/>
        <w:spacing w:line="420" w:lineRule="auto"/>
        <w:rPr>
          <w:rFonts w:hint="eastAsia" w:ascii="宋体" w:hAnsi="宋体" w:eastAsia="宋体"/>
          <w:b/>
          <w:bCs/>
          <w:sz w:val="24"/>
          <w:szCs w:val="24"/>
          <w:lang w:val="en-US" w:bidi="ar"/>
        </w:rPr>
      </w:pPr>
      <w:r>
        <w:rPr>
          <w:rFonts w:hint="eastAsia" w:ascii="宋体" w:hAnsi="宋体" w:eastAsia="宋体"/>
          <w:sz w:val="24"/>
          <w:szCs w:val="24"/>
        </w:rPr>
        <w:t xml:space="preserve">提供由省级以上监狱管理局、戒毒管理局（含新疆生产建设兵团）出具的属于监狱企业的证明文件。</w:t>
      </w:r>
      <w:r>
        <w:rPr>
          <w:rFonts w:hint="eastAsia" w:ascii="宋体" w:hAnsi="宋体" w:eastAsia="宋体"/>
          <w:b/>
          <w:bCs/>
          <w:sz w:val="24"/>
          <w:szCs w:val="24"/>
          <w:lang w:val="en-US"/>
        </w:rPr>
        <w:t xml:space="preserve">复印后</w:t>
      </w:r>
      <w:r>
        <w:rPr>
          <w:rFonts w:hint="eastAsia" w:ascii="宋体" w:hAnsi="宋体" w:eastAsia="宋体"/>
          <w:b/>
          <w:bCs/>
          <w:sz w:val="24"/>
          <w:szCs w:val="24"/>
          <w:lang w:val="en-US" w:bidi="ar"/>
        </w:rPr>
        <w:t xml:space="preserve">加盖公章扫描上传或扫描件上传后加盖电子签章。</w:t>
      </w:r>
      <w:r/>
    </w:p>
    <w:p>
      <w:pPr>
        <w:ind w:firstLine="480"/>
        <w:spacing w:line="420" w:lineRule="auto"/>
        <w:rPr>
          <w:rFonts w:hint="eastAsia" w:ascii="宋体" w:hAnsi="宋体" w:eastAsia="宋体"/>
          <w:b/>
          <w:bCs/>
          <w:sz w:val="24"/>
          <w:szCs w:val="24"/>
          <w:lang w:val="en-US" w:bidi="ar"/>
        </w:rPr>
      </w:pPr>
      <w:r>
        <w:rPr>
          <w:rFonts w:hint="eastAsia" w:ascii="宋体" w:hAnsi="宋体" w:eastAsia="宋体"/>
          <w:b/>
          <w:bCs/>
          <w:sz w:val="24"/>
          <w:szCs w:val="24"/>
          <w:lang w:val="en-US" w:bidi="ar"/>
        </w:rPr>
      </w:r>
      <w:r/>
    </w:p>
    <w:p>
      <w:pPr>
        <w:ind w:firstLine="480"/>
        <w:spacing w:line="420" w:lineRule="auto"/>
        <w:rPr>
          <w:rFonts w:hint="eastAsia" w:ascii="宋体" w:hAnsi="宋体" w:eastAsia="宋体"/>
          <w:b/>
          <w:bCs/>
          <w:sz w:val="24"/>
          <w:szCs w:val="24"/>
          <w:lang w:val="en-US" w:bidi="ar"/>
        </w:rPr>
      </w:pPr>
      <w:r>
        <w:rPr>
          <w:rFonts w:hint="eastAsia" w:ascii="宋体" w:hAnsi="宋体" w:eastAsia="宋体"/>
          <w:b/>
          <w:bCs/>
          <w:sz w:val="24"/>
          <w:szCs w:val="24"/>
          <w:lang w:val="en-US" w:bidi="ar"/>
        </w:rPr>
      </w:r>
      <w:r/>
    </w:p>
    <w:p>
      <w:pPr>
        <w:ind w:firstLine="480"/>
        <w:spacing w:line="420" w:lineRule="auto"/>
        <w:rPr>
          <w:rFonts w:hint="eastAsia" w:ascii="宋体" w:hAnsi="宋体" w:eastAsia="宋体"/>
          <w:b/>
          <w:bCs/>
          <w:sz w:val="24"/>
          <w:szCs w:val="24"/>
          <w:lang w:val="en-US" w:bidi="ar"/>
        </w:rPr>
      </w:pPr>
      <w:r>
        <w:rPr>
          <w:rFonts w:hint="eastAsia" w:ascii="宋体" w:hAnsi="宋体" w:eastAsia="宋体"/>
          <w:b/>
          <w:bCs/>
          <w:sz w:val="24"/>
          <w:szCs w:val="24"/>
          <w:lang w:val="en-US" w:bidi="ar"/>
        </w:rPr>
      </w:r>
      <w:r/>
    </w:p>
    <w:p>
      <w:pPr>
        <w:ind w:firstLine="480"/>
        <w:spacing w:line="420" w:lineRule="auto"/>
        <w:rPr>
          <w:rFonts w:hint="eastAsia" w:ascii="宋体" w:hAnsi="宋体" w:eastAsia="宋体"/>
          <w:b/>
          <w:bCs/>
          <w:sz w:val="24"/>
          <w:szCs w:val="24"/>
          <w:lang w:val="en-US" w:bidi="ar"/>
        </w:rPr>
      </w:pPr>
      <w:r>
        <w:rPr>
          <w:rFonts w:hint="eastAsia" w:ascii="宋体" w:hAnsi="宋体" w:eastAsia="宋体"/>
          <w:b/>
          <w:bCs/>
          <w:sz w:val="24"/>
          <w:szCs w:val="24"/>
          <w:lang w:val="en-US" w:bidi="ar"/>
        </w:rPr>
      </w:r>
      <w:r/>
    </w:p>
    <w:p>
      <w:pPr>
        <w:ind w:firstLine="480"/>
        <w:spacing w:line="420" w:lineRule="auto"/>
        <w:rPr>
          <w:rFonts w:hint="eastAsia" w:ascii="宋体" w:hAnsi="宋体" w:eastAsia="宋体"/>
          <w:b/>
          <w:bCs/>
          <w:sz w:val="24"/>
          <w:szCs w:val="24"/>
          <w:lang w:val="en-US" w:bidi="ar"/>
        </w:rPr>
      </w:pPr>
      <w:r>
        <w:rPr>
          <w:rFonts w:hint="eastAsia" w:ascii="宋体" w:hAnsi="宋体" w:eastAsia="宋体"/>
          <w:b/>
          <w:bCs/>
          <w:sz w:val="24"/>
          <w:szCs w:val="24"/>
          <w:lang w:val="en-US" w:bidi="ar"/>
        </w:rPr>
      </w:r>
      <w:r/>
    </w:p>
    <w:p>
      <w:pPr>
        <w:ind w:firstLine="480"/>
        <w:spacing w:line="420" w:lineRule="auto"/>
        <w:rPr>
          <w:rFonts w:hint="eastAsia" w:ascii="宋体" w:hAnsi="宋体" w:eastAsia="宋体"/>
          <w:b/>
          <w:bCs/>
          <w:sz w:val="24"/>
          <w:szCs w:val="24"/>
          <w:lang w:val="en-US" w:bidi="ar"/>
        </w:rPr>
      </w:pPr>
      <w:r>
        <w:rPr>
          <w:rFonts w:hint="eastAsia" w:ascii="宋体" w:hAnsi="宋体" w:eastAsia="宋体"/>
          <w:b/>
          <w:bCs/>
          <w:sz w:val="24"/>
          <w:szCs w:val="24"/>
          <w:lang w:val="en-US" w:bidi="ar"/>
        </w:rPr>
      </w:r>
      <w:r/>
    </w:p>
    <w:p>
      <w:pPr>
        <w:ind w:firstLine="480"/>
        <w:spacing w:line="420" w:lineRule="auto"/>
        <w:rPr>
          <w:rFonts w:hint="eastAsia" w:ascii="宋体" w:hAnsi="宋体" w:eastAsia="宋体"/>
          <w:b/>
          <w:bCs/>
          <w:sz w:val="24"/>
          <w:szCs w:val="24"/>
          <w:lang w:val="en-US" w:bidi="ar"/>
        </w:rPr>
      </w:pPr>
      <w:r>
        <w:rPr>
          <w:rFonts w:hint="eastAsia" w:ascii="宋体" w:hAnsi="宋体" w:eastAsia="宋体"/>
          <w:b/>
          <w:bCs/>
          <w:sz w:val="24"/>
          <w:szCs w:val="24"/>
          <w:lang w:val="en-US" w:bidi="ar"/>
        </w:rPr>
      </w:r>
      <w:r/>
    </w:p>
    <w:p>
      <w:pPr>
        <w:ind w:firstLine="480"/>
        <w:spacing w:line="420" w:lineRule="auto"/>
        <w:rPr>
          <w:rFonts w:hint="eastAsia" w:ascii="宋体" w:hAnsi="宋体" w:eastAsia="宋体"/>
          <w:b/>
          <w:bCs/>
          <w:sz w:val="24"/>
          <w:szCs w:val="24"/>
          <w:lang w:val="en-US" w:bidi="ar"/>
        </w:rPr>
      </w:pPr>
      <w:r>
        <w:rPr>
          <w:rFonts w:hint="eastAsia" w:ascii="宋体" w:hAnsi="宋体" w:eastAsia="宋体"/>
          <w:b/>
          <w:bCs/>
          <w:sz w:val="24"/>
          <w:szCs w:val="24"/>
          <w:lang w:val="en-US" w:bidi="ar"/>
        </w:rPr>
      </w:r>
      <w:r/>
    </w:p>
    <w:p>
      <w:pPr>
        <w:ind w:firstLine="480"/>
        <w:spacing w:line="420" w:lineRule="auto"/>
        <w:rPr>
          <w:rFonts w:hint="eastAsia" w:ascii="宋体" w:hAnsi="宋体" w:eastAsia="宋体"/>
          <w:b/>
          <w:bCs/>
          <w:sz w:val="24"/>
          <w:szCs w:val="24"/>
          <w:lang w:val="en-US" w:bidi="ar"/>
        </w:rPr>
      </w:pPr>
      <w:r>
        <w:rPr>
          <w:rFonts w:hint="eastAsia" w:ascii="宋体" w:hAnsi="宋体" w:eastAsia="宋体"/>
          <w:b/>
          <w:bCs/>
          <w:sz w:val="24"/>
          <w:szCs w:val="24"/>
          <w:lang w:val="en-US" w:bidi="ar"/>
        </w:rPr>
      </w:r>
      <w:r/>
    </w:p>
    <w:p>
      <w:pPr>
        <w:ind w:firstLine="480"/>
        <w:spacing w:line="420" w:lineRule="auto"/>
        <w:rPr>
          <w:rFonts w:hint="eastAsia" w:ascii="宋体" w:hAnsi="宋体" w:eastAsia="宋体"/>
          <w:b/>
          <w:bCs/>
          <w:sz w:val="24"/>
          <w:szCs w:val="24"/>
          <w:lang w:val="en-US" w:bidi="ar"/>
        </w:rPr>
      </w:pPr>
      <w:r>
        <w:rPr>
          <w:rFonts w:hint="eastAsia" w:ascii="宋体" w:hAnsi="宋体" w:eastAsia="宋体"/>
          <w:b/>
          <w:bCs/>
          <w:sz w:val="24"/>
          <w:szCs w:val="24"/>
          <w:lang w:val="en-US" w:bidi="ar"/>
        </w:rPr>
      </w:r>
      <w:r/>
    </w:p>
    <w:p>
      <w:pPr>
        <w:jc w:val="center"/>
        <w:spacing w:line="360" w:lineRule="auto"/>
        <w:rPr>
          <w:rFonts w:hint="eastAsia" w:ascii="宋体" w:hAnsi="宋体" w:eastAsia="宋体" w:cs="黑体"/>
          <w:b/>
          <w:bCs/>
          <w:sz w:val="24"/>
          <w:szCs w:val="24"/>
          <w:lang w:val="en-US" w:eastAsia="zh-Hans"/>
        </w:rPr>
        <w:outlineLvl w:val="0"/>
      </w:pPr>
      <w:r>
        <w:rPr>
          <w:rFonts w:hint="eastAsia" w:ascii="宋体" w:hAnsi="宋体" w:eastAsia="宋体" w:cs="黑体"/>
          <w:b/>
          <w:bCs/>
          <w:sz w:val="24"/>
          <w:szCs w:val="24"/>
          <w:lang w:val="en-US" w:eastAsia="zh-Hans"/>
        </w:rPr>
        <w:t xml:space="preserve">十五、实质性要求完全响应承诺书</w:t>
      </w:r>
      <w:r/>
    </w:p>
    <w:p>
      <w:pPr>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致：江苏省应急管理厅</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w:t>
      </w:r>
      <w:r>
        <w:rPr>
          <w:rFonts w:hint="eastAsia" w:ascii="宋体" w:hAnsi="宋体" w:eastAsia="宋体"/>
          <w:sz w:val="24"/>
          <w:szCs w:val="24"/>
          <w:u w:val="single"/>
        </w:rPr>
        <w:t xml:space="preserve">     </w:t>
      </w:r>
      <w:r>
        <w:rPr>
          <w:rFonts w:hint="eastAsia" w:ascii="宋体" w:hAnsi="宋体" w:eastAsia="宋体"/>
          <w:sz w:val="24"/>
          <w:szCs w:val="24"/>
        </w:rPr>
        <w:t xml:space="preserve">（采购包号）磋商文件“第四章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3600"/>
        <w:spacing w:line="360" w:lineRule="auto"/>
        <w:rPr>
          <w:rFonts w:hint="eastAsia" w:ascii="宋体" w:hAnsi="宋体" w:eastAsia="宋体"/>
          <w:b/>
          <w:bCs/>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ind w:firstLine="480"/>
        <w:jc w:val="left"/>
        <w:spacing w:line="420" w:lineRule="auto"/>
        <w:rPr>
          <w:rFonts w:hint="eastAsia" w:ascii="宋体" w:hAnsi="宋体" w:eastAsia="宋体"/>
          <w:sz w:val="24"/>
          <w:szCs w:val="24"/>
        </w:rPr>
      </w:pPr>
      <w:r>
        <w:rPr>
          <w:rFonts w:hint="eastAsia" w:ascii="宋体" w:hAnsi="宋体" w:eastAsia="宋体"/>
          <w:sz w:val="24"/>
          <w:szCs w:val="24"/>
        </w:rPr>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sectPr>
      <w:footnotePr/>
      <w:endnotePr/>
      <w:type w:val="nextPage"/>
      <w:pgSz w:w="11906" w:h="16838" w:orient="portrait"/>
      <w:pgMar w:top="1440" w:right="1080" w:bottom="1440" w:left="1080" w:header="1020" w:footer="62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等线">
    <w:panose1 w:val="02010600030101010101"/>
  </w:font>
  <w:font w:name="方正仿宋_GBK">
    <w:panose1 w:val="020B0503020202020204"/>
  </w:font>
  <w:font w:name="方正黑体_GBK">
    <w:panose1 w:val="020B0503020202020204"/>
  </w:font>
  <w:font w:name="楷体">
    <w:panose1 w:val="02010609060101010101"/>
  </w:font>
  <w:font w:name="Symbol">
    <w:panose1 w:val="05050102010706020507"/>
  </w:font>
  <w:font w:name="方正小标宋_GBK">
    <w:panose1 w:val="020B0503020202020204"/>
  </w:font>
  <w:font w:name="华文细黑">
    <w:panose1 w:val="02010600040101010101"/>
  </w:font>
  <w:font w:name="汉仪大黑简">
    <w:panose1 w:val="020B0503020202020204"/>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p>
                          <w:r/>
                          <w:r/>
                        </w:p>
                      </w:txbxContent>
                    </wps:txbx>
                    <wps:bodyPr wrap="square" lIns="0" tIns="0" rIns="0" bIns="0" upright="1"/>
                  </wps:wsp>
                </a:graphicData>
              </a:graphic>
            </wp:anchor>
          </w:drawing>
        </mc:Choice>
        <mc:Fallback>
          <w:pict>
            <v:shape id="shape 1" o:spid="_x0000_s1" o:spt="202" type="#_x0000_t202" style="position:absolute;z-index:25165772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both"/>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right</wp:align>
              </wp:positionH>
              <wp:positionV relativeFrom="paragraph">
                <wp:posOffset>0</wp:posOffset>
              </wp:positionV>
              <wp:extent cx="1043940" cy="1651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043940" cy="165100"/>
                      </a:xfrm>
                      <a:prstGeom prst="rect">
                        <a:avLst/>
                      </a:prstGeom>
                      <a:noFill/>
                      <a:ln w="15875">
                        <a:noFill/>
                      </a:ln>
                    </wps:spPr>
                    <wps:txbx>
                      <w:txbxContent>
                        <w:p>
                          <w:pPr>
                            <w:pStyle w:val="867"/>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共7</w:t>
                          </w:r>
                          <w:r>
                            <w:rPr>
                              <w:rFonts w:hint="eastAsia" w:ascii="楷体" w:hAnsi="楷体" w:eastAsia="楷体" w:cs="楷体"/>
                              <w:szCs w:val="18"/>
                            </w:rPr>
                            <w:t xml:space="preserve">2</w:t>
                          </w:r>
                          <w:r>
                            <w:rPr>
                              <w:rFonts w:hint="eastAsia" w:ascii="楷体" w:hAnsi="楷体" w:eastAsia="楷体" w:cs="楷体"/>
                              <w:szCs w:val="18"/>
                            </w:rPr>
                            <w:t xml:space="preserve">页</w:t>
                          </w:r>
                          <w:r/>
                        </w:p>
                        <w:p>
                          <w:r/>
                          <w:r/>
                        </w:p>
                      </w:txbxContent>
                    </wps:txbx>
                    <wps:bodyPr wrap="square" lIns="0" tIns="0" rIns="0" bIns="0" upright="1"/>
                  </wps:wsp>
                </a:graphicData>
              </a:graphic>
            </wp:anchor>
          </w:drawing>
        </mc:Choice>
        <mc:Fallback>
          <w:pict>
            <v:shape id="shape 2" o:spid="_x0000_s2" o:spt="202" type="#_x0000_t202" style="position:absolute;z-index:251658752;o:allowoverlap:true;o:allowincell:true;mso-position-horizontal-relative:margin;mso-position-horizontal:right;mso-position-vertical-relative:text;margin-top:0.0pt;mso-position-vertical:absolute;width:82.2pt;height:13.0pt;mso-wrap-distance-left:9.0pt;mso-wrap-distance-top:0.0pt;mso-wrap-distance-right:9.0pt;mso-wrap-distance-bottom:0.0pt;visibility:visible;" filled="f" stroked="f" strokeweight="1.25pt">
              <v:textbox inset="0,0,0,0">
                <w:txbxContent>
                  <w:p>
                    <w:pPr>
                      <w:pStyle w:val="867"/>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共7</w:t>
                    </w:r>
                    <w:r>
                      <w:rPr>
                        <w:rFonts w:hint="eastAsia" w:ascii="楷体" w:hAnsi="楷体" w:eastAsia="楷体" w:cs="楷体"/>
                        <w:szCs w:val="18"/>
                      </w:rPr>
                      <w:t xml:space="preserve">2</w:t>
                    </w:r>
                    <w:r>
                      <w:rPr>
                        <w:rFonts w:hint="eastAsia" w:ascii="楷体" w:hAnsi="楷体" w:eastAsia="楷体" w:cs="楷体"/>
                        <w:szCs w:val="18"/>
                      </w:rPr>
                      <w:t xml:space="preserve">页</w:t>
                    </w:r>
                    <w:r/>
                  </w:p>
                  <w:p>
                    <w:r/>
                    <w:r/>
                  </w:p>
                </w:txbxContent>
              </v:textbox>
            </v:shape>
          </w:pict>
        </mc:Fallback>
      </mc:AlternateContent>
    </w:r>
    <w:r>
      <w:rPr>
        <w:rFonts w:hint="eastAsia" w:ascii="楷体" w:hAnsi="楷体" w:eastAsia="楷体" w:cs="楷体"/>
        <w:sz w:val="21"/>
        <w:szCs w:val="21"/>
      </w:rPr>
      <w:t xml:space="preserve">江苏驰驿招标代理有限公司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eastAsia="楷体_GB2312"/>
        <w:i/>
      </w:rPr>
    </w:pPr>
    <w:r>
      <w:rPr>
        <w:rFonts w:eastAsia="楷体_GB2312"/>
        <w:i/>
      </w:rPr>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Fonts w:eastAsia="宋体"/>
      </w:rPr>
      <w:pBdr>
        <w:bottom w:val="none" w:color="000000" w:sz="0" w:space="0"/>
      </w:pBdr>
    </w:pPr>
    <w:r>
      <w:rPr>
        <w:rFonts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1" locked="0" layoutInCell="1" allowOverlap="1">
              <wp:simplePos x="0" y="0"/>
              <wp:positionH relativeFrom="column">
                <wp:posOffset>5532120</wp:posOffset>
              </wp:positionH>
              <wp:positionV relativeFrom="paragraph">
                <wp:posOffset>-114300</wp:posOffset>
              </wp:positionV>
              <wp:extent cx="644525" cy="40640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64452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6704;o:allowoverlap:true;o:allowincell:true;mso-position-horizontal-relative:text;margin-left:435.6pt;mso-position-horizontal:absolute;mso-position-vertical-relative:text;margin-top:-9.0pt;mso-position-vertical:absolute;width:50.8pt;height:32.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机房及硬件维修维保服务竞争性磋商文件</w:t>
    </w:r>
    <w:r/>
  </w:p>
  <w:p>
    <w:pPr>
      <w:tabs>
        <w:tab w:val="left" w:pos="238" w:leader="none"/>
      </w:tabs>
      <w:rPr>
        <w:rFonts w:hint="eastAsia" w:ascii="楷体" w:hAnsi="楷体" w:eastAsia="楷体" w:cs="楷体"/>
        <w:iCs/>
      </w:rPr>
    </w:pP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97"/>
      <w:isLgl w:val="false"/>
      <w:suff w:val="tab"/>
      <w:lvlText w:val="%1"/>
      <w:lvlJc w:val="left"/>
      <w:pPr>
        <w:ind w:left="567" w:hanging="567"/>
        <w:tabs>
          <w:tab w:val="left" w:pos="567" w:leader="none"/>
        </w:tabs>
      </w:pPr>
      <w:rPr>
        <w:rFonts w:hint="eastAsia"/>
      </w:rPr>
    </w:lvl>
    <w:lvl w:ilvl="1">
      <w:start w:val="1"/>
      <w:numFmt w:val="decimal"/>
      <w:pStyle w:val="1341"/>
      <w:isLgl w:val="false"/>
      <w:suff w:val="tab"/>
      <w:lvlText w:val="%1.%2"/>
      <w:lvlJc w:val="left"/>
      <w:pPr>
        <w:ind w:left="567" w:hanging="283"/>
        <w:tabs>
          <w:tab w:val="left" w:pos="1004" w:leader="none"/>
        </w:tabs>
      </w:pPr>
      <w:rPr>
        <w:rFonts w:hint="eastAsia"/>
      </w:rPr>
    </w:lvl>
    <w:lvl w:ilvl="2">
      <w:start w:val="1"/>
      <w:numFmt w:val="decimal"/>
      <w:pStyle w:val="1340"/>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97"/>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4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212"/>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3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5"/>
  </w:num>
  <w:num w:numId="3">
    <w:abstractNumId w:val="6"/>
  </w:num>
  <w:num w:numId="4">
    <w:abstractNumId w:val="4"/>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5">
    <w:name w:val="Subtitle Char"/>
    <w:basedOn w:val="838"/>
    <w:link w:val="874"/>
    <w:uiPriority w:val="11"/>
    <w:rPr>
      <w:sz w:val="24"/>
      <w:szCs w:val="24"/>
    </w:rPr>
  </w:style>
  <w:style w:type="table" w:styleId="806">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5">
    <w:name w:val="Footnote Text Char"/>
    <w:link w:val="876"/>
    <w:uiPriority w:val="99"/>
    <w:rPr>
      <w:sz w:val="18"/>
    </w:rPr>
  </w:style>
  <w:style w:type="character" w:styleId="826">
    <w:name w:val="Endnote Text Char"/>
    <w:link w:val="865"/>
    <w:uiPriority w:val="99"/>
    <w:rPr>
      <w:sz w:val="20"/>
    </w:rPr>
  </w:style>
  <w:style w:type="paragraph" w:styleId="827">
    <w:name w:val="TOC Heading"/>
    <w:uiPriority w:val="39"/>
    <w:unhideWhenUsed/>
  </w:style>
  <w:style w:type="paragraph" w:styleId="828" w:default="1">
    <w:name w:val="Normal"/>
    <w:qFormat/>
    <w:pPr>
      <w:jc w:val="both"/>
      <w:widowControl w:val="off"/>
    </w:pPr>
    <w:rPr>
      <w:rFonts w:ascii="Calibri" w:hAnsi="Calibri" w:eastAsia="Calibri" w:cs="宋体"/>
      <w:lang w:val="zh-CN"/>
    </w:rPr>
  </w:style>
  <w:style w:type="paragraph" w:styleId="829">
    <w:name w:val="Heading 1"/>
    <w:basedOn w:val="828"/>
    <w:next w:val="828"/>
    <w:link w:val="1054"/>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830">
    <w:name w:val="Heading 2"/>
    <w:basedOn w:val="828"/>
    <w:next w:val="828"/>
    <w:link w:val="1055"/>
    <w:uiPriority w:val="9"/>
    <w:qFormat/>
    <w:pPr>
      <w:jc w:val="left"/>
      <w:keepLines/>
      <w:keepNext/>
      <w:spacing w:before="120" w:after="120"/>
      <w:outlineLvl w:val="1"/>
    </w:pPr>
    <w:rPr>
      <w:rFonts w:ascii="宋体" w:hAnsi="宋体" w:eastAsia="宋体" w:cs="Times New Roman"/>
      <w:b/>
      <w:sz w:val="21"/>
      <w:szCs w:val="24"/>
      <w:lang w:val="en-US"/>
    </w:rPr>
  </w:style>
  <w:style w:type="paragraph" w:styleId="831">
    <w:name w:val="Heading 3"/>
    <w:basedOn w:val="828"/>
    <w:next w:val="828"/>
    <w:link w:val="1056"/>
    <w:qFormat/>
    <w:pPr>
      <w:keepLines/>
      <w:keepNext/>
      <w:spacing w:line="390" w:lineRule="atLeast"/>
      <w:shd w:val="clear" w:color="auto" w:fill="ffffff"/>
      <w:outlineLvl w:val="2"/>
    </w:pPr>
    <w:rPr>
      <w:rFonts w:ascii="宋体" w:hAnsi="宋体" w:eastAsia="宋体" w:cs="Times New Roman"/>
      <w:b/>
      <w:sz w:val="21"/>
      <w:szCs w:val="21"/>
    </w:rPr>
  </w:style>
  <w:style w:type="paragraph" w:styleId="832">
    <w:name w:val="Heading 4"/>
    <w:basedOn w:val="828"/>
    <w:next w:val="828"/>
    <w:link w:val="1057"/>
    <w:qFormat/>
    <w:pPr>
      <w:keepLines/>
      <w:keepNext/>
      <w:spacing w:before="120" w:after="120"/>
      <w:outlineLvl w:val="3"/>
    </w:pPr>
    <w:rPr>
      <w:rFonts w:ascii="Arial" w:hAnsi="Arial" w:eastAsia="黑体" w:cs="Times New Roman"/>
      <w:b/>
      <w:sz w:val="28"/>
      <w:lang w:val="en-US"/>
    </w:rPr>
  </w:style>
  <w:style w:type="paragraph" w:styleId="833">
    <w:name w:val="Heading 5"/>
    <w:basedOn w:val="828"/>
    <w:next w:val="841"/>
    <w:link w:val="1058"/>
    <w:qFormat/>
    <w:pPr>
      <w:keepNext/>
      <w:spacing w:before="156" w:after="156"/>
      <w:outlineLvl w:val="4"/>
    </w:pPr>
    <w:rPr>
      <w:rFonts w:ascii="黑体" w:hAnsi="Times New Roman" w:eastAsia="黑体" w:cs="Times New Roman"/>
      <w:b/>
      <w:color w:val="000000"/>
      <w:sz w:val="28"/>
      <w:lang w:val="en-US"/>
    </w:rPr>
  </w:style>
  <w:style w:type="paragraph" w:styleId="834">
    <w:name w:val="Heading 6"/>
    <w:basedOn w:val="828"/>
    <w:next w:val="828"/>
    <w:link w:val="1059"/>
    <w:qFormat/>
    <w:pPr>
      <w:keepLines/>
      <w:keepNext/>
      <w:spacing w:before="240" w:after="64" w:line="320" w:lineRule="auto"/>
      <w:outlineLvl w:val="5"/>
    </w:pPr>
    <w:rPr>
      <w:rFonts w:ascii="Arial" w:hAnsi="Arial" w:eastAsia="黑体" w:cs="Times New Roman"/>
      <w:b/>
      <w:bCs/>
      <w:sz w:val="24"/>
      <w:szCs w:val="24"/>
      <w:lang w:val="en-US"/>
    </w:rPr>
  </w:style>
  <w:style w:type="paragraph" w:styleId="835">
    <w:name w:val="Heading 7"/>
    <w:basedOn w:val="828"/>
    <w:next w:val="828"/>
    <w:link w:val="1060"/>
    <w:uiPriority w:val="99"/>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836">
    <w:name w:val="Heading 8"/>
    <w:basedOn w:val="828"/>
    <w:next w:val="828"/>
    <w:link w:val="1061"/>
    <w:uiPriority w:val="99"/>
    <w:qFormat/>
    <w:pPr>
      <w:keepLines/>
      <w:keepNext/>
      <w:spacing w:before="240" w:after="64" w:line="320" w:lineRule="auto"/>
      <w:outlineLvl w:val="7"/>
    </w:pPr>
    <w:rPr>
      <w:rFonts w:ascii="Arial" w:hAnsi="Arial" w:eastAsia="黑体" w:cs="Times New Roman"/>
      <w:sz w:val="24"/>
      <w:szCs w:val="24"/>
      <w:lang w:val="en-US"/>
    </w:rPr>
  </w:style>
  <w:style w:type="paragraph" w:styleId="837">
    <w:name w:val="Heading 9"/>
    <w:basedOn w:val="828"/>
    <w:next w:val="828"/>
    <w:link w:val="1062"/>
    <w:uiPriority w:val="99"/>
    <w:qFormat/>
    <w:pPr>
      <w:keepLines/>
      <w:keepNext/>
      <w:spacing w:before="240" w:after="64" w:line="320" w:lineRule="auto"/>
      <w:outlineLvl w:val="8"/>
    </w:pPr>
    <w:rPr>
      <w:rFonts w:ascii="Arial" w:hAnsi="Arial" w:eastAsia="黑体" w:cs="Times New Roman"/>
      <w:sz w:val="21"/>
      <w:szCs w:val="21"/>
      <w:lang w:val="en-US"/>
    </w:rPr>
  </w:style>
  <w:style w:type="character" w:styleId="838" w:default="1">
    <w:name w:val="Default Paragraph Font"/>
    <w:uiPriority w:val="1"/>
    <w:semiHidden/>
    <w:unhideWhenUsed/>
  </w:style>
  <w:style w:type="table" w:styleId="839" w:default="1">
    <w:name w:val="Normal Table"/>
    <w:uiPriority w:val="99"/>
    <w:semiHidden/>
    <w:unhideWhenUsed/>
    <w:tblPr>
      <w:tblInd w:w="0" w:type="dxa"/>
      <w:tblCellMar>
        <w:left w:w="108" w:type="dxa"/>
        <w:top w:w="0" w:type="dxa"/>
        <w:right w:w="108" w:type="dxa"/>
        <w:bottom w:w="0" w:type="dxa"/>
      </w:tblCellMar>
    </w:tblPr>
  </w:style>
  <w:style w:type="numbering" w:styleId="840" w:default="1">
    <w:name w:val="No List"/>
    <w:uiPriority w:val="99"/>
    <w:semiHidden/>
    <w:unhideWhenUsed/>
  </w:style>
  <w:style w:type="paragraph" w:styleId="841">
    <w:name w:val="Normal Indent"/>
    <w:basedOn w:val="828"/>
    <w:link w:val="1140"/>
    <w:uiPriority w:val="99"/>
    <w:qFormat/>
    <w:pPr>
      <w:ind w:firstLine="420"/>
    </w:pPr>
    <w:rPr>
      <w:rFonts w:ascii="Times New Roman" w:hAnsi="Times New Roman" w:eastAsia="宋体" w:cs="Times New Roman"/>
    </w:rPr>
  </w:style>
  <w:style w:type="paragraph" w:styleId="842">
    <w:name w:val="List 3"/>
    <w:basedOn w:val="828"/>
    <w:uiPriority w:val="99"/>
    <w:qFormat/>
    <w:pPr>
      <w:ind w:left="1260" w:hanging="420"/>
    </w:pPr>
  </w:style>
  <w:style w:type="paragraph" w:styleId="843">
    <w:name w:val="toc 7"/>
    <w:basedOn w:val="828"/>
    <w:next w:val="828"/>
    <w:uiPriority w:val="99"/>
    <w:qFormat/>
    <w:pPr>
      <w:ind w:left="1260"/>
      <w:jc w:val="left"/>
    </w:pPr>
    <w:rPr>
      <w:sz w:val="18"/>
    </w:rPr>
  </w:style>
  <w:style w:type="paragraph" w:styleId="844">
    <w:name w:val="List Number 2"/>
    <w:basedOn w:val="828"/>
    <w:pPr>
      <w:ind w:left="1440" w:hanging="1440"/>
      <w:spacing w:line="360" w:lineRule="auto"/>
      <w:tabs>
        <w:tab w:val="left" w:pos="1440" w:leader="none"/>
      </w:tabs>
    </w:pPr>
    <w:rPr>
      <w:sz w:val="24"/>
      <w:szCs w:val="24"/>
    </w:rPr>
  </w:style>
  <w:style w:type="paragraph" w:styleId="845">
    <w:name w:val="index 8"/>
    <w:basedOn w:val="828"/>
    <w:next w:val="828"/>
    <w:semiHidden/>
    <w:pPr>
      <w:ind w:left="2940"/>
    </w:pPr>
  </w:style>
  <w:style w:type="paragraph" w:styleId="846">
    <w:name w:val="List Number"/>
    <w:basedOn w:val="828"/>
    <w:pPr>
      <w:ind w:left="2952" w:hanging="432"/>
      <w:tabs>
        <w:tab w:val="left" w:pos="2952" w:leader="none"/>
      </w:tabs>
    </w:pPr>
    <w:rPr>
      <w:szCs w:val="24"/>
    </w:rPr>
  </w:style>
  <w:style w:type="paragraph" w:styleId="847">
    <w:name w:val="Caption"/>
    <w:basedOn w:val="828"/>
    <w:next w:val="828"/>
    <w:uiPriority w:val="35"/>
    <w:semiHidden/>
    <w:unhideWhenUsed/>
    <w:qFormat/>
    <w:pPr>
      <w:spacing w:line="276" w:lineRule="auto"/>
    </w:pPr>
    <w:rPr>
      <w:b/>
      <w:bCs/>
      <w:color w:val="4f81bd" w:themeColor="accent1"/>
      <w:sz w:val="18"/>
      <w:szCs w:val="18"/>
    </w:rPr>
  </w:style>
  <w:style w:type="paragraph" w:styleId="848">
    <w:name w:val="index 5"/>
    <w:basedOn w:val="828"/>
    <w:next w:val="828"/>
    <w:semiHidden/>
    <w:pPr>
      <w:ind w:left="1680"/>
    </w:pPr>
  </w:style>
  <w:style w:type="paragraph" w:styleId="849">
    <w:name w:val="Document Map"/>
    <w:basedOn w:val="828"/>
    <w:link w:val="1063"/>
    <w:uiPriority w:val="99"/>
    <w:semiHidden/>
    <w:qFormat/>
    <w:pPr>
      <w:shd w:val="clear" w:color="auto" w:fill="000080"/>
    </w:pPr>
    <w:rPr>
      <w:rFonts w:ascii="Times New Roman" w:hAnsi="Times New Roman" w:eastAsia="宋体" w:cs="Times New Roman"/>
      <w:sz w:val="21"/>
      <w:lang w:val="en-US"/>
    </w:rPr>
  </w:style>
  <w:style w:type="paragraph" w:styleId="850">
    <w:name w:val="annotation text"/>
    <w:basedOn w:val="828"/>
    <w:link w:val="1064"/>
    <w:uiPriority w:val="99"/>
    <w:qFormat/>
    <w:pPr>
      <w:jc w:val="left"/>
    </w:pPr>
    <w:rPr>
      <w:rFonts w:ascii="Times New Roman" w:hAnsi="Times New Roman" w:eastAsia="宋体" w:cs="Times New Roman"/>
      <w:sz w:val="21"/>
      <w:lang w:val="en-US"/>
    </w:rPr>
  </w:style>
  <w:style w:type="paragraph" w:styleId="851">
    <w:name w:val="index 6"/>
    <w:basedOn w:val="828"/>
    <w:next w:val="828"/>
    <w:semiHidden/>
    <w:pPr>
      <w:ind w:left="2100"/>
    </w:pPr>
  </w:style>
  <w:style w:type="paragraph" w:styleId="852">
    <w:name w:val="Salutation"/>
    <w:basedOn w:val="828"/>
    <w:next w:val="828"/>
    <w:rPr>
      <w:rFonts w:ascii="仿宋_GB2312" w:eastAsia="仿宋_GB2312"/>
      <w:sz w:val="28"/>
    </w:rPr>
  </w:style>
  <w:style w:type="paragraph" w:styleId="853">
    <w:name w:val="Body Text 3"/>
    <w:basedOn w:val="828"/>
    <w:link w:val="1413"/>
    <w:uiPriority w:val="99"/>
    <w:qFormat/>
    <w:rPr>
      <w:rFonts w:ascii="仿宋_GB2312" w:hAnsi="Arial" w:eastAsia="仿宋_GB2312"/>
      <w:sz w:val="32"/>
    </w:rPr>
  </w:style>
  <w:style w:type="paragraph" w:styleId="854">
    <w:name w:val="Body Text"/>
    <w:basedOn w:val="828"/>
    <w:link w:val="1414"/>
    <w:uiPriority w:val="99"/>
    <w:qFormat/>
    <w:rPr>
      <w:rFonts w:ascii="楷体_GB2312" w:hAnsi="Arial" w:eastAsia="楷体_GB2312"/>
      <w:sz w:val="28"/>
    </w:rPr>
  </w:style>
  <w:style w:type="paragraph" w:styleId="855">
    <w:name w:val="Body Text Indent"/>
    <w:basedOn w:val="828"/>
    <w:link w:val="1065"/>
    <w:uiPriority w:val="99"/>
    <w:qFormat/>
    <w:pPr>
      <w:ind w:firstLine="645"/>
    </w:pPr>
    <w:rPr>
      <w:rFonts w:ascii="楷体_GB2312" w:hAnsi="Times New Roman" w:eastAsia="楷体_GB2312" w:cs="Times New Roman"/>
      <w:sz w:val="32"/>
      <w:lang w:val="en-US"/>
    </w:rPr>
  </w:style>
  <w:style w:type="paragraph" w:styleId="856">
    <w:name w:val="List 2"/>
    <w:basedOn w:val="828"/>
    <w:uiPriority w:val="99"/>
    <w:qFormat/>
    <w:pPr>
      <w:ind w:left="100" w:hanging="200"/>
    </w:pPr>
    <w:rPr>
      <w:rFonts w:ascii="Times New Roman" w:hAnsi="Times New Roman" w:eastAsia="宋体" w:cs="Times New Roman"/>
      <w:sz w:val="21"/>
      <w:szCs w:val="21"/>
      <w:lang w:val="en-US"/>
    </w:rPr>
  </w:style>
  <w:style w:type="paragraph" w:styleId="857">
    <w:name w:val="index 4"/>
    <w:basedOn w:val="828"/>
    <w:next w:val="828"/>
    <w:semiHidden/>
    <w:pPr>
      <w:ind w:left="1260"/>
    </w:pPr>
  </w:style>
  <w:style w:type="paragraph" w:styleId="858">
    <w:name w:val="toc 5"/>
    <w:basedOn w:val="828"/>
    <w:next w:val="828"/>
    <w:uiPriority w:val="99"/>
    <w:qFormat/>
    <w:pPr>
      <w:ind w:left="840"/>
      <w:jc w:val="left"/>
    </w:pPr>
    <w:rPr>
      <w:sz w:val="18"/>
    </w:rPr>
  </w:style>
  <w:style w:type="paragraph" w:styleId="859">
    <w:name w:val="toc 3"/>
    <w:basedOn w:val="828"/>
    <w:next w:val="828"/>
    <w:uiPriority w:val="99"/>
    <w:qFormat/>
    <w:pPr>
      <w:ind w:left="420"/>
      <w:jc w:val="left"/>
    </w:pPr>
    <w:rPr>
      <w:i/>
    </w:rPr>
  </w:style>
  <w:style w:type="paragraph" w:styleId="860">
    <w:name w:val="Plain Text"/>
    <w:basedOn w:val="828"/>
    <w:link w:val="1066"/>
    <w:uiPriority w:val="99"/>
    <w:qFormat/>
    <w:rPr>
      <w:rFonts w:ascii="宋体" w:hAnsi="Courier New" w:eastAsia="宋体" w:cs="Times New Roman"/>
      <w:sz w:val="21"/>
      <w:lang w:val="en-US"/>
    </w:rPr>
  </w:style>
  <w:style w:type="paragraph" w:styleId="861">
    <w:name w:val="toc 8"/>
    <w:basedOn w:val="828"/>
    <w:next w:val="828"/>
    <w:uiPriority w:val="99"/>
    <w:qFormat/>
    <w:pPr>
      <w:ind w:left="1470"/>
      <w:jc w:val="left"/>
    </w:pPr>
    <w:rPr>
      <w:sz w:val="18"/>
    </w:rPr>
  </w:style>
  <w:style w:type="paragraph" w:styleId="862">
    <w:name w:val="index 3"/>
    <w:basedOn w:val="828"/>
    <w:next w:val="828"/>
    <w:semiHidden/>
    <w:pPr>
      <w:ind w:left="840"/>
    </w:pPr>
  </w:style>
  <w:style w:type="paragraph" w:styleId="863">
    <w:name w:val="Date"/>
    <w:basedOn w:val="828"/>
    <w:next w:val="828"/>
    <w:link w:val="1415"/>
    <w:uiPriority w:val="99"/>
    <w:qFormat/>
    <w:pPr>
      <w:ind w:left="100"/>
    </w:pPr>
    <w:rPr>
      <w:sz w:val="28"/>
    </w:rPr>
  </w:style>
  <w:style w:type="paragraph" w:styleId="864">
    <w:name w:val="Body Text Indent 2"/>
    <w:basedOn w:val="828"/>
    <w:link w:val="1067"/>
    <w:uiPriority w:val="99"/>
    <w:qFormat/>
    <w:pPr>
      <w:ind w:left="630" w:firstLine="645"/>
    </w:pPr>
    <w:rPr>
      <w:rFonts w:ascii="Arial" w:hAnsi="Arial" w:eastAsia="仿宋_GB2312" w:cs="Times New Roman"/>
      <w:sz w:val="32"/>
      <w:lang w:val="en-US"/>
    </w:rPr>
  </w:style>
  <w:style w:type="paragraph" w:styleId="865">
    <w:name w:val="endnote text"/>
    <w:basedOn w:val="828"/>
    <w:link w:val="1052"/>
    <w:uiPriority w:val="99"/>
    <w:qFormat/>
    <w:pPr>
      <w:jc w:val="left"/>
    </w:pPr>
    <w:rPr>
      <w:szCs w:val="24"/>
    </w:rPr>
  </w:style>
  <w:style w:type="paragraph" w:styleId="866">
    <w:name w:val="Balloon Text"/>
    <w:basedOn w:val="828"/>
    <w:link w:val="1068"/>
    <w:uiPriority w:val="99"/>
    <w:semiHidden/>
    <w:qFormat/>
    <w:rPr>
      <w:rFonts w:cs="Times New Roman"/>
      <w:sz w:val="18"/>
      <w:szCs w:val="18"/>
    </w:rPr>
  </w:style>
  <w:style w:type="paragraph" w:styleId="867">
    <w:name w:val="Footer"/>
    <w:basedOn w:val="828"/>
    <w:link w:val="1069"/>
    <w:uiPriority w:val="99"/>
    <w:qFormat/>
    <w:pPr>
      <w:jc w:val="left"/>
      <w:tabs>
        <w:tab w:val="center" w:pos="4153" w:leader="none"/>
        <w:tab w:val="right" w:pos="8306" w:leader="none"/>
      </w:tabs>
    </w:pPr>
    <w:rPr>
      <w:rFonts w:ascii="Times New Roman" w:hAnsi="Times New Roman" w:eastAsia="宋体" w:cs="Times New Roman"/>
      <w:sz w:val="18"/>
    </w:rPr>
  </w:style>
  <w:style w:type="paragraph" w:styleId="868">
    <w:name w:val="Header"/>
    <w:basedOn w:val="828"/>
    <w:link w:val="1070"/>
    <w:uiPriority w:val="99"/>
    <w:qFormat/>
    <w:pPr>
      <w:jc w:val="center"/>
      <w:tabs>
        <w:tab w:val="center" w:pos="4153" w:leader="none"/>
        <w:tab w:val="right" w:pos="8306" w:leader="none"/>
      </w:tabs>
      <w:pBdr>
        <w:bottom w:val="single" w:color="000000" w:sz="6" w:space="1"/>
      </w:pBdr>
    </w:pPr>
    <w:rPr>
      <w:rFonts w:cs="Times New Roman"/>
      <w:sz w:val="18"/>
    </w:rPr>
  </w:style>
  <w:style w:type="paragraph" w:styleId="869">
    <w:name w:val="Signature"/>
    <w:basedOn w:val="828"/>
    <w:pPr>
      <w:jc w:val="center"/>
      <w:spacing w:after="600" w:line="312" w:lineRule="atLeast"/>
    </w:pPr>
    <w:rPr>
      <w:rFonts w:eastAsia="仿宋_GB2312"/>
      <w:sz w:val="24"/>
    </w:rPr>
  </w:style>
  <w:style w:type="paragraph" w:styleId="870">
    <w:name w:val="toc 1"/>
    <w:basedOn w:val="828"/>
    <w:next w:val="828"/>
    <w:uiPriority w:val="99"/>
    <w:qFormat/>
    <w:pPr>
      <w:jc w:val="left"/>
      <w:spacing w:before="120" w:after="120"/>
    </w:pPr>
    <w:rPr>
      <w:b/>
      <w:caps/>
    </w:rPr>
  </w:style>
  <w:style w:type="paragraph" w:styleId="871">
    <w:name w:val="toc 4"/>
    <w:basedOn w:val="828"/>
    <w:next w:val="828"/>
    <w:uiPriority w:val="99"/>
    <w:qFormat/>
    <w:pPr>
      <w:ind w:left="630"/>
      <w:jc w:val="left"/>
    </w:pPr>
    <w:rPr>
      <w:sz w:val="18"/>
    </w:rPr>
  </w:style>
  <w:style w:type="paragraph" w:styleId="872">
    <w:name w:val="index heading"/>
    <w:basedOn w:val="828"/>
    <w:next w:val="873"/>
    <w:semiHidden/>
  </w:style>
  <w:style w:type="paragraph" w:styleId="873">
    <w:name w:val="index 1"/>
    <w:basedOn w:val="828"/>
    <w:next w:val="828"/>
    <w:uiPriority w:val="99"/>
    <w:semiHidden/>
    <w:qFormat/>
    <w:rPr>
      <w:rFonts w:ascii="仿宋_GB2312" w:hAnsi="宋体" w:eastAsia="仿宋_GB2312"/>
      <w:sz w:val="30"/>
      <w:szCs w:val="24"/>
    </w:rPr>
  </w:style>
  <w:style w:type="paragraph" w:styleId="874">
    <w:name w:val="Subtitle"/>
    <w:basedOn w:val="828"/>
    <w:next w:val="828"/>
    <w:link w:val="918"/>
    <w:uiPriority w:val="11"/>
    <w:qFormat/>
    <w:pPr>
      <w:jc w:val="left"/>
      <w:spacing w:after="600" w:line="276" w:lineRule="auto"/>
      <w:widowControl/>
    </w:pPr>
    <w:rPr>
      <w:rFonts w:ascii="Cambria" w:hAnsi="Cambria"/>
      <w:i/>
      <w:iCs/>
      <w:spacing w:val="13"/>
      <w:sz w:val="24"/>
      <w:szCs w:val="24"/>
      <w:lang w:eastAsia="en-US" w:bidi="en-US"/>
    </w:rPr>
  </w:style>
  <w:style w:type="paragraph" w:styleId="875">
    <w:name w:val="List"/>
    <w:basedOn w:val="828"/>
    <w:uiPriority w:val="99"/>
    <w:qFormat/>
    <w:pPr>
      <w:ind w:left="200" w:hanging="200"/>
    </w:pPr>
    <w:rPr>
      <w:rFonts w:ascii="Times New Roman" w:hAnsi="Times New Roman" w:eastAsia="宋体" w:cs="Times New Roman"/>
      <w:sz w:val="21"/>
      <w:szCs w:val="21"/>
      <w:lang w:val="en-US"/>
    </w:rPr>
  </w:style>
  <w:style w:type="paragraph" w:styleId="876">
    <w:name w:val="footnote text"/>
    <w:basedOn w:val="828"/>
    <w:link w:val="1051"/>
    <w:uiPriority w:val="99"/>
    <w:qFormat/>
    <w:pPr>
      <w:jc w:val="left"/>
    </w:pPr>
    <w:rPr>
      <w:sz w:val="18"/>
      <w:szCs w:val="18"/>
    </w:rPr>
  </w:style>
  <w:style w:type="paragraph" w:styleId="877">
    <w:name w:val="toc 6"/>
    <w:basedOn w:val="828"/>
    <w:next w:val="828"/>
    <w:uiPriority w:val="99"/>
    <w:qFormat/>
    <w:pPr>
      <w:ind w:left="1050"/>
      <w:jc w:val="left"/>
    </w:pPr>
    <w:rPr>
      <w:sz w:val="18"/>
    </w:rPr>
  </w:style>
  <w:style w:type="paragraph" w:styleId="878">
    <w:name w:val="Body Text Indent 3"/>
    <w:basedOn w:val="828"/>
    <w:link w:val="1071"/>
    <w:uiPriority w:val="99"/>
    <w:qFormat/>
    <w:pPr>
      <w:ind w:firstLine="504"/>
      <w:spacing w:line="360" w:lineRule="auto"/>
      <w:tabs>
        <w:tab w:val="left" w:pos="0" w:leader="none"/>
      </w:tabs>
    </w:pPr>
    <w:rPr>
      <w:rFonts w:ascii="宋体"/>
      <w:b/>
      <w:bCs/>
      <w:sz w:val="24"/>
      <w:szCs w:val="24"/>
    </w:rPr>
  </w:style>
  <w:style w:type="paragraph" w:styleId="879">
    <w:name w:val="index 7"/>
    <w:basedOn w:val="828"/>
    <w:next w:val="828"/>
    <w:semiHidden/>
    <w:pPr>
      <w:ind w:left="2520"/>
    </w:pPr>
  </w:style>
  <w:style w:type="paragraph" w:styleId="880">
    <w:name w:val="index 9"/>
    <w:basedOn w:val="828"/>
    <w:next w:val="828"/>
    <w:semiHidden/>
    <w:pPr>
      <w:ind w:left="3360"/>
    </w:pPr>
  </w:style>
  <w:style w:type="paragraph" w:styleId="881">
    <w:name w:val="table of figures"/>
    <w:basedOn w:val="828"/>
    <w:next w:val="828"/>
    <w:uiPriority w:val="99"/>
    <w:semiHidden/>
    <w:qFormat/>
    <w:pPr>
      <w:ind w:left="840" w:hanging="420"/>
    </w:pPr>
  </w:style>
  <w:style w:type="paragraph" w:styleId="882">
    <w:name w:val="toc 2"/>
    <w:basedOn w:val="828"/>
    <w:next w:val="828"/>
    <w:uiPriority w:val="99"/>
    <w:qFormat/>
    <w:pPr>
      <w:ind w:left="210"/>
      <w:jc w:val="left"/>
    </w:pPr>
    <w:rPr>
      <w:smallCaps/>
    </w:rPr>
  </w:style>
  <w:style w:type="paragraph" w:styleId="883">
    <w:name w:val="toc 9"/>
    <w:basedOn w:val="828"/>
    <w:next w:val="828"/>
    <w:uiPriority w:val="99"/>
    <w:qFormat/>
    <w:pPr>
      <w:ind w:left="1680"/>
      <w:jc w:val="left"/>
    </w:pPr>
    <w:rPr>
      <w:sz w:val="18"/>
    </w:rPr>
  </w:style>
  <w:style w:type="paragraph" w:styleId="884">
    <w:name w:val="Body Text 2"/>
    <w:basedOn w:val="828"/>
    <w:link w:val="1416"/>
    <w:uiPriority w:val="99"/>
    <w:qFormat/>
    <w:pPr>
      <w:ind w:left="720" w:hanging="720"/>
      <w:widowControl/>
    </w:pPr>
    <w:rPr>
      <w:sz w:val="24"/>
      <w:lang w:val="en-GB"/>
    </w:rPr>
  </w:style>
  <w:style w:type="paragraph" w:styleId="885">
    <w:name w:val="HTML Preformatted"/>
    <w:basedOn w:val="828"/>
    <w:link w:val="107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paragraph" w:styleId="886">
    <w:name w:val="Normal (Web)"/>
    <w:basedOn w:val="828"/>
    <w:qFormat/>
    <w:pPr>
      <w:jc w:val="left"/>
      <w:spacing w:before="100" w:beforeAutospacing="1" w:after="100" w:afterAutospacing="1"/>
      <w:widowControl/>
    </w:pPr>
    <w:rPr>
      <w:rFonts w:ascii="Arial" w:hAnsi="Arial" w:eastAsia="Arial Unicode MS" w:cs="Arial"/>
      <w:sz w:val="24"/>
      <w:szCs w:val="24"/>
    </w:rPr>
  </w:style>
  <w:style w:type="paragraph" w:styleId="887">
    <w:name w:val="index 2"/>
    <w:basedOn w:val="828"/>
    <w:next w:val="828"/>
    <w:semiHidden/>
    <w:pPr>
      <w:ind w:left="420"/>
    </w:pPr>
  </w:style>
  <w:style w:type="paragraph" w:styleId="888">
    <w:name w:val="Title"/>
    <w:basedOn w:val="828"/>
    <w:next w:val="828"/>
    <w:link w:val="1073"/>
    <w:uiPriority w:val="10"/>
    <w:qFormat/>
    <w:pPr>
      <w:jc w:val="center"/>
      <w:spacing w:line="420" w:lineRule="exact"/>
      <w:widowControl/>
    </w:pPr>
    <w:rPr>
      <w:rFonts w:ascii="Times New Roman" w:hAnsi="Times New Roman" w:eastAsia="黑体" w:cs="Times New Roman"/>
      <w:b/>
      <w:sz w:val="28"/>
      <w:lang w:val="en-GB"/>
    </w:rPr>
  </w:style>
  <w:style w:type="paragraph" w:styleId="889">
    <w:name w:val="annotation subject"/>
    <w:basedOn w:val="850"/>
    <w:next w:val="850"/>
    <w:link w:val="1074"/>
    <w:uiPriority w:val="99"/>
    <w:semiHidden/>
    <w:qFormat/>
    <w:rPr>
      <w:b/>
      <w:bCs/>
    </w:rPr>
  </w:style>
  <w:style w:type="paragraph" w:styleId="890">
    <w:name w:val="Body Text First Indent"/>
    <w:basedOn w:val="854"/>
    <w:link w:val="1417"/>
    <w:uiPriority w:val="99"/>
    <w:qFormat/>
    <w:pPr>
      <w:ind w:firstLine="420"/>
      <w:spacing w:after="120"/>
    </w:pPr>
    <w:rPr>
      <w:rFonts w:ascii="Times New Roman" w:hAnsi="Times New Roman" w:eastAsia="宋体"/>
      <w:sz w:val="21"/>
      <w:szCs w:val="24"/>
    </w:rPr>
  </w:style>
  <w:style w:type="paragraph" w:styleId="891">
    <w:name w:val="Body Text First Indent 2"/>
    <w:basedOn w:val="855"/>
    <w:link w:val="1392"/>
    <w:uiPriority w:val="99"/>
    <w:qFormat/>
    <w:pPr>
      <w:ind w:firstLine="420"/>
      <w:spacing w:line="360" w:lineRule="auto"/>
    </w:pPr>
    <w:rPr>
      <w:rFonts w:ascii="宋体" w:hAnsi="宋体" w:eastAsia="宋体"/>
      <w:sz w:val="21"/>
    </w:rPr>
  </w:style>
  <w:style w:type="table" w:styleId="892">
    <w:name w:val="Table Grid"/>
    <w:basedOn w:val="83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name w:val="Strong"/>
    <w:qFormat/>
    <w:rPr>
      <w:b/>
      <w:bCs/>
    </w:rPr>
  </w:style>
  <w:style w:type="character" w:styleId="894">
    <w:name w:val="endnote reference"/>
    <w:uiPriority w:val="99"/>
    <w:qFormat/>
    <w:rPr>
      <w:vertAlign w:val="superscript"/>
    </w:rPr>
  </w:style>
  <w:style w:type="character" w:styleId="895">
    <w:name w:val="page number"/>
    <w:qFormat/>
  </w:style>
  <w:style w:type="character" w:styleId="896">
    <w:name w:val="FollowedHyperlink"/>
    <w:qFormat/>
    <w:rPr>
      <w:color w:val="800080"/>
      <w:u w:val="single"/>
    </w:rPr>
  </w:style>
  <w:style w:type="character" w:styleId="897">
    <w:name w:val="Emphasis"/>
    <w:qFormat/>
    <w:rPr>
      <w:b/>
      <w:bCs/>
      <w:i/>
      <w:iCs/>
      <w:spacing w:val="10"/>
      <w:shd w:val="clear" w:color="auto" w:fill="auto"/>
    </w:rPr>
  </w:style>
  <w:style w:type="character" w:styleId="898">
    <w:name w:val="line number"/>
  </w:style>
  <w:style w:type="character" w:styleId="899">
    <w:name w:val="HTML Definition"/>
    <w:uiPriority w:val="99"/>
    <w:unhideWhenUsed/>
  </w:style>
  <w:style w:type="character" w:styleId="900">
    <w:name w:val="HTML Typewriter"/>
    <w:rPr>
      <w:rFonts w:ascii="宋体" w:hAnsi="宋体" w:eastAsia="宋体" w:cs="宋体"/>
      <w:sz w:val="24"/>
      <w:szCs w:val="24"/>
    </w:rPr>
  </w:style>
  <w:style w:type="character" w:styleId="901">
    <w:name w:val="HTML Variable"/>
    <w:uiPriority w:val="99"/>
    <w:unhideWhenUsed/>
  </w:style>
  <w:style w:type="character" w:styleId="902">
    <w:name w:val="Hyperlink"/>
    <w:qFormat/>
    <w:rPr>
      <w:color w:val="0000ff"/>
      <w:u w:val="single"/>
    </w:rPr>
  </w:style>
  <w:style w:type="character" w:styleId="903">
    <w:name w:val="HTML Code"/>
    <w:uiPriority w:val="99"/>
    <w:unhideWhenUsed/>
    <w:rPr>
      <w:rFonts w:ascii="Courier New" w:hAnsi="Courier New"/>
      <w:sz w:val="20"/>
    </w:rPr>
  </w:style>
  <w:style w:type="character" w:styleId="904">
    <w:name w:val="annotation reference"/>
    <w:uiPriority w:val="99"/>
    <w:qFormat/>
    <w:rPr>
      <w:sz w:val="21"/>
    </w:rPr>
  </w:style>
  <w:style w:type="character" w:styleId="905">
    <w:name w:val="HTML Cite"/>
    <w:uiPriority w:val="99"/>
    <w:unhideWhenUsed/>
  </w:style>
  <w:style w:type="character" w:styleId="906">
    <w:name w:val="footnote reference"/>
    <w:uiPriority w:val="99"/>
    <w:qFormat/>
    <w:rPr>
      <w:vertAlign w:val="superscript"/>
    </w:rPr>
  </w:style>
  <w:style w:type="character" w:styleId="907">
    <w:name w:val="HTML Sample"/>
    <w:rPr>
      <w:rFonts w:ascii="Courier New" w:hAnsi="宋体" w:eastAsia="宋体" w:cs="Courier New"/>
    </w:rPr>
  </w:style>
  <w:style w:type="character" w:styleId="908" w:customStyle="1">
    <w:name w:val="Heading 1 Char"/>
    <w:uiPriority w:val="9"/>
    <w:qFormat/>
    <w:rPr>
      <w:rFonts w:ascii="Arial" w:hAnsi="Arial" w:eastAsia="Arial" w:cs="Arial"/>
      <w:sz w:val="40"/>
      <w:szCs w:val="40"/>
    </w:rPr>
  </w:style>
  <w:style w:type="character" w:styleId="909" w:customStyle="1">
    <w:name w:val="Heading 2 Char"/>
    <w:uiPriority w:val="9"/>
    <w:qFormat/>
    <w:rPr>
      <w:rFonts w:ascii="Arial" w:hAnsi="Arial" w:eastAsia="Arial" w:cs="Arial"/>
      <w:sz w:val="34"/>
    </w:rPr>
  </w:style>
  <w:style w:type="character" w:styleId="910" w:customStyle="1">
    <w:name w:val="Heading 3 Char"/>
    <w:uiPriority w:val="9"/>
    <w:qFormat/>
    <w:rPr>
      <w:rFonts w:ascii="Arial" w:hAnsi="Arial" w:eastAsia="Arial" w:cs="Arial"/>
      <w:sz w:val="30"/>
      <w:szCs w:val="30"/>
    </w:rPr>
  </w:style>
  <w:style w:type="character" w:styleId="911" w:customStyle="1">
    <w:name w:val="Heading 4 Char"/>
    <w:uiPriority w:val="9"/>
    <w:qFormat/>
    <w:rPr>
      <w:rFonts w:ascii="Arial" w:hAnsi="Arial" w:eastAsia="Arial" w:cs="Arial"/>
      <w:b/>
      <w:bCs/>
      <w:sz w:val="26"/>
      <w:szCs w:val="26"/>
    </w:rPr>
  </w:style>
  <w:style w:type="character" w:styleId="912" w:customStyle="1">
    <w:name w:val="Heading 5 Char"/>
    <w:uiPriority w:val="9"/>
    <w:qFormat/>
    <w:rPr>
      <w:rFonts w:ascii="Arial" w:hAnsi="Arial" w:eastAsia="Arial" w:cs="Arial"/>
      <w:b/>
      <w:bCs/>
      <w:sz w:val="24"/>
      <w:szCs w:val="24"/>
    </w:rPr>
  </w:style>
  <w:style w:type="character" w:styleId="913" w:customStyle="1">
    <w:name w:val="Heading 6 Char"/>
    <w:uiPriority w:val="9"/>
    <w:qFormat/>
    <w:rPr>
      <w:rFonts w:ascii="Arial" w:hAnsi="Arial" w:eastAsia="Arial" w:cs="Arial"/>
      <w:b/>
      <w:bCs/>
      <w:sz w:val="22"/>
      <w:szCs w:val="22"/>
    </w:rPr>
  </w:style>
  <w:style w:type="character" w:styleId="914" w:customStyle="1">
    <w:name w:val="Heading 7 Char"/>
    <w:uiPriority w:val="9"/>
    <w:qFormat/>
    <w:rPr>
      <w:rFonts w:ascii="Arial" w:hAnsi="Arial" w:eastAsia="Arial" w:cs="Arial"/>
      <w:b/>
      <w:bCs/>
      <w:i/>
      <w:iCs/>
      <w:sz w:val="22"/>
      <w:szCs w:val="22"/>
    </w:rPr>
  </w:style>
  <w:style w:type="character" w:styleId="915" w:customStyle="1">
    <w:name w:val="Heading 8 Char"/>
    <w:uiPriority w:val="9"/>
    <w:qFormat/>
    <w:rPr>
      <w:rFonts w:ascii="Arial" w:hAnsi="Arial" w:eastAsia="Arial" w:cs="Arial"/>
      <w:i/>
      <w:iCs/>
      <w:sz w:val="22"/>
      <w:szCs w:val="22"/>
    </w:rPr>
  </w:style>
  <w:style w:type="character" w:styleId="916" w:customStyle="1">
    <w:name w:val="Heading 9 Char"/>
    <w:uiPriority w:val="9"/>
    <w:qFormat/>
    <w:rPr>
      <w:rFonts w:ascii="Arial" w:hAnsi="Arial" w:eastAsia="Arial" w:cs="Arial"/>
      <w:i/>
      <w:iCs/>
      <w:sz w:val="21"/>
      <w:szCs w:val="21"/>
    </w:rPr>
  </w:style>
  <w:style w:type="character" w:styleId="917" w:customStyle="1">
    <w:name w:val="Title Char"/>
    <w:uiPriority w:val="10"/>
    <w:rPr>
      <w:sz w:val="48"/>
      <w:szCs w:val="48"/>
    </w:rPr>
  </w:style>
  <w:style w:type="character" w:styleId="918" w:customStyle="1">
    <w:name w:val="副标题 字符"/>
    <w:link w:val="874"/>
    <w:uiPriority w:val="11"/>
    <w:qFormat/>
    <w:rPr>
      <w:sz w:val="24"/>
      <w:szCs w:val="24"/>
    </w:rPr>
  </w:style>
  <w:style w:type="paragraph" w:styleId="919">
    <w:name w:val="Quote"/>
    <w:basedOn w:val="828"/>
    <w:next w:val="828"/>
    <w:link w:val="1113"/>
    <w:uiPriority w:val="29"/>
    <w:qFormat/>
    <w:pPr>
      <w:ind w:left="360" w:right="360"/>
      <w:jc w:val="left"/>
      <w:spacing w:before="200" w:line="276" w:lineRule="auto"/>
      <w:widowControl/>
    </w:pPr>
    <w:rPr>
      <w:rFonts w:eastAsia="宋体" w:cs="Times New Roman"/>
      <w:i/>
      <w:iCs/>
      <w:sz w:val="22"/>
      <w:szCs w:val="22"/>
      <w:lang w:val="en-US" w:eastAsia="en-US" w:bidi="en-US"/>
    </w:rPr>
  </w:style>
  <w:style w:type="character" w:styleId="920" w:customStyle="1">
    <w:name w:val="Quote Char"/>
    <w:uiPriority w:val="29"/>
    <w:qFormat/>
    <w:rPr>
      <w:i/>
    </w:rPr>
  </w:style>
  <w:style w:type="paragraph" w:styleId="921">
    <w:name w:val="Intense Quote"/>
    <w:basedOn w:val="828"/>
    <w:next w:val="828"/>
    <w:link w:val="1093"/>
    <w:uiPriority w:val="3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922" w:customStyle="1">
    <w:name w:val="Intense Quote Char"/>
    <w:uiPriority w:val="30"/>
    <w:rPr>
      <w:i/>
    </w:rPr>
  </w:style>
  <w:style w:type="character" w:styleId="923" w:customStyle="1">
    <w:name w:val="Header Char"/>
    <w:uiPriority w:val="99"/>
    <w:qFormat/>
  </w:style>
  <w:style w:type="character" w:styleId="924" w:customStyle="1">
    <w:name w:val="Footer Char"/>
    <w:uiPriority w:val="99"/>
    <w:qFormat/>
  </w:style>
  <w:style w:type="character" w:styleId="925" w:customStyle="1">
    <w:name w:val="Caption Char"/>
    <w:uiPriority w:val="99"/>
    <w:qFormat/>
  </w:style>
  <w:style w:type="table" w:styleId="926"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27"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5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57"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2"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3"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4"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7"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7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4"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1"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9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1"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1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13"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6"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1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1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3"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4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脚注文本 字符"/>
    <w:link w:val="876"/>
    <w:uiPriority w:val="99"/>
    <w:qFormat/>
    <w:rPr>
      <w:sz w:val="18"/>
    </w:rPr>
  </w:style>
  <w:style w:type="character" w:styleId="1052" w:customStyle="1">
    <w:name w:val="尾注文本 字符"/>
    <w:link w:val="865"/>
    <w:uiPriority w:val="99"/>
    <w:qFormat/>
    <w:rPr>
      <w:sz w:val="20"/>
    </w:rPr>
  </w:style>
  <w:style w:type="paragraph" w:styleId="1053" w:customStyle="1">
    <w:name w:val="TOC 标题1"/>
    <w:uiPriority w:val="39"/>
    <w:unhideWhenUsed/>
  </w:style>
  <w:style w:type="character" w:styleId="1054" w:customStyle="1">
    <w:name w:val="标题 1 字符"/>
    <w:link w:val="829"/>
    <w:qFormat/>
    <w:rPr>
      <w:rFonts w:ascii="黑体" w:eastAsia="黑体"/>
      <w:b/>
      <w:sz w:val="24"/>
      <w:szCs w:val="28"/>
      <w:lang w:val="en-US" w:eastAsia="zh-CN" w:bidi="ar-SA"/>
    </w:rPr>
  </w:style>
  <w:style w:type="character" w:styleId="1055" w:customStyle="1">
    <w:name w:val="标题 2 字符"/>
    <w:link w:val="830"/>
    <w:uiPriority w:val="9"/>
    <w:qFormat/>
    <w:rPr>
      <w:rFonts w:ascii="宋体" w:hAnsi="宋体" w:eastAsia="宋体"/>
      <w:b/>
      <w:sz w:val="21"/>
      <w:szCs w:val="24"/>
      <w:lang w:val="en-US" w:eastAsia="zh-CN" w:bidi="ar-SA"/>
    </w:rPr>
  </w:style>
  <w:style w:type="character" w:styleId="1056" w:customStyle="1">
    <w:name w:val="标题 3 字符"/>
    <w:link w:val="831"/>
    <w:qFormat/>
    <w:rPr>
      <w:rFonts w:ascii="宋体" w:hAnsi="宋体" w:eastAsia="宋体"/>
      <w:b/>
      <w:sz w:val="21"/>
      <w:szCs w:val="21"/>
      <w:shd w:val="clear" w:color="auto" w:fill="ffffff"/>
    </w:rPr>
  </w:style>
  <w:style w:type="character" w:styleId="1057" w:customStyle="1">
    <w:name w:val="标题 4 字符"/>
    <w:link w:val="832"/>
    <w:qFormat/>
    <w:rPr>
      <w:rFonts w:ascii="Arial" w:hAnsi="Arial" w:eastAsia="黑体"/>
      <w:b/>
      <w:sz w:val="28"/>
      <w:lang w:val="en-US" w:eastAsia="zh-CN" w:bidi="ar-SA"/>
    </w:rPr>
  </w:style>
  <w:style w:type="character" w:styleId="1058" w:customStyle="1">
    <w:name w:val="标题 5 字符"/>
    <w:link w:val="833"/>
    <w:qFormat/>
    <w:rPr>
      <w:rFonts w:ascii="黑体" w:eastAsia="黑体"/>
      <w:b/>
      <w:color w:val="000000"/>
      <w:sz w:val="28"/>
      <w:lang w:val="en-US" w:eastAsia="zh-CN" w:bidi="ar-SA"/>
    </w:rPr>
  </w:style>
  <w:style w:type="character" w:styleId="1059" w:customStyle="1">
    <w:name w:val="标题 6 字符"/>
    <w:link w:val="834"/>
    <w:qFormat/>
    <w:rPr>
      <w:rFonts w:ascii="Arial" w:hAnsi="Arial" w:eastAsia="黑体"/>
      <w:b/>
      <w:bCs/>
      <w:sz w:val="24"/>
      <w:szCs w:val="24"/>
      <w:lang w:val="en-US" w:eastAsia="zh-CN" w:bidi="ar-SA"/>
    </w:rPr>
  </w:style>
  <w:style w:type="character" w:styleId="1060" w:customStyle="1">
    <w:name w:val="标题 7 字符"/>
    <w:link w:val="835"/>
    <w:uiPriority w:val="99"/>
    <w:qFormat/>
    <w:rPr>
      <w:rFonts w:eastAsia="宋体"/>
      <w:b/>
      <w:bCs/>
      <w:sz w:val="24"/>
      <w:szCs w:val="24"/>
      <w:lang w:val="en-US" w:eastAsia="zh-CN" w:bidi="ar-SA"/>
    </w:rPr>
  </w:style>
  <w:style w:type="character" w:styleId="1061" w:customStyle="1">
    <w:name w:val="标题 8 字符"/>
    <w:link w:val="836"/>
    <w:uiPriority w:val="99"/>
    <w:qFormat/>
    <w:rPr>
      <w:rFonts w:ascii="Arial" w:hAnsi="Arial" w:eastAsia="黑体"/>
      <w:sz w:val="24"/>
      <w:szCs w:val="24"/>
      <w:lang w:val="en-US" w:eastAsia="zh-CN" w:bidi="ar-SA"/>
    </w:rPr>
  </w:style>
  <w:style w:type="character" w:styleId="1062" w:customStyle="1">
    <w:name w:val="标题 9 字符"/>
    <w:link w:val="837"/>
    <w:uiPriority w:val="99"/>
    <w:qFormat/>
    <w:rPr>
      <w:rFonts w:ascii="Arial" w:hAnsi="Arial" w:eastAsia="黑体"/>
      <w:sz w:val="21"/>
      <w:szCs w:val="21"/>
      <w:lang w:val="en-US" w:eastAsia="zh-CN" w:bidi="ar-SA"/>
    </w:rPr>
  </w:style>
  <w:style w:type="character" w:styleId="1063" w:customStyle="1">
    <w:name w:val="文档结构图 字符"/>
    <w:link w:val="849"/>
    <w:uiPriority w:val="99"/>
    <w:qFormat/>
    <w:rPr>
      <w:rFonts w:eastAsia="宋体"/>
      <w:sz w:val="21"/>
      <w:lang w:val="en-US" w:eastAsia="zh-CN" w:bidi="ar-SA"/>
    </w:rPr>
  </w:style>
  <w:style w:type="character" w:styleId="1064" w:customStyle="1">
    <w:name w:val="批注文字 字符"/>
    <w:link w:val="850"/>
    <w:uiPriority w:val="99"/>
    <w:qFormat/>
    <w:rPr>
      <w:rFonts w:eastAsia="宋体"/>
      <w:sz w:val="21"/>
      <w:lang w:val="en-US" w:eastAsia="zh-CN" w:bidi="ar-SA"/>
    </w:rPr>
  </w:style>
  <w:style w:type="character" w:styleId="1065" w:customStyle="1">
    <w:name w:val="正文文本缩进 字符"/>
    <w:link w:val="855"/>
    <w:uiPriority w:val="99"/>
    <w:qFormat/>
    <w:rPr>
      <w:rFonts w:ascii="楷体_GB2312" w:eastAsia="楷体_GB2312"/>
      <w:sz w:val="32"/>
      <w:lang w:val="en-US" w:eastAsia="zh-CN" w:bidi="ar-SA"/>
    </w:rPr>
  </w:style>
  <w:style w:type="character" w:styleId="1066" w:customStyle="1">
    <w:name w:val="纯文本 字符"/>
    <w:link w:val="860"/>
    <w:uiPriority w:val="99"/>
    <w:qFormat/>
    <w:rPr>
      <w:rFonts w:ascii="宋体" w:hAnsi="Courier New" w:eastAsia="宋体"/>
      <w:sz w:val="21"/>
      <w:lang w:val="en-US" w:eastAsia="zh-CN" w:bidi="ar-SA"/>
    </w:rPr>
  </w:style>
  <w:style w:type="character" w:styleId="1067" w:customStyle="1">
    <w:name w:val="正文文本缩进 2 字符"/>
    <w:link w:val="864"/>
    <w:uiPriority w:val="99"/>
    <w:qFormat/>
    <w:rPr>
      <w:rFonts w:ascii="Arial" w:hAnsi="Arial" w:eastAsia="仿宋_GB2312"/>
      <w:sz w:val="32"/>
      <w:lang w:val="en-US" w:eastAsia="zh-CN" w:bidi="ar-SA"/>
    </w:rPr>
  </w:style>
  <w:style w:type="character" w:styleId="1068" w:customStyle="1">
    <w:name w:val="批注框文本 字符"/>
    <w:link w:val="866"/>
    <w:uiPriority w:val="99"/>
    <w:semiHidden/>
    <w:qFormat/>
    <w:rPr>
      <w:rFonts w:ascii="Calibri" w:hAnsi="Calibri" w:eastAsia="Calibri" w:cs="宋体"/>
      <w:sz w:val="18"/>
      <w:szCs w:val="18"/>
      <w:lang w:val="zh-CN"/>
    </w:rPr>
  </w:style>
  <w:style w:type="character" w:styleId="1069" w:customStyle="1">
    <w:name w:val="页脚 字符"/>
    <w:link w:val="867"/>
    <w:uiPriority w:val="99"/>
    <w:qFormat/>
    <w:rPr>
      <w:sz w:val="18"/>
    </w:rPr>
  </w:style>
  <w:style w:type="character" w:styleId="1070" w:customStyle="1">
    <w:name w:val="页眉 字符"/>
    <w:link w:val="868"/>
    <w:uiPriority w:val="99"/>
    <w:qFormat/>
    <w:rPr>
      <w:rFonts w:ascii="Calibri" w:hAnsi="Calibri" w:eastAsia="Calibri" w:cs="宋体"/>
      <w:sz w:val="18"/>
      <w:lang w:val="zh-CN"/>
    </w:rPr>
  </w:style>
  <w:style w:type="character" w:styleId="1071" w:customStyle="1">
    <w:name w:val="正文文本缩进 3 字符"/>
    <w:link w:val="878"/>
    <w:uiPriority w:val="99"/>
    <w:qFormat/>
    <w:rPr>
      <w:rFonts w:ascii="Arial" w:hAnsi="Arial" w:eastAsia="仿宋_GB2312"/>
      <w:color w:val="ffff00"/>
      <w:sz w:val="32"/>
      <w:lang w:val="en-US" w:eastAsia="zh-CN" w:bidi="ar-SA"/>
    </w:rPr>
  </w:style>
  <w:style w:type="character" w:styleId="1072" w:customStyle="1">
    <w:name w:val="HTML 预设格式 字符"/>
    <w:link w:val="885"/>
    <w:rPr>
      <w:rFonts w:ascii="黑体" w:hAnsi="Courier New" w:eastAsia="黑体" w:cs="Courier New"/>
      <w:lang w:val="en-US" w:eastAsia="zh-CN" w:bidi="ar-SA"/>
    </w:rPr>
  </w:style>
  <w:style w:type="character" w:styleId="1073" w:customStyle="1">
    <w:name w:val="标题 字符"/>
    <w:link w:val="888"/>
    <w:uiPriority w:val="10"/>
    <w:qFormat/>
    <w:rPr>
      <w:rFonts w:eastAsia="黑体"/>
      <w:b/>
      <w:sz w:val="28"/>
      <w:lang w:val="en-GB" w:eastAsia="zh-CN" w:bidi="ar-SA"/>
    </w:rPr>
  </w:style>
  <w:style w:type="character" w:styleId="1074" w:customStyle="1">
    <w:name w:val="批注主题 字符"/>
    <w:link w:val="889"/>
    <w:uiPriority w:val="99"/>
    <w:qFormat/>
    <w:rPr>
      <w:rFonts w:eastAsia="宋体"/>
      <w:b/>
      <w:bCs/>
      <w:sz w:val="21"/>
      <w:lang w:val="en-US" w:eastAsia="zh-CN" w:bidi="ar-SA"/>
    </w:rPr>
  </w:style>
  <w:style w:type="paragraph" w:styleId="1075">
    <w:name w:val="List Paragraph"/>
    <w:basedOn w:val="828"/>
    <w:link w:val="1076"/>
    <w:uiPriority w:val="99"/>
    <w:qFormat/>
    <w:pPr>
      <w:contextualSpacing/>
      <w:ind w:left="720"/>
      <w:jc w:val="left"/>
      <w:widowControl/>
    </w:pPr>
    <w:rPr>
      <w:rFonts w:ascii="Arial" w:hAnsi="Arial" w:eastAsia="黑体"/>
      <w:sz w:val="24"/>
      <w:szCs w:val="24"/>
      <w:lang w:eastAsia="en-US"/>
    </w:rPr>
  </w:style>
  <w:style w:type="character" w:styleId="1076" w:customStyle="1">
    <w:name w:val="列表段落 字符"/>
    <w:link w:val="1075"/>
    <w:uiPriority w:val="34"/>
    <w:qFormat/>
    <w:rPr>
      <w:rFonts w:ascii="Calibri" w:hAnsi="Calibri" w:eastAsia="Calibri" w:cs="宋体"/>
      <w:szCs w:val="24"/>
      <w:lang w:val="zh-CN"/>
    </w:rPr>
  </w:style>
  <w:style w:type="paragraph" w:styleId="1077" w:customStyle="1">
    <w:name w:val="索引 41"/>
    <w:basedOn w:val="828"/>
    <w:next w:val="828"/>
    <w:semiHidden/>
    <w:qFormat/>
    <w:pPr>
      <w:ind w:left="1260"/>
    </w:pPr>
  </w:style>
  <w:style w:type="character" w:styleId="1078" w:customStyle="1">
    <w:name w:val="小四 段落 宋体 Char Char Char Char Char Char"/>
    <w:rPr>
      <w:rFonts w:eastAsia="宋体"/>
      <w:sz w:val="24"/>
      <w:szCs w:val="24"/>
      <w:lang w:val="en-US" w:eastAsia="zh-CN" w:bidi="ar-SA"/>
    </w:rPr>
  </w:style>
  <w:style w:type="character" w:styleId="1079" w:customStyle="1">
    <w:name w:val="Char Char2"/>
    <w:rPr>
      <w:rFonts w:ascii="宋体" w:hAnsi="Courier New" w:eastAsia="宋体"/>
      <w:sz w:val="21"/>
      <w:szCs w:val="21"/>
      <w:lang w:val="en-US" w:eastAsia="zh-CN" w:bidi="ar-SA"/>
    </w:rPr>
  </w:style>
  <w:style w:type="character" w:styleId="1080" w:customStyle="1">
    <w:name w:val="listbenefit"/>
  </w:style>
  <w:style w:type="character" w:styleId="1081" w:customStyle="1">
    <w:name w:val="不明显参考1"/>
    <w:qFormat/>
    <w:rPr>
      <w:smallCaps/>
    </w:rPr>
  </w:style>
  <w:style w:type="character" w:styleId="1082" w:customStyle="1">
    <w:name w:val="x-tab-strip-text5"/>
    <w:rPr>
      <w:b/>
      <w:color w:val="15428b"/>
    </w:rPr>
  </w:style>
  <w:style w:type="character" w:styleId="1083" w:customStyle="1">
    <w:name w:val="name"/>
    <w:rPr>
      <w:color w:val="000000"/>
      <w:sz w:val="18"/>
      <w:szCs w:val="18"/>
      <w:shd w:val="clear" w:color="auto" w:fill="f0f4f7"/>
    </w:rPr>
  </w:style>
  <w:style w:type="character" w:styleId="1084" w:customStyle="1">
    <w:name w:val="标准文本 Char Char"/>
    <w:rPr>
      <w:rFonts w:eastAsia="宋体" w:cs="宋体"/>
      <w:sz w:val="24"/>
      <w:szCs w:val="24"/>
      <w:lang w:val="en-US" w:eastAsia="zh-CN" w:bidi="ar-SA"/>
    </w:rPr>
  </w:style>
  <w:style w:type="character" w:styleId="1085" w:customStyle="1">
    <w:name w:val="Char Char25"/>
    <w:rPr>
      <w:rFonts w:ascii="Arial" w:hAnsi="Arial" w:eastAsia="黑体"/>
      <w:b/>
      <w:sz w:val="28"/>
    </w:rPr>
  </w:style>
  <w:style w:type="character" w:styleId="1086" w:customStyle="1">
    <w:name w:val="Char Char29"/>
    <w:rPr>
      <w:rFonts w:ascii="Times New Roman" w:hAnsi="Times New Roman" w:eastAsia="宋体" w:cs="Times New Roman"/>
      <w:b/>
      <w:bCs/>
      <w:sz w:val="44"/>
      <w:szCs w:val="44"/>
    </w:rPr>
  </w:style>
  <w:style w:type="character" w:styleId="1087" w:customStyle="1">
    <w:name w:val="over"/>
    <w:rPr>
      <w:color w:val="ffffff"/>
      <w:shd w:val="clear" w:color="auto" w:fill="85bad3"/>
    </w:rPr>
  </w:style>
  <w:style w:type="character" w:styleId="1088" w:customStyle="1">
    <w:name w:val="style131"/>
    <w:rPr>
      <w:rFonts w:cs="Times New Roman"/>
      <w:sz w:val="18"/>
      <w:szCs w:val="18"/>
    </w:rPr>
  </w:style>
  <w:style w:type="character" w:styleId="1089" w:customStyle="1">
    <w:name w:val="华宇段落1 Char Char Char"/>
    <w:rPr>
      <w:rFonts w:eastAsia="宋体"/>
      <w:bCs/>
      <w:sz w:val="24"/>
      <w:szCs w:val="24"/>
      <w:lang w:val="en-US" w:eastAsia="zh-CN" w:bidi="ar-SA"/>
    </w:rPr>
  </w:style>
  <w:style w:type="character" w:styleId="1090" w:customStyle="1">
    <w:name w:val="A2"/>
    <w:rPr>
      <w:rFonts w:cs="Helvetica"/>
      <w:color w:val="000000"/>
      <w:sz w:val="18"/>
      <w:szCs w:val="18"/>
    </w:rPr>
  </w:style>
  <w:style w:type="character" w:styleId="1091" w:customStyle="1">
    <w:name w:val="标准小四 Char"/>
    <w:rPr>
      <w:rFonts w:ascii="Arial" w:hAnsi="Arial" w:eastAsia="宋体"/>
      <w:sz w:val="24"/>
      <w:szCs w:val="21"/>
      <w:lang w:val="en-US" w:eastAsia="zh-CN" w:bidi="ar-SA"/>
    </w:rPr>
  </w:style>
  <w:style w:type="character" w:styleId="1092" w:customStyle="1">
    <w:name w:val="标题 3 Char"/>
    <w:rPr>
      <w:rFonts w:ascii="宋体" w:hAnsi="宋体" w:eastAsia="宋体"/>
      <w:b/>
      <w:bCs/>
      <w:sz w:val="24"/>
      <w:szCs w:val="32"/>
      <w:lang w:val="en-US" w:eastAsia="zh-CN" w:bidi="ar-SA"/>
    </w:rPr>
  </w:style>
  <w:style w:type="character" w:styleId="1093" w:customStyle="1">
    <w:name w:val="明显引用 字符"/>
    <w:link w:val="921"/>
    <w:uiPriority w:val="30"/>
    <w:qFormat/>
    <w:rPr>
      <w:rFonts w:ascii="Calibri" w:hAnsi="Calibri" w:eastAsia="宋体"/>
      <w:b/>
      <w:bCs/>
      <w:i/>
      <w:iCs/>
      <w:sz w:val="22"/>
      <w:szCs w:val="22"/>
      <w:lang w:val="en-US" w:eastAsia="en-US" w:bidi="en-US"/>
    </w:rPr>
  </w:style>
  <w:style w:type="character" w:styleId="1094" w:customStyle="1">
    <w:name w:val="纯文本 Char Char Char"/>
    <w:rPr>
      <w:rFonts w:ascii="宋体" w:hAnsi="Courier New" w:eastAsia="宋体"/>
      <w:sz w:val="21"/>
      <w:szCs w:val="21"/>
      <w:lang w:val="en-US" w:eastAsia="zh-CN" w:bidi="ar-SA"/>
    </w:rPr>
  </w:style>
  <w:style w:type="character" w:styleId="1095" w:customStyle="1">
    <w:name w:val="param-value"/>
  </w:style>
  <w:style w:type="character" w:styleId="1096" w:customStyle="1">
    <w:name w:val="小四 段落 宋体 Char Char Char Char1"/>
    <w:rPr>
      <w:rFonts w:eastAsia="宋体"/>
      <w:sz w:val="24"/>
      <w:szCs w:val="24"/>
      <w:lang w:val="en-US" w:eastAsia="zh-CN" w:bidi="ar-SA"/>
    </w:rPr>
  </w:style>
  <w:style w:type="character" w:styleId="1097" w:customStyle="1">
    <w:name w:val="Char Char24"/>
    <w:rPr>
      <w:b/>
      <w:bCs/>
      <w:sz w:val="28"/>
      <w:szCs w:val="28"/>
    </w:rPr>
  </w:style>
  <w:style w:type="character" w:styleId="1098" w:customStyle="1">
    <w:name w:val="已访问的超链接1"/>
    <w:rPr>
      <w:color w:val="000000"/>
      <w:u w:val="none"/>
    </w:rPr>
  </w:style>
  <w:style w:type="character" w:styleId="1099" w:customStyle="1">
    <w:name w:val="concon"/>
  </w:style>
  <w:style w:type="character" w:styleId="1100" w:customStyle="1">
    <w:name w:val="样式 首行缩进:  2 字符 Char Char"/>
    <w:link w:val="1101"/>
    <w:rPr>
      <w:rFonts w:eastAsia="宋体" w:cs="宋体"/>
      <w:sz w:val="24"/>
      <w:lang w:val="en-US" w:eastAsia="zh-CN" w:bidi="ar-SA"/>
    </w:rPr>
  </w:style>
  <w:style w:type="paragraph" w:styleId="1101" w:customStyle="1">
    <w:name w:val="样式 首行缩进:  2 字符"/>
    <w:basedOn w:val="828"/>
    <w:link w:val="1100"/>
    <w:pPr>
      <w:ind w:firstLine="480"/>
      <w:spacing w:line="360" w:lineRule="auto"/>
    </w:pPr>
    <w:rPr>
      <w:rFonts w:ascii="Times New Roman" w:hAnsi="Times New Roman" w:eastAsia="宋体"/>
      <w:sz w:val="24"/>
      <w:lang w:val="en-US"/>
    </w:rPr>
  </w:style>
  <w:style w:type="character" w:styleId="1102" w:customStyle="1">
    <w:name w:val="普通文字1 Char"/>
    <w:rPr>
      <w:rFonts w:ascii="宋体" w:eastAsia="宋体"/>
      <w:sz w:val="21"/>
      <w:szCs w:val="21"/>
      <w:lang w:val="en-US" w:eastAsia="zh-CN" w:bidi="ar-SA"/>
    </w:rPr>
  </w:style>
  <w:style w:type="character" w:styleId="1103" w:customStyle="1">
    <w:name w:val="纯文本 Char1"/>
    <w:rPr>
      <w:rFonts w:ascii="宋体" w:hAnsi="Courier New" w:cs="Courier New"/>
      <w:sz w:val="21"/>
      <w:szCs w:val="21"/>
    </w:rPr>
  </w:style>
  <w:style w:type="character" w:styleId="1104" w:customStyle="1">
    <w:name w:val="标题 Char1"/>
    <w:rPr>
      <w:rFonts w:ascii="Cambria" w:eastAsia="宋体" w:cs="Times New Roman"/>
      <w:b/>
      <w:bCs/>
      <w:sz w:val="32"/>
      <w:szCs w:val="32"/>
    </w:rPr>
  </w:style>
  <w:style w:type="character" w:styleId="1105" w:customStyle="1">
    <w:name w:val="style13"/>
    <w:rPr>
      <w:sz w:val="18"/>
      <w:szCs w:val="18"/>
    </w:rPr>
  </w:style>
  <w:style w:type="character" w:styleId="1106" w:customStyle="1">
    <w:name w:val="para_small"/>
  </w:style>
  <w:style w:type="character" w:styleId="1107" w:customStyle="1">
    <w:name w:val="明显强调1"/>
    <w:uiPriority w:val="21"/>
    <w:qFormat/>
    <w:rPr>
      <w:b/>
      <w:bCs/>
    </w:rPr>
  </w:style>
  <w:style w:type="character" w:styleId="1108" w:customStyle="1">
    <w:name w:val="小四 段落 宋体 Char1"/>
    <w:rPr>
      <w:rFonts w:eastAsia="宋体"/>
      <w:sz w:val="24"/>
      <w:szCs w:val="24"/>
      <w:lang w:val="en-US" w:eastAsia="zh-CN" w:bidi="ar-SA"/>
    </w:rPr>
  </w:style>
  <w:style w:type="character" w:styleId="1109" w:customStyle="1">
    <w:name w:val="小四 段落 宋体 Char Char Char Char Char Char Char Char"/>
    <w:rPr>
      <w:rFonts w:eastAsia="宋体"/>
      <w:sz w:val="24"/>
      <w:szCs w:val="24"/>
      <w:lang w:val="en-US" w:eastAsia="zh-CN" w:bidi="ar-SA"/>
    </w:rPr>
  </w:style>
  <w:style w:type="character" w:styleId="1110" w:customStyle="1">
    <w:name w:val="normalfont1"/>
    <w:rPr>
      <w:rFonts w:ascii="ˎ̥" w:hAnsi="ˎ̥"/>
      <w:sz w:val="18"/>
      <w:szCs w:val="18"/>
      <w:u w:val="none"/>
    </w:rPr>
  </w:style>
  <w:style w:type="character" w:styleId="1111" w:customStyle="1">
    <w:name w:val="Char Char21"/>
    <w:rPr>
      <w:rFonts w:ascii="Arial" w:hAnsi="Arial" w:eastAsia="黑体"/>
      <w:sz w:val="24"/>
      <w:szCs w:val="24"/>
    </w:rPr>
  </w:style>
  <w:style w:type="character" w:styleId="1112" w:customStyle="1">
    <w:name w:val="title_emph1"/>
    <w:rPr>
      <w:rFonts w:ascii="Arial" w:cs="Arial"/>
      <w:b/>
      <w:bCs/>
      <w:sz w:val="18"/>
      <w:szCs w:val="18"/>
    </w:rPr>
  </w:style>
  <w:style w:type="character" w:styleId="1113" w:customStyle="1">
    <w:name w:val="引用 字符"/>
    <w:link w:val="919"/>
    <w:uiPriority w:val="29"/>
    <w:qFormat/>
    <w:rPr>
      <w:rFonts w:ascii="Calibri" w:hAnsi="Calibri" w:eastAsia="宋体"/>
      <w:i/>
      <w:iCs/>
      <w:sz w:val="22"/>
      <w:szCs w:val="22"/>
      <w:lang w:val="en-US" w:eastAsia="en-US" w:bidi="en-US"/>
    </w:rPr>
  </w:style>
  <w:style w:type="character" w:styleId="1114" w:customStyle="1">
    <w:name w:val="无间隔 字符"/>
    <w:link w:val="1115"/>
    <w:rPr>
      <w:rFonts w:ascii="Calibri" w:hAnsi="Calibri" w:eastAsia="微软雅黑"/>
      <w:sz w:val="24"/>
      <w:szCs w:val="22"/>
      <w:lang w:val="en-US" w:eastAsia="zh-CN" w:bidi="ar-SA"/>
    </w:rPr>
  </w:style>
  <w:style w:type="paragraph" w:styleId="1115">
    <w:name w:val="No Spacing"/>
    <w:link w:val="1114"/>
    <w:uiPriority w:val="99"/>
    <w:qFormat/>
    <w:pPr>
      <w:jc w:val="both"/>
      <w:widowControl w:val="off"/>
    </w:pPr>
    <w:rPr>
      <w:rFonts w:ascii="Calibri" w:hAnsi="Calibri" w:eastAsia="微软雅黑"/>
      <w:sz w:val="24"/>
      <w:szCs w:val="22"/>
    </w:rPr>
  </w:style>
  <w:style w:type="character" w:styleId="1116" w:customStyle="1">
    <w:name w:val="3zw"/>
  </w:style>
  <w:style w:type="character" w:styleId="1117" w:customStyle="1">
    <w:name w:val="不明显强调1"/>
    <w:qFormat/>
    <w:rPr>
      <w:i/>
      <w:iCs/>
    </w:rPr>
  </w:style>
  <w:style w:type="character" w:styleId="1118" w:customStyle="1">
    <w:name w:val="Char Char23"/>
    <w:rPr>
      <w:rFonts w:ascii="Arial" w:hAnsi="Arial" w:eastAsia="黑体"/>
      <w:b/>
      <w:bCs/>
      <w:sz w:val="24"/>
      <w:szCs w:val="24"/>
    </w:rPr>
  </w:style>
  <w:style w:type="character" w:styleId="1119" w:customStyle="1">
    <w:name w:val="content"/>
  </w:style>
  <w:style w:type="character" w:styleId="1120" w:customStyle="1">
    <w:name w:val="Char Char28"/>
    <w:rPr>
      <w:rFonts w:ascii="Arial" w:hAnsi="Arial" w:eastAsia="黑体" w:cs="Arial"/>
      <w:b/>
      <w:bCs/>
      <w:sz w:val="32"/>
      <w:szCs w:val="32"/>
    </w:rPr>
  </w:style>
  <w:style w:type="character" w:styleId="1121" w:customStyle="1">
    <w:name w:val="新图表正文 Char Char"/>
    <w:link w:val="1122"/>
    <w:rPr>
      <w:rFonts w:ascii="宋体" w:hAnsi="宋体"/>
      <w:sz w:val="18"/>
      <w:szCs w:val="21"/>
      <w:lang w:val="en-US" w:eastAsia="zh-CN" w:bidi="ar-SA"/>
    </w:rPr>
  </w:style>
  <w:style w:type="paragraph" w:styleId="1122" w:customStyle="1">
    <w:name w:val="新图表正文"/>
    <w:link w:val="1121"/>
    <w:pPr>
      <w:jc w:val="both"/>
    </w:pPr>
    <w:rPr>
      <w:rFonts w:ascii="宋体" w:hAnsi="宋体"/>
      <w:sz w:val="18"/>
      <w:szCs w:val="21"/>
    </w:rPr>
  </w:style>
  <w:style w:type="character" w:styleId="1123" w:customStyle="1">
    <w:name w:val="Char Char26"/>
    <w:rPr>
      <w:b/>
      <w:bCs/>
      <w:sz w:val="32"/>
      <w:szCs w:val="32"/>
    </w:rPr>
  </w:style>
  <w:style w:type="character" w:styleId="1124" w:customStyle="1">
    <w:name w:val="case31"/>
    <w:rPr>
      <w:sz w:val="21"/>
      <w:szCs w:val="21"/>
    </w:rPr>
  </w:style>
  <w:style w:type="character" w:styleId="1125" w:customStyle="1">
    <w:name w:val="纯文本 Char Char"/>
    <w:rPr>
      <w:rFonts w:ascii="宋体" w:hAnsi="Courier New" w:eastAsia="宋体"/>
      <w:sz w:val="21"/>
      <w:szCs w:val="21"/>
      <w:lang w:val="en-US" w:eastAsia="zh-CN" w:bidi="ar-SA"/>
    </w:rPr>
  </w:style>
  <w:style w:type="character" w:styleId="1126" w:customStyle="1">
    <w:name w:val="ih151"/>
    <w:rPr>
      <w:color w:val="666666"/>
      <w:sz w:val="18"/>
      <w:szCs w:val="18"/>
      <w:u w:val="none"/>
    </w:rPr>
  </w:style>
  <w:style w:type="character" w:styleId="1127" w:customStyle="1">
    <w:name w:val="Char Char22"/>
    <w:rPr>
      <w:b/>
      <w:bCs/>
      <w:sz w:val="24"/>
      <w:szCs w:val="24"/>
    </w:rPr>
  </w:style>
  <w:style w:type="character" w:styleId="1128" w:customStyle="1">
    <w:name w:val="样式 宋体 小四"/>
    <w:rPr>
      <w:rFonts w:ascii="宋体" w:hAnsi="宋体"/>
      <w:sz w:val="24"/>
    </w:rPr>
  </w:style>
  <w:style w:type="character" w:styleId="1129" w:customStyle="1">
    <w:name w:val="x-tab-strip-text1"/>
  </w:style>
  <w:style w:type="character" w:styleId="1130" w:customStyle="1">
    <w:name w:val="111111 Char"/>
    <w:link w:val="1131"/>
    <w:rPr>
      <w:rFonts w:ascii="宋体" w:hAnsi="宋体" w:eastAsia="黑体" w:cs="宋体"/>
      <w:b/>
      <w:bCs/>
      <w:sz w:val="21"/>
      <w:szCs w:val="21"/>
      <w:lang w:val="en-US" w:eastAsia="zh-CN" w:bidi="ar-SA"/>
    </w:rPr>
  </w:style>
  <w:style w:type="paragraph" w:styleId="1131" w:customStyle="1">
    <w:name w:val="111111"/>
    <w:basedOn w:val="828"/>
    <w:link w:val="1130"/>
    <w:pPr>
      <w:jc w:val="center"/>
      <w:spacing w:before="120" w:after="120"/>
    </w:pPr>
    <w:rPr>
      <w:rFonts w:ascii="宋体" w:hAnsi="宋体" w:eastAsia="黑体"/>
      <w:b/>
      <w:bCs/>
      <w:sz w:val="21"/>
      <w:szCs w:val="21"/>
      <w:lang w:val="en-US"/>
    </w:rPr>
  </w:style>
  <w:style w:type="character" w:styleId="1132" w:customStyle="1">
    <w:name w:val="subtitle1"/>
    <w:rPr>
      <w:rFonts w:ascii="Georgia" w:hAnsi="Georgia"/>
      <w:b/>
      <w:bCs/>
      <w:color w:val="666666"/>
      <w:sz w:val="18"/>
      <w:szCs w:val="18"/>
    </w:rPr>
  </w:style>
  <w:style w:type="character" w:styleId="1133" w:customStyle="1">
    <w:name w:val="标准小四 Char Char"/>
    <w:rPr>
      <w:rFonts w:ascii="Arial" w:hAnsi="Arial" w:eastAsia="宋体"/>
      <w:sz w:val="24"/>
      <w:szCs w:val="21"/>
      <w:lang w:val="en-US" w:eastAsia="zh-CN" w:bidi="ar-SA"/>
    </w:rPr>
  </w:style>
  <w:style w:type="character" w:styleId="1134" w:customStyle="1">
    <w:name w:val="明显参考1"/>
    <w:uiPriority w:val="32"/>
    <w:qFormat/>
    <w:rPr>
      <w:smallCaps/>
      <w:spacing w:val="5"/>
      <w:u w:val="single"/>
    </w:rPr>
  </w:style>
  <w:style w:type="character" w:styleId="1135" w:customStyle="1">
    <w:name w:val="searchname"/>
    <w:rPr>
      <w:color w:val="000000"/>
      <w:sz w:val="18"/>
      <w:szCs w:val="18"/>
      <w:shd w:val="clear" w:color="auto" w:fill="f0f4f7"/>
    </w:rPr>
  </w:style>
  <w:style w:type="character" w:styleId="1136" w:customStyle="1">
    <w:name w:val="图片说明 Char"/>
    <w:link w:val="1137"/>
    <w:rPr>
      <w:rFonts w:ascii="黑体" w:hAnsi="黑体" w:eastAsia="黑体" w:cs="宋体"/>
      <w:sz w:val="28"/>
      <w:szCs w:val="28"/>
    </w:rPr>
  </w:style>
  <w:style w:type="paragraph" w:styleId="1137" w:customStyle="1">
    <w:name w:val="图片说明"/>
    <w:basedOn w:val="828"/>
    <w:link w:val="1136"/>
    <w:pPr>
      <w:jc w:val="center"/>
      <w:spacing w:line="360" w:lineRule="auto"/>
    </w:pPr>
    <w:rPr>
      <w:rFonts w:ascii="黑体" w:hAnsi="黑体" w:eastAsia="黑体" w:cs="Times New Roman"/>
      <w:sz w:val="28"/>
      <w:szCs w:val="28"/>
    </w:rPr>
  </w:style>
  <w:style w:type="character" w:styleId="1138" w:customStyle="1">
    <w:name w:val="x-tab-strip-text"/>
  </w:style>
  <w:style w:type="character" w:styleId="1139" w:customStyle="1">
    <w:name w:val="push"/>
  </w:style>
  <w:style w:type="character" w:styleId="1140" w:customStyle="1">
    <w:name w:val="正文缩进 字符"/>
    <w:link w:val="841"/>
    <w:uiPriority w:val="99"/>
    <w:qFormat/>
    <w:rPr>
      <w:rFonts w:eastAsia="宋体"/>
      <w:lang w:bidi="ar-SA"/>
    </w:rPr>
  </w:style>
  <w:style w:type="character" w:styleId="1141" w:customStyle="1">
    <w:name w:val="Char Char17"/>
    <w:rPr>
      <w:rFonts w:ascii="宋体" w:hAnsi="Courier New"/>
      <w:sz w:val="21"/>
      <w:szCs w:val="21"/>
    </w:rPr>
  </w:style>
  <w:style w:type="character" w:styleId="1142" w:customStyle="1">
    <w:name w:val="特点 Char1"/>
    <w:rPr>
      <w:rFonts w:eastAsia="宋体"/>
      <w:sz w:val="21"/>
      <w:lang w:val="en-US" w:eastAsia="zh-CN" w:bidi="ar-SA"/>
    </w:rPr>
  </w:style>
  <w:style w:type="character" w:styleId="1143" w:customStyle="1">
    <w:name w:val="标准文本 Char"/>
    <w:rPr>
      <w:rFonts w:eastAsia="宋体" w:cs="宋体"/>
      <w:sz w:val="24"/>
      <w:szCs w:val="24"/>
      <w:lang w:val="en-US" w:eastAsia="zh-CN" w:bidi="ar-SA"/>
    </w:rPr>
  </w:style>
  <w:style w:type="character" w:styleId="1144" w:customStyle="1">
    <w:name w:val="x-tab-strip-text4"/>
    <w:rPr>
      <w:color w:val="15428b"/>
    </w:rPr>
  </w:style>
  <w:style w:type="character" w:styleId="1145" w:customStyle="1">
    <w:name w:val="样式 首行缩进:  2 字符 Char"/>
    <w:rPr>
      <w:rFonts w:eastAsia="宋体" w:cs="宋体"/>
      <w:sz w:val="24"/>
      <w:lang w:val="en-US" w:eastAsia="zh-CN" w:bidi="ar-SA"/>
    </w:rPr>
  </w:style>
  <w:style w:type="character" w:styleId="1146" w:customStyle="1">
    <w:name w:val="x-tab-strip-text3"/>
  </w:style>
  <w:style w:type="character" w:styleId="1147" w:customStyle="1">
    <w:name w:val="小四 段落 宋体 Char Char Char1"/>
    <w:rPr>
      <w:rFonts w:ascii="宋体" w:hAnsi="宋体" w:eastAsia="宋体"/>
      <w:sz w:val="24"/>
      <w:szCs w:val="24"/>
      <w:lang w:val="en-US" w:eastAsia="zh-CN" w:bidi="ar-SA"/>
    </w:rPr>
  </w:style>
  <w:style w:type="character" w:styleId="1148" w:customStyle="1">
    <w:name w:val="2nd level Char"/>
    <w:rPr>
      <w:rFonts w:ascii="Arial" w:hAnsi="Arial" w:eastAsia="黑体"/>
      <w:b/>
      <w:bCs/>
      <w:sz w:val="32"/>
      <w:szCs w:val="32"/>
      <w:lang w:val="en-US" w:eastAsia="zh-CN" w:bidi="ar-SA"/>
    </w:rPr>
  </w:style>
  <w:style w:type="character" w:styleId="1149" w:customStyle="1">
    <w:name w:val="Title1 Char"/>
    <w:rPr>
      <w:rFonts w:eastAsia="宋体"/>
      <w:b/>
      <w:bCs/>
      <w:sz w:val="44"/>
      <w:szCs w:val="44"/>
      <w:lang w:val="en-US" w:eastAsia="zh-CN" w:bidi="ar-SA"/>
    </w:rPr>
  </w:style>
  <w:style w:type="character" w:styleId="1150" w:customStyle="1">
    <w:name w:val="content_lineheight1"/>
  </w:style>
  <w:style w:type="character" w:styleId="1151" w:customStyle="1">
    <w:name w:val="x-tab-strip-text2"/>
    <w:rPr>
      <w:rFonts w:ascii="Tahoma" w:hAnsi="Tahoma" w:eastAsia="Tahoma" w:cs="Tahoma"/>
      <w:color w:val="416aa3"/>
      <w:sz w:val="16"/>
      <w:szCs w:val="16"/>
    </w:rPr>
  </w:style>
  <w:style w:type="character" w:styleId="1152" w:customStyle="1">
    <w:name w:val="textcontents"/>
  </w:style>
  <w:style w:type="character" w:styleId="1153" w:customStyle="1">
    <w:name w:val="样式 非加粗"/>
    <w:rPr>
      <w:rFonts w:eastAsia="宋体"/>
      <w:sz w:val="28"/>
    </w:rPr>
  </w:style>
  <w:style w:type="character" w:styleId="1154" w:customStyle="1">
    <w:name w:val="Char Char20"/>
    <w:rPr>
      <w:rFonts w:ascii="Arial" w:hAnsi="Arial" w:eastAsia="黑体"/>
      <w:sz w:val="21"/>
      <w:szCs w:val="21"/>
    </w:rPr>
  </w:style>
  <w:style w:type="character" w:styleId="1155" w:customStyle="1">
    <w:name w:val="表格抬头 Char"/>
    <w:link w:val="1156"/>
    <w:rPr>
      <w:rFonts w:ascii="黑体" w:eastAsia="黑体"/>
      <w:b/>
      <w:sz w:val="21"/>
      <w:lang w:bidi="ar-SA"/>
    </w:rPr>
  </w:style>
  <w:style w:type="paragraph" w:styleId="1156" w:customStyle="1">
    <w:name w:val="表格抬头"/>
    <w:basedOn w:val="828"/>
    <w:link w:val="1155"/>
    <w:pPr>
      <w:jc w:val="center"/>
    </w:pPr>
    <w:rPr>
      <w:rFonts w:ascii="黑体" w:hAnsi="Times New Roman" w:eastAsia="黑体" w:cs="Times New Roman"/>
      <w:b/>
      <w:sz w:val="21"/>
    </w:rPr>
  </w:style>
  <w:style w:type="character" w:styleId="1157" w:customStyle="1">
    <w:name w:val="小四 段落 宋体 Char Char Char Char Char"/>
    <w:rPr>
      <w:rFonts w:eastAsia="宋体"/>
      <w:sz w:val="24"/>
      <w:szCs w:val="24"/>
      <w:lang w:val="en-US" w:eastAsia="zh-CN" w:bidi="ar-SA"/>
    </w:rPr>
  </w:style>
  <w:style w:type="character" w:styleId="1158" w:customStyle="1">
    <w:name w:val="norm"/>
    <w:rPr>
      <w:color w:val="333333"/>
      <w:shd w:val="clear" w:color="auto" w:fill="d6e4eb"/>
    </w:rPr>
  </w:style>
  <w:style w:type="character" w:styleId="1159" w:customStyle="1">
    <w:name w:val="Char Char27"/>
    <w:rPr>
      <w:b/>
      <w:bCs/>
      <w:sz w:val="44"/>
      <w:szCs w:val="44"/>
    </w:rPr>
  </w:style>
  <w:style w:type="character" w:styleId="1160" w:customStyle="1">
    <w:name w:val="t1"/>
  </w:style>
  <w:style w:type="character" w:styleId="1161" w:customStyle="1">
    <w:name w:val="纯文本 Char Char Char1"/>
    <w:rPr>
      <w:rFonts w:ascii="宋体" w:hAnsi="Courier New" w:eastAsia="宋体"/>
      <w:sz w:val="21"/>
      <w:szCs w:val="21"/>
      <w:lang w:val="en-US" w:eastAsia="zh-CN" w:bidi="ar-SA"/>
    </w:rPr>
  </w:style>
  <w:style w:type="character" w:styleId="1162" w:customStyle="1">
    <w:name w:val="h Char Char"/>
    <w:rPr>
      <w:rFonts w:eastAsia="宋体"/>
      <w:sz w:val="18"/>
      <w:szCs w:val="18"/>
      <w:lang w:val="en-US" w:eastAsia="zh-CN" w:bidi="ar-SA"/>
    </w:rPr>
  </w:style>
  <w:style w:type="character" w:styleId="116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eastAsia="宋体"/>
      <w:b/>
      <w:bCs/>
      <w:sz w:val="32"/>
      <w:szCs w:val="32"/>
      <w:lang w:val="en-US" w:eastAsia="zh-CN" w:bidi="ar-SA"/>
    </w:rPr>
  </w:style>
  <w:style w:type="character" w:styleId="1164" w:customStyle="1">
    <w:name w:val="正文 + 宋体 Char"/>
    <w:rPr>
      <w:rFonts w:eastAsia="宋体"/>
      <w:sz w:val="21"/>
      <w:szCs w:val="24"/>
      <w:lang w:val="en-US" w:eastAsia="zh-CN" w:bidi="ar-SA"/>
    </w:rPr>
  </w:style>
  <w:style w:type="character" w:styleId="1165" w:customStyle="1">
    <w:name w:val="apple-converted-space"/>
  </w:style>
  <w:style w:type="character" w:styleId="1166" w:customStyle="1">
    <w:name w:val="书籍标题1"/>
    <w:qFormat/>
    <w:rPr>
      <w:i/>
      <w:iCs/>
      <w:smallCaps/>
      <w:spacing w:val="5"/>
    </w:rPr>
  </w:style>
  <w:style w:type="character" w:styleId="1167" w:customStyle="1">
    <w:name w:val="point_normal1"/>
    <w:rPr>
      <w:rFonts w:ascii="Arial" w:hAnsi="Arial" w:cs="Arial"/>
      <w:sz w:val="18"/>
      <w:szCs w:val="18"/>
    </w:rPr>
  </w:style>
  <w:style w:type="character" w:styleId="1168" w:customStyle="1">
    <w:name w:val="标题 3 Char Char"/>
    <w:rPr>
      <w:rFonts w:eastAsia="仿宋_GB2312"/>
      <w:b/>
      <w:bCs/>
      <w:sz w:val="28"/>
      <w:szCs w:val="32"/>
      <w:lang w:val="en-US" w:eastAsia="zh-CN" w:bidi="ar-SA"/>
    </w:rPr>
  </w:style>
  <w:style w:type="character" w:styleId="1169" w:customStyle="1">
    <w:name w:val="列出段落字符"/>
    <w:link w:val="1170"/>
    <w:rPr>
      <w:rFonts w:ascii="Arial" w:hAnsi="Arial" w:eastAsia="黑体" w:cs="宋体"/>
      <w:sz w:val="24"/>
      <w:szCs w:val="24"/>
      <w:lang w:val="zh-CN" w:eastAsia="en-US"/>
    </w:rPr>
  </w:style>
  <w:style w:type="paragraph" w:styleId="1170" w:customStyle="1">
    <w:name w:val="列出段落1"/>
    <w:basedOn w:val="828"/>
    <w:link w:val="1169"/>
    <w:qFormat/>
    <w:pPr>
      <w:contextualSpacing/>
      <w:ind w:left="720"/>
      <w:jc w:val="left"/>
      <w:widowControl/>
    </w:pPr>
    <w:rPr>
      <w:rFonts w:ascii="Arial" w:hAnsi="Arial" w:eastAsia="黑体" w:cs="Times New Roman"/>
      <w:sz w:val="24"/>
      <w:szCs w:val="24"/>
      <w:lang w:eastAsia="en-US"/>
    </w:rPr>
  </w:style>
  <w:style w:type="character" w:styleId="1171" w:customStyle="1">
    <w:name w:val="华宇段落1 Char Char"/>
    <w:rPr>
      <w:rFonts w:eastAsia="宋体"/>
      <w:bCs/>
      <w:sz w:val="24"/>
      <w:szCs w:val="24"/>
      <w:lang w:val="en-US" w:eastAsia="zh-CN" w:bidi="ar-SA"/>
    </w:rPr>
  </w:style>
  <w:style w:type="paragraph" w:styleId="1172" w:customStyle="1">
    <w:name w:val="xl56"/>
    <w:basedOn w:val="82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173" w:customStyle="1">
    <w:name w:val="列出段落2"/>
    <w:basedOn w:val="828"/>
    <w:uiPriority w:val="34"/>
    <w:qFormat/>
    <w:pPr>
      <w:ind w:left="720"/>
      <w:jc w:val="left"/>
      <w:widowControl/>
    </w:pPr>
    <w:rPr>
      <w:rFonts w:ascii="Arial" w:hAnsi="Arial" w:eastAsia="黑体" w:cs="Arial"/>
      <w:sz w:val="24"/>
      <w:szCs w:val="24"/>
      <w:lang w:eastAsia="en-US"/>
    </w:rPr>
  </w:style>
  <w:style w:type="paragraph" w:styleId="1174" w:customStyle="1">
    <w:name w:val="xl32"/>
    <w:basedOn w:val="8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175" w:customStyle="1">
    <w:name w:val="xl43"/>
    <w:basedOn w:val="8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rPr>
  </w:style>
  <w:style w:type="paragraph" w:styleId="1176" w:customStyle="1">
    <w:name w:val="Char1 Char Char Char"/>
    <w:basedOn w:val="828"/>
    <w:rPr>
      <w:rFonts w:ascii="Tahoma" w:hAnsi="Tahoma"/>
      <w:sz w:val="24"/>
    </w:rPr>
  </w:style>
  <w:style w:type="paragraph" w:styleId="1177" w:customStyle="1">
    <w:name w:val="正文 + 宋体"/>
    <w:basedOn w:val="828"/>
    <w:pPr>
      <w:ind w:firstLine="420"/>
      <w:spacing w:line="360" w:lineRule="auto"/>
    </w:pPr>
    <w:rPr>
      <w:szCs w:val="24"/>
    </w:rPr>
  </w:style>
  <w:style w:type="paragraph" w:styleId="1178" w:customStyle="1">
    <w:name w:val="xl25"/>
    <w:basedOn w:val="828"/>
    <w:uiPriority w:val="99"/>
    <w:qFormat/>
    <w:pPr>
      <w:jc w:val="center"/>
      <w:spacing w:before="100" w:beforeAutospacing="1" w:after="100" w:afterAutospacing="1"/>
      <w:widowControl/>
      <w:pBdr>
        <w:right w:val="single" w:color="000000" w:sz="4" w:space="0"/>
      </w:pBdr>
    </w:pPr>
    <w:rPr>
      <w:szCs w:val="21"/>
    </w:rPr>
  </w:style>
  <w:style w:type="paragraph" w:styleId="1179" w:customStyle="1">
    <w:name w:val="xl31"/>
    <w:basedOn w:val="8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180" w:customStyle="1">
    <w:name w:val="小四 段落 宋体"/>
    <w:basedOn w:val="846"/>
    <w:pPr>
      <w:ind w:left="113" w:right="113" w:firstLine="425"/>
      <w:jc w:val="left"/>
      <w:spacing w:line="360" w:lineRule="auto"/>
      <w:tabs>
        <w:tab w:val="clear" w:pos="2952" w:leader="none"/>
      </w:tabs>
    </w:pPr>
    <w:rPr>
      <w:sz w:val="24"/>
    </w:rPr>
  </w:style>
  <w:style w:type="paragraph" w:styleId="1181" w:customStyle="1">
    <w:name w:val="正文文本 New New"/>
    <w:basedOn w:val="828"/>
    <w:pPr>
      <w:ind w:firstLine="200"/>
      <w:spacing w:before="60" w:after="60" w:line="360" w:lineRule="auto"/>
      <w:widowControl/>
    </w:pPr>
    <w:rPr>
      <w:rFonts w:eastAsia="华文楷体"/>
      <w:sz w:val="24"/>
      <w:szCs w:val="24"/>
    </w:rPr>
  </w:style>
  <w:style w:type="paragraph" w:styleId="1182" w:customStyle="1">
    <w:name w:val="Pa5"/>
    <w:basedOn w:val="828"/>
    <w:next w:val="828"/>
    <w:pPr>
      <w:jc w:val="left"/>
      <w:spacing w:line="241" w:lineRule="atLeast"/>
    </w:pPr>
    <w:rPr>
      <w:rFonts w:ascii="汉仪大黑简" w:eastAsia="汉仪大黑简"/>
      <w:sz w:val="24"/>
      <w:szCs w:val="24"/>
    </w:rPr>
  </w:style>
  <w:style w:type="paragraph" w:styleId="1183" w:customStyle="1">
    <w:name w:val="xl38"/>
    <w:basedOn w:val="8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184" w:customStyle="1">
    <w:name w:val="公文标题 2"/>
    <w:basedOn w:val="828"/>
    <w:next w:val="1185"/>
    <w:pPr>
      <w:outlineLvl w:val="1"/>
    </w:pPr>
    <w:rPr>
      <w:rFonts w:ascii="仿宋_GB2312" w:hAnsi="宋体" w:eastAsia="仿宋_GB2312"/>
      <w:sz w:val="28"/>
      <w:szCs w:val="24"/>
    </w:rPr>
  </w:style>
  <w:style w:type="paragraph" w:styleId="1185" w:customStyle="1">
    <w:name w:val="公文正文"/>
    <w:basedOn w:val="855"/>
    <w:pPr>
      <w:ind w:firstLine="200"/>
    </w:pPr>
    <w:rPr>
      <w:rFonts w:ascii="仿宋_GB2312" w:hAnsi="宋体" w:eastAsia="仿宋_GB2312"/>
      <w:sz w:val="28"/>
      <w:szCs w:val="24"/>
    </w:rPr>
  </w:style>
  <w:style w:type="paragraph" w:styleId="1186" w:customStyle="1">
    <w:name w:val="flName"/>
    <w:basedOn w:val="1187"/>
    <w:pPr>
      <w:spacing w:before="0" w:line="113" w:lineRule="atLeast"/>
    </w:pPr>
  </w:style>
  <w:style w:type="paragraph" w:styleId="1187" w:customStyle="1">
    <w:name w:val="flNote"/>
    <w:basedOn w:val="828"/>
    <w:pPr>
      <w:jc w:val="center"/>
      <w:spacing w:before="567" w:line="360" w:lineRule="atLeast"/>
    </w:pPr>
    <w:rPr>
      <w:rFonts w:eastAsia="黑体"/>
      <w:b/>
      <w:sz w:val="24"/>
    </w:rPr>
  </w:style>
  <w:style w:type="paragraph" w:styleId="1188" w:customStyle="1">
    <w:name w:val="Test2"/>
    <w:basedOn w:val="830"/>
    <w:pPr>
      <w:jc w:val="center"/>
      <w:spacing w:before="156" w:after="156" w:line="480" w:lineRule="exact"/>
      <w:widowControl/>
    </w:pPr>
    <w:rPr>
      <w:rFonts w:ascii="黑体" w:hAnsi="Arial" w:eastAsia="黑体"/>
      <w:bCs/>
      <w:sz w:val="24"/>
    </w:rPr>
  </w:style>
  <w:style w:type="paragraph" w:styleId="1189" w:customStyle="1">
    <w:name w:val="二级目录"/>
    <w:next w:val="828"/>
    <w:link w:val="1419"/>
    <w:qFormat/>
    <w:pPr>
      <w:tabs>
        <w:tab w:val="left" w:pos="360" w:leader="none"/>
        <w:tab w:val="left" w:pos="1145" w:leader="none"/>
      </w:tabs>
      <w:outlineLvl w:val="1"/>
    </w:pPr>
    <w:rPr>
      <w:rFonts w:ascii="Calibri" w:hAnsi="Calibri"/>
      <w:b/>
      <w:sz w:val="30"/>
      <w:szCs w:val="28"/>
    </w:rPr>
  </w:style>
  <w:style w:type="paragraph" w:styleId="1190" w:customStyle="1">
    <w:name w:val="段 Char"/>
    <w:pPr>
      <w:ind w:firstLine="200"/>
      <w:jc w:val="both"/>
    </w:pPr>
    <w:rPr>
      <w:rFonts w:ascii="宋体"/>
      <w:sz w:val="21"/>
    </w:rPr>
  </w:style>
  <w:style w:type="paragraph" w:styleId="1191" w:customStyle="1">
    <w:name w:val="马刚标题1"/>
    <w:basedOn w:val="829"/>
    <w:next w:val="828"/>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92" w:customStyle="1">
    <w:name w:val="Pa6"/>
    <w:basedOn w:val="828"/>
    <w:next w:val="828"/>
    <w:pPr>
      <w:jc w:val="left"/>
      <w:spacing w:line="241" w:lineRule="atLeast"/>
    </w:pPr>
    <w:rPr>
      <w:rFonts w:ascii="汉仪大黑简" w:eastAsia="汉仪大黑简"/>
      <w:sz w:val="24"/>
      <w:szCs w:val="24"/>
    </w:rPr>
  </w:style>
  <w:style w:type="paragraph" w:styleId="1193" w:customStyle="1">
    <w:name w:val="xl47"/>
    <w:basedOn w:val="8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4" w:customStyle="1">
    <w:name w:val="xl60"/>
    <w:basedOn w:val="82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195" w:customStyle="1">
    <w:name w:val="方案正文"/>
    <w:basedOn w:val="828"/>
    <w:pPr>
      <w:ind w:firstLine="359"/>
      <w:jc w:val="left"/>
      <w:spacing w:before="156" w:line="360" w:lineRule="auto"/>
    </w:pPr>
    <w:rPr>
      <w:rFonts w:ascii="Arial" w:hAnsi="Arial"/>
      <w:sz w:val="24"/>
      <w:szCs w:val="21"/>
    </w:rPr>
  </w:style>
  <w:style w:type="paragraph" w:styleId="1196" w:customStyle="1">
    <w:name w:val="表格内容"/>
    <w:basedOn w:val="828"/>
    <w:pPr>
      <w:jc w:val="center"/>
      <w:spacing w:before="60" w:line="300" w:lineRule="auto"/>
      <w:widowControl/>
    </w:pPr>
  </w:style>
  <w:style w:type="paragraph" w:styleId="1197" w:customStyle="1">
    <w:name w:val="项目符号，二级"/>
    <w:basedOn w:val="1198"/>
    <w:next w:val="1198"/>
    <w:pPr>
      <w:numPr>
        <w:numId w:val="1"/>
      </w:numPr>
      <w:ind w:left="1337" w:right="-27" w:firstLine="480"/>
      <w:tabs>
        <w:tab w:val="left" w:pos="1211" w:leader="none"/>
        <w:tab w:val="left" w:pos="1337" w:leader="none"/>
      </w:tabs>
    </w:pPr>
    <w:rPr>
      <w:bCs w:val="0"/>
      <w:color w:val="000000"/>
      <w:sz w:val="24"/>
      <w:szCs w:val="24"/>
    </w:rPr>
  </w:style>
  <w:style w:type="paragraph" w:styleId="1198" w:customStyle="1">
    <w:name w:val="正文格式"/>
    <w:basedOn w:val="828"/>
    <w:pPr>
      <w:ind w:left="178" w:right="44" w:hanging="178"/>
      <w:jc w:val="left"/>
      <w:spacing w:before="78" w:line="360" w:lineRule="auto"/>
      <w:widowControl/>
    </w:pPr>
    <w:rPr>
      <w:rFonts w:ascii="宋体" w:hAnsi="宋体"/>
      <w:bCs/>
      <w:szCs w:val="21"/>
    </w:rPr>
  </w:style>
  <w:style w:type="paragraph" w:styleId="1199" w:customStyle="1">
    <w:name w:val="样式 样式 标题 3H3sect1.2.3BOD 0Heading 3 - oldh3l3CTLevel 3 Head... +..."/>
    <w:basedOn w:val="828"/>
    <w:pPr>
      <w:jc w:val="left"/>
      <w:keepLines/>
      <w:keepNext/>
      <w:spacing w:before="156" w:after="156"/>
      <w:outlineLvl w:val="2"/>
    </w:pPr>
    <w:rPr>
      <w:b/>
      <w:bCs/>
      <w:sz w:val="24"/>
    </w:rPr>
  </w:style>
  <w:style w:type="paragraph" w:styleId="1200" w:customStyle="1">
    <w:name w:val="xl44"/>
    <w:basedOn w:val="82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rPr>
  </w:style>
  <w:style w:type="paragraph" w:styleId="1201" w:customStyle="1">
    <w:name w:val="Char Char Char Char Char Char Char Char Char Char Char Char Char Char Char Char Char Char Char Char Char Char Char"/>
    <w:basedOn w:val="828"/>
    <w:rPr>
      <w:rFonts w:ascii="Tahoma" w:hAnsi="Tahoma" w:cs="Tahoma"/>
      <w:sz w:val="24"/>
    </w:rPr>
  </w:style>
  <w:style w:type="paragraph" w:styleId="1202" w:customStyle="1">
    <w:name w:val="retrait3"/>
    <w:basedOn w:val="828"/>
    <w:pPr>
      <w:ind w:left="851"/>
      <w:jc w:val="left"/>
      <w:spacing w:before="20" w:after="20"/>
      <w:widowControl/>
    </w:pPr>
    <w:rPr>
      <w:rFonts w:ascii="Arial" w:hAnsi="Arial"/>
      <w:sz w:val="24"/>
      <w:lang w:val="en-GB"/>
    </w:rPr>
  </w:style>
  <w:style w:type="paragraph" w:styleId="1203" w:customStyle="1">
    <w:name w:val="xl40"/>
    <w:basedOn w:val="8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204" w:customStyle="1">
    <w:name w:val="xl41"/>
    <w:basedOn w:val="8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05" w:customStyle="1">
    <w:name w:val="Char1"/>
    <w:basedOn w:val="828"/>
    <w:rPr>
      <w:rFonts w:ascii="仿宋_GB2312" w:hAnsi="宋体" w:eastAsia="仿宋_GB2312"/>
      <w:b/>
      <w:sz w:val="32"/>
      <w:szCs w:val="32"/>
    </w:rPr>
  </w:style>
  <w:style w:type="paragraph" w:styleId="1206" w:customStyle="1">
    <w:name w:val="Char Char Char Char Char Char Char Char Char Char Char Char Char Char Char Char Char Char Char Char Char"/>
    <w:basedOn w:val="828"/>
    <w:rPr>
      <w:rFonts w:ascii="Tahoma" w:hAnsi="Tahoma" w:cs="Tahoma"/>
      <w:sz w:val="24"/>
    </w:rPr>
  </w:style>
  <w:style w:type="paragraph" w:styleId="1207" w:customStyle="1">
    <w:name w:val="默认段落字体 Para Char Char Char Char Char Char Char"/>
    <w:basedOn w:val="828"/>
  </w:style>
  <w:style w:type="paragraph" w:styleId="1208" w:customStyle="1">
    <w:name w:val="小四 段落 宋体 Char Char Char"/>
    <w:basedOn w:val="846"/>
    <w:pPr>
      <w:ind w:left="0" w:right="-33" w:firstLine="545"/>
      <w:jc w:val="left"/>
      <w:spacing w:line="360" w:lineRule="auto"/>
      <w:tabs>
        <w:tab w:val="clear" w:pos="2952" w:leader="none"/>
      </w:tabs>
    </w:pPr>
    <w:rPr>
      <w:sz w:val="24"/>
    </w:rPr>
  </w:style>
  <w:style w:type="paragraph" w:styleId="1209" w:customStyle="1">
    <w:name w:val="Char Char1"/>
    <w:basedOn w:val="828"/>
    <w:rPr>
      <w:rFonts w:ascii="Tahoma" w:hAnsi="Tahoma" w:cs="Tahoma"/>
      <w:sz w:val="24"/>
    </w:rPr>
  </w:style>
  <w:style w:type="paragraph" w:styleId="1210" w:customStyle="1">
    <w:name w:val="xl49"/>
    <w:basedOn w:val="828"/>
    <w:pPr>
      <w:jc w:val="center"/>
      <w:spacing w:before="100" w:beforeAutospacing="1" w:after="100" w:afterAutospacing="1"/>
      <w:widowControl/>
      <w:pBdr>
        <w:left w:val="single" w:color="000000" w:sz="4" w:space="0"/>
        <w:right w:val="single" w:color="000000" w:sz="4" w:space="0"/>
      </w:pBdr>
    </w:pPr>
    <w:rPr>
      <w:b/>
      <w:bCs/>
    </w:rPr>
  </w:style>
  <w:style w:type="paragraph" w:styleId="1211" w:customStyle="1">
    <w:name w:val="Char Char Char Char"/>
    <w:basedOn w:val="849"/>
    <w:pPr>
      <w:spacing w:line="360" w:lineRule="auto"/>
    </w:pPr>
    <w:rPr>
      <w:rFonts w:ascii="Tahoma" w:hAnsi="Tahoma"/>
      <w:sz w:val="24"/>
      <w:szCs w:val="24"/>
    </w:rPr>
  </w:style>
  <w:style w:type="paragraph" w:styleId="1212" w:customStyle="1">
    <w:name w:val="Bullets L1"/>
    <w:basedOn w:val="828"/>
    <w:pPr>
      <w:numPr>
        <w:numId w:val="2"/>
      </w:numPr>
      <w:jc w:val="left"/>
      <w:spacing w:before="60" w:after="60"/>
      <w:widowControl/>
    </w:pPr>
    <w:rPr>
      <w:rFonts w:ascii="Arial" w:hAnsi="Arial"/>
    </w:rPr>
  </w:style>
  <w:style w:type="paragraph" w:styleId="1213" w:customStyle="1">
    <w:name w:val="中等深浅网格 1 - 强调文字颜色 21"/>
    <w:basedOn w:val="828"/>
    <w:qFormat/>
    <w:pPr>
      <w:ind w:firstLine="420"/>
    </w:pPr>
    <w:rPr>
      <w:szCs w:val="22"/>
    </w:rPr>
  </w:style>
  <w:style w:type="paragraph" w:styleId="1214" w:customStyle="1">
    <w:name w:val="华宇段落1 Char"/>
    <w:basedOn w:val="828"/>
    <w:qFormat/>
    <w:pPr>
      <w:ind w:firstLine="200"/>
      <w:spacing w:line="360" w:lineRule="auto"/>
    </w:pPr>
    <w:rPr>
      <w:bCs/>
      <w:sz w:val="24"/>
      <w:szCs w:val="24"/>
    </w:rPr>
  </w:style>
  <w:style w:type="paragraph" w:styleId="1215" w:customStyle="1">
    <w:name w:val="样式2"/>
    <w:basedOn w:val="828"/>
    <w:pPr>
      <w:ind w:left="200"/>
      <w:spacing w:line="360" w:lineRule="auto"/>
    </w:pPr>
    <w:rPr>
      <w:rFonts w:ascii="宋体" w:hAnsi="宋体"/>
      <w:b/>
      <w:sz w:val="24"/>
      <w:szCs w:val="24"/>
    </w:rPr>
  </w:style>
  <w:style w:type="paragraph" w:styleId="1216" w:customStyle="1">
    <w:name w:val="正文 + Arial Char"/>
    <w:basedOn w:val="828"/>
    <w:pPr>
      <w:ind w:left="315" w:hanging="315"/>
      <w:spacing w:line="300" w:lineRule="auto"/>
      <w:widowControl/>
      <w:tabs>
        <w:tab w:val="left" w:pos="315" w:leader="none"/>
      </w:tabs>
    </w:pPr>
    <w:rPr>
      <w:rFonts w:ascii="Arial" w:hAnsi="Arial" w:cs="Arial"/>
      <w:b/>
      <w:color w:val="000000"/>
    </w:rPr>
  </w:style>
  <w:style w:type="paragraph" w:styleId="1217" w:customStyle="1">
    <w:name w:val="1"/>
    <w:basedOn w:val="828"/>
    <w:next w:val="884"/>
    <w:pPr>
      <w:spacing w:line="360" w:lineRule="auto"/>
    </w:pPr>
    <w:rPr>
      <w:rFonts w:eastAsia="仿宋_GB2312"/>
      <w:sz w:val="24"/>
      <w:szCs w:val="24"/>
    </w:rPr>
  </w:style>
  <w:style w:type="paragraph" w:styleId="1218" w:customStyle="1">
    <w:name w:val="xl37"/>
    <w:basedOn w:val="8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219" w:customStyle="1">
    <w:name w:val="样式 标题 2第一章 标题 2Heading 2 HiddenHeading 2 CCBSheading 2H2h2..."/>
    <w:basedOn w:val="830"/>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20" w:customStyle="1">
    <w:name w:val="Char Char Char Char Char Char1 Char"/>
    <w:basedOn w:val="828"/>
    <w:pPr>
      <w:spacing w:after="160" w:line="240" w:lineRule="exact"/>
    </w:pPr>
    <w:rPr>
      <w:rFonts w:ascii="Times New Roman" w:hAnsi="Times New Roman" w:eastAsia="宋体" w:cs="Times New Roman"/>
      <w:sz w:val="28"/>
      <w:szCs w:val="24"/>
      <w:lang w:val="en-US"/>
    </w:rPr>
  </w:style>
  <w:style w:type="paragraph" w:styleId="1221" w:customStyle="1">
    <w:name w:val="标准文本"/>
    <w:basedOn w:val="828"/>
    <w:pPr>
      <w:ind w:firstLine="480"/>
      <w:spacing w:line="360" w:lineRule="auto"/>
    </w:pPr>
    <w:rPr>
      <w:sz w:val="24"/>
      <w:szCs w:val="24"/>
    </w:rPr>
  </w:style>
  <w:style w:type="paragraph" w:styleId="1222" w:customStyle="1">
    <w:name w:val="xl58"/>
    <w:basedOn w:val="828"/>
    <w:pPr>
      <w:jc w:val="center"/>
      <w:spacing w:before="100" w:beforeAutospacing="1" w:after="100" w:afterAutospacing="1"/>
      <w:widowControl/>
      <w:pBdr>
        <w:left w:val="single" w:color="000000" w:sz="4" w:space="0"/>
        <w:right w:val="single" w:color="000000" w:sz="4" w:space="0"/>
      </w:pBdr>
    </w:pPr>
    <w:rPr>
      <w:b/>
      <w:bCs/>
      <w:i/>
      <w:iCs/>
    </w:rPr>
  </w:style>
  <w:style w:type="paragraph" w:styleId="1223" w:customStyle="1">
    <w:name w:val="正文表标题"/>
    <w:next w:val="1224"/>
    <w:pPr>
      <w:ind w:left="900" w:hanging="420"/>
      <w:jc w:val="center"/>
      <w:tabs>
        <w:tab w:val="left" w:pos="900" w:leader="none"/>
      </w:tabs>
    </w:pPr>
    <w:rPr>
      <w:rFonts w:ascii="黑体" w:eastAsia="黑体"/>
      <w:sz w:val="21"/>
    </w:rPr>
  </w:style>
  <w:style w:type="paragraph" w:styleId="1224" w:customStyle="1">
    <w:name w:val="段"/>
    <w:pPr>
      <w:ind w:firstLine="200"/>
      <w:jc w:val="both"/>
    </w:pPr>
    <w:rPr>
      <w:rFonts w:ascii="宋体"/>
      <w:sz w:val="21"/>
    </w:rPr>
  </w:style>
  <w:style w:type="paragraph" w:styleId="1225" w:customStyle="1">
    <w:name w:val="content_lineheight"/>
    <w:basedOn w:val="828"/>
    <w:pPr>
      <w:jc w:val="left"/>
      <w:spacing w:before="100" w:beforeAutospacing="1" w:after="100" w:afterAutospacing="1"/>
      <w:widowControl/>
    </w:pPr>
    <w:rPr>
      <w:rFonts w:ascii="宋体" w:hAnsi="宋体"/>
      <w:sz w:val="24"/>
      <w:szCs w:val="24"/>
    </w:rPr>
  </w:style>
  <w:style w:type="paragraph" w:styleId="1226" w:customStyle="1">
    <w:name w:val="af17cgridlangnp1033langf"/>
    <w:pPr>
      <w:ind w:left="567" w:firstLine="510"/>
      <w:jc w:val="both"/>
      <w:spacing w:before="156" w:line="360" w:lineRule="atLeast"/>
      <w:widowControl w:val="off"/>
    </w:pPr>
  </w:style>
  <w:style w:type="paragraph" w:styleId="1227" w:customStyle="1">
    <w:name w:val="font7"/>
    <w:basedOn w:val="828"/>
    <w:uiPriority w:val="99"/>
    <w:qFormat/>
    <w:pPr>
      <w:jc w:val="left"/>
      <w:spacing w:before="100" w:beforeAutospacing="1" w:after="100" w:afterAutospacing="1"/>
      <w:widowControl/>
    </w:pPr>
    <w:rPr>
      <w:rFonts w:hint="eastAsia" w:ascii="宋体" w:hAnsi="宋体"/>
      <w:b/>
      <w:bCs/>
      <w:sz w:val="24"/>
      <w:szCs w:val="24"/>
    </w:rPr>
  </w:style>
  <w:style w:type="paragraph" w:styleId="1228" w:customStyle="1">
    <w:name w:val="Char11"/>
    <w:basedOn w:val="828"/>
    <w:uiPriority w:val="99"/>
    <w:qFormat/>
    <w:pPr>
      <w:jc w:val="left"/>
      <w:spacing w:after="160" w:line="240" w:lineRule="exact"/>
      <w:widowControl/>
    </w:pPr>
    <w:rPr>
      <w:rFonts w:ascii="Verdana" w:hAnsi="Verdana" w:eastAsia="仿宋_GB2312"/>
      <w:sz w:val="24"/>
      <w:lang w:eastAsia="en-US"/>
    </w:rPr>
  </w:style>
  <w:style w:type="paragraph" w:styleId="1229" w:customStyle="1">
    <w:name w:val="a"/>
    <w:basedOn w:val="828"/>
    <w:pPr>
      <w:spacing w:before="100" w:beforeAutospacing="1" w:after="100" w:afterAutospacing="1"/>
      <w:widowControl/>
    </w:pPr>
    <w:rPr>
      <w:rFonts w:ascii="宋体" w:hAnsi="宋体"/>
      <w:sz w:val="24"/>
      <w:szCs w:val="24"/>
    </w:rPr>
  </w:style>
  <w:style w:type="paragraph" w:styleId="1230" w:customStyle="1">
    <w:name w:val="Char Char Char Char Char Char Char Char Char"/>
    <w:basedOn w:val="828"/>
    <w:pPr>
      <w:ind w:left="200" w:hanging="200"/>
      <w:tabs>
        <w:tab w:val="left" w:pos="360" w:leader="none"/>
      </w:tabs>
    </w:pPr>
    <w:rPr>
      <w:sz w:val="24"/>
      <w:szCs w:val="24"/>
    </w:rPr>
  </w:style>
  <w:style w:type="paragraph" w:styleId="1231" w:customStyle="1">
    <w:name w:val="段落"/>
    <w:basedOn w:val="828"/>
    <w:pPr>
      <w:ind w:firstLine="480"/>
      <w:spacing w:line="460" w:lineRule="exact"/>
    </w:pPr>
    <w:rPr>
      <w:sz w:val="24"/>
    </w:rPr>
  </w:style>
  <w:style w:type="paragraph" w:styleId="1232" w:customStyle="1">
    <w:name w:val="标题6"/>
    <w:basedOn w:val="833"/>
    <w:pPr>
      <w:numPr>
        <w:numId w:val="3"/>
      </w:numPr>
      <w:keepLines/>
    </w:pPr>
    <w:rPr>
      <w:rFonts w:ascii="Times New Roman"/>
      <w:b w:val="0"/>
      <w:bCs/>
      <w:sz w:val="24"/>
      <w:szCs w:val="28"/>
    </w:rPr>
  </w:style>
  <w:style w:type="paragraph" w:styleId="1233" w:customStyle="1">
    <w:name w:val="默认段落字体 Para Char"/>
    <w:basedOn w:val="828"/>
    <w:rPr>
      <w:sz w:val="24"/>
      <w:szCs w:val="24"/>
    </w:rPr>
  </w:style>
  <w:style w:type="paragraph" w:styleId="1234" w:customStyle="1">
    <w:name w:val="p0"/>
    <w:basedOn w:val="828"/>
    <w:pPr>
      <w:jc w:val="left"/>
      <w:spacing w:before="100" w:beforeAutospacing="1" w:after="100" w:afterAutospacing="1"/>
      <w:widowControl/>
    </w:pPr>
    <w:rPr>
      <w:rFonts w:ascii="宋体" w:hAnsi="宋体"/>
      <w:sz w:val="24"/>
      <w:szCs w:val="24"/>
    </w:rPr>
  </w:style>
  <w:style w:type="paragraph" w:styleId="1235" w:customStyle="1">
    <w:name w:val="_Style 42"/>
    <w:basedOn w:val="828"/>
    <w:next w:val="854"/>
    <w:rPr>
      <w:rFonts w:ascii="楷体_GB2312" w:hAnsi="Arial" w:eastAsia="楷体_GB2312"/>
      <w:sz w:val="28"/>
    </w:rPr>
  </w:style>
  <w:style w:type="paragraph" w:styleId="1236" w:customStyle="1">
    <w:name w:val="xl59"/>
    <w:basedOn w:val="828"/>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237" w:customStyle="1">
    <w:name w:val="Char Char1 Char Char Char Char1 Char Char Char Char Char Char"/>
    <w:basedOn w:val="828"/>
    <w:rPr>
      <w:rFonts w:ascii="Tahoma" w:hAnsi="Tahoma"/>
      <w:sz w:val="24"/>
    </w:rPr>
  </w:style>
  <w:style w:type="paragraph" w:styleId="1238" w:customStyle="1">
    <w:name w:val="插图"/>
    <w:basedOn w:val="828"/>
    <w:pPr>
      <w:jc w:val="center"/>
      <w:tabs>
        <w:tab w:val="left" w:pos="1620" w:leader="none"/>
      </w:tabs>
    </w:pPr>
    <w:rPr>
      <w:bCs/>
      <w:color w:val="000000"/>
      <w:szCs w:val="22"/>
    </w:rPr>
  </w:style>
  <w:style w:type="paragraph" w:styleId="1239" w:customStyle="1">
    <w:name w:val="xl61"/>
    <w:basedOn w:val="828"/>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240" w:customStyle="1">
    <w:name w:val="xl34"/>
    <w:basedOn w:val="8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241" w:customStyle="1">
    <w:name w:val="小四 段落 宋体 Char"/>
    <w:basedOn w:val="846"/>
    <w:pPr>
      <w:ind w:left="0" w:right="-33" w:firstLine="600"/>
      <w:jc w:val="left"/>
      <w:tabs>
        <w:tab w:val="clear" w:pos="2952" w:leader="none"/>
      </w:tabs>
    </w:pPr>
    <w:rPr>
      <w:rFonts w:ascii="仿宋_GB2312" w:eastAsia="仿宋_GB2312"/>
      <w:sz w:val="30"/>
      <w:szCs w:val="30"/>
    </w:rPr>
  </w:style>
  <w:style w:type="paragraph" w:styleId="1242" w:customStyle="1">
    <w:name w:val="xl24"/>
    <w:basedOn w:val="8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43" w:customStyle="1">
    <w:name w:val="xl54"/>
    <w:basedOn w:val="82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rPr>
  </w:style>
  <w:style w:type="paragraph" w:styleId="1244" w:customStyle="1">
    <w:name w:val="xl39"/>
    <w:basedOn w:val="8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5" w:customStyle="1">
    <w:name w:val="Char Char Char Char Char Char Char1 Char"/>
    <w:basedOn w:val="828"/>
    <w:rPr>
      <w:rFonts w:ascii="Tahoma" w:hAnsi="Tahoma" w:cs="Tahoma"/>
      <w:sz w:val="24"/>
    </w:rPr>
  </w:style>
  <w:style w:type="paragraph" w:styleId="1246" w:customStyle="1">
    <w:name w:val="Char Char Char Char Char Char Char Char Char Char Char Char Char Char Char Char Char Char Char Char Char1"/>
    <w:basedOn w:val="828"/>
    <w:rPr>
      <w:rFonts w:ascii="Tahoma" w:hAnsi="Tahoma"/>
      <w:sz w:val="24"/>
    </w:rPr>
  </w:style>
  <w:style w:type="paragraph" w:styleId="1247" w:customStyle="1">
    <w:name w:val="标题2，章节第二层"/>
    <w:basedOn w:val="828"/>
    <w:next w:val="1198"/>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48" w:customStyle="1">
    <w:name w:val="Char Char Char"/>
    <w:basedOn w:val="849"/>
    <w:pPr>
      <w:spacing w:line="436" w:lineRule="exact"/>
    </w:pPr>
    <w:rPr>
      <w:szCs w:val="24"/>
    </w:rPr>
  </w:style>
  <w:style w:type="paragraph" w:styleId="1249" w:customStyle="1">
    <w:name w:val="font8"/>
    <w:basedOn w:val="828"/>
    <w:pPr>
      <w:jc w:val="left"/>
      <w:spacing w:before="100" w:beforeAutospacing="1" w:after="100" w:afterAutospacing="1"/>
      <w:widowControl/>
    </w:pPr>
    <w:rPr>
      <w:rFonts w:ascii="宋体" w:hAnsi="宋体"/>
      <w:b/>
      <w:bCs/>
      <w:i/>
      <w:iCs/>
    </w:rPr>
  </w:style>
  <w:style w:type="paragraph" w:styleId="1250" w:customStyle="1">
    <w:name w:val="Char Char Char Char Char Char Char Char Char Char Char Char Char Char"/>
    <w:basedOn w:val="828"/>
    <w:rPr>
      <w:rFonts w:ascii="Tahoma" w:hAnsi="Tahoma"/>
      <w:sz w:val="24"/>
    </w:rPr>
  </w:style>
  <w:style w:type="paragraph" w:styleId="1251" w:customStyle="1">
    <w:name w:val="样式 加点正文 + 段前: 0.5 行 段后: 0.5 行1"/>
    <w:basedOn w:val="828"/>
    <w:pPr>
      <w:ind w:left="1268" w:hanging="420"/>
      <w:spacing w:before="156" w:after="156" w:line="300" w:lineRule="auto"/>
      <w:tabs>
        <w:tab w:val="left" w:pos="420" w:leader="none"/>
        <w:tab w:val="left" w:pos="1268" w:leader="none"/>
      </w:tabs>
    </w:pPr>
    <w:rPr>
      <w:sz w:val="24"/>
    </w:rPr>
  </w:style>
  <w:style w:type="paragraph" w:styleId="1252" w:customStyle="1">
    <w:name w:val="样式 标题 3H3sect1.2.3BOD 0Heading 3 - oldh3l3CTLevel 3 Head..."/>
    <w:basedOn w:val="831"/>
    <w:pPr>
      <w:jc w:val="left"/>
      <w:spacing w:before="156" w:after="156"/>
    </w:pPr>
    <w:rPr>
      <w:rFonts w:cs="宋体"/>
      <w:bCs/>
      <w:sz w:val="30"/>
    </w:rPr>
  </w:style>
  <w:style w:type="paragraph" w:styleId="1253" w:customStyle="1">
    <w:name w:val="正文1"/>
    <w:basedOn w:val="828"/>
    <w:next w:val="828"/>
    <w:pPr>
      <w:ind w:firstLine="510"/>
      <w:spacing w:before="156" w:line="360" w:lineRule="auto"/>
    </w:pPr>
    <w:rPr>
      <w:sz w:val="24"/>
    </w:rPr>
  </w:style>
  <w:style w:type="paragraph" w:styleId="1254" w:customStyle="1">
    <w:name w:val="Table Text Char"/>
    <w:pPr>
      <w:spacing w:before="80" w:after="80"/>
    </w:pPr>
    <w:rPr>
      <w:rFonts w:ascii="Arial" w:hAnsi="Arial" w:cs="Arial"/>
      <w:sz w:val="18"/>
      <w:szCs w:val="28"/>
    </w:rPr>
  </w:style>
  <w:style w:type="paragraph" w:styleId="1255" w:customStyle="1">
    <w:name w:val="Char Char Char Char Char Char Char"/>
    <w:basedOn w:val="828"/>
    <w:pPr>
      <w:jc w:val="left"/>
    </w:pPr>
    <w:rPr>
      <w:rFonts w:ascii="Tahoma" w:hAnsi="Tahoma"/>
      <w:sz w:val="24"/>
    </w:rPr>
  </w:style>
  <w:style w:type="paragraph" w:styleId="1256" w:customStyle="1">
    <w:name w:val="二级条标题"/>
    <w:basedOn w:val="828"/>
    <w:next w:val="1224"/>
    <w:pPr>
      <w:ind w:hanging="420"/>
      <w:widowControl/>
      <w:tabs>
        <w:tab w:val="left" w:pos="2240" w:leader="none"/>
      </w:tabs>
      <w:outlineLvl w:val="3"/>
    </w:pPr>
    <w:rPr>
      <w:rFonts w:eastAsia="黑体"/>
    </w:rPr>
  </w:style>
  <w:style w:type="paragraph" w:styleId="1257" w:customStyle="1">
    <w:name w:val="正文文本 21"/>
    <w:basedOn w:val="828"/>
    <w:pPr>
      <w:ind w:left="720" w:hanging="720"/>
      <w:widowControl/>
    </w:pPr>
    <w:rPr>
      <w:sz w:val="24"/>
      <w:lang w:val="en-GB"/>
    </w:rPr>
  </w:style>
  <w:style w:type="paragraph" w:styleId="1258" w:customStyle="1">
    <w:name w:val="Char Char Char Char Char Char Char Char Char1"/>
    <w:basedOn w:val="828"/>
    <w:pPr>
      <w:ind w:left="360" w:hanging="360"/>
      <w:tabs>
        <w:tab w:val="left" w:pos="360" w:leader="none"/>
      </w:tabs>
    </w:pPr>
    <w:rPr>
      <w:sz w:val="24"/>
      <w:szCs w:val="24"/>
    </w:rPr>
  </w:style>
  <w:style w:type="paragraph" w:styleId="1259" w:customStyle="1">
    <w:name w:val="Char Char Char Char Char Char Char Char Char Char Char Char Char"/>
    <w:basedOn w:val="828"/>
    <w:pPr>
      <w:jc w:val="left"/>
      <w:spacing w:after="160" w:line="240" w:lineRule="exact"/>
      <w:widowControl/>
    </w:pPr>
    <w:rPr>
      <w:szCs w:val="24"/>
    </w:rPr>
  </w:style>
  <w:style w:type="paragraph" w:styleId="1260" w:customStyle="1">
    <w:name w:val="xl48"/>
    <w:basedOn w:val="828"/>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261" w:customStyle="1">
    <w:name w:val="标题 4宋体"/>
    <w:basedOn w:val="832"/>
    <w:pPr>
      <w:jc w:val="left"/>
      <w:keepLines w:val="0"/>
      <w:spacing w:before="0" w:after="0" w:line="360" w:lineRule="auto"/>
    </w:pPr>
    <w:rPr>
      <w:rFonts w:ascii="宋体" w:hAnsi="宋体" w:eastAsia="宋体"/>
      <w:bCs/>
      <w:color w:val="000000"/>
      <w:sz w:val="24"/>
    </w:rPr>
  </w:style>
  <w:style w:type="paragraph" w:styleId="1262" w:customStyle="1">
    <w:name w:val="纯文本1"/>
    <w:basedOn w:val="828"/>
    <w:rPr>
      <w:rFonts w:ascii="宋体" w:hAnsi="宋体" w:eastAsia="楷体_GB2312"/>
      <w:sz w:val="28"/>
    </w:rPr>
  </w:style>
  <w:style w:type="paragraph" w:styleId="1263" w:customStyle="1">
    <w:name w:val="样式"/>
    <w:basedOn w:val="828"/>
    <w:pPr>
      <w:spacing w:before="120" w:after="120" w:line="360" w:lineRule="auto"/>
    </w:pPr>
    <w:rPr>
      <w:rFonts w:ascii="宋体"/>
      <w:sz w:val="24"/>
    </w:rPr>
  </w:style>
  <w:style w:type="paragraph" w:styleId="1264" w:customStyle="1">
    <w:name w:val="xl46"/>
    <w:basedOn w:val="828"/>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265" w:customStyle="1">
    <w:name w:val="Char2 Char Char Char Char Char Char1"/>
    <w:basedOn w:val="828"/>
    <w:pPr>
      <w:ind w:hanging="425"/>
      <w:keepNext/>
      <w:spacing w:before="80" w:after="80"/>
      <w:widowControl/>
      <w:tabs>
        <w:tab w:val="left" w:pos="425" w:leader="none"/>
      </w:tabs>
    </w:pPr>
    <w:rPr>
      <w:rFonts w:ascii="Arial" w:hAnsi="Arial" w:cs="Arial"/>
    </w:rPr>
  </w:style>
  <w:style w:type="paragraph" w:styleId="1266" w:customStyle="1">
    <w:name w:val="zw"/>
    <w:basedOn w:val="828"/>
    <w:pPr>
      <w:ind w:firstLine="480"/>
      <w:jc w:val="left"/>
      <w:spacing w:line="360" w:lineRule="auto"/>
      <w:widowControl/>
    </w:pPr>
    <w:rPr>
      <w:rFonts w:ascii="宋体" w:hAnsi="宋体"/>
      <w:bCs/>
      <w:sz w:val="24"/>
    </w:rPr>
  </w:style>
  <w:style w:type="paragraph" w:styleId="1267" w:customStyle="1">
    <w:name w:val="首行缩进"/>
    <w:basedOn w:val="828"/>
    <w:qFormat/>
    <w:pPr>
      <w:ind w:firstLine="480"/>
    </w:pPr>
  </w:style>
  <w:style w:type="paragraph" w:styleId="1268" w:customStyle="1">
    <w:name w:val="大标题"/>
    <w:basedOn w:val="828"/>
    <w:next w:val="828"/>
    <w:pPr>
      <w:ind w:hanging="420"/>
      <w:pageBreakBefore/>
      <w:spacing w:line="360" w:lineRule="auto"/>
      <w:tabs>
        <w:tab w:val="left" w:pos="420" w:leader="none"/>
      </w:tabs>
      <w:outlineLvl w:val="0"/>
    </w:pPr>
    <w:rPr>
      <w:b/>
      <w:iCs/>
      <w:sz w:val="44"/>
      <w:szCs w:val="24"/>
    </w:rPr>
  </w:style>
  <w:style w:type="paragraph" w:styleId="1269" w:customStyle="1">
    <w:name w:val="tableau"/>
    <w:basedOn w:val="828"/>
    <w:pPr>
      <w:jc w:val="center"/>
      <w:spacing w:before="20" w:after="20"/>
      <w:widowControl/>
    </w:pPr>
    <w:rPr>
      <w:rFonts w:ascii="Arial" w:hAnsi="Arial"/>
      <w:sz w:val="16"/>
      <w:lang w:val="en-GB" w:eastAsia="en-US"/>
    </w:rPr>
  </w:style>
  <w:style w:type="paragraph" w:styleId="1270" w:customStyle="1">
    <w:name w:val="表格1"/>
    <w:basedOn w:val="828"/>
    <w:rPr>
      <w:rFonts w:ascii="宋体"/>
      <w:szCs w:val="21"/>
    </w:rPr>
  </w:style>
  <w:style w:type="paragraph" w:styleId="1271" w:customStyle="1">
    <w:name w:val="论文正文"/>
    <w:basedOn w:val="864"/>
    <w:pPr>
      <w:ind w:left="0" w:firstLine="200"/>
      <w:jc w:val="left"/>
      <w:spacing w:line="360" w:lineRule="auto"/>
    </w:pPr>
    <w:rPr>
      <w:rFonts w:ascii="Times New Roman" w:hAnsi="Times New Roman"/>
      <w:sz w:val="28"/>
      <w:szCs w:val="24"/>
    </w:rPr>
  </w:style>
  <w:style w:type="paragraph" w:styleId="1272" w:customStyle="1">
    <w:name w:val="项目符号，一级"/>
    <w:basedOn w:val="1198"/>
    <w:next w:val="1198"/>
    <w:pPr>
      <w:ind w:left="376" w:firstLine="0"/>
      <w:spacing w:line="240" w:lineRule="atLeast"/>
      <w:tabs>
        <w:tab w:val="left" w:pos="1320" w:leader="none"/>
      </w:tabs>
    </w:pPr>
    <w:rPr>
      <w:bCs w:val="0"/>
      <w:color w:val="000000"/>
      <w:szCs w:val="24"/>
    </w:rPr>
  </w:style>
  <w:style w:type="paragraph" w:styleId="1273" w:customStyle="1">
    <w:name w:val="Char Char Char Char Char Char Char Char Char Char Char"/>
    <w:basedOn w:val="828"/>
    <w:rPr>
      <w:rFonts w:ascii="Tahoma" w:hAnsi="Tahoma" w:cs="Tahoma"/>
      <w:sz w:val="24"/>
    </w:rPr>
  </w:style>
  <w:style w:type="paragraph" w:styleId="1274" w:customStyle="1">
    <w:name w:val="xl42"/>
    <w:basedOn w:val="8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75" w:customStyle="1">
    <w:name w:val="正文文本缩进1"/>
    <w:basedOn w:val="828"/>
    <w:pPr>
      <w:ind w:left="420"/>
      <w:spacing w:after="120"/>
    </w:pPr>
    <w:rPr>
      <w:szCs w:val="24"/>
    </w:rPr>
  </w:style>
  <w:style w:type="paragraph" w:styleId="1276" w:customStyle="1">
    <w:name w:val="xl63"/>
    <w:basedOn w:val="828"/>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277" w:customStyle="1">
    <w:name w:val="xl55"/>
    <w:basedOn w:val="828"/>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278" w:customStyle="1">
    <w:name w:val="Char Char Char Char Char Char Char1"/>
    <w:basedOn w:val="828"/>
    <w:rPr>
      <w:rFonts w:ascii="Tahoma" w:hAnsi="Tahoma"/>
      <w:sz w:val="24"/>
    </w:rPr>
  </w:style>
  <w:style w:type="paragraph" w:styleId="1279" w:customStyle="1">
    <w:name w:val="xl57"/>
    <w:basedOn w:val="828"/>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280" w:customStyle="1">
    <w:name w:val="表头_5"/>
    <w:basedOn w:val="828"/>
    <w:pPr>
      <w:spacing w:line="360" w:lineRule="auto"/>
    </w:pPr>
    <w:rPr>
      <w:b/>
      <w:bCs/>
      <w:sz w:val="28"/>
      <w:szCs w:val="21"/>
    </w:rPr>
  </w:style>
  <w:style w:type="paragraph" w:styleId="1281" w:customStyle="1">
    <w:name w:val="表格文字"/>
    <w:basedOn w:val="828"/>
    <w:pPr>
      <w:ind w:firstLine="200"/>
      <w:jc w:val="left"/>
      <w:spacing w:line="360" w:lineRule="auto"/>
    </w:pPr>
    <w:rPr>
      <w:rFonts w:ascii="Arial" w:hAnsi="Arial"/>
      <w:sz w:val="24"/>
    </w:rPr>
  </w:style>
  <w:style w:type="paragraph" w:styleId="1282" w:customStyle="1">
    <w:name w:val="font10"/>
    <w:basedOn w:val="828"/>
    <w:pPr>
      <w:jc w:val="left"/>
      <w:spacing w:before="100" w:beforeAutospacing="1" w:after="100" w:afterAutospacing="1"/>
      <w:widowControl/>
    </w:pPr>
    <w:rPr>
      <w:rFonts w:ascii="楷体_GB2312" w:hAnsi="宋体" w:eastAsia="楷体_GB2312"/>
      <w:b/>
      <w:bCs/>
      <w:sz w:val="18"/>
      <w:szCs w:val="18"/>
    </w:rPr>
  </w:style>
  <w:style w:type="paragraph" w:styleId="1283" w:customStyle="1">
    <w:name w:val="font5"/>
    <w:basedOn w:val="828"/>
    <w:uiPriority w:val="99"/>
    <w:qFormat/>
    <w:pPr>
      <w:jc w:val="left"/>
      <w:spacing w:before="100" w:beforeAutospacing="1" w:after="100" w:afterAutospacing="1"/>
      <w:widowControl/>
    </w:pPr>
    <w:rPr>
      <w:rFonts w:ascii="宋体" w:hAnsi="宋体"/>
      <w:sz w:val="18"/>
      <w:szCs w:val="18"/>
    </w:rPr>
  </w:style>
  <w:style w:type="paragraph" w:styleId="1284" w:customStyle="1">
    <w:name w:val="Char Char Char Char Char Char Char Char Char Char Char1"/>
    <w:basedOn w:val="828"/>
    <w:rPr>
      <w:rFonts w:ascii="Tahoma" w:hAnsi="Tahoma"/>
      <w:sz w:val="24"/>
    </w:rPr>
  </w:style>
  <w:style w:type="paragraph" w:styleId="1285" w:customStyle="1">
    <w:name w:val="文档正文"/>
    <w:basedOn w:val="828"/>
    <w:pPr>
      <w:spacing w:line="360" w:lineRule="auto"/>
    </w:pPr>
    <w:rPr>
      <w:rFonts w:ascii="宋体" w:hAnsi="宋体"/>
      <w:b/>
      <w:bCs/>
      <w:szCs w:val="24"/>
    </w:rPr>
  </w:style>
  <w:style w:type="paragraph" w:styleId="1286" w:customStyle="1">
    <w:name w:val="小四 段落 宋体 Char Char Char Char"/>
    <w:basedOn w:val="828"/>
    <w:pPr>
      <w:ind w:right="-33" w:firstLine="480"/>
      <w:jc w:val="left"/>
      <w:spacing w:line="360" w:lineRule="auto"/>
    </w:pPr>
    <w:rPr>
      <w:sz w:val="24"/>
      <w:szCs w:val="24"/>
    </w:rPr>
  </w:style>
  <w:style w:type="paragraph" w:styleId="1287" w:customStyle="1">
    <w:name w:val="部分1"/>
    <w:basedOn w:val="828"/>
    <w:pPr>
      <w:jc w:val="center"/>
      <w:keepNext/>
      <w:pageBreakBefore/>
      <w:spacing w:line="360" w:lineRule="auto"/>
      <w:tabs>
        <w:tab w:val="left" w:pos="360" w:leader="none"/>
      </w:tabs>
      <w:outlineLvl w:val="0"/>
    </w:pPr>
    <w:rPr>
      <w:rFonts w:eastAsia="黑体"/>
      <w:b/>
      <w:sz w:val="36"/>
    </w:rPr>
  </w:style>
  <w:style w:type="paragraph" w:styleId="1288" w:customStyle="1">
    <w:name w:val="Default"/>
    <w:pPr>
      <w:widowControl w:val="off"/>
    </w:pPr>
    <w:rPr>
      <w:rFonts w:ascii="宋体" w:cs="宋体"/>
      <w:color w:val="000000"/>
      <w:sz w:val="24"/>
      <w:szCs w:val="24"/>
    </w:rPr>
  </w:style>
  <w:style w:type="paragraph" w:styleId="1289" w:customStyle="1">
    <w:name w:val="Char Char"/>
    <w:basedOn w:val="828"/>
    <w:rPr>
      <w:rFonts w:ascii="Tahoma" w:hAnsi="Tahoma" w:cs="Tahoma"/>
      <w:sz w:val="24"/>
    </w:rPr>
  </w:style>
  <w:style w:type="paragraph" w:styleId="1290" w:customStyle="1">
    <w:name w:val="马刚标题3"/>
    <w:basedOn w:val="828"/>
    <w:next w:val="828"/>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91" w:customStyle="1">
    <w:name w:val="xl51"/>
    <w:basedOn w:val="82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92" w:customStyle="1">
    <w:name w:val="标题1，章节第一层"/>
    <w:basedOn w:val="1198"/>
    <w:next w:val="1198"/>
    <w:pPr>
      <w:ind w:left="482"/>
      <w:spacing w:before="0"/>
      <w:tabs>
        <w:tab w:val="left" w:pos="693" w:leader="none"/>
      </w:tabs>
      <w:outlineLvl w:val="0"/>
    </w:pPr>
    <w:rPr>
      <w:color w:val="000000"/>
      <w:sz w:val="24"/>
      <w:szCs w:val="24"/>
    </w:rPr>
  </w:style>
  <w:style w:type="paragraph" w:styleId="1293" w:customStyle="1">
    <w:name w:val="一级标题"/>
    <w:basedOn w:val="828"/>
    <w:pPr>
      <w:ind w:left="900" w:hanging="420"/>
      <w:spacing w:line="360" w:lineRule="auto"/>
      <w:tabs>
        <w:tab w:val="left" w:pos="903" w:leader="none"/>
      </w:tabs>
    </w:pPr>
    <w:rPr>
      <w:rFonts w:ascii="Arial" w:hAnsi="Arial" w:cs="Arial"/>
      <w:sz w:val="24"/>
    </w:rPr>
  </w:style>
  <w:style w:type="paragraph" w:styleId="1294" w:customStyle="1">
    <w:name w:val="符号与编号 Char Char"/>
    <w:basedOn w:val="828"/>
    <w:pPr>
      <w:ind w:left="839" w:hanging="419"/>
      <w:spacing w:after="156" w:line="400" w:lineRule="atLeast"/>
      <w:tabs>
        <w:tab w:val="left" w:pos="840" w:leader="none"/>
      </w:tabs>
    </w:pPr>
    <w:rPr>
      <w:sz w:val="24"/>
      <w:szCs w:val="24"/>
    </w:rPr>
  </w:style>
  <w:style w:type="paragraph" w:styleId="1295" w:customStyle="1">
    <w:name w:val="丁华标题1"/>
    <w:basedOn w:val="829"/>
    <w:next w:val="1296"/>
    <w:pPr>
      <w:ind w:left="567" w:hanging="567"/>
      <w:jc w:val="left"/>
      <w:keepLines/>
      <w:spacing w:before="600" w:after="120" w:line="578" w:lineRule="auto"/>
      <w:tabs>
        <w:tab w:val="left" w:pos="567" w:leader="none"/>
      </w:tabs>
    </w:pPr>
    <w:rPr>
      <w:rFonts w:ascii="Times New Roman"/>
      <w:b w:val="0"/>
      <w:sz w:val="32"/>
      <w:szCs w:val="20"/>
    </w:rPr>
  </w:style>
  <w:style w:type="paragraph" w:styleId="1296" w:customStyle="1">
    <w:name w:val="丁华正文"/>
    <w:basedOn w:val="878"/>
    <w:pPr>
      <w:ind w:firstLine="510"/>
    </w:pPr>
    <w:rPr>
      <w:rFonts w:ascii="Times New Roman" w:hAnsi="Times New Roman" w:eastAsia="宋体"/>
      <w:color w:val="000000"/>
      <w:szCs w:val="16"/>
    </w:rPr>
  </w:style>
  <w:style w:type="paragraph" w:styleId="1297" w:customStyle="1">
    <w:name w:val="Item Step in Table"/>
    <w:pPr>
      <w:numPr>
        <w:numId w:val="4"/>
      </w:numPr>
      <w:jc w:val="both"/>
      <w:spacing w:before="40" w:after="40"/>
    </w:pPr>
    <w:rPr>
      <w:rFonts w:ascii="Arial" w:hAnsi="Arial" w:cs="Arial"/>
      <w:sz w:val="18"/>
      <w:szCs w:val="18"/>
    </w:rPr>
  </w:style>
  <w:style w:type="paragraph" w:styleId="1298" w:customStyle="1">
    <w:name w:val="greytypebeni"/>
    <w:basedOn w:val="828"/>
    <w:pPr>
      <w:jc w:val="left"/>
      <w:widowControl/>
    </w:pPr>
    <w:rPr>
      <w:rFonts w:ascii="宋体" w:hAnsi="宋体"/>
      <w:sz w:val="24"/>
      <w:szCs w:val="24"/>
    </w:rPr>
  </w:style>
  <w:style w:type="paragraph" w:styleId="1299" w:customStyle="1">
    <w:name w:val="xl53"/>
    <w:basedOn w:val="82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300" w:customStyle="1">
    <w:name w:val="样式 样式 首行缩进:  2 字符 + 行距: 1.5 倍行距"/>
    <w:basedOn w:val="828"/>
    <w:pPr>
      <w:ind w:firstLine="470"/>
      <w:spacing w:line="360" w:lineRule="auto"/>
    </w:pPr>
    <w:rPr>
      <w:sz w:val="24"/>
    </w:rPr>
  </w:style>
  <w:style w:type="paragraph" w:styleId="1301" w:customStyle="1">
    <w:name w:val="xl50"/>
    <w:basedOn w:val="828"/>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302" w:customStyle="1">
    <w:name w:val="flType"/>
    <w:basedOn w:val="1186"/>
    <w:pPr>
      <w:spacing w:after="284"/>
    </w:pPr>
    <w:rPr>
      <w:rFonts w:eastAsia="宋体"/>
    </w:rPr>
  </w:style>
  <w:style w:type="paragraph" w:styleId="1303" w:customStyle="1">
    <w:name w:val="样式1"/>
    <w:basedOn w:val="828"/>
    <w:uiPriority w:val="99"/>
    <w:qFormat/>
    <w:pPr>
      <w:ind w:firstLine="480"/>
      <w:spacing w:line="300" w:lineRule="auto"/>
    </w:pPr>
    <w:rPr>
      <w:sz w:val="24"/>
      <w:szCs w:val="24"/>
    </w:rPr>
  </w:style>
  <w:style w:type="paragraph" w:styleId="1304" w:customStyle="1">
    <w:name w:val="标题3"/>
    <w:basedOn w:val="831"/>
    <w:uiPriority w:val="99"/>
    <w:qFormat/>
    <w:pPr>
      <w:keepLines w:val="0"/>
      <w:keepNext w:val="0"/>
      <w:spacing w:line="360" w:lineRule="auto"/>
    </w:pPr>
    <w:rPr>
      <w:rFonts w:eastAsia="仿宋_GB2312"/>
      <w:b w:val="0"/>
      <w:bCs/>
      <w:sz w:val="30"/>
      <w:szCs w:val="32"/>
    </w:rPr>
  </w:style>
  <w:style w:type="paragraph" w:styleId="1305" w:customStyle="1">
    <w:name w:val="xl33"/>
    <w:basedOn w:val="8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06" w:customStyle="1">
    <w:name w:val="Default Text"/>
    <w:basedOn w:val="828"/>
    <w:pPr>
      <w:jc w:val="left"/>
      <w:widowControl/>
    </w:pPr>
    <w:rPr>
      <w:sz w:val="24"/>
      <w:lang w:eastAsia="en-US"/>
    </w:rPr>
  </w:style>
  <w:style w:type="paragraph" w:styleId="1307" w:customStyle="1">
    <w:name w:val="修订1"/>
    <w:uiPriority w:val="99"/>
    <w:rPr>
      <w:sz w:val="21"/>
      <w:szCs w:val="24"/>
    </w:rPr>
  </w:style>
  <w:style w:type="paragraph" w:styleId="1308" w:customStyle="1">
    <w:name w:val="条1"/>
    <w:basedOn w:val="828"/>
    <w:pPr>
      <w:ind w:left="780" w:hanging="360"/>
      <w:spacing w:before="156" w:line="360" w:lineRule="auto"/>
      <w:tabs>
        <w:tab w:val="left" w:pos="780" w:leader="none"/>
      </w:tabs>
    </w:pPr>
    <w:rPr>
      <w:rFonts w:eastAsia="黑体"/>
      <w:sz w:val="24"/>
    </w:rPr>
  </w:style>
  <w:style w:type="paragraph" w:styleId="1309" w:customStyle="1">
    <w:name w:val="普通文字"/>
    <w:basedOn w:val="828"/>
    <w:next w:val="828"/>
    <w:rPr>
      <w:rFonts w:ascii="宋体" w:hAnsi="宋体"/>
      <w:sz w:val="24"/>
    </w:rPr>
  </w:style>
  <w:style w:type="paragraph" w:styleId="1310" w:customStyle="1">
    <w:name w:val="xl52"/>
    <w:basedOn w:val="828"/>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311" w:customStyle="1">
    <w:name w:val="样式4 Char"/>
    <w:basedOn w:val="828"/>
    <w:pPr>
      <w:ind w:firstLine="480"/>
      <w:jc w:val="left"/>
      <w:spacing w:line="360" w:lineRule="auto"/>
      <w:widowControl/>
    </w:pPr>
    <w:rPr>
      <w:color w:val="000000"/>
      <w:sz w:val="24"/>
      <w:szCs w:val="24"/>
    </w:rPr>
  </w:style>
  <w:style w:type="paragraph" w:styleId="1312" w:customStyle="1">
    <w:name w:val="表格内文字"/>
    <w:basedOn w:val="828"/>
    <w:pPr>
      <w:spacing w:line="300" w:lineRule="atLeast"/>
    </w:pPr>
    <w:rPr>
      <w:sz w:val="18"/>
      <w:szCs w:val="24"/>
    </w:rPr>
  </w:style>
  <w:style w:type="paragraph" w:styleId="1313" w:customStyle="1">
    <w:name w:val="小四 段落 宋体 Char Char"/>
    <w:basedOn w:val="828"/>
    <w:pPr>
      <w:ind w:firstLine="480"/>
      <w:spacing w:line="360" w:lineRule="auto"/>
    </w:pPr>
    <w:rPr>
      <w:rFonts w:ascii="宋体" w:hAnsi="宋体"/>
      <w:sz w:val="24"/>
      <w:szCs w:val="24"/>
    </w:rPr>
  </w:style>
  <w:style w:type="paragraph" w:styleId="1314" w:customStyle="1">
    <w:name w:val="Char Char Char Char Char Char Char Char Char Char Char Char Char1"/>
    <w:basedOn w:val="849"/>
    <w:rPr>
      <w:rFonts w:ascii="Tahoma" w:hAnsi="Tahoma"/>
      <w:sz w:val="24"/>
      <w:szCs w:val="24"/>
    </w:rPr>
  </w:style>
  <w:style w:type="paragraph" w:styleId="1315" w:customStyle="1">
    <w:name w:val="p15"/>
    <w:basedOn w:val="828"/>
    <w:pPr>
      <w:ind w:firstLine="420"/>
      <w:spacing w:line="360" w:lineRule="auto"/>
      <w:widowControl/>
    </w:pPr>
    <w:rPr>
      <w:rFonts w:eastAsia="宋体"/>
      <w:sz w:val="24"/>
      <w:szCs w:val="24"/>
      <w:lang w:val="en-US"/>
    </w:rPr>
  </w:style>
  <w:style w:type="paragraph" w:styleId="1316" w:customStyle="1">
    <w:name w:val="Char Char Char Char Char Char Char Char"/>
    <w:basedOn w:val="828"/>
    <w:rPr>
      <w:rFonts w:ascii="Tahoma" w:hAnsi="Tahoma"/>
      <w:sz w:val="24"/>
    </w:rPr>
  </w:style>
  <w:style w:type="paragraph" w:styleId="1317" w:customStyle="1">
    <w:name w:val="xl28"/>
    <w:basedOn w:val="82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318" w:customStyle="1">
    <w:name w:val="表格"/>
    <w:basedOn w:val="828"/>
    <w:pPr>
      <w:ind w:firstLine="21"/>
    </w:pPr>
    <w:rPr>
      <w:rFonts w:ascii="宋体" w:hAnsi="宋体"/>
    </w:rPr>
  </w:style>
  <w:style w:type="paragraph" w:styleId="1319" w:customStyle="1">
    <w:name w:val="Char Char11"/>
    <w:basedOn w:val="828"/>
    <w:rPr>
      <w:rFonts w:ascii="Tahoma" w:hAnsi="Tahoma"/>
      <w:sz w:val="24"/>
    </w:rPr>
  </w:style>
  <w:style w:type="paragraph" w:styleId="1320" w:customStyle="1">
    <w:name w:val="列表内容"/>
    <w:basedOn w:val="828"/>
    <w:next w:val="828"/>
    <w:pPr>
      <w:ind w:left="840" w:hanging="420"/>
      <w:jc w:val="left"/>
      <w:widowControl/>
      <w:tabs>
        <w:tab w:val="left" w:pos="840" w:leader="none"/>
      </w:tabs>
    </w:pPr>
    <w:rPr>
      <w:sz w:val="18"/>
      <w:szCs w:val="24"/>
    </w:rPr>
  </w:style>
  <w:style w:type="paragraph" w:styleId="1321" w:customStyle="1">
    <w:name w:val="a0"/>
    <w:basedOn w:val="828"/>
    <w:pPr>
      <w:spacing w:before="100" w:beforeAutospacing="1" w:after="100" w:afterAutospacing="1"/>
      <w:widowControl/>
    </w:pPr>
    <w:rPr>
      <w:rFonts w:ascii="宋体" w:hAnsi="宋体"/>
      <w:sz w:val="24"/>
      <w:szCs w:val="24"/>
    </w:rPr>
  </w:style>
  <w:style w:type="paragraph" w:styleId="1322" w:customStyle="1">
    <w:name w:val="表蕊"/>
    <w:basedOn w:val="828"/>
    <w:pPr>
      <w:jc w:val="left"/>
      <w:spacing w:line="320" w:lineRule="atLeast"/>
    </w:pPr>
    <w:rPr>
      <w:rFonts w:eastAsia="楷体_GB2312"/>
      <w:spacing w:val="-10"/>
    </w:rPr>
  </w:style>
  <w:style w:type="paragraph" w:styleId="1323" w:customStyle="1">
    <w:name w:val="符号与编号 Char"/>
    <w:basedOn w:val="828"/>
    <w:pPr>
      <w:ind w:left="720"/>
      <w:spacing w:after="156" w:line="400" w:lineRule="atLeast"/>
      <w:tabs>
        <w:tab w:val="left" w:pos="720" w:leader="none"/>
      </w:tabs>
    </w:pPr>
    <w:rPr>
      <w:sz w:val="24"/>
      <w:szCs w:val="24"/>
    </w:rPr>
  </w:style>
  <w:style w:type="paragraph" w:styleId="1324" w:customStyle="1">
    <w:name w:val="样式 段后: 0.5 行 左  0.75 字符"/>
    <w:basedOn w:val="828"/>
    <w:pPr>
      <w:ind w:firstLine="420"/>
      <w:spacing w:line="360" w:lineRule="auto"/>
      <w:widowControl/>
    </w:pPr>
    <w:rPr>
      <w:rFonts w:hAnsi="Arial" w:cs="Arial"/>
      <w:szCs w:val="21"/>
    </w:rPr>
  </w:style>
  <w:style w:type="paragraph" w:styleId="1325" w:customStyle="1">
    <w:name w:val="Char"/>
    <w:basedOn w:val="828"/>
    <w:semiHidden/>
    <w:rPr>
      <w:rFonts w:ascii="Tahoma" w:hAnsi="Tahoma" w:cs="仿宋_GB2312"/>
      <w:sz w:val="24"/>
      <w:szCs w:val="28"/>
    </w:rPr>
  </w:style>
  <w:style w:type="paragraph" w:styleId="1326" w:customStyle="1">
    <w:name w:val="font14"/>
    <w:basedOn w:val="828"/>
    <w:pPr>
      <w:jc w:val="left"/>
      <w:spacing w:before="100" w:beforeAutospacing="1" w:after="100" w:afterAutospacing="1"/>
      <w:widowControl/>
    </w:pPr>
    <w:rPr>
      <w:sz w:val="36"/>
      <w:szCs w:val="36"/>
    </w:rPr>
  </w:style>
  <w:style w:type="paragraph" w:styleId="1327" w:customStyle="1">
    <w:name w:val="标题3，章节第三层"/>
    <w:basedOn w:val="828"/>
    <w:next w:val="1198"/>
    <w:pPr>
      <w:spacing w:before="78" w:line="300" w:lineRule="auto"/>
      <w:outlineLvl w:val="2"/>
    </w:pPr>
    <w:rPr>
      <w:rFonts w:ascii="Arial" w:hAnsi="Arial" w:eastAsia="华文细黑"/>
      <w:sz w:val="30"/>
      <w:szCs w:val="24"/>
    </w:rPr>
  </w:style>
  <w:style w:type="paragraph" w:styleId="1328" w:customStyle="1">
    <w:name w:val="font6"/>
    <w:basedOn w:val="828"/>
    <w:uiPriority w:val="99"/>
    <w:qFormat/>
    <w:pPr>
      <w:jc w:val="left"/>
      <w:spacing w:before="100" w:beforeAutospacing="1" w:after="100" w:afterAutospacing="1"/>
      <w:widowControl/>
    </w:pPr>
    <w:rPr>
      <w:rFonts w:ascii="宋体" w:hAnsi="宋体"/>
      <w:b/>
      <w:bCs/>
    </w:rPr>
  </w:style>
  <w:style w:type="paragraph" w:styleId="1329" w:customStyle="1">
    <w:name w:val="xl26"/>
    <w:basedOn w:val="8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30" w:customStyle="1">
    <w:name w:val="xl27"/>
    <w:basedOn w:val="8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331" w:customStyle="1">
    <w:name w:val="章标题"/>
    <w:next w:val="1224"/>
    <w:pPr>
      <w:jc w:val="both"/>
      <w:spacing w:before="156" w:after="156"/>
      <w:outlineLvl w:val="1"/>
    </w:pPr>
    <w:rPr>
      <w:rFonts w:eastAsia="黑体"/>
      <w:sz w:val="21"/>
    </w:rPr>
  </w:style>
  <w:style w:type="paragraph" w:styleId="1332" w:customStyle="1">
    <w:name w:val="Char Char Char Char Char"/>
    <w:basedOn w:val="828"/>
    <w:rPr>
      <w:rFonts w:ascii="Tahoma" w:hAnsi="Tahoma" w:cs="Tahoma"/>
      <w:sz w:val="24"/>
    </w:rPr>
  </w:style>
  <w:style w:type="paragraph" w:styleId="1333" w:customStyle="1">
    <w:name w:val="Char Char Char Char Char Char Char Char Char Char Char1 Char Char Char1"/>
    <w:basedOn w:val="828"/>
    <w:semiHidden/>
    <w:pPr>
      <w:ind w:firstLine="200"/>
      <w:jc w:val="left"/>
    </w:pPr>
    <w:rPr>
      <w:rFonts w:ascii="Tahoma" w:hAnsi="Tahoma"/>
      <w:sz w:val="24"/>
      <w:szCs w:val="24"/>
    </w:rPr>
  </w:style>
  <w:style w:type="paragraph" w:styleId="1334" w:customStyle="1">
    <w:name w:val="Item List Char Char"/>
    <w:pPr>
      <w:jc w:val="both"/>
      <w:spacing w:line="288" w:lineRule="auto"/>
    </w:pPr>
    <w:rPr>
      <w:rFonts w:ascii="Arial" w:hAnsi="Arial" w:cs="Arial"/>
      <w:b/>
      <w:bCs/>
      <w:sz w:val="21"/>
      <w:szCs w:val="28"/>
    </w:rPr>
  </w:style>
  <w:style w:type="paragraph" w:styleId="1335" w:customStyle="1">
    <w:name w:val="样式 样式 首行缩进:  0.74 厘米 行距: 1.5 倍行距 + 段后: 0.5 行"/>
    <w:basedOn w:val="828"/>
    <w:pPr>
      <w:ind w:firstLine="420"/>
      <w:spacing w:line="360" w:lineRule="auto"/>
    </w:pPr>
    <w:rPr>
      <w:rFonts w:ascii="楷体_GB2312" w:eastAsia="楷体_GB2312"/>
      <w:bCs/>
      <w:sz w:val="24"/>
    </w:rPr>
  </w:style>
  <w:style w:type="paragraph" w:styleId="1336" w:customStyle="1">
    <w:name w:val="Char Char Char Char Char Char Char Char Char Char Char Char Char Char1"/>
    <w:basedOn w:val="828"/>
    <w:rPr>
      <w:rFonts w:ascii="Tahoma" w:hAnsi="Tahoma" w:cs="Tahoma"/>
      <w:sz w:val="24"/>
    </w:rPr>
  </w:style>
  <w:style w:type="paragraph" w:styleId="1337" w:customStyle="1">
    <w:name w:val="7"/>
    <w:basedOn w:val="828"/>
    <w:next w:val="886"/>
    <w:pPr>
      <w:jc w:val="left"/>
      <w:spacing w:before="100" w:beforeAutospacing="1" w:after="100" w:afterAutospacing="1"/>
      <w:widowControl/>
    </w:pPr>
    <w:rPr>
      <w:rFonts w:ascii="宋体" w:hAnsi="宋体"/>
      <w:sz w:val="24"/>
    </w:rPr>
  </w:style>
  <w:style w:type="paragraph" w:styleId="1338" w:customStyle="1">
    <w:name w:val="正文 首行缩进:  2 字符 Char"/>
    <w:basedOn w:val="828"/>
    <w:pPr>
      <w:ind w:firstLine="480"/>
      <w:spacing w:line="360" w:lineRule="auto"/>
    </w:pPr>
    <w:rPr>
      <w:sz w:val="24"/>
    </w:rPr>
  </w:style>
  <w:style w:type="paragraph" w:styleId="1339" w:customStyle="1">
    <w:name w:val="xl45"/>
    <w:basedOn w:val="828"/>
    <w:pPr>
      <w:jc w:val="center"/>
      <w:spacing w:before="100" w:beforeAutospacing="1" w:after="100" w:afterAutospacing="1"/>
      <w:widowControl/>
      <w:pBdr>
        <w:left w:val="single" w:color="000000" w:sz="4" w:space="0"/>
        <w:right w:val="single" w:color="000000" w:sz="4" w:space="0"/>
      </w:pBdr>
    </w:pPr>
    <w:rPr>
      <w:rFonts w:ascii="宋体" w:hAnsi="宋体"/>
      <w:b/>
      <w:bCs/>
    </w:rPr>
  </w:style>
  <w:style w:type="paragraph" w:styleId="1340" w:customStyle="1">
    <w:name w:val="丁华标题3"/>
    <w:basedOn w:val="1341"/>
    <w:next w:val="1296"/>
    <w:pPr>
      <w:numPr>
        <w:ilvl w:val="2"/>
      </w:numPr>
      <w:ind w:left="1980" w:hanging="420"/>
      <w:spacing w:after="0"/>
      <w:tabs>
        <w:tab w:val="left" w:pos="1470" w:leader="none"/>
        <w:tab w:val="left" w:pos="1980" w:leader="none"/>
      </w:tabs>
      <w:outlineLvl w:val="2"/>
    </w:pPr>
    <w:rPr>
      <w:sz w:val="24"/>
    </w:rPr>
  </w:style>
  <w:style w:type="paragraph" w:styleId="1341" w:customStyle="1">
    <w:name w:val="丁华标题2"/>
    <w:basedOn w:val="830"/>
    <w:next w:val="1296"/>
    <w:pPr>
      <w:numPr>
        <w:ilvl w:val="1"/>
        <w:numId w:val="1"/>
      </w:numPr>
      <w:spacing w:line="415" w:lineRule="auto"/>
    </w:pPr>
    <w:rPr>
      <w:rFonts w:ascii="Arial" w:hAnsi="Arial" w:eastAsia="黑体"/>
      <w:b w:val="0"/>
      <w:sz w:val="28"/>
      <w:szCs w:val="20"/>
    </w:rPr>
  </w:style>
  <w:style w:type="paragraph" w:styleId="1342" w:customStyle="1">
    <w:name w:val="Char1 Char Char Char1"/>
    <w:basedOn w:val="828"/>
    <w:rPr>
      <w:rFonts w:ascii="Tahoma" w:hAnsi="Tahoma" w:cs="Tahoma"/>
      <w:sz w:val="24"/>
    </w:rPr>
  </w:style>
  <w:style w:type="paragraph" w:styleId="1343" w:customStyle="1">
    <w:name w:val="我的正文"/>
    <w:basedOn w:val="828"/>
    <w:pPr>
      <w:ind w:firstLine="420"/>
      <w:jc w:val="left"/>
      <w:spacing w:line="360" w:lineRule="auto"/>
      <w:widowControl/>
    </w:pPr>
    <w:rPr>
      <w:rFonts w:ascii="宋体" w:hAnsi="宋体"/>
      <w:szCs w:val="21"/>
    </w:rPr>
  </w:style>
  <w:style w:type="paragraph" w:styleId="1344" w:customStyle="1">
    <w:name w:val="Char Char1 Char"/>
    <w:basedOn w:val="828"/>
    <w:pPr>
      <w:jc w:val="left"/>
      <w:spacing w:after="160" w:line="240" w:lineRule="exact"/>
      <w:widowControl/>
    </w:pPr>
    <w:rPr>
      <w:rFonts w:ascii="Verdana" w:hAnsi="Verdana"/>
      <w:lang w:eastAsia="en-US"/>
    </w:rPr>
  </w:style>
  <w:style w:type="paragraph" w:styleId="1345" w:customStyle="1">
    <w:name w:val="项目符号：一级"/>
    <w:basedOn w:val="1198"/>
    <w:next w:val="1198"/>
    <w:pPr>
      <w:ind w:right="-134"/>
    </w:pPr>
    <w:rPr>
      <w:bCs w:val="0"/>
    </w:rPr>
  </w:style>
  <w:style w:type="paragraph" w:styleId="1346" w:customStyle="1">
    <w:name w:val="正文lzq"/>
    <w:basedOn w:val="828"/>
    <w:pPr>
      <w:ind w:firstLine="480"/>
      <w:spacing w:line="360" w:lineRule="auto"/>
    </w:pPr>
    <w:rPr>
      <w:sz w:val="24"/>
    </w:rPr>
  </w:style>
  <w:style w:type="paragraph" w:styleId="1347" w:customStyle="1">
    <w:name w:val="Char Char Char Char Char Char"/>
    <w:basedOn w:val="828"/>
    <w:rPr>
      <w:rFonts w:ascii="Tahoma" w:hAnsi="Tahoma" w:cs="Tahoma"/>
      <w:sz w:val="24"/>
    </w:rPr>
  </w:style>
  <w:style w:type="paragraph" w:styleId="1348" w:customStyle="1">
    <w:name w:val="xl29"/>
    <w:basedOn w:val="8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49" w:customStyle="1">
    <w:name w:val="xl62"/>
    <w:basedOn w:val="82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350" w:customStyle="1">
    <w:name w:val="Char Char1 Char Char Char Char Char Char Char"/>
    <w:basedOn w:val="828"/>
    <w:rPr>
      <w:rFonts w:ascii="Tahoma" w:hAnsi="Tahoma" w:cs="Tahoma"/>
      <w:sz w:val="24"/>
    </w:rPr>
  </w:style>
  <w:style w:type="paragraph" w:styleId="1351" w:customStyle="1">
    <w:name w:val="马刚标题4"/>
    <w:basedOn w:val="1290"/>
    <w:next w:val="828"/>
    <w:pPr>
      <w:spacing w:before="100" w:after="40"/>
      <w:tabs>
        <w:tab w:val="left" w:pos="1050" w:leader="none"/>
      </w:tabs>
      <w:outlineLvl w:val="3"/>
    </w:pPr>
    <w:rPr>
      <w:b w:val="0"/>
    </w:rPr>
  </w:style>
  <w:style w:type="paragraph" w:styleId="1352" w:customStyle="1">
    <w:name w:val="xl36"/>
    <w:basedOn w:val="8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53" w:customStyle="1">
    <w:name w:val="font9"/>
    <w:basedOn w:val="828"/>
    <w:pPr>
      <w:jc w:val="left"/>
      <w:spacing w:before="100" w:beforeAutospacing="1" w:after="100" w:afterAutospacing="1"/>
      <w:widowControl/>
    </w:pPr>
    <w:rPr>
      <w:b/>
      <w:bCs/>
    </w:rPr>
  </w:style>
  <w:style w:type="paragraph" w:styleId="1354" w:customStyle="1">
    <w:name w:val="font12"/>
    <w:basedOn w:val="828"/>
    <w:pPr>
      <w:jc w:val="left"/>
      <w:spacing w:before="100" w:beforeAutospacing="1" w:after="100" w:afterAutospacing="1"/>
      <w:widowControl/>
    </w:pPr>
    <w:rPr>
      <w:rFonts w:ascii="宋体" w:hAnsi="宋体"/>
      <w:sz w:val="36"/>
      <w:szCs w:val="36"/>
    </w:rPr>
  </w:style>
  <w:style w:type="paragraph" w:styleId="1355" w:customStyle="1">
    <w:name w:val="符号与编号"/>
    <w:basedOn w:val="828"/>
    <w:pPr>
      <w:ind w:left="900" w:hanging="420"/>
      <w:spacing w:after="156" w:line="400" w:lineRule="atLeast"/>
      <w:tabs>
        <w:tab w:val="left" w:pos="900" w:leader="none"/>
      </w:tabs>
    </w:pPr>
    <w:rPr>
      <w:sz w:val="24"/>
      <w:szCs w:val="24"/>
    </w:rPr>
  </w:style>
  <w:style w:type="paragraph" w:styleId="1356" w:customStyle="1">
    <w:name w:val="样式 段后: 0.25 行"/>
    <w:basedOn w:val="828"/>
    <w:pPr>
      <w:ind w:firstLine="420"/>
      <w:jc w:val="left"/>
      <w:spacing w:after="78" w:line="300" w:lineRule="auto"/>
      <w:widowControl/>
    </w:pPr>
    <w:rPr>
      <w:rFonts w:ascii="Arial" w:hAnsi="Arial"/>
      <w:sz w:val="22"/>
      <w:lang w:eastAsia="en-US" w:bidi="en-US"/>
    </w:rPr>
  </w:style>
  <w:style w:type="paragraph" w:styleId="1357" w:customStyle="1">
    <w:name w:val="Char Char3"/>
    <w:basedOn w:val="828"/>
    <w:rPr>
      <w:rFonts w:ascii="Tahoma" w:hAnsi="Tahoma"/>
      <w:sz w:val="24"/>
    </w:rPr>
  </w:style>
  <w:style w:type="paragraph" w:styleId="1358" w:customStyle="1">
    <w:name w:val="Char Char Char Char Char Char Char Char11"/>
    <w:basedOn w:val="828"/>
    <w:uiPriority w:val="99"/>
    <w:qFormat/>
    <w:rPr>
      <w:rFonts w:ascii="Tahoma" w:hAnsi="Tahoma" w:cs="Tahoma"/>
      <w:sz w:val="24"/>
    </w:rPr>
  </w:style>
  <w:style w:type="paragraph" w:styleId="1359" w:customStyle="1">
    <w:name w:val="Normal1"/>
    <w:basedOn w:val="828"/>
  </w:style>
  <w:style w:type="paragraph" w:styleId="1360" w:customStyle="1">
    <w:name w:val="Char Char Char Char11"/>
    <w:basedOn w:val="828"/>
    <w:uiPriority w:val="99"/>
    <w:qFormat/>
    <w:pPr>
      <w:jc w:val="center"/>
      <w:spacing w:after="160" w:line="240" w:lineRule="exact"/>
      <w:widowControl/>
    </w:pPr>
    <w:rPr>
      <w:rFonts w:ascii="黑体" w:hAnsi="Verdana" w:eastAsia="黑体"/>
      <w:sz w:val="32"/>
      <w:szCs w:val="32"/>
      <w:lang w:eastAsia="en-US"/>
    </w:rPr>
  </w:style>
  <w:style w:type="paragraph" w:styleId="1361" w:customStyle="1">
    <w:name w:val="标题4，章节第四层"/>
    <w:basedOn w:val="828"/>
    <w:next w:val="828"/>
    <w:pPr>
      <w:spacing w:line="360" w:lineRule="auto"/>
      <w:tabs>
        <w:tab w:val="left" w:pos="0" w:leader="none"/>
      </w:tabs>
      <w:outlineLvl w:val="3"/>
    </w:pPr>
    <w:rPr>
      <w:rFonts w:ascii="宋体" w:hAnsi="宋体"/>
      <w:b/>
      <w:sz w:val="24"/>
      <w:szCs w:val="24"/>
    </w:rPr>
  </w:style>
  <w:style w:type="paragraph" w:styleId="1362" w:customStyle="1">
    <w:name w:val="Char Char1 Char1"/>
    <w:basedOn w:val="828"/>
    <w:pPr>
      <w:jc w:val="left"/>
      <w:spacing w:after="160" w:line="240" w:lineRule="exact"/>
      <w:widowControl/>
    </w:pPr>
    <w:rPr>
      <w:rFonts w:ascii="Verdana" w:hAnsi="Verdana"/>
      <w:lang w:eastAsia="en-US"/>
    </w:rPr>
  </w:style>
  <w:style w:type="paragraph" w:styleId="1363" w:customStyle="1">
    <w:name w:val="正文2"/>
    <w:basedOn w:val="828"/>
    <w:pPr>
      <w:ind w:firstLine="510"/>
      <w:spacing w:before="156" w:line="360" w:lineRule="auto"/>
    </w:pPr>
    <w:rPr>
      <w:sz w:val="24"/>
    </w:rPr>
  </w:style>
  <w:style w:type="paragraph" w:styleId="1364" w:customStyle="1">
    <w:name w:val="正文缩进2字符"/>
    <w:basedOn w:val="828"/>
    <w:pPr>
      <w:ind w:firstLine="200"/>
      <w:spacing w:line="300" w:lineRule="auto"/>
    </w:pPr>
    <w:rPr>
      <w:rFonts w:ascii="仿宋_GB2312" w:eastAsia="仿宋_GB2312"/>
      <w:sz w:val="32"/>
      <w:szCs w:val="32"/>
    </w:rPr>
  </w:style>
  <w:style w:type="paragraph" w:styleId="1365" w:customStyle="1">
    <w:name w:val="Normal11"/>
    <w:basedOn w:val="828"/>
  </w:style>
  <w:style w:type="paragraph" w:styleId="1366" w:customStyle="1">
    <w:name w:val="xl35"/>
    <w:basedOn w:val="8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367" w:customStyle="1">
    <w:name w:val="Body Text 21"/>
    <w:basedOn w:val="828"/>
    <w:pPr>
      <w:ind w:left="720" w:hanging="720"/>
      <w:widowControl/>
    </w:pPr>
    <w:rPr>
      <w:sz w:val="24"/>
      <w:lang w:val="en-GB"/>
    </w:rPr>
  </w:style>
  <w:style w:type="paragraph" w:styleId="1368" w:customStyle="1">
    <w:name w:val="Char Char1 Char Char Char Char"/>
    <w:basedOn w:val="849"/>
    <w:pPr>
      <w:ind w:left="357"/>
      <w:jc w:val="left"/>
      <w:spacing w:line="436" w:lineRule="exact"/>
      <w:outlineLvl w:val="3"/>
    </w:pPr>
    <w:rPr>
      <w:rFonts w:ascii="Tahoma" w:hAnsi="Tahoma" w:cs="Tahoma"/>
      <w:b/>
      <w:sz w:val="24"/>
      <w:szCs w:val="24"/>
    </w:rPr>
  </w:style>
  <w:style w:type="paragraph" w:styleId="1369" w:customStyle="1">
    <w:name w:val="Char Char Char Char Char Char Char Char Char Char Char Char Char Char Char Char Char Char Char Char Char Char Char1"/>
    <w:basedOn w:val="828"/>
    <w:rPr>
      <w:rFonts w:ascii="Tahoma" w:hAnsi="Tahoma"/>
      <w:sz w:val="24"/>
    </w:rPr>
  </w:style>
  <w:style w:type="paragraph" w:styleId="1370" w:customStyle="1">
    <w:name w:val="列出段落5"/>
    <w:basedOn w:val="828"/>
    <w:uiPriority w:val="34"/>
    <w:qFormat/>
    <w:pPr>
      <w:ind w:firstLine="420"/>
    </w:pPr>
    <w:rPr>
      <w:rFonts w:eastAsia="宋体" w:cs="Times New Roman"/>
      <w:sz w:val="21"/>
      <w:szCs w:val="22"/>
      <w:lang w:val="en-US"/>
    </w:rPr>
  </w:style>
  <w:style w:type="paragraph" w:styleId="1371" w:customStyle="1">
    <w:name w:val="标准小四"/>
    <w:basedOn w:val="828"/>
    <w:pPr>
      <w:ind w:firstLine="480"/>
      <w:spacing w:line="360" w:lineRule="auto"/>
    </w:pPr>
    <w:rPr>
      <w:rFonts w:ascii="Arial" w:hAnsi="Arial"/>
      <w:sz w:val="24"/>
      <w:szCs w:val="21"/>
    </w:rPr>
  </w:style>
  <w:style w:type="paragraph" w:styleId="1372" w:customStyle="1">
    <w:name w:val="font11"/>
    <w:basedOn w:val="828"/>
    <w:pPr>
      <w:jc w:val="left"/>
      <w:spacing w:before="100" w:beforeAutospacing="1" w:after="100" w:afterAutospacing="1"/>
      <w:widowControl/>
    </w:pPr>
    <w:rPr>
      <w:b/>
      <w:bCs/>
      <w:sz w:val="18"/>
      <w:szCs w:val="18"/>
    </w:rPr>
  </w:style>
  <w:style w:type="paragraph" w:styleId="1373" w:customStyle="1">
    <w:name w:val="xl30"/>
    <w:basedOn w:val="82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74" w:customStyle="1">
    <w:name w:val="Char Char Char Char Char1"/>
    <w:basedOn w:val="828"/>
    <w:rPr>
      <w:rFonts w:ascii="Tahoma" w:hAnsi="Tahoma"/>
      <w:sz w:val="24"/>
    </w:rPr>
  </w:style>
  <w:style w:type="paragraph" w:styleId="1375" w:customStyle="1">
    <w:name w:val="正文--表格内正文"/>
    <w:basedOn w:val="828"/>
    <w:pPr>
      <w:jc w:val="center"/>
      <w:spacing w:before="156" w:line="0" w:lineRule="atLeast"/>
    </w:pPr>
    <w:rPr>
      <w:rFonts w:ascii="宋体" w:hAnsi="宋体"/>
      <w:color w:val="000000"/>
      <w:sz w:val="24"/>
      <w:szCs w:val="24"/>
    </w:rPr>
  </w:style>
  <w:style w:type="paragraph" w:styleId="1376" w:customStyle="1">
    <w:name w:val="标题5，章节第五层"/>
    <w:basedOn w:val="828"/>
    <w:next w:val="828"/>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77" w:customStyle="1">
    <w:name w:val="Char Char Char1"/>
    <w:basedOn w:val="828"/>
    <w:rPr>
      <w:rFonts w:ascii="Tahoma" w:hAnsi="Tahoma"/>
      <w:sz w:val="24"/>
    </w:rPr>
  </w:style>
  <w:style w:type="paragraph" w:styleId="1378" w:customStyle="1">
    <w:name w:val="正文 居中"/>
    <w:basedOn w:val="828"/>
    <w:pPr>
      <w:jc w:val="center"/>
      <w:spacing w:line="360" w:lineRule="auto"/>
    </w:pPr>
    <w:rPr>
      <w:sz w:val="24"/>
    </w:rPr>
  </w:style>
  <w:style w:type="paragraph" w:styleId="1379" w:customStyle="1">
    <w:name w:val="Char2"/>
    <w:basedOn w:val="828"/>
    <w:uiPriority w:val="99"/>
    <w:qFormat/>
    <w:pPr>
      <w:spacing w:after="156" w:line="360" w:lineRule="auto"/>
    </w:pPr>
    <w:rPr>
      <w:rFonts w:ascii="Tahoma" w:hAnsi="Tahoma"/>
      <w:sz w:val="24"/>
    </w:rPr>
  </w:style>
  <w:style w:type="paragraph" w:styleId="1380" w:customStyle="1">
    <w:name w:val="样式3"/>
    <w:basedOn w:val="828"/>
    <w:next w:val="828"/>
    <w:pPr>
      <w:spacing w:line="360" w:lineRule="auto"/>
    </w:pPr>
  </w:style>
  <w:style w:type="paragraph" w:styleId="1381" w:customStyle="1">
    <w:name w:val="默认段落字体 Para Char Char Char Char Char Char Char Char Char1 Char Char Char Char Char Char Char"/>
    <w:basedOn w:val="849"/>
  </w:style>
  <w:style w:type="paragraph" w:styleId="1382" w:customStyle="1">
    <w:name w:val="正文 首行缩进:  2 字符 Char Char"/>
    <w:basedOn w:val="828"/>
    <w:pPr>
      <w:ind w:firstLine="480"/>
      <w:spacing w:line="360" w:lineRule="auto"/>
    </w:pPr>
    <w:rPr>
      <w:rFonts w:ascii="楷体_GB2312" w:eastAsia="楷体_GB2312"/>
      <w:bCs/>
      <w:sz w:val="24"/>
      <w:szCs w:val="24"/>
    </w:rPr>
  </w:style>
  <w:style w:type="paragraph" w:styleId="1383" w:customStyle="1">
    <w:name w:val="qw"/>
    <w:pPr>
      <w:jc w:val="both"/>
      <w:spacing w:line="312" w:lineRule="atLeast"/>
      <w:widowControl w:val="off"/>
    </w:pPr>
    <w:rPr>
      <w:rFonts w:ascii="宋体"/>
      <w:sz w:val="24"/>
    </w:rPr>
  </w:style>
  <w:style w:type="paragraph" w:styleId="1384" w:customStyle="1">
    <w:name w:val="正文 New New New New New New New New New New New New New New"/>
    <w:pPr>
      <w:jc w:val="both"/>
      <w:widowControl w:val="off"/>
    </w:pPr>
    <w:rPr>
      <w:rFonts w:hint="eastAsia" w:ascii="Calibri" w:hAnsi="Calibri"/>
      <w:sz w:val="21"/>
    </w:rPr>
  </w:style>
  <w:style w:type="paragraph" w:styleId="1385" w:customStyle="1">
    <w:name w:val="font13"/>
    <w:basedOn w:val="828"/>
    <w:pPr>
      <w:jc w:val="left"/>
      <w:spacing w:before="100" w:beforeAutospacing="1" w:after="100" w:afterAutospacing="1"/>
      <w:widowControl/>
    </w:pPr>
    <w:rPr>
      <w:i/>
      <w:iCs/>
      <w:sz w:val="36"/>
      <w:szCs w:val="36"/>
    </w:rPr>
  </w:style>
  <w:style w:type="character" w:styleId="1386" w:customStyle="1">
    <w:name w:val="NormalCharacter1"/>
    <w:semiHidden/>
    <w:qFormat/>
  </w:style>
  <w:style w:type="paragraph" w:styleId="1387" w:customStyle="1">
    <w:name w:val="p1"/>
    <w:basedOn w:val="828"/>
    <w:pPr>
      <w:jc w:val="left"/>
    </w:pPr>
    <w:rPr>
      <w:rFonts w:ascii="Helvetica" w:hAnsi="Helvetica" w:eastAsia="Helvetica" w:cs="Times New Roman"/>
      <w:sz w:val="24"/>
      <w:szCs w:val="24"/>
      <w:lang w:val="en-US"/>
    </w:rPr>
  </w:style>
  <w:style w:type="table" w:styleId="1388" w:customStyle="1">
    <w:name w:val="网格型12"/>
    <w:uiPriority w:val="59"/>
    <w:qFormat/>
    <w:rPr>
      <w:rFonts w:ascii="Calibri" w:hAnsi="Calibri"/>
    </w:rPr>
    <w:tblPr>
      <w:tblCellMar>
        <w:left w:w="0" w:type="dxa"/>
        <w:top w:w="0" w:type="dxa"/>
        <w:right w:w="0" w:type="dxa"/>
        <w:bottom w:w="0" w:type="dxa"/>
      </w:tblCellMar>
    </w:tblPr>
  </w:style>
  <w:style w:type="paragraph" w:styleId="1389" w:customStyle="1">
    <w:name w:val="Table Text"/>
    <w:basedOn w:val="828"/>
    <w:semiHidden/>
    <w:qFormat/>
    <w:rPr>
      <w:rFonts w:ascii="宋体" w:hAnsi="宋体" w:eastAsia="宋体"/>
      <w:sz w:val="21"/>
      <w:szCs w:val="21"/>
      <w:lang w:val="en-US" w:eastAsia="en-US"/>
    </w:rPr>
  </w:style>
  <w:style w:type="paragraph" w:styleId="1390" w:customStyle="1">
    <w:name w:val="正文文本缩进11"/>
    <w:basedOn w:val="828"/>
    <w:next w:val="828"/>
    <w:unhideWhenUsed/>
    <w:qFormat/>
    <w:pPr>
      <w:ind w:left="420"/>
      <w:spacing w:after="120"/>
    </w:pPr>
    <w:rPr>
      <w:rFonts w:ascii="Times New Roman" w:hAnsi="Times New Roman" w:eastAsia="宋体" w:cs="Times New Roman"/>
      <w:sz w:val="21"/>
      <w:szCs w:val="21"/>
      <w:lang w:val="en-US"/>
    </w:rPr>
  </w:style>
  <w:style w:type="paragraph" w:styleId="1391" w:customStyle="1">
    <w:name w:val="正文alt+z"/>
    <w:basedOn w:val="828"/>
    <w:qFormat/>
    <w:pPr>
      <w:ind w:firstLine="200"/>
    </w:pPr>
  </w:style>
  <w:style w:type="character" w:styleId="1392" w:customStyle="1">
    <w:name w:val="正文文本首行缩进 2 字符"/>
    <w:basedOn w:val="1065"/>
    <w:link w:val="891"/>
    <w:uiPriority w:val="99"/>
    <w:qFormat/>
    <w:rPr>
      <w:rFonts w:ascii="宋体" w:hAnsi="宋体" w:eastAsia="楷体_GB2312"/>
      <w:sz w:val="21"/>
      <w:lang w:val="en-US" w:eastAsia="zh-CN" w:bidi="ar-SA"/>
    </w:rPr>
  </w:style>
  <w:style w:type="table" w:styleId="1393" w:customStyle="1">
    <w:name w:val="无格式表格 11"/>
    <w:uiPriority w:val="59"/>
    <w:qFormat/>
    <w:rPr>
      <w:rFonts w:ascii="Calibri" w:hAnsi="Calibr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94" w:customStyle="1">
    <w:name w:val="无格式表格 21"/>
    <w:uiPriority w:val="59"/>
    <w:rPr>
      <w:rFonts w:ascii="Calibri" w:hAnsi="Calibr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95" w:customStyle="1">
    <w:name w:val="无格式表格 31"/>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96" w:customStyle="1">
    <w:name w:val="无格式表格 41"/>
    <w:uiPriority w:val="99"/>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7" w:customStyle="1">
    <w:name w:val="无格式表格 51"/>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98" w:customStyle="1">
    <w:name w:val="网格表 1 浅色1"/>
    <w:uiPriority w:val="99"/>
    <w:qFormat/>
    <w:rPr>
      <w:rFonts w:ascii="Calibri" w:hAnsi="Calibri"/>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399" w:customStyle="1">
    <w:name w:val="网格表 21"/>
    <w:uiPriority w:val="99"/>
    <w:rPr>
      <w:rFonts w:ascii="Calibri" w:hAnsi="Calibri"/>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400" w:customStyle="1">
    <w:name w:val="网格表 31"/>
    <w:uiPriority w:val="99"/>
    <w:qFormat/>
    <w:rPr>
      <w:rFonts w:ascii="Calibri" w:hAnsi="Calibri"/>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1" w:customStyle="1">
    <w:name w:val="网格表 41"/>
    <w:uiPriority w:val="59"/>
    <w:rPr>
      <w:rFonts w:ascii="Calibri" w:hAnsi="Calibri"/>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02" w:customStyle="1">
    <w:name w:val="网格表 5 深色1"/>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03" w:customStyle="1">
    <w:name w:val="网格表 6 彩色1"/>
    <w:uiPriority w:val="99"/>
    <w:qFormat/>
    <w:rPr>
      <w:rFonts w:ascii="Calibri" w:hAnsi="Calibri"/>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404" w:customStyle="1">
    <w:name w:val="网格表 7 彩色1"/>
    <w:uiPriority w:val="99"/>
    <w:qFormat/>
    <w:rPr>
      <w:rFonts w:ascii="Calibri" w:hAnsi="Calibri"/>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405" w:customStyle="1">
    <w:name w:val="清单表 1 浅色1"/>
    <w:uiPriority w:val="99"/>
    <w:qFormat/>
    <w:rPr>
      <w:rFonts w:ascii="Calibri" w:hAnsi="Calibri"/>
    </w:rPr>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06" w:customStyle="1">
    <w:name w:val="清单表 21"/>
    <w:uiPriority w:val="99"/>
    <w:rPr>
      <w:rFonts w:ascii="Calibri" w:hAnsi="Calibri"/>
    </w:rPr>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407" w:customStyle="1">
    <w:name w:val="清单表 31"/>
    <w:uiPriority w:val="99"/>
    <w:qFormat/>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08" w:customStyle="1">
    <w:name w:val="清单表 41"/>
    <w:uiPriority w:val="99"/>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09" w:customStyle="1">
    <w:name w:val="清单表 5 深色1"/>
    <w:uiPriority w:val="99"/>
    <w:rPr>
      <w:rFonts w:ascii="Calibri" w:hAnsi="Calibri"/>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410" w:customStyle="1">
    <w:name w:val="清单表 6 彩色1"/>
    <w:uiPriority w:val="99"/>
    <w:qFormat/>
    <w:rPr>
      <w:rFonts w:ascii="Calibri" w:hAnsi="Calibri"/>
    </w:rPr>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411" w:customStyle="1">
    <w:name w:val="清单表 7 彩色1"/>
    <w:uiPriority w:val="99"/>
    <w:qFormat/>
    <w:rPr>
      <w:rFonts w:ascii="Calibri" w:hAnsi="Calibri"/>
    </w:rPr>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412" w:customStyle="1">
    <w:name w:val="TOC 标题1"/>
    <w:uiPriority w:val="39"/>
    <w:unhideWhenUsed/>
    <w:qFormat/>
    <w:rPr>
      <w:rFonts w:ascii="Calibri" w:hAnsi="Calibri"/>
    </w:rPr>
  </w:style>
  <w:style w:type="character" w:styleId="1413" w:customStyle="1">
    <w:name w:val="正文文本 3 字符"/>
    <w:link w:val="853"/>
    <w:uiPriority w:val="99"/>
    <w:qFormat/>
    <w:rPr>
      <w:rFonts w:ascii="仿宋_GB2312" w:hAnsi="Arial" w:eastAsia="仿宋_GB2312" w:cs="宋体"/>
      <w:sz w:val="32"/>
      <w:lang w:val="zh-CN"/>
    </w:rPr>
  </w:style>
  <w:style w:type="character" w:styleId="1414" w:customStyle="1">
    <w:name w:val="正文文本 字符"/>
    <w:link w:val="854"/>
    <w:uiPriority w:val="99"/>
    <w:qFormat/>
    <w:rPr>
      <w:rFonts w:ascii="楷体_GB2312" w:hAnsi="Arial" w:eastAsia="楷体_GB2312" w:cs="宋体"/>
      <w:sz w:val="28"/>
      <w:lang w:val="zh-CN"/>
    </w:rPr>
  </w:style>
  <w:style w:type="character" w:styleId="1415" w:customStyle="1">
    <w:name w:val="日期 字符"/>
    <w:link w:val="863"/>
    <w:uiPriority w:val="99"/>
    <w:qFormat/>
    <w:rPr>
      <w:rFonts w:ascii="Calibri" w:hAnsi="Calibri" w:eastAsia="Calibri" w:cs="宋体"/>
      <w:sz w:val="28"/>
      <w:lang w:val="zh-CN"/>
    </w:rPr>
  </w:style>
  <w:style w:type="character" w:styleId="1416" w:customStyle="1">
    <w:name w:val="正文文本 2 字符"/>
    <w:link w:val="884"/>
    <w:uiPriority w:val="99"/>
    <w:qFormat/>
    <w:rPr>
      <w:rFonts w:ascii="Calibri" w:hAnsi="Calibri" w:eastAsia="Calibri" w:cs="宋体"/>
      <w:sz w:val="24"/>
      <w:lang w:val="en-GB"/>
    </w:rPr>
  </w:style>
  <w:style w:type="character" w:styleId="1417" w:customStyle="1">
    <w:name w:val="正文文本首行缩进 字符"/>
    <w:link w:val="890"/>
    <w:uiPriority w:val="99"/>
    <w:qFormat/>
    <w:rPr>
      <w:rFonts w:cs="宋体"/>
      <w:sz w:val="21"/>
      <w:szCs w:val="24"/>
      <w:lang w:val="zh-CN"/>
    </w:rPr>
  </w:style>
  <w:style w:type="character" w:styleId="1418" w:customStyle="1">
    <w:name w:val="font5 Char"/>
    <w:qFormat/>
    <w:rPr>
      <w:rFonts w:ascii="宋体" w:hAnsi="宋体" w:eastAsia="宋体"/>
      <w:sz w:val="28"/>
      <w:szCs w:val="28"/>
      <w:lang w:val="en-US" w:eastAsia="zh-CN" w:bidi="ar-SA"/>
    </w:rPr>
  </w:style>
  <w:style w:type="character" w:styleId="1419" w:customStyle="1">
    <w:name w:val="二级目录 Char"/>
    <w:link w:val="1189"/>
    <w:qFormat/>
    <w:rPr>
      <w:rFonts w:ascii="Calibri" w:hAnsi="Calibri"/>
      <w:b/>
      <w:sz w:val="30"/>
      <w:szCs w:val="28"/>
    </w:rPr>
  </w:style>
  <w:style w:type="character" w:styleId="1420" w:customStyle="1">
    <w:name w:val="列出段落 Char"/>
    <w:qFormat/>
    <w:rPr>
      <w:rFonts w:ascii="Calibri" w:hAnsi="Calibri"/>
      <w:sz w:val="24"/>
      <w:szCs w:val="24"/>
      <w:lang w:eastAsia="en-US" w:bidi="en-US"/>
    </w:rPr>
  </w:style>
  <w:style w:type="paragraph" w:styleId="1421" w:customStyle="1">
    <w:name w:val="Body Text(ch)"/>
    <w:basedOn w:val="828"/>
    <w:next w:val="854"/>
    <w:uiPriority w:val="99"/>
    <w:qFormat/>
    <w:pPr>
      <w:spacing w:after="120"/>
    </w:pPr>
    <w:rPr>
      <w:rFonts w:ascii="宋体" w:hAnsi="Arial" w:eastAsia="宋体" w:cs="Times New Roman"/>
      <w:bCs/>
      <w:iCs/>
      <w:sz w:val="21"/>
      <w:szCs w:val="24"/>
      <w:lang w:val="en-US"/>
    </w:rPr>
  </w:style>
  <w:style w:type="paragraph" w:styleId="1422" w:customStyle="1">
    <w:name w:val="普通正文"/>
    <w:basedOn w:val="828"/>
    <w:uiPriority w:val="99"/>
    <w:qFormat/>
    <w:pPr>
      <w:ind w:firstLine="480"/>
      <w:jc w:val="left"/>
      <w:spacing w:before="120" w:after="120" w:line="360" w:lineRule="auto"/>
    </w:pPr>
    <w:rPr>
      <w:rFonts w:ascii="Arial" w:hAnsi="Arial" w:eastAsia="宋体" w:cs="Times New Roman"/>
      <w:sz w:val="24"/>
      <w:szCs w:val="24"/>
      <w:lang w:val="en-US"/>
    </w:rPr>
  </w:style>
  <w:style w:type="paragraph" w:styleId="1423" w:customStyle="1">
    <w:name w:val="table_lines"/>
    <w:basedOn w:val="828"/>
    <w:uiPriority w:val="99"/>
    <w:qFormat/>
    <w:pPr>
      <w:jc w:val="left"/>
      <w:widowControl/>
    </w:pPr>
    <w:rPr>
      <w:rFonts w:ascii="Times New Roman" w:hAnsi="Times New Roman" w:eastAsia="宋体" w:cs="Times New Roman"/>
      <w:lang w:val="de-DE" w:eastAsia="de-DE"/>
    </w:rPr>
  </w:style>
  <w:style w:type="paragraph" w:styleId="1424" w:customStyle="1">
    <w:name w:val="附录1"/>
    <w:uiPriority w:val="99"/>
    <w:qFormat/>
    <w:pPr>
      <w:ind w:left="907" w:hanging="907"/>
      <w:spacing w:before="240" w:line="600" w:lineRule="atLeast"/>
      <w:tabs>
        <w:tab w:val="left" w:pos="907" w:leader="none"/>
      </w:tabs>
    </w:pPr>
    <w:rPr>
      <w:b/>
      <w:i/>
      <w:sz w:val="28"/>
    </w:rPr>
  </w:style>
  <w:style w:type="paragraph" w:styleId="1425" w:customStyle="1">
    <w:name w:val="4"/>
    <w:basedOn w:val="828"/>
    <w:next w:val="878"/>
    <w:uiPriority w:val="99"/>
    <w:qFormat/>
    <w:pPr>
      <w:ind w:firstLine="420"/>
      <w:spacing w:line="360" w:lineRule="auto"/>
    </w:pPr>
    <w:rPr>
      <w:rFonts w:ascii="Times New Roman" w:hAnsi="Times New Roman" w:eastAsia="宋体" w:cs="Times New Roman"/>
      <w:color w:val="ff0000"/>
      <w:sz w:val="24"/>
      <w:szCs w:val="24"/>
      <w:lang w:val="en-US"/>
    </w:rPr>
  </w:style>
  <w:style w:type="paragraph" w:styleId="1426" w:customStyle="1">
    <w:name w:val="普通 (Web)"/>
    <w:basedOn w:val="828"/>
    <w:uiPriority w:val="99"/>
    <w:qFormat/>
    <w:pPr>
      <w:jc w:val="left"/>
      <w:spacing w:before="100" w:beforeAutospacing="1" w:after="100" w:afterAutospacing="1"/>
      <w:widowControl/>
    </w:pPr>
    <w:rPr>
      <w:rFonts w:ascii="宋体" w:hAnsi="宋体" w:eastAsia="宋体" w:cs="Times New Roman"/>
      <w:sz w:val="24"/>
      <w:szCs w:val="24"/>
      <w:lang w:val="en-US"/>
    </w:rPr>
  </w:style>
  <w:style w:type="paragraph" w:styleId="1427" w:customStyle="1">
    <w:name w:val="Char Char Char Char Char Char Char Char Char Char"/>
    <w:basedOn w:val="828"/>
    <w:uiPriority w:val="99"/>
    <w:qFormat/>
    <w:pPr>
      <w:spacing w:line="360" w:lineRule="auto"/>
    </w:pPr>
    <w:rPr>
      <w:rFonts w:ascii="Times New Roman" w:hAnsi="Times New Roman" w:eastAsia="宋体" w:cs="Times New Roman"/>
      <w:sz w:val="24"/>
      <w:lang w:val="en-US"/>
    </w:rPr>
  </w:style>
  <w:style w:type="paragraph" w:styleId="1428" w:customStyle="1">
    <w:name w:val="图标"/>
    <w:basedOn w:val="828"/>
    <w:next w:val="828"/>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lang w:val="en-US"/>
    </w:rPr>
  </w:style>
  <w:style w:type="paragraph" w:styleId="1429" w:customStyle="1">
    <w:name w:val="Char Char Char Char Char Char Char Char1"/>
    <w:basedOn w:val="828"/>
    <w:uiPriority w:val="99"/>
    <w:qFormat/>
    <w:pPr>
      <w:jc w:val="left"/>
      <w:spacing w:after="160" w:line="240" w:lineRule="exact"/>
      <w:widowControl/>
    </w:pPr>
    <w:rPr>
      <w:rFonts w:ascii="Verdana" w:hAnsi="Verdana" w:eastAsia="宋体" w:cs="Times New Roman"/>
      <w:lang w:val="en-US" w:eastAsia="en-US"/>
    </w:rPr>
  </w:style>
  <w:style w:type="paragraph" w:styleId="1430" w:customStyle="1">
    <w:name w:val="Char Char Char Char1"/>
    <w:basedOn w:val="849"/>
    <w:uiPriority w:val="99"/>
    <w:qFormat/>
    <w:pPr>
      <w:spacing w:line="360" w:lineRule="auto"/>
    </w:pPr>
    <w:rPr>
      <w:rFonts w:ascii="Tahoma" w:hAnsi="Tahoma"/>
      <w:sz w:val="24"/>
      <w:szCs w:val="24"/>
    </w:rPr>
  </w:style>
  <w:style w:type="paragraph" w:styleId="1431" w:customStyle="1">
    <w:name w:val="table_1stline"/>
    <w:basedOn w:val="828"/>
    <w:uiPriority w:val="99"/>
    <w:qFormat/>
    <w:pPr>
      <w:jc w:val="left"/>
      <w:spacing w:before="120"/>
      <w:widowControl/>
    </w:pPr>
    <w:rPr>
      <w:rFonts w:ascii="Times New Roman" w:hAnsi="Times New Roman" w:eastAsia="宋体" w:cs="Times New Roman"/>
      <w:bCs/>
      <w:lang w:val="de-DE" w:eastAsia="de-DE"/>
    </w:rPr>
  </w:style>
  <w:style w:type="paragraph" w:styleId="1432" w:customStyle="1">
    <w:name w:val="标题1"/>
    <w:basedOn w:val="828"/>
    <w:next w:val="828"/>
    <w:uiPriority w:val="99"/>
    <w:qFormat/>
    <w:pPr>
      <w:jc w:val="center"/>
      <w:spacing w:line="700" w:lineRule="atLeast"/>
      <w:tabs>
        <w:tab w:val="left" w:pos="9193" w:leader="none"/>
        <w:tab w:val="left" w:pos="9827" w:leader="none"/>
      </w:tabs>
    </w:pPr>
    <w:rPr>
      <w:rFonts w:ascii="方正小标宋_GBK" w:hAnsi="Times New Roman" w:eastAsia="方正小标宋_GBK" w:cs="Times New Roman"/>
      <w:sz w:val="44"/>
      <w:lang w:val="en-US"/>
    </w:rPr>
  </w:style>
  <w:style w:type="paragraph" w:styleId="1433" w:customStyle="1">
    <w:name w:val="修订1"/>
    <w:uiPriority w:val="99"/>
    <w:semiHidden/>
    <w:qFormat/>
    <w:rPr>
      <w:sz w:val="21"/>
      <w:szCs w:val="21"/>
    </w:rPr>
  </w:style>
  <w:style w:type="character" w:styleId="1434" w:customStyle="1">
    <w:name w:val="未处理的提及1"/>
    <w:uiPriority w:val="99"/>
    <w:semiHidden/>
    <w:unhideWhenUsed/>
    <w:qFormat/>
    <w:rPr>
      <w:color w:val="605e5c"/>
      <w:shd w:val="clear" w:color="auto" w:fill="e1dfdd"/>
    </w:rPr>
  </w:style>
  <w:style w:type="character" w:styleId="1435" w:customStyle="1">
    <w:name w:val="明显强调1"/>
    <w:basedOn w:val="838"/>
    <w:uiPriority w:val="21"/>
    <w:qFormat/>
    <w:rPr>
      <w:i/>
      <w:iCs/>
      <w:color w:val="0f4761"/>
    </w:rPr>
  </w:style>
  <w:style w:type="character" w:styleId="1436" w:customStyle="1">
    <w:name w:val="明显参考1"/>
    <w:basedOn w:val="838"/>
    <w:uiPriority w:val="32"/>
    <w:qFormat/>
    <w:rPr>
      <w:b/>
      <w:bCs/>
      <w:smallCaps/>
      <w:color w:val="0f4761"/>
      <w:spacing w:val="5"/>
    </w:rPr>
  </w:style>
  <w:style w:type="table" w:styleId="1437"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38"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39"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40" w:customStyle="1">
    <w:name w:val="无格式表格 3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41" w:customStyle="1">
    <w:name w:val="无格式表格 4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42" w:customStyle="1">
    <w:name w:val="无格式表格 5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43"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444" w:customStyle="1">
    <w:name w:val="Grid Table 1 Light - Accent 11"/>
    <w:uiPriority w:val="99"/>
    <w:qFormat/>
    <w:tblPr>
      <w:tblBorders>
        <w:top w:val="single" w:color="81C9EA" w:sz="4" w:space="0"/>
        <w:left w:val="single" w:color="81C9EA" w:sz="4" w:space="0"/>
        <w:bottom w:val="single" w:color="81C9EA" w:sz="4" w:space="0"/>
        <w:right w:val="single" w:color="81C9EA" w:sz="4" w:space="0"/>
        <w:insideH w:val="single" w:color="81C9EA" w:sz="4" w:space="0"/>
        <w:insideV w:val="single" w:color="81C9EA" w:sz="4" w:space="0"/>
      </w:tblBorders>
      <w:tblCellMar>
        <w:left w:w="0" w:type="dxa"/>
        <w:top w:w="0" w:type="dxa"/>
        <w:right w:w="0" w:type="dxa"/>
        <w:bottom w:w="0" w:type="dxa"/>
      </w:tblCellMar>
    </w:tblPr>
    <w:tblStylePr w:type="band1Horz">
      <w:rPr>
        <w:rFonts w:ascii="Arial" w:hAnsi="Arial"/>
        <w:color w:val="404040"/>
        <w:sz w:val="22"/>
      </w:rPr>
      <w:tcPr>
        <w:tcBorders>
          <w:top w:val="single" w:color="81C9EA" w:sz="4" w:space="0"/>
          <w:left w:val="single" w:color="81C9EA" w:sz="4" w:space="0"/>
          <w:bottom w:val="single" w:color="81C9EA" w:sz="4" w:space="0"/>
          <w:right w:val="single" w:color="81C9EA" w:sz="4" w:space="0"/>
        </w:tcBorders>
      </w:tcPr>
    </w:tblStylePr>
    <w:tblStylePr w:type="firstCol">
      <w:rPr>
        <w:b/>
        <w:color w:val="404040"/>
      </w:rPr>
    </w:tblStylePr>
    <w:tblStylePr w:type="firstRow">
      <w:rPr>
        <w:b/>
        <w:color w:val="404040"/>
      </w:rPr>
      <w:tcPr>
        <w:tcBorders>
          <w:bottom w:val="single" w:color="4AB2E1" w:sz="12" w:space="0"/>
        </w:tcBorders>
      </w:tcPr>
    </w:tblStylePr>
    <w:tblStylePr w:type="lastCol">
      <w:rPr>
        <w:b/>
        <w:color w:val="404040"/>
      </w:rPr>
    </w:tblStylePr>
    <w:tblStylePr w:type="lastRow">
      <w:rPr>
        <w:b/>
        <w:color w:val="404040"/>
      </w:rPr>
    </w:tblStylePr>
  </w:style>
  <w:style w:type="table" w:styleId="1445" w:customStyle="1">
    <w:name w:val="Grid Table 1 Light - Accent 21"/>
    <w:uiPriority w:val="99"/>
    <w:qFormat/>
    <w:tblPr>
      <w:tblBorders>
        <w:top w:val="single" w:color="F6C5AB" w:sz="4" w:space="0"/>
        <w:left w:val="single" w:color="F6C5AB" w:sz="4" w:space="0"/>
        <w:bottom w:val="single" w:color="F6C5AB" w:sz="4" w:space="0"/>
        <w:right w:val="single" w:color="F6C5AB" w:sz="4" w:space="0"/>
        <w:insideH w:val="single" w:color="F6C5AB" w:sz="4" w:space="0"/>
        <w:insideV w:val="single" w:color="F6C5AB" w:sz="4" w:space="0"/>
      </w:tblBorders>
      <w:tblCellMar>
        <w:left w:w="0" w:type="dxa"/>
        <w:top w:w="0" w:type="dxa"/>
        <w:right w:w="0" w:type="dxa"/>
        <w:bottom w:w="0" w:type="dxa"/>
      </w:tblCellMar>
    </w:tblPr>
    <w:tblStylePr w:type="band1Horz">
      <w:rPr>
        <w:rFonts w:ascii="Arial" w:hAnsi="Arial"/>
        <w:color w:val="404040"/>
        <w:sz w:val="22"/>
      </w:rPr>
      <w:tcPr>
        <w:tcBorders>
          <w:top w:val="single" w:color="F6C5AB" w:sz="4" w:space="0"/>
          <w:left w:val="single" w:color="F6C5AB" w:sz="4" w:space="0"/>
          <w:bottom w:val="single" w:color="F6C5AB" w:sz="4" w:space="0"/>
          <w:right w:val="single" w:color="F6C5AB" w:sz="4" w:space="0"/>
        </w:tcBorders>
      </w:tcPr>
    </w:tblStylePr>
    <w:tblStylePr w:type="firstCol">
      <w:rPr>
        <w:b/>
        <w:color w:val="404040"/>
      </w:rPr>
    </w:tblStylePr>
    <w:tblStylePr w:type="firstRow">
      <w:rPr>
        <w:b/>
        <w:color w:val="404040"/>
      </w:rPr>
      <w:tcPr>
        <w:tcBorders>
          <w:bottom w:val="single" w:color="F2AB87" w:sz="12" w:space="0"/>
        </w:tcBorders>
      </w:tcPr>
    </w:tblStylePr>
    <w:tblStylePr w:type="lastCol">
      <w:rPr>
        <w:b/>
        <w:color w:val="404040"/>
      </w:rPr>
    </w:tblStylePr>
    <w:tblStylePr w:type="lastRow">
      <w:rPr>
        <w:b/>
        <w:color w:val="404040"/>
      </w:rPr>
    </w:tblStylePr>
  </w:style>
  <w:style w:type="table" w:styleId="1446" w:customStyle="1">
    <w:name w:val="Grid Table 1 Light - Accent 31"/>
    <w:uiPriority w:val="99"/>
    <w:qFormat/>
    <w:tblPr>
      <w:tblBorders>
        <w:top w:val="single" w:color="83E28F" w:sz="4" w:space="0"/>
        <w:left w:val="single" w:color="83E28F" w:sz="4" w:space="0"/>
        <w:bottom w:val="single" w:color="83E28F" w:sz="4" w:space="0"/>
        <w:right w:val="single" w:color="83E28F" w:sz="4" w:space="0"/>
        <w:insideH w:val="single" w:color="83E28F" w:sz="4" w:space="0"/>
        <w:insideV w:val="single" w:color="83E28F" w:sz="4" w:space="0"/>
      </w:tblBorders>
      <w:tblCellMar>
        <w:left w:w="0" w:type="dxa"/>
        <w:top w:w="0" w:type="dxa"/>
        <w:right w:w="0" w:type="dxa"/>
        <w:bottom w:w="0" w:type="dxa"/>
      </w:tblCellMar>
    </w:tblPr>
    <w:tblStylePr w:type="band1Horz">
      <w:rPr>
        <w:rFonts w:ascii="Arial" w:hAnsi="Arial"/>
        <w:color w:val="404040"/>
        <w:sz w:val="22"/>
      </w:rPr>
      <w:tcPr>
        <w:tcBorders>
          <w:top w:val="single" w:color="83E28F" w:sz="4" w:space="0"/>
          <w:left w:val="single" w:color="83E28F" w:sz="4" w:space="0"/>
          <w:bottom w:val="single" w:color="83E28F" w:sz="4" w:space="0"/>
          <w:right w:val="single" w:color="83E28F" w:sz="4" w:space="0"/>
        </w:tcBorders>
      </w:tcPr>
    </w:tblStylePr>
    <w:tblStylePr w:type="firstCol">
      <w:rPr>
        <w:b/>
        <w:color w:val="404040"/>
      </w:rPr>
    </w:tblStylePr>
    <w:tblStylePr w:type="firstRow">
      <w:rPr>
        <w:b/>
        <w:color w:val="404040"/>
      </w:rPr>
      <w:tcPr>
        <w:tcBorders>
          <w:bottom w:val="single" w:color="4BD55E" w:sz="12" w:space="0"/>
        </w:tcBorders>
      </w:tcPr>
    </w:tblStylePr>
    <w:tblStylePr w:type="lastCol">
      <w:rPr>
        <w:b/>
        <w:color w:val="404040"/>
      </w:rPr>
    </w:tblStylePr>
    <w:tblStylePr w:type="lastRow">
      <w:rPr>
        <w:b/>
        <w:color w:val="404040"/>
      </w:rPr>
    </w:tblStylePr>
  </w:style>
  <w:style w:type="table" w:styleId="1447" w:customStyle="1">
    <w:name w:val="Grid Table 1 Light - Accent 41"/>
    <w:uiPriority w:val="99"/>
    <w:qFormat/>
    <w:tblPr>
      <w:tblBorders>
        <w:top w:val="single" w:color="94DBF7" w:sz="4" w:space="0"/>
        <w:left w:val="single" w:color="94DBF7" w:sz="4" w:space="0"/>
        <w:bottom w:val="single" w:color="94DBF7" w:sz="4" w:space="0"/>
        <w:right w:val="single" w:color="94DBF7" w:sz="4" w:space="0"/>
        <w:insideH w:val="single" w:color="94DBF7" w:sz="4" w:space="0"/>
        <w:insideV w:val="single" w:color="94DBF7" w:sz="4" w:space="0"/>
      </w:tblBorders>
      <w:tblCellMar>
        <w:left w:w="0" w:type="dxa"/>
        <w:top w:w="0" w:type="dxa"/>
        <w:right w:w="0" w:type="dxa"/>
        <w:bottom w:w="0" w:type="dxa"/>
      </w:tblCellMar>
    </w:tblPr>
    <w:tblStylePr w:type="band1Horz">
      <w:rPr>
        <w:rFonts w:ascii="Arial" w:hAnsi="Arial"/>
        <w:color w:val="404040"/>
        <w:sz w:val="22"/>
      </w:rPr>
      <w:tcPr>
        <w:tcBorders>
          <w:top w:val="single" w:color="94DBF7" w:sz="4" w:space="0"/>
          <w:left w:val="single" w:color="94DBF7" w:sz="4" w:space="0"/>
          <w:bottom w:val="single" w:color="94DBF7" w:sz="4" w:space="0"/>
          <w:right w:val="single" w:color="94DBF7" w:sz="4" w:space="0"/>
        </w:tcBorders>
      </w:tcPr>
    </w:tblStylePr>
    <w:tblStylePr w:type="firstCol">
      <w:rPr>
        <w:b/>
        <w:color w:val="404040"/>
      </w:rPr>
    </w:tblStylePr>
    <w:tblStylePr w:type="firstRow">
      <w:rPr>
        <w:b/>
        <w:color w:val="404040"/>
      </w:rPr>
      <w:tcPr>
        <w:tcBorders>
          <w:bottom w:val="single" w:color="64CCF4" w:sz="12" w:space="0"/>
        </w:tcBorders>
      </w:tcPr>
    </w:tblStylePr>
    <w:tblStylePr w:type="lastCol">
      <w:rPr>
        <w:b/>
        <w:color w:val="404040"/>
      </w:rPr>
    </w:tblStylePr>
    <w:tblStylePr w:type="lastRow">
      <w:rPr>
        <w:b/>
        <w:color w:val="404040"/>
      </w:rPr>
    </w:tblStylePr>
  </w:style>
  <w:style w:type="table" w:styleId="1448" w:customStyle="1">
    <w:name w:val="Grid Table 1 Light - Accent 51"/>
    <w:uiPriority w:val="99"/>
    <w:qFormat/>
    <w:tblPr>
      <w:tblBorders>
        <w:top w:val="single" w:color="E49DDC" w:sz="4" w:space="0"/>
        <w:left w:val="single" w:color="E49DDC" w:sz="4" w:space="0"/>
        <w:bottom w:val="single" w:color="E49DDC" w:sz="4" w:space="0"/>
        <w:right w:val="single" w:color="E49DDC" w:sz="4" w:space="0"/>
        <w:insideH w:val="single" w:color="E49DDC" w:sz="4" w:space="0"/>
        <w:insideV w:val="single" w:color="E49DDC" w:sz="4" w:space="0"/>
      </w:tblBorders>
      <w:tblCellMar>
        <w:left w:w="0" w:type="dxa"/>
        <w:top w:w="0" w:type="dxa"/>
        <w:right w:w="0" w:type="dxa"/>
        <w:bottom w:w="0" w:type="dxa"/>
      </w:tblCellMar>
    </w:tblPr>
    <w:tblStylePr w:type="band1Horz">
      <w:rPr>
        <w:rFonts w:ascii="Arial" w:hAnsi="Arial"/>
        <w:color w:val="404040"/>
        <w:sz w:val="22"/>
      </w:rPr>
      <w:tcPr>
        <w:tcBorders>
          <w:top w:val="single" w:color="E49DDC" w:sz="4" w:space="0"/>
          <w:left w:val="single" w:color="E49DDC" w:sz="4" w:space="0"/>
          <w:bottom w:val="single" w:color="E49DDC" w:sz="4" w:space="0"/>
          <w:right w:val="single" w:color="E49DDC" w:sz="4" w:space="0"/>
        </w:tcBorders>
      </w:tcPr>
    </w:tblStylePr>
    <w:tblStylePr w:type="firstCol">
      <w:rPr>
        <w:b/>
        <w:color w:val="404040"/>
      </w:rPr>
    </w:tblStylePr>
    <w:tblStylePr w:type="firstRow">
      <w:rPr>
        <w:b/>
        <w:color w:val="404040"/>
      </w:rPr>
      <w:tcPr>
        <w:tcBorders>
          <w:bottom w:val="single" w:color="D971CD" w:sz="12" w:space="0"/>
        </w:tcBorders>
      </w:tcPr>
    </w:tblStylePr>
    <w:tblStylePr w:type="lastCol">
      <w:rPr>
        <w:b/>
        <w:color w:val="404040"/>
      </w:rPr>
    </w:tblStylePr>
    <w:tblStylePr w:type="lastRow">
      <w:rPr>
        <w:b/>
        <w:color w:val="404040"/>
      </w:rPr>
    </w:tblStylePr>
  </w:style>
  <w:style w:type="table" w:styleId="1449" w:customStyle="1">
    <w:name w:val="Grid Table 1 Light - Accent 61"/>
    <w:uiPriority w:val="99"/>
    <w:qFormat/>
    <w:tblPr>
      <w:tblBorders>
        <w:top w:val="single" w:color="B2E5A0" w:sz="4" w:space="0"/>
        <w:left w:val="single" w:color="B2E5A0" w:sz="4" w:space="0"/>
        <w:bottom w:val="single" w:color="B2E5A0" w:sz="4" w:space="0"/>
        <w:right w:val="single" w:color="B2E5A0" w:sz="4" w:space="0"/>
        <w:insideH w:val="single" w:color="B2E5A0" w:sz="4" w:space="0"/>
        <w:insideV w:val="single" w:color="B2E5A0" w:sz="4" w:space="0"/>
      </w:tblBorders>
      <w:tblCellMar>
        <w:left w:w="0" w:type="dxa"/>
        <w:top w:w="0" w:type="dxa"/>
        <w:right w:w="0" w:type="dxa"/>
        <w:bottom w:w="0" w:type="dxa"/>
      </w:tblCellMar>
    </w:tblPr>
    <w:tblStylePr w:type="band1Horz">
      <w:rPr>
        <w:rFonts w:ascii="Arial" w:hAnsi="Arial"/>
        <w:color w:val="404040"/>
        <w:sz w:val="22"/>
      </w:rPr>
      <w:tcPr>
        <w:tcBorders>
          <w:top w:val="single" w:color="B2E5A0" w:sz="4" w:space="0"/>
          <w:left w:val="single" w:color="B2E5A0" w:sz="4" w:space="0"/>
          <w:bottom w:val="single" w:color="B2E5A0" w:sz="4" w:space="0"/>
          <w:right w:val="single" w:color="B2E5A0" w:sz="4" w:space="0"/>
        </w:tcBorders>
      </w:tcPr>
    </w:tblStylePr>
    <w:tblStylePr w:type="firstCol">
      <w:rPr>
        <w:b/>
        <w:color w:val="404040"/>
      </w:rPr>
    </w:tblStylePr>
    <w:tblStylePr w:type="firstRow">
      <w:rPr>
        <w:b/>
        <w:color w:val="404040"/>
      </w:rPr>
      <w:tcPr>
        <w:tcBorders>
          <w:bottom w:val="single" w:color="90D976" w:sz="12" w:space="0"/>
        </w:tcBorders>
      </w:tcPr>
    </w:tblStylePr>
    <w:tblStylePr w:type="lastCol">
      <w:rPr>
        <w:b/>
        <w:color w:val="404040"/>
      </w:rPr>
    </w:tblStylePr>
    <w:tblStylePr w:type="lastRow">
      <w:rPr>
        <w:b/>
        <w:color w:val="404040"/>
      </w:rPr>
    </w:tblStylePr>
  </w:style>
  <w:style w:type="table" w:styleId="1450"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451" w:customStyle="1">
    <w:name w:val="Grid Table 2 - Accent 11"/>
    <w:uiPriority w:val="99"/>
    <w:qFormat/>
    <w:tblPr>
      <w:tblBorders>
        <w:bottom w:val="single" w:color="19729B" w:sz="4" w:space="0"/>
        <w:insideH w:val="single" w:color="19729B" w:sz="4" w:space="0"/>
        <w:insideV w:val="single" w:color="19729B" w:sz="4" w:space="0"/>
      </w:tblBorders>
      <w:tblCellMar>
        <w:left w:w="0" w:type="dxa"/>
        <w:top w:w="0" w:type="dxa"/>
        <w:right w:w="0" w:type="dxa"/>
        <w:bottom w:w="0" w:type="dxa"/>
      </w:tblCellMar>
    </w:tblPr>
    <w:tblStylePr w:type="band1Horz">
      <w:rPr>
        <w:rFonts w:ascii="Arial" w:hAnsi="Arial"/>
        <w:color w:val="404040"/>
        <w:sz w:val="22"/>
      </w:rPr>
      <w:tcPr>
        <w:shd w:val="clear" w:color="bfe4f4" w:fill="bfe4f4"/>
      </w:tcPr>
    </w:tblStylePr>
    <w:tblStylePr w:type="band1Vert">
      <w:rPr>
        <w:rFonts w:ascii="Arial" w:hAnsi="Arial"/>
        <w:color w:val="404040"/>
        <w:sz w:val="22"/>
      </w:rPr>
      <w:tcPr>
        <w:shd w:val="clear" w:color="bfe4f4" w:fill="bfe4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sz="4" w:space="0"/>
          <w:left w:val="none" w:color="000000" w:sz="4" w:space="0"/>
          <w:bottom w:val="none" w:color="000000" w:sz="4" w:space="0"/>
          <w:right w:val="none" w:color="000000" w:sz="4" w:space="0"/>
        </w:tcBorders>
      </w:tcPr>
    </w:tblStylePr>
  </w:style>
  <w:style w:type="table" w:styleId="1452" w:customStyle="1">
    <w:name w:val="Grid Table 2 - Accent 21"/>
    <w:uiPriority w:val="99"/>
    <w:qFormat/>
    <w:tblPr>
      <w:tblBorders>
        <w:bottom w:val="single" w:color="F2AA85" w:sz="4" w:space="0"/>
        <w:insideH w:val="single" w:color="F2AA85" w:sz="4" w:space="0"/>
        <w:insideV w:val="single" w:color="F2AA85" w:sz="4" w:space="0"/>
      </w:tblBorders>
      <w:tblCellMar>
        <w:left w:w="0" w:type="dxa"/>
        <w:top w:w="0" w:type="dxa"/>
        <w:right w:w="0" w:type="dxa"/>
        <w:bottom w:w="0" w:type="dxa"/>
      </w:tblCellMar>
    </w:tblPr>
    <w:tblStylePr w:type="band1Horz">
      <w:rPr>
        <w:rFonts w:ascii="Arial" w:hAnsi="Arial"/>
        <w:color w:val="404040"/>
        <w:sz w:val="22"/>
      </w:rPr>
      <w:tcPr>
        <w:shd w:val="clear" w:color="fae2d6" w:fill="fae2d6"/>
      </w:tcPr>
    </w:tblStylePr>
    <w:tblStylePr w:type="band1Vert">
      <w:rPr>
        <w:rFonts w:ascii="Arial" w:hAnsi="Arial"/>
        <w:color w:val="404040"/>
        <w:sz w:val="22"/>
      </w:rPr>
      <w:tcPr>
        <w:shd w:val="clear" w:color="fae2d6" w:fill="fae2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sz="4" w:space="0"/>
          <w:left w:val="none" w:color="000000" w:sz="4" w:space="0"/>
          <w:bottom w:val="none" w:color="000000" w:sz="4" w:space="0"/>
          <w:right w:val="none" w:color="000000" w:sz="4" w:space="0"/>
        </w:tcBorders>
      </w:tcPr>
    </w:tblStylePr>
  </w:style>
  <w:style w:type="table" w:styleId="1453" w:customStyle="1">
    <w:name w:val="Grid Table 2 - Accent 31"/>
    <w:uiPriority w:val="99"/>
    <w:qFormat/>
    <w:tblPr>
      <w:tblBorders>
        <w:bottom w:val="single" w:color="196C24" w:sz="4" w:space="0"/>
        <w:insideH w:val="single" w:color="196C24" w:sz="4" w:space="0"/>
        <w:insideV w:val="single" w:color="196C24" w:sz="4" w:space="0"/>
      </w:tblBorders>
      <w:tblCellMar>
        <w:left w:w="0" w:type="dxa"/>
        <w:top w:w="0" w:type="dxa"/>
        <w:right w:w="0" w:type="dxa"/>
        <w:bottom w:w="0" w:type="dxa"/>
      </w:tblCellMar>
    </w:tblPr>
    <w:tblStylePr w:type="band1Horz">
      <w:rPr>
        <w:rFonts w:ascii="Arial" w:hAnsi="Arial"/>
        <w:color w:val="404040"/>
        <w:sz w:val="22"/>
      </w:rPr>
      <w:tcPr>
        <w:shd w:val="clear" w:color="c0f0c6" w:fill="c0f0c6"/>
      </w:tcPr>
    </w:tblStylePr>
    <w:tblStylePr w:type="band1Vert">
      <w:rPr>
        <w:rFonts w:ascii="Arial" w:hAnsi="Arial"/>
        <w:color w:val="404040"/>
        <w:sz w:val="22"/>
      </w:rPr>
      <w:tcPr>
        <w:shd w:val="clear" w:color="c0f0c6" w:fill="c0f0c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sz="4" w:space="0"/>
          <w:left w:val="none" w:color="000000" w:sz="4" w:space="0"/>
          <w:bottom w:val="none" w:color="000000" w:sz="4" w:space="0"/>
          <w:right w:val="none" w:color="000000" w:sz="4" w:space="0"/>
        </w:tcBorders>
      </w:tcPr>
    </w:tblStylePr>
  </w:style>
  <w:style w:type="table" w:styleId="1454" w:customStyle="1">
    <w:name w:val="Grid Table 2 - Accent 41"/>
    <w:uiPriority w:val="99"/>
    <w:qFormat/>
    <w:tblPr>
      <w:tblBorders>
        <w:bottom w:val="single" w:color="5FCAF3" w:sz="4" w:space="0"/>
        <w:insideH w:val="single" w:color="5FCAF3" w:sz="4" w:space="0"/>
        <w:insideV w:val="single" w:color="5FCAF3" w:sz="4" w:space="0"/>
      </w:tblBorders>
      <w:tblCellMar>
        <w:left w:w="0" w:type="dxa"/>
        <w:top w:w="0" w:type="dxa"/>
        <w:right w:w="0" w:type="dxa"/>
        <w:bottom w:w="0" w:type="dxa"/>
      </w:tblCellMar>
    </w:tblPr>
    <w:tblStylePr w:type="band1Horz">
      <w:rPr>
        <w:rFonts w:ascii="Arial" w:hAnsi="Arial"/>
        <w:color w:val="404040"/>
        <w:sz w:val="22"/>
      </w:rPr>
      <w:tcPr>
        <w:shd w:val="clear" w:color="c9edfb" w:fill="c9edfb"/>
      </w:tcPr>
    </w:tblStylePr>
    <w:tblStylePr w:type="band1Vert">
      <w:rPr>
        <w:rFonts w:ascii="Arial" w:hAnsi="Arial"/>
        <w:color w:val="404040"/>
        <w:sz w:val="22"/>
      </w:rPr>
      <w:tcPr>
        <w:shd w:val="clear" w:color="c9edfb" w:fill="c9edf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sz="4" w:space="0"/>
          <w:left w:val="none" w:color="000000" w:sz="4" w:space="0"/>
          <w:bottom w:val="none" w:color="000000" w:sz="4" w:space="0"/>
          <w:right w:val="none" w:color="000000" w:sz="4" w:space="0"/>
        </w:tcBorders>
      </w:tcPr>
    </w:tblStylePr>
  </w:style>
  <w:style w:type="table" w:styleId="1455" w:customStyle="1">
    <w:name w:val="Grid Table 2 - Accent 51"/>
    <w:uiPriority w:val="99"/>
    <w:qFormat/>
    <w:tblPr>
      <w:tblBorders>
        <w:bottom w:val="single" w:color="A02B93" w:sz="4" w:space="0"/>
        <w:insideH w:val="single" w:color="A02B93" w:sz="4" w:space="0"/>
        <w:insideV w:val="single" w:color="A02B93" w:sz="4" w:space="0"/>
      </w:tblBorders>
      <w:tblCellMar>
        <w:left w:w="0" w:type="dxa"/>
        <w:top w:w="0" w:type="dxa"/>
        <w:right w:w="0" w:type="dxa"/>
        <w:bottom w:w="0" w:type="dxa"/>
      </w:tblCellMar>
    </w:tblPr>
    <w:tblStylePr w:type="band1Horz">
      <w:rPr>
        <w:rFonts w:ascii="Arial" w:hAnsi="Arial"/>
        <w:color w:val="404040"/>
        <w:sz w:val="22"/>
      </w:rPr>
      <w:tcPr>
        <w:shd w:val="clear" w:color="f1cded" w:fill="f1cded"/>
      </w:tcPr>
    </w:tblStylePr>
    <w:tblStylePr w:type="band1Vert">
      <w:rPr>
        <w:rFonts w:ascii="Arial" w:hAnsi="Arial"/>
        <w:color w:val="404040"/>
        <w:sz w:val="22"/>
      </w:rPr>
      <w:tcPr>
        <w:shd w:val="clear" w:color="f1cded" w:fill="f1cde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sz="4" w:space="0"/>
          <w:left w:val="none" w:color="000000" w:sz="4" w:space="0"/>
          <w:bottom w:val="none" w:color="000000" w:sz="4" w:space="0"/>
          <w:right w:val="none" w:color="000000" w:sz="4" w:space="0"/>
        </w:tcBorders>
      </w:tcPr>
    </w:tblStylePr>
  </w:style>
  <w:style w:type="table" w:styleId="1456" w:customStyle="1">
    <w:name w:val="Grid Table 2 - Accent 61"/>
    <w:uiPriority w:val="99"/>
    <w:qFormat/>
    <w:tblPr>
      <w:tblBorders>
        <w:bottom w:val="single" w:color="4EA72E" w:sz="4" w:space="0"/>
        <w:insideH w:val="single" w:color="4EA72E" w:sz="4" w:space="0"/>
        <w:insideV w:val="single" w:color="4EA72E" w:sz="4" w:space="0"/>
      </w:tblBorders>
      <w:tblCellMar>
        <w:left w:w="0" w:type="dxa"/>
        <w:top w:w="0" w:type="dxa"/>
        <w:right w:w="0" w:type="dxa"/>
        <w:bottom w:w="0" w:type="dxa"/>
      </w:tblCellMar>
    </w:tblPr>
    <w:tblStylePr w:type="band1Horz">
      <w:rPr>
        <w:rFonts w:ascii="Arial" w:hAnsi="Arial"/>
        <w:color w:val="404040"/>
        <w:sz w:val="22"/>
      </w:rPr>
      <w:tcPr>
        <w:shd w:val="clear" w:color="d8f2cf" w:fill="d8f2cf"/>
      </w:tcPr>
    </w:tblStylePr>
    <w:tblStylePr w:type="band1Vert">
      <w:rPr>
        <w:rFonts w:ascii="Arial" w:hAnsi="Arial"/>
        <w:color w:val="404040"/>
        <w:sz w:val="22"/>
      </w:rPr>
      <w:tcPr>
        <w:shd w:val="clear" w:color="d8f2cf" w:fill="d8f2cf"/>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sz="4" w:space="0"/>
          <w:left w:val="none" w:color="000000" w:sz="4" w:space="0"/>
          <w:bottom w:val="none" w:color="000000" w:sz="4" w:space="0"/>
          <w:right w:val="none" w:color="000000" w:sz="4" w:space="0"/>
        </w:tcBorders>
      </w:tcPr>
    </w:tblStylePr>
  </w:style>
  <w:style w:type="table" w:styleId="1457"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8" w:customStyle="1">
    <w:name w:val="Grid Table 3 - Accent 11"/>
    <w:uiPriority w:val="99"/>
    <w:qFormat/>
    <w:tblPr>
      <w:tblBorders>
        <w:bottom w:val="single" w:color="19729B" w:sz="4" w:space="0"/>
        <w:insideH w:val="single" w:color="19729B" w:sz="4" w:space="0"/>
        <w:insideV w:val="single" w:color="19729B" w:sz="4" w:space="0"/>
      </w:tblBorders>
      <w:tblCellMar>
        <w:left w:w="0" w:type="dxa"/>
        <w:top w:w="0" w:type="dxa"/>
        <w:right w:w="0" w:type="dxa"/>
        <w:bottom w:w="0" w:type="dxa"/>
      </w:tblCellMar>
    </w:tblPr>
    <w:tblStylePr w:type="band1Horz">
      <w:rPr>
        <w:rFonts w:ascii="Arial" w:hAnsi="Arial"/>
        <w:color w:val="404040"/>
        <w:sz w:val="22"/>
      </w:rPr>
      <w:tcPr>
        <w:shd w:val="clear" w:color="bfe4f4" w:fill="bfe4f4"/>
      </w:tcPr>
    </w:tblStylePr>
    <w:tblStylePr w:type="band1Vert">
      <w:rPr>
        <w:rFonts w:ascii="Arial" w:hAnsi="Arial"/>
        <w:color w:val="404040"/>
        <w:sz w:val="22"/>
      </w:rPr>
      <w:tcPr>
        <w:shd w:val="clear" w:color="bfe4f4" w:fill="bfe4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9" w:customStyle="1">
    <w:name w:val="Grid Table 3 - Accent 21"/>
    <w:uiPriority w:val="99"/>
    <w:qFormat/>
    <w:tblPr>
      <w:tblBorders>
        <w:bottom w:val="single" w:color="F2AA85" w:sz="4" w:space="0"/>
        <w:insideH w:val="single" w:color="F2AA85" w:sz="4" w:space="0"/>
        <w:insideV w:val="single" w:color="F2AA85" w:sz="4" w:space="0"/>
      </w:tblBorders>
      <w:tblCellMar>
        <w:left w:w="0" w:type="dxa"/>
        <w:top w:w="0" w:type="dxa"/>
        <w:right w:w="0" w:type="dxa"/>
        <w:bottom w:w="0" w:type="dxa"/>
      </w:tblCellMar>
    </w:tblPr>
    <w:tblStylePr w:type="band1Horz">
      <w:rPr>
        <w:rFonts w:ascii="Arial" w:hAnsi="Arial"/>
        <w:color w:val="404040"/>
        <w:sz w:val="22"/>
      </w:rPr>
      <w:tcPr>
        <w:shd w:val="clear" w:color="fae2d6" w:fill="fae2d6"/>
      </w:tcPr>
    </w:tblStylePr>
    <w:tblStylePr w:type="band1Vert">
      <w:rPr>
        <w:rFonts w:ascii="Arial" w:hAnsi="Arial"/>
        <w:color w:val="404040"/>
        <w:sz w:val="22"/>
      </w:rPr>
      <w:tcPr>
        <w:shd w:val="clear" w:color="fae2d6" w:fill="fae2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0" w:customStyle="1">
    <w:name w:val="Grid Table 3 - Accent 31"/>
    <w:uiPriority w:val="99"/>
    <w:qFormat/>
    <w:tblPr>
      <w:tblBorders>
        <w:bottom w:val="single" w:color="196C24" w:sz="4" w:space="0"/>
        <w:insideH w:val="single" w:color="196C24" w:sz="4" w:space="0"/>
        <w:insideV w:val="single" w:color="196C24" w:sz="4" w:space="0"/>
      </w:tblBorders>
      <w:tblCellMar>
        <w:left w:w="0" w:type="dxa"/>
        <w:top w:w="0" w:type="dxa"/>
        <w:right w:w="0" w:type="dxa"/>
        <w:bottom w:w="0" w:type="dxa"/>
      </w:tblCellMar>
    </w:tblPr>
    <w:tblStylePr w:type="band1Horz">
      <w:rPr>
        <w:rFonts w:ascii="Arial" w:hAnsi="Arial"/>
        <w:color w:val="404040"/>
        <w:sz w:val="22"/>
      </w:rPr>
      <w:tcPr>
        <w:shd w:val="clear" w:color="c0f0c6" w:fill="c0f0c6"/>
      </w:tcPr>
    </w:tblStylePr>
    <w:tblStylePr w:type="band1Vert">
      <w:rPr>
        <w:rFonts w:ascii="Arial" w:hAnsi="Arial"/>
        <w:color w:val="404040"/>
        <w:sz w:val="22"/>
      </w:rPr>
      <w:tcPr>
        <w:shd w:val="clear" w:color="c0f0c6" w:fill="c0f0c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1" w:customStyle="1">
    <w:name w:val="Grid Table 3 - Accent 41"/>
    <w:uiPriority w:val="99"/>
    <w:qFormat/>
    <w:tblPr>
      <w:tblBorders>
        <w:bottom w:val="single" w:color="5FCAF3" w:sz="4" w:space="0"/>
        <w:insideH w:val="single" w:color="5FCAF3" w:sz="4" w:space="0"/>
        <w:insideV w:val="single" w:color="5FCAF3" w:sz="4" w:space="0"/>
      </w:tblBorders>
      <w:tblCellMar>
        <w:left w:w="0" w:type="dxa"/>
        <w:top w:w="0" w:type="dxa"/>
        <w:right w:w="0" w:type="dxa"/>
        <w:bottom w:w="0" w:type="dxa"/>
      </w:tblCellMar>
    </w:tblPr>
    <w:tblStylePr w:type="band1Horz">
      <w:rPr>
        <w:rFonts w:ascii="Arial" w:hAnsi="Arial"/>
        <w:color w:val="404040"/>
        <w:sz w:val="22"/>
      </w:rPr>
      <w:tcPr>
        <w:shd w:val="clear" w:color="c9edfb" w:fill="c9edfb"/>
      </w:tcPr>
    </w:tblStylePr>
    <w:tblStylePr w:type="band1Vert">
      <w:rPr>
        <w:rFonts w:ascii="Arial" w:hAnsi="Arial"/>
        <w:color w:val="404040"/>
        <w:sz w:val="22"/>
      </w:rPr>
      <w:tcPr>
        <w:shd w:val="clear" w:color="c9edfb" w:fill="c9edf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2" w:customStyle="1">
    <w:name w:val="Grid Table 3 - Accent 51"/>
    <w:uiPriority w:val="99"/>
    <w:qFormat/>
    <w:tblPr>
      <w:tblBorders>
        <w:bottom w:val="single" w:color="A02B93" w:sz="4" w:space="0"/>
        <w:insideH w:val="single" w:color="A02B93" w:sz="4" w:space="0"/>
        <w:insideV w:val="single" w:color="A02B93" w:sz="4" w:space="0"/>
      </w:tblBorders>
      <w:tblCellMar>
        <w:left w:w="0" w:type="dxa"/>
        <w:top w:w="0" w:type="dxa"/>
        <w:right w:w="0" w:type="dxa"/>
        <w:bottom w:w="0" w:type="dxa"/>
      </w:tblCellMar>
    </w:tblPr>
    <w:tblStylePr w:type="band1Horz">
      <w:rPr>
        <w:rFonts w:ascii="Arial" w:hAnsi="Arial"/>
        <w:color w:val="404040"/>
        <w:sz w:val="22"/>
      </w:rPr>
      <w:tcPr>
        <w:shd w:val="clear" w:color="f1cded" w:fill="f1cded"/>
      </w:tcPr>
    </w:tblStylePr>
    <w:tblStylePr w:type="band1Vert">
      <w:rPr>
        <w:rFonts w:ascii="Arial" w:hAnsi="Arial"/>
        <w:color w:val="404040"/>
        <w:sz w:val="22"/>
      </w:rPr>
      <w:tcPr>
        <w:shd w:val="clear" w:color="f1cded" w:fill="f1cde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3" w:customStyle="1">
    <w:name w:val="Grid Table 3 - Accent 61"/>
    <w:uiPriority w:val="99"/>
    <w:qFormat/>
    <w:tblPr>
      <w:tblBorders>
        <w:bottom w:val="single" w:color="4EA72E" w:sz="4" w:space="0"/>
        <w:insideH w:val="single" w:color="4EA72E" w:sz="4" w:space="0"/>
        <w:insideV w:val="single" w:color="4EA72E" w:sz="4" w:space="0"/>
      </w:tblBorders>
      <w:tblCellMar>
        <w:left w:w="0" w:type="dxa"/>
        <w:top w:w="0" w:type="dxa"/>
        <w:right w:w="0" w:type="dxa"/>
        <w:bottom w:w="0" w:type="dxa"/>
      </w:tblCellMar>
    </w:tblPr>
    <w:tblStylePr w:type="band1Horz">
      <w:rPr>
        <w:rFonts w:ascii="Arial" w:hAnsi="Arial"/>
        <w:color w:val="404040"/>
        <w:sz w:val="22"/>
      </w:rPr>
      <w:tcPr>
        <w:shd w:val="clear" w:color="d8f2cf" w:fill="d8f2cf"/>
      </w:tcPr>
    </w:tblStylePr>
    <w:tblStylePr w:type="band1Vert">
      <w:rPr>
        <w:rFonts w:ascii="Arial" w:hAnsi="Arial"/>
        <w:color w:val="404040"/>
        <w:sz w:val="22"/>
      </w:rPr>
      <w:tcPr>
        <w:shd w:val="clear" w:color="d8f2cf" w:fill="d8f2cf"/>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4"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465" w:customStyle="1">
    <w:name w:val="Grid Table 4 - Accent 11"/>
    <w:uiPriority w:val="59"/>
    <w:qFormat/>
    <w:tblPr>
      <w:tblBorders>
        <w:top w:val="single" w:color="50B4E2" w:sz="4" w:space="0"/>
        <w:left w:val="single" w:color="50B4E2" w:sz="4" w:space="0"/>
        <w:bottom w:val="single" w:color="50B4E2" w:sz="4" w:space="0"/>
        <w:right w:val="single" w:color="50B4E2" w:sz="4" w:space="0"/>
        <w:insideH w:val="single" w:color="50B4E2" w:sz="4" w:space="0"/>
        <w:insideV w:val="single" w:color="50B4E2" w:sz="4" w:space="0"/>
      </w:tblBorders>
      <w:tblCellMar>
        <w:left w:w="0" w:type="dxa"/>
        <w:top w:w="0" w:type="dxa"/>
        <w:right w:w="0" w:type="dxa"/>
        <w:bottom w:w="0" w:type="dxa"/>
      </w:tblCellMar>
    </w:tblPr>
    <w:tblStylePr w:type="band1Horz">
      <w:rPr>
        <w:rFonts w:ascii="Arial" w:hAnsi="Arial"/>
        <w:color w:val="404040"/>
        <w:sz w:val="22"/>
      </w:rPr>
      <w:tcPr>
        <w:shd w:val="clear" w:color="c2e5f5" w:fill="c2e5f5"/>
      </w:tcPr>
    </w:tblStylePr>
    <w:tblStylePr w:type="band1Vert">
      <w:rPr>
        <w:rFonts w:ascii="Arial" w:hAnsi="Arial"/>
        <w:color w:val="404040"/>
        <w:sz w:val="22"/>
      </w:rPr>
      <w:tcPr>
        <w:shd w:val="clear" w:color="c2e5f5" w:fill="c2e5f5"/>
      </w:tcPr>
    </w:tblStylePr>
    <w:tblStylePr w:type="firstCol">
      <w:rPr>
        <w:b/>
        <w:color w:val="404040"/>
      </w:rPr>
    </w:tblStylePr>
    <w:tblStylePr w:type="firstRow">
      <w:rPr>
        <w:rFonts w:ascii="Arial" w:hAnsi="Arial"/>
        <w:b/>
        <w:color w:val="ffffff"/>
        <w:sz w:val="22"/>
      </w:rPr>
      <w:tcPr>
        <w:shd w:val="clear" w:color="19729b" w:fill="19729b"/>
        <w:tcBorders>
          <w:top w:val="single" w:color="19729B" w:sz="4" w:space="0"/>
          <w:left w:val="single" w:color="19729B" w:sz="4" w:space="0"/>
          <w:bottom w:val="single" w:color="19729B" w:sz="4" w:space="0"/>
          <w:right w:val="single" w:color="19729B" w:sz="4" w:space="0"/>
        </w:tcBorders>
      </w:tcPr>
    </w:tblStylePr>
    <w:tblStylePr w:type="lastCol">
      <w:rPr>
        <w:b/>
        <w:color w:val="404040"/>
      </w:rPr>
    </w:tblStylePr>
    <w:tblStylePr w:type="lastRow">
      <w:rPr>
        <w:b/>
        <w:color w:val="404040"/>
      </w:rPr>
      <w:tcPr>
        <w:tcBorders>
          <w:top w:val="single" w:color="19729B" w:sz="4" w:space="0"/>
        </w:tcBorders>
      </w:tcPr>
    </w:tblStylePr>
  </w:style>
  <w:style w:type="table" w:styleId="1466" w:customStyle="1">
    <w:name w:val="Grid Table 4 - Accent 21"/>
    <w:uiPriority w:val="59"/>
    <w:qFormat/>
    <w:tblPr>
      <w:tblBorders>
        <w:top w:val="single" w:color="F2AE8B" w:sz="4" w:space="0"/>
        <w:left w:val="single" w:color="F2AE8B" w:sz="4" w:space="0"/>
        <w:bottom w:val="single" w:color="F2AE8B" w:sz="4" w:space="0"/>
        <w:right w:val="single" w:color="F2AE8B" w:sz="4" w:space="0"/>
        <w:insideH w:val="single" w:color="F2AE8B" w:sz="4" w:space="0"/>
        <w:insideV w:val="single" w:color="F2AE8B" w:sz="4" w:space="0"/>
      </w:tblBorders>
      <w:tblCellMar>
        <w:left w:w="0" w:type="dxa"/>
        <w:top w:w="0" w:type="dxa"/>
        <w:right w:w="0" w:type="dxa"/>
        <w:bottom w:w="0" w:type="dxa"/>
      </w:tblCellMar>
    </w:tblPr>
    <w:tblStylePr w:type="band1Horz">
      <w:rPr>
        <w:rFonts w:ascii="Arial" w:hAnsi="Arial"/>
        <w:color w:val="404040"/>
        <w:sz w:val="22"/>
      </w:rPr>
      <w:tcPr>
        <w:shd w:val="clear" w:color="fae2d6" w:fill="fae2d6"/>
      </w:tcPr>
    </w:tblStylePr>
    <w:tblStylePr w:type="band1Vert">
      <w:rPr>
        <w:rFonts w:ascii="Arial" w:hAnsi="Arial"/>
        <w:color w:val="404040"/>
        <w:sz w:val="22"/>
      </w:rPr>
      <w:tcPr>
        <w:shd w:val="clear" w:color="fae2d6" w:fill="fae2d6"/>
      </w:tcPr>
    </w:tblStylePr>
    <w:tblStylePr w:type="firstCol">
      <w:rPr>
        <w:b/>
        <w:color w:val="404040"/>
      </w:rPr>
    </w:tblStylePr>
    <w:tblStylePr w:type="firstRow">
      <w:rPr>
        <w:rFonts w:ascii="Arial" w:hAnsi="Arial"/>
        <w:b/>
        <w:color w:val="ffffff"/>
        <w:sz w:val="22"/>
      </w:rPr>
      <w:tcPr>
        <w:shd w:val="clear" w:color="f2aa85" w:fill="f2aa85"/>
        <w:tcBorders>
          <w:top w:val="single" w:color="F2AA85" w:sz="4" w:space="0"/>
          <w:left w:val="single" w:color="F2AA85" w:sz="4" w:space="0"/>
          <w:bottom w:val="single" w:color="F2AA85" w:sz="4" w:space="0"/>
          <w:right w:val="single" w:color="F2AA85" w:sz="4" w:space="0"/>
        </w:tcBorders>
      </w:tcPr>
    </w:tblStylePr>
    <w:tblStylePr w:type="lastCol">
      <w:rPr>
        <w:b/>
        <w:color w:val="404040"/>
      </w:rPr>
    </w:tblStylePr>
    <w:tblStylePr w:type="lastRow">
      <w:rPr>
        <w:b/>
        <w:color w:val="404040"/>
      </w:rPr>
      <w:tcPr>
        <w:tcBorders>
          <w:top w:val="single" w:color="F2AA85" w:sz="4" w:space="0"/>
        </w:tcBorders>
      </w:tcPr>
    </w:tblStylePr>
  </w:style>
  <w:style w:type="table" w:styleId="1467" w:customStyle="1">
    <w:name w:val="Grid Table 4 - Accent 31"/>
    <w:uiPriority w:val="59"/>
    <w:qFormat/>
    <w:tblPr>
      <w:tblBorders>
        <w:top w:val="single" w:color="51D663" w:sz="4" w:space="0"/>
        <w:left w:val="single" w:color="51D663" w:sz="4" w:space="0"/>
        <w:bottom w:val="single" w:color="51D663" w:sz="4" w:space="0"/>
        <w:right w:val="single" w:color="51D663" w:sz="4" w:space="0"/>
        <w:insideH w:val="single" w:color="51D663" w:sz="4" w:space="0"/>
        <w:insideV w:val="single" w:color="51D663" w:sz="4" w:space="0"/>
      </w:tblBorders>
      <w:tblCellMar>
        <w:left w:w="0" w:type="dxa"/>
        <w:top w:w="0" w:type="dxa"/>
        <w:right w:w="0" w:type="dxa"/>
        <w:bottom w:w="0" w:type="dxa"/>
      </w:tblCellMar>
    </w:tblPr>
    <w:tblStylePr w:type="band1Horz">
      <w:rPr>
        <w:rFonts w:ascii="Arial" w:hAnsi="Arial"/>
        <w:color w:val="404040"/>
        <w:sz w:val="22"/>
      </w:rPr>
      <w:tcPr>
        <w:shd w:val="clear" w:color="c0f0c6" w:fill="c0f0c6"/>
      </w:tcPr>
    </w:tblStylePr>
    <w:tblStylePr w:type="band1Vert">
      <w:rPr>
        <w:rFonts w:ascii="Arial" w:hAnsi="Arial"/>
        <w:color w:val="404040"/>
        <w:sz w:val="22"/>
      </w:rPr>
      <w:tcPr>
        <w:shd w:val="clear" w:color="c0f0c6" w:fill="c0f0c6"/>
      </w:tcPr>
    </w:tblStylePr>
    <w:tblStylePr w:type="firstCol">
      <w:rPr>
        <w:b/>
        <w:color w:val="404040"/>
      </w:rPr>
    </w:tblStylePr>
    <w:tblStylePr w:type="firstRow">
      <w:rPr>
        <w:rFonts w:ascii="Arial" w:hAnsi="Arial"/>
        <w:b/>
        <w:color w:val="ffffff"/>
        <w:sz w:val="22"/>
      </w:rPr>
      <w:tcPr>
        <w:shd w:val="clear" w:color="196c24" w:fill="196c24"/>
        <w:tcBorders>
          <w:top w:val="single" w:color="196C24" w:sz="4" w:space="0"/>
          <w:left w:val="single" w:color="196C24" w:sz="4" w:space="0"/>
          <w:bottom w:val="single" w:color="196C24" w:sz="4" w:space="0"/>
          <w:right w:val="single" w:color="196C24" w:sz="4" w:space="0"/>
        </w:tcBorders>
      </w:tcPr>
    </w:tblStylePr>
    <w:tblStylePr w:type="lastCol">
      <w:rPr>
        <w:b/>
        <w:color w:val="404040"/>
      </w:rPr>
    </w:tblStylePr>
    <w:tblStylePr w:type="lastRow">
      <w:rPr>
        <w:b/>
        <w:color w:val="404040"/>
      </w:rPr>
      <w:tcPr>
        <w:tcBorders>
          <w:top w:val="single" w:color="196C24" w:sz="4" w:space="0"/>
        </w:tcBorders>
      </w:tcPr>
    </w:tblStylePr>
  </w:style>
  <w:style w:type="table" w:styleId="1468" w:customStyle="1">
    <w:name w:val="Grid Table 4 - Accent 41"/>
    <w:uiPriority w:val="59"/>
    <w:qFormat/>
    <w:tblPr>
      <w:tblBorders>
        <w:top w:val="single" w:color="6ACDF4" w:sz="4" w:space="0"/>
        <w:left w:val="single" w:color="6ACDF4" w:sz="4" w:space="0"/>
        <w:bottom w:val="single" w:color="6ACDF4" w:sz="4" w:space="0"/>
        <w:right w:val="single" w:color="6ACDF4" w:sz="4" w:space="0"/>
        <w:insideH w:val="single" w:color="6ACDF4" w:sz="4" w:space="0"/>
        <w:insideV w:val="single" w:color="6ACDF4" w:sz="4" w:space="0"/>
      </w:tblBorders>
      <w:tblCellMar>
        <w:left w:w="0" w:type="dxa"/>
        <w:top w:w="0" w:type="dxa"/>
        <w:right w:w="0" w:type="dxa"/>
        <w:bottom w:w="0" w:type="dxa"/>
      </w:tblCellMar>
    </w:tblPr>
    <w:tblStylePr w:type="band1Horz">
      <w:rPr>
        <w:rFonts w:ascii="Arial" w:hAnsi="Arial"/>
        <w:color w:val="404040"/>
        <w:sz w:val="22"/>
      </w:rPr>
      <w:tcPr>
        <w:shd w:val="clear" w:color="c9edfb" w:fill="c9edfb"/>
      </w:tcPr>
    </w:tblStylePr>
    <w:tblStylePr w:type="band1Vert">
      <w:rPr>
        <w:rFonts w:ascii="Arial" w:hAnsi="Arial"/>
        <w:color w:val="404040"/>
        <w:sz w:val="22"/>
      </w:rPr>
      <w:tcPr>
        <w:shd w:val="clear" w:color="c9edfb" w:fill="c9edfb"/>
      </w:tcPr>
    </w:tblStylePr>
    <w:tblStylePr w:type="firstCol">
      <w:rPr>
        <w:b/>
        <w:color w:val="404040"/>
      </w:rPr>
    </w:tblStylePr>
    <w:tblStylePr w:type="firstRow">
      <w:rPr>
        <w:rFonts w:ascii="Arial" w:hAnsi="Arial"/>
        <w:b/>
        <w:color w:val="ffffff"/>
        <w:sz w:val="22"/>
      </w:rPr>
      <w:tcPr>
        <w:shd w:val="clear" w:color="5fcaf3" w:fill="5fcaf3"/>
        <w:tcBorders>
          <w:top w:val="single" w:color="5FCAF3" w:sz="4" w:space="0"/>
          <w:left w:val="single" w:color="5FCAF3" w:sz="4" w:space="0"/>
          <w:bottom w:val="single" w:color="5FCAF3" w:sz="4" w:space="0"/>
          <w:right w:val="single" w:color="5FCAF3" w:sz="4" w:space="0"/>
        </w:tcBorders>
      </w:tcPr>
    </w:tblStylePr>
    <w:tblStylePr w:type="lastCol">
      <w:rPr>
        <w:b/>
        <w:color w:val="404040"/>
      </w:rPr>
    </w:tblStylePr>
    <w:tblStylePr w:type="lastRow">
      <w:rPr>
        <w:b/>
        <w:color w:val="404040"/>
      </w:rPr>
      <w:tcPr>
        <w:tcBorders>
          <w:top w:val="single" w:color="5FCAF3" w:sz="4" w:space="0"/>
        </w:tcBorders>
      </w:tcPr>
    </w:tblStylePr>
  </w:style>
  <w:style w:type="table" w:styleId="1469" w:customStyle="1">
    <w:name w:val="Grid Table 4 - Accent 51"/>
    <w:uiPriority w:val="59"/>
    <w:qFormat/>
    <w:tblPr>
      <w:tblBorders>
        <w:top w:val="single" w:color="DA76CE" w:sz="4" w:space="0"/>
        <w:left w:val="single" w:color="DA76CE" w:sz="4" w:space="0"/>
        <w:bottom w:val="single" w:color="DA76CE" w:sz="4" w:space="0"/>
        <w:right w:val="single" w:color="DA76CE" w:sz="4" w:space="0"/>
        <w:insideH w:val="single" w:color="DA76CE" w:sz="4" w:space="0"/>
        <w:insideV w:val="single" w:color="DA76CE" w:sz="4" w:space="0"/>
      </w:tblBorders>
      <w:tblCellMar>
        <w:left w:w="0" w:type="dxa"/>
        <w:top w:w="0" w:type="dxa"/>
        <w:right w:w="0" w:type="dxa"/>
        <w:bottom w:w="0" w:type="dxa"/>
      </w:tblCellMar>
    </w:tblPr>
    <w:tblStylePr w:type="band1Horz">
      <w:rPr>
        <w:rFonts w:ascii="Arial" w:hAnsi="Arial"/>
        <w:color w:val="404040"/>
        <w:sz w:val="22"/>
      </w:rPr>
      <w:tcPr>
        <w:shd w:val="clear" w:color="f1cded" w:fill="f1cded"/>
      </w:tcPr>
    </w:tblStylePr>
    <w:tblStylePr w:type="band1Vert">
      <w:rPr>
        <w:rFonts w:ascii="Arial" w:hAnsi="Arial"/>
        <w:color w:val="404040"/>
        <w:sz w:val="22"/>
      </w:rPr>
      <w:tcPr>
        <w:shd w:val="clear" w:color="f1cded" w:fill="f1cded"/>
      </w:tcPr>
    </w:tblStylePr>
    <w:tblStylePr w:type="firstCol">
      <w:rPr>
        <w:b/>
        <w:color w:val="404040"/>
      </w:rPr>
    </w:tblStylePr>
    <w:tblStylePr w:type="firstRow">
      <w:rPr>
        <w:rFonts w:ascii="Arial" w:hAnsi="Arial"/>
        <w:b/>
        <w:color w:val="ffffff"/>
        <w:sz w:val="22"/>
      </w:rPr>
      <w:tcPr>
        <w:shd w:val="clear" w:color="a02b93" w:fill="a02b93"/>
        <w:tcBorders>
          <w:top w:val="single" w:color="A02B93" w:sz="4" w:space="0"/>
          <w:left w:val="single" w:color="A02B93" w:sz="4" w:space="0"/>
          <w:bottom w:val="single" w:color="A02B93" w:sz="4" w:space="0"/>
          <w:right w:val="single" w:color="A02B93" w:sz="4" w:space="0"/>
        </w:tcBorders>
      </w:tcPr>
    </w:tblStylePr>
    <w:tblStylePr w:type="lastCol">
      <w:rPr>
        <w:b/>
        <w:color w:val="404040"/>
      </w:rPr>
    </w:tblStylePr>
    <w:tblStylePr w:type="lastRow">
      <w:rPr>
        <w:b/>
        <w:color w:val="404040"/>
      </w:rPr>
      <w:tcPr>
        <w:tcBorders>
          <w:top w:val="single" w:color="A02B93" w:sz="4" w:space="0"/>
        </w:tcBorders>
      </w:tcPr>
    </w:tblStylePr>
  </w:style>
  <w:style w:type="table" w:styleId="1470" w:customStyle="1">
    <w:name w:val="Grid Table 4 - Accent 61"/>
    <w:uiPriority w:val="59"/>
    <w:qFormat/>
    <w:tblPr>
      <w:tblBorders>
        <w:top w:val="single" w:color="94DA7B" w:sz="4" w:space="0"/>
        <w:left w:val="single" w:color="94DA7B" w:sz="4" w:space="0"/>
        <w:bottom w:val="single" w:color="94DA7B" w:sz="4" w:space="0"/>
        <w:right w:val="single" w:color="94DA7B" w:sz="4" w:space="0"/>
        <w:insideH w:val="single" w:color="94DA7B" w:sz="4" w:space="0"/>
        <w:insideV w:val="single" w:color="94DA7B" w:sz="4" w:space="0"/>
      </w:tblBorders>
      <w:tblCellMar>
        <w:left w:w="0" w:type="dxa"/>
        <w:top w:w="0" w:type="dxa"/>
        <w:right w:w="0" w:type="dxa"/>
        <w:bottom w:w="0" w:type="dxa"/>
      </w:tblCellMar>
    </w:tblPr>
    <w:tblStylePr w:type="band1Horz">
      <w:rPr>
        <w:rFonts w:ascii="Arial" w:hAnsi="Arial"/>
        <w:color w:val="404040"/>
        <w:sz w:val="22"/>
      </w:rPr>
      <w:tcPr>
        <w:shd w:val="clear" w:color="d8f2cf" w:fill="d8f2cf"/>
      </w:tcPr>
    </w:tblStylePr>
    <w:tblStylePr w:type="band1Vert">
      <w:rPr>
        <w:rFonts w:ascii="Arial" w:hAnsi="Arial"/>
        <w:color w:val="404040"/>
        <w:sz w:val="22"/>
      </w:rPr>
      <w:tcPr>
        <w:shd w:val="clear" w:color="d8f2cf" w:fill="d8f2cf"/>
      </w:tcPr>
    </w:tblStylePr>
    <w:tblStylePr w:type="firstCol">
      <w:rPr>
        <w:b/>
        <w:color w:val="404040"/>
      </w:rPr>
    </w:tblStylePr>
    <w:tblStylePr w:type="firstRow">
      <w:rPr>
        <w:rFonts w:ascii="Arial" w:hAnsi="Arial"/>
        <w:b/>
        <w:color w:val="ffffff"/>
        <w:sz w:val="22"/>
      </w:rPr>
      <w:tcPr>
        <w:shd w:val="clear" w:color="4ea72e" w:fill="4ea72e"/>
        <w:tcBorders>
          <w:top w:val="single" w:color="4EA72E" w:sz="4" w:space="0"/>
          <w:left w:val="single" w:color="4EA72E" w:sz="4" w:space="0"/>
          <w:bottom w:val="single" w:color="4EA72E" w:sz="4" w:space="0"/>
          <w:right w:val="single" w:color="4EA72E" w:sz="4" w:space="0"/>
        </w:tcBorders>
      </w:tcPr>
    </w:tblStylePr>
    <w:tblStylePr w:type="lastCol">
      <w:rPr>
        <w:b/>
        <w:color w:val="404040"/>
      </w:rPr>
    </w:tblStylePr>
    <w:tblStylePr w:type="lastRow">
      <w:rPr>
        <w:b/>
        <w:color w:val="404040"/>
      </w:rPr>
      <w:tcPr>
        <w:tcBorders>
          <w:top w:val="single" w:color="4EA72E" w:sz="4" w:space="0"/>
        </w:tcBorders>
      </w:tcPr>
    </w:tblStylePr>
  </w:style>
  <w:style w:type="table" w:styleId="1471"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472"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70c2e8" w:fill="70c2e8"/>
      </w:tcPr>
    </w:tblStylePr>
    <w:tblStylePr w:type="band1Vert">
      <w:tcPr>
        <w:shd w:val="clear" w:color="70c2e8" w:fill="70c2e8"/>
      </w:tcPr>
    </w:tblStylePr>
    <w:tblStylePr w:type="firstCol">
      <w:rPr>
        <w:rFonts w:ascii="Arial" w:hAnsi="Arial"/>
        <w:b/>
        <w:color w:val="ffffff"/>
        <w:sz w:val="22"/>
      </w:rPr>
      <w:tcPr>
        <w:shd w:val="clear" w:color="156082" w:fill="156082"/>
      </w:tcPr>
    </w:tblStylePr>
    <w:tblStylePr w:type="firstRow">
      <w:rPr>
        <w:rFonts w:ascii="Arial" w:hAnsi="Arial"/>
        <w:b/>
        <w:color w:val="ffffff"/>
        <w:sz w:val="22"/>
      </w:rPr>
      <w:tcPr>
        <w:shd w:val="clear" w:color="156082" w:fill="156082"/>
      </w:tcPr>
    </w:tblStylePr>
    <w:tblStylePr w:type="lastCol">
      <w:rPr>
        <w:rFonts w:ascii="Arial" w:hAnsi="Arial"/>
        <w:b/>
        <w:color w:val="ffffff"/>
        <w:sz w:val="22"/>
      </w:rPr>
      <w:tcPr>
        <w:shd w:val="clear" w:color="156082" w:fill="156082"/>
      </w:tcPr>
    </w:tblStylePr>
    <w:tblStylePr w:type="lastRow">
      <w:rPr>
        <w:rFonts w:ascii="Arial" w:hAnsi="Arial"/>
        <w:b/>
        <w:color w:val="ffffff"/>
        <w:sz w:val="22"/>
      </w:rPr>
      <w:tcPr>
        <w:shd w:val="clear" w:color="156082" w:fill="156082"/>
        <w:tcBorders>
          <w:top w:val="single" w:color="FFFFFF" w:sz="4" w:space="0"/>
        </w:tcBorders>
      </w:tcPr>
    </w:tblStylePr>
  </w:style>
  <w:style w:type="table" w:styleId="1473"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5bda0" w:fill="f5bda0"/>
      </w:tcPr>
    </w:tblStylePr>
    <w:tblStylePr w:type="band1Vert">
      <w:tcPr>
        <w:shd w:val="clear" w:color="f5bda0" w:fill="f5bda0"/>
      </w:tcPr>
    </w:tblStylePr>
    <w:tblStylePr w:type="firstCol">
      <w:rPr>
        <w:rFonts w:ascii="Arial" w:hAnsi="Arial"/>
        <w:b/>
        <w:color w:val="ffffff"/>
        <w:sz w:val="22"/>
      </w:rPr>
      <w:tcPr>
        <w:shd w:val="clear" w:color="e97132" w:fill="e97132"/>
      </w:tcPr>
    </w:tblStylePr>
    <w:tblStylePr w:type="firstRow">
      <w:rPr>
        <w:rFonts w:ascii="Arial" w:hAnsi="Arial"/>
        <w:b/>
        <w:color w:val="ffffff"/>
        <w:sz w:val="22"/>
      </w:rPr>
      <w:tcPr>
        <w:shd w:val="clear" w:color="e97132" w:fill="e97132"/>
      </w:tcPr>
    </w:tblStylePr>
    <w:tblStylePr w:type="lastCol">
      <w:rPr>
        <w:rFonts w:ascii="Arial" w:hAnsi="Arial"/>
        <w:b/>
        <w:color w:val="ffffff"/>
        <w:sz w:val="22"/>
      </w:rPr>
      <w:tcPr>
        <w:shd w:val="clear" w:color="e97132" w:fill="e97132"/>
      </w:tcPr>
    </w:tblStylePr>
    <w:tblStylePr w:type="lastRow">
      <w:rPr>
        <w:rFonts w:ascii="Arial" w:hAnsi="Arial"/>
        <w:b/>
        <w:color w:val="ffffff"/>
        <w:sz w:val="22"/>
      </w:rPr>
      <w:tcPr>
        <w:shd w:val="clear" w:color="e97132" w:fill="e97132"/>
        <w:tcBorders>
          <w:top w:val="single" w:color="FFFFFF" w:sz="4" w:space="0"/>
        </w:tcBorders>
      </w:tcPr>
    </w:tblStylePr>
  </w:style>
  <w:style w:type="table" w:styleId="1474"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72de80" w:fill="72de80"/>
      </w:tcPr>
    </w:tblStylePr>
    <w:tblStylePr w:type="band1Vert">
      <w:tcPr>
        <w:shd w:val="clear" w:color="72de80" w:fill="72de80"/>
      </w:tcPr>
    </w:tblStylePr>
    <w:tblStylePr w:type="firstCol">
      <w:rPr>
        <w:rFonts w:ascii="Arial" w:hAnsi="Arial"/>
        <w:b/>
        <w:color w:val="ffffff"/>
        <w:sz w:val="22"/>
      </w:rPr>
      <w:tcPr>
        <w:shd w:val="clear" w:color="196b24" w:fill="196b24"/>
      </w:tcPr>
    </w:tblStylePr>
    <w:tblStylePr w:type="firstRow">
      <w:rPr>
        <w:rFonts w:ascii="Arial" w:hAnsi="Arial"/>
        <w:b/>
        <w:color w:val="ffffff"/>
        <w:sz w:val="22"/>
      </w:rPr>
      <w:tcPr>
        <w:shd w:val="clear" w:color="196b24" w:fill="196b24"/>
      </w:tcPr>
    </w:tblStylePr>
    <w:tblStylePr w:type="lastCol">
      <w:rPr>
        <w:rFonts w:ascii="Arial" w:hAnsi="Arial"/>
        <w:b/>
        <w:color w:val="ffffff"/>
        <w:sz w:val="22"/>
      </w:rPr>
      <w:tcPr>
        <w:shd w:val="clear" w:color="196b24" w:fill="196b24"/>
      </w:tcPr>
    </w:tblStylePr>
    <w:tblStylePr w:type="lastRow">
      <w:rPr>
        <w:rFonts w:ascii="Arial" w:hAnsi="Arial"/>
        <w:b/>
        <w:color w:val="ffffff"/>
        <w:sz w:val="22"/>
      </w:rPr>
      <w:tcPr>
        <w:shd w:val="clear" w:color="196b24" w:fill="196b24"/>
        <w:tcBorders>
          <w:top w:val="single" w:color="FFFFFF" w:sz="4" w:space="0"/>
        </w:tcBorders>
      </w:tcPr>
    </w:tblStylePr>
  </w:style>
  <w:style w:type="table" w:styleId="1475"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5d7f6" w:fill="85d7f6"/>
      </w:tcPr>
    </w:tblStylePr>
    <w:tblStylePr w:type="band1Vert">
      <w:tcPr>
        <w:shd w:val="clear" w:color="85d7f6" w:fill="85d7f6"/>
      </w:tcPr>
    </w:tblStylePr>
    <w:tblStylePr w:type="firstCol">
      <w:rPr>
        <w:rFonts w:ascii="Arial" w:hAnsi="Arial"/>
        <w:b/>
        <w:color w:val="ffffff"/>
        <w:sz w:val="22"/>
      </w:rPr>
      <w:tcPr>
        <w:shd w:val="clear" w:color="0f9ed5" w:fill="0f9ed5"/>
      </w:tcPr>
    </w:tblStylePr>
    <w:tblStylePr w:type="firstRow">
      <w:rPr>
        <w:rFonts w:ascii="Arial" w:hAnsi="Arial"/>
        <w:b/>
        <w:color w:val="ffffff"/>
        <w:sz w:val="22"/>
      </w:rPr>
      <w:tcPr>
        <w:shd w:val="clear" w:color="0f9ed5" w:fill="0f9ed5"/>
      </w:tcPr>
    </w:tblStylePr>
    <w:tblStylePr w:type="lastCol">
      <w:rPr>
        <w:rFonts w:ascii="Arial" w:hAnsi="Arial"/>
        <w:b/>
        <w:color w:val="ffffff"/>
        <w:sz w:val="22"/>
      </w:rPr>
      <w:tcPr>
        <w:shd w:val="clear" w:color="0f9ed5" w:fill="0f9ed5"/>
      </w:tcPr>
    </w:tblStylePr>
    <w:tblStylePr w:type="lastRow">
      <w:rPr>
        <w:rFonts w:ascii="Arial" w:hAnsi="Arial"/>
        <w:b/>
        <w:color w:val="ffffff"/>
        <w:sz w:val="22"/>
      </w:rPr>
      <w:tcPr>
        <w:shd w:val="clear" w:color="0f9ed5" w:fill="0f9ed5"/>
        <w:tcBorders>
          <w:top w:val="single" w:color="FFFFFF" w:sz="4" w:space="0"/>
        </w:tcBorders>
      </w:tcPr>
    </w:tblStylePr>
  </w:style>
  <w:style w:type="table" w:styleId="1476"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18fd7" w:fill="e18fd7"/>
      </w:tcPr>
    </w:tblStylePr>
    <w:tblStylePr w:type="band1Vert">
      <w:tcPr>
        <w:shd w:val="clear" w:color="e18fd7" w:fill="e18fd7"/>
      </w:tcPr>
    </w:tblStylePr>
    <w:tblStylePr w:type="firstCol">
      <w:rPr>
        <w:rFonts w:ascii="Arial" w:hAnsi="Arial"/>
        <w:b/>
        <w:color w:val="ffffff"/>
        <w:sz w:val="22"/>
      </w:rPr>
      <w:tcPr>
        <w:shd w:val="clear" w:color="a02b93" w:fill="a02b93"/>
      </w:tcPr>
    </w:tblStylePr>
    <w:tblStylePr w:type="firstRow">
      <w:rPr>
        <w:rFonts w:ascii="Arial" w:hAnsi="Arial"/>
        <w:b/>
        <w:color w:val="ffffff"/>
        <w:sz w:val="22"/>
      </w:rPr>
      <w:tcPr>
        <w:shd w:val="clear" w:color="a02b93" w:fill="a02b93"/>
      </w:tcPr>
    </w:tblStylePr>
    <w:tblStylePr w:type="lastCol">
      <w:rPr>
        <w:rFonts w:ascii="Arial" w:hAnsi="Arial"/>
        <w:b/>
        <w:color w:val="ffffff"/>
        <w:sz w:val="22"/>
      </w:rPr>
      <w:tcPr>
        <w:shd w:val="clear" w:color="a02b93" w:fill="a02b93"/>
      </w:tcPr>
    </w:tblStylePr>
    <w:tblStylePr w:type="lastRow">
      <w:rPr>
        <w:rFonts w:ascii="Arial" w:hAnsi="Arial"/>
        <w:b/>
        <w:color w:val="ffffff"/>
        <w:sz w:val="22"/>
      </w:rPr>
      <w:tcPr>
        <w:shd w:val="clear" w:color="a02b93" w:fill="a02b93"/>
        <w:tcBorders>
          <w:top w:val="single" w:color="FFFFFF" w:sz="4" w:space="0"/>
        </w:tcBorders>
      </w:tcPr>
    </w:tblStylePr>
  </w:style>
  <w:style w:type="table" w:styleId="1477"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8e194" w:fill="a8e194"/>
      </w:tcPr>
    </w:tblStylePr>
    <w:tblStylePr w:type="band1Vert">
      <w:tcPr>
        <w:shd w:val="clear" w:color="a8e194" w:fill="a8e194"/>
      </w:tcPr>
    </w:tblStylePr>
    <w:tblStylePr w:type="firstCol">
      <w:rPr>
        <w:rFonts w:ascii="Arial" w:hAnsi="Arial"/>
        <w:b/>
        <w:color w:val="ffffff"/>
        <w:sz w:val="22"/>
      </w:rPr>
      <w:tcPr>
        <w:shd w:val="clear" w:color="4ea72e" w:fill="4ea72e"/>
      </w:tcPr>
    </w:tblStylePr>
    <w:tblStylePr w:type="firstRow">
      <w:rPr>
        <w:rFonts w:ascii="Arial" w:hAnsi="Arial"/>
        <w:b/>
        <w:color w:val="ffffff"/>
        <w:sz w:val="22"/>
      </w:rPr>
      <w:tcPr>
        <w:shd w:val="clear" w:color="4ea72e" w:fill="4ea72e"/>
      </w:tcPr>
    </w:tblStylePr>
    <w:tblStylePr w:type="lastCol">
      <w:rPr>
        <w:rFonts w:ascii="Arial" w:hAnsi="Arial"/>
        <w:b/>
        <w:color w:val="ffffff"/>
        <w:sz w:val="22"/>
      </w:rPr>
      <w:tcPr>
        <w:shd w:val="clear" w:color="4ea72e" w:fill="4ea72e"/>
      </w:tcPr>
    </w:tblStylePr>
    <w:tblStylePr w:type="lastRow">
      <w:rPr>
        <w:rFonts w:ascii="Arial" w:hAnsi="Arial"/>
        <w:b/>
        <w:color w:val="ffffff"/>
        <w:sz w:val="22"/>
      </w:rPr>
      <w:tcPr>
        <w:shd w:val="clear" w:color="4ea72e" w:fill="4ea72e"/>
        <w:tcBorders>
          <w:top w:val="single" w:color="FFFFFF" w:sz="4" w:space="0"/>
        </w:tcBorders>
      </w:tcPr>
    </w:tblStylePr>
  </w:style>
  <w:style w:type="table" w:styleId="1478"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479" w:customStyle="1">
    <w:name w:val="Grid Table 6 Colorful - Accent 11"/>
    <w:uiPriority w:val="99"/>
    <w:qFormat/>
    <w:tblPr>
      <w:tblBorders>
        <w:top w:val="single" w:color="63BDE6" w:sz="4" w:space="0"/>
        <w:left w:val="single" w:color="63BDE6" w:sz="4" w:space="0"/>
        <w:bottom w:val="single" w:color="63BDE6" w:sz="4" w:space="0"/>
        <w:right w:val="single" w:color="63BDE6" w:sz="4" w:space="0"/>
        <w:insideH w:val="single" w:color="63BDE6" w:sz="4" w:space="0"/>
        <w:insideV w:val="single" w:color="63BDE6" w:sz="4" w:space="0"/>
      </w:tblBorders>
      <w:tblCellMar>
        <w:left w:w="0" w:type="dxa"/>
        <w:top w:w="0" w:type="dxa"/>
        <w:right w:w="0" w:type="dxa"/>
        <w:bottom w:w="0" w:type="dxa"/>
      </w:tblCellMar>
    </w:tblPr>
    <w:tblStylePr w:type="band1Horz">
      <w:rPr>
        <w:rFonts w:ascii="Arial" w:hAnsi="Arial"/>
        <w:color w:val="63bde6"/>
        <w:sz w:val="22"/>
      </w:rPr>
      <w:tcPr>
        <w:shd w:val="clear" w:color="bfe4f4" w:fill="bfe4f4"/>
      </w:tcPr>
    </w:tblStylePr>
    <w:tblStylePr w:type="band1Vert">
      <w:tcPr>
        <w:shd w:val="clear" w:color="bfe4f4" w:fill="bfe4f4"/>
      </w:tcPr>
    </w:tblStylePr>
    <w:tblStylePr w:type="band2Horz">
      <w:rPr>
        <w:rFonts w:ascii="Arial" w:hAnsi="Arial"/>
        <w:color w:val="63bde6"/>
        <w:sz w:val="22"/>
      </w:rPr>
    </w:tblStylePr>
    <w:tblStylePr w:type="firstCol">
      <w:rPr>
        <w:b/>
        <w:color w:val="63bde6"/>
      </w:rPr>
    </w:tblStylePr>
    <w:tblStylePr w:type="firstRow">
      <w:rPr>
        <w:b/>
        <w:color w:val="63bde6"/>
      </w:rPr>
      <w:tcPr>
        <w:tcBorders>
          <w:bottom w:val="single" w:color="63BDE6" w:sz="12" w:space="0"/>
        </w:tcBorders>
      </w:tcPr>
    </w:tblStylePr>
    <w:tblStylePr w:type="lastCol">
      <w:rPr>
        <w:b/>
        <w:color w:val="63bde6"/>
      </w:rPr>
    </w:tblStylePr>
    <w:tblStylePr w:type="lastRow">
      <w:rPr>
        <w:b/>
        <w:color w:val="63bde6"/>
      </w:rPr>
    </w:tblStylePr>
  </w:style>
  <w:style w:type="table" w:styleId="1480" w:customStyle="1">
    <w:name w:val="Grid Table 6 Colorful - Accent 21"/>
    <w:uiPriority w:val="99"/>
    <w:qFormat/>
    <w:tblPr>
      <w:tblBorders>
        <w:top w:val="single" w:color="F2AA85" w:sz="4" w:space="0"/>
        <w:left w:val="single" w:color="F2AA85" w:sz="4" w:space="0"/>
        <w:bottom w:val="single" w:color="F2AA85" w:sz="4" w:space="0"/>
        <w:right w:val="single" w:color="F2AA85" w:sz="4" w:space="0"/>
        <w:insideH w:val="single" w:color="F2AA85" w:sz="4" w:space="0"/>
        <w:insideV w:val="single" w:color="F2AA85" w:sz="4" w:space="0"/>
      </w:tblBorders>
      <w:tblCellMar>
        <w:left w:w="0" w:type="dxa"/>
        <w:top w:w="0" w:type="dxa"/>
        <w:right w:w="0" w:type="dxa"/>
        <w:bottom w:w="0" w:type="dxa"/>
      </w:tblCellMar>
    </w:tblPr>
    <w:tblStylePr w:type="band1Horz">
      <w:rPr>
        <w:rFonts w:ascii="Arial" w:hAnsi="Arial"/>
        <w:color w:val="f2ab86"/>
        <w:sz w:val="22"/>
      </w:rPr>
      <w:tcPr>
        <w:shd w:val="clear" w:color="fae2d6" w:fill="fae2d6"/>
      </w:tcPr>
    </w:tblStylePr>
    <w:tblStylePr w:type="band1Vert">
      <w:tcPr>
        <w:shd w:val="clear" w:color="fae2d6" w:fill="fae2d6"/>
      </w:tcPr>
    </w:tblStylePr>
    <w:tblStylePr w:type="band2Horz">
      <w:rPr>
        <w:rFonts w:ascii="Arial" w:hAnsi="Arial"/>
        <w:color w:val="f2ab86"/>
        <w:sz w:val="22"/>
      </w:rPr>
    </w:tblStylePr>
    <w:tblStylePr w:type="firstCol">
      <w:rPr>
        <w:b/>
        <w:color w:val="f2ab86"/>
      </w:rPr>
    </w:tblStylePr>
    <w:tblStylePr w:type="firstRow">
      <w:rPr>
        <w:b/>
        <w:color w:val="f2ab86"/>
      </w:rPr>
      <w:tcPr>
        <w:tcBorders>
          <w:bottom w:val="single" w:color="F2AA85" w:sz="12" w:space="0"/>
        </w:tcBorders>
      </w:tcPr>
    </w:tblStylePr>
    <w:tblStylePr w:type="lastCol">
      <w:rPr>
        <w:b/>
        <w:color w:val="f2ab86"/>
      </w:rPr>
    </w:tblStylePr>
    <w:tblStylePr w:type="lastRow">
      <w:rPr>
        <w:b/>
        <w:color w:val="f2ab86"/>
      </w:rPr>
    </w:tblStylePr>
  </w:style>
  <w:style w:type="table" w:styleId="1481" w:customStyle="1">
    <w:name w:val="Grid Table 6 Colorful - Accent 31"/>
    <w:uiPriority w:val="99"/>
    <w:qFormat/>
    <w:tblPr>
      <w:tblBorders>
        <w:top w:val="single" w:color="196C24" w:sz="4" w:space="0"/>
        <w:left w:val="single" w:color="196C24" w:sz="4" w:space="0"/>
        <w:bottom w:val="single" w:color="196C24" w:sz="4" w:space="0"/>
        <w:right w:val="single" w:color="196C24" w:sz="4" w:space="0"/>
        <w:insideH w:val="single" w:color="196C24" w:sz="4" w:space="0"/>
        <w:insideV w:val="single" w:color="196C24" w:sz="4" w:space="0"/>
      </w:tblBorders>
      <w:tblCellMar>
        <w:left w:w="0" w:type="dxa"/>
        <w:top w:w="0" w:type="dxa"/>
        <w:right w:w="0" w:type="dxa"/>
        <w:bottom w:w="0" w:type="dxa"/>
      </w:tblCellMar>
    </w:tblPr>
    <w:tblStylePr w:type="band1Horz">
      <w:rPr>
        <w:rFonts w:ascii="Arial" w:hAnsi="Arial"/>
        <w:color w:val="196b24"/>
        <w:sz w:val="22"/>
      </w:rPr>
      <w:tcPr>
        <w:shd w:val="clear" w:color="c0f0c6" w:fill="c0f0c6"/>
      </w:tcPr>
    </w:tblStylePr>
    <w:tblStylePr w:type="band1Vert">
      <w:tcPr>
        <w:shd w:val="clear" w:color="c0f0c6" w:fill="c0f0c6"/>
      </w:tcPr>
    </w:tblStylePr>
    <w:tblStylePr w:type="band2Horz">
      <w:rPr>
        <w:rFonts w:ascii="Arial" w:hAnsi="Arial"/>
        <w:color w:val="196b24"/>
        <w:sz w:val="22"/>
      </w:rPr>
    </w:tblStylePr>
    <w:tblStylePr w:type="firstCol">
      <w:rPr>
        <w:b/>
        <w:color w:val="196b24"/>
      </w:rPr>
    </w:tblStylePr>
    <w:tblStylePr w:type="firstRow">
      <w:rPr>
        <w:b/>
        <w:color w:val="196b24"/>
      </w:rPr>
      <w:tcPr>
        <w:tcBorders>
          <w:bottom w:val="single" w:color="196C24" w:sz="12" w:space="0"/>
        </w:tcBorders>
      </w:tcPr>
    </w:tblStylePr>
    <w:tblStylePr w:type="lastCol">
      <w:rPr>
        <w:b/>
        <w:color w:val="196b24"/>
      </w:rPr>
    </w:tblStylePr>
    <w:tblStylePr w:type="lastRow">
      <w:rPr>
        <w:b/>
        <w:color w:val="196b24"/>
      </w:rPr>
    </w:tblStylePr>
  </w:style>
  <w:style w:type="table" w:styleId="1482" w:customStyle="1">
    <w:name w:val="Grid Table 6 Colorful - Accent 41"/>
    <w:uiPriority w:val="99"/>
    <w:qFormat/>
    <w:tblPr>
      <w:tblBorders>
        <w:top w:val="single" w:color="5FCAF3" w:sz="4" w:space="0"/>
        <w:left w:val="single" w:color="5FCAF3" w:sz="4" w:space="0"/>
        <w:bottom w:val="single" w:color="5FCAF3" w:sz="4" w:space="0"/>
        <w:right w:val="single" w:color="5FCAF3" w:sz="4" w:space="0"/>
        <w:insideH w:val="single" w:color="5FCAF3" w:sz="4" w:space="0"/>
        <w:insideV w:val="single" w:color="5FCAF3" w:sz="4" w:space="0"/>
      </w:tblBorders>
      <w:tblCellMar>
        <w:left w:w="0" w:type="dxa"/>
        <w:top w:w="0" w:type="dxa"/>
        <w:right w:w="0" w:type="dxa"/>
        <w:bottom w:w="0" w:type="dxa"/>
      </w:tblCellMar>
    </w:tblPr>
    <w:tblStylePr w:type="band1Horz">
      <w:rPr>
        <w:rFonts w:ascii="Arial" w:hAnsi="Arial"/>
        <w:color w:val="60caf3"/>
        <w:sz w:val="22"/>
      </w:rPr>
      <w:tcPr>
        <w:shd w:val="clear" w:color="c9edfb" w:fill="c9edfb"/>
      </w:tcPr>
    </w:tblStylePr>
    <w:tblStylePr w:type="band1Vert">
      <w:tcPr>
        <w:shd w:val="clear" w:color="c9edfb" w:fill="c9edfb"/>
      </w:tcPr>
    </w:tblStylePr>
    <w:tblStylePr w:type="band2Horz">
      <w:rPr>
        <w:rFonts w:ascii="Arial" w:hAnsi="Arial"/>
        <w:color w:val="60caf3"/>
        <w:sz w:val="22"/>
      </w:rPr>
    </w:tblStylePr>
    <w:tblStylePr w:type="firstCol">
      <w:rPr>
        <w:b/>
        <w:color w:val="60caf3"/>
      </w:rPr>
    </w:tblStylePr>
    <w:tblStylePr w:type="firstRow">
      <w:rPr>
        <w:b/>
        <w:color w:val="60caf3"/>
      </w:rPr>
      <w:tcPr>
        <w:tcBorders>
          <w:bottom w:val="single" w:color="5FCAF3" w:sz="12" w:space="0"/>
        </w:tcBorders>
      </w:tcPr>
    </w:tblStylePr>
    <w:tblStylePr w:type="lastCol">
      <w:rPr>
        <w:b/>
        <w:color w:val="60caf3"/>
      </w:rPr>
    </w:tblStylePr>
    <w:tblStylePr w:type="lastRow">
      <w:rPr>
        <w:b/>
        <w:color w:val="60caf3"/>
      </w:rPr>
    </w:tblStylePr>
  </w:style>
  <w:style w:type="table" w:styleId="1483" w:customStyle="1">
    <w:name w:val="Grid Table 6 Colorful - Accent 51"/>
    <w:uiPriority w:val="99"/>
    <w:qFormat/>
    <w:tblPr>
      <w:tblBorders>
        <w:top w:val="single" w:color="A02B93" w:sz="4" w:space="0"/>
        <w:left w:val="single" w:color="A02B93" w:sz="4" w:space="0"/>
        <w:bottom w:val="single" w:color="A02B93" w:sz="4" w:space="0"/>
        <w:right w:val="single" w:color="A02B93" w:sz="4" w:space="0"/>
        <w:insideH w:val="single" w:color="A02B93" w:sz="4" w:space="0"/>
        <w:insideV w:val="single" w:color="A02B93" w:sz="4" w:space="0"/>
      </w:tblBorders>
      <w:tblCellMar>
        <w:left w:w="0" w:type="dxa"/>
        <w:top w:w="0" w:type="dxa"/>
        <w:right w:w="0" w:type="dxa"/>
        <w:bottom w:w="0" w:type="dxa"/>
      </w:tblCellMar>
    </w:tblPr>
    <w:tblStylePr w:type="band1Horz">
      <w:rPr>
        <w:rFonts w:ascii="Arial" w:hAnsi="Arial"/>
        <w:color w:val="5c1954"/>
        <w:sz w:val="22"/>
      </w:rPr>
      <w:tcPr>
        <w:shd w:val="clear" w:color="f1cded" w:fill="f1cded"/>
      </w:tcPr>
    </w:tblStylePr>
    <w:tblStylePr w:type="band1Vert">
      <w:tcPr>
        <w:shd w:val="clear" w:color="f1cded" w:fill="f1cded"/>
      </w:tcPr>
    </w:tblStylePr>
    <w:tblStylePr w:type="band2Horz">
      <w:rPr>
        <w:rFonts w:ascii="Arial" w:hAnsi="Arial"/>
        <w:color w:val="5c1954"/>
        <w:sz w:val="22"/>
      </w:rPr>
    </w:tblStylePr>
    <w:tblStylePr w:type="firstCol">
      <w:rPr>
        <w:b/>
        <w:color w:val="5c1954"/>
      </w:rPr>
    </w:tblStylePr>
    <w:tblStylePr w:type="firstRow">
      <w:rPr>
        <w:b/>
        <w:color w:val="5c1954"/>
      </w:rPr>
      <w:tcPr>
        <w:tcBorders>
          <w:bottom w:val="single" w:color="A02B93" w:sz="12" w:space="0"/>
        </w:tcBorders>
      </w:tcPr>
    </w:tblStylePr>
    <w:tblStylePr w:type="lastCol">
      <w:rPr>
        <w:b/>
        <w:color w:val="5c1954"/>
      </w:rPr>
    </w:tblStylePr>
    <w:tblStylePr w:type="lastRow">
      <w:rPr>
        <w:b/>
        <w:color w:val="5c1954"/>
      </w:rPr>
    </w:tblStylePr>
  </w:style>
  <w:style w:type="table" w:styleId="1484" w:customStyle="1">
    <w:name w:val="Grid Table 6 Colorful - Accent 61"/>
    <w:uiPriority w:val="99"/>
    <w:qFormat/>
    <w:tblPr>
      <w:tblBorders>
        <w:top w:val="single" w:color="4EA72E" w:sz="4" w:space="0"/>
        <w:left w:val="single" w:color="4EA72E" w:sz="4" w:space="0"/>
        <w:bottom w:val="single" w:color="4EA72E" w:sz="4" w:space="0"/>
        <w:right w:val="single" w:color="4EA72E" w:sz="4" w:space="0"/>
        <w:insideH w:val="single" w:color="4EA72E" w:sz="4" w:space="0"/>
        <w:insideV w:val="single" w:color="4EA72E" w:sz="4" w:space="0"/>
      </w:tblBorders>
      <w:tblCellMar>
        <w:left w:w="0" w:type="dxa"/>
        <w:top w:w="0" w:type="dxa"/>
        <w:right w:w="0" w:type="dxa"/>
        <w:bottom w:w="0" w:type="dxa"/>
      </w:tblCellMar>
    </w:tblPr>
    <w:tblStylePr w:type="band1Horz">
      <w:rPr>
        <w:rFonts w:ascii="Arial" w:hAnsi="Arial"/>
        <w:color w:val="5c1954"/>
        <w:sz w:val="22"/>
      </w:rPr>
      <w:tcPr>
        <w:shd w:val="clear" w:color="d8f2cf" w:fill="d8f2cf"/>
      </w:tcPr>
    </w:tblStylePr>
    <w:tblStylePr w:type="band1Vert">
      <w:tcPr>
        <w:shd w:val="clear" w:color="d8f2cf" w:fill="d8f2cf"/>
      </w:tcPr>
    </w:tblStylePr>
    <w:tblStylePr w:type="band2Horz">
      <w:rPr>
        <w:rFonts w:ascii="Arial" w:hAnsi="Arial"/>
        <w:color w:val="5c1954"/>
        <w:sz w:val="22"/>
      </w:rPr>
    </w:tblStylePr>
    <w:tblStylePr w:type="firstCol">
      <w:rPr>
        <w:b/>
        <w:color w:val="5c1954"/>
      </w:rPr>
    </w:tblStylePr>
    <w:tblStylePr w:type="firstRow">
      <w:rPr>
        <w:b/>
        <w:color w:val="5c1954"/>
      </w:rPr>
      <w:tcPr>
        <w:tcBorders>
          <w:bottom w:val="single" w:color="4EA72E" w:sz="12" w:space="0"/>
        </w:tcBorders>
      </w:tcPr>
    </w:tblStylePr>
    <w:tblStylePr w:type="lastCol">
      <w:rPr>
        <w:b/>
        <w:color w:val="5c1954"/>
      </w:rPr>
    </w:tblStylePr>
    <w:tblStylePr w:type="lastRow">
      <w:rPr>
        <w:b/>
        <w:color w:val="5c1954"/>
      </w:rPr>
    </w:tblStylePr>
  </w:style>
  <w:style w:type="table" w:styleId="1485"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86" w:customStyle="1">
    <w:name w:val="Grid Table 7 Colorful - Accent 11"/>
    <w:uiPriority w:val="99"/>
    <w:qFormat/>
    <w:tblPr>
      <w:tblBorders>
        <w:bottom w:val="single" w:color="63BDE6" w:sz="4" w:space="0"/>
        <w:right w:val="single" w:color="63BDE6" w:sz="4" w:space="0"/>
        <w:insideH w:val="single" w:color="63BDE6" w:sz="4" w:space="0"/>
        <w:insideV w:val="single" w:color="63BDE6" w:sz="4" w:space="0"/>
      </w:tblBorders>
      <w:tblCellMar>
        <w:left w:w="0" w:type="dxa"/>
        <w:top w:w="0" w:type="dxa"/>
        <w:right w:w="0" w:type="dxa"/>
        <w:bottom w:w="0" w:type="dxa"/>
      </w:tblCellMar>
    </w:tblPr>
    <w:tblStylePr w:type="band1Horz">
      <w:rPr>
        <w:rFonts w:ascii="Arial" w:hAnsi="Arial"/>
        <w:color w:val="63bde6"/>
        <w:sz w:val="22"/>
      </w:rPr>
      <w:tcPr>
        <w:shd w:val="clear" w:color="bfe4f4" w:fill="bfe4f4"/>
      </w:tcPr>
    </w:tblStylePr>
    <w:tblStylePr w:type="band1Vert">
      <w:tcPr>
        <w:shd w:val="clear" w:color="bfe4f4" w:fill="bfe4f4"/>
      </w:tcPr>
    </w:tblStylePr>
    <w:tblStylePr w:type="band2Horz">
      <w:rPr>
        <w:rFonts w:ascii="Arial" w:hAnsi="Arial"/>
        <w:color w:val="63bde6"/>
        <w:sz w:val="22"/>
      </w:rPr>
    </w:tblStylePr>
    <w:tblStylePr w:type="firstCol">
      <w:rPr>
        <w:rFonts w:ascii="Arial" w:hAnsi="Arial"/>
        <w:i/>
        <w:color w:val="63bde6"/>
        <w:sz w:val="22"/>
      </w:rPr>
      <w:pPr>
        <w:jc w:val="right"/>
      </w:pPr>
      <w:tcPr>
        <w:shd w:val="clear" w:color="ffffff" w:fill="auto"/>
        <w:tcBorders>
          <w:top w:val="none" w:color="000000" w:sz="4" w:space="0"/>
          <w:left w:val="none" w:color="000000" w:sz="4" w:space="0"/>
          <w:bottom w:val="none" w:color="000000" w:sz="4" w:space="0"/>
          <w:right w:val="single" w:color="63BDE6" w:sz="4" w:space="0"/>
        </w:tcBorders>
      </w:tcPr>
    </w:tblStylePr>
    <w:tblStylePr w:type="firstRow">
      <w:rPr>
        <w:rFonts w:ascii="Arial" w:hAnsi="Arial"/>
        <w:b/>
        <w:color w:val="63bde6"/>
        <w:sz w:val="22"/>
      </w:rPr>
      <w:tcPr>
        <w:shd w:val="clear" w:color="ffffff" w:fill="ffffff"/>
        <w:tcBorders>
          <w:top w:val="none" w:color="000000" w:sz="4" w:space="0"/>
          <w:left w:val="none" w:color="000000" w:sz="4" w:space="0"/>
          <w:bottom w:val="single" w:color="63BDE6" w:sz="4" w:space="0"/>
          <w:right w:val="none" w:color="000000" w:sz="4" w:space="0"/>
        </w:tcBorders>
      </w:tcPr>
    </w:tblStylePr>
    <w:tblStylePr w:type="lastCol">
      <w:rPr>
        <w:rFonts w:ascii="Arial" w:hAnsi="Arial"/>
        <w:i/>
        <w:color w:val="63bde6"/>
        <w:sz w:val="22"/>
      </w:rPr>
      <w:tcPr>
        <w:shd w:val="clear" w:color="ffffff" w:fill="auto"/>
        <w:tcBorders>
          <w:top w:val="none" w:color="000000" w:sz="4" w:space="0"/>
          <w:left w:val="single" w:color="63BDE6" w:sz="4" w:space="0"/>
          <w:bottom w:val="none" w:color="000000" w:sz="4" w:space="0"/>
          <w:right w:val="none" w:color="000000" w:sz="4" w:space="0"/>
        </w:tcBorders>
      </w:tcPr>
    </w:tblStylePr>
    <w:tblStylePr w:type="lastRow">
      <w:rPr>
        <w:rFonts w:ascii="Arial" w:hAnsi="Arial"/>
        <w:b/>
        <w:color w:val="63bde6"/>
        <w:sz w:val="22"/>
      </w:rPr>
      <w:tcPr>
        <w:shd w:val="clear" w:color="ffffff" w:fill="ffffff"/>
        <w:tcBorders>
          <w:top w:val="single" w:color="63BDE6" w:sz="4" w:space="0"/>
          <w:left w:val="none" w:color="000000" w:sz="4" w:space="0"/>
          <w:bottom w:val="none" w:color="000000" w:sz="4" w:space="0"/>
          <w:right w:val="none" w:color="000000" w:sz="4" w:space="0"/>
        </w:tcBorders>
      </w:tcPr>
    </w:tblStylePr>
  </w:style>
  <w:style w:type="table" w:styleId="1487" w:customStyle="1">
    <w:name w:val="Grid Table 7 Colorful - Accent 21"/>
    <w:uiPriority w:val="99"/>
    <w:qFormat/>
    <w:tblPr>
      <w:tblBorders>
        <w:bottom w:val="single" w:color="F2AA85" w:sz="4" w:space="0"/>
        <w:right w:val="single" w:color="F2AA85" w:sz="4" w:space="0"/>
        <w:insideH w:val="single" w:color="F2AA85" w:sz="4" w:space="0"/>
        <w:insideV w:val="single" w:color="F2AA85" w:sz="4" w:space="0"/>
      </w:tblBorders>
      <w:tblCellMar>
        <w:left w:w="0" w:type="dxa"/>
        <w:top w:w="0" w:type="dxa"/>
        <w:right w:w="0" w:type="dxa"/>
        <w:bottom w:w="0" w:type="dxa"/>
      </w:tblCellMar>
    </w:tblPr>
    <w:tblStylePr w:type="band1Horz">
      <w:rPr>
        <w:rFonts w:ascii="Arial" w:hAnsi="Arial"/>
        <w:color w:val="f2ab86"/>
        <w:sz w:val="22"/>
      </w:rPr>
      <w:tcPr>
        <w:shd w:val="clear" w:color="fae2d6" w:fill="fae2d6"/>
      </w:tcPr>
    </w:tblStylePr>
    <w:tblStylePr w:type="band1Vert">
      <w:tcPr>
        <w:shd w:val="clear" w:color="fae2d6" w:fill="fae2d6"/>
      </w:tcPr>
    </w:tblStylePr>
    <w:tblStylePr w:type="band2Horz">
      <w:rPr>
        <w:rFonts w:ascii="Arial" w:hAnsi="Arial"/>
        <w:color w:val="f2ab86"/>
        <w:sz w:val="22"/>
      </w:rPr>
    </w:tblStylePr>
    <w:tblStylePr w:type="firstCol">
      <w:rPr>
        <w:rFonts w:ascii="Arial" w:hAnsi="Arial"/>
        <w:i/>
        <w:color w:val="f2ab86"/>
        <w:sz w:val="22"/>
      </w:rPr>
      <w:pPr>
        <w:jc w:val="right"/>
      </w:pPr>
      <w:tcPr>
        <w:shd w:val="clear" w:color="ffffff" w:fill="auto"/>
        <w:tcBorders>
          <w:top w:val="none" w:color="000000" w:sz="4" w:space="0"/>
          <w:left w:val="none" w:color="000000" w:sz="4" w:space="0"/>
          <w:bottom w:val="none" w:color="000000" w:sz="4" w:space="0"/>
          <w:right w:val="single" w:color="F2AA85" w:sz="4" w:space="0"/>
        </w:tcBorders>
      </w:tcPr>
    </w:tblStylePr>
    <w:tblStylePr w:type="firstRow">
      <w:rPr>
        <w:rFonts w:ascii="Arial" w:hAnsi="Arial"/>
        <w:b/>
        <w:color w:val="f2ab86"/>
        <w:sz w:val="22"/>
      </w:rPr>
      <w:tcPr>
        <w:shd w:val="clear" w:color="ffffff" w:fill="ffffff"/>
        <w:tcBorders>
          <w:top w:val="none" w:color="000000" w:sz="4" w:space="0"/>
          <w:left w:val="none" w:color="000000" w:sz="4" w:space="0"/>
          <w:bottom w:val="single" w:color="F2AA85" w:sz="4" w:space="0"/>
          <w:right w:val="none" w:color="000000" w:sz="4" w:space="0"/>
        </w:tcBorders>
      </w:tcPr>
    </w:tblStylePr>
    <w:tblStylePr w:type="lastCol">
      <w:rPr>
        <w:rFonts w:ascii="Arial" w:hAnsi="Arial"/>
        <w:i/>
        <w:color w:val="f2ab86"/>
        <w:sz w:val="22"/>
      </w:rPr>
      <w:tcPr>
        <w:shd w:val="clear" w:color="ffffff" w:fill="auto"/>
        <w:tcBorders>
          <w:top w:val="none" w:color="000000" w:sz="4" w:space="0"/>
          <w:left w:val="single" w:color="F2AA85" w:sz="4" w:space="0"/>
          <w:bottom w:val="none" w:color="000000" w:sz="4" w:space="0"/>
          <w:right w:val="none" w:color="000000" w:sz="4" w:space="0"/>
        </w:tcBorders>
      </w:tcPr>
    </w:tblStylePr>
    <w:tblStylePr w:type="lastRow">
      <w:rPr>
        <w:rFonts w:ascii="Arial" w:hAnsi="Arial"/>
        <w:b/>
        <w:color w:val="f2ab86"/>
        <w:sz w:val="22"/>
      </w:rPr>
      <w:tcPr>
        <w:shd w:val="clear" w:color="ffffff" w:fill="ffffff"/>
        <w:tcBorders>
          <w:top w:val="single" w:color="F2AA85" w:sz="4" w:space="0"/>
          <w:left w:val="none" w:color="000000" w:sz="4" w:space="0"/>
          <w:bottom w:val="none" w:color="000000" w:sz="4" w:space="0"/>
          <w:right w:val="none" w:color="000000" w:sz="4" w:space="0"/>
        </w:tcBorders>
      </w:tcPr>
    </w:tblStylePr>
  </w:style>
  <w:style w:type="table" w:styleId="1488" w:customStyle="1">
    <w:name w:val="Grid Table 7 Colorful - Accent 31"/>
    <w:uiPriority w:val="99"/>
    <w:qFormat/>
    <w:tblPr>
      <w:tblBorders>
        <w:bottom w:val="single" w:color="196C24" w:sz="4" w:space="0"/>
        <w:right w:val="single" w:color="196C24" w:sz="4" w:space="0"/>
        <w:insideH w:val="single" w:color="196C24" w:sz="4" w:space="0"/>
        <w:insideV w:val="single" w:color="196C24" w:sz="4" w:space="0"/>
      </w:tblBorders>
      <w:tblCellMar>
        <w:left w:w="0" w:type="dxa"/>
        <w:top w:w="0" w:type="dxa"/>
        <w:right w:w="0" w:type="dxa"/>
        <w:bottom w:w="0" w:type="dxa"/>
      </w:tblCellMar>
    </w:tblPr>
    <w:tblStylePr w:type="band1Horz">
      <w:rPr>
        <w:rFonts w:ascii="Arial" w:hAnsi="Arial"/>
        <w:color w:val="196b24"/>
        <w:sz w:val="22"/>
      </w:rPr>
      <w:tcPr>
        <w:shd w:val="clear" w:color="c0f0c6" w:fill="c0f0c6"/>
      </w:tcPr>
    </w:tblStylePr>
    <w:tblStylePr w:type="band1Vert">
      <w:tcPr>
        <w:shd w:val="clear" w:color="c0f0c6" w:fill="c0f0c6"/>
      </w:tcPr>
    </w:tblStylePr>
    <w:tblStylePr w:type="band2Horz">
      <w:rPr>
        <w:rFonts w:ascii="Arial" w:hAnsi="Arial"/>
        <w:color w:val="196b24"/>
        <w:sz w:val="22"/>
      </w:rPr>
    </w:tblStylePr>
    <w:tblStylePr w:type="firstCol">
      <w:rPr>
        <w:rFonts w:ascii="Arial" w:hAnsi="Arial"/>
        <w:i/>
        <w:color w:val="196b24"/>
        <w:sz w:val="22"/>
      </w:rPr>
      <w:pPr>
        <w:jc w:val="right"/>
      </w:pPr>
      <w:tcPr>
        <w:shd w:val="clear" w:color="ffffff" w:fill="auto"/>
        <w:tcBorders>
          <w:top w:val="none" w:color="000000" w:sz="4" w:space="0"/>
          <w:left w:val="none" w:color="000000" w:sz="4" w:space="0"/>
          <w:bottom w:val="none" w:color="000000" w:sz="4" w:space="0"/>
          <w:right w:val="single" w:color="196C24" w:sz="4" w:space="0"/>
        </w:tcBorders>
      </w:tcPr>
    </w:tblStylePr>
    <w:tblStylePr w:type="firstRow">
      <w:rPr>
        <w:rFonts w:ascii="Arial" w:hAnsi="Arial"/>
        <w:b/>
        <w:color w:val="196b24"/>
        <w:sz w:val="22"/>
      </w:rPr>
      <w:tcPr>
        <w:shd w:val="clear" w:color="ffffff" w:fill="ffffff"/>
        <w:tcBorders>
          <w:top w:val="none" w:color="000000" w:sz="4" w:space="0"/>
          <w:left w:val="none" w:color="000000" w:sz="4" w:space="0"/>
          <w:bottom w:val="single" w:color="196C24" w:sz="4" w:space="0"/>
          <w:right w:val="none" w:color="000000" w:sz="4" w:space="0"/>
        </w:tcBorders>
      </w:tcPr>
    </w:tblStylePr>
    <w:tblStylePr w:type="lastCol">
      <w:rPr>
        <w:rFonts w:ascii="Arial" w:hAnsi="Arial"/>
        <w:i/>
        <w:color w:val="196b24"/>
        <w:sz w:val="22"/>
      </w:rPr>
      <w:tcPr>
        <w:shd w:val="clear" w:color="ffffff" w:fill="auto"/>
        <w:tcBorders>
          <w:top w:val="none" w:color="000000" w:sz="4" w:space="0"/>
          <w:left w:val="single" w:color="196C24" w:sz="4" w:space="0"/>
          <w:bottom w:val="none" w:color="000000" w:sz="4" w:space="0"/>
          <w:right w:val="none" w:color="000000" w:sz="4" w:space="0"/>
        </w:tcBorders>
      </w:tcPr>
    </w:tblStylePr>
    <w:tblStylePr w:type="lastRow">
      <w:rPr>
        <w:rFonts w:ascii="Arial" w:hAnsi="Arial"/>
        <w:b/>
        <w:color w:val="196b24"/>
        <w:sz w:val="22"/>
      </w:rPr>
      <w:tcPr>
        <w:shd w:val="clear" w:color="ffffff" w:fill="ffffff"/>
        <w:tcBorders>
          <w:top w:val="single" w:color="196C24" w:sz="4" w:space="0"/>
          <w:left w:val="none" w:color="000000" w:sz="4" w:space="0"/>
          <w:bottom w:val="none" w:color="000000" w:sz="4" w:space="0"/>
          <w:right w:val="none" w:color="000000" w:sz="4" w:space="0"/>
        </w:tcBorders>
      </w:tcPr>
    </w:tblStylePr>
  </w:style>
  <w:style w:type="table" w:styleId="1489" w:customStyle="1">
    <w:name w:val="Grid Table 7 Colorful - Accent 41"/>
    <w:uiPriority w:val="99"/>
    <w:qFormat/>
    <w:tblPr>
      <w:tblBorders>
        <w:bottom w:val="single" w:color="5FCAF3" w:sz="4" w:space="0"/>
        <w:right w:val="single" w:color="5FCAF3" w:sz="4" w:space="0"/>
        <w:insideH w:val="single" w:color="5FCAF3" w:sz="4" w:space="0"/>
        <w:insideV w:val="single" w:color="5FCAF3" w:sz="4" w:space="0"/>
      </w:tblBorders>
      <w:tblCellMar>
        <w:left w:w="0" w:type="dxa"/>
        <w:top w:w="0" w:type="dxa"/>
        <w:right w:w="0" w:type="dxa"/>
        <w:bottom w:w="0" w:type="dxa"/>
      </w:tblCellMar>
    </w:tblPr>
    <w:tblStylePr w:type="band1Horz">
      <w:rPr>
        <w:rFonts w:ascii="Arial" w:hAnsi="Arial"/>
        <w:color w:val="60caf3"/>
        <w:sz w:val="22"/>
      </w:rPr>
      <w:tcPr>
        <w:shd w:val="clear" w:color="c9edfb" w:fill="c9edfb"/>
      </w:tcPr>
    </w:tblStylePr>
    <w:tblStylePr w:type="band1Vert">
      <w:tcPr>
        <w:shd w:val="clear" w:color="c9edfb" w:fill="c9edfb"/>
      </w:tcPr>
    </w:tblStylePr>
    <w:tblStylePr w:type="band2Horz">
      <w:rPr>
        <w:rFonts w:ascii="Arial" w:hAnsi="Arial"/>
        <w:color w:val="60caf3"/>
        <w:sz w:val="22"/>
      </w:rPr>
    </w:tblStylePr>
    <w:tblStylePr w:type="firstCol">
      <w:rPr>
        <w:rFonts w:ascii="Arial" w:hAnsi="Arial"/>
        <w:i/>
        <w:color w:val="60caf3"/>
        <w:sz w:val="22"/>
      </w:rPr>
      <w:pPr>
        <w:jc w:val="right"/>
      </w:pPr>
      <w:tcPr>
        <w:shd w:val="clear" w:color="ffffff" w:fill="auto"/>
        <w:tcBorders>
          <w:top w:val="none" w:color="000000" w:sz="4" w:space="0"/>
          <w:left w:val="none" w:color="000000" w:sz="4" w:space="0"/>
          <w:bottom w:val="none" w:color="000000" w:sz="4" w:space="0"/>
          <w:right w:val="single" w:color="5FCAF3" w:sz="4" w:space="0"/>
        </w:tcBorders>
      </w:tcPr>
    </w:tblStylePr>
    <w:tblStylePr w:type="firstRow">
      <w:rPr>
        <w:rFonts w:ascii="Arial" w:hAnsi="Arial"/>
        <w:b/>
        <w:color w:val="60caf3"/>
        <w:sz w:val="22"/>
      </w:rPr>
      <w:tcPr>
        <w:shd w:val="clear" w:color="ffffff" w:fill="ffffff"/>
        <w:tcBorders>
          <w:top w:val="none" w:color="000000" w:sz="4" w:space="0"/>
          <w:left w:val="none" w:color="000000" w:sz="4" w:space="0"/>
          <w:bottom w:val="single" w:color="5FCAF3" w:sz="4" w:space="0"/>
          <w:right w:val="none" w:color="000000" w:sz="4" w:space="0"/>
        </w:tcBorders>
      </w:tcPr>
    </w:tblStylePr>
    <w:tblStylePr w:type="lastCol">
      <w:rPr>
        <w:rFonts w:ascii="Arial" w:hAnsi="Arial"/>
        <w:i/>
        <w:color w:val="60caf3"/>
        <w:sz w:val="22"/>
      </w:rPr>
      <w:tcPr>
        <w:shd w:val="clear" w:color="ffffff" w:fill="auto"/>
        <w:tcBorders>
          <w:top w:val="none" w:color="000000" w:sz="4" w:space="0"/>
          <w:left w:val="single" w:color="5FCAF3" w:sz="4" w:space="0"/>
          <w:bottom w:val="none" w:color="000000" w:sz="4" w:space="0"/>
          <w:right w:val="none" w:color="000000" w:sz="4" w:space="0"/>
        </w:tcBorders>
      </w:tcPr>
    </w:tblStylePr>
    <w:tblStylePr w:type="lastRow">
      <w:rPr>
        <w:rFonts w:ascii="Arial" w:hAnsi="Arial"/>
        <w:b/>
        <w:color w:val="60caf3"/>
        <w:sz w:val="22"/>
      </w:rPr>
      <w:tcPr>
        <w:shd w:val="clear" w:color="ffffff" w:fill="ffffff"/>
        <w:tcBorders>
          <w:top w:val="single" w:color="5FCAF3" w:sz="4" w:space="0"/>
          <w:left w:val="none" w:color="000000" w:sz="4" w:space="0"/>
          <w:bottom w:val="none" w:color="000000" w:sz="4" w:space="0"/>
          <w:right w:val="none" w:color="000000" w:sz="4" w:space="0"/>
        </w:tcBorders>
      </w:tcPr>
    </w:tblStylePr>
  </w:style>
  <w:style w:type="table" w:styleId="1490" w:customStyle="1">
    <w:name w:val="Grid Table 7 Colorful - Accent 51"/>
    <w:uiPriority w:val="99"/>
    <w:qFormat/>
    <w:tblPr>
      <w:tblBorders>
        <w:bottom w:val="single" w:color="DA76CE" w:sz="4" w:space="0"/>
        <w:right w:val="single" w:color="DA76CE" w:sz="4" w:space="0"/>
        <w:insideH w:val="single" w:color="DA76CE" w:sz="4" w:space="0"/>
        <w:insideV w:val="single" w:color="DA76CE" w:sz="4" w:space="0"/>
      </w:tblBorders>
      <w:tblCellMar>
        <w:left w:w="0" w:type="dxa"/>
        <w:top w:w="0" w:type="dxa"/>
        <w:right w:w="0" w:type="dxa"/>
        <w:bottom w:w="0" w:type="dxa"/>
      </w:tblCellMar>
    </w:tblPr>
    <w:tblStylePr w:type="band1Horz">
      <w:rPr>
        <w:rFonts w:ascii="Arial" w:hAnsi="Arial"/>
        <w:color w:val="5c1954"/>
        <w:sz w:val="22"/>
      </w:rPr>
      <w:tcPr>
        <w:shd w:val="clear" w:color="f1cded" w:fill="f1cded"/>
      </w:tcPr>
    </w:tblStylePr>
    <w:tblStylePr w:type="band1Vert">
      <w:tcPr>
        <w:shd w:val="clear" w:color="f1cded" w:fill="f1cded"/>
      </w:tcPr>
    </w:tblStylePr>
    <w:tblStylePr w:type="band2Horz">
      <w:rPr>
        <w:rFonts w:ascii="Arial" w:hAnsi="Arial"/>
        <w:color w:val="5c1954"/>
        <w:sz w:val="22"/>
      </w:rPr>
    </w:tblStylePr>
    <w:tblStylePr w:type="firstCol">
      <w:rPr>
        <w:rFonts w:ascii="Arial" w:hAnsi="Arial"/>
        <w:i/>
        <w:color w:val="5c1954"/>
        <w:sz w:val="22"/>
      </w:rPr>
      <w:pPr>
        <w:jc w:val="right"/>
      </w:pPr>
      <w:tcPr>
        <w:shd w:val="clear" w:color="ffffff" w:fill="auto"/>
        <w:tcBorders>
          <w:top w:val="none" w:color="000000" w:sz="4" w:space="0"/>
          <w:left w:val="none" w:color="000000" w:sz="4" w:space="0"/>
          <w:bottom w:val="none" w:color="000000" w:sz="4" w:space="0"/>
          <w:right w:val="single" w:color="DA76CE" w:sz="4" w:space="0"/>
        </w:tcBorders>
      </w:tcPr>
    </w:tblStylePr>
    <w:tblStylePr w:type="firstRow">
      <w:rPr>
        <w:rFonts w:ascii="Arial" w:hAnsi="Arial"/>
        <w:b/>
        <w:color w:val="5c1954"/>
        <w:sz w:val="22"/>
      </w:rPr>
      <w:tcPr>
        <w:shd w:val="clear" w:color="ffffff" w:fill="ffffff"/>
        <w:tcBorders>
          <w:top w:val="none" w:color="000000" w:sz="4" w:space="0"/>
          <w:left w:val="none" w:color="000000" w:sz="4" w:space="0"/>
          <w:bottom w:val="single" w:color="DA76CE" w:sz="4" w:space="0"/>
          <w:right w:val="none" w:color="000000" w:sz="4" w:space="0"/>
        </w:tcBorders>
      </w:tcPr>
    </w:tblStylePr>
    <w:tblStylePr w:type="lastCol">
      <w:rPr>
        <w:rFonts w:ascii="Arial" w:hAnsi="Arial"/>
        <w:i/>
        <w:color w:val="5c1954"/>
        <w:sz w:val="22"/>
      </w:rPr>
      <w:tcPr>
        <w:shd w:val="clear" w:color="ffffff" w:fill="auto"/>
        <w:tcBorders>
          <w:top w:val="none" w:color="000000" w:sz="4" w:space="0"/>
          <w:left w:val="single" w:color="DA76CE" w:sz="4" w:space="0"/>
          <w:bottom w:val="none" w:color="000000" w:sz="4" w:space="0"/>
          <w:right w:val="none" w:color="000000" w:sz="4" w:space="0"/>
        </w:tcBorders>
      </w:tcPr>
    </w:tblStylePr>
    <w:tblStylePr w:type="lastRow">
      <w:rPr>
        <w:rFonts w:ascii="Arial" w:hAnsi="Arial"/>
        <w:b/>
        <w:color w:val="5c1954"/>
        <w:sz w:val="22"/>
      </w:rPr>
      <w:tcPr>
        <w:shd w:val="clear" w:color="ffffff" w:fill="ffffff"/>
        <w:tcBorders>
          <w:top w:val="single" w:color="DA76CE" w:sz="4" w:space="0"/>
          <w:left w:val="none" w:color="000000" w:sz="4" w:space="0"/>
          <w:bottom w:val="none" w:color="000000" w:sz="4" w:space="0"/>
          <w:right w:val="none" w:color="000000" w:sz="4" w:space="0"/>
        </w:tcBorders>
      </w:tcPr>
    </w:tblStylePr>
  </w:style>
  <w:style w:type="table" w:styleId="1491" w:customStyle="1">
    <w:name w:val="Grid Table 7 Colorful - Accent 61"/>
    <w:uiPriority w:val="99"/>
    <w:qFormat/>
    <w:tblPr>
      <w:tblBorders>
        <w:bottom w:val="single" w:color="94DA7B" w:sz="4" w:space="0"/>
        <w:right w:val="single" w:color="94DA7B" w:sz="4" w:space="0"/>
        <w:insideH w:val="single" w:color="94DA7B" w:sz="4" w:space="0"/>
        <w:insideV w:val="single" w:color="94DA7B" w:sz="4" w:space="0"/>
      </w:tblBorders>
      <w:tblCellMar>
        <w:left w:w="0" w:type="dxa"/>
        <w:top w:w="0" w:type="dxa"/>
        <w:right w:w="0" w:type="dxa"/>
        <w:bottom w:w="0" w:type="dxa"/>
      </w:tblCellMar>
    </w:tblPr>
    <w:tblStylePr w:type="band1Horz">
      <w:rPr>
        <w:rFonts w:ascii="Arial" w:hAnsi="Arial"/>
        <w:color w:val="2d601a"/>
        <w:sz w:val="22"/>
      </w:rPr>
      <w:tcPr>
        <w:shd w:val="clear" w:color="d8f2cf" w:fill="d8f2cf"/>
      </w:tcPr>
    </w:tblStylePr>
    <w:tblStylePr w:type="band1Vert">
      <w:tcPr>
        <w:shd w:val="clear" w:color="d8f2cf" w:fill="d8f2cf"/>
      </w:tcPr>
    </w:tblStylePr>
    <w:tblStylePr w:type="band2Horz">
      <w:rPr>
        <w:rFonts w:ascii="Arial" w:hAnsi="Arial"/>
        <w:color w:val="2d601a"/>
        <w:sz w:val="22"/>
      </w:rPr>
    </w:tblStylePr>
    <w:tblStylePr w:type="firstCol">
      <w:rPr>
        <w:rFonts w:ascii="Arial" w:hAnsi="Arial"/>
        <w:i/>
        <w:color w:val="2d601a"/>
        <w:sz w:val="22"/>
      </w:rPr>
      <w:pPr>
        <w:jc w:val="right"/>
      </w:pPr>
      <w:tcPr>
        <w:shd w:val="clear" w:color="ffffff" w:fill="auto"/>
        <w:tcBorders>
          <w:top w:val="none" w:color="000000" w:sz="4" w:space="0"/>
          <w:left w:val="none" w:color="000000" w:sz="4" w:space="0"/>
          <w:bottom w:val="none" w:color="000000" w:sz="4" w:space="0"/>
          <w:right w:val="single" w:color="94DA7B" w:sz="4" w:space="0"/>
        </w:tcBorders>
      </w:tcPr>
    </w:tblStylePr>
    <w:tblStylePr w:type="firstRow">
      <w:rPr>
        <w:rFonts w:ascii="Arial" w:hAnsi="Arial"/>
        <w:b/>
        <w:color w:val="2d601a"/>
        <w:sz w:val="22"/>
      </w:rPr>
      <w:tcPr>
        <w:shd w:val="clear" w:color="ffffff" w:fill="ffffff"/>
        <w:tcBorders>
          <w:top w:val="none" w:color="000000" w:sz="4" w:space="0"/>
          <w:left w:val="none" w:color="000000" w:sz="4" w:space="0"/>
          <w:bottom w:val="single" w:color="94DA7B" w:sz="4" w:space="0"/>
          <w:right w:val="none" w:color="000000" w:sz="4" w:space="0"/>
        </w:tcBorders>
      </w:tcPr>
    </w:tblStylePr>
    <w:tblStylePr w:type="lastCol">
      <w:rPr>
        <w:rFonts w:ascii="Arial" w:hAnsi="Arial"/>
        <w:i/>
        <w:color w:val="2d601a"/>
        <w:sz w:val="22"/>
      </w:rPr>
      <w:tcPr>
        <w:shd w:val="clear" w:color="ffffff" w:fill="auto"/>
        <w:tcBorders>
          <w:top w:val="none" w:color="000000" w:sz="4" w:space="0"/>
          <w:left w:val="single" w:color="94DA7B" w:sz="4" w:space="0"/>
          <w:bottom w:val="none" w:color="000000" w:sz="4" w:space="0"/>
          <w:right w:val="none" w:color="000000" w:sz="4" w:space="0"/>
        </w:tcBorders>
      </w:tcPr>
    </w:tblStylePr>
    <w:tblStylePr w:type="lastRow">
      <w:rPr>
        <w:rFonts w:ascii="Arial" w:hAnsi="Arial"/>
        <w:b/>
        <w:color w:val="2d601a"/>
        <w:sz w:val="22"/>
      </w:rPr>
      <w:tcPr>
        <w:shd w:val="clear" w:color="ffffff" w:fill="ffffff"/>
        <w:tcBorders>
          <w:top w:val="single" w:color="94DA7B" w:sz="4" w:space="0"/>
          <w:left w:val="none" w:color="000000" w:sz="4" w:space="0"/>
          <w:bottom w:val="none" w:color="000000" w:sz="4" w:space="0"/>
          <w:right w:val="none" w:color="000000" w:sz="4" w:space="0"/>
        </w:tcBorders>
      </w:tcPr>
    </w:tblStylePr>
  </w:style>
  <w:style w:type="table" w:styleId="1492" w:customStyle="1">
    <w:name w:val="清单表 1 浅色1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493" w:customStyle="1">
    <w:name w:val="List Table 1 Light - Accent 11"/>
    <w:uiPriority w:val="99"/>
    <w:qFormat/>
    <w:tblPr>
      <w:tblCellMar>
        <w:left w:w="0" w:type="dxa"/>
        <w:top w:w="0" w:type="dxa"/>
        <w:right w:w="0" w:type="dxa"/>
        <w:bottom w:w="0" w:type="dxa"/>
      </w:tblCellMar>
    </w:tblPr>
    <w:tblStylePr w:type="band1Horz">
      <w:tcPr>
        <w:shd w:val="clear" w:color="b1def2" w:fill="b1def2"/>
      </w:tcPr>
    </w:tblStylePr>
    <w:tblStylePr w:type="band1Vert">
      <w:tcPr>
        <w:shd w:val="clear" w:color="b1def2" w:fill="b1def2"/>
      </w:tcPr>
    </w:tblStylePr>
    <w:tblStylePr w:type="firstCol">
      <w:rPr>
        <w:b/>
        <w:color w:val="404040"/>
      </w:rPr>
    </w:tblStylePr>
    <w:tblStylePr w:type="firstRow">
      <w:rPr>
        <w:b/>
        <w:color w:val="404040"/>
      </w:rPr>
      <w:tcPr>
        <w:tcBorders>
          <w:top w:val="none" w:color="000000" w:sz="4" w:space="0"/>
          <w:left w:val="none" w:color="000000" w:sz="4" w:space="0"/>
          <w:bottom w:val="single" w:color="156082" w:sz="4" w:space="0"/>
          <w:right w:val="none" w:color="000000" w:sz="4" w:space="0"/>
        </w:tcBorders>
      </w:tcPr>
    </w:tblStylePr>
    <w:tblStylePr w:type="lastCol">
      <w:rPr>
        <w:b/>
        <w:color w:val="404040"/>
      </w:rPr>
    </w:tblStylePr>
    <w:tblStylePr w:type="lastRow">
      <w:rPr>
        <w:b/>
        <w:color w:val="404040"/>
      </w:rPr>
      <w:tcPr>
        <w:tcBorders>
          <w:top w:val="single" w:color="156082" w:sz="4" w:space="0"/>
          <w:left w:val="none" w:color="000000" w:sz="4" w:space="0"/>
          <w:bottom w:val="none" w:color="000000" w:sz="4" w:space="0"/>
          <w:right w:val="none" w:color="000000" w:sz="4" w:space="0"/>
        </w:tcBorders>
      </w:tcPr>
    </w:tblStylePr>
  </w:style>
  <w:style w:type="table" w:styleId="1494" w:customStyle="1">
    <w:name w:val="List Table 1 Light - Accent 21"/>
    <w:uiPriority w:val="99"/>
    <w:qFormat/>
    <w:tblPr>
      <w:tblCellMar>
        <w:left w:w="0" w:type="dxa"/>
        <w:top w:w="0" w:type="dxa"/>
        <w:right w:w="0" w:type="dxa"/>
        <w:bottom w:w="0" w:type="dxa"/>
      </w:tblCellMar>
    </w:tblPr>
    <w:tblStylePr w:type="band1Horz">
      <w:tcPr>
        <w:shd w:val="clear" w:color="f9dbcb" w:fill="f9dbcb"/>
      </w:tcPr>
    </w:tblStylePr>
    <w:tblStylePr w:type="band1Vert">
      <w:tcPr>
        <w:shd w:val="clear" w:color="f9dbcb" w:fill="f9dbcb"/>
      </w:tcPr>
    </w:tblStylePr>
    <w:tblStylePr w:type="firstCol">
      <w:rPr>
        <w:b/>
        <w:color w:val="404040"/>
      </w:rPr>
    </w:tblStylePr>
    <w:tblStylePr w:type="firstRow">
      <w:rPr>
        <w:b/>
        <w:color w:val="404040"/>
      </w:rPr>
      <w:tcPr>
        <w:tcBorders>
          <w:top w:val="none" w:color="000000" w:sz="4" w:space="0"/>
          <w:left w:val="none" w:color="000000" w:sz="4" w:space="0"/>
          <w:bottom w:val="single" w:color="E97132" w:sz="4" w:space="0"/>
          <w:right w:val="none" w:color="000000" w:sz="4" w:space="0"/>
        </w:tcBorders>
      </w:tcPr>
    </w:tblStylePr>
    <w:tblStylePr w:type="lastCol">
      <w:rPr>
        <w:b/>
        <w:color w:val="404040"/>
      </w:rPr>
    </w:tblStylePr>
    <w:tblStylePr w:type="lastRow">
      <w:rPr>
        <w:b/>
        <w:color w:val="404040"/>
      </w:rPr>
      <w:tcPr>
        <w:tcBorders>
          <w:top w:val="single" w:color="E97132" w:sz="4" w:space="0"/>
          <w:left w:val="none" w:color="000000" w:sz="4" w:space="0"/>
          <w:bottom w:val="none" w:color="000000" w:sz="4" w:space="0"/>
          <w:right w:val="none" w:color="000000" w:sz="4" w:space="0"/>
        </w:tcBorders>
      </w:tcPr>
    </w:tblStylePr>
  </w:style>
  <w:style w:type="table" w:styleId="1495" w:customStyle="1">
    <w:name w:val="List Table 1 Light - Accent 31"/>
    <w:uiPriority w:val="99"/>
    <w:qFormat/>
    <w:tblPr>
      <w:tblCellMar>
        <w:left w:w="0" w:type="dxa"/>
        <w:top w:w="0" w:type="dxa"/>
        <w:right w:w="0" w:type="dxa"/>
        <w:bottom w:w="0" w:type="dxa"/>
      </w:tblCellMar>
    </w:tblPr>
    <w:tblStylePr w:type="band1Horz">
      <w:tcPr>
        <w:shd w:val="clear" w:color="b2edb9" w:fill="b2edb9"/>
      </w:tcPr>
    </w:tblStylePr>
    <w:tblStylePr w:type="band1Vert">
      <w:tcPr>
        <w:shd w:val="clear" w:color="b2edb9" w:fill="b2edb9"/>
      </w:tcPr>
    </w:tblStylePr>
    <w:tblStylePr w:type="firstCol">
      <w:rPr>
        <w:b/>
        <w:color w:val="404040"/>
      </w:rPr>
    </w:tblStylePr>
    <w:tblStylePr w:type="firstRow">
      <w:rPr>
        <w:b/>
        <w:color w:val="404040"/>
      </w:rPr>
      <w:tcPr>
        <w:tcBorders>
          <w:top w:val="none" w:color="000000" w:sz="4" w:space="0"/>
          <w:left w:val="none" w:color="000000" w:sz="4" w:space="0"/>
          <w:bottom w:val="single" w:color="196B24" w:sz="4" w:space="0"/>
          <w:right w:val="none" w:color="000000" w:sz="4" w:space="0"/>
        </w:tcBorders>
      </w:tcPr>
    </w:tblStylePr>
    <w:tblStylePr w:type="lastCol">
      <w:rPr>
        <w:b/>
        <w:color w:val="404040"/>
      </w:rPr>
    </w:tblStylePr>
    <w:tblStylePr w:type="lastRow">
      <w:rPr>
        <w:b/>
        <w:color w:val="404040"/>
      </w:rPr>
      <w:tcPr>
        <w:tcBorders>
          <w:top w:val="single" w:color="196B24" w:sz="4" w:space="0"/>
          <w:left w:val="none" w:color="000000" w:sz="4" w:space="0"/>
          <w:bottom w:val="none" w:color="000000" w:sz="4" w:space="0"/>
          <w:right w:val="none" w:color="000000" w:sz="4" w:space="0"/>
        </w:tcBorders>
      </w:tcPr>
    </w:tblStylePr>
  </w:style>
  <w:style w:type="table" w:styleId="1496" w:customStyle="1">
    <w:name w:val="List Table 1 Light - Accent 41"/>
    <w:uiPriority w:val="99"/>
    <w:qFormat/>
    <w:tblPr>
      <w:tblCellMar>
        <w:left w:w="0" w:type="dxa"/>
        <w:top w:w="0" w:type="dxa"/>
        <w:right w:w="0" w:type="dxa"/>
        <w:bottom w:w="0" w:type="dxa"/>
      </w:tblCellMar>
    </w:tblPr>
    <w:tblStylePr w:type="band1Horz">
      <w:tcPr>
        <w:shd w:val="clear" w:color="bce9fa" w:fill="bce9fa"/>
      </w:tcPr>
    </w:tblStylePr>
    <w:tblStylePr w:type="band1Vert">
      <w:tcPr>
        <w:shd w:val="clear" w:color="bce9fa" w:fill="bce9fa"/>
      </w:tcPr>
    </w:tblStylePr>
    <w:tblStylePr w:type="firstCol">
      <w:rPr>
        <w:b/>
        <w:color w:val="404040"/>
      </w:rPr>
    </w:tblStylePr>
    <w:tblStylePr w:type="firstRow">
      <w:rPr>
        <w:b/>
        <w:color w:val="404040"/>
      </w:rPr>
      <w:tcPr>
        <w:tcBorders>
          <w:top w:val="none" w:color="000000" w:sz="4" w:space="0"/>
          <w:left w:val="none" w:color="000000" w:sz="4" w:space="0"/>
          <w:bottom w:val="single" w:color="0F9ED5" w:sz="4" w:space="0"/>
          <w:right w:val="none" w:color="000000" w:sz="4" w:space="0"/>
        </w:tcBorders>
      </w:tcPr>
    </w:tblStylePr>
    <w:tblStylePr w:type="lastCol">
      <w:rPr>
        <w:b/>
        <w:color w:val="404040"/>
      </w:rPr>
    </w:tblStylePr>
    <w:tblStylePr w:type="lastRow">
      <w:rPr>
        <w:b/>
        <w:color w:val="404040"/>
      </w:rPr>
      <w:tcPr>
        <w:tcBorders>
          <w:top w:val="single" w:color="0F9ED5" w:sz="4" w:space="0"/>
          <w:left w:val="none" w:color="000000" w:sz="4" w:space="0"/>
          <w:bottom w:val="none" w:color="000000" w:sz="4" w:space="0"/>
          <w:right w:val="none" w:color="000000" w:sz="4" w:space="0"/>
        </w:tcBorders>
      </w:tcPr>
    </w:tblStylePr>
  </w:style>
  <w:style w:type="table" w:styleId="1497" w:customStyle="1">
    <w:name w:val="List Table 1 Light - Accent 51"/>
    <w:uiPriority w:val="99"/>
    <w:qFormat/>
    <w:tblPr>
      <w:tblCellMar>
        <w:left w:w="0" w:type="dxa"/>
        <w:top w:w="0" w:type="dxa"/>
        <w:right w:w="0" w:type="dxa"/>
        <w:bottom w:w="0" w:type="dxa"/>
      </w:tblCellMar>
    </w:tblPr>
    <w:tblStylePr w:type="band1Horz">
      <w:tcPr>
        <w:shd w:val="clear" w:color="eec2e9" w:fill="eec2e9"/>
      </w:tcPr>
    </w:tblStylePr>
    <w:tblStylePr w:type="band1Vert">
      <w:tcPr>
        <w:shd w:val="clear" w:color="eec2e9" w:fill="eec2e9"/>
      </w:tcPr>
    </w:tblStylePr>
    <w:tblStylePr w:type="firstCol">
      <w:rPr>
        <w:b/>
        <w:color w:val="404040"/>
      </w:rPr>
    </w:tblStylePr>
    <w:tblStylePr w:type="firstRow">
      <w:rPr>
        <w:b/>
        <w:color w:val="404040"/>
      </w:rPr>
      <w:tcPr>
        <w:tcBorders>
          <w:top w:val="none" w:color="000000" w:sz="4" w:space="0"/>
          <w:left w:val="none" w:color="000000" w:sz="4" w:space="0"/>
          <w:bottom w:val="single" w:color="A02B93" w:sz="4" w:space="0"/>
          <w:right w:val="none" w:color="000000" w:sz="4" w:space="0"/>
        </w:tcBorders>
      </w:tcPr>
    </w:tblStylePr>
    <w:tblStylePr w:type="lastCol">
      <w:rPr>
        <w:b/>
        <w:color w:val="404040"/>
      </w:rPr>
    </w:tblStylePr>
    <w:tblStylePr w:type="lastRow">
      <w:rPr>
        <w:b/>
        <w:color w:val="404040"/>
      </w:rPr>
      <w:tcPr>
        <w:tcBorders>
          <w:top w:val="single" w:color="A02B93" w:sz="4" w:space="0"/>
          <w:left w:val="none" w:color="000000" w:sz="4" w:space="0"/>
          <w:bottom w:val="none" w:color="000000" w:sz="4" w:space="0"/>
          <w:right w:val="none" w:color="000000" w:sz="4" w:space="0"/>
        </w:tcBorders>
      </w:tcPr>
    </w:tblStylePr>
  </w:style>
  <w:style w:type="table" w:styleId="1498" w:customStyle="1">
    <w:name w:val="List Table 1 Light - Accent 61"/>
    <w:uiPriority w:val="99"/>
    <w:qFormat/>
    <w:tblPr>
      <w:tblCellMar>
        <w:left w:w="0" w:type="dxa"/>
        <w:top w:w="0" w:type="dxa"/>
        <w:right w:w="0" w:type="dxa"/>
        <w:bottom w:w="0" w:type="dxa"/>
      </w:tblCellMar>
    </w:tblPr>
    <w:tblStylePr w:type="band1Horz">
      <w:tcPr>
        <w:shd w:val="clear" w:color="cfefc4" w:fill="cfefc4"/>
      </w:tcPr>
    </w:tblStylePr>
    <w:tblStylePr w:type="band1Vert">
      <w:tcPr>
        <w:shd w:val="clear" w:color="cfefc4" w:fill="cfefc4"/>
      </w:tcPr>
    </w:tblStylePr>
    <w:tblStylePr w:type="firstCol">
      <w:rPr>
        <w:b/>
        <w:color w:val="404040"/>
      </w:rPr>
    </w:tblStylePr>
    <w:tblStylePr w:type="firstRow">
      <w:rPr>
        <w:b/>
        <w:color w:val="404040"/>
      </w:rPr>
      <w:tcPr>
        <w:tcBorders>
          <w:top w:val="none" w:color="000000" w:sz="4" w:space="0"/>
          <w:left w:val="none" w:color="000000" w:sz="4" w:space="0"/>
          <w:bottom w:val="single" w:color="4EA72E" w:sz="4" w:space="0"/>
          <w:right w:val="none" w:color="000000" w:sz="4" w:space="0"/>
        </w:tcBorders>
      </w:tcPr>
    </w:tblStylePr>
    <w:tblStylePr w:type="lastCol">
      <w:rPr>
        <w:b/>
        <w:color w:val="404040"/>
      </w:rPr>
    </w:tblStylePr>
    <w:tblStylePr w:type="lastRow">
      <w:rPr>
        <w:b/>
        <w:color w:val="404040"/>
      </w:rPr>
      <w:tcPr>
        <w:tcBorders>
          <w:top w:val="single" w:color="4EA72E" w:sz="4" w:space="0"/>
          <w:left w:val="none" w:color="000000" w:sz="4" w:space="0"/>
          <w:bottom w:val="none" w:color="000000" w:sz="4" w:space="0"/>
          <w:right w:val="none" w:color="000000" w:sz="4" w:space="0"/>
        </w:tcBorders>
      </w:tcPr>
    </w:tblStylePr>
  </w:style>
  <w:style w:type="table" w:styleId="1499"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500" w:customStyle="1">
    <w:name w:val="List Table 2 - Accent 11"/>
    <w:uiPriority w:val="99"/>
    <w:qFormat/>
    <w:tblPr>
      <w:tblBorders>
        <w:top w:val="single" w:color="50B4E2" w:sz="4" w:space="0"/>
        <w:bottom w:val="single" w:color="50B4E2" w:sz="4" w:space="0"/>
        <w:insideH w:val="single" w:color="50B4E2" w:sz="4" w:space="0"/>
      </w:tblBorders>
      <w:tblCellMar>
        <w:left w:w="0" w:type="dxa"/>
        <w:top w:w="0" w:type="dxa"/>
        <w:right w:w="0" w:type="dxa"/>
        <w:bottom w:w="0" w:type="dxa"/>
      </w:tblCellMar>
    </w:tblPr>
    <w:tblStylePr w:type="band1Horz">
      <w:rPr>
        <w:rFonts w:ascii="Arial" w:hAnsi="Arial"/>
        <w:color w:val="404040"/>
        <w:sz w:val="22"/>
      </w:rPr>
      <w:tcPr>
        <w:shd w:val="clear" w:color="b1def2" w:fill="b1def2"/>
      </w:tcPr>
    </w:tblStylePr>
    <w:tblStylePr w:type="band1Vert">
      <w:rPr>
        <w:rFonts w:ascii="Arial" w:hAnsi="Arial"/>
        <w:color w:val="404040"/>
        <w:sz w:val="22"/>
      </w:rPr>
      <w:tcPr>
        <w:shd w:val="clear" w:color="b1def2" w:fill="b1def2"/>
      </w:tcPr>
    </w:tblStylePr>
    <w:tblStylePr w:type="firstCol">
      <w:rPr>
        <w:rFonts w:ascii="Arial" w:hAnsi="Arial"/>
        <w:b/>
        <w:color w:val="404040"/>
        <w:sz w:val="22"/>
      </w:rPr>
    </w:tblStylePr>
    <w:tblStylePr w:type="firstRow">
      <w:rPr>
        <w:rFonts w:ascii="Arial" w:hAnsi="Arial"/>
        <w:b/>
        <w:color w:val="404040"/>
        <w:sz w:val="22"/>
      </w:rPr>
      <w:tcPr>
        <w:tcBorders>
          <w:top w:val="single" w:color="50B4E2" w:sz="4" w:space="0"/>
          <w:left w:val="none" w:color="000000" w:sz="4" w:space="0"/>
          <w:bottom w:val="single" w:color="50B4E2"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sz="4" w:space="0"/>
          <w:left w:val="none" w:color="000000" w:sz="4" w:space="0"/>
          <w:bottom w:val="single" w:color="50B4E2" w:sz="4" w:space="0"/>
          <w:right w:val="none" w:color="000000" w:sz="4" w:space="0"/>
        </w:tcBorders>
      </w:tcPr>
    </w:tblStylePr>
  </w:style>
  <w:style w:type="table" w:styleId="1501" w:customStyle="1">
    <w:name w:val="List Table 2 - Accent 21"/>
    <w:uiPriority w:val="99"/>
    <w:qFormat/>
    <w:tblPr>
      <w:tblBorders>
        <w:top w:val="single" w:color="F2AE8B" w:sz="4" w:space="0"/>
        <w:bottom w:val="single" w:color="F2AE8B" w:sz="4" w:space="0"/>
        <w:insideH w:val="single" w:color="F2AE8B" w:sz="4" w:space="0"/>
      </w:tblBorders>
      <w:tblCellMar>
        <w:left w:w="0" w:type="dxa"/>
        <w:top w:w="0" w:type="dxa"/>
        <w:right w:w="0" w:type="dxa"/>
        <w:bottom w:w="0" w:type="dxa"/>
      </w:tblCellMar>
    </w:tblPr>
    <w:tblStylePr w:type="band1Horz">
      <w:rPr>
        <w:rFonts w:ascii="Arial" w:hAnsi="Arial"/>
        <w:color w:val="404040"/>
        <w:sz w:val="22"/>
      </w:rPr>
      <w:tcPr>
        <w:shd w:val="clear" w:color="f9dbcb" w:fill="f9dbcb"/>
      </w:tcPr>
    </w:tblStylePr>
    <w:tblStylePr w:type="band1Vert">
      <w:rPr>
        <w:rFonts w:ascii="Arial" w:hAnsi="Arial"/>
        <w:color w:val="404040"/>
        <w:sz w:val="22"/>
      </w:rPr>
      <w:tcPr>
        <w:shd w:val="clear" w:color="f9dbcb" w:fill="f9dbcb"/>
      </w:tcPr>
    </w:tblStylePr>
    <w:tblStylePr w:type="firstCol">
      <w:rPr>
        <w:rFonts w:ascii="Arial" w:hAnsi="Arial"/>
        <w:b/>
        <w:color w:val="404040"/>
        <w:sz w:val="22"/>
      </w:rPr>
    </w:tblStylePr>
    <w:tblStylePr w:type="firstRow">
      <w:rPr>
        <w:rFonts w:ascii="Arial" w:hAnsi="Arial"/>
        <w:b/>
        <w:color w:val="404040"/>
        <w:sz w:val="22"/>
      </w:rPr>
      <w:tcPr>
        <w:tcBorders>
          <w:top w:val="single" w:color="F2AE8B" w:sz="4" w:space="0"/>
          <w:left w:val="none" w:color="000000" w:sz="4" w:space="0"/>
          <w:bottom w:val="single" w:color="F2AE8B"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sz="4" w:space="0"/>
          <w:left w:val="none" w:color="000000" w:sz="4" w:space="0"/>
          <w:bottom w:val="single" w:color="F2AE8B" w:sz="4" w:space="0"/>
          <w:right w:val="none" w:color="000000" w:sz="4" w:space="0"/>
        </w:tcBorders>
      </w:tcPr>
    </w:tblStylePr>
  </w:style>
  <w:style w:type="table" w:styleId="1502" w:customStyle="1">
    <w:name w:val="List Table 2 - Accent 31"/>
    <w:uiPriority w:val="99"/>
    <w:qFormat/>
    <w:tblPr>
      <w:tblBorders>
        <w:top w:val="single" w:color="51D663" w:sz="4" w:space="0"/>
        <w:bottom w:val="single" w:color="51D663" w:sz="4" w:space="0"/>
        <w:insideH w:val="single" w:color="51D663" w:sz="4" w:space="0"/>
      </w:tblBorders>
      <w:tblCellMar>
        <w:left w:w="0" w:type="dxa"/>
        <w:top w:w="0" w:type="dxa"/>
        <w:right w:w="0" w:type="dxa"/>
        <w:bottom w:w="0" w:type="dxa"/>
      </w:tblCellMar>
    </w:tblPr>
    <w:tblStylePr w:type="band1Horz">
      <w:rPr>
        <w:rFonts w:ascii="Arial" w:hAnsi="Arial"/>
        <w:color w:val="404040"/>
        <w:sz w:val="22"/>
      </w:rPr>
      <w:tcPr>
        <w:shd w:val="clear" w:color="b2edb9" w:fill="b2edb9"/>
      </w:tcPr>
    </w:tblStylePr>
    <w:tblStylePr w:type="band1Vert">
      <w:rPr>
        <w:rFonts w:ascii="Arial" w:hAnsi="Arial"/>
        <w:color w:val="404040"/>
        <w:sz w:val="22"/>
      </w:rPr>
      <w:tcPr>
        <w:shd w:val="clear" w:color="b2edb9" w:fill="b2edb9"/>
      </w:tcPr>
    </w:tblStylePr>
    <w:tblStylePr w:type="firstCol">
      <w:rPr>
        <w:rFonts w:ascii="Arial" w:hAnsi="Arial"/>
        <w:b/>
        <w:color w:val="404040"/>
        <w:sz w:val="22"/>
      </w:rPr>
    </w:tblStylePr>
    <w:tblStylePr w:type="firstRow">
      <w:rPr>
        <w:rFonts w:ascii="Arial" w:hAnsi="Arial"/>
        <w:b/>
        <w:color w:val="404040"/>
        <w:sz w:val="22"/>
      </w:rPr>
      <w:tcPr>
        <w:tcBorders>
          <w:top w:val="single" w:color="51D663" w:sz="4" w:space="0"/>
          <w:left w:val="none" w:color="000000" w:sz="4" w:space="0"/>
          <w:bottom w:val="single" w:color="51D66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sz="4" w:space="0"/>
          <w:left w:val="none" w:color="000000" w:sz="4" w:space="0"/>
          <w:bottom w:val="single" w:color="51D663" w:sz="4" w:space="0"/>
          <w:right w:val="none" w:color="000000" w:sz="4" w:space="0"/>
        </w:tcBorders>
      </w:tcPr>
    </w:tblStylePr>
  </w:style>
  <w:style w:type="table" w:styleId="1503" w:customStyle="1">
    <w:name w:val="List Table 2 - Accent 41"/>
    <w:uiPriority w:val="99"/>
    <w:qFormat/>
    <w:tblPr>
      <w:tblBorders>
        <w:top w:val="single" w:color="6ACDF4" w:sz="4" w:space="0"/>
        <w:bottom w:val="single" w:color="6ACDF4" w:sz="4" w:space="0"/>
        <w:insideH w:val="single" w:color="6ACDF4" w:sz="4" w:space="0"/>
      </w:tblBorders>
      <w:tblCellMar>
        <w:left w:w="0" w:type="dxa"/>
        <w:top w:w="0" w:type="dxa"/>
        <w:right w:w="0" w:type="dxa"/>
        <w:bottom w:w="0" w:type="dxa"/>
      </w:tblCellMar>
    </w:tblPr>
    <w:tblStylePr w:type="band1Horz">
      <w:rPr>
        <w:rFonts w:ascii="Arial" w:hAnsi="Arial"/>
        <w:color w:val="404040"/>
        <w:sz w:val="22"/>
      </w:rPr>
      <w:tcPr>
        <w:shd w:val="clear" w:color="bce9fa" w:fill="bce9fa"/>
      </w:tcPr>
    </w:tblStylePr>
    <w:tblStylePr w:type="band1Vert">
      <w:rPr>
        <w:rFonts w:ascii="Arial" w:hAnsi="Arial"/>
        <w:color w:val="404040"/>
        <w:sz w:val="22"/>
      </w:rPr>
      <w:tcPr>
        <w:shd w:val="clear" w:color="bce9fa" w:fill="bce9fa"/>
      </w:tcPr>
    </w:tblStylePr>
    <w:tblStylePr w:type="firstCol">
      <w:rPr>
        <w:rFonts w:ascii="Arial" w:hAnsi="Arial"/>
        <w:b/>
        <w:color w:val="404040"/>
        <w:sz w:val="22"/>
      </w:rPr>
    </w:tblStylePr>
    <w:tblStylePr w:type="firstRow">
      <w:rPr>
        <w:rFonts w:ascii="Arial" w:hAnsi="Arial"/>
        <w:b/>
        <w:color w:val="404040"/>
        <w:sz w:val="22"/>
      </w:rPr>
      <w:tcPr>
        <w:tcBorders>
          <w:top w:val="single" w:color="6ACDF4" w:sz="4" w:space="0"/>
          <w:left w:val="none" w:color="000000" w:sz="4" w:space="0"/>
          <w:bottom w:val="single" w:color="6ACDF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sz="4" w:space="0"/>
          <w:left w:val="none" w:color="000000" w:sz="4" w:space="0"/>
          <w:bottom w:val="single" w:color="6ACDF4" w:sz="4" w:space="0"/>
          <w:right w:val="none" w:color="000000" w:sz="4" w:space="0"/>
        </w:tcBorders>
      </w:tcPr>
    </w:tblStylePr>
  </w:style>
  <w:style w:type="table" w:styleId="1504" w:customStyle="1">
    <w:name w:val="List Table 2 - Accent 51"/>
    <w:uiPriority w:val="99"/>
    <w:qFormat/>
    <w:tblPr>
      <w:tblBorders>
        <w:top w:val="single" w:color="DA76CE" w:sz="4" w:space="0"/>
        <w:bottom w:val="single" w:color="DA76CE" w:sz="4" w:space="0"/>
        <w:insideH w:val="single" w:color="DA76CE" w:sz="4" w:space="0"/>
      </w:tblBorders>
      <w:tblCellMar>
        <w:left w:w="0" w:type="dxa"/>
        <w:top w:w="0" w:type="dxa"/>
        <w:right w:w="0" w:type="dxa"/>
        <w:bottom w:w="0" w:type="dxa"/>
      </w:tblCellMar>
    </w:tblPr>
    <w:tblStylePr w:type="band1Horz">
      <w:rPr>
        <w:rFonts w:ascii="Arial" w:hAnsi="Arial"/>
        <w:color w:val="404040"/>
        <w:sz w:val="22"/>
      </w:rPr>
      <w:tcPr>
        <w:shd w:val="clear" w:color="eec2e9" w:fill="eec2e9"/>
      </w:tcPr>
    </w:tblStylePr>
    <w:tblStylePr w:type="band1Vert">
      <w:rPr>
        <w:rFonts w:ascii="Arial" w:hAnsi="Arial"/>
        <w:color w:val="404040"/>
        <w:sz w:val="22"/>
      </w:rPr>
      <w:tcPr>
        <w:shd w:val="clear" w:color="eec2e9" w:fill="eec2e9"/>
      </w:tcPr>
    </w:tblStylePr>
    <w:tblStylePr w:type="firstCol">
      <w:rPr>
        <w:rFonts w:ascii="Arial" w:hAnsi="Arial"/>
        <w:b/>
        <w:color w:val="404040"/>
        <w:sz w:val="22"/>
      </w:rPr>
    </w:tblStylePr>
    <w:tblStylePr w:type="firstRow">
      <w:rPr>
        <w:rFonts w:ascii="Arial" w:hAnsi="Arial"/>
        <w:b/>
        <w:color w:val="404040"/>
        <w:sz w:val="22"/>
      </w:rPr>
      <w:tcPr>
        <w:tcBorders>
          <w:top w:val="single" w:color="DA76CE" w:sz="4" w:space="0"/>
          <w:left w:val="none" w:color="000000" w:sz="4" w:space="0"/>
          <w:bottom w:val="single" w:color="DA76C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sz="4" w:space="0"/>
          <w:left w:val="none" w:color="000000" w:sz="4" w:space="0"/>
          <w:bottom w:val="single" w:color="DA76CE" w:sz="4" w:space="0"/>
          <w:right w:val="none" w:color="000000" w:sz="4" w:space="0"/>
        </w:tcBorders>
      </w:tcPr>
    </w:tblStylePr>
  </w:style>
  <w:style w:type="table" w:styleId="1505" w:customStyle="1">
    <w:name w:val="List Table 2 - Accent 61"/>
    <w:uiPriority w:val="99"/>
    <w:qFormat/>
    <w:tblPr>
      <w:tblBorders>
        <w:top w:val="single" w:color="94DA7B" w:sz="4" w:space="0"/>
        <w:bottom w:val="single" w:color="94DA7B" w:sz="4" w:space="0"/>
        <w:insideH w:val="single" w:color="94DA7B" w:sz="4" w:space="0"/>
      </w:tblBorders>
      <w:tblCellMar>
        <w:left w:w="0" w:type="dxa"/>
        <w:top w:w="0" w:type="dxa"/>
        <w:right w:w="0" w:type="dxa"/>
        <w:bottom w:w="0" w:type="dxa"/>
      </w:tblCellMar>
    </w:tblPr>
    <w:tblStylePr w:type="band1Horz">
      <w:rPr>
        <w:rFonts w:ascii="Arial" w:hAnsi="Arial"/>
        <w:color w:val="404040"/>
        <w:sz w:val="22"/>
      </w:rPr>
      <w:tcPr>
        <w:shd w:val="clear" w:color="cfefc4" w:fill="cfefc4"/>
      </w:tcPr>
    </w:tblStylePr>
    <w:tblStylePr w:type="band1Vert">
      <w:rPr>
        <w:rFonts w:ascii="Arial" w:hAnsi="Arial"/>
        <w:color w:val="404040"/>
        <w:sz w:val="22"/>
      </w:rPr>
      <w:tcPr>
        <w:shd w:val="clear" w:color="cfefc4" w:fill="cfefc4"/>
      </w:tcPr>
    </w:tblStylePr>
    <w:tblStylePr w:type="firstCol">
      <w:rPr>
        <w:rFonts w:ascii="Arial" w:hAnsi="Arial"/>
        <w:b/>
        <w:color w:val="404040"/>
        <w:sz w:val="22"/>
      </w:rPr>
    </w:tblStylePr>
    <w:tblStylePr w:type="firstRow">
      <w:rPr>
        <w:rFonts w:ascii="Arial" w:hAnsi="Arial"/>
        <w:b/>
        <w:color w:val="404040"/>
        <w:sz w:val="22"/>
      </w:rPr>
      <w:tcPr>
        <w:tcBorders>
          <w:top w:val="single" w:color="94DA7B" w:sz="4" w:space="0"/>
          <w:left w:val="none" w:color="000000" w:sz="4" w:space="0"/>
          <w:bottom w:val="single" w:color="94DA7B"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sz="4" w:space="0"/>
          <w:left w:val="none" w:color="000000" w:sz="4" w:space="0"/>
          <w:bottom w:val="single" w:color="94DA7B" w:sz="4" w:space="0"/>
          <w:right w:val="none" w:color="000000" w:sz="4" w:space="0"/>
        </w:tcBorders>
      </w:tcPr>
    </w:tblStylePr>
  </w:style>
  <w:style w:type="table" w:styleId="1506"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07" w:customStyle="1">
    <w:name w:val="List Table 3 - Accent 11"/>
    <w:uiPriority w:val="99"/>
    <w:qFormat/>
    <w:tblPr>
      <w:tblBorders>
        <w:top w:val="single" w:color="156082" w:sz="4" w:space="0"/>
        <w:left w:val="single" w:color="156082" w:sz="4" w:space="0"/>
        <w:bottom w:val="single" w:color="156082" w:sz="4" w:space="0"/>
        <w:right w:val="single" w:color="156082" w:sz="4" w:space="0"/>
      </w:tblBorders>
      <w:tblCellMar>
        <w:left w:w="0" w:type="dxa"/>
        <w:top w:w="0" w:type="dxa"/>
        <w:right w:w="0" w:type="dxa"/>
        <w:bottom w:w="0" w:type="dxa"/>
      </w:tblCellMar>
    </w:tblPr>
    <w:tblStylePr w:type="band1Horz">
      <w:rPr>
        <w:rFonts w:ascii="Arial" w:hAnsi="Arial"/>
        <w:color w:val="404040"/>
        <w:sz w:val="22"/>
      </w:rPr>
      <w:tcPr>
        <w:tcBorders>
          <w:top w:val="single" w:color="156082" w:sz="4" w:space="0"/>
          <w:bottom w:val="single" w:color="156082" w:sz="4" w:space="0"/>
        </w:tcBorders>
      </w:tcPr>
    </w:tblStylePr>
    <w:tblStylePr w:type="band1Vert">
      <w:rPr>
        <w:rFonts w:ascii="Arial" w:hAnsi="Arial"/>
        <w:color w:val="404040"/>
        <w:sz w:val="22"/>
      </w:rPr>
      <w:tcPr>
        <w:tcBorders>
          <w:left w:val="single" w:color="156082" w:sz="4" w:space="0"/>
          <w:right w:val="single" w:color="156082" w:sz="4" w:space="0"/>
        </w:tcBorders>
      </w:tcPr>
    </w:tblStylePr>
    <w:tblStylePr w:type="firstCol">
      <w:rPr>
        <w:b/>
        <w:color w:val="404040"/>
      </w:rPr>
    </w:tblStylePr>
    <w:tblStylePr w:type="firstRow">
      <w:rPr>
        <w:rFonts w:ascii="Arial" w:hAnsi="Arial"/>
        <w:b/>
        <w:color w:val="ffffff"/>
        <w:sz w:val="22"/>
      </w:rPr>
      <w:tcPr>
        <w:shd w:val="clear" w:color="156082" w:fill="156082"/>
      </w:tcPr>
    </w:tblStylePr>
    <w:tblStylePr w:type="lastCol">
      <w:rPr>
        <w:b/>
        <w:color w:val="404040"/>
      </w:rPr>
    </w:tblStylePr>
    <w:tblStylePr w:type="lastRow">
      <w:rPr>
        <w:b/>
        <w:color w:val="404040"/>
      </w:rPr>
    </w:tblStylePr>
  </w:style>
  <w:style w:type="table" w:styleId="1508" w:customStyle="1">
    <w:name w:val="List Table 3 - Accent 21"/>
    <w:uiPriority w:val="99"/>
    <w:qFormat/>
    <w:tblPr>
      <w:tblBorders>
        <w:top w:val="single" w:color="F2AA85" w:sz="4" w:space="0"/>
        <w:left w:val="single" w:color="F2AA85" w:sz="4" w:space="0"/>
        <w:bottom w:val="single" w:color="F2AA85" w:sz="4" w:space="0"/>
        <w:right w:val="single" w:color="F2AA85" w:sz="4" w:space="0"/>
      </w:tblBorders>
      <w:tblCellMar>
        <w:left w:w="0" w:type="dxa"/>
        <w:top w:w="0" w:type="dxa"/>
        <w:right w:w="0" w:type="dxa"/>
        <w:bottom w:w="0" w:type="dxa"/>
      </w:tblCellMar>
    </w:tblPr>
    <w:tblStylePr w:type="band1Horz">
      <w:rPr>
        <w:rFonts w:ascii="Arial" w:hAnsi="Arial"/>
        <w:color w:val="404040"/>
        <w:sz w:val="22"/>
      </w:rPr>
      <w:tcPr>
        <w:tcBorders>
          <w:top w:val="single" w:color="F2AA85" w:sz="4" w:space="0"/>
          <w:bottom w:val="single" w:color="F2AA85" w:sz="4" w:space="0"/>
        </w:tcBorders>
      </w:tcPr>
    </w:tblStylePr>
    <w:tblStylePr w:type="band1Vert">
      <w:rPr>
        <w:rFonts w:ascii="Arial" w:hAnsi="Arial"/>
        <w:color w:val="404040"/>
        <w:sz w:val="22"/>
      </w:rPr>
      <w:tcPr>
        <w:tcBorders>
          <w:left w:val="single" w:color="F2AA85" w:sz="4" w:space="0"/>
          <w:right w:val="single" w:color="F2AA85" w:sz="4" w:space="0"/>
        </w:tcBorders>
      </w:tcPr>
    </w:tblStylePr>
    <w:tblStylePr w:type="firstCol">
      <w:rPr>
        <w:b/>
        <w:color w:val="404040"/>
      </w:rPr>
    </w:tblStylePr>
    <w:tblStylePr w:type="firstRow">
      <w:rPr>
        <w:rFonts w:ascii="Arial" w:hAnsi="Arial"/>
        <w:b/>
        <w:color w:val="ffffff"/>
        <w:sz w:val="22"/>
      </w:rPr>
      <w:tcPr>
        <w:shd w:val="clear" w:color="f2aa85" w:fill="f2aa85"/>
      </w:tcPr>
    </w:tblStylePr>
    <w:tblStylePr w:type="lastCol">
      <w:rPr>
        <w:b/>
        <w:color w:val="404040"/>
      </w:rPr>
    </w:tblStylePr>
    <w:tblStylePr w:type="lastRow">
      <w:rPr>
        <w:b/>
        <w:color w:val="404040"/>
      </w:rPr>
    </w:tblStylePr>
  </w:style>
  <w:style w:type="table" w:styleId="1509" w:customStyle="1">
    <w:name w:val="List Table 3 - Accent 31"/>
    <w:uiPriority w:val="99"/>
    <w:qFormat/>
    <w:tblPr>
      <w:tblBorders>
        <w:top w:val="single" w:color="48D45B" w:sz="4" w:space="0"/>
        <w:left w:val="single" w:color="48D45B" w:sz="4" w:space="0"/>
        <w:bottom w:val="single" w:color="48D45B" w:sz="4" w:space="0"/>
        <w:right w:val="single" w:color="48D45B" w:sz="4" w:space="0"/>
      </w:tblBorders>
      <w:tblCellMar>
        <w:left w:w="0" w:type="dxa"/>
        <w:top w:w="0" w:type="dxa"/>
        <w:right w:w="0" w:type="dxa"/>
        <w:bottom w:w="0" w:type="dxa"/>
      </w:tblCellMar>
    </w:tblPr>
    <w:tblStylePr w:type="band1Horz">
      <w:rPr>
        <w:rFonts w:ascii="Arial" w:hAnsi="Arial"/>
        <w:color w:val="404040"/>
        <w:sz w:val="22"/>
      </w:rPr>
      <w:tcPr>
        <w:tcBorders>
          <w:top w:val="single" w:color="48D45B" w:sz="4" w:space="0"/>
          <w:bottom w:val="single" w:color="48D45B" w:sz="4" w:space="0"/>
        </w:tcBorders>
      </w:tcPr>
    </w:tblStylePr>
    <w:tblStylePr w:type="band1Vert">
      <w:rPr>
        <w:rFonts w:ascii="Arial" w:hAnsi="Arial"/>
        <w:color w:val="404040"/>
        <w:sz w:val="22"/>
      </w:rPr>
      <w:tcPr>
        <w:tcBorders>
          <w:left w:val="single" w:color="48D45B" w:sz="4" w:space="0"/>
          <w:right w:val="single" w:color="48D45B" w:sz="4" w:space="0"/>
        </w:tcBorders>
      </w:tcPr>
    </w:tblStylePr>
    <w:tblStylePr w:type="firstCol">
      <w:rPr>
        <w:b/>
        <w:color w:val="404040"/>
      </w:rPr>
    </w:tblStylePr>
    <w:tblStylePr w:type="firstRow">
      <w:rPr>
        <w:rFonts w:ascii="Arial" w:hAnsi="Arial"/>
        <w:b/>
        <w:color w:val="ffffff"/>
        <w:sz w:val="22"/>
      </w:rPr>
      <w:tcPr>
        <w:shd w:val="clear" w:color="48d45b" w:fill="48d45b"/>
      </w:tcPr>
    </w:tblStylePr>
    <w:tblStylePr w:type="lastCol">
      <w:rPr>
        <w:b/>
        <w:color w:val="404040"/>
      </w:rPr>
    </w:tblStylePr>
    <w:tblStylePr w:type="lastRow">
      <w:rPr>
        <w:b/>
        <w:color w:val="404040"/>
      </w:rPr>
    </w:tblStylePr>
  </w:style>
  <w:style w:type="table" w:styleId="1510" w:customStyle="1">
    <w:name w:val="List Table 3 - Accent 41"/>
    <w:uiPriority w:val="99"/>
    <w:qFormat/>
    <w:tblPr>
      <w:tblBorders>
        <w:top w:val="single" w:color="5FCAF3" w:sz="4" w:space="0"/>
        <w:left w:val="single" w:color="5FCAF3" w:sz="4" w:space="0"/>
        <w:bottom w:val="single" w:color="5FCAF3" w:sz="4" w:space="0"/>
        <w:right w:val="single" w:color="5FCAF3" w:sz="4" w:space="0"/>
      </w:tblBorders>
      <w:tblCellMar>
        <w:left w:w="0" w:type="dxa"/>
        <w:top w:w="0" w:type="dxa"/>
        <w:right w:w="0" w:type="dxa"/>
        <w:bottom w:w="0" w:type="dxa"/>
      </w:tblCellMar>
    </w:tblPr>
    <w:tblStylePr w:type="band1Horz">
      <w:rPr>
        <w:rFonts w:ascii="Arial" w:hAnsi="Arial"/>
        <w:color w:val="404040"/>
        <w:sz w:val="22"/>
      </w:rPr>
      <w:tcPr>
        <w:tcBorders>
          <w:top w:val="single" w:color="5FCAF3" w:sz="4" w:space="0"/>
          <w:bottom w:val="single" w:color="5FCAF3" w:sz="4" w:space="0"/>
        </w:tcBorders>
      </w:tcPr>
    </w:tblStylePr>
    <w:tblStylePr w:type="band1Vert">
      <w:rPr>
        <w:rFonts w:ascii="Arial" w:hAnsi="Arial"/>
        <w:color w:val="404040"/>
        <w:sz w:val="22"/>
      </w:rPr>
      <w:tcPr>
        <w:tcBorders>
          <w:left w:val="single" w:color="5FCAF3" w:sz="4" w:space="0"/>
          <w:right w:val="single" w:color="5FCAF3" w:sz="4" w:space="0"/>
        </w:tcBorders>
      </w:tcPr>
    </w:tblStylePr>
    <w:tblStylePr w:type="firstCol">
      <w:rPr>
        <w:b/>
        <w:color w:val="404040"/>
      </w:rPr>
    </w:tblStylePr>
    <w:tblStylePr w:type="firstRow">
      <w:rPr>
        <w:rFonts w:ascii="Arial" w:hAnsi="Arial"/>
        <w:b/>
        <w:color w:val="ffffff"/>
        <w:sz w:val="22"/>
      </w:rPr>
      <w:tcPr>
        <w:shd w:val="clear" w:color="5fcaf3" w:fill="5fcaf3"/>
      </w:tcPr>
    </w:tblStylePr>
    <w:tblStylePr w:type="lastCol">
      <w:rPr>
        <w:b/>
        <w:color w:val="404040"/>
      </w:rPr>
    </w:tblStylePr>
    <w:tblStylePr w:type="lastRow">
      <w:rPr>
        <w:b/>
        <w:color w:val="404040"/>
      </w:rPr>
    </w:tblStylePr>
  </w:style>
  <w:style w:type="table" w:styleId="1511" w:customStyle="1">
    <w:name w:val="List Table 3 - Accent 51"/>
    <w:uiPriority w:val="99"/>
    <w:qFormat/>
    <w:tblPr>
      <w:tblBorders>
        <w:top w:val="single" w:color="D76CCB" w:sz="4" w:space="0"/>
        <w:left w:val="single" w:color="D76CCB" w:sz="4" w:space="0"/>
        <w:bottom w:val="single" w:color="D76CCB" w:sz="4" w:space="0"/>
        <w:right w:val="single" w:color="D76CCB" w:sz="4" w:space="0"/>
      </w:tblBorders>
      <w:tblCellMar>
        <w:left w:w="0" w:type="dxa"/>
        <w:top w:w="0" w:type="dxa"/>
        <w:right w:w="0" w:type="dxa"/>
        <w:bottom w:w="0" w:type="dxa"/>
      </w:tblCellMar>
    </w:tblPr>
    <w:tblStylePr w:type="band1Horz">
      <w:rPr>
        <w:rFonts w:ascii="Arial" w:hAnsi="Arial"/>
        <w:color w:val="404040"/>
        <w:sz w:val="22"/>
      </w:rPr>
      <w:tcPr>
        <w:tcBorders>
          <w:top w:val="single" w:color="D76CCB" w:sz="4" w:space="0"/>
          <w:bottom w:val="single" w:color="D76CCB" w:sz="4" w:space="0"/>
        </w:tcBorders>
      </w:tcPr>
    </w:tblStylePr>
    <w:tblStylePr w:type="band1Vert">
      <w:rPr>
        <w:rFonts w:ascii="Arial" w:hAnsi="Arial"/>
        <w:color w:val="404040"/>
        <w:sz w:val="22"/>
      </w:rPr>
      <w:tcPr>
        <w:tcBorders>
          <w:left w:val="single" w:color="D76CCB" w:sz="4" w:space="0"/>
          <w:right w:val="single" w:color="D76CCB" w:sz="4" w:space="0"/>
        </w:tcBorders>
      </w:tcPr>
    </w:tblStylePr>
    <w:tblStylePr w:type="firstCol">
      <w:rPr>
        <w:b/>
        <w:color w:val="404040"/>
      </w:rPr>
    </w:tblStylePr>
    <w:tblStylePr w:type="firstRow">
      <w:rPr>
        <w:rFonts w:ascii="Arial" w:hAnsi="Arial"/>
        <w:b/>
        <w:color w:val="ffffff"/>
        <w:sz w:val="22"/>
      </w:rPr>
      <w:tcPr>
        <w:shd w:val="clear" w:color="d76ccb" w:fill="d76ccb"/>
      </w:tcPr>
    </w:tblStylePr>
    <w:tblStylePr w:type="lastCol">
      <w:rPr>
        <w:b/>
        <w:color w:val="404040"/>
      </w:rPr>
    </w:tblStylePr>
    <w:tblStylePr w:type="lastRow">
      <w:rPr>
        <w:b/>
        <w:color w:val="404040"/>
      </w:rPr>
    </w:tblStylePr>
  </w:style>
  <w:style w:type="table" w:styleId="1512" w:customStyle="1">
    <w:name w:val="List Table 3 - Accent 61"/>
    <w:uiPriority w:val="99"/>
    <w:qFormat/>
    <w:tblPr>
      <w:tblBorders>
        <w:top w:val="single" w:color="8ED873" w:sz="4" w:space="0"/>
        <w:left w:val="single" w:color="8ED873" w:sz="4" w:space="0"/>
        <w:bottom w:val="single" w:color="8ED873" w:sz="4" w:space="0"/>
        <w:right w:val="single" w:color="8ED873" w:sz="4" w:space="0"/>
      </w:tblBorders>
      <w:tblCellMar>
        <w:left w:w="0" w:type="dxa"/>
        <w:top w:w="0" w:type="dxa"/>
        <w:right w:w="0" w:type="dxa"/>
        <w:bottom w:w="0" w:type="dxa"/>
      </w:tblCellMar>
    </w:tblPr>
    <w:tblStylePr w:type="band1Horz">
      <w:rPr>
        <w:rFonts w:ascii="Arial" w:hAnsi="Arial"/>
        <w:color w:val="404040"/>
        <w:sz w:val="22"/>
      </w:rPr>
      <w:tcPr>
        <w:tcBorders>
          <w:top w:val="single" w:color="8ED873" w:sz="4" w:space="0"/>
          <w:bottom w:val="single" w:color="8ED873" w:sz="4" w:space="0"/>
        </w:tcBorders>
      </w:tcPr>
    </w:tblStylePr>
    <w:tblStylePr w:type="band1Vert">
      <w:rPr>
        <w:rFonts w:ascii="Arial" w:hAnsi="Arial"/>
        <w:color w:val="404040"/>
        <w:sz w:val="22"/>
      </w:rPr>
      <w:tcPr>
        <w:tcBorders>
          <w:left w:val="single" w:color="8ED873" w:sz="4" w:space="0"/>
          <w:right w:val="single" w:color="8ED873" w:sz="4" w:space="0"/>
        </w:tcBorders>
      </w:tcPr>
    </w:tblStylePr>
    <w:tblStylePr w:type="firstCol">
      <w:rPr>
        <w:b/>
        <w:color w:val="404040"/>
      </w:rPr>
    </w:tblStylePr>
    <w:tblStylePr w:type="firstRow">
      <w:rPr>
        <w:rFonts w:ascii="Arial" w:hAnsi="Arial"/>
        <w:b/>
        <w:color w:val="ffffff"/>
        <w:sz w:val="22"/>
      </w:rPr>
      <w:tcPr>
        <w:shd w:val="clear" w:color="8ed873" w:fill="8ed873"/>
      </w:tcPr>
    </w:tblStylePr>
    <w:tblStylePr w:type="lastCol">
      <w:rPr>
        <w:b/>
        <w:color w:val="404040"/>
      </w:rPr>
    </w:tblStylePr>
    <w:tblStylePr w:type="lastRow">
      <w:rPr>
        <w:b/>
        <w:color w:val="404040"/>
      </w:rPr>
    </w:tblStylePr>
  </w:style>
  <w:style w:type="table" w:styleId="1513"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14" w:customStyle="1">
    <w:name w:val="List Table 4 - Accent 11"/>
    <w:uiPriority w:val="99"/>
    <w:qFormat/>
    <w:tblPr>
      <w:tblBorders>
        <w:top w:val="single" w:color="50B4E2" w:sz="4" w:space="0"/>
        <w:left w:val="single" w:color="50B4E2" w:sz="4" w:space="0"/>
        <w:bottom w:val="single" w:color="50B4E2" w:sz="4" w:space="0"/>
        <w:right w:val="single" w:color="50B4E2" w:sz="4" w:space="0"/>
        <w:insideH w:val="single" w:color="50B4E2" w:sz="4" w:space="0"/>
      </w:tblBorders>
      <w:tblCellMar>
        <w:left w:w="0" w:type="dxa"/>
        <w:top w:w="0" w:type="dxa"/>
        <w:right w:w="0" w:type="dxa"/>
        <w:bottom w:w="0" w:type="dxa"/>
      </w:tblCellMar>
    </w:tblPr>
    <w:tblStylePr w:type="band1Horz">
      <w:rPr>
        <w:rFonts w:ascii="Arial" w:hAnsi="Arial"/>
        <w:color w:val="404040"/>
        <w:sz w:val="22"/>
      </w:rPr>
      <w:tcPr>
        <w:shd w:val="clear" w:color="b1def2" w:fill="b1def2"/>
      </w:tcPr>
    </w:tblStylePr>
    <w:tblStylePr w:type="band1Vert">
      <w:rPr>
        <w:rFonts w:ascii="Arial" w:hAnsi="Arial"/>
        <w:color w:val="404040"/>
        <w:sz w:val="22"/>
      </w:rPr>
      <w:tcPr>
        <w:shd w:val="clear" w:color="b1def2" w:fill="b1def2"/>
      </w:tcPr>
    </w:tblStylePr>
    <w:tblStylePr w:type="firstCol">
      <w:rPr>
        <w:b/>
        <w:color w:val="404040"/>
      </w:rPr>
    </w:tblStylePr>
    <w:tblStylePr w:type="firstRow">
      <w:rPr>
        <w:rFonts w:ascii="Arial" w:hAnsi="Arial"/>
        <w:b/>
        <w:color w:val="ffffff"/>
        <w:sz w:val="22"/>
      </w:rPr>
      <w:tcPr>
        <w:shd w:val="clear" w:color="156082" w:fill="156082"/>
      </w:tcPr>
    </w:tblStylePr>
    <w:tblStylePr w:type="lastCol">
      <w:rPr>
        <w:b/>
        <w:color w:val="404040"/>
      </w:rPr>
    </w:tblStylePr>
    <w:tblStylePr w:type="lastRow">
      <w:rPr>
        <w:b/>
        <w:color w:val="404040"/>
      </w:rPr>
    </w:tblStylePr>
  </w:style>
  <w:style w:type="table" w:styleId="1515" w:customStyle="1">
    <w:name w:val="List Table 4 - Accent 21"/>
    <w:uiPriority w:val="99"/>
    <w:qFormat/>
    <w:tblPr>
      <w:tblBorders>
        <w:top w:val="single" w:color="F2AE8B" w:sz="4" w:space="0"/>
        <w:left w:val="single" w:color="F2AE8B" w:sz="4" w:space="0"/>
        <w:bottom w:val="single" w:color="F2AE8B" w:sz="4" w:space="0"/>
        <w:right w:val="single" w:color="F2AE8B" w:sz="4" w:space="0"/>
        <w:insideH w:val="single" w:color="F2AE8B" w:sz="4" w:space="0"/>
      </w:tblBorders>
      <w:tblCellMar>
        <w:left w:w="0" w:type="dxa"/>
        <w:top w:w="0" w:type="dxa"/>
        <w:right w:w="0" w:type="dxa"/>
        <w:bottom w:w="0" w:type="dxa"/>
      </w:tblCellMar>
    </w:tblPr>
    <w:tblStylePr w:type="band1Horz">
      <w:rPr>
        <w:rFonts w:ascii="Arial" w:hAnsi="Arial"/>
        <w:color w:val="404040"/>
        <w:sz w:val="22"/>
      </w:rPr>
      <w:tcPr>
        <w:shd w:val="clear" w:color="f9dbcb" w:fill="f9dbcb"/>
      </w:tcPr>
    </w:tblStylePr>
    <w:tblStylePr w:type="band1Vert">
      <w:rPr>
        <w:rFonts w:ascii="Arial" w:hAnsi="Arial"/>
        <w:color w:val="404040"/>
        <w:sz w:val="22"/>
      </w:rPr>
      <w:tcPr>
        <w:shd w:val="clear" w:color="f9dbcb" w:fill="f9dbcb"/>
      </w:tcPr>
    </w:tblStylePr>
    <w:tblStylePr w:type="firstCol">
      <w:rPr>
        <w:b/>
        <w:color w:val="404040"/>
      </w:rPr>
    </w:tblStylePr>
    <w:tblStylePr w:type="firstRow">
      <w:rPr>
        <w:rFonts w:ascii="Arial" w:hAnsi="Arial"/>
        <w:b/>
        <w:color w:val="ffffff"/>
        <w:sz w:val="22"/>
      </w:rPr>
      <w:tcPr>
        <w:shd w:val="clear" w:color="e97132" w:fill="e97132"/>
      </w:tcPr>
    </w:tblStylePr>
    <w:tblStylePr w:type="lastCol">
      <w:rPr>
        <w:b/>
        <w:color w:val="404040"/>
      </w:rPr>
    </w:tblStylePr>
    <w:tblStylePr w:type="lastRow">
      <w:rPr>
        <w:b/>
        <w:color w:val="404040"/>
      </w:rPr>
    </w:tblStylePr>
  </w:style>
  <w:style w:type="table" w:styleId="1516" w:customStyle="1">
    <w:name w:val="List Table 4 - Accent 31"/>
    <w:uiPriority w:val="99"/>
    <w:qFormat/>
    <w:tblPr>
      <w:tblBorders>
        <w:top w:val="single" w:color="51D663" w:sz="4" w:space="0"/>
        <w:left w:val="single" w:color="51D663" w:sz="4" w:space="0"/>
        <w:bottom w:val="single" w:color="51D663" w:sz="4" w:space="0"/>
        <w:right w:val="single" w:color="51D663" w:sz="4" w:space="0"/>
        <w:insideH w:val="single" w:color="51D663" w:sz="4" w:space="0"/>
      </w:tblBorders>
      <w:tblCellMar>
        <w:left w:w="0" w:type="dxa"/>
        <w:top w:w="0" w:type="dxa"/>
        <w:right w:w="0" w:type="dxa"/>
        <w:bottom w:w="0" w:type="dxa"/>
      </w:tblCellMar>
    </w:tblPr>
    <w:tblStylePr w:type="band1Horz">
      <w:rPr>
        <w:rFonts w:ascii="Arial" w:hAnsi="Arial"/>
        <w:color w:val="404040"/>
        <w:sz w:val="22"/>
      </w:rPr>
      <w:tcPr>
        <w:shd w:val="clear" w:color="b2edb9" w:fill="b2edb9"/>
      </w:tcPr>
    </w:tblStylePr>
    <w:tblStylePr w:type="band1Vert">
      <w:rPr>
        <w:rFonts w:ascii="Arial" w:hAnsi="Arial"/>
        <w:color w:val="404040"/>
        <w:sz w:val="22"/>
      </w:rPr>
      <w:tcPr>
        <w:shd w:val="clear" w:color="b2edb9" w:fill="b2edb9"/>
      </w:tcPr>
    </w:tblStylePr>
    <w:tblStylePr w:type="firstCol">
      <w:rPr>
        <w:b/>
        <w:color w:val="404040"/>
      </w:rPr>
    </w:tblStylePr>
    <w:tblStylePr w:type="firstRow">
      <w:rPr>
        <w:rFonts w:ascii="Arial" w:hAnsi="Arial"/>
        <w:b/>
        <w:color w:val="ffffff"/>
        <w:sz w:val="22"/>
      </w:rPr>
      <w:tcPr>
        <w:shd w:val="clear" w:color="196b24" w:fill="196b24"/>
      </w:tcPr>
    </w:tblStylePr>
    <w:tblStylePr w:type="lastCol">
      <w:rPr>
        <w:b/>
        <w:color w:val="404040"/>
      </w:rPr>
    </w:tblStylePr>
    <w:tblStylePr w:type="lastRow">
      <w:rPr>
        <w:b/>
        <w:color w:val="404040"/>
      </w:rPr>
    </w:tblStylePr>
  </w:style>
  <w:style w:type="table" w:styleId="1517" w:customStyle="1">
    <w:name w:val="List Table 4 - Accent 41"/>
    <w:uiPriority w:val="99"/>
    <w:qFormat/>
    <w:tblPr>
      <w:tblBorders>
        <w:top w:val="single" w:color="6ACDF4" w:sz="4" w:space="0"/>
        <w:left w:val="single" w:color="6ACDF4" w:sz="4" w:space="0"/>
        <w:bottom w:val="single" w:color="6ACDF4" w:sz="4" w:space="0"/>
        <w:right w:val="single" w:color="6ACDF4" w:sz="4" w:space="0"/>
        <w:insideH w:val="single" w:color="6ACDF4" w:sz="4" w:space="0"/>
      </w:tblBorders>
      <w:tblCellMar>
        <w:left w:w="0" w:type="dxa"/>
        <w:top w:w="0" w:type="dxa"/>
        <w:right w:w="0" w:type="dxa"/>
        <w:bottom w:w="0" w:type="dxa"/>
      </w:tblCellMar>
    </w:tblPr>
    <w:tblStylePr w:type="band1Horz">
      <w:rPr>
        <w:rFonts w:ascii="Arial" w:hAnsi="Arial"/>
        <w:color w:val="404040"/>
        <w:sz w:val="22"/>
      </w:rPr>
      <w:tcPr>
        <w:shd w:val="clear" w:color="bce9fa" w:fill="bce9fa"/>
      </w:tcPr>
    </w:tblStylePr>
    <w:tblStylePr w:type="band1Vert">
      <w:rPr>
        <w:rFonts w:ascii="Arial" w:hAnsi="Arial"/>
        <w:color w:val="404040"/>
        <w:sz w:val="22"/>
      </w:rPr>
      <w:tcPr>
        <w:shd w:val="clear" w:color="bce9fa" w:fill="bce9fa"/>
      </w:tcPr>
    </w:tblStylePr>
    <w:tblStylePr w:type="firstCol">
      <w:rPr>
        <w:b/>
        <w:color w:val="404040"/>
      </w:rPr>
    </w:tblStylePr>
    <w:tblStylePr w:type="firstRow">
      <w:rPr>
        <w:rFonts w:ascii="Arial" w:hAnsi="Arial"/>
        <w:b/>
        <w:color w:val="ffffff"/>
        <w:sz w:val="22"/>
      </w:rPr>
      <w:tcPr>
        <w:shd w:val="clear" w:color="0f9ed5" w:fill="0f9ed5"/>
      </w:tcPr>
    </w:tblStylePr>
    <w:tblStylePr w:type="lastCol">
      <w:rPr>
        <w:b/>
        <w:color w:val="404040"/>
      </w:rPr>
    </w:tblStylePr>
    <w:tblStylePr w:type="lastRow">
      <w:rPr>
        <w:b/>
        <w:color w:val="404040"/>
      </w:rPr>
    </w:tblStylePr>
  </w:style>
  <w:style w:type="table" w:styleId="1518" w:customStyle="1">
    <w:name w:val="List Table 4 - Accent 51"/>
    <w:uiPriority w:val="99"/>
    <w:qFormat/>
    <w:tblPr>
      <w:tblBorders>
        <w:top w:val="single" w:color="DA76CE" w:sz="4" w:space="0"/>
        <w:left w:val="single" w:color="DA76CE" w:sz="4" w:space="0"/>
        <w:bottom w:val="single" w:color="DA76CE" w:sz="4" w:space="0"/>
        <w:right w:val="single" w:color="DA76CE" w:sz="4" w:space="0"/>
        <w:insideH w:val="single" w:color="DA76CE" w:sz="4" w:space="0"/>
      </w:tblBorders>
      <w:tblCellMar>
        <w:left w:w="0" w:type="dxa"/>
        <w:top w:w="0" w:type="dxa"/>
        <w:right w:w="0" w:type="dxa"/>
        <w:bottom w:w="0" w:type="dxa"/>
      </w:tblCellMar>
    </w:tblPr>
    <w:tblStylePr w:type="band1Horz">
      <w:rPr>
        <w:rFonts w:ascii="Arial" w:hAnsi="Arial"/>
        <w:color w:val="404040"/>
        <w:sz w:val="22"/>
      </w:rPr>
      <w:tcPr>
        <w:shd w:val="clear" w:color="eec2e9" w:fill="eec2e9"/>
      </w:tcPr>
    </w:tblStylePr>
    <w:tblStylePr w:type="band1Vert">
      <w:rPr>
        <w:rFonts w:ascii="Arial" w:hAnsi="Arial"/>
        <w:color w:val="404040"/>
        <w:sz w:val="22"/>
      </w:rPr>
      <w:tcPr>
        <w:shd w:val="clear" w:color="eec2e9" w:fill="eec2e9"/>
      </w:tcPr>
    </w:tblStylePr>
    <w:tblStylePr w:type="firstCol">
      <w:rPr>
        <w:b/>
        <w:color w:val="404040"/>
      </w:rPr>
    </w:tblStylePr>
    <w:tblStylePr w:type="firstRow">
      <w:rPr>
        <w:rFonts w:ascii="Arial" w:hAnsi="Arial"/>
        <w:b/>
        <w:color w:val="ffffff"/>
        <w:sz w:val="22"/>
      </w:rPr>
      <w:tcPr>
        <w:shd w:val="clear" w:color="a02b93" w:fill="a02b93"/>
      </w:tcPr>
    </w:tblStylePr>
    <w:tblStylePr w:type="lastCol">
      <w:rPr>
        <w:b/>
        <w:color w:val="404040"/>
      </w:rPr>
    </w:tblStylePr>
    <w:tblStylePr w:type="lastRow">
      <w:rPr>
        <w:b/>
        <w:color w:val="404040"/>
      </w:rPr>
    </w:tblStylePr>
  </w:style>
  <w:style w:type="table" w:styleId="1519" w:customStyle="1">
    <w:name w:val="List Table 4 - Accent 61"/>
    <w:uiPriority w:val="99"/>
    <w:qFormat/>
    <w:tblPr>
      <w:tblBorders>
        <w:top w:val="single" w:color="94DA7B" w:sz="4" w:space="0"/>
        <w:left w:val="single" w:color="94DA7B" w:sz="4" w:space="0"/>
        <w:bottom w:val="single" w:color="94DA7B" w:sz="4" w:space="0"/>
        <w:right w:val="single" w:color="94DA7B" w:sz="4" w:space="0"/>
        <w:insideH w:val="single" w:color="94DA7B" w:sz="4" w:space="0"/>
      </w:tblBorders>
      <w:tblCellMar>
        <w:left w:w="0" w:type="dxa"/>
        <w:top w:w="0" w:type="dxa"/>
        <w:right w:w="0" w:type="dxa"/>
        <w:bottom w:w="0" w:type="dxa"/>
      </w:tblCellMar>
    </w:tblPr>
    <w:tblStylePr w:type="band1Horz">
      <w:rPr>
        <w:rFonts w:ascii="Arial" w:hAnsi="Arial"/>
        <w:color w:val="404040"/>
        <w:sz w:val="22"/>
      </w:rPr>
      <w:tcPr>
        <w:shd w:val="clear" w:color="cfefc4" w:fill="cfefc4"/>
      </w:tcPr>
    </w:tblStylePr>
    <w:tblStylePr w:type="band1Vert">
      <w:rPr>
        <w:rFonts w:ascii="Arial" w:hAnsi="Arial"/>
        <w:color w:val="404040"/>
        <w:sz w:val="22"/>
      </w:rPr>
      <w:tcPr>
        <w:shd w:val="clear" w:color="cfefc4" w:fill="cfefc4"/>
      </w:tcPr>
    </w:tblStylePr>
    <w:tblStylePr w:type="firstCol">
      <w:rPr>
        <w:b/>
        <w:color w:val="404040"/>
      </w:rPr>
    </w:tblStylePr>
    <w:tblStylePr w:type="firstRow">
      <w:rPr>
        <w:rFonts w:ascii="Arial" w:hAnsi="Arial"/>
        <w:b/>
        <w:color w:val="ffffff"/>
        <w:sz w:val="22"/>
      </w:rPr>
      <w:tcPr>
        <w:shd w:val="clear" w:color="4ea72e" w:fill="4ea72e"/>
      </w:tcPr>
    </w:tblStylePr>
    <w:tblStylePr w:type="lastCol">
      <w:rPr>
        <w:b/>
        <w:color w:val="404040"/>
      </w:rPr>
    </w:tblStylePr>
    <w:tblStylePr w:type="lastRow">
      <w:rPr>
        <w:b/>
        <w:color w:val="404040"/>
      </w:rPr>
    </w:tblStylePr>
  </w:style>
  <w:style w:type="table" w:styleId="1520"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521" w:customStyle="1">
    <w:name w:val="List Table 5 Dark - Accent 11"/>
    <w:uiPriority w:val="99"/>
    <w:qFormat/>
    <w:tblPr>
      <w:tblBorders>
        <w:top w:val="single" w:color="156082" w:sz="32" w:space="0"/>
        <w:left w:val="single" w:color="156082" w:sz="32" w:space="0"/>
        <w:bottom w:val="single" w:color="156082" w:sz="32" w:space="0"/>
        <w:right w:val="single" w:color="156082" w:sz="32" w:space="0"/>
      </w:tblBorders>
      <w:tblCellMar>
        <w:left w:w="0" w:type="dxa"/>
        <w:top w:w="0" w:type="dxa"/>
        <w:right w:w="0" w:type="dxa"/>
        <w:bottom w:w="0" w:type="dxa"/>
      </w:tblCellMar>
    </w:tblPr>
    <w:tblStylePr w:type="band1Horz">
      <w:tcPr>
        <w:shd w:val="clear" w:color="156082" w:fill="156082"/>
        <w:tcBorders>
          <w:top w:val="single" w:color="FFFFFF" w:sz="4" w:space="0"/>
          <w:bottom w:val="single" w:color="FFFFFF" w:sz="4" w:space="0"/>
        </w:tcBorders>
      </w:tcPr>
    </w:tblStylePr>
    <w:tblStylePr w:type="band1Vert">
      <w:tcPr>
        <w:shd w:val="clear" w:color="156082" w:fill="156082"/>
        <w:tcBorders>
          <w:left w:val="single" w:color="FFFFFF" w:sz="4" w:space="0"/>
          <w:right w:val="single" w:color="FFFFFF" w:sz="4" w:space="0"/>
        </w:tcBorders>
      </w:tcPr>
    </w:tblStylePr>
    <w:tblStylePr w:type="band2Horz">
      <w:tcPr>
        <w:shd w:val="clear" w:color="156082" w:fill="156082"/>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156082" w:sz="32" w:space="0"/>
          <w:right w:val="single" w:color="FFFFFF" w:sz="4" w:space="0"/>
        </w:tcBorders>
      </w:tcPr>
    </w:tblStylePr>
    <w:tblStylePr w:type="firstRow">
      <w:rPr>
        <w:rFonts w:ascii="Arial" w:hAnsi="Arial"/>
        <w:b/>
        <w:color w:val="ffffff"/>
        <w:sz w:val="22"/>
      </w:rPr>
      <w:tcPr>
        <w:shd w:val="clear" w:color="156082" w:fill="156082"/>
        <w:tcBorders>
          <w:top w:val="single" w:color="156082" w:sz="32" w:space="0"/>
          <w:bottom w:val="single" w:color="FFFFFF" w:sz="12" w:space="0"/>
        </w:tcBorders>
      </w:tcPr>
    </w:tblStylePr>
    <w:tblStylePr w:type="lastCol">
      <w:tcPr>
        <w:tcBorders>
          <w:left w:val="single" w:color="FFFFFF" w:sz="4" w:space="0"/>
          <w:right w:val="single" w:color="156082" w:sz="32" w:space="0"/>
        </w:tcBorders>
      </w:tcPr>
    </w:tblStylePr>
    <w:tblStylePr w:type="lastRow">
      <w:rPr>
        <w:rFonts w:ascii="Arial" w:hAnsi="Arial"/>
        <w:b/>
        <w:color w:val="ffffff"/>
        <w:sz w:val="22"/>
      </w:rPr>
    </w:tblStylePr>
  </w:style>
  <w:style w:type="table" w:styleId="1522" w:customStyle="1">
    <w:name w:val="List Table 5 Dark - Accent 21"/>
    <w:uiPriority w:val="99"/>
    <w:qFormat/>
    <w:tblPr>
      <w:tblBorders>
        <w:top w:val="single" w:color="F2AA85" w:sz="32" w:space="0"/>
        <w:left w:val="single" w:color="F2AA85" w:sz="32" w:space="0"/>
        <w:bottom w:val="single" w:color="F2AA85" w:sz="32" w:space="0"/>
        <w:right w:val="single" w:color="F2AA85" w:sz="32" w:space="0"/>
      </w:tblBorders>
      <w:tblCellMar>
        <w:left w:w="0" w:type="dxa"/>
        <w:top w:w="0" w:type="dxa"/>
        <w:right w:w="0" w:type="dxa"/>
        <w:bottom w:w="0" w:type="dxa"/>
      </w:tblCellMar>
    </w:tblPr>
    <w:tblStylePr w:type="band1Horz">
      <w:tcPr>
        <w:shd w:val="clear" w:color="f2aa85" w:fill="f2aa85"/>
        <w:tcBorders>
          <w:top w:val="single" w:color="FFFFFF" w:sz="4" w:space="0"/>
          <w:bottom w:val="single" w:color="FFFFFF" w:sz="4" w:space="0"/>
        </w:tcBorders>
      </w:tcPr>
    </w:tblStylePr>
    <w:tblStylePr w:type="band1Vert">
      <w:tcPr>
        <w:shd w:val="clear" w:color="f2aa85" w:fill="f2aa85"/>
        <w:tcBorders>
          <w:left w:val="single" w:color="FFFFFF" w:sz="4" w:space="0"/>
          <w:right w:val="single" w:color="FFFFFF" w:sz="4" w:space="0"/>
        </w:tcBorders>
      </w:tcPr>
    </w:tblStylePr>
    <w:tblStylePr w:type="band2Horz">
      <w:tcPr>
        <w:shd w:val="clear" w:color="f2aa85" w:fill="f2aa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2AA85" w:sz="32" w:space="0"/>
          <w:right w:val="single" w:color="FFFFFF" w:sz="4" w:space="0"/>
        </w:tcBorders>
      </w:tcPr>
    </w:tblStylePr>
    <w:tblStylePr w:type="firstRow">
      <w:rPr>
        <w:rFonts w:ascii="Arial" w:hAnsi="Arial"/>
        <w:b/>
        <w:color w:val="ffffff"/>
        <w:sz w:val="22"/>
      </w:rPr>
      <w:tcPr>
        <w:shd w:val="clear" w:color="f2aa85" w:fill="f2aa85"/>
        <w:tcBorders>
          <w:top w:val="single" w:color="F2AA85" w:sz="32" w:space="0"/>
          <w:bottom w:val="single" w:color="FFFFFF" w:sz="12" w:space="0"/>
        </w:tcBorders>
      </w:tcPr>
    </w:tblStylePr>
    <w:tblStylePr w:type="lastCol">
      <w:tcPr>
        <w:tcBorders>
          <w:left w:val="single" w:color="FFFFFF" w:sz="4" w:space="0"/>
          <w:right w:val="single" w:color="F2AA85" w:sz="32" w:space="0"/>
        </w:tcBorders>
      </w:tcPr>
    </w:tblStylePr>
    <w:tblStylePr w:type="lastRow">
      <w:rPr>
        <w:rFonts w:ascii="Arial" w:hAnsi="Arial"/>
        <w:b/>
        <w:color w:val="ffffff"/>
        <w:sz w:val="22"/>
      </w:rPr>
    </w:tblStylePr>
  </w:style>
  <w:style w:type="table" w:styleId="1523" w:customStyle="1">
    <w:name w:val="List Table 5 Dark - Accent 31"/>
    <w:uiPriority w:val="99"/>
    <w:qFormat/>
    <w:tblPr>
      <w:tblBorders>
        <w:top w:val="single" w:color="48D45B" w:sz="32" w:space="0"/>
        <w:left w:val="single" w:color="48D45B" w:sz="32" w:space="0"/>
        <w:bottom w:val="single" w:color="48D45B" w:sz="32" w:space="0"/>
        <w:right w:val="single" w:color="48D45B" w:sz="32" w:space="0"/>
      </w:tblBorders>
      <w:tblCellMar>
        <w:left w:w="0" w:type="dxa"/>
        <w:top w:w="0" w:type="dxa"/>
        <w:right w:w="0" w:type="dxa"/>
        <w:bottom w:w="0" w:type="dxa"/>
      </w:tblCellMar>
    </w:tblPr>
    <w:tblStylePr w:type="band1Horz">
      <w:tcPr>
        <w:shd w:val="clear" w:color="48d45b" w:fill="48d45b"/>
        <w:tcBorders>
          <w:top w:val="single" w:color="FFFFFF" w:sz="4" w:space="0"/>
          <w:bottom w:val="single" w:color="FFFFFF" w:sz="4" w:space="0"/>
        </w:tcBorders>
      </w:tcPr>
    </w:tblStylePr>
    <w:tblStylePr w:type="band1Vert">
      <w:tcPr>
        <w:shd w:val="clear" w:color="48d45b" w:fill="48d45b"/>
        <w:tcBorders>
          <w:left w:val="single" w:color="FFFFFF" w:sz="4" w:space="0"/>
          <w:right w:val="single" w:color="FFFFFF" w:sz="4" w:space="0"/>
        </w:tcBorders>
      </w:tcPr>
    </w:tblStylePr>
    <w:tblStylePr w:type="band2Horz">
      <w:tcPr>
        <w:shd w:val="clear" w:color="48d45b" w:fill="48d45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D45B" w:sz="32" w:space="0"/>
          <w:right w:val="single" w:color="FFFFFF" w:sz="4" w:space="0"/>
        </w:tcBorders>
      </w:tcPr>
    </w:tblStylePr>
    <w:tblStylePr w:type="firstRow">
      <w:rPr>
        <w:rFonts w:ascii="Arial" w:hAnsi="Arial"/>
        <w:b/>
        <w:color w:val="ffffff"/>
        <w:sz w:val="22"/>
      </w:rPr>
      <w:tcPr>
        <w:shd w:val="clear" w:color="48d45b" w:fill="48d45b"/>
        <w:tcBorders>
          <w:top w:val="single" w:color="48D45B" w:sz="32" w:space="0"/>
          <w:bottom w:val="single" w:color="FFFFFF" w:sz="12" w:space="0"/>
        </w:tcBorders>
      </w:tcPr>
    </w:tblStylePr>
    <w:tblStylePr w:type="lastCol">
      <w:tcPr>
        <w:tcBorders>
          <w:left w:val="single" w:color="FFFFFF" w:sz="4" w:space="0"/>
          <w:right w:val="single" w:color="48D45B" w:sz="32" w:space="0"/>
        </w:tcBorders>
      </w:tcPr>
    </w:tblStylePr>
    <w:tblStylePr w:type="lastRow">
      <w:rPr>
        <w:rFonts w:ascii="Arial" w:hAnsi="Arial"/>
        <w:b/>
        <w:color w:val="ffffff"/>
        <w:sz w:val="22"/>
      </w:rPr>
    </w:tblStylePr>
  </w:style>
  <w:style w:type="table" w:styleId="1524" w:customStyle="1">
    <w:name w:val="List Table 5 Dark - Accent 41"/>
    <w:uiPriority w:val="99"/>
    <w:qFormat/>
    <w:tblPr>
      <w:tblBorders>
        <w:top w:val="single" w:color="5FCAF3" w:sz="32" w:space="0"/>
        <w:left w:val="single" w:color="5FCAF3" w:sz="32" w:space="0"/>
        <w:bottom w:val="single" w:color="5FCAF3" w:sz="32" w:space="0"/>
        <w:right w:val="single" w:color="5FCAF3" w:sz="32" w:space="0"/>
      </w:tblBorders>
      <w:tblCellMar>
        <w:left w:w="0" w:type="dxa"/>
        <w:top w:w="0" w:type="dxa"/>
        <w:right w:w="0" w:type="dxa"/>
        <w:bottom w:w="0" w:type="dxa"/>
      </w:tblCellMar>
    </w:tblPr>
    <w:tblStylePr w:type="band1Horz">
      <w:tcPr>
        <w:shd w:val="clear" w:color="5fcaf3" w:fill="5fcaf3"/>
        <w:tcBorders>
          <w:top w:val="single" w:color="FFFFFF" w:sz="4" w:space="0"/>
          <w:bottom w:val="single" w:color="FFFFFF" w:sz="4" w:space="0"/>
        </w:tcBorders>
      </w:tcPr>
    </w:tblStylePr>
    <w:tblStylePr w:type="band1Vert">
      <w:tcPr>
        <w:shd w:val="clear" w:color="5fcaf3" w:fill="5fcaf3"/>
        <w:tcBorders>
          <w:left w:val="single" w:color="FFFFFF" w:sz="4" w:space="0"/>
          <w:right w:val="single" w:color="FFFFFF" w:sz="4" w:space="0"/>
        </w:tcBorders>
      </w:tcPr>
    </w:tblStylePr>
    <w:tblStylePr w:type="band2Horz">
      <w:tcPr>
        <w:shd w:val="clear" w:color="5fcaf3" w:fill="5fcaf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FCAF3" w:sz="32" w:space="0"/>
          <w:right w:val="single" w:color="FFFFFF" w:sz="4" w:space="0"/>
        </w:tcBorders>
      </w:tcPr>
    </w:tblStylePr>
    <w:tblStylePr w:type="firstRow">
      <w:rPr>
        <w:rFonts w:ascii="Arial" w:hAnsi="Arial"/>
        <w:b/>
        <w:color w:val="ffffff"/>
        <w:sz w:val="22"/>
      </w:rPr>
      <w:tcPr>
        <w:shd w:val="clear" w:color="5fcaf3" w:fill="5fcaf3"/>
        <w:tcBorders>
          <w:top w:val="single" w:color="5FCAF3" w:sz="32" w:space="0"/>
          <w:bottom w:val="single" w:color="FFFFFF" w:sz="12" w:space="0"/>
        </w:tcBorders>
      </w:tcPr>
    </w:tblStylePr>
    <w:tblStylePr w:type="lastCol">
      <w:tcPr>
        <w:tcBorders>
          <w:left w:val="single" w:color="FFFFFF" w:sz="4" w:space="0"/>
          <w:right w:val="single" w:color="5FCAF3" w:sz="32" w:space="0"/>
        </w:tcBorders>
      </w:tcPr>
    </w:tblStylePr>
    <w:tblStylePr w:type="lastRow">
      <w:rPr>
        <w:rFonts w:ascii="Arial" w:hAnsi="Arial"/>
        <w:b/>
        <w:color w:val="ffffff"/>
        <w:sz w:val="22"/>
      </w:rPr>
    </w:tblStylePr>
  </w:style>
  <w:style w:type="table" w:styleId="1525" w:customStyle="1">
    <w:name w:val="List Table 5 Dark - Accent 51"/>
    <w:uiPriority w:val="99"/>
    <w:qFormat/>
    <w:tblPr>
      <w:tblBorders>
        <w:top w:val="single" w:color="D76CCB" w:sz="32" w:space="0"/>
        <w:left w:val="single" w:color="D76CCB" w:sz="32" w:space="0"/>
        <w:bottom w:val="single" w:color="D76CCB" w:sz="32" w:space="0"/>
        <w:right w:val="single" w:color="D76CCB" w:sz="32" w:space="0"/>
      </w:tblBorders>
      <w:tblCellMar>
        <w:left w:w="0" w:type="dxa"/>
        <w:top w:w="0" w:type="dxa"/>
        <w:right w:w="0" w:type="dxa"/>
        <w:bottom w:w="0" w:type="dxa"/>
      </w:tblCellMar>
    </w:tblPr>
    <w:tblStylePr w:type="band1Horz">
      <w:tcPr>
        <w:shd w:val="clear" w:color="d76ccb" w:fill="d76ccb"/>
        <w:tcBorders>
          <w:top w:val="single" w:color="FFFFFF" w:sz="4" w:space="0"/>
          <w:bottom w:val="single" w:color="FFFFFF" w:sz="4" w:space="0"/>
        </w:tcBorders>
      </w:tcPr>
    </w:tblStylePr>
    <w:tblStylePr w:type="band1Vert">
      <w:tcPr>
        <w:shd w:val="clear" w:color="d76ccb" w:fill="d76ccb"/>
        <w:tcBorders>
          <w:left w:val="single" w:color="FFFFFF" w:sz="4" w:space="0"/>
          <w:right w:val="single" w:color="FFFFFF" w:sz="4" w:space="0"/>
        </w:tcBorders>
      </w:tcPr>
    </w:tblStylePr>
    <w:tblStylePr w:type="band2Horz">
      <w:tcPr>
        <w:shd w:val="clear" w:color="d76ccb" w:fill="d76c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76CCB" w:sz="32" w:space="0"/>
          <w:right w:val="single" w:color="FFFFFF" w:sz="4" w:space="0"/>
        </w:tcBorders>
      </w:tcPr>
    </w:tblStylePr>
    <w:tblStylePr w:type="firstRow">
      <w:rPr>
        <w:rFonts w:ascii="Arial" w:hAnsi="Arial"/>
        <w:b/>
        <w:color w:val="ffffff"/>
        <w:sz w:val="22"/>
      </w:rPr>
      <w:tcPr>
        <w:shd w:val="clear" w:color="d76ccb" w:fill="d76ccb"/>
        <w:tcBorders>
          <w:top w:val="single" w:color="D76CCB" w:sz="32" w:space="0"/>
          <w:bottom w:val="single" w:color="FFFFFF" w:sz="12" w:space="0"/>
        </w:tcBorders>
      </w:tcPr>
    </w:tblStylePr>
    <w:tblStylePr w:type="lastCol">
      <w:tcPr>
        <w:tcBorders>
          <w:left w:val="single" w:color="FFFFFF" w:sz="4" w:space="0"/>
          <w:right w:val="single" w:color="D76CCB" w:sz="32" w:space="0"/>
        </w:tcBorders>
      </w:tcPr>
    </w:tblStylePr>
    <w:tblStylePr w:type="lastRow">
      <w:rPr>
        <w:rFonts w:ascii="Arial" w:hAnsi="Arial"/>
        <w:b/>
        <w:color w:val="ffffff"/>
        <w:sz w:val="22"/>
      </w:rPr>
    </w:tblStylePr>
  </w:style>
  <w:style w:type="table" w:styleId="1526" w:customStyle="1">
    <w:name w:val="List Table 5 Dark - Accent 61"/>
    <w:uiPriority w:val="99"/>
    <w:qFormat/>
    <w:tblPr>
      <w:tblBorders>
        <w:top w:val="single" w:color="8ED873" w:sz="32" w:space="0"/>
        <w:left w:val="single" w:color="8ED873" w:sz="32" w:space="0"/>
        <w:bottom w:val="single" w:color="8ED873" w:sz="32" w:space="0"/>
        <w:right w:val="single" w:color="8ED873" w:sz="32" w:space="0"/>
      </w:tblBorders>
      <w:tblCellMar>
        <w:left w:w="0" w:type="dxa"/>
        <w:top w:w="0" w:type="dxa"/>
        <w:right w:w="0" w:type="dxa"/>
        <w:bottom w:w="0" w:type="dxa"/>
      </w:tblCellMar>
    </w:tblPr>
    <w:tblStylePr w:type="band1Horz">
      <w:tcPr>
        <w:shd w:val="clear" w:color="8ed873" w:fill="8ed873"/>
        <w:tcBorders>
          <w:top w:val="single" w:color="FFFFFF" w:sz="4" w:space="0"/>
          <w:bottom w:val="single" w:color="FFFFFF" w:sz="4" w:space="0"/>
        </w:tcBorders>
      </w:tcPr>
    </w:tblStylePr>
    <w:tblStylePr w:type="band1Vert">
      <w:tcPr>
        <w:shd w:val="clear" w:color="8ed873" w:fill="8ed873"/>
        <w:tcBorders>
          <w:left w:val="single" w:color="FFFFFF" w:sz="4" w:space="0"/>
          <w:right w:val="single" w:color="FFFFFF" w:sz="4" w:space="0"/>
        </w:tcBorders>
      </w:tcPr>
    </w:tblStylePr>
    <w:tblStylePr w:type="band2Horz">
      <w:tcPr>
        <w:shd w:val="clear" w:color="8ed873" w:fill="8ed87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D873" w:sz="32" w:space="0"/>
          <w:right w:val="single" w:color="FFFFFF" w:sz="4" w:space="0"/>
        </w:tcBorders>
      </w:tcPr>
    </w:tblStylePr>
    <w:tblStylePr w:type="firstRow">
      <w:rPr>
        <w:rFonts w:ascii="Arial" w:hAnsi="Arial"/>
        <w:b/>
        <w:color w:val="ffffff"/>
        <w:sz w:val="22"/>
      </w:rPr>
      <w:tcPr>
        <w:shd w:val="clear" w:color="8ed873" w:fill="8ed873"/>
        <w:tcBorders>
          <w:top w:val="single" w:color="8ED873" w:sz="32" w:space="0"/>
          <w:bottom w:val="single" w:color="FFFFFF" w:sz="12" w:space="0"/>
        </w:tcBorders>
      </w:tcPr>
    </w:tblStylePr>
    <w:tblStylePr w:type="lastCol">
      <w:tcPr>
        <w:tcBorders>
          <w:left w:val="single" w:color="FFFFFF" w:sz="4" w:space="0"/>
          <w:right w:val="single" w:color="8ED873" w:sz="32" w:space="0"/>
        </w:tcBorders>
      </w:tcPr>
    </w:tblStylePr>
    <w:tblStylePr w:type="lastRow">
      <w:rPr>
        <w:rFonts w:ascii="Arial" w:hAnsi="Arial"/>
        <w:b/>
        <w:color w:val="ffffff"/>
        <w:sz w:val="22"/>
      </w:rPr>
    </w:tblStylePr>
  </w:style>
  <w:style w:type="table" w:styleId="1527"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528" w:customStyle="1">
    <w:name w:val="List Table 6 Colorful - Accent 11"/>
    <w:uiPriority w:val="99"/>
    <w:qFormat/>
    <w:tblPr>
      <w:tblBorders>
        <w:top w:val="single" w:color="156082" w:sz="4" w:space="0"/>
        <w:bottom w:val="single" w:color="156082" w:sz="4" w:space="0"/>
      </w:tblBorders>
      <w:tblCellMar>
        <w:left w:w="0" w:type="dxa"/>
        <w:top w:w="0" w:type="dxa"/>
        <w:right w:w="0" w:type="dxa"/>
        <w:bottom w:w="0" w:type="dxa"/>
      </w:tblCellMar>
    </w:tblPr>
    <w:tblStylePr w:type="band1Horz">
      <w:rPr>
        <w:rFonts w:ascii="Arial" w:hAnsi="Arial"/>
        <w:color w:val="0c374b"/>
        <w:sz w:val="22"/>
      </w:rPr>
      <w:tcPr>
        <w:shd w:val="clear" w:color="b1def2" w:fill="b1def2"/>
      </w:tcPr>
    </w:tblStylePr>
    <w:tblStylePr w:type="band1Vert">
      <w:tcPr>
        <w:shd w:val="clear" w:color="b1def2" w:fill="b1def2"/>
      </w:tcPr>
    </w:tblStylePr>
    <w:tblStylePr w:type="band2Horz">
      <w:rPr>
        <w:rFonts w:ascii="Arial" w:hAnsi="Arial"/>
        <w:color w:val="0c374b"/>
        <w:sz w:val="22"/>
      </w:rPr>
    </w:tblStylePr>
    <w:tblStylePr w:type="firstCol">
      <w:rPr>
        <w:b/>
        <w:color w:val="0c374b"/>
      </w:rPr>
    </w:tblStylePr>
    <w:tblStylePr w:type="firstRow">
      <w:rPr>
        <w:b/>
        <w:color w:val="0c374b"/>
      </w:rPr>
      <w:tcPr>
        <w:tcBorders>
          <w:bottom w:val="single" w:color="156082" w:sz="4" w:space="0"/>
        </w:tcBorders>
      </w:tcPr>
    </w:tblStylePr>
    <w:tblStylePr w:type="lastCol">
      <w:rPr>
        <w:b/>
        <w:color w:val="0c374b"/>
      </w:rPr>
    </w:tblStylePr>
    <w:tblStylePr w:type="lastRow">
      <w:rPr>
        <w:b/>
        <w:color w:val="0c374b"/>
      </w:rPr>
      <w:tcPr>
        <w:tcBorders>
          <w:top w:val="single" w:color="156082" w:sz="4" w:space="0"/>
        </w:tcBorders>
      </w:tcPr>
    </w:tblStylePr>
  </w:style>
  <w:style w:type="table" w:styleId="1529" w:customStyle="1">
    <w:name w:val="List Table 6 Colorful - Accent 21"/>
    <w:uiPriority w:val="99"/>
    <w:qFormat/>
    <w:tblPr>
      <w:tblBorders>
        <w:top w:val="single" w:color="F2AA85" w:sz="4" w:space="0"/>
        <w:bottom w:val="single" w:color="F2AA85" w:sz="4" w:space="0"/>
      </w:tblBorders>
      <w:tblCellMar>
        <w:left w:w="0" w:type="dxa"/>
        <w:top w:w="0" w:type="dxa"/>
        <w:right w:w="0" w:type="dxa"/>
        <w:bottom w:w="0" w:type="dxa"/>
      </w:tblCellMar>
    </w:tblPr>
    <w:tblStylePr w:type="band1Horz">
      <w:rPr>
        <w:rFonts w:ascii="Arial" w:hAnsi="Arial"/>
        <w:color w:val="f2ab86"/>
        <w:sz w:val="22"/>
      </w:rPr>
      <w:tcPr>
        <w:shd w:val="clear" w:color="f9dbcb" w:fill="f9dbcb"/>
      </w:tcPr>
    </w:tblStylePr>
    <w:tblStylePr w:type="band1Vert">
      <w:tcPr>
        <w:shd w:val="clear" w:color="f9dbcb" w:fill="f9dbcb"/>
      </w:tcPr>
    </w:tblStylePr>
    <w:tblStylePr w:type="band2Horz">
      <w:rPr>
        <w:rFonts w:ascii="Arial" w:hAnsi="Arial"/>
        <w:color w:val="f2ab86"/>
        <w:sz w:val="22"/>
      </w:rPr>
    </w:tblStylePr>
    <w:tblStylePr w:type="firstCol">
      <w:rPr>
        <w:b/>
        <w:color w:val="f2ab86"/>
      </w:rPr>
    </w:tblStylePr>
    <w:tblStylePr w:type="firstRow">
      <w:rPr>
        <w:b/>
        <w:color w:val="f2ab86"/>
      </w:rPr>
      <w:tcPr>
        <w:tcBorders>
          <w:bottom w:val="single" w:color="F2AA85" w:sz="4" w:space="0"/>
        </w:tcBorders>
      </w:tcPr>
    </w:tblStylePr>
    <w:tblStylePr w:type="lastCol">
      <w:rPr>
        <w:b/>
        <w:color w:val="f2ab86"/>
      </w:rPr>
    </w:tblStylePr>
    <w:tblStylePr w:type="lastRow">
      <w:rPr>
        <w:b/>
        <w:color w:val="f2ab86"/>
      </w:rPr>
      <w:tcPr>
        <w:tcBorders>
          <w:top w:val="single" w:color="F2AA85" w:sz="4" w:space="0"/>
        </w:tcBorders>
      </w:tcPr>
    </w:tblStylePr>
  </w:style>
  <w:style w:type="table" w:styleId="1530" w:customStyle="1">
    <w:name w:val="List Table 6 Colorful - Accent 31"/>
    <w:uiPriority w:val="99"/>
    <w:qFormat/>
    <w:tblPr>
      <w:tblBorders>
        <w:top w:val="single" w:color="48D45B" w:sz="4" w:space="0"/>
        <w:bottom w:val="single" w:color="48D45B" w:sz="4" w:space="0"/>
      </w:tblBorders>
      <w:tblCellMar>
        <w:left w:w="0" w:type="dxa"/>
        <w:top w:w="0" w:type="dxa"/>
        <w:right w:w="0" w:type="dxa"/>
        <w:bottom w:w="0" w:type="dxa"/>
      </w:tblCellMar>
    </w:tblPr>
    <w:tblStylePr w:type="band1Horz">
      <w:rPr>
        <w:rFonts w:ascii="Arial" w:hAnsi="Arial"/>
        <w:color w:val="47d459"/>
        <w:sz w:val="22"/>
      </w:rPr>
      <w:tcPr>
        <w:shd w:val="clear" w:color="b2edb9" w:fill="b2edb9"/>
      </w:tcPr>
    </w:tblStylePr>
    <w:tblStylePr w:type="band1Vert">
      <w:tcPr>
        <w:shd w:val="clear" w:color="b2edb9" w:fill="b2edb9"/>
      </w:tcPr>
    </w:tblStylePr>
    <w:tblStylePr w:type="band2Horz">
      <w:rPr>
        <w:rFonts w:ascii="Arial" w:hAnsi="Arial"/>
        <w:color w:val="47d459"/>
        <w:sz w:val="22"/>
      </w:rPr>
    </w:tblStylePr>
    <w:tblStylePr w:type="firstCol">
      <w:rPr>
        <w:b/>
        <w:color w:val="47d459"/>
      </w:rPr>
    </w:tblStylePr>
    <w:tblStylePr w:type="firstRow">
      <w:rPr>
        <w:b/>
        <w:color w:val="47d459"/>
      </w:rPr>
      <w:tcPr>
        <w:tcBorders>
          <w:bottom w:val="single" w:color="48D45B" w:sz="4" w:space="0"/>
        </w:tcBorders>
      </w:tcPr>
    </w:tblStylePr>
    <w:tblStylePr w:type="lastCol">
      <w:rPr>
        <w:b/>
        <w:color w:val="47d459"/>
      </w:rPr>
    </w:tblStylePr>
    <w:tblStylePr w:type="lastRow">
      <w:rPr>
        <w:b/>
        <w:color w:val="47d459"/>
      </w:rPr>
      <w:tcPr>
        <w:tcBorders>
          <w:top w:val="single" w:color="48D45B" w:sz="4" w:space="0"/>
        </w:tcBorders>
      </w:tcPr>
    </w:tblStylePr>
  </w:style>
  <w:style w:type="table" w:styleId="1531" w:customStyle="1">
    <w:name w:val="List Table 6 Colorful - Accent 41"/>
    <w:uiPriority w:val="99"/>
    <w:qFormat/>
    <w:tblPr>
      <w:tblBorders>
        <w:top w:val="single" w:color="5FCAF3" w:sz="4" w:space="0"/>
        <w:bottom w:val="single" w:color="5FCAF3" w:sz="4" w:space="0"/>
      </w:tblBorders>
      <w:tblCellMar>
        <w:left w:w="0" w:type="dxa"/>
        <w:top w:w="0" w:type="dxa"/>
        <w:right w:w="0" w:type="dxa"/>
        <w:bottom w:w="0" w:type="dxa"/>
      </w:tblCellMar>
    </w:tblPr>
    <w:tblStylePr w:type="band1Horz">
      <w:rPr>
        <w:rFonts w:ascii="Arial" w:hAnsi="Arial"/>
        <w:color w:val="60caf3"/>
        <w:sz w:val="22"/>
      </w:rPr>
      <w:tcPr>
        <w:shd w:val="clear" w:color="bce9fa" w:fill="bce9fa"/>
      </w:tcPr>
    </w:tblStylePr>
    <w:tblStylePr w:type="band1Vert">
      <w:tcPr>
        <w:shd w:val="clear" w:color="bce9fa" w:fill="bce9fa"/>
      </w:tcPr>
    </w:tblStylePr>
    <w:tblStylePr w:type="band2Horz">
      <w:rPr>
        <w:rFonts w:ascii="Arial" w:hAnsi="Arial"/>
        <w:color w:val="60caf3"/>
        <w:sz w:val="22"/>
      </w:rPr>
    </w:tblStylePr>
    <w:tblStylePr w:type="firstCol">
      <w:rPr>
        <w:b/>
        <w:color w:val="60caf3"/>
      </w:rPr>
    </w:tblStylePr>
    <w:tblStylePr w:type="firstRow">
      <w:rPr>
        <w:b/>
        <w:color w:val="60caf3"/>
      </w:rPr>
      <w:tcPr>
        <w:tcBorders>
          <w:bottom w:val="single" w:color="5FCAF3" w:sz="4" w:space="0"/>
        </w:tcBorders>
      </w:tcPr>
    </w:tblStylePr>
    <w:tblStylePr w:type="lastCol">
      <w:rPr>
        <w:b/>
        <w:color w:val="60caf3"/>
      </w:rPr>
    </w:tblStylePr>
    <w:tblStylePr w:type="lastRow">
      <w:rPr>
        <w:b/>
        <w:color w:val="60caf3"/>
      </w:rPr>
      <w:tcPr>
        <w:tcBorders>
          <w:top w:val="single" w:color="5FCAF3" w:sz="4" w:space="0"/>
        </w:tcBorders>
      </w:tcPr>
    </w:tblStylePr>
  </w:style>
  <w:style w:type="table" w:styleId="1532" w:customStyle="1">
    <w:name w:val="List Table 6 Colorful - Accent 51"/>
    <w:uiPriority w:val="99"/>
    <w:qFormat/>
    <w:tblPr>
      <w:tblBorders>
        <w:top w:val="single" w:color="D76CCB" w:sz="4" w:space="0"/>
        <w:bottom w:val="single" w:color="D76CCB" w:sz="4" w:space="0"/>
      </w:tblBorders>
      <w:tblCellMar>
        <w:left w:w="0" w:type="dxa"/>
        <w:top w:w="0" w:type="dxa"/>
        <w:right w:w="0" w:type="dxa"/>
        <w:bottom w:w="0" w:type="dxa"/>
      </w:tblCellMar>
    </w:tblPr>
    <w:tblStylePr w:type="band1Horz">
      <w:rPr>
        <w:rFonts w:ascii="Arial" w:hAnsi="Arial"/>
        <w:color w:val="d86dcb"/>
        <w:sz w:val="22"/>
      </w:rPr>
      <w:tcPr>
        <w:shd w:val="clear" w:color="eec2e9" w:fill="eec2e9"/>
      </w:tcPr>
    </w:tblStylePr>
    <w:tblStylePr w:type="band1Vert">
      <w:tcPr>
        <w:shd w:val="clear" w:color="eec2e9" w:fill="eec2e9"/>
      </w:tcPr>
    </w:tblStylePr>
    <w:tblStylePr w:type="band2Horz">
      <w:rPr>
        <w:rFonts w:ascii="Arial" w:hAnsi="Arial"/>
        <w:color w:val="d86dcb"/>
        <w:sz w:val="22"/>
      </w:rPr>
    </w:tblStylePr>
    <w:tblStylePr w:type="firstCol">
      <w:rPr>
        <w:b/>
        <w:color w:val="d86dcb"/>
      </w:rPr>
    </w:tblStylePr>
    <w:tblStylePr w:type="firstRow">
      <w:rPr>
        <w:b/>
        <w:color w:val="d86dcb"/>
      </w:rPr>
      <w:tcPr>
        <w:tcBorders>
          <w:bottom w:val="single" w:color="D76CCB" w:sz="4" w:space="0"/>
        </w:tcBorders>
      </w:tcPr>
    </w:tblStylePr>
    <w:tblStylePr w:type="lastCol">
      <w:rPr>
        <w:b/>
        <w:color w:val="d86dcb"/>
      </w:rPr>
    </w:tblStylePr>
    <w:tblStylePr w:type="lastRow">
      <w:rPr>
        <w:b/>
        <w:color w:val="d86dcb"/>
      </w:rPr>
      <w:tcPr>
        <w:tcBorders>
          <w:top w:val="single" w:color="D76CCB" w:sz="4" w:space="0"/>
        </w:tcBorders>
      </w:tcPr>
    </w:tblStylePr>
  </w:style>
  <w:style w:type="table" w:styleId="1533" w:customStyle="1">
    <w:name w:val="List Table 6 Colorful - Accent 61"/>
    <w:uiPriority w:val="99"/>
    <w:qFormat/>
    <w:tblPr>
      <w:tblBorders>
        <w:top w:val="single" w:color="8ED873" w:sz="4" w:space="0"/>
        <w:bottom w:val="single" w:color="8ED873" w:sz="4" w:space="0"/>
      </w:tblBorders>
      <w:tblCellMar>
        <w:left w:w="0" w:type="dxa"/>
        <w:top w:w="0" w:type="dxa"/>
        <w:right w:w="0" w:type="dxa"/>
        <w:bottom w:w="0" w:type="dxa"/>
      </w:tblCellMar>
    </w:tblPr>
    <w:tblStylePr w:type="band1Horz">
      <w:rPr>
        <w:rFonts w:ascii="Arial" w:hAnsi="Arial"/>
        <w:color w:val="8dd873"/>
        <w:sz w:val="22"/>
      </w:rPr>
      <w:tcPr>
        <w:shd w:val="clear" w:color="cfefc4" w:fill="cfefc4"/>
      </w:tcPr>
    </w:tblStylePr>
    <w:tblStylePr w:type="band1Vert">
      <w:tcPr>
        <w:shd w:val="clear" w:color="cfefc4" w:fill="cfefc4"/>
      </w:tcPr>
    </w:tblStylePr>
    <w:tblStylePr w:type="band2Horz">
      <w:rPr>
        <w:rFonts w:ascii="Arial" w:hAnsi="Arial"/>
        <w:color w:val="8dd873"/>
        <w:sz w:val="22"/>
      </w:rPr>
    </w:tblStylePr>
    <w:tblStylePr w:type="firstCol">
      <w:rPr>
        <w:b/>
        <w:color w:val="8dd873"/>
      </w:rPr>
    </w:tblStylePr>
    <w:tblStylePr w:type="firstRow">
      <w:rPr>
        <w:b/>
        <w:color w:val="8dd873"/>
      </w:rPr>
      <w:tcPr>
        <w:tcBorders>
          <w:bottom w:val="single" w:color="8ED873" w:sz="4" w:space="0"/>
        </w:tcBorders>
      </w:tcPr>
    </w:tblStylePr>
    <w:tblStylePr w:type="lastCol">
      <w:rPr>
        <w:b/>
        <w:color w:val="8dd873"/>
      </w:rPr>
    </w:tblStylePr>
    <w:tblStylePr w:type="lastRow">
      <w:rPr>
        <w:b/>
        <w:color w:val="8dd873"/>
      </w:rPr>
      <w:tcPr>
        <w:tcBorders>
          <w:top w:val="single" w:color="8ED873" w:sz="4" w:space="0"/>
        </w:tcBorders>
      </w:tcPr>
    </w:tblStylePr>
  </w:style>
  <w:style w:type="table" w:styleId="1534" w:customStyle="1">
    <w:name w:val="清单表 7 彩色1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535" w:customStyle="1">
    <w:name w:val="List Table 7 Colorful - Accent 11"/>
    <w:uiPriority w:val="99"/>
    <w:qFormat/>
    <w:tblPr>
      <w:tblBorders>
        <w:right w:val="single" w:color="156082" w:sz="4" w:space="0"/>
      </w:tblBorders>
      <w:tblCellMar>
        <w:left w:w="0" w:type="dxa"/>
        <w:top w:w="0" w:type="dxa"/>
        <w:right w:w="0" w:type="dxa"/>
        <w:bottom w:w="0" w:type="dxa"/>
      </w:tblCellMar>
    </w:tblPr>
    <w:tblStylePr w:type="band1Horz">
      <w:rPr>
        <w:rFonts w:ascii="Arial" w:hAnsi="Arial"/>
        <w:color w:val="0c374b"/>
        <w:sz w:val="22"/>
      </w:rPr>
      <w:tcPr>
        <w:shd w:val="clear" w:color="b1def2" w:fill="b1def2"/>
      </w:tcPr>
    </w:tblStylePr>
    <w:tblStylePr w:type="band1Vert">
      <w:tcPr>
        <w:shd w:val="clear" w:color="b1def2" w:fill="b1def2"/>
      </w:tcPr>
    </w:tblStylePr>
    <w:tblStylePr w:type="band2Horz">
      <w:rPr>
        <w:rFonts w:ascii="Arial" w:hAnsi="Arial"/>
        <w:color w:val="0c374b"/>
        <w:sz w:val="22"/>
      </w:rPr>
    </w:tblStylePr>
    <w:tblStylePr w:type="firstCol">
      <w:rPr>
        <w:rFonts w:ascii="Arial" w:hAnsi="Arial"/>
        <w:i/>
        <w:color w:val="0c374b"/>
        <w:sz w:val="22"/>
      </w:rPr>
      <w:pPr>
        <w:jc w:val="right"/>
      </w:pPr>
      <w:tcPr>
        <w:shd w:val="clear" w:color="ffffff" w:fill="auto"/>
        <w:tcBorders>
          <w:top w:val="none" w:color="000000" w:sz="4" w:space="0"/>
          <w:left w:val="none" w:color="000000" w:sz="4" w:space="0"/>
          <w:bottom w:val="none" w:color="000000" w:sz="4" w:space="0"/>
          <w:right w:val="single" w:color="156082" w:sz="4" w:space="0"/>
        </w:tcBorders>
      </w:tcPr>
    </w:tblStylePr>
    <w:tblStylePr w:type="firstRow">
      <w:rPr>
        <w:rFonts w:ascii="Arial" w:hAnsi="Arial"/>
        <w:i/>
        <w:color w:val="0c374b"/>
        <w:sz w:val="22"/>
      </w:rPr>
      <w:tcPr>
        <w:shd w:val="clear" w:color="ffffff" w:fill="ffffff"/>
        <w:tcBorders>
          <w:top w:val="none" w:color="000000" w:sz="4" w:space="0"/>
          <w:left w:val="none" w:color="000000" w:sz="4" w:space="0"/>
          <w:bottom w:val="single" w:color="156082" w:sz="4" w:space="0"/>
          <w:right w:val="none" w:color="000000" w:sz="4" w:space="0"/>
        </w:tcBorders>
      </w:tcPr>
    </w:tblStylePr>
    <w:tblStylePr w:type="lastCol">
      <w:rPr>
        <w:rFonts w:ascii="Arial" w:hAnsi="Arial"/>
        <w:i/>
        <w:color w:val="0c374b"/>
        <w:sz w:val="22"/>
      </w:rPr>
      <w:tcPr>
        <w:shd w:val="clear" w:color="ffffff" w:fill="auto"/>
        <w:tcBorders>
          <w:top w:val="none" w:color="000000" w:sz="4" w:space="0"/>
          <w:left w:val="single" w:color="156082" w:sz="4" w:space="0"/>
          <w:bottom w:val="none" w:color="000000" w:sz="4" w:space="0"/>
          <w:right w:val="none" w:color="000000" w:sz="4" w:space="0"/>
        </w:tcBorders>
      </w:tcPr>
    </w:tblStylePr>
    <w:tblStylePr w:type="lastRow">
      <w:rPr>
        <w:rFonts w:ascii="Arial" w:hAnsi="Arial"/>
        <w:i/>
        <w:color w:val="0c374b"/>
        <w:sz w:val="22"/>
      </w:rPr>
      <w:tcPr>
        <w:shd w:val="clear" w:color="ffffff" w:fill="ffffff"/>
        <w:tcBorders>
          <w:top w:val="single" w:color="156082" w:sz="4" w:space="0"/>
          <w:left w:val="none" w:color="000000" w:sz="4" w:space="0"/>
          <w:bottom w:val="none" w:color="000000" w:sz="4" w:space="0"/>
          <w:right w:val="none" w:color="000000" w:sz="4" w:space="0"/>
        </w:tcBorders>
      </w:tcPr>
    </w:tblStylePr>
  </w:style>
  <w:style w:type="table" w:styleId="1536" w:customStyle="1">
    <w:name w:val="List Table 7 Colorful - Accent 21"/>
    <w:uiPriority w:val="99"/>
    <w:qFormat/>
    <w:tblPr>
      <w:tblBorders>
        <w:right w:val="single" w:color="F2AA85" w:sz="4" w:space="0"/>
      </w:tblBorders>
      <w:tblCellMar>
        <w:left w:w="0" w:type="dxa"/>
        <w:top w:w="0" w:type="dxa"/>
        <w:right w:w="0" w:type="dxa"/>
        <w:bottom w:w="0" w:type="dxa"/>
      </w:tblCellMar>
    </w:tblPr>
    <w:tblStylePr w:type="band1Horz">
      <w:rPr>
        <w:rFonts w:ascii="Arial" w:hAnsi="Arial"/>
        <w:color w:val="f2ab86"/>
        <w:sz w:val="22"/>
      </w:rPr>
      <w:tcPr>
        <w:shd w:val="clear" w:color="f9dbcb" w:fill="f9dbcb"/>
      </w:tcPr>
    </w:tblStylePr>
    <w:tblStylePr w:type="band1Vert">
      <w:tcPr>
        <w:shd w:val="clear" w:color="f9dbcb" w:fill="f9dbcb"/>
      </w:tcPr>
    </w:tblStylePr>
    <w:tblStylePr w:type="band2Horz">
      <w:rPr>
        <w:rFonts w:ascii="Arial" w:hAnsi="Arial"/>
        <w:color w:val="f2ab86"/>
        <w:sz w:val="22"/>
      </w:rPr>
    </w:tblStylePr>
    <w:tblStylePr w:type="firstCol">
      <w:rPr>
        <w:rFonts w:ascii="Arial" w:hAnsi="Arial"/>
        <w:i/>
        <w:color w:val="f2ab86"/>
        <w:sz w:val="22"/>
      </w:rPr>
      <w:pPr>
        <w:jc w:val="right"/>
      </w:pPr>
      <w:tcPr>
        <w:shd w:val="clear" w:color="ffffff" w:fill="auto"/>
        <w:tcBorders>
          <w:top w:val="none" w:color="000000" w:sz="4" w:space="0"/>
          <w:left w:val="none" w:color="000000" w:sz="4" w:space="0"/>
          <w:bottom w:val="none" w:color="000000" w:sz="4" w:space="0"/>
          <w:right w:val="single" w:color="F2AA85" w:sz="4" w:space="0"/>
        </w:tcBorders>
      </w:tcPr>
    </w:tblStylePr>
    <w:tblStylePr w:type="firstRow">
      <w:rPr>
        <w:rFonts w:ascii="Arial" w:hAnsi="Arial"/>
        <w:i/>
        <w:color w:val="f2ab86"/>
        <w:sz w:val="22"/>
      </w:rPr>
      <w:tcPr>
        <w:shd w:val="clear" w:color="ffffff" w:fill="ffffff"/>
        <w:tcBorders>
          <w:top w:val="none" w:color="000000" w:sz="4" w:space="0"/>
          <w:left w:val="none" w:color="000000" w:sz="4" w:space="0"/>
          <w:bottom w:val="single" w:color="F2AA85" w:sz="4" w:space="0"/>
          <w:right w:val="none" w:color="000000" w:sz="4" w:space="0"/>
        </w:tcBorders>
      </w:tcPr>
    </w:tblStylePr>
    <w:tblStylePr w:type="lastCol">
      <w:rPr>
        <w:rFonts w:ascii="Arial" w:hAnsi="Arial"/>
        <w:i/>
        <w:color w:val="f2ab86"/>
        <w:sz w:val="22"/>
      </w:rPr>
      <w:tcPr>
        <w:shd w:val="clear" w:color="ffffff" w:fill="auto"/>
        <w:tcBorders>
          <w:top w:val="none" w:color="000000" w:sz="4" w:space="0"/>
          <w:left w:val="single" w:color="F2AA85" w:sz="4" w:space="0"/>
          <w:bottom w:val="none" w:color="000000" w:sz="4" w:space="0"/>
          <w:right w:val="none" w:color="000000" w:sz="4" w:space="0"/>
        </w:tcBorders>
      </w:tcPr>
    </w:tblStylePr>
    <w:tblStylePr w:type="lastRow">
      <w:rPr>
        <w:rFonts w:ascii="Arial" w:hAnsi="Arial"/>
        <w:i/>
        <w:color w:val="f2ab86"/>
        <w:sz w:val="22"/>
      </w:rPr>
      <w:tcPr>
        <w:shd w:val="clear" w:color="ffffff" w:fill="ffffff"/>
        <w:tcBorders>
          <w:top w:val="single" w:color="F2AA85" w:sz="4" w:space="0"/>
          <w:left w:val="none" w:color="000000" w:sz="4" w:space="0"/>
          <w:bottom w:val="none" w:color="000000" w:sz="4" w:space="0"/>
          <w:right w:val="none" w:color="000000" w:sz="4" w:space="0"/>
        </w:tcBorders>
      </w:tcPr>
    </w:tblStylePr>
  </w:style>
  <w:style w:type="table" w:styleId="1537" w:customStyle="1">
    <w:name w:val="List Table 7 Colorful - Accent 31"/>
    <w:uiPriority w:val="99"/>
    <w:qFormat/>
    <w:tblPr>
      <w:tblBorders>
        <w:right w:val="single" w:color="48D45B" w:sz="4" w:space="0"/>
      </w:tblBorders>
      <w:tblCellMar>
        <w:left w:w="0" w:type="dxa"/>
        <w:top w:w="0" w:type="dxa"/>
        <w:right w:w="0" w:type="dxa"/>
        <w:bottom w:w="0" w:type="dxa"/>
      </w:tblCellMar>
    </w:tblPr>
    <w:tblStylePr w:type="band1Horz">
      <w:rPr>
        <w:rFonts w:ascii="Arial" w:hAnsi="Arial"/>
        <w:color w:val="47d459"/>
        <w:sz w:val="22"/>
      </w:rPr>
      <w:tcPr>
        <w:shd w:val="clear" w:color="b2edb9" w:fill="b2edb9"/>
      </w:tcPr>
    </w:tblStylePr>
    <w:tblStylePr w:type="band1Vert">
      <w:tcPr>
        <w:shd w:val="clear" w:color="b2edb9" w:fill="b2edb9"/>
      </w:tcPr>
    </w:tblStylePr>
    <w:tblStylePr w:type="band2Horz">
      <w:rPr>
        <w:rFonts w:ascii="Arial" w:hAnsi="Arial"/>
        <w:color w:val="47d459"/>
        <w:sz w:val="22"/>
      </w:rPr>
    </w:tblStylePr>
    <w:tblStylePr w:type="firstCol">
      <w:rPr>
        <w:rFonts w:ascii="Arial" w:hAnsi="Arial"/>
        <w:i/>
        <w:color w:val="47d459"/>
        <w:sz w:val="22"/>
      </w:rPr>
      <w:pPr>
        <w:jc w:val="right"/>
      </w:pPr>
      <w:tcPr>
        <w:shd w:val="clear" w:color="ffffff" w:fill="auto"/>
        <w:tcBorders>
          <w:top w:val="none" w:color="000000" w:sz="4" w:space="0"/>
          <w:left w:val="none" w:color="000000" w:sz="4" w:space="0"/>
          <w:bottom w:val="none" w:color="000000" w:sz="4" w:space="0"/>
          <w:right w:val="single" w:color="48D45B" w:sz="4" w:space="0"/>
        </w:tcBorders>
      </w:tcPr>
    </w:tblStylePr>
    <w:tblStylePr w:type="firstRow">
      <w:rPr>
        <w:rFonts w:ascii="Arial" w:hAnsi="Arial"/>
        <w:i/>
        <w:color w:val="47d459"/>
        <w:sz w:val="22"/>
      </w:rPr>
      <w:tcPr>
        <w:shd w:val="clear" w:color="ffffff" w:fill="ffffff"/>
        <w:tcBorders>
          <w:top w:val="none" w:color="000000" w:sz="4" w:space="0"/>
          <w:left w:val="none" w:color="000000" w:sz="4" w:space="0"/>
          <w:bottom w:val="single" w:color="48D45B" w:sz="4" w:space="0"/>
          <w:right w:val="none" w:color="000000" w:sz="4" w:space="0"/>
        </w:tcBorders>
      </w:tcPr>
    </w:tblStylePr>
    <w:tblStylePr w:type="lastCol">
      <w:rPr>
        <w:rFonts w:ascii="Arial" w:hAnsi="Arial"/>
        <w:i/>
        <w:color w:val="47d459"/>
        <w:sz w:val="22"/>
      </w:rPr>
      <w:tcPr>
        <w:shd w:val="clear" w:color="ffffff" w:fill="auto"/>
        <w:tcBorders>
          <w:top w:val="none" w:color="000000" w:sz="4" w:space="0"/>
          <w:left w:val="single" w:color="48D45B" w:sz="4" w:space="0"/>
          <w:bottom w:val="none" w:color="000000" w:sz="4" w:space="0"/>
          <w:right w:val="none" w:color="000000" w:sz="4" w:space="0"/>
        </w:tcBorders>
      </w:tcPr>
    </w:tblStylePr>
    <w:tblStylePr w:type="lastRow">
      <w:rPr>
        <w:rFonts w:ascii="Arial" w:hAnsi="Arial"/>
        <w:i/>
        <w:color w:val="47d459"/>
        <w:sz w:val="22"/>
      </w:rPr>
      <w:tcPr>
        <w:shd w:val="clear" w:color="ffffff" w:fill="ffffff"/>
        <w:tcBorders>
          <w:top w:val="single" w:color="48D45B" w:sz="4" w:space="0"/>
          <w:left w:val="none" w:color="000000" w:sz="4" w:space="0"/>
          <w:bottom w:val="none" w:color="000000" w:sz="4" w:space="0"/>
          <w:right w:val="none" w:color="000000" w:sz="4" w:space="0"/>
        </w:tcBorders>
      </w:tcPr>
    </w:tblStylePr>
  </w:style>
  <w:style w:type="table" w:styleId="1538" w:customStyle="1">
    <w:name w:val="List Table 7 Colorful - Accent 41"/>
    <w:uiPriority w:val="99"/>
    <w:qFormat/>
    <w:tblPr>
      <w:tblBorders>
        <w:right w:val="single" w:color="5FCAF3" w:sz="4" w:space="0"/>
      </w:tblBorders>
      <w:tblCellMar>
        <w:left w:w="0" w:type="dxa"/>
        <w:top w:w="0" w:type="dxa"/>
        <w:right w:w="0" w:type="dxa"/>
        <w:bottom w:w="0" w:type="dxa"/>
      </w:tblCellMar>
    </w:tblPr>
    <w:tblStylePr w:type="band1Horz">
      <w:rPr>
        <w:rFonts w:ascii="Arial" w:hAnsi="Arial"/>
        <w:color w:val="60caf3"/>
        <w:sz w:val="22"/>
      </w:rPr>
      <w:tcPr>
        <w:shd w:val="clear" w:color="bce9fa" w:fill="bce9fa"/>
      </w:tcPr>
    </w:tblStylePr>
    <w:tblStylePr w:type="band1Vert">
      <w:tcPr>
        <w:shd w:val="clear" w:color="bce9fa" w:fill="bce9fa"/>
      </w:tcPr>
    </w:tblStylePr>
    <w:tblStylePr w:type="band2Horz">
      <w:rPr>
        <w:rFonts w:ascii="Arial" w:hAnsi="Arial"/>
        <w:color w:val="60caf3"/>
        <w:sz w:val="22"/>
      </w:rPr>
    </w:tblStylePr>
    <w:tblStylePr w:type="firstCol">
      <w:rPr>
        <w:rFonts w:ascii="Arial" w:hAnsi="Arial"/>
        <w:i/>
        <w:color w:val="60caf3"/>
        <w:sz w:val="22"/>
      </w:rPr>
      <w:pPr>
        <w:jc w:val="right"/>
      </w:pPr>
      <w:tcPr>
        <w:shd w:val="clear" w:color="ffffff" w:fill="auto"/>
        <w:tcBorders>
          <w:top w:val="none" w:color="000000" w:sz="4" w:space="0"/>
          <w:left w:val="none" w:color="000000" w:sz="4" w:space="0"/>
          <w:bottom w:val="none" w:color="000000" w:sz="4" w:space="0"/>
          <w:right w:val="single" w:color="5FCAF3" w:sz="4" w:space="0"/>
        </w:tcBorders>
      </w:tcPr>
    </w:tblStylePr>
    <w:tblStylePr w:type="firstRow">
      <w:rPr>
        <w:rFonts w:ascii="Arial" w:hAnsi="Arial"/>
        <w:i/>
        <w:color w:val="60caf3"/>
        <w:sz w:val="22"/>
      </w:rPr>
      <w:tcPr>
        <w:shd w:val="clear" w:color="ffffff" w:fill="ffffff"/>
        <w:tcBorders>
          <w:top w:val="none" w:color="000000" w:sz="4" w:space="0"/>
          <w:left w:val="none" w:color="000000" w:sz="4" w:space="0"/>
          <w:bottom w:val="single" w:color="5FCAF3" w:sz="4" w:space="0"/>
          <w:right w:val="none" w:color="000000" w:sz="4" w:space="0"/>
        </w:tcBorders>
      </w:tcPr>
    </w:tblStylePr>
    <w:tblStylePr w:type="lastCol">
      <w:rPr>
        <w:rFonts w:ascii="Arial" w:hAnsi="Arial"/>
        <w:i/>
        <w:color w:val="60caf3"/>
        <w:sz w:val="22"/>
      </w:rPr>
      <w:tcPr>
        <w:shd w:val="clear" w:color="ffffff" w:fill="auto"/>
        <w:tcBorders>
          <w:top w:val="none" w:color="000000" w:sz="4" w:space="0"/>
          <w:left w:val="single" w:color="5FCAF3" w:sz="4" w:space="0"/>
          <w:bottom w:val="none" w:color="000000" w:sz="4" w:space="0"/>
          <w:right w:val="none" w:color="000000" w:sz="4" w:space="0"/>
        </w:tcBorders>
      </w:tcPr>
    </w:tblStylePr>
    <w:tblStylePr w:type="lastRow">
      <w:rPr>
        <w:rFonts w:ascii="Arial" w:hAnsi="Arial"/>
        <w:i/>
        <w:color w:val="60caf3"/>
        <w:sz w:val="22"/>
      </w:rPr>
      <w:tcPr>
        <w:shd w:val="clear" w:color="ffffff" w:fill="ffffff"/>
        <w:tcBorders>
          <w:top w:val="single" w:color="5FCAF3" w:sz="4" w:space="0"/>
          <w:left w:val="none" w:color="000000" w:sz="4" w:space="0"/>
          <w:bottom w:val="none" w:color="000000" w:sz="4" w:space="0"/>
          <w:right w:val="none" w:color="000000" w:sz="4" w:space="0"/>
        </w:tcBorders>
      </w:tcPr>
    </w:tblStylePr>
  </w:style>
  <w:style w:type="table" w:styleId="1539" w:customStyle="1">
    <w:name w:val="List Table 7 Colorful - Accent 51"/>
    <w:uiPriority w:val="99"/>
    <w:qFormat/>
    <w:tblPr>
      <w:tblBorders>
        <w:right w:val="single" w:color="D76CCB" w:sz="4" w:space="0"/>
      </w:tblBorders>
      <w:tblCellMar>
        <w:left w:w="0" w:type="dxa"/>
        <w:top w:w="0" w:type="dxa"/>
        <w:right w:w="0" w:type="dxa"/>
        <w:bottom w:w="0" w:type="dxa"/>
      </w:tblCellMar>
    </w:tblPr>
    <w:tblStylePr w:type="band1Horz">
      <w:rPr>
        <w:rFonts w:ascii="Arial" w:hAnsi="Arial"/>
        <w:color w:val="d86dcb"/>
        <w:sz w:val="22"/>
      </w:rPr>
      <w:tcPr>
        <w:shd w:val="clear" w:color="eec2e9" w:fill="eec2e9"/>
      </w:tcPr>
    </w:tblStylePr>
    <w:tblStylePr w:type="band1Vert">
      <w:tcPr>
        <w:shd w:val="clear" w:color="eec2e9" w:fill="eec2e9"/>
      </w:tcPr>
    </w:tblStylePr>
    <w:tblStylePr w:type="band2Horz">
      <w:rPr>
        <w:rFonts w:ascii="Arial" w:hAnsi="Arial"/>
        <w:color w:val="d86dcb"/>
        <w:sz w:val="22"/>
      </w:rPr>
    </w:tblStylePr>
    <w:tblStylePr w:type="firstCol">
      <w:rPr>
        <w:rFonts w:ascii="Arial" w:hAnsi="Arial"/>
        <w:i/>
        <w:color w:val="d86dcb"/>
        <w:sz w:val="22"/>
      </w:rPr>
      <w:pPr>
        <w:jc w:val="right"/>
      </w:pPr>
      <w:tcPr>
        <w:shd w:val="clear" w:color="ffffff" w:fill="auto"/>
        <w:tcBorders>
          <w:top w:val="none" w:color="000000" w:sz="4" w:space="0"/>
          <w:left w:val="none" w:color="000000" w:sz="4" w:space="0"/>
          <w:bottom w:val="none" w:color="000000" w:sz="4" w:space="0"/>
          <w:right w:val="single" w:color="D76CCB" w:sz="4" w:space="0"/>
        </w:tcBorders>
      </w:tcPr>
    </w:tblStylePr>
    <w:tblStylePr w:type="firstRow">
      <w:rPr>
        <w:rFonts w:ascii="Arial" w:hAnsi="Arial"/>
        <w:i/>
        <w:color w:val="d86dcb"/>
        <w:sz w:val="22"/>
      </w:rPr>
      <w:tcPr>
        <w:shd w:val="clear" w:color="ffffff" w:fill="ffffff"/>
        <w:tcBorders>
          <w:top w:val="none" w:color="000000" w:sz="4" w:space="0"/>
          <w:left w:val="none" w:color="000000" w:sz="4" w:space="0"/>
          <w:bottom w:val="single" w:color="D76CCB" w:sz="4" w:space="0"/>
          <w:right w:val="none" w:color="000000" w:sz="4" w:space="0"/>
        </w:tcBorders>
      </w:tcPr>
    </w:tblStylePr>
    <w:tblStylePr w:type="lastCol">
      <w:rPr>
        <w:rFonts w:ascii="Arial" w:hAnsi="Arial"/>
        <w:i/>
        <w:color w:val="d86dcb"/>
        <w:sz w:val="22"/>
      </w:rPr>
      <w:tcPr>
        <w:shd w:val="clear" w:color="ffffff" w:fill="auto"/>
        <w:tcBorders>
          <w:top w:val="none" w:color="000000" w:sz="4" w:space="0"/>
          <w:left w:val="single" w:color="D76CCB" w:sz="4" w:space="0"/>
          <w:bottom w:val="none" w:color="000000" w:sz="4" w:space="0"/>
          <w:right w:val="none" w:color="000000" w:sz="4" w:space="0"/>
        </w:tcBorders>
      </w:tcPr>
    </w:tblStylePr>
    <w:tblStylePr w:type="lastRow">
      <w:rPr>
        <w:rFonts w:ascii="Arial" w:hAnsi="Arial"/>
        <w:i/>
        <w:color w:val="d86dcb"/>
        <w:sz w:val="22"/>
      </w:rPr>
      <w:tcPr>
        <w:shd w:val="clear" w:color="ffffff" w:fill="ffffff"/>
        <w:tcBorders>
          <w:top w:val="single" w:color="D76CCB" w:sz="4" w:space="0"/>
          <w:left w:val="none" w:color="000000" w:sz="4" w:space="0"/>
          <w:bottom w:val="none" w:color="000000" w:sz="4" w:space="0"/>
          <w:right w:val="none" w:color="000000" w:sz="4" w:space="0"/>
        </w:tcBorders>
      </w:tcPr>
    </w:tblStylePr>
  </w:style>
  <w:style w:type="table" w:styleId="1540" w:customStyle="1">
    <w:name w:val="List Table 7 Colorful - Accent 61"/>
    <w:uiPriority w:val="99"/>
    <w:qFormat/>
    <w:tblPr>
      <w:tblBorders>
        <w:right w:val="single" w:color="8ED873" w:sz="4" w:space="0"/>
      </w:tblBorders>
      <w:tblCellMar>
        <w:left w:w="0" w:type="dxa"/>
        <w:top w:w="0" w:type="dxa"/>
        <w:right w:w="0" w:type="dxa"/>
        <w:bottom w:w="0" w:type="dxa"/>
      </w:tblCellMar>
    </w:tblPr>
    <w:tblStylePr w:type="band1Horz">
      <w:rPr>
        <w:rFonts w:ascii="Arial" w:hAnsi="Arial"/>
        <w:color w:val="8dd873"/>
        <w:sz w:val="22"/>
      </w:rPr>
      <w:tcPr>
        <w:shd w:val="clear" w:color="cfefc4" w:fill="cfefc4"/>
      </w:tcPr>
    </w:tblStylePr>
    <w:tblStylePr w:type="band1Vert">
      <w:tcPr>
        <w:shd w:val="clear" w:color="cfefc4" w:fill="cfefc4"/>
      </w:tcPr>
    </w:tblStylePr>
    <w:tblStylePr w:type="band2Horz">
      <w:rPr>
        <w:rFonts w:ascii="Arial" w:hAnsi="Arial"/>
        <w:color w:val="8dd873"/>
        <w:sz w:val="22"/>
      </w:rPr>
    </w:tblStylePr>
    <w:tblStylePr w:type="firstCol">
      <w:rPr>
        <w:rFonts w:ascii="Arial" w:hAnsi="Arial"/>
        <w:i/>
        <w:color w:val="8dd873"/>
        <w:sz w:val="22"/>
      </w:rPr>
      <w:pPr>
        <w:jc w:val="right"/>
      </w:pPr>
      <w:tcPr>
        <w:shd w:val="clear" w:color="ffffff" w:fill="auto"/>
        <w:tcBorders>
          <w:top w:val="none" w:color="000000" w:sz="4" w:space="0"/>
          <w:left w:val="none" w:color="000000" w:sz="4" w:space="0"/>
          <w:bottom w:val="none" w:color="000000" w:sz="4" w:space="0"/>
          <w:right w:val="single" w:color="8ED873" w:sz="4" w:space="0"/>
        </w:tcBorders>
      </w:tcPr>
    </w:tblStylePr>
    <w:tblStylePr w:type="firstRow">
      <w:rPr>
        <w:rFonts w:ascii="Arial" w:hAnsi="Arial"/>
        <w:i/>
        <w:color w:val="8dd873"/>
        <w:sz w:val="22"/>
      </w:rPr>
      <w:tcPr>
        <w:shd w:val="clear" w:color="ffffff" w:fill="ffffff"/>
        <w:tcBorders>
          <w:top w:val="none" w:color="000000" w:sz="4" w:space="0"/>
          <w:left w:val="none" w:color="000000" w:sz="4" w:space="0"/>
          <w:bottom w:val="single" w:color="8ED873" w:sz="4" w:space="0"/>
          <w:right w:val="none" w:color="000000" w:sz="4" w:space="0"/>
        </w:tcBorders>
      </w:tcPr>
    </w:tblStylePr>
    <w:tblStylePr w:type="lastCol">
      <w:rPr>
        <w:rFonts w:ascii="Arial" w:hAnsi="Arial"/>
        <w:i/>
        <w:color w:val="8dd873"/>
        <w:sz w:val="22"/>
      </w:rPr>
      <w:tcPr>
        <w:shd w:val="clear" w:color="ffffff" w:fill="auto"/>
        <w:tcBorders>
          <w:top w:val="none" w:color="000000" w:sz="4" w:space="0"/>
          <w:left w:val="single" w:color="8ED873" w:sz="4" w:space="0"/>
          <w:bottom w:val="none" w:color="000000" w:sz="4" w:space="0"/>
          <w:right w:val="none" w:color="000000" w:sz="4" w:space="0"/>
        </w:tcBorders>
      </w:tcPr>
    </w:tblStylePr>
    <w:tblStylePr w:type="lastRow">
      <w:rPr>
        <w:rFonts w:ascii="Arial" w:hAnsi="Arial"/>
        <w:i/>
        <w:color w:val="8dd873"/>
        <w:sz w:val="22"/>
      </w:rPr>
      <w:tcPr>
        <w:shd w:val="clear" w:color="ffffff" w:fill="ffffff"/>
        <w:tcBorders>
          <w:top w:val="single" w:color="8ED873" w:sz="4" w:space="0"/>
          <w:left w:val="none" w:color="000000" w:sz="4" w:space="0"/>
          <w:bottom w:val="none" w:color="000000" w:sz="4" w:space="0"/>
          <w:right w:val="none" w:color="000000" w:sz="4" w:space="0"/>
        </w:tcBorders>
      </w:tcPr>
    </w:tblStylePr>
  </w:style>
  <w:style w:type="table" w:styleId="15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542" w:customStyle="1">
    <w:name w:val="Lined - Accent 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fill="9ed5ef"/>
      </w:tcPr>
    </w:tblStylePr>
    <w:tblStylePr w:type="band2Vert">
      <w:rPr>
        <w:rFonts w:ascii="Arial" w:hAnsi="Arial"/>
        <w:color w:val="404040"/>
        <w:sz w:val="22"/>
      </w:rPr>
      <w:tcPr>
        <w:shd w:val="clear" w:color="9ed5ef" w:fill="9ed5ef"/>
      </w:tcPr>
    </w:tblStylePr>
    <w:tblStylePr w:type="firstCol">
      <w:rPr>
        <w:rFonts w:ascii="Arial" w:hAnsi="Arial"/>
        <w:color w:val="f2f2f2"/>
        <w:sz w:val="22"/>
      </w:rPr>
      <w:tcPr>
        <w:shd w:val="clear" w:color="19729b" w:fill="19729b"/>
      </w:tcPr>
    </w:tblStylePr>
    <w:tblStylePr w:type="firstRow">
      <w:rPr>
        <w:rFonts w:ascii="Arial" w:hAnsi="Arial"/>
        <w:color w:val="f2f2f2"/>
        <w:sz w:val="22"/>
      </w:rPr>
      <w:tcPr>
        <w:shd w:val="clear" w:color="19729b" w:fill="19729b"/>
      </w:tcPr>
    </w:tblStylePr>
    <w:tblStylePr w:type="lastCol">
      <w:rPr>
        <w:rFonts w:ascii="Arial" w:hAnsi="Arial"/>
        <w:color w:val="f2f2f2"/>
        <w:sz w:val="22"/>
      </w:rPr>
      <w:tcPr>
        <w:shd w:val="clear" w:color="19729b" w:fill="19729b"/>
      </w:tcPr>
    </w:tblStylePr>
    <w:tblStylePr w:type="lastRow">
      <w:rPr>
        <w:rFonts w:ascii="Arial" w:hAnsi="Arial"/>
        <w:color w:val="f2f2f2"/>
        <w:sz w:val="22"/>
      </w:rPr>
      <w:tcPr>
        <w:shd w:val="clear" w:color="19729b" w:fill="19729b"/>
      </w:tcPr>
    </w:tblStylePr>
  </w:style>
  <w:style w:type="table" w:styleId="1543" w:customStyle="1">
    <w:name w:val="Lined - Accent 2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fill="fae2d6"/>
      </w:tcPr>
    </w:tblStylePr>
    <w:tblStylePr w:type="band2Vert">
      <w:rPr>
        <w:rFonts w:ascii="Arial" w:hAnsi="Arial"/>
        <w:color w:val="404040"/>
        <w:sz w:val="22"/>
      </w:rPr>
      <w:tcPr>
        <w:shd w:val="clear" w:color="fae2d6" w:fill="fae2d6"/>
      </w:tcPr>
    </w:tblStylePr>
    <w:tblStylePr w:type="firstCol">
      <w:rPr>
        <w:rFonts w:ascii="Arial" w:hAnsi="Arial"/>
        <w:color w:val="f2f2f2"/>
        <w:sz w:val="22"/>
      </w:rPr>
      <w:tcPr>
        <w:shd w:val="clear" w:color="f2aa85" w:fill="f2aa85"/>
      </w:tcPr>
    </w:tblStylePr>
    <w:tblStylePr w:type="firstRow">
      <w:rPr>
        <w:rFonts w:ascii="Arial" w:hAnsi="Arial"/>
        <w:color w:val="f2f2f2"/>
        <w:sz w:val="22"/>
      </w:rPr>
      <w:tcPr>
        <w:shd w:val="clear" w:color="f2aa85" w:fill="f2aa85"/>
      </w:tcPr>
    </w:tblStylePr>
    <w:tblStylePr w:type="lastCol">
      <w:rPr>
        <w:rFonts w:ascii="Arial" w:hAnsi="Arial"/>
        <w:color w:val="f2f2f2"/>
        <w:sz w:val="22"/>
      </w:rPr>
      <w:tcPr>
        <w:shd w:val="clear" w:color="f2aa85" w:fill="f2aa85"/>
      </w:tcPr>
    </w:tblStylePr>
    <w:tblStylePr w:type="lastRow">
      <w:rPr>
        <w:rFonts w:ascii="Arial" w:hAnsi="Arial"/>
        <w:color w:val="f2f2f2"/>
        <w:sz w:val="22"/>
      </w:rPr>
      <w:tcPr>
        <w:shd w:val="clear" w:color="f2aa85" w:fill="f2aa85"/>
      </w:tcPr>
    </w:tblStylePr>
  </w:style>
  <w:style w:type="table" w:styleId="1544" w:customStyle="1">
    <w:name w:val="Lined - Accent 3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fill="c0f0c6"/>
      </w:tcPr>
    </w:tblStylePr>
    <w:tblStylePr w:type="band2Vert">
      <w:rPr>
        <w:rFonts w:ascii="Arial" w:hAnsi="Arial"/>
        <w:color w:val="404040"/>
        <w:sz w:val="22"/>
      </w:rPr>
      <w:tcPr>
        <w:shd w:val="clear" w:color="c0f0c6" w:fill="c0f0c6"/>
      </w:tcPr>
    </w:tblStylePr>
    <w:tblStylePr w:type="firstCol">
      <w:rPr>
        <w:rFonts w:ascii="Arial" w:hAnsi="Arial"/>
        <w:color w:val="f2f2f2"/>
        <w:sz w:val="22"/>
      </w:rPr>
      <w:tcPr>
        <w:shd w:val="clear" w:color="196c24" w:fill="196c24"/>
      </w:tcPr>
    </w:tblStylePr>
    <w:tblStylePr w:type="firstRow">
      <w:rPr>
        <w:rFonts w:ascii="Arial" w:hAnsi="Arial"/>
        <w:color w:val="f2f2f2"/>
        <w:sz w:val="22"/>
      </w:rPr>
      <w:tcPr>
        <w:shd w:val="clear" w:color="196c24" w:fill="196c24"/>
      </w:tcPr>
    </w:tblStylePr>
    <w:tblStylePr w:type="lastCol">
      <w:rPr>
        <w:rFonts w:ascii="Arial" w:hAnsi="Arial"/>
        <w:color w:val="f2f2f2"/>
        <w:sz w:val="22"/>
      </w:rPr>
      <w:tcPr>
        <w:shd w:val="clear" w:color="196c24" w:fill="196c24"/>
      </w:tcPr>
    </w:tblStylePr>
    <w:tblStylePr w:type="lastRow">
      <w:rPr>
        <w:rFonts w:ascii="Arial" w:hAnsi="Arial"/>
        <w:color w:val="f2f2f2"/>
        <w:sz w:val="22"/>
      </w:rPr>
      <w:tcPr>
        <w:shd w:val="clear" w:color="196c24" w:fill="196c24"/>
      </w:tcPr>
    </w:tblStylePr>
  </w:style>
  <w:style w:type="table" w:styleId="1545" w:customStyle="1">
    <w:name w:val="Lined - Accent 4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fill="c9edfb"/>
      </w:tcPr>
    </w:tblStylePr>
    <w:tblStylePr w:type="band2Vert">
      <w:rPr>
        <w:rFonts w:ascii="Arial" w:hAnsi="Arial"/>
        <w:color w:val="404040"/>
        <w:sz w:val="22"/>
      </w:rPr>
      <w:tcPr>
        <w:shd w:val="clear" w:color="c9edfb" w:fill="c9edfb"/>
      </w:tcPr>
    </w:tblStylePr>
    <w:tblStylePr w:type="firstCol">
      <w:rPr>
        <w:rFonts w:ascii="Arial" w:hAnsi="Arial"/>
        <w:color w:val="f2f2f2"/>
        <w:sz w:val="22"/>
      </w:rPr>
      <w:tcPr>
        <w:shd w:val="clear" w:color="5fcaf3" w:fill="5fcaf3"/>
      </w:tcPr>
    </w:tblStylePr>
    <w:tblStylePr w:type="firstRow">
      <w:rPr>
        <w:rFonts w:ascii="Arial" w:hAnsi="Arial"/>
        <w:color w:val="f2f2f2"/>
        <w:sz w:val="22"/>
      </w:rPr>
      <w:tcPr>
        <w:shd w:val="clear" w:color="5fcaf3" w:fill="5fcaf3"/>
      </w:tcPr>
    </w:tblStylePr>
    <w:tblStylePr w:type="lastCol">
      <w:rPr>
        <w:rFonts w:ascii="Arial" w:hAnsi="Arial"/>
        <w:color w:val="f2f2f2"/>
        <w:sz w:val="22"/>
      </w:rPr>
      <w:tcPr>
        <w:shd w:val="clear" w:color="5fcaf3" w:fill="5fcaf3"/>
      </w:tcPr>
    </w:tblStylePr>
    <w:tblStylePr w:type="lastRow">
      <w:rPr>
        <w:rFonts w:ascii="Arial" w:hAnsi="Arial"/>
        <w:color w:val="f2f2f2"/>
        <w:sz w:val="22"/>
      </w:rPr>
      <w:tcPr>
        <w:shd w:val="clear" w:color="5fcaf3" w:fill="5fcaf3"/>
      </w:tcPr>
    </w:tblStylePr>
  </w:style>
  <w:style w:type="table" w:styleId="1546" w:customStyle="1">
    <w:name w:val="Lined - Accent 5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fill="f1cded"/>
      </w:tcPr>
    </w:tblStylePr>
    <w:tblStylePr w:type="band2Vert">
      <w:rPr>
        <w:rFonts w:ascii="Arial" w:hAnsi="Arial"/>
        <w:color w:val="404040"/>
        <w:sz w:val="22"/>
      </w:rPr>
      <w:tcPr>
        <w:shd w:val="clear" w:color="f1cded" w:fill="f1cded"/>
      </w:tcPr>
    </w:tblStylePr>
    <w:tblStylePr w:type="firstCol">
      <w:rPr>
        <w:rFonts w:ascii="Arial" w:hAnsi="Arial"/>
        <w:color w:val="f2f2f2"/>
        <w:sz w:val="22"/>
      </w:rPr>
      <w:tcPr>
        <w:shd w:val="clear" w:color="a02b93" w:fill="a02b93"/>
      </w:tcPr>
    </w:tblStylePr>
    <w:tblStylePr w:type="firstRow">
      <w:rPr>
        <w:rFonts w:ascii="Arial" w:hAnsi="Arial"/>
        <w:color w:val="f2f2f2"/>
        <w:sz w:val="22"/>
      </w:rPr>
      <w:tcPr>
        <w:shd w:val="clear" w:color="a02b93" w:fill="a02b93"/>
      </w:tcPr>
    </w:tblStylePr>
    <w:tblStylePr w:type="lastCol">
      <w:rPr>
        <w:rFonts w:ascii="Arial" w:hAnsi="Arial"/>
        <w:color w:val="f2f2f2"/>
        <w:sz w:val="22"/>
      </w:rPr>
      <w:tcPr>
        <w:shd w:val="clear" w:color="a02b93" w:fill="a02b93"/>
      </w:tcPr>
    </w:tblStylePr>
    <w:tblStylePr w:type="lastRow">
      <w:rPr>
        <w:rFonts w:ascii="Arial" w:hAnsi="Arial"/>
        <w:color w:val="f2f2f2"/>
        <w:sz w:val="22"/>
      </w:rPr>
      <w:tcPr>
        <w:shd w:val="clear" w:color="a02b93" w:fill="a02b93"/>
      </w:tcPr>
    </w:tblStylePr>
  </w:style>
  <w:style w:type="table" w:styleId="1547" w:customStyle="1">
    <w:name w:val="Lined - Accent 6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fill="d8f2cf"/>
      </w:tcPr>
    </w:tblStylePr>
    <w:tblStylePr w:type="band2Vert">
      <w:rPr>
        <w:rFonts w:ascii="Arial" w:hAnsi="Arial"/>
        <w:color w:val="404040"/>
        <w:sz w:val="22"/>
      </w:rPr>
      <w:tcPr>
        <w:shd w:val="clear" w:color="d8f2cf" w:fill="d8f2cf"/>
      </w:tcPr>
    </w:tblStylePr>
    <w:tblStylePr w:type="firstCol">
      <w:rPr>
        <w:rFonts w:ascii="Arial" w:hAnsi="Arial"/>
        <w:color w:val="f2f2f2"/>
        <w:sz w:val="22"/>
      </w:rPr>
      <w:tcPr>
        <w:shd w:val="clear" w:color="4ea72e" w:fill="4ea72e"/>
      </w:tcPr>
    </w:tblStylePr>
    <w:tblStylePr w:type="firstRow">
      <w:rPr>
        <w:rFonts w:ascii="Arial" w:hAnsi="Arial"/>
        <w:color w:val="f2f2f2"/>
        <w:sz w:val="22"/>
      </w:rPr>
      <w:tcPr>
        <w:shd w:val="clear" w:color="4ea72e" w:fill="4ea72e"/>
      </w:tcPr>
    </w:tblStylePr>
    <w:tblStylePr w:type="lastCol">
      <w:rPr>
        <w:rFonts w:ascii="Arial" w:hAnsi="Arial"/>
        <w:color w:val="f2f2f2"/>
        <w:sz w:val="22"/>
      </w:rPr>
      <w:tcPr>
        <w:shd w:val="clear" w:color="4ea72e" w:fill="4ea72e"/>
      </w:tcPr>
    </w:tblStylePr>
    <w:tblStylePr w:type="lastRow">
      <w:rPr>
        <w:rFonts w:ascii="Arial" w:hAnsi="Arial"/>
        <w:color w:val="f2f2f2"/>
        <w:sz w:val="22"/>
      </w:rPr>
      <w:tcPr>
        <w:shd w:val="clear" w:color="4ea72e" w:fill="4ea72e"/>
      </w:tcPr>
    </w:tblStylePr>
  </w:style>
  <w:style w:type="table" w:styleId="1548"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549" w:customStyle="1">
    <w:name w:val="Bordered &amp; Lined - Accent 11"/>
    <w:uiPriority w:val="99"/>
    <w:qFormat/>
    <w:rPr>
      <w:color w:val="404040"/>
    </w:rPr>
    <w:tblPr>
      <w:tblBorders>
        <w:top w:val="single" w:color="0C374B" w:sz="4" w:space="0"/>
        <w:left w:val="single" w:color="0C374B" w:sz="4" w:space="0"/>
        <w:bottom w:val="single" w:color="0C374B" w:sz="4" w:space="0"/>
        <w:right w:val="single" w:color="0C374B" w:sz="4" w:space="0"/>
        <w:insideH w:val="single" w:color="0C374B" w:sz="4" w:space="0"/>
        <w:insideV w:val="single" w:color="0C374B"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fill="9ed5ef"/>
      </w:tcPr>
    </w:tblStylePr>
    <w:tblStylePr w:type="band2Vert">
      <w:rPr>
        <w:rFonts w:ascii="Arial" w:hAnsi="Arial"/>
        <w:color w:val="404040"/>
        <w:sz w:val="22"/>
      </w:rPr>
      <w:tcPr>
        <w:shd w:val="clear" w:color="9ed5ef" w:fill="9ed5ef"/>
      </w:tcPr>
    </w:tblStylePr>
    <w:tblStylePr w:type="firstCol">
      <w:rPr>
        <w:rFonts w:ascii="Arial" w:hAnsi="Arial"/>
        <w:color w:val="f2f2f2"/>
        <w:sz w:val="22"/>
      </w:rPr>
      <w:tcPr>
        <w:shd w:val="clear" w:color="19729b" w:fill="19729b"/>
      </w:tcPr>
    </w:tblStylePr>
    <w:tblStylePr w:type="firstRow">
      <w:rPr>
        <w:rFonts w:ascii="Arial" w:hAnsi="Arial"/>
        <w:color w:val="f2f2f2"/>
        <w:sz w:val="22"/>
      </w:rPr>
      <w:tcPr>
        <w:shd w:val="clear" w:color="19729b" w:fill="19729b"/>
      </w:tcPr>
    </w:tblStylePr>
    <w:tblStylePr w:type="lastCol">
      <w:rPr>
        <w:rFonts w:ascii="Arial" w:hAnsi="Arial"/>
        <w:color w:val="f2f2f2"/>
        <w:sz w:val="22"/>
      </w:rPr>
      <w:tcPr>
        <w:shd w:val="clear" w:color="19729b" w:fill="19729b"/>
      </w:tcPr>
    </w:tblStylePr>
    <w:tblStylePr w:type="lastRow">
      <w:rPr>
        <w:rFonts w:ascii="Arial" w:hAnsi="Arial"/>
        <w:color w:val="f2f2f2"/>
        <w:sz w:val="22"/>
      </w:rPr>
      <w:tcPr>
        <w:shd w:val="clear" w:color="19729b" w:fill="19729b"/>
      </w:tcPr>
    </w:tblStylePr>
  </w:style>
  <w:style w:type="table" w:styleId="1550" w:customStyle="1">
    <w:name w:val="Bordered &amp; Lined - Accent 21"/>
    <w:uiPriority w:val="99"/>
    <w:qFormat/>
    <w:rPr>
      <w:color w:val="404040"/>
    </w:rPr>
    <w:tblPr>
      <w:tblBorders>
        <w:top w:val="single" w:color="953D10" w:sz="4" w:space="0"/>
        <w:left w:val="single" w:color="953D10" w:sz="4" w:space="0"/>
        <w:bottom w:val="single" w:color="953D10" w:sz="4" w:space="0"/>
        <w:right w:val="single" w:color="953D10" w:sz="4" w:space="0"/>
        <w:insideH w:val="single" w:color="953D10" w:sz="4" w:space="0"/>
        <w:insideV w:val="single" w:color="953D10"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fill="fae2d6"/>
      </w:tcPr>
    </w:tblStylePr>
    <w:tblStylePr w:type="band2Vert">
      <w:rPr>
        <w:rFonts w:ascii="Arial" w:hAnsi="Arial"/>
        <w:color w:val="404040"/>
        <w:sz w:val="22"/>
      </w:rPr>
      <w:tcPr>
        <w:shd w:val="clear" w:color="fae2d6" w:fill="fae2d6"/>
      </w:tcPr>
    </w:tblStylePr>
    <w:tblStylePr w:type="firstCol">
      <w:rPr>
        <w:rFonts w:ascii="Arial" w:hAnsi="Arial"/>
        <w:color w:val="f2f2f2"/>
        <w:sz w:val="22"/>
      </w:rPr>
      <w:tcPr>
        <w:shd w:val="clear" w:color="f2aa85" w:fill="f2aa85"/>
      </w:tcPr>
    </w:tblStylePr>
    <w:tblStylePr w:type="firstRow">
      <w:rPr>
        <w:rFonts w:ascii="Arial" w:hAnsi="Arial"/>
        <w:color w:val="f2f2f2"/>
        <w:sz w:val="22"/>
      </w:rPr>
      <w:tcPr>
        <w:shd w:val="clear" w:color="f2aa85" w:fill="f2aa85"/>
      </w:tcPr>
    </w:tblStylePr>
    <w:tblStylePr w:type="lastCol">
      <w:rPr>
        <w:rFonts w:ascii="Arial" w:hAnsi="Arial"/>
        <w:color w:val="f2f2f2"/>
        <w:sz w:val="22"/>
      </w:rPr>
      <w:tcPr>
        <w:shd w:val="clear" w:color="f2aa85" w:fill="f2aa85"/>
      </w:tcPr>
    </w:tblStylePr>
    <w:tblStylePr w:type="lastRow">
      <w:rPr>
        <w:rFonts w:ascii="Arial" w:hAnsi="Arial"/>
        <w:color w:val="f2f2f2"/>
        <w:sz w:val="22"/>
      </w:rPr>
      <w:tcPr>
        <w:shd w:val="clear" w:color="f2aa85" w:fill="f2aa85"/>
      </w:tcPr>
    </w:tblStylePr>
  </w:style>
  <w:style w:type="table" w:styleId="1551" w:customStyle="1">
    <w:name w:val="Bordered &amp; Lined - Accent 31"/>
    <w:uiPriority w:val="99"/>
    <w:qFormat/>
    <w:rPr>
      <w:color w:val="404040"/>
    </w:rPr>
    <w:tblPr>
      <w:tblBorders>
        <w:top w:val="single" w:color="0E3E15" w:sz="4" w:space="0"/>
        <w:left w:val="single" w:color="0E3E15" w:sz="4" w:space="0"/>
        <w:bottom w:val="single" w:color="0E3E15" w:sz="4" w:space="0"/>
        <w:right w:val="single" w:color="0E3E15" w:sz="4" w:space="0"/>
        <w:insideH w:val="single" w:color="0E3E15" w:sz="4" w:space="0"/>
        <w:insideV w:val="single" w:color="0E3E1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fill="c0f0c6"/>
      </w:tcPr>
    </w:tblStylePr>
    <w:tblStylePr w:type="band2Vert">
      <w:rPr>
        <w:rFonts w:ascii="Arial" w:hAnsi="Arial"/>
        <w:color w:val="404040"/>
        <w:sz w:val="22"/>
      </w:rPr>
      <w:tcPr>
        <w:shd w:val="clear" w:color="c0f0c6" w:fill="c0f0c6"/>
      </w:tcPr>
    </w:tblStylePr>
    <w:tblStylePr w:type="firstCol">
      <w:rPr>
        <w:rFonts w:ascii="Arial" w:hAnsi="Arial"/>
        <w:color w:val="f2f2f2"/>
        <w:sz w:val="22"/>
      </w:rPr>
      <w:tcPr>
        <w:shd w:val="clear" w:color="196c24" w:fill="196c24"/>
      </w:tcPr>
    </w:tblStylePr>
    <w:tblStylePr w:type="firstRow">
      <w:rPr>
        <w:rFonts w:ascii="Arial" w:hAnsi="Arial"/>
        <w:color w:val="f2f2f2"/>
        <w:sz w:val="22"/>
      </w:rPr>
      <w:tcPr>
        <w:shd w:val="clear" w:color="196c24" w:fill="196c24"/>
      </w:tcPr>
    </w:tblStylePr>
    <w:tblStylePr w:type="lastCol">
      <w:rPr>
        <w:rFonts w:ascii="Arial" w:hAnsi="Arial"/>
        <w:color w:val="f2f2f2"/>
        <w:sz w:val="22"/>
      </w:rPr>
      <w:tcPr>
        <w:shd w:val="clear" w:color="196c24" w:fill="196c24"/>
      </w:tcPr>
    </w:tblStylePr>
    <w:tblStylePr w:type="lastRow">
      <w:rPr>
        <w:rFonts w:ascii="Arial" w:hAnsi="Arial"/>
        <w:color w:val="f2f2f2"/>
        <w:sz w:val="22"/>
      </w:rPr>
      <w:tcPr>
        <w:shd w:val="clear" w:color="196c24" w:fill="196c24"/>
      </w:tcPr>
    </w:tblStylePr>
  </w:style>
  <w:style w:type="table" w:styleId="1552" w:customStyle="1">
    <w:name w:val="Bordered &amp; Lined - Accent 41"/>
    <w:uiPriority w:val="99"/>
    <w:qFormat/>
    <w:rPr>
      <w:color w:val="404040"/>
    </w:rPr>
    <w:tblPr>
      <w:tblBorders>
        <w:top w:val="single" w:color="085C7C" w:sz="4" w:space="0"/>
        <w:left w:val="single" w:color="085C7C" w:sz="4" w:space="0"/>
        <w:bottom w:val="single" w:color="085C7C" w:sz="4" w:space="0"/>
        <w:right w:val="single" w:color="085C7C" w:sz="4" w:space="0"/>
        <w:insideH w:val="single" w:color="085C7C" w:sz="4" w:space="0"/>
        <w:insideV w:val="single" w:color="085C7C"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fill="c9edfb"/>
      </w:tcPr>
    </w:tblStylePr>
    <w:tblStylePr w:type="band2Vert">
      <w:rPr>
        <w:rFonts w:ascii="Arial" w:hAnsi="Arial"/>
        <w:color w:val="404040"/>
        <w:sz w:val="22"/>
      </w:rPr>
      <w:tcPr>
        <w:shd w:val="clear" w:color="c9edfb" w:fill="c9edfb"/>
      </w:tcPr>
    </w:tblStylePr>
    <w:tblStylePr w:type="firstCol">
      <w:rPr>
        <w:rFonts w:ascii="Arial" w:hAnsi="Arial"/>
        <w:color w:val="f2f2f2"/>
        <w:sz w:val="22"/>
      </w:rPr>
      <w:tcPr>
        <w:shd w:val="clear" w:color="5fcaf3" w:fill="5fcaf3"/>
      </w:tcPr>
    </w:tblStylePr>
    <w:tblStylePr w:type="firstRow">
      <w:rPr>
        <w:rFonts w:ascii="Arial" w:hAnsi="Arial"/>
        <w:color w:val="f2f2f2"/>
        <w:sz w:val="22"/>
      </w:rPr>
      <w:tcPr>
        <w:shd w:val="clear" w:color="5fcaf3" w:fill="5fcaf3"/>
      </w:tcPr>
    </w:tblStylePr>
    <w:tblStylePr w:type="lastCol">
      <w:rPr>
        <w:rFonts w:ascii="Arial" w:hAnsi="Arial"/>
        <w:color w:val="f2f2f2"/>
        <w:sz w:val="22"/>
      </w:rPr>
      <w:tcPr>
        <w:shd w:val="clear" w:color="5fcaf3" w:fill="5fcaf3"/>
      </w:tcPr>
    </w:tblStylePr>
    <w:tblStylePr w:type="lastRow">
      <w:rPr>
        <w:rFonts w:ascii="Arial" w:hAnsi="Arial"/>
        <w:color w:val="f2f2f2"/>
        <w:sz w:val="22"/>
      </w:rPr>
      <w:tcPr>
        <w:shd w:val="clear" w:color="5fcaf3" w:fill="5fcaf3"/>
      </w:tcPr>
    </w:tblStylePr>
  </w:style>
  <w:style w:type="table" w:styleId="1553" w:customStyle="1">
    <w:name w:val="Bordered &amp; Lined - Accent 51"/>
    <w:uiPriority w:val="99"/>
    <w:qFormat/>
    <w:rPr>
      <w:color w:val="404040"/>
    </w:rPr>
    <w:tblPr>
      <w:tblBorders>
        <w:top w:val="single" w:color="5D1955" w:sz="4" w:space="0"/>
        <w:left w:val="single" w:color="5D1955" w:sz="4" w:space="0"/>
        <w:bottom w:val="single" w:color="5D1955" w:sz="4" w:space="0"/>
        <w:right w:val="single" w:color="5D1955" w:sz="4" w:space="0"/>
        <w:insideH w:val="single" w:color="5D1955" w:sz="4" w:space="0"/>
        <w:insideV w:val="single" w:color="5D195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fill="f1cded"/>
      </w:tcPr>
    </w:tblStylePr>
    <w:tblStylePr w:type="band2Vert">
      <w:rPr>
        <w:rFonts w:ascii="Arial" w:hAnsi="Arial"/>
        <w:color w:val="404040"/>
        <w:sz w:val="22"/>
      </w:rPr>
      <w:tcPr>
        <w:shd w:val="clear" w:color="f1cded" w:fill="f1cded"/>
      </w:tcPr>
    </w:tblStylePr>
    <w:tblStylePr w:type="firstCol">
      <w:rPr>
        <w:rFonts w:ascii="Arial" w:hAnsi="Arial"/>
        <w:color w:val="f2f2f2"/>
        <w:sz w:val="22"/>
      </w:rPr>
      <w:tcPr>
        <w:shd w:val="clear" w:color="a02b93" w:fill="a02b93"/>
      </w:tcPr>
    </w:tblStylePr>
    <w:tblStylePr w:type="firstRow">
      <w:rPr>
        <w:rFonts w:ascii="Arial" w:hAnsi="Arial"/>
        <w:color w:val="f2f2f2"/>
        <w:sz w:val="22"/>
      </w:rPr>
      <w:tcPr>
        <w:shd w:val="clear" w:color="a02b93" w:fill="a02b93"/>
      </w:tcPr>
    </w:tblStylePr>
    <w:tblStylePr w:type="lastCol">
      <w:rPr>
        <w:rFonts w:ascii="Arial" w:hAnsi="Arial"/>
        <w:color w:val="f2f2f2"/>
        <w:sz w:val="22"/>
      </w:rPr>
      <w:tcPr>
        <w:shd w:val="clear" w:color="a02b93" w:fill="a02b93"/>
      </w:tcPr>
    </w:tblStylePr>
    <w:tblStylePr w:type="lastRow">
      <w:rPr>
        <w:rFonts w:ascii="Arial" w:hAnsi="Arial"/>
        <w:color w:val="f2f2f2"/>
        <w:sz w:val="22"/>
      </w:rPr>
      <w:tcPr>
        <w:shd w:val="clear" w:color="a02b93" w:fill="a02b93"/>
      </w:tcPr>
    </w:tblStylePr>
  </w:style>
  <w:style w:type="table" w:styleId="1554" w:customStyle="1">
    <w:name w:val="Bordered &amp; Lined - Accent 61"/>
    <w:uiPriority w:val="99"/>
    <w:qFormat/>
    <w:rPr>
      <w:color w:val="404040"/>
    </w:rPr>
    <w:tblPr>
      <w:tblBorders>
        <w:top w:val="single" w:color="2D611B" w:sz="4" w:space="0"/>
        <w:left w:val="single" w:color="2D611B" w:sz="4" w:space="0"/>
        <w:bottom w:val="single" w:color="2D611B" w:sz="4" w:space="0"/>
        <w:right w:val="single" w:color="2D611B" w:sz="4" w:space="0"/>
        <w:insideH w:val="single" w:color="2D611B" w:sz="4" w:space="0"/>
        <w:insideV w:val="single" w:color="2D611B"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fill="d8f2cf"/>
      </w:tcPr>
    </w:tblStylePr>
    <w:tblStylePr w:type="band2Vert">
      <w:rPr>
        <w:rFonts w:ascii="Arial" w:hAnsi="Arial"/>
        <w:color w:val="404040"/>
        <w:sz w:val="22"/>
      </w:rPr>
      <w:tcPr>
        <w:shd w:val="clear" w:color="d8f2cf" w:fill="d8f2cf"/>
      </w:tcPr>
    </w:tblStylePr>
    <w:tblStylePr w:type="firstCol">
      <w:rPr>
        <w:rFonts w:ascii="Arial" w:hAnsi="Arial"/>
        <w:color w:val="f2f2f2"/>
        <w:sz w:val="22"/>
      </w:rPr>
      <w:tcPr>
        <w:shd w:val="clear" w:color="4ea72e" w:fill="4ea72e"/>
      </w:tcPr>
    </w:tblStylePr>
    <w:tblStylePr w:type="firstRow">
      <w:rPr>
        <w:rFonts w:ascii="Arial" w:hAnsi="Arial"/>
        <w:color w:val="f2f2f2"/>
        <w:sz w:val="22"/>
      </w:rPr>
      <w:tcPr>
        <w:shd w:val="clear" w:color="4ea72e" w:fill="4ea72e"/>
      </w:tcPr>
    </w:tblStylePr>
    <w:tblStylePr w:type="lastCol">
      <w:rPr>
        <w:rFonts w:ascii="Arial" w:hAnsi="Arial"/>
        <w:color w:val="f2f2f2"/>
        <w:sz w:val="22"/>
      </w:rPr>
      <w:tcPr>
        <w:shd w:val="clear" w:color="4ea72e" w:fill="4ea72e"/>
      </w:tcPr>
    </w:tblStylePr>
    <w:tblStylePr w:type="lastRow">
      <w:rPr>
        <w:rFonts w:ascii="Arial" w:hAnsi="Arial"/>
        <w:color w:val="f2f2f2"/>
        <w:sz w:val="22"/>
      </w:rPr>
      <w:tcPr>
        <w:shd w:val="clear" w:color="4ea72e" w:fill="4ea72e"/>
      </w:tcPr>
    </w:tblStylePr>
  </w:style>
  <w:style w:type="table" w:styleId="1555"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556" w:customStyle="1">
    <w:name w:val="Bordered - Accent 11"/>
    <w:uiPriority w:val="99"/>
    <w:qFormat/>
    <w:tblPr>
      <w:tblBorders>
        <w:top w:val="single" w:color="81C9EA" w:sz="4" w:space="0"/>
        <w:left w:val="single" w:color="81C9EA" w:sz="4" w:space="0"/>
        <w:bottom w:val="single" w:color="81C9EA" w:sz="4" w:space="0"/>
        <w:right w:val="single" w:color="81C9EA" w:sz="4" w:space="0"/>
        <w:insideH w:val="single" w:color="81C9EA" w:sz="4" w:space="0"/>
        <w:insideV w:val="single" w:color="81C9EA" w:sz="4" w:space="0"/>
      </w:tblBorders>
      <w:tblCellMar>
        <w:left w:w="0" w:type="dxa"/>
        <w:top w:w="0" w:type="dxa"/>
        <w:right w:w="0" w:type="dxa"/>
        <w:bottom w:w="0" w:type="dxa"/>
      </w:tblCellMar>
    </w:tblPr>
    <w:tblStylePr w:type="band1Horz">
      <w:rPr>
        <w:rFonts w:ascii="Arial" w:hAnsi="Arial"/>
        <w:color w:val="404040"/>
        <w:sz w:val="22"/>
      </w:rPr>
      <w:tcPr>
        <w:tcBorders>
          <w:top w:val="single" w:color="81C9EA" w:sz="4" w:space="0"/>
          <w:left w:val="single" w:color="81C9EA" w:sz="4" w:space="0"/>
          <w:bottom w:val="single" w:color="81C9EA" w:sz="4" w:space="0"/>
          <w:right w:val="single" w:color="81C9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sz="12" w:space="0"/>
        </w:tcBorders>
      </w:tcPr>
    </w:tblStylePr>
    <w:tblStylePr w:type="lastCol">
      <w:rPr>
        <w:rFonts w:ascii="Arial" w:hAnsi="Arial"/>
        <w:color w:val="404040"/>
        <w:sz w:val="22"/>
      </w:rPr>
      <w:tcPr>
        <w:tcBorders>
          <w:left w:val="single" w:color="156082" w:sz="12" w:space="0"/>
        </w:tcBorders>
      </w:tcPr>
    </w:tblStylePr>
    <w:tblStylePr w:type="lastRow">
      <w:rPr>
        <w:rFonts w:ascii="Arial" w:hAnsi="Arial"/>
        <w:color w:val="404040"/>
        <w:sz w:val="22"/>
      </w:rPr>
      <w:tcPr>
        <w:tcBorders>
          <w:top w:val="single" w:color="156082" w:sz="12" w:space="0"/>
        </w:tcBorders>
      </w:tcPr>
    </w:tblStylePr>
  </w:style>
  <w:style w:type="table" w:styleId="1557" w:customStyle="1">
    <w:name w:val="Bordered - Accent 21"/>
    <w:uiPriority w:val="99"/>
    <w:qFormat/>
    <w:tblPr>
      <w:tblBorders>
        <w:top w:val="single" w:color="F6C5AB" w:sz="4" w:space="0"/>
        <w:left w:val="single" w:color="F6C5AB" w:sz="4" w:space="0"/>
        <w:bottom w:val="single" w:color="F6C5AB" w:sz="4" w:space="0"/>
        <w:right w:val="single" w:color="F6C5AB" w:sz="4" w:space="0"/>
        <w:insideH w:val="single" w:color="F6C5AB" w:sz="4" w:space="0"/>
        <w:insideV w:val="single" w:color="F6C5AB" w:sz="4" w:space="0"/>
      </w:tblBorders>
      <w:tblCellMar>
        <w:left w:w="0" w:type="dxa"/>
        <w:top w:w="0" w:type="dxa"/>
        <w:right w:w="0" w:type="dxa"/>
        <w:bottom w:w="0" w:type="dxa"/>
      </w:tblCellMar>
    </w:tblPr>
    <w:tblStylePr w:type="band1Horz">
      <w:rPr>
        <w:rFonts w:ascii="Arial" w:hAnsi="Arial"/>
        <w:color w:val="404040"/>
        <w:sz w:val="22"/>
      </w:rPr>
      <w:tcPr>
        <w:tcBorders>
          <w:top w:val="single" w:color="F6C5AB" w:sz="4" w:space="0"/>
          <w:left w:val="single" w:color="F6C5AB" w:sz="4" w:space="0"/>
          <w:bottom w:val="single" w:color="F6C5AB" w:sz="4" w:space="0"/>
          <w:right w:val="single" w:color="F6C5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sz="12" w:space="0"/>
        </w:tcBorders>
      </w:tcPr>
    </w:tblStylePr>
    <w:tblStylePr w:type="lastCol">
      <w:rPr>
        <w:rFonts w:ascii="Arial" w:hAnsi="Arial"/>
        <w:color w:val="404040"/>
        <w:sz w:val="22"/>
      </w:rPr>
      <w:tcPr>
        <w:tcBorders>
          <w:left w:val="single" w:color="F2AA85" w:sz="12" w:space="0"/>
        </w:tcBorders>
      </w:tcPr>
    </w:tblStylePr>
    <w:tblStylePr w:type="lastRow">
      <w:rPr>
        <w:rFonts w:ascii="Arial" w:hAnsi="Arial"/>
        <w:color w:val="404040"/>
        <w:sz w:val="22"/>
      </w:rPr>
      <w:tcPr>
        <w:tcBorders>
          <w:top w:val="single" w:color="F2AA85" w:sz="12" w:space="0"/>
        </w:tcBorders>
      </w:tcPr>
    </w:tblStylePr>
  </w:style>
  <w:style w:type="table" w:styleId="1558" w:customStyle="1">
    <w:name w:val="Bordered - Accent 31"/>
    <w:uiPriority w:val="99"/>
    <w:qFormat/>
    <w:tblPr>
      <w:tblBorders>
        <w:top w:val="single" w:color="83E28F" w:sz="4" w:space="0"/>
        <w:left w:val="single" w:color="83E28F" w:sz="4" w:space="0"/>
        <w:bottom w:val="single" w:color="83E28F" w:sz="4" w:space="0"/>
        <w:right w:val="single" w:color="83E28F" w:sz="4" w:space="0"/>
        <w:insideH w:val="single" w:color="83E28F" w:sz="4" w:space="0"/>
        <w:insideV w:val="single" w:color="83E28F" w:sz="4" w:space="0"/>
      </w:tblBorders>
      <w:tblCellMar>
        <w:left w:w="0" w:type="dxa"/>
        <w:top w:w="0" w:type="dxa"/>
        <w:right w:w="0" w:type="dxa"/>
        <w:bottom w:w="0" w:type="dxa"/>
      </w:tblCellMar>
    </w:tblPr>
    <w:tblStylePr w:type="band1Horz">
      <w:rPr>
        <w:rFonts w:ascii="Arial" w:hAnsi="Arial"/>
        <w:color w:val="404040"/>
        <w:sz w:val="22"/>
      </w:rPr>
      <w:tcPr>
        <w:tcBorders>
          <w:top w:val="single" w:color="83E28F" w:sz="4" w:space="0"/>
          <w:left w:val="single" w:color="83E28F" w:sz="4" w:space="0"/>
          <w:bottom w:val="single" w:color="83E28F" w:sz="4" w:space="0"/>
          <w:right w:val="single" w:color="83E28F"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sz="12" w:space="0"/>
        </w:tcBorders>
      </w:tcPr>
    </w:tblStylePr>
    <w:tblStylePr w:type="lastCol">
      <w:rPr>
        <w:rFonts w:ascii="Arial" w:hAnsi="Arial"/>
        <w:color w:val="404040"/>
        <w:sz w:val="22"/>
      </w:rPr>
      <w:tcPr>
        <w:tcBorders>
          <w:left w:val="single" w:color="48D45B" w:sz="12" w:space="0"/>
        </w:tcBorders>
      </w:tcPr>
    </w:tblStylePr>
    <w:tblStylePr w:type="lastRow">
      <w:rPr>
        <w:rFonts w:ascii="Arial" w:hAnsi="Arial"/>
        <w:color w:val="404040"/>
        <w:sz w:val="22"/>
      </w:rPr>
      <w:tcPr>
        <w:tcBorders>
          <w:top w:val="single" w:color="48D45B" w:sz="12" w:space="0"/>
        </w:tcBorders>
      </w:tcPr>
    </w:tblStylePr>
  </w:style>
  <w:style w:type="table" w:styleId="1559" w:customStyle="1">
    <w:name w:val="Bordered - Accent 41"/>
    <w:uiPriority w:val="99"/>
    <w:qFormat/>
    <w:tblPr>
      <w:tblBorders>
        <w:top w:val="single" w:color="94DBF7" w:sz="4" w:space="0"/>
        <w:left w:val="single" w:color="94DBF7" w:sz="4" w:space="0"/>
        <w:bottom w:val="single" w:color="94DBF7" w:sz="4" w:space="0"/>
        <w:right w:val="single" w:color="94DBF7" w:sz="4" w:space="0"/>
        <w:insideH w:val="single" w:color="94DBF7" w:sz="4" w:space="0"/>
        <w:insideV w:val="single" w:color="94DBF7" w:sz="4" w:space="0"/>
      </w:tblBorders>
      <w:tblCellMar>
        <w:left w:w="0" w:type="dxa"/>
        <w:top w:w="0" w:type="dxa"/>
        <w:right w:w="0" w:type="dxa"/>
        <w:bottom w:w="0" w:type="dxa"/>
      </w:tblCellMar>
    </w:tblPr>
    <w:tblStylePr w:type="band1Horz">
      <w:rPr>
        <w:rFonts w:ascii="Arial" w:hAnsi="Arial"/>
        <w:color w:val="404040"/>
        <w:sz w:val="22"/>
      </w:rPr>
      <w:tcPr>
        <w:tcBorders>
          <w:top w:val="single" w:color="94DBF7" w:sz="4" w:space="0"/>
          <w:left w:val="single" w:color="94DBF7" w:sz="4" w:space="0"/>
          <w:bottom w:val="single" w:color="94DBF7" w:sz="4" w:space="0"/>
          <w:right w:val="single" w:color="94DBF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sz="12" w:space="0"/>
        </w:tcBorders>
      </w:tcPr>
    </w:tblStylePr>
    <w:tblStylePr w:type="lastCol">
      <w:rPr>
        <w:rFonts w:ascii="Arial" w:hAnsi="Arial"/>
        <w:color w:val="404040"/>
        <w:sz w:val="22"/>
      </w:rPr>
      <w:tcPr>
        <w:tcBorders>
          <w:left w:val="single" w:color="5FCAF3" w:sz="12" w:space="0"/>
        </w:tcBorders>
      </w:tcPr>
    </w:tblStylePr>
    <w:tblStylePr w:type="lastRow">
      <w:rPr>
        <w:rFonts w:ascii="Arial" w:hAnsi="Arial"/>
        <w:color w:val="404040"/>
        <w:sz w:val="22"/>
      </w:rPr>
      <w:tcPr>
        <w:tcBorders>
          <w:top w:val="single" w:color="5FCAF3" w:sz="12" w:space="0"/>
        </w:tcBorders>
      </w:tcPr>
    </w:tblStylePr>
  </w:style>
  <w:style w:type="table" w:styleId="1560" w:customStyle="1">
    <w:name w:val="Bordered - Accent 51"/>
    <w:uiPriority w:val="99"/>
    <w:qFormat/>
    <w:tblPr>
      <w:tblBorders>
        <w:top w:val="single" w:color="E49DDC" w:sz="4" w:space="0"/>
        <w:left w:val="single" w:color="E49DDC" w:sz="4" w:space="0"/>
        <w:bottom w:val="single" w:color="E49DDC" w:sz="4" w:space="0"/>
        <w:right w:val="single" w:color="E49DDC" w:sz="4" w:space="0"/>
        <w:insideH w:val="single" w:color="E49DDC" w:sz="4" w:space="0"/>
        <w:insideV w:val="single" w:color="E49DDC" w:sz="4" w:space="0"/>
      </w:tblBorders>
      <w:tblCellMar>
        <w:left w:w="0" w:type="dxa"/>
        <w:top w:w="0" w:type="dxa"/>
        <w:right w:w="0" w:type="dxa"/>
        <w:bottom w:w="0" w:type="dxa"/>
      </w:tblCellMar>
    </w:tblPr>
    <w:tblStylePr w:type="band1Horz">
      <w:rPr>
        <w:rFonts w:ascii="Arial" w:hAnsi="Arial"/>
        <w:color w:val="404040"/>
        <w:sz w:val="22"/>
      </w:rPr>
      <w:tcPr>
        <w:tcBorders>
          <w:top w:val="single" w:color="E49DDC" w:sz="4" w:space="0"/>
          <w:left w:val="single" w:color="E49DDC" w:sz="4" w:space="0"/>
          <w:bottom w:val="single" w:color="E49DDC" w:sz="4" w:space="0"/>
          <w:right w:val="single" w:color="E49DDC"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sz="12" w:space="0"/>
        </w:tcBorders>
      </w:tcPr>
    </w:tblStylePr>
    <w:tblStylePr w:type="lastCol">
      <w:rPr>
        <w:rFonts w:ascii="Arial" w:hAnsi="Arial"/>
        <w:color w:val="404040"/>
        <w:sz w:val="22"/>
      </w:rPr>
      <w:tcPr>
        <w:tcBorders>
          <w:left w:val="single" w:color="D76CCB" w:sz="12" w:space="0"/>
        </w:tcBorders>
      </w:tcPr>
    </w:tblStylePr>
    <w:tblStylePr w:type="lastRow">
      <w:rPr>
        <w:rFonts w:ascii="Arial" w:hAnsi="Arial"/>
        <w:color w:val="404040"/>
        <w:sz w:val="22"/>
      </w:rPr>
      <w:tcPr>
        <w:tcBorders>
          <w:top w:val="single" w:color="D76CCB" w:sz="12" w:space="0"/>
        </w:tcBorders>
      </w:tcPr>
    </w:tblStylePr>
  </w:style>
  <w:style w:type="table" w:styleId="1561" w:customStyle="1">
    <w:name w:val="Bordered - Accent 61"/>
    <w:uiPriority w:val="99"/>
    <w:qFormat/>
    <w:tblPr>
      <w:tblBorders>
        <w:top w:val="single" w:color="B2E5A0" w:sz="4" w:space="0"/>
        <w:left w:val="single" w:color="B2E5A0" w:sz="4" w:space="0"/>
        <w:bottom w:val="single" w:color="B2E5A0" w:sz="4" w:space="0"/>
        <w:right w:val="single" w:color="B2E5A0" w:sz="4" w:space="0"/>
        <w:insideH w:val="single" w:color="B2E5A0" w:sz="4" w:space="0"/>
        <w:insideV w:val="single" w:color="B2E5A0" w:sz="4" w:space="0"/>
      </w:tblBorders>
      <w:tblCellMar>
        <w:left w:w="0" w:type="dxa"/>
        <w:top w:w="0" w:type="dxa"/>
        <w:right w:w="0" w:type="dxa"/>
        <w:bottom w:w="0" w:type="dxa"/>
      </w:tblCellMar>
    </w:tblPr>
    <w:tblStylePr w:type="band1Horz">
      <w:rPr>
        <w:rFonts w:ascii="Arial" w:hAnsi="Arial"/>
        <w:color w:val="404040"/>
        <w:sz w:val="22"/>
      </w:rPr>
      <w:tcPr>
        <w:tcBorders>
          <w:top w:val="single" w:color="B2E5A0" w:sz="4" w:space="0"/>
          <w:left w:val="single" w:color="B2E5A0" w:sz="4" w:space="0"/>
          <w:bottom w:val="single" w:color="B2E5A0" w:sz="4" w:space="0"/>
          <w:right w:val="single" w:color="B2E5A0"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sz="12" w:space="0"/>
        </w:tcBorders>
      </w:tcPr>
    </w:tblStylePr>
    <w:tblStylePr w:type="lastCol">
      <w:rPr>
        <w:rFonts w:ascii="Arial" w:hAnsi="Arial"/>
        <w:color w:val="404040"/>
        <w:sz w:val="22"/>
      </w:rPr>
      <w:tcPr>
        <w:tcBorders>
          <w:left w:val="single" w:color="8ED873" w:sz="12" w:space="0"/>
        </w:tcBorders>
      </w:tcPr>
    </w:tblStylePr>
    <w:tblStylePr w:type="lastRow">
      <w:rPr>
        <w:rFonts w:ascii="Arial" w:hAnsi="Arial"/>
        <w:color w:val="404040"/>
        <w:sz w:val="22"/>
      </w:rPr>
      <w:tcPr>
        <w:tcBorders>
          <w:top w:val="single" w:color="8ED873" w:sz="12" w:space="0"/>
        </w:tcBorders>
      </w:tcPr>
    </w:tblStylePr>
  </w:style>
  <w:style w:type="paragraph" w:styleId="1562" w:customStyle="1">
    <w:name w:val="修订2"/>
    <w:hidden/>
    <w:uiPriority w:val="99"/>
    <w:unhideWhenUsed/>
    <w:qFormat/>
    <w:rPr>
      <w:sz w:val="21"/>
      <w:szCs w:val="21"/>
    </w:rPr>
  </w:style>
  <w:style w:type="paragraph" w:styleId="1563" w:customStyle="1">
    <w:name w:val="msonormal"/>
    <w:basedOn w:val="828"/>
    <w:uiPriority w:val="99"/>
    <w:qFormat/>
    <w:pPr>
      <w:jc w:val="left"/>
      <w:spacing w:before="100" w:beforeAutospacing="1" w:after="100" w:afterAutospacing="1"/>
      <w:widowControl/>
    </w:pPr>
    <w:rPr>
      <w:rFonts w:ascii="宋体" w:hAnsi="宋体" w:eastAsia="宋体"/>
      <w:sz w:val="24"/>
      <w:szCs w:val="24"/>
      <w:lang w:val="en-US"/>
    </w:rPr>
  </w:style>
  <w:style w:type="table" w:styleId="1564" w:customStyle="1">
    <w:name w:val="无格式表格 1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565" w:customStyle="1">
    <w:name w:val="无格式表格 2111"/>
    <w:uiPriority w:val="59"/>
    <w:qFormat/>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566" w:customStyle="1">
    <w:name w:val="无格式表格 3111"/>
    <w:uiPriority w:val="99"/>
    <w:qFormat/>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67" w:customStyle="1">
    <w:name w:val="无格式表格 4111"/>
    <w:uiPriority w:val="99"/>
    <w:qFormat/>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68" w:customStyle="1">
    <w:name w:val="无格式表格 5111"/>
    <w:uiPriority w:val="99"/>
    <w:qFormat/>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000000" w:sz="4" w:space="0"/>
          <w:bottom w:val="single" w:color="404040" w:sz="4" w:space="0"/>
          <w:right w:val="none" w:color="000000" w:sz="4"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000000" w:sz="4" w:space="0"/>
          <w:right w:val="none" w:color="000000" w:sz="4" w:space="0"/>
        </w:tcBorders>
      </w:tcPr>
    </w:tblStylePr>
  </w:style>
  <w:style w:type="table" w:styleId="1569" w:customStyle="1">
    <w:name w:val="网格表 1 浅色1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570" w:customStyle="1">
    <w:name w:val="Grid Table 1 Light - Accent 1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571" w:customStyle="1">
    <w:name w:val="Grid Table 1 Light - Accent 21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572" w:customStyle="1">
    <w:name w:val="Grid Table 1 Light - Accent 31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573" w:customStyle="1">
    <w:name w:val="Grid Table 1 Light - Accent 41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574" w:customStyle="1">
    <w:name w:val="Grid Table 1 Light - Accent 51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575" w:customStyle="1">
    <w:name w:val="Grid Table 1 Light - Accent 61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576" w:customStyle="1">
    <w:name w:val="网格表 21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6A6A6A" w:sz="4" w:space="0"/>
          <w:left w:val="none" w:color="000000" w:sz="4" w:space="0"/>
          <w:bottom w:val="none" w:color="000000" w:sz="4" w:space="0"/>
          <w:right w:val="none" w:color="000000" w:sz="4" w:space="0"/>
        </w:tcBorders>
      </w:tcPr>
    </w:tblStylePr>
  </w:style>
  <w:style w:type="table" w:styleId="1577" w:customStyle="1">
    <w:name w:val="Grid Table 2 - Accent 1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5D8AC2" w:sz="4" w:space="0"/>
          <w:left w:val="none" w:color="000000" w:sz="4" w:space="0"/>
          <w:bottom w:val="none" w:color="000000" w:sz="4" w:space="0"/>
          <w:right w:val="none" w:color="000000" w:sz="4" w:space="0"/>
        </w:tcBorders>
      </w:tcPr>
    </w:tblStylePr>
  </w:style>
  <w:style w:type="table" w:styleId="1578" w:customStyle="1">
    <w:name w:val="Grid Table 2 - Accent 21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D99695" w:sz="4" w:space="0"/>
          <w:left w:val="none" w:color="000000" w:sz="4" w:space="0"/>
          <w:bottom w:val="none" w:color="000000" w:sz="4" w:space="0"/>
          <w:right w:val="none" w:color="000000" w:sz="4" w:space="0"/>
        </w:tcBorders>
      </w:tcPr>
    </w:tblStylePr>
  </w:style>
  <w:style w:type="table" w:styleId="1579" w:customStyle="1">
    <w:name w:val="Grid Table 2 - Accent 31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9ABB59" w:sz="4" w:space="0"/>
          <w:left w:val="none" w:color="000000" w:sz="4" w:space="0"/>
          <w:bottom w:val="none" w:color="000000" w:sz="4" w:space="0"/>
          <w:right w:val="none" w:color="000000" w:sz="4" w:space="0"/>
        </w:tcBorders>
      </w:tcPr>
    </w:tblStylePr>
  </w:style>
  <w:style w:type="table" w:styleId="1580" w:customStyle="1">
    <w:name w:val="Grid Table 2 - Accent 41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B2A1C6" w:sz="4" w:space="0"/>
          <w:left w:val="none" w:color="000000" w:sz="4" w:space="0"/>
          <w:bottom w:val="none" w:color="000000" w:sz="4" w:space="0"/>
          <w:right w:val="none" w:color="000000" w:sz="4" w:space="0"/>
        </w:tcBorders>
      </w:tcPr>
    </w:tblStylePr>
  </w:style>
  <w:style w:type="table" w:styleId="1581" w:customStyle="1">
    <w:name w:val="Grid Table 2 - Accent 51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4BACC6" w:sz="4" w:space="0"/>
          <w:left w:val="none" w:color="000000" w:sz="4" w:space="0"/>
          <w:bottom w:val="none" w:color="000000" w:sz="4" w:space="0"/>
          <w:right w:val="none" w:color="000000" w:sz="4" w:space="0"/>
        </w:tcBorders>
      </w:tcPr>
    </w:tblStylePr>
  </w:style>
  <w:style w:type="table" w:styleId="1582" w:customStyle="1">
    <w:name w:val="Grid Table 2 - Accent 61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F79646" w:sz="4" w:space="0"/>
          <w:left w:val="none" w:color="000000" w:sz="4" w:space="0"/>
          <w:bottom w:val="none" w:color="000000" w:sz="4" w:space="0"/>
          <w:right w:val="none" w:color="000000" w:sz="4" w:space="0"/>
        </w:tcBorders>
      </w:tcPr>
    </w:tblStylePr>
  </w:style>
  <w:style w:type="table" w:styleId="1583" w:customStyle="1">
    <w:name w:val="网格表 31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584" w:customStyle="1">
    <w:name w:val="Grid Table 3 - Accent 1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585" w:customStyle="1">
    <w:name w:val="Grid Table 3 - Accent 21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586" w:customStyle="1">
    <w:name w:val="Grid Table 3 - Accent 31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587" w:customStyle="1">
    <w:name w:val="Grid Table 3 - Accent 41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588" w:customStyle="1">
    <w:name w:val="Grid Table 3 - Accent 51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589" w:customStyle="1">
    <w:name w:val="Grid Table 3 - Accent 61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590" w:customStyle="1">
    <w:name w:val="网格表 41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591" w:customStyle="1">
    <w:name w:val="Grid Table 4 - Accent 1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592" w:customStyle="1">
    <w:name w:val="Grid Table 4 - Accent 21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593" w:customStyle="1">
    <w:name w:val="Grid Table 4 - Accent 31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594" w:customStyle="1">
    <w:name w:val="Grid Table 4 - Accent 41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595" w:customStyle="1">
    <w:name w:val="Grid Table 4 - Accent 51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596" w:customStyle="1">
    <w:name w:val="Grid Table 4 - Accent 61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597" w:customStyle="1">
    <w:name w:val="网格表 5 深色1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1598" w:customStyle="1">
    <w:name w:val="Grid Table 5 Dark- Accent 1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1599" w:customStyle="1">
    <w:name w:val="Grid Table 5 Dark - Accent 2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1600" w:customStyle="1">
    <w:name w:val="Grid Table 5 Dark - Accent 3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1601" w:customStyle="1">
    <w:name w:val="Grid Table 5 Dark- Accent 4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1602" w:customStyle="1">
    <w:name w:val="Grid Table 5 Dark - Accent 5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1603" w:customStyle="1">
    <w:name w:val="Grid Table 5 Dark - Accent 6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1604" w:customStyle="1">
    <w:name w:val="网格表 6 彩色1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605" w:customStyle="1">
    <w:name w:val="Grid Table 6 Colorful - Accent 1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7c0de"/>
        <w:sz w:val="22"/>
        <w:szCs w:val="22"/>
      </w:rPr>
      <w:tcPr>
        <w:shd w:val="clear" w:color="auto" w:fill="dae5f1"/>
      </w:tcPr>
    </w:tblStylePr>
    <w:tblStylePr w:type="band1Vert">
      <w:tcPr>
        <w:shd w:val="clear" w:color="auto" w:fill="dae5f1"/>
      </w:tcPr>
    </w:tblStylePr>
    <w:tblStylePr w:type="band2Horz">
      <w:rPr>
        <w:rFonts w:hint="default" w:ascii="Arial" w:hAnsi="Arial" w:cs="Arial"/>
        <w:color w:val="a7c0de"/>
        <w:sz w:val="22"/>
        <w:szCs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606" w:customStyle="1">
    <w:name w:val="Grid Table 6 Colorful - Accent 21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a9896"/>
        <w:sz w:val="22"/>
        <w:szCs w:val="22"/>
      </w:rPr>
      <w:tcPr>
        <w:shd w:val="clear" w:color="auto" w:fill="f2dcdc"/>
      </w:tcPr>
    </w:tblStylePr>
    <w:tblStylePr w:type="band1Vert">
      <w:tcPr>
        <w:shd w:val="clear" w:color="auto" w:fill="f2dcdc"/>
      </w:tcPr>
    </w:tblStylePr>
    <w:tblStylePr w:type="band2Horz">
      <w:rPr>
        <w:rFonts w:hint="default" w:ascii="Arial" w:hAnsi="Arial" w:cs="Arial"/>
        <w:color w:val="da9896"/>
        <w:sz w:val="22"/>
        <w:szCs w:val="22"/>
      </w:rPr>
    </w:tblStylePr>
    <w:tblStylePr w:type="firstCol">
      <w:rPr>
        <w:b/>
        <w:color w:val="da9896"/>
      </w:rPr>
    </w:tblStylePr>
    <w:tblStylePr w:type="firstRow">
      <w:rPr>
        <w:b/>
        <w:color w:val="da9896"/>
      </w:rPr>
      <w:tcPr>
        <w:tcBorders>
          <w:bottom w:val="single" w:color="D99695" w:sz="12" w:space="0"/>
        </w:tcBorders>
      </w:tcPr>
    </w:tblStylePr>
    <w:tblStylePr w:type="lastCol">
      <w:rPr>
        <w:b/>
        <w:color w:val="da9896"/>
      </w:rPr>
    </w:tblStylePr>
    <w:tblStylePr w:type="lastRow">
      <w:rPr>
        <w:b/>
        <w:color w:val="da9896"/>
      </w:rPr>
    </w:tblStylePr>
  </w:style>
  <w:style w:type="table" w:styleId="1607" w:customStyle="1">
    <w:name w:val="Grid Table 6 Colorful - Accent 31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b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bbb59"/>
        <w:sz w:val="22"/>
        <w:szCs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608" w:customStyle="1">
    <w:name w:val="Grid Table 6 Colorful - Accent 41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3a2c7"/>
        <w:sz w:val="22"/>
        <w:szCs w:val="22"/>
      </w:rPr>
      <w:tcPr>
        <w:shd w:val="clear" w:color="auto" w:fill="e5dfec"/>
      </w:tcPr>
    </w:tblStylePr>
    <w:tblStylePr w:type="band1Vert">
      <w:tcPr>
        <w:shd w:val="clear" w:color="auto" w:fill="e5dfec"/>
      </w:tcPr>
    </w:tblStylePr>
    <w:tblStylePr w:type="band2Horz">
      <w:rPr>
        <w:rFonts w:hint="default" w:ascii="Arial" w:hAnsi="Arial" w:cs="Arial"/>
        <w:color w:val="b3a2c7"/>
        <w:sz w:val="22"/>
        <w:szCs w:val="22"/>
      </w:rPr>
    </w:tblStylePr>
    <w:tblStylePr w:type="firstCol">
      <w:rPr>
        <w:b/>
        <w:color w:val="b3a2c7"/>
      </w:rPr>
    </w:tblStylePr>
    <w:tblStylePr w:type="firstRow">
      <w:rPr>
        <w:b/>
        <w:color w:val="b3a2c7"/>
      </w:rPr>
      <w:tcPr>
        <w:tcBorders>
          <w:bottom w:val="single" w:color="B2A1C6" w:sz="12" w:space="0"/>
        </w:tcBorders>
      </w:tcPr>
    </w:tblStylePr>
    <w:tblStylePr w:type="lastCol">
      <w:rPr>
        <w:b/>
        <w:color w:val="b3a2c7"/>
      </w:rPr>
    </w:tblStylePr>
    <w:tblStylePr w:type="lastRow">
      <w:rPr>
        <w:b/>
        <w:color w:val="b3a2c7"/>
      </w:rPr>
    </w:tblStylePr>
  </w:style>
  <w:style w:type="table" w:styleId="1609" w:customStyle="1">
    <w:name w:val="Grid Table 6 Colorful - Accent 51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678"/>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678"/>
        <w:sz w:val="22"/>
        <w:szCs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610" w:customStyle="1">
    <w:name w:val="Grid Table 6 Colorful - Accent 61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678"/>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678"/>
        <w:sz w:val="22"/>
        <w:szCs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611" w:customStyle="1">
    <w:name w:val="网格表 7 彩色1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1612" w:customStyle="1">
    <w:name w:val="Grid Table 7 Colorful - Accent 1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7c0de"/>
        <w:sz w:val="22"/>
        <w:szCs w:val="22"/>
      </w:rPr>
      <w:tcPr>
        <w:shd w:val="clear" w:color="auto" w:fill="dae5f1"/>
      </w:tcPr>
    </w:tblStylePr>
    <w:tblStylePr w:type="band1Vert">
      <w:tcPr>
        <w:shd w:val="clear" w:color="auto" w:fill="dae5f1"/>
      </w:tcPr>
    </w:tblStylePr>
    <w:tblStylePr w:type="band2Horz">
      <w:rPr>
        <w:rFonts w:hint="default" w:ascii="Arial" w:hAnsi="Arial" w:cs="Arial"/>
        <w:color w:val="a7c0de"/>
        <w:sz w:val="22"/>
        <w:szCs w:val="22"/>
      </w:rPr>
    </w:tblStylePr>
    <w:tblStylePr w:type="firstCol">
      <w:rPr>
        <w:rFonts w:hint="default" w:ascii="Arial" w:hAnsi="Arial" w:cs="Arial"/>
        <w:i/>
        <w:color w:val="a7c0de"/>
        <w:sz w:val="22"/>
        <w:szCs w:val="22"/>
      </w:rPr>
      <w:pPr>
        <w:jc w:val="right"/>
      </w:pPr>
      <w:tcPr>
        <w:shd w:val="clear" w:color="auto" w:fill="auto"/>
        <w:tcBorders>
          <w:top w:val="none" w:color="000000" w:sz="4" w:space="0"/>
          <w:left w:val="none" w:color="000000" w:sz="4" w:space="0"/>
          <w:bottom w:val="none" w:color="000000" w:sz="4" w:space="0"/>
          <w:right w:val="single" w:color="A6BFDD" w:sz="4" w:space="0"/>
        </w:tcBorders>
      </w:tcPr>
    </w:tblStylePr>
    <w:tblStylePr w:type="firstRow">
      <w:rPr>
        <w:rFonts w:hint="default" w:ascii="Arial" w:hAnsi="Arial" w:cs="Arial"/>
        <w:b/>
        <w:color w:val="a7c0de"/>
        <w:sz w:val="22"/>
        <w:szCs w:val="22"/>
      </w:rPr>
      <w:tcPr>
        <w:shd w:val="clear" w:color="auto" w:fill="ffffff"/>
        <w:tcBorders>
          <w:top w:val="none" w:color="000000" w:sz="4" w:space="0"/>
          <w:left w:val="none" w:color="000000" w:sz="4" w:space="0"/>
          <w:bottom w:val="single" w:color="A6BFDD" w:sz="4" w:space="0"/>
          <w:right w:val="none" w:color="000000" w:sz="4" w:space="0"/>
        </w:tcBorders>
      </w:tcPr>
    </w:tblStylePr>
    <w:tblStylePr w:type="lastCol">
      <w:rPr>
        <w:rFonts w:hint="default" w:ascii="Arial" w:hAnsi="Arial" w:cs="Arial"/>
        <w:i/>
        <w:color w:val="a7c0de"/>
        <w:sz w:val="22"/>
        <w:szCs w:val="22"/>
      </w:rPr>
      <w:tcPr>
        <w:shd w:val="clear" w:color="auto" w:fill="auto"/>
        <w:tcBorders>
          <w:top w:val="none" w:color="000000" w:sz="4" w:space="0"/>
          <w:left w:val="single" w:color="A6BFDD" w:sz="4" w:space="0"/>
          <w:bottom w:val="none" w:color="000000" w:sz="4" w:space="0"/>
          <w:right w:val="none" w:color="000000" w:sz="4" w:space="0"/>
        </w:tcBorders>
      </w:tcPr>
    </w:tblStylePr>
    <w:tblStylePr w:type="lastRow">
      <w:rPr>
        <w:rFonts w:hint="default" w:ascii="Arial" w:hAnsi="Arial" w:cs="Arial"/>
        <w:b/>
        <w:color w:val="a7c0de"/>
        <w:sz w:val="22"/>
        <w:szCs w:val="22"/>
      </w:rPr>
      <w:tcPr>
        <w:shd w:val="clear" w:color="auto" w:fill="ffffff"/>
        <w:tcBorders>
          <w:top w:val="single" w:color="A6BFDD" w:sz="4" w:space="0"/>
          <w:left w:val="none" w:color="000000" w:sz="4" w:space="0"/>
          <w:bottom w:val="none" w:color="000000" w:sz="4" w:space="0"/>
          <w:right w:val="none" w:color="000000" w:sz="4" w:space="0"/>
        </w:tcBorders>
      </w:tcPr>
    </w:tblStylePr>
  </w:style>
  <w:style w:type="table" w:styleId="1613" w:customStyle="1">
    <w:name w:val="Grid Table 7 Colorful - Accent 21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a9896"/>
        <w:sz w:val="22"/>
        <w:szCs w:val="22"/>
      </w:rPr>
      <w:tcPr>
        <w:shd w:val="clear" w:color="auto" w:fill="f2dcdc"/>
      </w:tcPr>
    </w:tblStylePr>
    <w:tblStylePr w:type="band1Vert">
      <w:tcPr>
        <w:shd w:val="clear" w:color="auto" w:fill="f2dcdc"/>
      </w:tcPr>
    </w:tblStylePr>
    <w:tblStylePr w:type="band2Horz">
      <w:rPr>
        <w:rFonts w:hint="default" w:ascii="Arial" w:hAnsi="Arial" w:cs="Arial"/>
        <w:color w:val="da9896"/>
        <w:sz w:val="22"/>
        <w:szCs w:val="22"/>
      </w:rPr>
    </w:tblStylePr>
    <w:tblStylePr w:type="firstCol">
      <w:rPr>
        <w:rFonts w:hint="default" w:ascii="Arial" w:hAnsi="Arial" w:cs="Arial"/>
        <w:i/>
        <w:color w:val="da9896"/>
        <w:sz w:val="22"/>
        <w:szCs w:val="22"/>
      </w:rPr>
      <w:pPr>
        <w:jc w:val="right"/>
      </w:pPr>
      <w:tcPr>
        <w:shd w:val="clear" w:color="auto" w:fill="auto"/>
        <w:tcBorders>
          <w:top w:val="none" w:color="000000" w:sz="4" w:space="0"/>
          <w:left w:val="none" w:color="000000" w:sz="4" w:space="0"/>
          <w:bottom w:val="none" w:color="000000" w:sz="4" w:space="0"/>
          <w:right w:val="single" w:color="D99695" w:sz="4" w:space="0"/>
        </w:tcBorders>
      </w:tcPr>
    </w:tblStylePr>
    <w:tblStylePr w:type="firstRow">
      <w:rPr>
        <w:rFonts w:hint="default" w:ascii="Arial" w:hAnsi="Arial" w:cs="Arial"/>
        <w:b/>
        <w:color w:val="da9896"/>
        <w:sz w:val="22"/>
        <w:szCs w:val="22"/>
      </w:rPr>
      <w:tcPr>
        <w:shd w:val="clear" w:color="auto" w:fill="ffffff"/>
        <w:tcBorders>
          <w:top w:val="none" w:color="000000" w:sz="4" w:space="0"/>
          <w:left w:val="none" w:color="000000" w:sz="4" w:space="0"/>
          <w:bottom w:val="single" w:color="D99695" w:sz="4" w:space="0"/>
          <w:right w:val="none" w:color="000000" w:sz="4" w:space="0"/>
        </w:tcBorders>
      </w:tcPr>
    </w:tblStylePr>
    <w:tblStylePr w:type="lastCol">
      <w:rPr>
        <w:rFonts w:hint="default" w:ascii="Arial" w:hAnsi="Arial" w:cs="Arial"/>
        <w:i/>
        <w:color w:val="da9896"/>
        <w:sz w:val="22"/>
        <w:szCs w:val="22"/>
      </w:rPr>
      <w:tcPr>
        <w:shd w:val="clear" w:color="auto" w:fill="auto"/>
        <w:tcBorders>
          <w:top w:val="none" w:color="000000" w:sz="4" w:space="0"/>
          <w:left w:val="single" w:color="D99695" w:sz="4" w:space="0"/>
          <w:bottom w:val="none" w:color="000000" w:sz="4" w:space="0"/>
          <w:right w:val="none" w:color="000000" w:sz="4" w:space="0"/>
        </w:tcBorders>
      </w:tcPr>
    </w:tblStylePr>
    <w:tblStylePr w:type="lastRow">
      <w:rPr>
        <w:rFonts w:hint="default" w:ascii="Arial" w:hAnsi="Arial" w:cs="Arial"/>
        <w:b/>
        <w:color w:val="da9896"/>
        <w:sz w:val="22"/>
        <w:szCs w:val="22"/>
      </w:rPr>
      <w:tcPr>
        <w:shd w:val="clear" w:color="auto" w:fill="ffffff"/>
        <w:tcBorders>
          <w:top w:val="single" w:color="D99695" w:sz="4" w:space="0"/>
          <w:left w:val="none" w:color="000000" w:sz="4" w:space="0"/>
          <w:bottom w:val="none" w:color="000000" w:sz="4" w:space="0"/>
          <w:right w:val="none" w:color="000000" w:sz="4" w:space="0"/>
        </w:tcBorders>
      </w:tcPr>
    </w:tblStylePr>
  </w:style>
  <w:style w:type="table" w:styleId="1614" w:customStyle="1">
    <w:name w:val="Grid Table 7 Colorful - Accent 31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b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bbb59"/>
        <w:sz w:val="22"/>
        <w:szCs w:val="22"/>
      </w:rPr>
    </w:tblStylePr>
    <w:tblStylePr w:type="firstCol">
      <w:rPr>
        <w:rFonts w:hint="default" w:ascii="Arial" w:hAnsi="Arial" w:cs="Arial"/>
        <w:i/>
        <w:color w:val="9bbb59"/>
        <w:sz w:val="22"/>
        <w:szCs w:val="22"/>
      </w:rPr>
      <w:pPr>
        <w:jc w:val="right"/>
      </w:pPr>
      <w:tcPr>
        <w:shd w:val="clear" w:color="auto" w:fill="auto"/>
        <w:tcBorders>
          <w:top w:val="none" w:color="000000" w:sz="4" w:space="0"/>
          <w:left w:val="none" w:color="000000" w:sz="4" w:space="0"/>
          <w:bottom w:val="none" w:color="000000" w:sz="4" w:space="0"/>
          <w:right w:val="single" w:color="9ABB59" w:sz="4" w:space="0"/>
        </w:tcBorders>
      </w:tcPr>
    </w:tblStylePr>
    <w:tblStylePr w:type="firstRow">
      <w:rPr>
        <w:rFonts w:hint="default" w:ascii="Arial" w:hAnsi="Arial" w:cs="Arial"/>
        <w:b/>
        <w:color w:val="9bbb59"/>
        <w:sz w:val="22"/>
        <w:szCs w:val="22"/>
      </w:rPr>
      <w:tcPr>
        <w:shd w:val="clear" w:color="auto" w:fill="ffffff"/>
        <w:tcBorders>
          <w:top w:val="none" w:color="000000" w:sz="4" w:space="0"/>
          <w:left w:val="none" w:color="000000" w:sz="4" w:space="0"/>
          <w:bottom w:val="single" w:color="9ABB59" w:sz="4" w:space="0"/>
          <w:right w:val="none" w:color="000000" w:sz="4" w:space="0"/>
        </w:tcBorders>
      </w:tcPr>
    </w:tblStylePr>
    <w:tblStylePr w:type="lastCol">
      <w:rPr>
        <w:rFonts w:hint="default" w:ascii="Arial" w:hAnsi="Arial" w:cs="Arial"/>
        <w:i/>
        <w:color w:val="9bbb59"/>
        <w:sz w:val="22"/>
        <w:szCs w:val="22"/>
      </w:rPr>
      <w:tcPr>
        <w:shd w:val="clear" w:color="auto" w:fill="auto"/>
        <w:tcBorders>
          <w:top w:val="none" w:color="000000" w:sz="4" w:space="0"/>
          <w:left w:val="single" w:color="9ABB59" w:sz="4" w:space="0"/>
          <w:bottom w:val="none" w:color="000000" w:sz="4" w:space="0"/>
          <w:right w:val="none" w:color="000000" w:sz="4" w:space="0"/>
        </w:tcBorders>
      </w:tcPr>
    </w:tblStylePr>
    <w:tblStylePr w:type="lastRow">
      <w:rPr>
        <w:rFonts w:hint="default" w:ascii="Arial" w:hAnsi="Arial" w:cs="Arial"/>
        <w:b/>
        <w:color w:val="9bbb59"/>
        <w:sz w:val="22"/>
        <w:szCs w:val="22"/>
      </w:rPr>
      <w:tcPr>
        <w:shd w:val="clear" w:color="auto" w:fill="ffffff"/>
        <w:tcBorders>
          <w:top w:val="single" w:color="9ABB59" w:sz="4" w:space="0"/>
          <w:left w:val="none" w:color="000000" w:sz="4" w:space="0"/>
          <w:bottom w:val="none" w:color="000000" w:sz="4" w:space="0"/>
          <w:right w:val="none" w:color="000000" w:sz="4" w:space="0"/>
        </w:tcBorders>
      </w:tcPr>
    </w:tblStylePr>
  </w:style>
  <w:style w:type="table" w:styleId="1615" w:customStyle="1">
    <w:name w:val="Grid Table 7 Colorful - Accent 41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3a2c7"/>
        <w:sz w:val="22"/>
        <w:szCs w:val="22"/>
      </w:rPr>
      <w:tcPr>
        <w:shd w:val="clear" w:color="auto" w:fill="e5dfec"/>
      </w:tcPr>
    </w:tblStylePr>
    <w:tblStylePr w:type="band1Vert">
      <w:tcPr>
        <w:shd w:val="clear" w:color="auto" w:fill="e5dfec"/>
      </w:tcPr>
    </w:tblStylePr>
    <w:tblStylePr w:type="band2Horz">
      <w:rPr>
        <w:rFonts w:hint="default" w:ascii="Arial" w:hAnsi="Arial" w:cs="Arial"/>
        <w:color w:val="b3a2c7"/>
        <w:sz w:val="22"/>
        <w:szCs w:val="22"/>
      </w:rPr>
    </w:tblStylePr>
    <w:tblStylePr w:type="firstCol">
      <w:rPr>
        <w:rFonts w:hint="default" w:ascii="Arial" w:hAnsi="Arial" w:cs="Arial"/>
        <w:i/>
        <w:color w:val="b3a2c7"/>
        <w:sz w:val="22"/>
        <w:szCs w:val="22"/>
      </w:rPr>
      <w:pPr>
        <w:jc w:val="right"/>
      </w:pPr>
      <w:tcPr>
        <w:shd w:val="clear" w:color="auto" w:fill="auto"/>
        <w:tcBorders>
          <w:top w:val="none" w:color="000000" w:sz="4" w:space="0"/>
          <w:left w:val="none" w:color="000000" w:sz="4" w:space="0"/>
          <w:bottom w:val="none" w:color="000000" w:sz="4" w:space="0"/>
          <w:right w:val="single" w:color="B2A1C6" w:sz="4" w:space="0"/>
        </w:tcBorders>
      </w:tcPr>
    </w:tblStylePr>
    <w:tblStylePr w:type="firstRow">
      <w:rPr>
        <w:rFonts w:hint="default" w:ascii="Arial" w:hAnsi="Arial" w:cs="Arial"/>
        <w:b/>
        <w:color w:val="b3a2c7"/>
        <w:sz w:val="22"/>
        <w:szCs w:val="22"/>
      </w:rPr>
      <w:tcPr>
        <w:shd w:val="clear" w:color="auto" w:fill="ffffff"/>
        <w:tcBorders>
          <w:top w:val="none" w:color="000000" w:sz="4" w:space="0"/>
          <w:left w:val="none" w:color="000000" w:sz="4" w:space="0"/>
          <w:bottom w:val="single" w:color="B2A1C6" w:sz="4" w:space="0"/>
          <w:right w:val="none" w:color="000000" w:sz="4" w:space="0"/>
        </w:tcBorders>
      </w:tcPr>
    </w:tblStylePr>
    <w:tblStylePr w:type="lastCol">
      <w:rPr>
        <w:rFonts w:hint="default" w:ascii="Arial" w:hAnsi="Arial" w:cs="Arial"/>
        <w:i/>
        <w:color w:val="b3a2c7"/>
        <w:sz w:val="22"/>
        <w:szCs w:val="22"/>
      </w:rPr>
      <w:tcPr>
        <w:shd w:val="clear" w:color="auto" w:fill="auto"/>
        <w:tcBorders>
          <w:top w:val="none" w:color="000000" w:sz="4" w:space="0"/>
          <w:left w:val="single" w:color="B2A1C6" w:sz="4" w:space="0"/>
          <w:bottom w:val="none" w:color="000000" w:sz="4" w:space="0"/>
          <w:right w:val="none" w:color="000000" w:sz="4" w:space="0"/>
        </w:tcBorders>
      </w:tcPr>
    </w:tblStylePr>
    <w:tblStylePr w:type="lastRow">
      <w:rPr>
        <w:rFonts w:hint="default" w:ascii="Arial" w:hAnsi="Arial" w:cs="Arial"/>
        <w:b/>
        <w:color w:val="b3a2c7"/>
        <w:sz w:val="22"/>
        <w:szCs w:val="22"/>
      </w:rPr>
      <w:tcPr>
        <w:shd w:val="clear" w:color="auto" w:fill="ffffff"/>
        <w:tcBorders>
          <w:top w:val="single" w:color="B2A1C6" w:sz="4" w:space="0"/>
          <w:left w:val="none" w:color="000000" w:sz="4" w:space="0"/>
          <w:bottom w:val="none" w:color="000000" w:sz="4" w:space="0"/>
          <w:right w:val="none" w:color="000000" w:sz="4" w:space="0"/>
        </w:tcBorders>
      </w:tcPr>
    </w:tblStylePr>
  </w:style>
  <w:style w:type="table" w:styleId="1616" w:customStyle="1">
    <w:name w:val="Grid Table 7 Colorful - Accent 51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678"/>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678"/>
        <w:sz w:val="22"/>
        <w:szCs w:val="22"/>
      </w:rPr>
    </w:tblStylePr>
    <w:tblStylePr w:type="firstCol">
      <w:rPr>
        <w:rFonts w:hint="default" w:ascii="Arial" w:hAnsi="Arial" w:cs="Arial"/>
        <w:i/>
        <w:color w:val="266678"/>
        <w:sz w:val="22"/>
        <w:szCs w:val="22"/>
      </w:rPr>
      <w:pPr>
        <w:jc w:val="right"/>
      </w:pPr>
      <w:tcPr>
        <w:shd w:val="clear" w:color="auto" w:fill="auto"/>
        <w:tcBorders>
          <w:top w:val="none" w:color="000000" w:sz="4" w:space="0"/>
          <w:left w:val="none" w:color="000000" w:sz="4" w:space="0"/>
          <w:bottom w:val="none" w:color="000000" w:sz="4" w:space="0"/>
          <w:right w:val="single" w:color="99D0DE" w:sz="4" w:space="0"/>
        </w:tcBorders>
      </w:tcPr>
    </w:tblStylePr>
    <w:tblStylePr w:type="firstRow">
      <w:rPr>
        <w:rFonts w:hint="default" w:ascii="Arial" w:hAnsi="Arial" w:cs="Arial"/>
        <w:b/>
        <w:color w:val="266678"/>
        <w:sz w:val="22"/>
        <w:szCs w:val="22"/>
      </w:rPr>
      <w:tcPr>
        <w:shd w:val="clear" w:color="auto" w:fill="ffffff"/>
        <w:tcBorders>
          <w:top w:val="none" w:color="000000" w:sz="4" w:space="0"/>
          <w:left w:val="none" w:color="000000" w:sz="4" w:space="0"/>
          <w:bottom w:val="single" w:color="99D0DE" w:sz="4" w:space="0"/>
          <w:right w:val="none" w:color="000000" w:sz="4" w:space="0"/>
        </w:tcBorders>
      </w:tcPr>
    </w:tblStylePr>
    <w:tblStylePr w:type="lastCol">
      <w:rPr>
        <w:rFonts w:hint="default" w:ascii="Arial" w:hAnsi="Arial" w:cs="Arial"/>
        <w:i/>
        <w:color w:val="266678"/>
        <w:sz w:val="22"/>
        <w:szCs w:val="22"/>
      </w:rPr>
      <w:tcPr>
        <w:shd w:val="clear" w:color="auto" w:fill="auto"/>
        <w:tcBorders>
          <w:top w:val="none" w:color="000000" w:sz="4" w:space="0"/>
          <w:left w:val="single" w:color="99D0DE" w:sz="4" w:space="0"/>
          <w:bottom w:val="none" w:color="000000" w:sz="4" w:space="0"/>
          <w:right w:val="none" w:color="000000" w:sz="4" w:space="0"/>
        </w:tcBorders>
      </w:tcPr>
    </w:tblStylePr>
    <w:tblStylePr w:type="lastRow">
      <w:rPr>
        <w:rFonts w:hint="default" w:ascii="Arial" w:hAnsi="Arial" w:cs="Arial"/>
        <w:b/>
        <w:color w:val="266678"/>
        <w:sz w:val="22"/>
        <w:szCs w:val="22"/>
      </w:rPr>
      <w:tcPr>
        <w:shd w:val="clear" w:color="auto" w:fill="ffffff"/>
        <w:tcBorders>
          <w:top w:val="single" w:color="99D0DE" w:sz="4" w:space="0"/>
          <w:left w:val="none" w:color="000000" w:sz="4" w:space="0"/>
          <w:bottom w:val="none" w:color="000000" w:sz="4" w:space="0"/>
          <w:right w:val="none" w:color="000000" w:sz="4" w:space="0"/>
        </w:tcBorders>
      </w:tcPr>
    </w:tblStylePr>
  </w:style>
  <w:style w:type="table" w:styleId="1617" w:customStyle="1">
    <w:name w:val="Grid Table 7 Colorful - Accent 61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053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05307"/>
        <w:sz w:val="22"/>
        <w:szCs w:val="22"/>
      </w:rPr>
    </w:tblStylePr>
    <w:tblStylePr w:type="firstCol">
      <w:rPr>
        <w:rFonts w:hint="default" w:ascii="Arial" w:hAnsi="Arial" w:cs="Arial"/>
        <w:i/>
        <w:color w:val="b05307"/>
        <w:sz w:val="22"/>
        <w:szCs w:val="22"/>
      </w:rPr>
      <w:pPr>
        <w:jc w:val="right"/>
      </w:pPr>
      <w:tcPr>
        <w:shd w:val="clear" w:color="auto" w:fill="auto"/>
        <w:tcBorders>
          <w:top w:val="none" w:color="000000" w:sz="4" w:space="0"/>
          <w:left w:val="none" w:color="000000" w:sz="4" w:space="0"/>
          <w:bottom w:val="none" w:color="000000" w:sz="4" w:space="0"/>
          <w:right w:val="single" w:color="FAC396" w:sz="4" w:space="0"/>
        </w:tcBorders>
      </w:tcPr>
    </w:tblStylePr>
    <w:tblStylePr w:type="firstRow">
      <w:rPr>
        <w:rFonts w:hint="default" w:ascii="Arial" w:hAnsi="Arial" w:cs="Arial"/>
        <w:b/>
        <w:color w:val="b05307"/>
        <w:sz w:val="22"/>
        <w:szCs w:val="22"/>
      </w:rPr>
      <w:tcPr>
        <w:shd w:val="clear" w:color="auto" w:fill="ffffff"/>
        <w:tcBorders>
          <w:top w:val="none" w:color="000000" w:sz="4" w:space="0"/>
          <w:left w:val="none" w:color="000000" w:sz="4" w:space="0"/>
          <w:bottom w:val="single" w:color="FAC396" w:sz="4" w:space="0"/>
          <w:right w:val="none" w:color="000000" w:sz="4" w:space="0"/>
        </w:tcBorders>
      </w:tcPr>
    </w:tblStylePr>
    <w:tblStylePr w:type="lastCol">
      <w:rPr>
        <w:rFonts w:hint="default" w:ascii="Arial" w:hAnsi="Arial" w:cs="Arial"/>
        <w:i/>
        <w:color w:val="b05307"/>
        <w:sz w:val="22"/>
        <w:szCs w:val="22"/>
      </w:rPr>
      <w:tcPr>
        <w:shd w:val="clear" w:color="auto" w:fill="auto"/>
        <w:tcBorders>
          <w:top w:val="none" w:color="000000" w:sz="4" w:space="0"/>
          <w:left w:val="single" w:color="FAC396" w:sz="4" w:space="0"/>
          <w:bottom w:val="none" w:color="000000" w:sz="4" w:space="0"/>
          <w:right w:val="none" w:color="000000" w:sz="4" w:space="0"/>
        </w:tcBorders>
      </w:tcPr>
    </w:tblStylePr>
    <w:tblStylePr w:type="lastRow">
      <w:rPr>
        <w:rFonts w:hint="default" w:ascii="Arial" w:hAnsi="Arial" w:cs="Arial"/>
        <w:b/>
        <w:color w:val="b05307"/>
        <w:sz w:val="22"/>
        <w:szCs w:val="22"/>
      </w:rPr>
      <w:tcPr>
        <w:shd w:val="clear" w:color="auto" w:fill="ffffff"/>
        <w:tcBorders>
          <w:top w:val="single" w:color="FAC396" w:sz="4" w:space="0"/>
          <w:left w:val="none" w:color="000000" w:sz="4" w:space="0"/>
          <w:bottom w:val="none" w:color="000000" w:sz="4" w:space="0"/>
          <w:right w:val="none" w:color="000000" w:sz="4" w:space="0"/>
        </w:tcBorders>
      </w:tcPr>
    </w:tblStylePr>
  </w:style>
  <w:style w:type="table" w:styleId="1618" w:customStyle="1">
    <w:name w:val="清单表 1 浅色111"/>
    <w:uiPriority w:val="99"/>
    <w:qFormat/>
    <w:tblPr>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619" w:customStyle="1">
    <w:name w:val="List Table 1 Light - Accent 111"/>
    <w:uiPriority w:val="99"/>
    <w:qFormat/>
    <w:tblPr>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620" w:customStyle="1">
    <w:name w:val="List Table 1 Light - Accent 211"/>
    <w:uiPriority w:val="99"/>
    <w:qFormat/>
    <w:tblPr>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621" w:customStyle="1">
    <w:name w:val="List Table 1 Light - Accent 311"/>
    <w:uiPriority w:val="99"/>
    <w:qFormat/>
    <w:tblPr>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622" w:customStyle="1">
    <w:name w:val="List Table 1 Light - Accent 411"/>
    <w:uiPriority w:val="99"/>
    <w:qFormat/>
    <w:tblPr>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623" w:customStyle="1">
    <w:name w:val="List Table 1 Light - Accent 511"/>
    <w:uiPriority w:val="99"/>
    <w:qFormat/>
    <w:tblPr>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624" w:customStyle="1">
    <w:name w:val="List Table 1 Light - Accent 611"/>
    <w:uiPriority w:val="99"/>
    <w:qFormat/>
    <w:tblPr>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625" w:customStyle="1">
    <w:name w:val="清单表 21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style>
  <w:style w:type="table" w:styleId="1626" w:customStyle="1">
    <w:name w:val="List Table 2 - Accent 1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000000" w:sz="4" w:space="0"/>
          <w:bottom w:val="single" w:color="9BB7D9"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000000" w:sz="4" w:space="0"/>
          <w:bottom w:val="single" w:color="9BB7D9" w:sz="4" w:space="0"/>
          <w:right w:val="none" w:color="000000" w:sz="4" w:space="0"/>
        </w:tcBorders>
      </w:tcPr>
    </w:tblStylePr>
  </w:style>
  <w:style w:type="table" w:styleId="1627" w:customStyle="1">
    <w:name w:val="List Table 2 - Accent 21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000000" w:sz="4" w:space="0"/>
          <w:bottom w:val="single" w:color="DB9B9A"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000000" w:sz="4" w:space="0"/>
          <w:bottom w:val="single" w:color="DB9B9A" w:sz="4" w:space="0"/>
          <w:right w:val="none" w:color="000000" w:sz="4" w:space="0"/>
        </w:tcBorders>
      </w:tcPr>
    </w:tblStylePr>
  </w:style>
  <w:style w:type="table" w:styleId="1628" w:customStyle="1">
    <w:name w:val="List Table 2 - Accent 31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000000" w:sz="4" w:space="0"/>
          <w:bottom w:val="single" w:color="C6D8A1"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000000" w:sz="4" w:space="0"/>
          <w:bottom w:val="single" w:color="C6D8A1" w:sz="4" w:space="0"/>
          <w:right w:val="none" w:color="000000" w:sz="4" w:space="0"/>
        </w:tcBorders>
      </w:tcPr>
    </w:tblStylePr>
  </w:style>
  <w:style w:type="table" w:styleId="1629" w:customStyle="1">
    <w:name w:val="List Table 2 - Accent 41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000000" w:sz="4" w:space="0"/>
          <w:bottom w:val="single" w:color="B7A7CA"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000000" w:sz="4" w:space="0"/>
          <w:bottom w:val="single" w:color="B7A7CA" w:sz="4" w:space="0"/>
          <w:right w:val="none" w:color="000000" w:sz="4" w:space="0"/>
        </w:tcBorders>
      </w:tcPr>
    </w:tblStylePr>
  </w:style>
  <w:style w:type="table" w:styleId="1630" w:customStyle="1">
    <w:name w:val="List Table 2 - Accent 51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000000" w:sz="4" w:space="0"/>
          <w:bottom w:val="single" w:color="99D0DE"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000000" w:sz="4" w:space="0"/>
          <w:bottom w:val="single" w:color="99D0DE" w:sz="4" w:space="0"/>
          <w:right w:val="none" w:color="000000" w:sz="4" w:space="0"/>
        </w:tcBorders>
      </w:tcPr>
    </w:tblStylePr>
  </w:style>
  <w:style w:type="table" w:styleId="1631" w:customStyle="1">
    <w:name w:val="List Table 2 - Accent 61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000000" w:sz="4" w:space="0"/>
          <w:bottom w:val="single" w:color="FAC396"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000000" w:sz="4" w:space="0"/>
          <w:bottom w:val="single" w:color="FAC396" w:sz="4" w:space="0"/>
          <w:right w:val="none" w:color="000000" w:sz="4" w:space="0"/>
        </w:tcBorders>
      </w:tcPr>
    </w:tblStylePr>
  </w:style>
  <w:style w:type="table" w:styleId="1632" w:customStyle="1">
    <w:name w:val="清单表 31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1633" w:customStyle="1">
    <w:name w:val="List Table 3 - Accent 1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1634" w:customStyle="1">
    <w:name w:val="List Table 3 - Accent 21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1635" w:customStyle="1">
    <w:name w:val="List Table 3 - Accent 31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1636" w:customStyle="1">
    <w:name w:val="List Table 3 - Accent 41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1637" w:customStyle="1">
    <w:name w:val="List Table 3 - Accent 51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1638" w:customStyle="1">
    <w:name w:val="List Table 3 - Accent 61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1639" w:customStyle="1">
    <w:name w:val="清单表 41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1640" w:customStyle="1">
    <w:name w:val="List Table 4 - Accent 1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1641" w:customStyle="1">
    <w:name w:val="List Table 4 - Accent 21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1642" w:customStyle="1">
    <w:name w:val="List Table 4 - Accent 31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1643" w:customStyle="1">
    <w:name w:val="List Table 4 - Accent 41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1644" w:customStyle="1">
    <w:name w:val="List Table 4 - Accent 51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1645" w:customStyle="1">
    <w:name w:val="List Table 4 - Accent 61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1646" w:customStyle="1">
    <w:name w:val="清单表 5 深色111"/>
    <w:uiPriority w:val="99"/>
    <w:qFormat/>
    <w:tblPr>
      <w:tblBorders>
        <w:top w:val="single" w:color="7F7F7F" w:sz="36" w:space="0"/>
        <w:left w:val="single" w:color="7F7F7F" w:sz="36" w:space="0"/>
        <w:bottom w:val="single" w:color="7F7F7F" w:sz="36" w:space="0"/>
        <w:right w:val="single" w:color="7F7F7F" w:sz="36" w:space="0"/>
      </w:tblBorders>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1647" w:customStyle="1">
    <w:name w:val="List Table 5 Dark - Accent 111"/>
    <w:uiPriority w:val="99"/>
    <w:qFormat/>
    <w:tblPr>
      <w:tblBorders>
        <w:top w:val="single" w:color="4F81BD" w:sz="36" w:space="0"/>
        <w:left w:val="single" w:color="4F81BD" w:sz="36" w:space="0"/>
        <w:bottom w:val="single" w:color="4F81BD" w:sz="36" w:space="0"/>
        <w:right w:val="single" w:color="4F81BD" w:sz="36" w:space="0"/>
      </w:tblBorders>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1648" w:customStyle="1">
    <w:name w:val="List Table 5 Dark - Accent 211"/>
    <w:uiPriority w:val="99"/>
    <w:qFormat/>
    <w:tblPr>
      <w:tblBorders>
        <w:top w:val="single" w:color="D99695" w:sz="36" w:space="0"/>
        <w:left w:val="single" w:color="D99695" w:sz="36" w:space="0"/>
        <w:bottom w:val="single" w:color="D99695" w:sz="36" w:space="0"/>
        <w:right w:val="single" w:color="D99695" w:sz="36" w:space="0"/>
      </w:tblBorders>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1649" w:customStyle="1">
    <w:name w:val="List Table 5 Dark - Accent 311"/>
    <w:uiPriority w:val="99"/>
    <w:qFormat/>
    <w:tblPr>
      <w:tblBorders>
        <w:top w:val="single" w:color="C3D69B" w:sz="36" w:space="0"/>
        <w:left w:val="single" w:color="C3D69B" w:sz="36" w:space="0"/>
        <w:bottom w:val="single" w:color="C3D69B" w:sz="36" w:space="0"/>
        <w:right w:val="single" w:color="C3D69B" w:sz="36" w:space="0"/>
      </w:tblBorders>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1650" w:customStyle="1">
    <w:name w:val="List Table 5 Dark - Accent 411"/>
    <w:uiPriority w:val="99"/>
    <w:qFormat/>
    <w:tblPr>
      <w:tblBorders>
        <w:top w:val="single" w:color="B2A1C6" w:sz="36" w:space="0"/>
        <w:left w:val="single" w:color="B2A1C6" w:sz="36" w:space="0"/>
        <w:bottom w:val="single" w:color="B2A1C6" w:sz="36" w:space="0"/>
        <w:right w:val="single" w:color="B2A1C6" w:sz="36" w:space="0"/>
      </w:tblBorders>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1651" w:customStyle="1">
    <w:name w:val="List Table 5 Dark - Accent 511"/>
    <w:uiPriority w:val="99"/>
    <w:qFormat/>
    <w:tblPr>
      <w:tblBorders>
        <w:top w:val="single" w:color="92CCDC" w:sz="36" w:space="0"/>
        <w:left w:val="single" w:color="92CCDC" w:sz="36" w:space="0"/>
        <w:bottom w:val="single" w:color="92CCDC" w:sz="36" w:space="0"/>
        <w:right w:val="single" w:color="92CCDC" w:sz="36" w:space="0"/>
      </w:tblBorders>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1652" w:customStyle="1">
    <w:name w:val="List Table 5 Dark - Accent 611"/>
    <w:uiPriority w:val="99"/>
    <w:qFormat/>
    <w:tblPr>
      <w:tblBorders>
        <w:top w:val="single" w:color="FAC090" w:sz="36" w:space="0"/>
        <w:left w:val="single" w:color="FAC090" w:sz="36" w:space="0"/>
        <w:bottom w:val="single" w:color="FAC090" w:sz="36" w:space="0"/>
        <w:right w:val="single" w:color="FAC090" w:sz="36" w:space="0"/>
      </w:tblBorders>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1653" w:customStyle="1">
    <w:name w:val="清单表 6 彩色11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654" w:customStyle="1">
    <w:name w:val="List Table 6 Colorful - Accent 11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0"/>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0"/>
        <w:sz w:val="22"/>
        <w:szCs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655" w:customStyle="1">
    <w:name w:val="List Table 6 Colorful - Accent 211"/>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a9896"/>
        <w:sz w:val="22"/>
        <w:szCs w:val="22"/>
      </w:rPr>
      <w:tcPr>
        <w:shd w:val="clear" w:color="auto" w:fill="efd2d2"/>
      </w:tcPr>
    </w:tblStylePr>
    <w:tblStylePr w:type="band1Vert">
      <w:tcPr>
        <w:shd w:val="clear" w:color="auto" w:fill="efd2d2"/>
      </w:tcPr>
    </w:tblStylePr>
    <w:tblStylePr w:type="band2Horz">
      <w:rPr>
        <w:rFonts w:hint="default" w:ascii="Arial" w:hAnsi="Arial" w:cs="Arial"/>
        <w:color w:val="da9896"/>
        <w:sz w:val="22"/>
        <w:szCs w:val="22"/>
      </w:rPr>
    </w:tblStylePr>
    <w:tblStylePr w:type="firstCol">
      <w:rPr>
        <w:b/>
        <w:color w:val="da9896"/>
      </w:rPr>
    </w:tblStylePr>
    <w:tblStylePr w:type="firstRow">
      <w:rPr>
        <w:b/>
        <w:color w:val="da9896"/>
      </w:rPr>
      <w:tcPr>
        <w:tcBorders>
          <w:bottom w:val="single" w:color="D99695" w:sz="4" w:space="0"/>
        </w:tcBorders>
      </w:tcPr>
    </w:tblStylePr>
    <w:tblStylePr w:type="lastCol">
      <w:rPr>
        <w:b/>
        <w:color w:val="da9896"/>
      </w:rPr>
    </w:tblStylePr>
    <w:tblStylePr w:type="lastRow">
      <w:rPr>
        <w:b/>
        <w:color w:val="da9896"/>
      </w:rPr>
      <w:tcPr>
        <w:tcBorders>
          <w:top w:val="single" w:color="D99695" w:sz="4" w:space="0"/>
        </w:tcBorders>
      </w:tcPr>
    </w:tblStylePr>
  </w:style>
  <w:style w:type="table" w:styleId="1656" w:customStyle="1">
    <w:name w:val="List Table 6 Colorful - Accent 311"/>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657" w:customStyle="1">
    <w:name w:val="List Table 6 Colorful - Accent 411"/>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3a2c7"/>
        <w:sz w:val="22"/>
        <w:szCs w:val="22"/>
      </w:rPr>
      <w:tcPr>
        <w:shd w:val="clear" w:color="auto" w:fill="dfd8e7"/>
      </w:tcPr>
    </w:tblStylePr>
    <w:tblStylePr w:type="band1Vert">
      <w:tcPr>
        <w:shd w:val="clear" w:color="auto" w:fill="dfd8e7"/>
      </w:tcPr>
    </w:tblStylePr>
    <w:tblStylePr w:type="band2Horz">
      <w:rPr>
        <w:rFonts w:hint="default" w:ascii="Arial" w:hAnsi="Arial" w:cs="Arial"/>
        <w:color w:val="b3a2c7"/>
        <w:sz w:val="22"/>
        <w:szCs w:val="22"/>
      </w:rPr>
    </w:tblStylePr>
    <w:tblStylePr w:type="firstCol">
      <w:rPr>
        <w:b/>
        <w:color w:val="b3a2c7"/>
      </w:rPr>
    </w:tblStylePr>
    <w:tblStylePr w:type="firstRow">
      <w:rPr>
        <w:b/>
        <w:color w:val="b3a2c7"/>
      </w:rPr>
      <w:tcPr>
        <w:tcBorders>
          <w:bottom w:val="single" w:color="B2A1C6" w:sz="4" w:space="0"/>
        </w:tcBorders>
      </w:tcPr>
    </w:tblStylePr>
    <w:tblStylePr w:type="lastCol">
      <w:rPr>
        <w:b/>
        <w:color w:val="b3a2c7"/>
      </w:rPr>
    </w:tblStylePr>
    <w:tblStylePr w:type="lastRow">
      <w:rPr>
        <w:b/>
        <w:color w:val="b3a2c7"/>
      </w:rPr>
      <w:tcPr>
        <w:tcBorders>
          <w:top w:val="single" w:color="B2A1C6" w:sz="4" w:space="0"/>
        </w:tcBorders>
      </w:tcPr>
    </w:tblStylePr>
  </w:style>
  <w:style w:type="table" w:styleId="1658" w:customStyle="1">
    <w:name w:val="List Table 6 Colorful - Accent 511"/>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3cddd"/>
        <w:sz w:val="22"/>
        <w:szCs w:val="22"/>
      </w:rPr>
      <w:tcPr>
        <w:shd w:val="clear" w:color="auto" w:fill="d1eaf0"/>
      </w:tcPr>
    </w:tblStylePr>
    <w:tblStylePr w:type="band1Vert">
      <w:tcPr>
        <w:shd w:val="clear" w:color="auto" w:fill="d1eaf0"/>
      </w:tcPr>
    </w:tblStylePr>
    <w:tblStylePr w:type="band2Horz">
      <w:rPr>
        <w:rFonts w:hint="default" w:ascii="Arial" w:hAnsi="Arial" w:cs="Arial"/>
        <w:color w:val="93cddd"/>
        <w:sz w:val="22"/>
        <w:szCs w:val="22"/>
      </w:rPr>
    </w:tblStylePr>
    <w:tblStylePr w:type="firstCol">
      <w:rPr>
        <w:b/>
        <w:color w:val="93cddd"/>
      </w:rPr>
    </w:tblStylePr>
    <w:tblStylePr w:type="firstRow">
      <w:rPr>
        <w:b/>
        <w:color w:val="93cddd"/>
      </w:rPr>
      <w:tcPr>
        <w:tcBorders>
          <w:bottom w:val="single" w:color="92CCDC" w:sz="4" w:space="0"/>
        </w:tcBorders>
      </w:tcPr>
    </w:tblStylePr>
    <w:tblStylePr w:type="lastCol">
      <w:rPr>
        <w:b/>
        <w:color w:val="93cddd"/>
      </w:rPr>
    </w:tblStylePr>
    <w:tblStylePr w:type="lastRow">
      <w:rPr>
        <w:b/>
        <w:color w:val="93cddd"/>
      </w:rPr>
      <w:tcPr>
        <w:tcBorders>
          <w:top w:val="single" w:color="92CCDC" w:sz="4" w:space="0"/>
        </w:tcBorders>
      </w:tcPr>
    </w:tblStylePr>
  </w:style>
  <w:style w:type="table" w:styleId="1659" w:customStyle="1">
    <w:name w:val="List Table 6 Colorful - Accent 611"/>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660" w:customStyle="1">
    <w:name w:val="清单表 7 彩色111"/>
    <w:uiPriority w:val="99"/>
    <w:qFormat/>
    <w:tblPr>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1661" w:customStyle="1">
    <w:name w:val="List Table 7 Colorful - Accent 111"/>
    <w:uiPriority w:val="99"/>
    <w:qFormat/>
    <w:tblPr>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0"/>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0"/>
        <w:sz w:val="22"/>
        <w:szCs w:val="22"/>
      </w:rPr>
    </w:tblStylePr>
    <w:tblStylePr w:type="firstCol">
      <w:rPr>
        <w:rFonts w:hint="default" w:ascii="Arial" w:hAnsi="Arial" w:cs="Arial"/>
        <w:i/>
        <w:color w:val="2a4a70"/>
        <w:sz w:val="22"/>
        <w:szCs w:val="22"/>
      </w:rPr>
      <w:pPr>
        <w:jc w:val="right"/>
      </w:pPr>
      <w:tcPr>
        <w:shd w:val="clear" w:color="auto" w:fill="auto"/>
        <w:tcBorders>
          <w:top w:val="none" w:color="000000" w:sz="4" w:space="0"/>
          <w:left w:val="none" w:color="000000" w:sz="4" w:space="0"/>
          <w:bottom w:val="none" w:color="000000" w:sz="4" w:space="0"/>
          <w:right w:val="single" w:color="4F81BD" w:sz="4" w:space="0"/>
        </w:tcBorders>
      </w:tcPr>
    </w:tblStylePr>
    <w:tblStylePr w:type="firstRow">
      <w:rPr>
        <w:rFonts w:hint="default" w:ascii="Arial" w:hAnsi="Arial" w:cs="Arial"/>
        <w:i/>
        <w:color w:val="2a4a70"/>
        <w:sz w:val="22"/>
        <w:szCs w:val="22"/>
      </w:rPr>
      <w:tcPr>
        <w:shd w:val="clear" w:color="auto" w:fill="ffffff"/>
        <w:tcBorders>
          <w:top w:val="none" w:color="000000" w:sz="4" w:space="0"/>
          <w:left w:val="none" w:color="000000" w:sz="4" w:space="0"/>
          <w:bottom w:val="single" w:color="4F81BD" w:sz="4" w:space="0"/>
          <w:right w:val="none" w:color="000000" w:sz="4" w:space="0"/>
        </w:tcBorders>
      </w:tcPr>
    </w:tblStylePr>
    <w:tblStylePr w:type="lastCol">
      <w:rPr>
        <w:rFonts w:hint="default" w:ascii="Arial" w:hAnsi="Arial" w:cs="Arial"/>
        <w:i/>
        <w:color w:val="2a4a70"/>
        <w:sz w:val="22"/>
        <w:szCs w:val="22"/>
      </w:rPr>
      <w:tcPr>
        <w:shd w:val="clear" w:color="auto" w:fill="auto"/>
        <w:tcBorders>
          <w:top w:val="none" w:color="000000" w:sz="4" w:space="0"/>
          <w:left w:val="single" w:color="4F81BD" w:sz="4" w:space="0"/>
          <w:bottom w:val="none" w:color="000000" w:sz="4" w:space="0"/>
          <w:right w:val="none" w:color="000000" w:sz="4" w:space="0"/>
        </w:tcBorders>
      </w:tcPr>
    </w:tblStylePr>
    <w:tblStylePr w:type="lastRow">
      <w:rPr>
        <w:rFonts w:hint="default" w:ascii="Arial" w:hAnsi="Arial" w:cs="Arial"/>
        <w:i/>
        <w:color w:val="2a4a70"/>
        <w:sz w:val="22"/>
        <w:szCs w:val="22"/>
      </w:rPr>
      <w:tcPr>
        <w:shd w:val="clear" w:color="auto" w:fill="ffffff"/>
        <w:tcBorders>
          <w:top w:val="single" w:color="4F81BD" w:sz="4" w:space="0"/>
          <w:left w:val="none" w:color="000000" w:sz="4" w:space="0"/>
          <w:bottom w:val="none" w:color="000000" w:sz="4" w:space="0"/>
          <w:right w:val="none" w:color="000000" w:sz="4" w:space="0"/>
        </w:tcBorders>
      </w:tcPr>
    </w:tblStylePr>
  </w:style>
  <w:style w:type="table" w:styleId="1662" w:customStyle="1">
    <w:name w:val="List Table 7 Colorful - Accent 211"/>
    <w:uiPriority w:val="99"/>
    <w:qFormat/>
    <w:tblPr>
      <w:tblBorders>
        <w:right w:val="single" w:color="D99695" w:sz="4" w:space="0"/>
      </w:tblBorders>
      <w:tblCellMar>
        <w:left w:w="0" w:type="dxa"/>
        <w:top w:w="0" w:type="dxa"/>
        <w:right w:w="0" w:type="dxa"/>
        <w:bottom w:w="0" w:type="dxa"/>
      </w:tblCellMar>
    </w:tblPr>
    <w:tblStylePr w:type="band1Horz">
      <w:rPr>
        <w:rFonts w:hint="default" w:ascii="Arial" w:hAnsi="Arial" w:cs="Arial"/>
        <w:color w:val="da9896"/>
        <w:sz w:val="22"/>
        <w:szCs w:val="22"/>
      </w:rPr>
      <w:tcPr>
        <w:shd w:val="clear" w:color="auto" w:fill="efd2d2"/>
      </w:tcPr>
    </w:tblStylePr>
    <w:tblStylePr w:type="band1Vert">
      <w:tcPr>
        <w:shd w:val="clear" w:color="auto" w:fill="efd2d2"/>
      </w:tcPr>
    </w:tblStylePr>
    <w:tblStylePr w:type="band2Horz">
      <w:rPr>
        <w:rFonts w:hint="default" w:ascii="Arial" w:hAnsi="Arial" w:cs="Arial"/>
        <w:color w:val="da9896"/>
        <w:sz w:val="22"/>
        <w:szCs w:val="22"/>
      </w:rPr>
    </w:tblStylePr>
    <w:tblStylePr w:type="firstCol">
      <w:rPr>
        <w:rFonts w:hint="default" w:ascii="Arial" w:hAnsi="Arial" w:cs="Arial"/>
        <w:i/>
        <w:color w:val="da9896"/>
        <w:sz w:val="22"/>
        <w:szCs w:val="22"/>
      </w:rPr>
      <w:pPr>
        <w:jc w:val="right"/>
      </w:pPr>
      <w:tcPr>
        <w:shd w:val="clear" w:color="auto" w:fill="auto"/>
        <w:tcBorders>
          <w:top w:val="none" w:color="000000" w:sz="4" w:space="0"/>
          <w:left w:val="none" w:color="000000" w:sz="4" w:space="0"/>
          <w:bottom w:val="none" w:color="000000" w:sz="4" w:space="0"/>
          <w:right w:val="single" w:color="D99695" w:sz="4" w:space="0"/>
        </w:tcBorders>
      </w:tcPr>
    </w:tblStylePr>
    <w:tblStylePr w:type="firstRow">
      <w:rPr>
        <w:rFonts w:hint="default" w:ascii="Arial" w:hAnsi="Arial" w:cs="Arial"/>
        <w:i/>
        <w:color w:val="da9896"/>
        <w:sz w:val="22"/>
        <w:szCs w:val="22"/>
      </w:rPr>
      <w:tcPr>
        <w:shd w:val="clear" w:color="auto" w:fill="ffffff"/>
        <w:tcBorders>
          <w:top w:val="none" w:color="000000" w:sz="4" w:space="0"/>
          <w:left w:val="none" w:color="000000" w:sz="4" w:space="0"/>
          <w:bottom w:val="single" w:color="D99695" w:sz="4" w:space="0"/>
          <w:right w:val="none" w:color="000000" w:sz="4" w:space="0"/>
        </w:tcBorders>
      </w:tcPr>
    </w:tblStylePr>
    <w:tblStylePr w:type="lastCol">
      <w:rPr>
        <w:rFonts w:hint="default" w:ascii="Arial" w:hAnsi="Arial" w:cs="Arial"/>
        <w:i/>
        <w:color w:val="da9896"/>
        <w:sz w:val="22"/>
        <w:szCs w:val="22"/>
      </w:rPr>
      <w:tcPr>
        <w:shd w:val="clear" w:color="auto" w:fill="auto"/>
        <w:tcBorders>
          <w:top w:val="none" w:color="000000" w:sz="4" w:space="0"/>
          <w:left w:val="single" w:color="D99695" w:sz="4" w:space="0"/>
          <w:bottom w:val="none" w:color="000000" w:sz="4" w:space="0"/>
          <w:right w:val="none" w:color="000000" w:sz="4" w:space="0"/>
        </w:tcBorders>
      </w:tcPr>
    </w:tblStylePr>
    <w:tblStylePr w:type="lastRow">
      <w:rPr>
        <w:rFonts w:hint="default" w:ascii="Arial" w:hAnsi="Arial" w:cs="Arial"/>
        <w:i/>
        <w:color w:val="da9896"/>
        <w:sz w:val="22"/>
        <w:szCs w:val="22"/>
      </w:rPr>
      <w:tcPr>
        <w:shd w:val="clear" w:color="auto" w:fill="ffffff"/>
        <w:tcBorders>
          <w:top w:val="single" w:color="D99695" w:sz="4" w:space="0"/>
          <w:left w:val="none" w:color="000000" w:sz="4" w:space="0"/>
          <w:bottom w:val="none" w:color="000000" w:sz="4" w:space="0"/>
          <w:right w:val="none" w:color="000000" w:sz="4" w:space="0"/>
        </w:tcBorders>
      </w:tcPr>
    </w:tblStylePr>
  </w:style>
  <w:style w:type="table" w:styleId="1663" w:customStyle="1">
    <w:name w:val="List Table 7 Colorful - Accent 311"/>
    <w:uiPriority w:val="99"/>
    <w:qFormat/>
    <w:tblPr>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000000" w:sz="4" w:space="0"/>
          <w:left w:val="none" w:color="000000" w:sz="4" w:space="0"/>
          <w:bottom w:val="none" w:color="000000" w:sz="4"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000000" w:sz="4" w:space="0"/>
          <w:left w:val="none" w:color="000000" w:sz="4" w:space="0"/>
          <w:bottom w:val="single" w:color="C3D69B" w:sz="4" w:space="0"/>
          <w:right w:val="none" w:color="000000" w:sz="4" w:space="0"/>
        </w:tcBorders>
      </w:tcPr>
    </w:tblStylePr>
    <w:tblStylePr w:type="lastCol">
      <w:rPr>
        <w:rFonts w:hint="default" w:ascii="Arial" w:hAnsi="Arial" w:cs="Arial"/>
        <w:i/>
        <w:color w:val="c3d69b"/>
        <w:sz w:val="22"/>
        <w:szCs w:val="22"/>
      </w:rPr>
      <w:tcPr>
        <w:shd w:val="clear" w:color="auto" w:fill="auto"/>
        <w:tcBorders>
          <w:top w:val="none" w:color="000000" w:sz="4" w:space="0"/>
          <w:left w:val="single" w:color="C3D69B" w:sz="4" w:space="0"/>
          <w:bottom w:val="none" w:color="000000" w:sz="4" w:space="0"/>
          <w:right w:val="none" w:color="000000" w:sz="4"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000000" w:sz="4" w:space="0"/>
          <w:bottom w:val="none" w:color="000000" w:sz="4" w:space="0"/>
          <w:right w:val="none" w:color="000000" w:sz="4" w:space="0"/>
        </w:tcBorders>
      </w:tcPr>
    </w:tblStylePr>
  </w:style>
  <w:style w:type="table" w:styleId="1664" w:customStyle="1">
    <w:name w:val="List Table 7 Colorful - Accent 411"/>
    <w:uiPriority w:val="99"/>
    <w:qFormat/>
    <w:tblPr>
      <w:tblBorders>
        <w:right w:val="single" w:color="B2A1C6" w:sz="4" w:space="0"/>
      </w:tblBorders>
      <w:tblCellMar>
        <w:left w:w="0" w:type="dxa"/>
        <w:top w:w="0" w:type="dxa"/>
        <w:right w:w="0" w:type="dxa"/>
        <w:bottom w:w="0" w:type="dxa"/>
      </w:tblCellMar>
    </w:tblPr>
    <w:tblStylePr w:type="band1Horz">
      <w:rPr>
        <w:rFonts w:hint="default" w:ascii="Arial" w:hAnsi="Arial" w:cs="Arial"/>
        <w:color w:val="b3a2c7"/>
        <w:sz w:val="22"/>
        <w:szCs w:val="22"/>
      </w:rPr>
      <w:tcPr>
        <w:shd w:val="clear" w:color="auto" w:fill="dfd8e7"/>
      </w:tcPr>
    </w:tblStylePr>
    <w:tblStylePr w:type="band1Vert">
      <w:tcPr>
        <w:shd w:val="clear" w:color="auto" w:fill="dfd8e7"/>
      </w:tcPr>
    </w:tblStylePr>
    <w:tblStylePr w:type="band2Horz">
      <w:rPr>
        <w:rFonts w:hint="default" w:ascii="Arial" w:hAnsi="Arial" w:cs="Arial"/>
        <w:color w:val="b3a2c7"/>
        <w:sz w:val="22"/>
        <w:szCs w:val="22"/>
      </w:rPr>
    </w:tblStylePr>
    <w:tblStylePr w:type="firstCol">
      <w:rPr>
        <w:rFonts w:hint="default" w:ascii="Arial" w:hAnsi="Arial" w:cs="Arial"/>
        <w:i/>
        <w:color w:val="b3a2c7"/>
        <w:sz w:val="22"/>
        <w:szCs w:val="22"/>
      </w:rPr>
      <w:pPr>
        <w:jc w:val="right"/>
      </w:pPr>
      <w:tcPr>
        <w:shd w:val="clear" w:color="auto" w:fill="auto"/>
        <w:tcBorders>
          <w:top w:val="none" w:color="000000" w:sz="4" w:space="0"/>
          <w:left w:val="none" w:color="000000" w:sz="4" w:space="0"/>
          <w:bottom w:val="none" w:color="000000" w:sz="4" w:space="0"/>
          <w:right w:val="single" w:color="B2A1C6" w:sz="4" w:space="0"/>
        </w:tcBorders>
      </w:tcPr>
    </w:tblStylePr>
    <w:tblStylePr w:type="firstRow">
      <w:rPr>
        <w:rFonts w:hint="default" w:ascii="Arial" w:hAnsi="Arial" w:cs="Arial"/>
        <w:i/>
        <w:color w:val="b3a2c7"/>
        <w:sz w:val="22"/>
        <w:szCs w:val="22"/>
      </w:rPr>
      <w:tcPr>
        <w:shd w:val="clear" w:color="auto" w:fill="ffffff"/>
        <w:tcBorders>
          <w:top w:val="none" w:color="000000" w:sz="4" w:space="0"/>
          <w:left w:val="none" w:color="000000" w:sz="4" w:space="0"/>
          <w:bottom w:val="single" w:color="B2A1C6" w:sz="4" w:space="0"/>
          <w:right w:val="none" w:color="000000" w:sz="4" w:space="0"/>
        </w:tcBorders>
      </w:tcPr>
    </w:tblStylePr>
    <w:tblStylePr w:type="lastCol">
      <w:rPr>
        <w:rFonts w:hint="default" w:ascii="Arial" w:hAnsi="Arial" w:cs="Arial"/>
        <w:i/>
        <w:color w:val="b3a2c7"/>
        <w:sz w:val="22"/>
        <w:szCs w:val="22"/>
      </w:rPr>
      <w:tcPr>
        <w:shd w:val="clear" w:color="auto" w:fill="auto"/>
        <w:tcBorders>
          <w:top w:val="none" w:color="000000" w:sz="4" w:space="0"/>
          <w:left w:val="single" w:color="B2A1C6" w:sz="4" w:space="0"/>
          <w:bottom w:val="none" w:color="000000" w:sz="4" w:space="0"/>
          <w:right w:val="none" w:color="000000" w:sz="4" w:space="0"/>
        </w:tcBorders>
      </w:tcPr>
    </w:tblStylePr>
    <w:tblStylePr w:type="lastRow">
      <w:rPr>
        <w:rFonts w:hint="default" w:ascii="Arial" w:hAnsi="Arial" w:cs="Arial"/>
        <w:i/>
        <w:color w:val="b3a2c7"/>
        <w:sz w:val="22"/>
        <w:szCs w:val="22"/>
      </w:rPr>
      <w:tcPr>
        <w:shd w:val="clear" w:color="auto" w:fill="ffffff"/>
        <w:tcBorders>
          <w:top w:val="single" w:color="B2A1C6" w:sz="4" w:space="0"/>
          <w:left w:val="none" w:color="000000" w:sz="4" w:space="0"/>
          <w:bottom w:val="none" w:color="000000" w:sz="4" w:space="0"/>
          <w:right w:val="none" w:color="000000" w:sz="4" w:space="0"/>
        </w:tcBorders>
      </w:tcPr>
    </w:tblStylePr>
  </w:style>
  <w:style w:type="table" w:styleId="1665" w:customStyle="1">
    <w:name w:val="List Table 7 Colorful - Accent 511"/>
    <w:uiPriority w:val="99"/>
    <w:qFormat/>
    <w:tblPr>
      <w:tblBorders>
        <w:right w:val="single" w:color="92CCDC" w:sz="4" w:space="0"/>
      </w:tblBorders>
      <w:tblCellMar>
        <w:left w:w="0" w:type="dxa"/>
        <w:top w:w="0" w:type="dxa"/>
        <w:right w:w="0" w:type="dxa"/>
        <w:bottom w:w="0" w:type="dxa"/>
      </w:tblCellMar>
    </w:tblPr>
    <w:tblStylePr w:type="band1Horz">
      <w:rPr>
        <w:rFonts w:hint="default" w:ascii="Arial" w:hAnsi="Arial" w:cs="Arial"/>
        <w:color w:val="93cddd"/>
        <w:sz w:val="22"/>
        <w:szCs w:val="22"/>
      </w:rPr>
      <w:tcPr>
        <w:shd w:val="clear" w:color="auto" w:fill="d1eaf0"/>
      </w:tcPr>
    </w:tblStylePr>
    <w:tblStylePr w:type="band1Vert">
      <w:tcPr>
        <w:shd w:val="clear" w:color="auto" w:fill="d1eaf0"/>
      </w:tcPr>
    </w:tblStylePr>
    <w:tblStylePr w:type="band2Horz">
      <w:rPr>
        <w:rFonts w:hint="default" w:ascii="Arial" w:hAnsi="Arial" w:cs="Arial"/>
        <w:color w:val="93cddd"/>
        <w:sz w:val="22"/>
        <w:szCs w:val="22"/>
      </w:rPr>
    </w:tblStylePr>
    <w:tblStylePr w:type="firstCol">
      <w:rPr>
        <w:rFonts w:hint="default" w:ascii="Arial" w:hAnsi="Arial" w:cs="Arial"/>
        <w:i/>
        <w:color w:val="93cddd"/>
        <w:sz w:val="22"/>
        <w:szCs w:val="22"/>
      </w:rPr>
      <w:pPr>
        <w:jc w:val="right"/>
      </w:pPr>
      <w:tcPr>
        <w:shd w:val="clear" w:color="auto" w:fill="auto"/>
        <w:tcBorders>
          <w:top w:val="none" w:color="000000" w:sz="4" w:space="0"/>
          <w:left w:val="none" w:color="000000" w:sz="4" w:space="0"/>
          <w:bottom w:val="none" w:color="000000" w:sz="4" w:space="0"/>
          <w:right w:val="single" w:color="92CCDC" w:sz="4" w:space="0"/>
        </w:tcBorders>
      </w:tcPr>
    </w:tblStylePr>
    <w:tblStylePr w:type="firstRow">
      <w:rPr>
        <w:rFonts w:hint="default" w:ascii="Arial" w:hAnsi="Arial" w:cs="Arial"/>
        <w:i/>
        <w:color w:val="93cddd"/>
        <w:sz w:val="22"/>
        <w:szCs w:val="22"/>
      </w:rPr>
      <w:tcPr>
        <w:shd w:val="clear" w:color="auto" w:fill="ffffff"/>
        <w:tcBorders>
          <w:top w:val="none" w:color="000000" w:sz="4" w:space="0"/>
          <w:left w:val="none" w:color="000000" w:sz="4" w:space="0"/>
          <w:bottom w:val="single" w:color="92CCDC" w:sz="4" w:space="0"/>
          <w:right w:val="none" w:color="000000" w:sz="4" w:space="0"/>
        </w:tcBorders>
      </w:tcPr>
    </w:tblStylePr>
    <w:tblStylePr w:type="lastCol">
      <w:rPr>
        <w:rFonts w:hint="default" w:ascii="Arial" w:hAnsi="Arial" w:cs="Arial"/>
        <w:i/>
        <w:color w:val="93cddd"/>
        <w:sz w:val="22"/>
        <w:szCs w:val="22"/>
      </w:rPr>
      <w:tcPr>
        <w:shd w:val="clear" w:color="auto" w:fill="auto"/>
        <w:tcBorders>
          <w:top w:val="none" w:color="000000" w:sz="4" w:space="0"/>
          <w:left w:val="single" w:color="92CCDC" w:sz="4" w:space="0"/>
          <w:bottom w:val="none" w:color="000000" w:sz="4" w:space="0"/>
          <w:right w:val="none" w:color="000000" w:sz="4" w:space="0"/>
        </w:tcBorders>
      </w:tcPr>
    </w:tblStylePr>
    <w:tblStylePr w:type="lastRow">
      <w:rPr>
        <w:rFonts w:hint="default" w:ascii="Arial" w:hAnsi="Arial" w:cs="Arial"/>
        <w:i/>
        <w:color w:val="93cddd"/>
        <w:sz w:val="22"/>
        <w:szCs w:val="22"/>
      </w:rPr>
      <w:tcPr>
        <w:shd w:val="clear" w:color="auto" w:fill="ffffff"/>
        <w:tcBorders>
          <w:top w:val="single" w:color="92CCDC" w:sz="4" w:space="0"/>
          <w:left w:val="none" w:color="000000" w:sz="4" w:space="0"/>
          <w:bottom w:val="none" w:color="000000" w:sz="4" w:space="0"/>
          <w:right w:val="none" w:color="000000" w:sz="4" w:space="0"/>
        </w:tcBorders>
      </w:tcPr>
    </w:tblStylePr>
  </w:style>
  <w:style w:type="table" w:styleId="1666" w:customStyle="1">
    <w:name w:val="List Table 7 Colorful - Accent 611"/>
    <w:uiPriority w:val="99"/>
    <w:qFormat/>
    <w:tblPr>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000000" w:sz="4" w:space="0"/>
          <w:left w:val="none" w:color="000000" w:sz="4" w:space="0"/>
          <w:bottom w:val="none" w:color="000000" w:sz="4"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000000" w:sz="4" w:space="0"/>
          <w:left w:val="none" w:color="000000" w:sz="4" w:space="0"/>
          <w:bottom w:val="single" w:color="FAC090" w:sz="4" w:space="0"/>
          <w:right w:val="none" w:color="000000" w:sz="4" w:space="0"/>
        </w:tcBorders>
      </w:tcPr>
    </w:tblStylePr>
    <w:tblStylePr w:type="lastCol">
      <w:rPr>
        <w:rFonts w:hint="default" w:ascii="Arial" w:hAnsi="Arial" w:cs="Arial"/>
        <w:i/>
        <w:color w:val="fac090"/>
        <w:sz w:val="22"/>
        <w:szCs w:val="22"/>
      </w:rPr>
      <w:tcPr>
        <w:shd w:val="clear" w:color="auto" w:fill="auto"/>
        <w:tcBorders>
          <w:top w:val="none" w:color="000000" w:sz="4" w:space="0"/>
          <w:left w:val="single" w:color="FAC090" w:sz="4" w:space="0"/>
          <w:bottom w:val="none" w:color="000000" w:sz="4" w:space="0"/>
          <w:right w:val="none" w:color="000000" w:sz="4"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000000" w:sz="4" w:space="0"/>
          <w:bottom w:val="none" w:color="000000" w:sz="4" w:space="0"/>
          <w:right w:val="none" w:color="000000" w:sz="4" w:space="0"/>
        </w:tcBorders>
      </w:tcPr>
    </w:tblStylePr>
  </w:style>
  <w:style w:type="table" w:styleId="1667" w:customStyle="1">
    <w:name w:val="Lined - Accent11"/>
    <w:uiPriority w:val="99"/>
    <w:qFormat/>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1668" w:customStyle="1">
    <w:name w:val="Lined - Accent 111"/>
    <w:uiPriority w:val="99"/>
    <w:qFormat/>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1669" w:customStyle="1">
    <w:name w:val="Lined - Accent 211"/>
    <w:uiPriority w:val="99"/>
    <w:qFormat/>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1670" w:customStyle="1">
    <w:name w:val="Lined - Accent 311"/>
    <w:uiPriority w:val="99"/>
    <w:qFormat/>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1671" w:customStyle="1">
    <w:name w:val="Lined - Accent 411"/>
    <w:uiPriority w:val="99"/>
    <w:qFormat/>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1672" w:customStyle="1">
    <w:name w:val="Lined - Accent 511"/>
    <w:uiPriority w:val="99"/>
    <w:qFormat/>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1673" w:customStyle="1">
    <w:name w:val="Lined - Accent 611"/>
    <w:uiPriority w:val="99"/>
    <w:qFormat/>
    <w:rPr>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1674" w:customStyle="1">
    <w:name w:val="Bordered &amp; Lined - Accent1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1675" w:customStyle="1">
    <w:name w:val="Bordered &amp; Lined - Accent 1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1676" w:customStyle="1">
    <w:name w:val="Bordered &amp; Lined - Accent 21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1677" w:customStyle="1">
    <w:name w:val="Bordered &amp; Lined - Accent 31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1678" w:customStyle="1">
    <w:name w:val="Bordered &amp; Lined - Accent 41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1679" w:customStyle="1">
    <w:name w:val="Bordered &amp; Lined - Accent 51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1680" w:customStyle="1">
    <w:name w:val="Bordered &amp; Lined - Accent 61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1681" w:customStyle="1">
    <w:name w:val="Bordered1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1682" w:customStyle="1">
    <w:name w:val="Bordered - Accent 1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1683" w:customStyle="1">
    <w:name w:val="Bordered - Accent 21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1684" w:customStyle="1">
    <w:name w:val="Bordered - Accent 31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1685" w:customStyle="1">
    <w:name w:val="Bordered - Accent 41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1686" w:customStyle="1">
    <w:name w:val="Bordered - Accent 51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1687" w:customStyle="1">
    <w:name w:val="Bordered - Accent 61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paragraph" w:styleId="1688">
    <w:name w:val="Revision"/>
    <w:hidden/>
    <w:uiPriority w:val="99"/>
    <w:unhideWhenUsed/>
    <w:rPr>
      <w:rFonts w:ascii="Calibri" w:hAnsi="Calibri" w:eastAsia="Calibri" w:cs="宋体"/>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4</cp:revision>
  <dcterms:created xsi:type="dcterms:W3CDTF">2026-09-03T04:37:00Z</dcterms:created>
  <dcterms:modified xsi:type="dcterms:W3CDTF">2026-09-03T07:02:26Z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eyJoZGlkIjoiOWIwMjQ5N2I3NzcwM2UxNWU1MTFkNWJkMTE2ZWNiMmEiLCJ1c2VySWQiOiIyNDMxNzgwOTYifQ==</vt:lpwstr>
  </property>
  <property fmtid="{D5CDD505-2E9C-101B-9397-08002B2CF9AE}" pid="3" name="KSOProductBuildVer">
    <vt:lpwstr>2052-12.1.0.26895</vt:lpwstr>
  </property>
  <property fmtid="{D5CDD505-2E9C-101B-9397-08002B2CF9AE}" pid="4" name="ICV">
    <vt:lpwstr>3979B588E263427AA3E9E4A3E38195C5_12</vt:lpwstr>
  </property>
</Properties>
</file>