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0D50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F8AF9BD">
      <w:pPr>
        <w:pStyle w:val="341"/>
        <w:ind w:firstLine="0"/>
        <w:jc w:val="center"/>
        <w:rPr>
          <w:rFonts w:hint="eastAsia" w:ascii="宋体" w:hAnsi="宋体" w:cs="宋体"/>
          <w:b/>
          <w:bCs/>
          <w:color w:val="auto"/>
          <w:sz w:val="84"/>
          <w:szCs w:val="84"/>
          <w:highlight w:val="none"/>
          <w:lang w:val="en-US" w:eastAsia="zh-CN"/>
        </w:rPr>
      </w:pPr>
      <w:r>
        <w:rPr>
          <w:rFonts w:hint="eastAsia" w:ascii="宋体" w:hAnsi="宋体" w:cs="宋体"/>
          <w:b/>
          <w:bCs/>
          <w:color w:val="auto"/>
          <w:sz w:val="84"/>
          <w:szCs w:val="84"/>
          <w:highlight w:val="none"/>
          <w:lang w:val="en-US" w:eastAsia="zh-CN"/>
        </w:rPr>
        <w:t xml:space="preserve"> </w:t>
      </w:r>
    </w:p>
    <w:p w14:paraId="46820748">
      <w:pPr>
        <w:pStyle w:val="341"/>
        <w:ind w:firstLine="0"/>
        <w:jc w:val="center"/>
        <w:rPr>
          <w:rFonts w:hint="eastAsia" w:ascii="宋体" w:hAnsi="宋体" w:eastAsia="宋体" w:cs="宋体"/>
          <w:b/>
          <w:bCs/>
          <w:color w:val="auto"/>
          <w:sz w:val="72"/>
          <w:szCs w:val="72"/>
          <w:highlight w:val="none"/>
        </w:rPr>
      </w:pPr>
    </w:p>
    <w:p w14:paraId="0A05326F">
      <w:pPr>
        <w:pStyle w:val="341"/>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　标　文　件</w:t>
      </w:r>
    </w:p>
    <w:p w14:paraId="6D61902E">
      <w:pPr>
        <w:pStyle w:val="341"/>
        <w:ind w:firstLine="0"/>
        <w:jc w:val="center"/>
        <w:rPr>
          <w:rFonts w:hint="eastAsia" w:ascii="宋体" w:hAnsi="宋体" w:eastAsia="宋体" w:cs="宋体"/>
          <w:b/>
          <w:bCs/>
          <w:color w:val="auto"/>
          <w:sz w:val="72"/>
          <w:szCs w:val="72"/>
          <w:highlight w:val="none"/>
        </w:rPr>
      </w:pPr>
    </w:p>
    <w:p w14:paraId="7DA955D6">
      <w:pPr>
        <w:pStyle w:val="341"/>
        <w:ind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eastAsia="zh-CN"/>
        </w:rPr>
        <w:t>交通管理劝导购买服务</w:t>
      </w:r>
    </w:p>
    <w:p w14:paraId="30663930">
      <w:pPr>
        <w:pStyle w:val="341"/>
        <w:ind w:firstLine="0"/>
        <w:jc w:val="center"/>
        <w:rPr>
          <w:rFonts w:hint="eastAsia" w:ascii="宋体" w:hAnsi="宋体" w:eastAsia="宋体" w:cs="宋体"/>
          <w:color w:val="auto"/>
          <w:sz w:val="32"/>
          <w:szCs w:val="32"/>
          <w:highlight w:val="none"/>
          <w:lang w:eastAsia="zh-CN"/>
        </w:rPr>
      </w:pPr>
      <w:r>
        <w:rPr>
          <w:rFonts w:hint="eastAsia" w:ascii="宋体" w:hAnsi="宋体" w:eastAsia="宋体" w:cs="宋体"/>
          <w:b/>
          <w:color w:val="auto"/>
          <w:sz w:val="32"/>
          <w:szCs w:val="32"/>
          <w:highlight w:val="none"/>
        </w:rPr>
        <w:t>标</w:t>
      </w:r>
      <w:r>
        <w:rPr>
          <w:rFonts w:hint="eastAsia" w:ascii="宋体" w:hAnsi="宋体" w:eastAsia="宋体" w:cs="宋体"/>
          <w:b/>
          <w:bCs/>
          <w:color w:val="auto"/>
          <w:sz w:val="32"/>
          <w:szCs w:val="32"/>
          <w:highlight w:val="none"/>
        </w:rPr>
        <w:t>书编号：JSZC-320582-HZDZ-G2026-0004</w:t>
      </w:r>
    </w:p>
    <w:p w14:paraId="14954E04">
      <w:pPr>
        <w:pStyle w:val="341"/>
        <w:spacing w:before="0" w:after="0"/>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
          <w:color w:val="auto"/>
          <w:sz w:val="32"/>
          <w:szCs w:val="32"/>
          <w:highlight w:val="none"/>
        </w:rPr>
        <w:t>项目属性：服务类</w:t>
      </w:r>
    </w:p>
    <w:p w14:paraId="0B9FD5AE">
      <w:pPr>
        <w:pStyle w:val="341"/>
        <w:spacing w:before="0" w:after="0"/>
        <w:ind w:firstLine="0"/>
        <w:rPr>
          <w:rFonts w:hint="eastAsia" w:ascii="宋体" w:hAnsi="宋体" w:eastAsia="宋体" w:cs="宋体"/>
          <w:color w:val="auto"/>
          <w:sz w:val="32"/>
          <w:szCs w:val="32"/>
          <w:highlight w:val="none"/>
        </w:rPr>
      </w:pPr>
    </w:p>
    <w:p w14:paraId="51F0C95D">
      <w:pPr>
        <w:pStyle w:val="341"/>
        <w:spacing w:before="0" w:after="0"/>
        <w:ind w:firstLine="0"/>
        <w:rPr>
          <w:rFonts w:hint="eastAsia" w:ascii="宋体" w:hAnsi="宋体" w:eastAsia="宋体" w:cs="宋体"/>
          <w:color w:val="auto"/>
          <w:sz w:val="32"/>
          <w:szCs w:val="32"/>
          <w:highlight w:val="none"/>
        </w:rPr>
      </w:pPr>
    </w:p>
    <w:p w14:paraId="474E45B9">
      <w:pPr>
        <w:pStyle w:val="341"/>
        <w:spacing w:before="0" w:after="0"/>
        <w:ind w:firstLine="0"/>
        <w:rPr>
          <w:rFonts w:hint="eastAsia" w:ascii="宋体" w:hAnsi="宋体" w:eastAsia="宋体" w:cs="宋体"/>
          <w:color w:val="auto"/>
          <w:sz w:val="32"/>
          <w:szCs w:val="32"/>
          <w:highlight w:val="none"/>
        </w:rPr>
      </w:pPr>
    </w:p>
    <w:p w14:paraId="0A7B3EC4">
      <w:pPr>
        <w:pStyle w:val="341"/>
        <w:spacing w:before="0" w:after="0"/>
        <w:ind w:firstLine="0"/>
        <w:rPr>
          <w:rFonts w:hint="eastAsia" w:ascii="宋体" w:hAnsi="宋体" w:eastAsia="宋体" w:cs="宋体"/>
          <w:color w:val="auto"/>
          <w:sz w:val="32"/>
          <w:szCs w:val="32"/>
          <w:highlight w:val="none"/>
        </w:rPr>
      </w:pPr>
    </w:p>
    <w:p w14:paraId="238454BE">
      <w:pPr>
        <w:pStyle w:val="10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张家港华招达招投标代理有限公司</w:t>
      </w:r>
    </w:p>
    <w:p w14:paraId="09D851F2">
      <w:pPr>
        <w:pStyle w:val="341"/>
        <w:ind w:firstLine="0"/>
        <w:jc w:val="center"/>
        <w:rPr>
          <w:rFonts w:hint="eastAsia" w:ascii="宋体" w:hAnsi="宋体" w:eastAsia="宋体" w:cs="宋体"/>
          <w:b/>
          <w:bCs/>
          <w:color w:val="auto"/>
          <w:sz w:val="32"/>
          <w:szCs w:val="32"/>
          <w:highlight w:val="none"/>
        </w:rPr>
      </w:pPr>
      <w:bookmarkStart w:id="0" w:name="EB52307051e0d04806912e5842f73c8551"/>
      <w:r>
        <w:rPr>
          <w:rFonts w:hint="eastAsia" w:ascii="宋体" w:hAnsi="宋体" w:eastAsia="宋体" w:cs="宋体"/>
          <w:b/>
          <w:bCs/>
          <w:color w:val="auto"/>
          <w:sz w:val="32"/>
          <w:szCs w:val="32"/>
          <w:highlight w:val="none"/>
          <w:lang w:eastAsia="zh-CN"/>
        </w:rPr>
        <w:t>2026年</w:t>
      </w:r>
      <w:r>
        <w:rPr>
          <w:rFonts w:hint="eastAsia" w:ascii="宋体" w:hAnsi="宋体" w:eastAsia="宋体" w:cs="宋体"/>
          <w:b/>
          <w:bCs/>
          <w:color w:val="auto"/>
          <w:sz w:val="32"/>
          <w:szCs w:val="32"/>
          <w:highlight w:val="none"/>
        </w:rPr>
        <w:t>0</w:t>
      </w:r>
      <w:r>
        <w:rPr>
          <w:rFonts w:hint="eastAsia" w:ascii="宋体" w:hAnsi="宋体" w:cs="宋体"/>
          <w:b/>
          <w:bCs/>
          <w:color w:val="auto"/>
          <w:sz w:val="32"/>
          <w:szCs w:val="32"/>
          <w:highlight w:val="none"/>
          <w:lang w:val="en-US" w:eastAsia="zh-CN"/>
        </w:rPr>
        <w:t>8</w:t>
      </w:r>
      <w:r>
        <w:rPr>
          <w:rFonts w:hint="eastAsia" w:ascii="宋体" w:hAnsi="宋体" w:eastAsia="宋体" w:cs="宋体"/>
          <w:b/>
          <w:bCs/>
          <w:color w:val="auto"/>
          <w:sz w:val="32"/>
          <w:szCs w:val="32"/>
          <w:highlight w:val="none"/>
        </w:rPr>
        <w:t>月</w:t>
      </w:r>
      <w:bookmarkEnd w:id="0"/>
      <w:r>
        <w:rPr>
          <w:rFonts w:hint="eastAsia" w:ascii="宋体" w:hAnsi="宋体" w:cs="宋体"/>
          <w:b/>
          <w:bCs/>
          <w:color w:val="auto"/>
          <w:sz w:val="32"/>
          <w:szCs w:val="32"/>
          <w:highlight w:val="none"/>
          <w:lang w:val="en-US" w:eastAsia="zh-CN"/>
        </w:rPr>
        <w:t>24</w:t>
      </w:r>
      <w:r>
        <w:rPr>
          <w:rFonts w:hint="eastAsia" w:ascii="宋体" w:hAnsi="宋体" w:eastAsia="宋体" w:cs="宋体"/>
          <w:b/>
          <w:bCs/>
          <w:color w:val="auto"/>
          <w:sz w:val="32"/>
          <w:szCs w:val="32"/>
          <w:highlight w:val="none"/>
        </w:rPr>
        <w:t>日</w:t>
      </w:r>
    </w:p>
    <w:p w14:paraId="4A306159">
      <w:pPr>
        <w:spacing w:before="120" w:after="12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6347303B">
      <w:pPr>
        <w:spacing w:before="120" w:after="120" w:line="360" w:lineRule="auto"/>
        <w:jc w:val="center"/>
        <w:rPr>
          <w:rFonts w:hint="eastAsia" w:ascii="宋体" w:hAnsi="宋体" w:eastAsia="宋体" w:cs="宋体"/>
          <w:b/>
          <w:bCs/>
          <w:color w:val="auto"/>
          <w:sz w:val="44"/>
          <w:szCs w:val="44"/>
          <w:highlight w:val="none"/>
        </w:rPr>
      </w:pPr>
      <w:r>
        <w:rPr>
          <w:rFonts w:hint="eastAsia" w:ascii="宋体" w:hAnsi="宋体" w:eastAsia="宋体" w:cs="宋体"/>
          <w:color w:val="auto"/>
          <w:sz w:val="24"/>
          <w:highlight w:val="none"/>
        </w:rPr>
        <w:t> </w:t>
      </w:r>
      <w:r>
        <w:rPr>
          <w:rFonts w:hint="eastAsia" w:ascii="宋体" w:hAnsi="宋体" w:eastAsia="宋体" w:cs="宋体"/>
          <w:b/>
          <w:bCs/>
          <w:color w:val="auto"/>
          <w:sz w:val="44"/>
          <w:szCs w:val="44"/>
          <w:highlight w:val="none"/>
        </w:rPr>
        <w:br w:type="page" w:clear="all"/>
      </w:r>
      <w:r>
        <w:rPr>
          <w:rFonts w:hint="eastAsia" w:ascii="宋体" w:hAnsi="宋体" w:eastAsia="宋体" w:cs="宋体"/>
          <w:b/>
          <w:bCs/>
          <w:color w:val="auto"/>
          <w:sz w:val="44"/>
          <w:szCs w:val="44"/>
          <w:highlight w:val="none"/>
        </w:rPr>
        <w:t>总  目  录</w:t>
      </w:r>
    </w:p>
    <w:p w14:paraId="136D2856">
      <w:pPr>
        <w:pStyle w:val="19"/>
        <w:tabs>
          <w:tab w:val="right" w:leader="dot" w:pos="10082"/>
        </w:tabs>
        <w:spacing w:after="0" w:line="440" w:lineRule="exact"/>
        <w:rPr>
          <w:rFonts w:hint="eastAsia" w:ascii="宋体" w:hAnsi="宋体" w:eastAsia="宋体" w:cs="宋体"/>
          <w:b/>
          <w:bCs/>
          <w:color w:val="auto"/>
          <w:sz w:val="22"/>
          <w:szCs w:val="24"/>
          <w:highlight w:val="none"/>
        </w:rPr>
      </w:pPr>
      <w:r>
        <w:rPr>
          <w:rFonts w:hint="eastAsia" w:ascii="宋体" w:hAnsi="宋体" w:eastAsia="宋体" w:cs="宋体"/>
          <w:bCs/>
          <w:caps/>
          <w:color w:val="auto"/>
          <w:sz w:val="28"/>
          <w:szCs w:val="28"/>
          <w:highlight w:val="none"/>
        </w:rPr>
        <w:fldChar w:fldCharType="begin"/>
      </w:r>
      <w:r>
        <w:rPr>
          <w:rFonts w:hint="eastAsia" w:ascii="宋体" w:hAnsi="宋体" w:eastAsia="宋体" w:cs="宋体"/>
          <w:bCs/>
          <w:color w:val="auto"/>
          <w:sz w:val="28"/>
          <w:szCs w:val="28"/>
          <w:highlight w:val="none"/>
        </w:rPr>
        <w:instrText xml:space="preserve"> TOC \o "1-2" \h \z \u </w:instrText>
      </w:r>
      <w:r>
        <w:rPr>
          <w:rFonts w:hint="eastAsia" w:ascii="宋体" w:hAnsi="宋体" w:eastAsia="宋体" w:cs="宋体"/>
          <w:bCs/>
          <w:caps/>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"_Toc175752374" </w:instrText>
      </w:r>
      <w:r>
        <w:rPr>
          <w:rFonts w:hint="eastAsia" w:ascii="宋体" w:hAnsi="宋体" w:eastAsia="宋体" w:cs="宋体"/>
          <w:color w:val="auto"/>
          <w:highlight w:val="none"/>
        </w:rPr>
        <w:fldChar w:fldCharType="separate"/>
      </w:r>
      <w:r>
        <w:rPr>
          <w:rStyle w:val="138"/>
          <w:rFonts w:hint="eastAsia" w:ascii="宋体" w:hAnsi="宋体" w:eastAsia="宋体" w:cs="宋体"/>
          <w:b/>
          <w:bCs/>
          <w:color w:val="auto"/>
          <w:highlight w:val="none"/>
        </w:rPr>
        <w:t>第一章  投标邀请</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_Toc175752374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3</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p>
    <w:p w14:paraId="46AC1BDA">
      <w:pPr>
        <w:pStyle w:val="19"/>
        <w:tabs>
          <w:tab w:val="right" w:leader="dot" w:pos="10082"/>
        </w:tabs>
        <w:spacing w:after="0" w:line="440" w:lineRule="exact"/>
        <w:rPr>
          <w:rFonts w:hint="eastAsia" w:ascii="宋体" w:hAnsi="宋体" w:eastAsia="宋体" w:cs="宋体"/>
          <w:color w:val="auto"/>
          <w:sz w:val="22"/>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"_Toc175752375" </w:instrText>
      </w:r>
      <w:r>
        <w:rPr>
          <w:rFonts w:hint="eastAsia" w:ascii="宋体" w:hAnsi="宋体" w:eastAsia="宋体" w:cs="宋体"/>
          <w:color w:val="auto"/>
          <w:highlight w:val="none"/>
        </w:rPr>
        <w:fldChar w:fldCharType="separate"/>
      </w:r>
      <w:r>
        <w:rPr>
          <w:rStyle w:val="138"/>
          <w:rFonts w:hint="eastAsia" w:ascii="宋体" w:hAnsi="宋体" w:eastAsia="宋体" w:cs="宋体"/>
          <w:b/>
          <w:bCs/>
          <w:color w:val="auto"/>
          <w:highlight w:val="none"/>
        </w:rPr>
        <w:t>第二章  投标人须知</w:t>
      </w:r>
      <w:r>
        <w:rPr>
          <w:rFonts w:hint="eastAsia" w:ascii="宋体" w:hAnsi="宋体" w:eastAsia="宋体" w:cs="宋体"/>
          <w:b/>
          <w:bCs/>
          <w:color w:val="auto"/>
          <w:highlight w:val="none"/>
        </w:rPr>
        <w:tab/>
      </w:r>
      <w:r>
        <w:rPr>
          <w:rFonts w:hint="eastAsia" w:ascii="宋体" w:hAnsi="宋体" w:cs="宋体"/>
          <w:b/>
          <w:bCs/>
          <w:color w:val="auto"/>
          <w:highlight w:val="none"/>
          <w:lang w:val="en-US" w:eastAsia="zh-CN"/>
        </w:rPr>
        <w:t>7</w:t>
      </w:r>
      <w:r>
        <w:rPr>
          <w:rFonts w:hint="eastAsia" w:ascii="宋体" w:hAnsi="宋体" w:eastAsia="宋体" w:cs="宋体"/>
          <w:b/>
          <w:bCs/>
          <w:color w:val="auto"/>
          <w:highlight w:val="none"/>
        </w:rPr>
        <w:fldChar w:fldCharType="end"/>
      </w:r>
    </w:p>
    <w:p w14:paraId="3CF96A6D">
      <w:pPr>
        <w:pStyle w:val="19"/>
        <w:tabs>
          <w:tab w:val="right" w:leader="dot" w:pos="10082"/>
        </w:tabs>
        <w:spacing w:after="0" w:line="440" w:lineRule="exact"/>
        <w:rPr>
          <w:rFonts w:hint="eastAsia" w:ascii="宋体" w:hAnsi="宋体" w:eastAsia="宋体" w:cs="宋体"/>
          <w:b/>
          <w:bCs/>
          <w:color w:val="auto"/>
          <w:sz w:val="22"/>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"_Toc175752382" </w:instrText>
      </w:r>
      <w:r>
        <w:rPr>
          <w:rFonts w:hint="eastAsia" w:ascii="宋体" w:hAnsi="宋体" w:eastAsia="宋体" w:cs="宋体"/>
          <w:color w:val="auto"/>
          <w:highlight w:val="none"/>
        </w:rPr>
        <w:fldChar w:fldCharType="separate"/>
      </w:r>
      <w:r>
        <w:rPr>
          <w:rStyle w:val="138"/>
          <w:rFonts w:hint="eastAsia" w:ascii="宋体" w:hAnsi="宋体" w:eastAsia="宋体" w:cs="宋体"/>
          <w:b/>
          <w:bCs/>
          <w:color w:val="auto"/>
          <w:highlight w:val="none"/>
        </w:rPr>
        <w:t>第三章  合同条款及格式</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_Toc175752382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19</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p>
    <w:p w14:paraId="67464F15">
      <w:pPr>
        <w:pStyle w:val="19"/>
        <w:tabs>
          <w:tab w:val="right" w:leader="dot" w:pos="10082"/>
        </w:tabs>
        <w:spacing w:after="0" w:line="440" w:lineRule="exact"/>
        <w:rPr>
          <w:rFonts w:hint="eastAsia" w:ascii="宋体" w:hAnsi="宋体" w:eastAsia="宋体" w:cs="宋体"/>
          <w:b/>
          <w:bCs/>
          <w:color w:val="auto"/>
          <w:sz w:val="22"/>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"_Toc175752383" </w:instrText>
      </w:r>
      <w:r>
        <w:rPr>
          <w:rFonts w:hint="eastAsia" w:ascii="宋体" w:hAnsi="宋体" w:eastAsia="宋体" w:cs="宋体"/>
          <w:color w:val="auto"/>
          <w:highlight w:val="none"/>
        </w:rPr>
        <w:fldChar w:fldCharType="separate"/>
      </w:r>
      <w:r>
        <w:rPr>
          <w:rStyle w:val="138"/>
          <w:rFonts w:hint="eastAsia" w:ascii="宋体" w:hAnsi="宋体" w:eastAsia="宋体" w:cs="宋体"/>
          <w:b/>
          <w:bCs/>
          <w:color w:val="auto"/>
          <w:highlight w:val="none"/>
        </w:rPr>
        <w:t>第四章 项目需求</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_Toc175752383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24</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p>
    <w:p w14:paraId="35200182">
      <w:pPr>
        <w:pStyle w:val="19"/>
        <w:tabs>
          <w:tab w:val="right" w:leader="dot" w:pos="10082"/>
        </w:tabs>
        <w:spacing w:after="0" w:line="440" w:lineRule="exact"/>
        <w:rPr>
          <w:rFonts w:hint="eastAsia" w:ascii="宋体" w:hAnsi="宋体" w:eastAsia="宋体" w:cs="宋体"/>
          <w:b/>
          <w:bCs/>
          <w:color w:val="auto"/>
          <w:sz w:val="22"/>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"_Toc175752384" </w:instrText>
      </w:r>
      <w:r>
        <w:rPr>
          <w:rFonts w:hint="eastAsia" w:ascii="宋体" w:hAnsi="宋体" w:eastAsia="宋体" w:cs="宋体"/>
          <w:color w:val="auto"/>
          <w:highlight w:val="none"/>
        </w:rPr>
        <w:fldChar w:fldCharType="separate"/>
      </w:r>
      <w:r>
        <w:rPr>
          <w:rStyle w:val="138"/>
          <w:rFonts w:hint="eastAsia" w:ascii="宋体" w:hAnsi="宋体" w:eastAsia="宋体" w:cs="宋体"/>
          <w:b/>
          <w:bCs/>
          <w:color w:val="auto"/>
          <w:highlight w:val="none"/>
        </w:rPr>
        <w:t>第五章  评标方法与评标标准</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_Toc175752384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43</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p>
    <w:p w14:paraId="6B1F6074">
      <w:pPr>
        <w:pStyle w:val="19"/>
        <w:tabs>
          <w:tab w:val="right" w:leader="dot" w:pos="10082"/>
        </w:tabs>
        <w:spacing w:after="0" w:line="440" w:lineRule="exact"/>
        <w:rPr>
          <w:rFonts w:hint="eastAsia" w:ascii="宋体" w:hAnsi="宋体" w:eastAsia="宋体" w:cs="宋体"/>
          <w:b/>
          <w:bCs/>
          <w:color w:val="auto"/>
          <w:sz w:val="22"/>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"_Toc175752387" </w:instrText>
      </w:r>
      <w:r>
        <w:rPr>
          <w:rFonts w:hint="eastAsia" w:ascii="宋体" w:hAnsi="宋体" w:eastAsia="宋体" w:cs="宋体"/>
          <w:color w:val="auto"/>
          <w:highlight w:val="none"/>
        </w:rPr>
        <w:fldChar w:fldCharType="separate"/>
      </w:r>
      <w:r>
        <w:rPr>
          <w:rStyle w:val="138"/>
          <w:rFonts w:hint="eastAsia" w:ascii="宋体" w:hAnsi="宋体" w:eastAsia="宋体" w:cs="宋体"/>
          <w:b/>
          <w:bCs/>
          <w:color w:val="auto"/>
          <w:highlight w:val="none"/>
        </w:rPr>
        <w:t>第六章 投标文件格式</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_Toc175752387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46</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p>
    <w:p w14:paraId="2CF5F087">
      <w:pPr>
        <w:tabs>
          <w:tab w:val="left" w:pos="1440"/>
        </w:tabs>
        <w:spacing w:line="440" w:lineRule="exact"/>
        <w:rPr>
          <w:rFonts w:hint="eastAsia" w:ascii="宋体" w:hAnsi="宋体" w:eastAsia="宋体" w:cs="宋体"/>
          <w:b/>
          <w:bCs/>
          <w:color w:val="auto"/>
          <w:sz w:val="28"/>
          <w:szCs w:val="28"/>
          <w:highlight w:val="none"/>
        </w:rPr>
        <w:sectPr>
          <w:headerReference r:id="rId3" w:type="default"/>
          <w:footerReference r:id="rId4" w:type="default"/>
          <w:footerReference r:id="rId5" w:type="even"/>
          <w:pgSz w:w="11906" w:h="16838"/>
          <w:pgMar w:top="1440" w:right="737" w:bottom="1440" w:left="1077" w:header="851" w:footer="992" w:gutter="0"/>
          <w:cols w:space="720" w:num="1"/>
          <w:titlePg/>
          <w:docGrid w:linePitch="360" w:charSpace="0"/>
        </w:sectPr>
      </w:pPr>
      <w:r>
        <w:rPr>
          <w:rFonts w:hint="eastAsia" w:ascii="宋体" w:hAnsi="宋体" w:eastAsia="宋体" w:cs="宋体"/>
          <w:bCs/>
          <w:color w:val="auto"/>
          <w:szCs w:val="28"/>
          <w:highlight w:val="none"/>
        </w:rPr>
        <w:fldChar w:fldCharType="end"/>
      </w:r>
    </w:p>
    <w:p w14:paraId="242087EA">
      <w:pPr>
        <w:pStyle w:val="129"/>
        <w:spacing w:line="360" w:lineRule="auto"/>
        <w:rPr>
          <w:rFonts w:hint="eastAsia" w:ascii="宋体" w:hAnsi="宋体" w:eastAsia="宋体" w:cs="宋体"/>
          <w:color w:val="auto"/>
          <w:highlight w:val="none"/>
        </w:rPr>
      </w:pPr>
      <w:bookmarkStart w:id="1" w:name="_Toc175752374"/>
      <w:r>
        <w:rPr>
          <w:rFonts w:hint="eastAsia" w:ascii="宋体" w:hAnsi="宋体" w:eastAsia="宋体" w:cs="宋体"/>
          <w:color w:val="auto"/>
          <w:highlight w:val="none"/>
        </w:rPr>
        <w:t>第一章  投标邀请</w:t>
      </w:r>
      <w:bookmarkEnd w:id="1"/>
    </w:p>
    <w:p w14:paraId="076297E5">
      <w:pPr>
        <w:pBdr>
          <w:top w:val="single" w:color="000000" w:sz="4" w:space="1"/>
          <w:left w:val="single" w:color="000000" w:sz="4" w:space="4"/>
          <w:bottom w:val="single" w:color="000000" w:sz="4" w:space="8"/>
          <w:right w:val="single" w:color="000000" w:sz="4" w:space="4"/>
          <w:between w:val="single" w:color="000000" w:sz="4" w:space="1"/>
        </w:pBd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项目概况</w:t>
      </w:r>
    </w:p>
    <w:p w14:paraId="3B32F773">
      <w:pPr>
        <w:pBdr>
          <w:top w:val="single" w:color="000000" w:sz="4" w:space="1"/>
          <w:left w:val="single" w:color="000000" w:sz="4" w:space="4"/>
          <w:bottom w:val="single" w:color="000000" w:sz="4" w:space="8"/>
          <w:right w:val="single" w:color="000000" w:sz="4" w:space="4"/>
          <w:between w:val="single" w:color="000000" w:sz="4" w:space="1"/>
        </w:pBd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交通管理劝导购买服务</w:t>
      </w:r>
      <w:r>
        <w:rPr>
          <w:rFonts w:hint="eastAsia" w:ascii="宋体" w:hAnsi="宋体" w:eastAsia="宋体" w:cs="宋体"/>
          <w:color w:val="auto"/>
          <w:spacing w:val="8"/>
          <w:sz w:val="24"/>
          <w:szCs w:val="24"/>
          <w:highlight w:val="none"/>
          <w:lang w:eastAsia="zh-CN"/>
        </w:rPr>
        <w:t>系统自动生成</w:t>
      </w:r>
      <w:r>
        <w:rPr>
          <w:rFonts w:hint="eastAsia" w:ascii="宋体" w:hAnsi="宋体" w:eastAsia="宋体" w:cs="宋体"/>
          <w:color w:val="auto"/>
          <w:spacing w:val="8"/>
          <w:sz w:val="24"/>
          <w:szCs w:val="24"/>
          <w:highlight w:val="none"/>
        </w:rPr>
        <w:t>招标项目的潜在投标人应在“苏采云”系统中下载（网址：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"http://jszfcg.jsczt.cn/）获取招标文件，并于2024年08月"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8"/>
          <w:sz w:val="24"/>
          <w:szCs w:val="24"/>
          <w:highlight w:val="none"/>
        </w:rPr>
        <w:t>http://jszfcg.jsczt.cn/）获取招标文件，并于</w:t>
      </w:r>
      <w:r>
        <w:rPr>
          <w:rFonts w:hint="eastAsia" w:ascii="宋体" w:hAnsi="宋体" w:eastAsia="宋体" w:cs="宋体"/>
          <w:color w:val="auto"/>
          <w:spacing w:val="8"/>
          <w:sz w:val="24"/>
          <w:szCs w:val="24"/>
          <w:highlight w:val="none"/>
          <w:lang w:eastAsia="zh-CN"/>
        </w:rPr>
        <w:t>2026年</w:t>
      </w:r>
      <w:r>
        <w:rPr>
          <w:rFonts w:hint="eastAsia" w:ascii="宋体" w:hAnsi="宋体" w:cs="宋体"/>
          <w:color w:val="auto"/>
          <w:spacing w:val="8"/>
          <w:sz w:val="24"/>
          <w:szCs w:val="24"/>
          <w:highlight w:val="none"/>
          <w:lang w:val="en-US" w:eastAsia="zh-CN"/>
        </w:rPr>
        <w:t>9</w:t>
      </w:r>
      <w:r>
        <w:rPr>
          <w:rFonts w:hint="eastAsia" w:ascii="宋体" w:hAnsi="宋体" w:eastAsia="宋体" w:cs="宋体"/>
          <w:color w:val="auto"/>
          <w:spacing w:val="8"/>
          <w:sz w:val="24"/>
          <w:szCs w:val="24"/>
          <w:highlight w:val="none"/>
        </w:rPr>
        <w:t>月</w:t>
      </w:r>
      <w:r>
        <w:rPr>
          <w:rFonts w:hint="eastAsia" w:ascii="宋体" w:hAnsi="宋体" w:eastAsia="宋体" w:cs="宋体"/>
          <w:color w:val="auto"/>
          <w:spacing w:val="8"/>
          <w:sz w:val="24"/>
          <w:szCs w:val="24"/>
          <w:highlight w:val="none"/>
        </w:rPr>
        <w:fldChar w:fldCharType="end"/>
      </w:r>
      <w:r>
        <w:rPr>
          <w:rFonts w:hint="eastAsia" w:ascii="宋体" w:hAnsi="宋体" w:cs="宋体"/>
          <w:color w:val="auto"/>
          <w:spacing w:val="8"/>
          <w:sz w:val="24"/>
          <w:szCs w:val="24"/>
          <w:highlight w:val="none"/>
          <w:lang w:val="en-US" w:eastAsia="zh-CN"/>
        </w:rPr>
        <w:t>14</w:t>
      </w:r>
      <w:r>
        <w:rPr>
          <w:rFonts w:hint="eastAsia" w:ascii="宋体" w:hAnsi="宋体" w:eastAsia="宋体" w:cs="宋体"/>
          <w:color w:val="auto"/>
          <w:spacing w:val="8"/>
          <w:sz w:val="24"/>
          <w:szCs w:val="24"/>
          <w:highlight w:val="none"/>
        </w:rPr>
        <w:t>日14时00分（北京时间）前递交投标文件。</w:t>
      </w:r>
    </w:p>
    <w:p w14:paraId="6A94B469">
      <w:pPr>
        <w:widowControl/>
        <w:shd w:val="clear" w:color="auto" w:fill="FFFFFF"/>
        <w:spacing w:line="440" w:lineRule="exac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一、项目基本情况</w:t>
      </w:r>
    </w:p>
    <w:p w14:paraId="20A0BAEB">
      <w:pPr>
        <w:widowControl/>
        <w:shd w:val="clear" w:color="auto" w:fill="FFFFFF"/>
        <w:spacing w:line="440" w:lineRule="exact"/>
        <w:ind w:firstLine="555"/>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项目编号：JSZC-320582-HZDZ-G2026-0004</w:t>
      </w:r>
    </w:p>
    <w:p w14:paraId="7E62D041">
      <w:pPr>
        <w:widowControl/>
        <w:shd w:val="clear" w:color="auto" w:fill="FFFFFF"/>
        <w:spacing w:line="440" w:lineRule="exact"/>
        <w:ind w:firstLine="555"/>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项目名称：</w:t>
      </w:r>
      <w:r>
        <w:rPr>
          <w:rFonts w:hint="eastAsia" w:ascii="宋体" w:hAnsi="宋体" w:eastAsia="宋体" w:cs="宋体"/>
          <w:color w:val="auto"/>
          <w:spacing w:val="8"/>
          <w:sz w:val="24"/>
          <w:highlight w:val="none"/>
          <w:lang w:eastAsia="zh-CN"/>
        </w:rPr>
        <w:t>交通管理劝导购买服务</w:t>
      </w:r>
    </w:p>
    <w:p w14:paraId="051DB3C6">
      <w:pPr>
        <w:widowControl/>
        <w:shd w:val="clear" w:color="auto" w:fill="FFFFFF"/>
        <w:spacing w:line="44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预算金额：</w:t>
      </w:r>
      <w:bookmarkStart w:id="2" w:name="EB1a0e1eba70434d918dcf5b8e03079bcd"/>
      <w:r>
        <w:rPr>
          <w:rFonts w:hint="eastAsia" w:ascii="宋体" w:hAnsi="宋体" w:eastAsia="宋体" w:cs="宋体"/>
          <w:color w:val="auto"/>
          <w:spacing w:val="8"/>
          <w:sz w:val="24"/>
          <w:szCs w:val="24"/>
          <w:highlight w:val="none"/>
          <w:lang w:val="en-US" w:eastAsia="zh-CN"/>
        </w:rPr>
        <w:t>237</w:t>
      </w:r>
      <w:r>
        <w:rPr>
          <w:rFonts w:hint="eastAsia" w:ascii="宋体" w:hAnsi="宋体" w:eastAsia="宋体" w:cs="宋体"/>
          <w:color w:val="auto"/>
          <w:spacing w:val="8"/>
          <w:sz w:val="24"/>
          <w:szCs w:val="24"/>
          <w:highlight w:val="none"/>
        </w:rPr>
        <w:t>.000000</w:t>
      </w:r>
      <w:r>
        <w:rPr>
          <w:rFonts w:hint="eastAsia" w:ascii="宋体" w:hAnsi="宋体" w:eastAsia="宋体" w:cs="宋体"/>
          <w:color w:val="auto"/>
          <w:spacing w:val="8"/>
          <w:sz w:val="24"/>
          <w:szCs w:val="24"/>
          <w:highlight w:val="none"/>
          <w:lang w:val="en-US" w:eastAsia="zh-CN"/>
        </w:rPr>
        <w:t>万</w:t>
      </w:r>
      <w:r>
        <w:rPr>
          <w:rFonts w:hint="eastAsia" w:ascii="宋体" w:hAnsi="宋体" w:eastAsia="宋体" w:cs="宋体"/>
          <w:color w:val="auto"/>
          <w:spacing w:val="8"/>
          <w:sz w:val="24"/>
          <w:szCs w:val="24"/>
          <w:highlight w:val="none"/>
        </w:rPr>
        <w:t>元</w:t>
      </w:r>
      <w:bookmarkEnd w:id="2"/>
    </w:p>
    <w:p w14:paraId="0EB22C79">
      <w:pPr>
        <w:widowControl/>
        <w:shd w:val="clear" w:color="auto" w:fill="FFFFFF"/>
        <w:spacing w:line="440" w:lineRule="exact"/>
        <w:ind w:firstLine="555"/>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highlight w:val="none"/>
        </w:rPr>
        <w:t>最高限价：</w:t>
      </w:r>
      <w:r>
        <w:rPr>
          <w:rFonts w:hint="eastAsia" w:ascii="宋体" w:hAnsi="宋体" w:eastAsia="宋体" w:cs="宋体"/>
          <w:color w:val="auto"/>
          <w:spacing w:val="8"/>
          <w:sz w:val="24"/>
          <w:highlight w:val="none"/>
          <w:lang w:val="en-US" w:eastAsia="zh-CN"/>
        </w:rPr>
        <w:t>237</w:t>
      </w:r>
      <w:r>
        <w:rPr>
          <w:rFonts w:hint="eastAsia" w:ascii="宋体" w:hAnsi="宋体" w:eastAsia="宋体" w:cs="宋体"/>
          <w:color w:val="auto"/>
          <w:spacing w:val="8"/>
          <w:sz w:val="24"/>
          <w:szCs w:val="24"/>
          <w:highlight w:val="none"/>
        </w:rPr>
        <w:t>.000000</w:t>
      </w:r>
      <w:r>
        <w:rPr>
          <w:rFonts w:hint="eastAsia" w:ascii="宋体" w:hAnsi="宋体" w:eastAsia="宋体" w:cs="宋体"/>
          <w:color w:val="auto"/>
          <w:spacing w:val="8"/>
          <w:sz w:val="24"/>
          <w:szCs w:val="24"/>
          <w:highlight w:val="none"/>
          <w:lang w:val="en-US" w:eastAsia="zh-CN"/>
        </w:rPr>
        <w:t>万</w:t>
      </w:r>
      <w:r>
        <w:rPr>
          <w:rFonts w:hint="eastAsia" w:ascii="宋体" w:hAnsi="宋体" w:eastAsia="宋体" w:cs="宋体"/>
          <w:color w:val="auto"/>
          <w:spacing w:val="8"/>
          <w:sz w:val="24"/>
          <w:szCs w:val="24"/>
          <w:highlight w:val="none"/>
        </w:rPr>
        <w:t>元</w:t>
      </w:r>
    </w:p>
    <w:p w14:paraId="3273143C">
      <w:pPr>
        <w:widowControl/>
        <w:shd w:val="clear" w:color="auto" w:fill="FFFFFF"/>
        <w:spacing w:line="440" w:lineRule="exact"/>
        <w:ind w:firstLine="555"/>
        <w:rPr>
          <w:rFonts w:hint="eastAsia" w:ascii="宋体" w:hAnsi="宋体" w:eastAsia="宋体" w:cs="宋体"/>
          <w:b/>
          <w:bCs/>
          <w:color w:val="auto"/>
          <w:spacing w:val="8"/>
          <w:sz w:val="24"/>
          <w:highlight w:val="none"/>
        </w:rPr>
      </w:pPr>
      <w:r>
        <w:rPr>
          <w:rFonts w:hint="eastAsia" w:ascii="宋体" w:hAnsi="宋体" w:eastAsia="宋体" w:cs="宋体"/>
          <w:color w:val="auto"/>
          <w:spacing w:val="8"/>
          <w:sz w:val="24"/>
          <w:highlight w:val="none"/>
        </w:rPr>
        <w:t>采购需求：</w:t>
      </w:r>
      <w:r>
        <w:rPr>
          <w:rFonts w:hint="eastAsia" w:ascii="宋体" w:hAnsi="宋体" w:eastAsia="宋体" w:cs="宋体"/>
          <w:color w:val="auto"/>
          <w:spacing w:val="8"/>
          <w:sz w:val="24"/>
          <w:highlight w:val="none"/>
        </w:rPr>
        <w:t>为进一步提高我市交通安全管理和服务保障能力，张家港市公安局根据全市各项道路交通违法行为专项整治和道路交通文明提升行动工作要求，通过购买交通劝导服务，有效缓解警力不足的现实矛盾，进一步提升市区交通管理水平</w:t>
      </w:r>
      <w:r>
        <w:rPr>
          <w:rFonts w:hint="eastAsia" w:ascii="宋体" w:hAnsi="宋体" w:eastAsia="宋体" w:cs="宋体"/>
          <w:color w:val="auto"/>
          <w:spacing w:val="8"/>
          <w:sz w:val="24"/>
          <w:highlight w:val="none"/>
        </w:rPr>
        <w:t>。</w:t>
      </w:r>
    </w:p>
    <w:p w14:paraId="2F817015">
      <w:pPr>
        <w:widowControl/>
        <w:spacing w:line="440" w:lineRule="exact"/>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合同履行期限：自合同签订之日起至</w:t>
      </w:r>
      <w:r>
        <w:rPr>
          <w:rFonts w:hint="eastAsia" w:ascii="宋体" w:hAnsi="宋体" w:eastAsia="宋体" w:cs="宋体"/>
          <w:color w:val="auto"/>
          <w:spacing w:val="8"/>
          <w:sz w:val="24"/>
          <w:highlight w:val="none"/>
          <w:lang w:val="en-US" w:eastAsia="zh-CN"/>
        </w:rPr>
        <w:t>12</w:t>
      </w:r>
      <w:r>
        <w:rPr>
          <w:rFonts w:hint="eastAsia" w:ascii="宋体" w:hAnsi="宋体" w:eastAsia="宋体" w:cs="宋体"/>
          <w:color w:val="auto"/>
          <w:spacing w:val="8"/>
          <w:sz w:val="24"/>
          <w:highlight w:val="none"/>
        </w:rPr>
        <w:t>个月。</w:t>
      </w:r>
    </w:p>
    <w:p w14:paraId="00EA716C">
      <w:pPr>
        <w:widowControl/>
        <w:spacing w:line="440" w:lineRule="exact"/>
        <w:ind w:firstLine="512"/>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本项目（是/否）接受联合体投标：不接受联合体。</w:t>
      </w:r>
    </w:p>
    <w:p w14:paraId="49D9EACF">
      <w:pPr>
        <w:widowControl/>
        <w:shd w:val="clear" w:color="auto" w:fill="FFFFFF"/>
        <w:spacing w:line="440" w:lineRule="exac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二、申请人的资格要求：</w:t>
      </w:r>
    </w:p>
    <w:p w14:paraId="7C6EE304">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（一）满足《中华人民共和国政府采购法》第二十二条规定；</w:t>
      </w:r>
    </w:p>
    <w:p w14:paraId="4D7CBFE4">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454BF15">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2.财务状况报告（成立不满一年不需提供）。</w:t>
      </w:r>
      <w:bookmarkStart w:id="191" w:name="_GoBack"/>
      <w:bookmarkEnd w:id="191"/>
    </w:p>
    <w:p w14:paraId="35190118">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3.依法缴纳税收和社会保障资金的相关材料。</w:t>
      </w:r>
    </w:p>
    <w:p w14:paraId="40801234">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4.具备履行合同所必需的设备和专业技术能力的书面声明。</w:t>
      </w:r>
    </w:p>
    <w:p w14:paraId="0D897E8E">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5.参加政府采购活动前3年内在经营活动中没有重大违法记录的书面声明。</w:t>
      </w:r>
    </w:p>
    <w:p w14:paraId="40836B19">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6.授权委托书。</w:t>
      </w:r>
    </w:p>
    <w:p w14:paraId="71BD6B2C">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7.资格证明文件的书面承诺。</w:t>
      </w:r>
    </w:p>
    <w:p w14:paraId="3C9993D9">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bookmarkStart w:id="3" w:name="_Hlk183162690"/>
      <w:r>
        <w:rPr>
          <w:rFonts w:hint="eastAsia" w:ascii="宋体" w:hAnsi="宋体" w:eastAsia="宋体" w:cs="宋体"/>
          <w:color w:val="auto"/>
          <w:spacing w:val="8"/>
          <w:sz w:val="24"/>
          <w:highlight w:val="none"/>
        </w:rPr>
        <w:t>（二）落实政府采购政策需满足的资格要求</w:t>
      </w:r>
      <w:r>
        <w:rPr>
          <w:rFonts w:hint="eastAsia" w:ascii="宋体" w:hAnsi="宋体" w:eastAsia="宋体" w:cs="宋体"/>
          <w:color w:val="auto"/>
          <w:spacing w:val="8"/>
          <w:sz w:val="24"/>
          <w:highlight w:val="none"/>
          <w:lang w:eastAsia="zh-CN"/>
        </w:rPr>
        <w:t>：</w:t>
      </w:r>
    </w:p>
    <w:bookmarkEnd w:id="3"/>
    <w:p w14:paraId="3CDA5E61">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本项目专门面向中小企业采购</w:t>
      </w:r>
    </w:p>
    <w:p w14:paraId="03C37213">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注：1.根据《关于促进残疾人就业政府采购政策的通知》（财库〔2017〕141号）的通知规定，在政府采购活动中，残疾人福利性单位视同小型、微型企业。</w:t>
      </w:r>
    </w:p>
    <w:p w14:paraId="2546EE38">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2.根据《关于政府采购支持监狱企业发展有关问题的通知》（财库〔2014〕68号）的通知规定，在政府采购活动中，监狱企业视同小型、微型企业。</w:t>
      </w:r>
    </w:p>
    <w:p w14:paraId="68D9B4F9">
      <w:pPr>
        <w:widowControl/>
        <w:shd w:val="clear" w:color="auto" w:fill="FFFFFF"/>
        <w:spacing w:line="440" w:lineRule="exact"/>
        <w:ind w:firstLine="555"/>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eastAsia="zh-CN"/>
        </w:rPr>
        <w:t>（</w:t>
      </w:r>
      <w:r>
        <w:rPr>
          <w:rFonts w:hint="eastAsia" w:ascii="宋体" w:hAnsi="宋体" w:cs="宋体"/>
          <w:color w:val="auto"/>
          <w:spacing w:val="8"/>
          <w:sz w:val="24"/>
          <w:highlight w:val="none"/>
          <w:lang w:val="en-US" w:eastAsia="zh-CN"/>
        </w:rPr>
        <w:t>三</w:t>
      </w:r>
      <w:r>
        <w:rPr>
          <w:rFonts w:hint="eastAsia" w:ascii="宋体" w:hAnsi="宋体" w:cs="宋体"/>
          <w:color w:val="auto"/>
          <w:spacing w:val="8"/>
          <w:sz w:val="24"/>
          <w:highlight w:val="none"/>
          <w:lang w:eastAsia="zh-CN"/>
        </w:rPr>
        <w:t>）</w:t>
      </w:r>
      <w:r>
        <w:rPr>
          <w:rFonts w:hint="eastAsia" w:ascii="宋体" w:hAnsi="宋体" w:eastAsia="宋体" w:cs="宋体"/>
          <w:color w:val="auto"/>
          <w:spacing w:val="8"/>
          <w:sz w:val="24"/>
          <w:highlight w:val="none"/>
        </w:rPr>
        <w:t>本项目的特定资格要求：</w:t>
      </w:r>
    </w:p>
    <w:p w14:paraId="4DA63650">
      <w:pPr>
        <w:pStyle w:val="573"/>
        <w:spacing w:line="440" w:lineRule="exact"/>
        <w:ind w:firstLine="500"/>
        <w:rPr>
          <w:rFonts w:hint="eastAsia" w:ascii="宋体" w:hAnsi="宋体" w:eastAsia="宋体" w:cs="宋体"/>
          <w:i w:val="0"/>
          <w:iCs w:val="0"/>
          <w:color w:val="auto"/>
          <w:spacing w:val="7"/>
          <w:highlight w:val="none"/>
          <w:u w:val="none"/>
        </w:rPr>
      </w:pPr>
      <w:bookmarkStart w:id="4" w:name="EB2e222552591745cd9af6e9d18c1a40c7"/>
      <w:bookmarkEnd w:id="4"/>
      <w:r>
        <w:rPr>
          <w:rFonts w:hint="eastAsia" w:ascii="宋体" w:hAnsi="宋体" w:eastAsia="宋体" w:cs="宋体"/>
          <w:i w:val="0"/>
          <w:iCs w:val="0"/>
          <w:color w:val="auto"/>
          <w:spacing w:val="8"/>
          <w:szCs w:val="22"/>
          <w:highlight w:val="none"/>
          <w:u w:val="none"/>
        </w:rPr>
        <w:t>无。</w:t>
      </w:r>
    </w:p>
    <w:p w14:paraId="294E24CC">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（四）拒绝下述供应商参加本次采购活动：</w:t>
      </w:r>
    </w:p>
    <w:p w14:paraId="31E6A832">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1.单位负责人为同一人或者存在直接控股、管理关系的不同供应商，不得参加同一合同下的政府采购活动；</w:t>
      </w:r>
    </w:p>
    <w:p w14:paraId="5AA9F754">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根据政府采购法及相关法规，以及《国务院关于建立完善守信联合激励和失信联合惩戒制度加快推进社会诚信建设的指导意见》（国发〔2016〕33号）《财政部关于在政府采购活动中查询及使用信用记录有关问题的通知》（财库</w:t>
      </w:r>
      <w:r>
        <w:rPr>
          <w:rFonts w:hint="eastAsia" w:ascii="宋体" w:hAnsi="宋体" w:eastAsia="宋体" w:cs="宋体"/>
          <w:color w:val="auto"/>
          <w:spacing w:val="8"/>
          <w:sz w:val="24"/>
          <w:highlight w:val="none"/>
          <w:lang w:eastAsia="zh-CN"/>
        </w:rPr>
        <w:t>〔2016〕</w:t>
      </w:r>
      <w:r>
        <w:rPr>
          <w:rFonts w:hint="eastAsia" w:ascii="宋体" w:hAnsi="宋体" w:eastAsia="宋体" w:cs="宋体"/>
          <w:color w:val="auto"/>
          <w:spacing w:val="8"/>
          <w:sz w:val="24"/>
          <w:highlight w:val="none"/>
        </w:rPr>
        <w:t>125）文件规定，采购人将对供应商进行信用查询。对列入失信被执行人名单、重大税收违法案件当事人名单、政府采购严重违法失信行为记录名单的供应商，拒绝其参与政府采购活动。</w:t>
      </w:r>
    </w:p>
    <w:p w14:paraId="2012C464">
      <w:pPr>
        <w:widowControl/>
        <w:shd w:val="clear" w:color="auto" w:fill="FFFFFF"/>
        <w:spacing w:line="440" w:lineRule="exact"/>
        <w:ind w:firstLine="512"/>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（五）本项目不允许进口产品投标。</w:t>
      </w:r>
    </w:p>
    <w:p w14:paraId="672ACCC7">
      <w:pPr>
        <w:widowControl/>
        <w:shd w:val="clear" w:color="auto" w:fill="FFFFFF"/>
        <w:spacing w:line="440" w:lineRule="exac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三、获取招标文件</w:t>
      </w:r>
    </w:p>
    <w:p w14:paraId="447A35E4">
      <w:pPr>
        <w:widowControl/>
        <w:shd w:val="clear" w:color="auto" w:fill="FFFFFF"/>
        <w:spacing w:line="440" w:lineRule="exact"/>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时间：</w:t>
      </w:r>
      <w:bookmarkStart w:id="5" w:name="EB446df91d580b4ebaac62d73ab338d4ec"/>
      <w:r>
        <w:rPr>
          <w:rFonts w:hint="eastAsia" w:ascii="宋体" w:hAnsi="宋体" w:eastAsia="宋体" w:cs="宋体"/>
          <w:color w:val="auto"/>
          <w:spacing w:val="8"/>
          <w:sz w:val="24"/>
          <w:highlight w:val="none"/>
        </w:rPr>
        <w:t>自招标文件公告发布之日起5个工作日</w:t>
      </w:r>
      <w:bookmarkEnd w:id="5"/>
    </w:p>
    <w:p w14:paraId="526BAED2">
      <w:pPr>
        <w:widowControl/>
        <w:shd w:val="clear" w:color="auto" w:fill="FFFFFF"/>
        <w:spacing w:line="440" w:lineRule="exact"/>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地点：苏采云政府采购一体化平台（网址：http://jszfcg.jsczt.cn/）</w:t>
      </w:r>
    </w:p>
    <w:p w14:paraId="2C671696">
      <w:pPr>
        <w:widowControl/>
        <w:shd w:val="clear" w:color="auto" w:fill="FFFFFF"/>
        <w:spacing w:line="440" w:lineRule="exact"/>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603070C3">
      <w:pPr>
        <w:widowControl/>
        <w:shd w:val="clear" w:color="auto" w:fill="FFFFFF"/>
        <w:spacing w:line="440" w:lineRule="exact"/>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售价：</w:t>
      </w:r>
      <w:r>
        <w:rPr>
          <w:rFonts w:hint="eastAsia" w:ascii="宋体" w:hAnsi="宋体" w:eastAsia="宋体" w:cs="宋体"/>
          <w:color w:val="auto"/>
          <w:spacing w:val="8"/>
          <w:sz w:val="24"/>
          <w:highlight w:val="none"/>
          <w:lang w:val="en-US" w:eastAsia="zh-CN"/>
        </w:rPr>
        <w:t>0</w:t>
      </w:r>
      <w:r>
        <w:rPr>
          <w:rFonts w:hint="eastAsia" w:ascii="宋体" w:hAnsi="宋体" w:eastAsia="宋体" w:cs="宋体"/>
          <w:color w:val="auto"/>
          <w:spacing w:val="8"/>
          <w:sz w:val="24"/>
          <w:highlight w:val="none"/>
        </w:rPr>
        <w:t>元。</w:t>
      </w:r>
    </w:p>
    <w:p w14:paraId="5497443C">
      <w:pPr>
        <w:widowControl/>
        <w:shd w:val="clear" w:color="auto" w:fill="FFFFFF"/>
        <w:spacing w:line="440" w:lineRule="exac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四、提交投标文件截止时间、开标时间和地点</w:t>
      </w:r>
    </w:p>
    <w:p w14:paraId="7274B63D">
      <w:pPr>
        <w:widowControl/>
        <w:shd w:val="clear" w:color="auto" w:fill="FFFFFF"/>
        <w:spacing w:line="440" w:lineRule="exact"/>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开标时间：</w:t>
      </w:r>
      <w:r>
        <w:rPr>
          <w:rFonts w:hint="eastAsia" w:ascii="宋体" w:hAnsi="宋体" w:eastAsia="宋体" w:cs="宋体"/>
          <w:color w:val="auto"/>
          <w:spacing w:val="8"/>
          <w:sz w:val="24"/>
          <w:highlight w:val="none"/>
          <w:lang w:eastAsia="zh-CN"/>
        </w:rPr>
        <w:t>2026年</w:t>
      </w:r>
      <w:r>
        <w:rPr>
          <w:rFonts w:hint="eastAsia" w:ascii="宋体" w:hAnsi="宋体" w:cs="宋体"/>
          <w:color w:val="auto"/>
          <w:spacing w:val="8"/>
          <w:sz w:val="24"/>
          <w:highlight w:val="none"/>
          <w:lang w:val="en-US" w:eastAsia="zh-CN"/>
        </w:rPr>
        <w:t>9</w:t>
      </w:r>
      <w:r>
        <w:rPr>
          <w:rFonts w:hint="eastAsia" w:ascii="宋体" w:hAnsi="宋体" w:eastAsia="宋体" w:cs="宋体"/>
          <w:color w:val="auto"/>
          <w:spacing w:val="8"/>
          <w:sz w:val="24"/>
          <w:highlight w:val="none"/>
        </w:rPr>
        <w:t>月</w:t>
      </w:r>
      <w:r>
        <w:rPr>
          <w:rFonts w:hint="eastAsia" w:ascii="宋体" w:hAnsi="宋体" w:cs="宋体"/>
          <w:color w:val="auto"/>
          <w:spacing w:val="8"/>
          <w:sz w:val="24"/>
          <w:highlight w:val="none"/>
          <w:lang w:val="en-US" w:eastAsia="zh-CN"/>
        </w:rPr>
        <w:t>14</w:t>
      </w:r>
      <w:r>
        <w:rPr>
          <w:rFonts w:hint="eastAsia" w:ascii="宋体" w:hAnsi="宋体" w:eastAsia="宋体" w:cs="宋体"/>
          <w:color w:val="auto"/>
          <w:spacing w:val="8"/>
          <w:sz w:val="24"/>
          <w:highlight w:val="none"/>
        </w:rPr>
        <w:t>日14:00（北京时间）</w:t>
      </w:r>
    </w:p>
    <w:p w14:paraId="178E513E">
      <w:pPr>
        <w:widowControl/>
        <w:shd w:val="clear" w:color="auto" w:fill="FFFFFF"/>
        <w:spacing w:line="440" w:lineRule="exact"/>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开标地点：江苏省政府采购一体化不见面开标（采购）大厅 （网址：http://jszfcg.jsczt.cn/）</w:t>
      </w:r>
    </w:p>
    <w:p w14:paraId="53573861">
      <w:pPr>
        <w:widowControl/>
        <w:shd w:val="clear" w:color="auto" w:fill="FFFFFF"/>
        <w:spacing w:line="440" w:lineRule="exac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五、公告期限</w:t>
      </w:r>
    </w:p>
    <w:p w14:paraId="4B312A49">
      <w:pPr>
        <w:widowControl/>
        <w:shd w:val="clear" w:color="auto" w:fill="FFFFFF"/>
        <w:spacing w:line="440" w:lineRule="exact"/>
        <w:ind w:firstLine="555"/>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自本公告发布之日起5个工作日。</w:t>
      </w:r>
    </w:p>
    <w:p w14:paraId="14B08DEF">
      <w:pPr>
        <w:widowControl/>
        <w:shd w:val="clear" w:color="auto" w:fill="FFFFFF"/>
        <w:spacing w:line="440" w:lineRule="exac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六、其他补充事宜</w:t>
      </w:r>
    </w:p>
    <w:p w14:paraId="430391D2">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1.CA证书办理：</w:t>
      </w:r>
    </w:p>
    <w:p w14:paraId="70D7A95A">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pacing w:val="8"/>
          <w:sz w:val="24"/>
          <w:highlight w:val="none"/>
        </w:rPr>
        <w:t>苏州市高新区邓尉路105号狮山科技馆1楼服务大厅，咨询电话：0512-65737699。</w:t>
      </w:r>
    </w:p>
    <w:p w14:paraId="1D1B113F">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2.参与采购活动</w:t>
      </w:r>
    </w:p>
    <w:p w14:paraId="006A7DA4">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0BFB0AA4">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3.电子投标准备</w:t>
      </w:r>
    </w:p>
    <w:p w14:paraId="2F20B1F1">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p>
    <w:p w14:paraId="2F5C1305">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 </w:t>
      </w:r>
    </w:p>
    <w:p w14:paraId="46D3D48E">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 </w:t>
      </w:r>
    </w:p>
    <w:p w14:paraId="4B10833F">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 </w:t>
      </w:r>
    </w:p>
    <w:p w14:paraId="24DB5C8B">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 </w:t>
      </w:r>
    </w:p>
    <w:p w14:paraId="644D3CA6">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系统使用指导与咨询：18261002950、0512-69820854；QQ：3048755361、1315179389、895706745。</w:t>
      </w:r>
    </w:p>
    <w:p w14:paraId="03220B05">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p>
    <w:p w14:paraId="292CCCAC">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p>
    <w:p w14:paraId="2D8ED7CB">
      <w:pPr>
        <w:widowControl/>
        <w:shd w:val="clear" w:color="auto" w:fill="FFFFFF"/>
        <w:spacing w:line="360" w:lineRule="auto"/>
        <w:ind w:firstLine="512"/>
        <w:contextualSpacing/>
        <w:jc w:val="left"/>
        <w:outlineLvl w:val="9"/>
        <w:rPr>
          <w:rFonts w:hint="eastAsia" w:ascii="宋体" w:hAnsi="宋体" w:eastAsia="宋体" w:cs="宋体"/>
          <w:b w:val="0"/>
          <w:bCs w:val="0"/>
          <w:color w:val="auto"/>
          <w:spacing w:val="8"/>
          <w:sz w:val="24"/>
          <w:highlight w:val="none"/>
        </w:rPr>
      </w:pPr>
      <w:r>
        <w:rPr>
          <w:rFonts w:hint="eastAsia" w:ascii="宋体" w:hAnsi="宋体" w:eastAsia="宋体" w:cs="宋体"/>
          <w:b w:val="0"/>
          <w:bCs w:val="0"/>
          <w:color w:val="auto"/>
          <w:spacing w:val="8"/>
          <w:sz w:val="24"/>
          <w:highlight w:val="none"/>
        </w:rPr>
        <w:t>请供应商确保电脑、系统及其他设备（视频输入输出设备等）无误，且开标直至项目结束始终保持系统在线状态。</w:t>
      </w:r>
    </w:p>
    <w:p w14:paraId="51209E98">
      <w:pPr>
        <w:widowControl/>
        <w:shd w:val="clear" w:color="auto" w:fill="FFFFFF"/>
        <w:spacing w:line="360" w:lineRule="auto"/>
        <w:ind w:firstLine="512"/>
        <w:contextualSpacing/>
        <w:jc w:val="left"/>
        <w:outlineLvl w:val="9"/>
        <w:rPr>
          <w:rFonts w:hint="eastAsia" w:ascii="宋体" w:hAnsi="宋体" w:eastAsia="宋体" w:cs="宋体"/>
          <w:b w:val="0"/>
          <w:bCs w:val="0"/>
          <w:color w:val="auto"/>
          <w:spacing w:val="8"/>
          <w:sz w:val="24"/>
          <w:highlight w:val="none"/>
          <w:lang w:val="en-US" w:eastAsia="zh-CN"/>
        </w:rPr>
      </w:pPr>
      <w:r>
        <w:rPr>
          <w:rFonts w:hint="eastAsia" w:ascii="宋体" w:hAnsi="宋体" w:eastAsia="宋体" w:cs="宋体"/>
          <w:b w:val="0"/>
          <w:bCs w:val="0"/>
          <w:color w:val="auto"/>
          <w:spacing w:val="8"/>
          <w:sz w:val="24"/>
          <w:highlight w:val="none"/>
          <w:lang w:val="en-US" w:eastAsia="zh-CN"/>
        </w:rPr>
        <w:t>6.</w:t>
      </w:r>
      <w:r>
        <w:rPr>
          <w:rFonts w:hint="eastAsia" w:ascii="宋体" w:hAnsi="宋体" w:eastAsia="宋体" w:cs="宋体"/>
          <w:b w:val="0"/>
          <w:bCs w:val="0"/>
          <w:i w:val="0"/>
          <w:iCs/>
          <w:color w:val="auto"/>
          <w:spacing w:val="8"/>
          <w:sz w:val="24"/>
          <w:highlight w:val="none"/>
          <w:lang w:val="en-US" w:eastAsia="zh-CN"/>
        </w:rPr>
        <w:t>本次招标不收取投标保证金。</w:t>
      </w:r>
    </w:p>
    <w:p w14:paraId="71DCEE2A">
      <w:pPr>
        <w:widowControl/>
        <w:shd w:val="clear" w:color="auto" w:fill="FFFFFF"/>
        <w:spacing w:line="440" w:lineRule="exact"/>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七、对本次招标提出询问，请按以下方式联系：</w:t>
      </w:r>
    </w:p>
    <w:p w14:paraId="19777497">
      <w:pPr>
        <w:widowControl/>
        <w:shd w:val="clear" w:color="auto" w:fill="FFFFFF"/>
        <w:spacing w:line="440" w:lineRule="exact"/>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1.采购人信息</w:t>
      </w:r>
    </w:p>
    <w:p w14:paraId="1D9BBF8B">
      <w:pPr>
        <w:widowControl/>
        <w:shd w:val="clear" w:color="auto" w:fill="FFFFFF"/>
        <w:spacing w:line="440" w:lineRule="exact"/>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名称：张家港市公安局</w:t>
      </w:r>
    </w:p>
    <w:p w14:paraId="64DDC7FD">
      <w:pPr>
        <w:widowControl/>
        <w:shd w:val="clear" w:color="auto" w:fill="FFFFFF"/>
        <w:spacing w:line="440" w:lineRule="exact"/>
        <w:ind w:firstLine="512"/>
        <w:jc w:val="left"/>
        <w:rPr>
          <w:rFonts w:hint="eastAsia" w:ascii="宋体" w:hAnsi="宋体" w:eastAsia="宋体" w:cs="宋体"/>
          <w:color w:val="auto"/>
          <w:sz w:val="24"/>
          <w:highlight w:val="none"/>
        </w:rPr>
      </w:pPr>
      <w:r>
        <w:rPr>
          <w:rFonts w:hint="eastAsia" w:ascii="宋体" w:hAnsi="宋体" w:eastAsia="宋体" w:cs="宋体"/>
          <w:color w:val="auto"/>
          <w:spacing w:val="8"/>
          <w:sz w:val="24"/>
          <w:highlight w:val="none"/>
        </w:rPr>
        <w:t>地址：</w:t>
      </w:r>
      <w:r>
        <w:rPr>
          <w:rFonts w:hint="eastAsia" w:ascii="宋体" w:hAnsi="宋体" w:eastAsia="宋体" w:cs="宋体"/>
          <w:color w:val="auto"/>
          <w:sz w:val="24"/>
          <w:highlight w:val="none"/>
        </w:rPr>
        <w:t>张家港市港城大道180号</w:t>
      </w:r>
    </w:p>
    <w:p w14:paraId="1F818A2E">
      <w:pPr>
        <w:widowControl/>
        <w:shd w:val="clear" w:color="auto" w:fill="FFFFFF"/>
        <w:spacing w:line="440" w:lineRule="exact"/>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联系方式：0512-55370072</w:t>
      </w:r>
    </w:p>
    <w:p w14:paraId="0531DE7A">
      <w:pPr>
        <w:widowControl/>
        <w:shd w:val="clear" w:color="auto" w:fill="FFFFFF"/>
        <w:spacing w:line="360" w:lineRule="auto"/>
        <w:ind w:firstLine="512"/>
        <w:contextualSpacing/>
        <w:jc w:val="left"/>
        <w:outlineLvl w:val="9"/>
        <w:rPr>
          <w:rFonts w:hint="eastAsia" w:ascii="宋体" w:hAnsi="宋体" w:eastAsia="宋体" w:cs="宋体"/>
          <w:color w:val="auto"/>
          <w:spacing w:val="8"/>
          <w:sz w:val="24"/>
          <w:highlight w:val="none"/>
        </w:rPr>
      </w:pPr>
      <w:bookmarkStart w:id="6" w:name="_Toc175752375"/>
      <w:r>
        <w:rPr>
          <w:rFonts w:hint="eastAsia" w:ascii="宋体" w:hAnsi="宋体" w:eastAsia="宋体" w:cs="宋体"/>
          <w:color w:val="auto"/>
          <w:spacing w:val="8"/>
          <w:sz w:val="24"/>
          <w:highlight w:val="none"/>
        </w:rPr>
        <w:t>2.采购代理机构信息</w:t>
      </w:r>
    </w:p>
    <w:p w14:paraId="34C6F2B3">
      <w:pPr>
        <w:widowControl/>
        <w:shd w:val="clear" w:color="auto" w:fill="FFFFFF"/>
        <w:spacing w:line="360" w:lineRule="auto"/>
        <w:ind w:firstLine="512"/>
        <w:contextualSpacing/>
        <w:outlineLvl w:val="9"/>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名称：</w:t>
      </w:r>
      <w:r>
        <w:rPr>
          <w:rFonts w:hint="eastAsia" w:ascii="宋体" w:hAnsi="宋体" w:eastAsia="宋体" w:cs="宋体"/>
          <w:color w:val="auto"/>
          <w:spacing w:val="8"/>
          <w:sz w:val="24"/>
          <w:highlight w:val="none"/>
          <w:lang w:eastAsia="zh-CN"/>
        </w:rPr>
        <w:t>张家港华招达招投标代理有限公司</w:t>
      </w:r>
    </w:p>
    <w:p w14:paraId="789CE24F">
      <w:pPr>
        <w:widowControl/>
        <w:shd w:val="clear" w:color="auto" w:fill="FFFFFF"/>
        <w:spacing w:line="360" w:lineRule="auto"/>
        <w:ind w:firstLine="512"/>
        <w:contextualSpacing/>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8"/>
          <w:sz w:val="24"/>
          <w:highlight w:val="none"/>
        </w:rPr>
        <w:t>地址：</w:t>
      </w:r>
      <w:r>
        <w:rPr>
          <w:rFonts w:hint="eastAsia" w:ascii="宋体" w:hAnsi="宋体" w:eastAsia="宋体" w:cs="宋体"/>
          <w:color w:val="auto"/>
          <w:sz w:val="24"/>
          <w:szCs w:val="24"/>
          <w:highlight w:val="none"/>
        </w:rPr>
        <w:t>江苏省苏州市张家港市新闸路116号3楼</w:t>
      </w:r>
    </w:p>
    <w:p w14:paraId="406F32E8">
      <w:pPr>
        <w:widowControl/>
        <w:shd w:val="clear" w:color="auto" w:fill="FFFFFF"/>
        <w:spacing w:line="360" w:lineRule="auto"/>
        <w:ind w:firstLine="512"/>
        <w:contextualSpacing/>
        <w:outlineLvl w:val="9"/>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联系方式： </w:t>
      </w:r>
      <w:r>
        <w:rPr>
          <w:rFonts w:hint="eastAsia" w:ascii="宋体" w:hAnsi="宋体" w:eastAsia="宋体" w:cs="宋体"/>
          <w:color w:val="auto"/>
          <w:spacing w:val="8"/>
          <w:sz w:val="24"/>
          <w:highlight w:val="none"/>
          <w:lang w:val="en-US" w:eastAsia="zh-CN"/>
        </w:rPr>
        <w:t>18936120991</w:t>
      </w:r>
    </w:p>
    <w:p w14:paraId="6C83C2CF">
      <w:pPr>
        <w:widowControl/>
        <w:shd w:val="clear" w:color="auto" w:fill="FFFFFF"/>
        <w:spacing w:line="360" w:lineRule="auto"/>
        <w:ind w:firstLine="512"/>
        <w:contextualSpacing/>
        <w:outlineLvl w:val="9"/>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3.项目联系方式</w:t>
      </w:r>
    </w:p>
    <w:p w14:paraId="680D562B">
      <w:pPr>
        <w:widowControl/>
        <w:shd w:val="clear" w:color="auto" w:fill="FFFFFF"/>
        <w:spacing w:line="360" w:lineRule="auto"/>
        <w:ind w:firstLine="512"/>
        <w:contextualSpacing/>
        <w:outlineLvl w:val="9"/>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项目联系人：</w:t>
      </w:r>
      <w:r>
        <w:rPr>
          <w:rFonts w:hint="eastAsia" w:ascii="宋体" w:hAnsi="宋体" w:eastAsia="宋体" w:cs="宋体"/>
          <w:color w:val="auto"/>
          <w:spacing w:val="8"/>
          <w:sz w:val="24"/>
          <w:highlight w:val="none"/>
          <w:lang w:val="en-US" w:eastAsia="zh-CN"/>
        </w:rPr>
        <w:t>顾甜</w:t>
      </w:r>
    </w:p>
    <w:p w14:paraId="5C8A34DB">
      <w:pPr>
        <w:ind w:firstLine="512"/>
        <w:outlineLvl w:val="9"/>
        <w:rPr>
          <w:rFonts w:hint="eastAsia" w:ascii="宋体" w:hAnsi="宋体" w:eastAsia="宋体" w:cs="宋体"/>
          <w:color w:val="auto"/>
          <w:highlight w:val="none"/>
        </w:rPr>
      </w:pPr>
      <w:r>
        <w:rPr>
          <w:rFonts w:hint="eastAsia" w:ascii="宋体" w:hAnsi="宋体" w:eastAsia="宋体" w:cs="宋体"/>
          <w:color w:val="auto"/>
          <w:spacing w:val="8"/>
          <w:sz w:val="24"/>
          <w:highlight w:val="none"/>
        </w:rPr>
        <w:t>电话：</w:t>
      </w:r>
      <w:r>
        <w:rPr>
          <w:rFonts w:hint="eastAsia" w:ascii="宋体" w:hAnsi="宋体" w:eastAsia="宋体" w:cs="宋体"/>
          <w:color w:val="auto"/>
          <w:spacing w:val="8"/>
          <w:sz w:val="24"/>
          <w:highlight w:val="none"/>
          <w:lang w:val="en-US" w:eastAsia="zh-CN"/>
        </w:rPr>
        <w:t>18936120991</w:t>
      </w:r>
    </w:p>
    <w:p w14:paraId="146AEDD7">
      <w:pPr>
        <w:pStyle w:val="129"/>
        <w:pageBreakBefore/>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第二章  投标人须知</w:t>
      </w:r>
      <w:bookmarkEnd w:id="6"/>
    </w:p>
    <w:p w14:paraId="3A73190F">
      <w:pPr>
        <w:spacing w:line="500" w:lineRule="exact"/>
        <w:ind w:firstLine="562"/>
        <w:jc w:val="left"/>
        <w:outlineLvl w:val="9"/>
        <w:rPr>
          <w:rFonts w:hint="eastAsia" w:ascii="宋体" w:hAnsi="宋体" w:eastAsia="宋体" w:cs="宋体"/>
          <w:b/>
          <w:color w:val="auto"/>
          <w:sz w:val="28"/>
          <w:szCs w:val="28"/>
          <w:highlight w:val="none"/>
        </w:rPr>
      </w:pPr>
      <w:bookmarkStart w:id="7" w:name="_Toc120614214"/>
      <w:bookmarkStart w:id="8" w:name="_Toc16938519"/>
      <w:bookmarkStart w:id="9" w:name="_Toc35266020"/>
      <w:bookmarkStart w:id="10" w:name="_Toc513029203"/>
      <w:bookmarkStart w:id="11" w:name="_Toc38368120"/>
      <w:bookmarkStart w:id="12" w:name="_Toc20823275"/>
      <w:bookmarkStart w:id="13" w:name="_Toc54615239"/>
      <w:r>
        <w:rPr>
          <w:rFonts w:hint="eastAsia" w:ascii="宋体" w:hAnsi="宋体" w:eastAsia="宋体" w:cs="宋体"/>
          <w:b/>
          <w:color w:val="auto"/>
          <w:sz w:val="28"/>
          <w:szCs w:val="28"/>
          <w:highlight w:val="none"/>
        </w:rPr>
        <w:t>一、总则</w:t>
      </w:r>
      <w:bookmarkEnd w:id="7"/>
      <w:bookmarkEnd w:id="8"/>
      <w:bookmarkEnd w:id="9"/>
      <w:bookmarkEnd w:id="10"/>
      <w:bookmarkEnd w:id="11"/>
      <w:bookmarkEnd w:id="12"/>
      <w:bookmarkEnd w:id="13"/>
    </w:p>
    <w:p w14:paraId="119853A7">
      <w:pPr>
        <w:spacing w:line="500" w:lineRule="exact"/>
        <w:ind w:firstLine="480"/>
        <w:contextualSpacing/>
        <w:jc w:val="left"/>
        <w:outlineLvl w:val="9"/>
        <w:rPr>
          <w:rFonts w:hint="eastAsia" w:ascii="宋体" w:hAnsi="宋体" w:eastAsia="宋体" w:cs="宋体"/>
          <w:color w:val="auto"/>
          <w:sz w:val="24"/>
          <w:highlight w:val="none"/>
        </w:rPr>
      </w:pPr>
      <w:bookmarkStart w:id="14" w:name="_Toc458694821"/>
      <w:bookmarkStart w:id="15" w:name="_Toc513029204"/>
      <w:bookmarkStart w:id="16" w:name="_Toc16938520"/>
      <w:bookmarkStart w:id="17" w:name="_Toc20823276"/>
      <w:r>
        <w:rPr>
          <w:rFonts w:hint="eastAsia" w:ascii="宋体" w:hAnsi="宋体" w:eastAsia="宋体" w:cs="宋体"/>
          <w:color w:val="auto"/>
          <w:sz w:val="24"/>
          <w:highlight w:val="none"/>
          <w:lang w:eastAsia="zh-CN"/>
        </w:rPr>
        <w:t>1.</w:t>
      </w:r>
      <w:bookmarkEnd w:id="14"/>
      <w:r>
        <w:rPr>
          <w:rFonts w:hint="eastAsia" w:ascii="宋体" w:hAnsi="宋体" w:eastAsia="宋体" w:cs="宋体"/>
          <w:color w:val="auto"/>
          <w:sz w:val="24"/>
          <w:highlight w:val="none"/>
        </w:rPr>
        <w:t>招标方式</w:t>
      </w:r>
      <w:bookmarkEnd w:id="15"/>
      <w:bookmarkEnd w:id="16"/>
      <w:bookmarkEnd w:id="17"/>
    </w:p>
    <w:p w14:paraId="4544026C">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本次招标采取公开招标方式，本招标文件仅适用于招标公告中所述项目。</w:t>
      </w:r>
    </w:p>
    <w:p w14:paraId="39B56D66">
      <w:pPr>
        <w:spacing w:line="500" w:lineRule="exact"/>
        <w:ind w:firstLine="480"/>
        <w:contextualSpacing/>
        <w:jc w:val="left"/>
        <w:outlineLvl w:val="9"/>
        <w:rPr>
          <w:rFonts w:hint="eastAsia" w:ascii="宋体" w:hAnsi="宋体" w:eastAsia="宋体" w:cs="宋体"/>
          <w:color w:val="auto"/>
          <w:sz w:val="24"/>
          <w:highlight w:val="none"/>
        </w:rPr>
      </w:pPr>
      <w:bookmarkStart w:id="18" w:name="_Toc513029205"/>
      <w:bookmarkStart w:id="19" w:name="_Toc20823277"/>
      <w:bookmarkStart w:id="20" w:name="_Toc16938521"/>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合格的投标人</w:t>
      </w:r>
      <w:bookmarkEnd w:id="18"/>
      <w:bookmarkEnd w:id="19"/>
      <w:bookmarkEnd w:id="20"/>
    </w:p>
    <w:p w14:paraId="7E6E433E">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2.1满足招标公告中投标人的资格要求的规定。</w:t>
      </w:r>
    </w:p>
    <w:p w14:paraId="01E45554">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2.2 满足本文件实质性要求的规定（本招标文件中斜体且有下划线部分为实质性要求）。</w:t>
      </w:r>
    </w:p>
    <w:p w14:paraId="5EF3CDC9">
      <w:pPr>
        <w:spacing w:line="500" w:lineRule="exact"/>
        <w:ind w:firstLine="562"/>
        <w:jc w:val="left"/>
        <w:outlineLvl w:val="9"/>
        <w:rPr>
          <w:rFonts w:hint="eastAsia" w:ascii="宋体" w:hAnsi="宋体" w:eastAsia="宋体" w:cs="宋体"/>
          <w:b/>
          <w:color w:val="auto"/>
          <w:sz w:val="28"/>
          <w:szCs w:val="28"/>
          <w:highlight w:val="none"/>
        </w:rPr>
      </w:pPr>
      <w:bookmarkStart w:id="21" w:name="_Toc20823278"/>
      <w:bookmarkStart w:id="22" w:name="_Toc513029206"/>
      <w:bookmarkStart w:id="23" w:name="_Toc16938522"/>
      <w:r>
        <w:rPr>
          <w:rFonts w:hint="eastAsia" w:ascii="宋体" w:hAnsi="宋体" w:eastAsia="宋体" w:cs="宋体"/>
          <w:b/>
          <w:color w:val="auto"/>
          <w:sz w:val="28"/>
          <w:szCs w:val="28"/>
          <w:highlight w:val="none"/>
          <w:lang w:eastAsia="zh-CN"/>
        </w:rPr>
        <w:t>3.</w:t>
      </w:r>
      <w:r>
        <w:rPr>
          <w:rFonts w:hint="eastAsia" w:ascii="宋体" w:hAnsi="宋体" w:eastAsia="宋体" w:cs="宋体"/>
          <w:b/>
          <w:color w:val="auto"/>
          <w:sz w:val="28"/>
          <w:szCs w:val="28"/>
          <w:highlight w:val="none"/>
        </w:rPr>
        <w:t>适用法律</w:t>
      </w:r>
      <w:bookmarkEnd w:id="21"/>
      <w:bookmarkEnd w:id="22"/>
      <w:bookmarkEnd w:id="23"/>
    </w:p>
    <w:p w14:paraId="5CBC5D67">
      <w:pPr>
        <w:spacing w:line="500" w:lineRule="exact"/>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4968BD35">
      <w:pPr>
        <w:spacing w:line="500" w:lineRule="exact"/>
        <w:ind w:firstLine="562"/>
        <w:jc w:val="left"/>
        <w:outlineLvl w:val="9"/>
        <w:rPr>
          <w:rFonts w:hint="eastAsia" w:ascii="宋体" w:hAnsi="宋体" w:eastAsia="宋体" w:cs="宋体"/>
          <w:b/>
          <w:color w:val="auto"/>
          <w:sz w:val="28"/>
          <w:szCs w:val="28"/>
          <w:highlight w:val="none"/>
        </w:rPr>
      </w:pPr>
      <w:bookmarkStart w:id="24" w:name="_Toc513029207"/>
      <w:bookmarkStart w:id="25" w:name="_Toc20823279"/>
      <w:bookmarkStart w:id="26" w:name="_Toc16938523"/>
      <w:bookmarkStart w:id="27" w:name="_Toc462564067"/>
      <w:r>
        <w:rPr>
          <w:rFonts w:hint="eastAsia" w:ascii="宋体" w:hAnsi="宋体" w:eastAsia="宋体" w:cs="宋体"/>
          <w:b/>
          <w:color w:val="auto"/>
          <w:sz w:val="28"/>
          <w:szCs w:val="28"/>
          <w:highlight w:val="none"/>
          <w:lang w:eastAsia="zh-CN"/>
        </w:rPr>
        <w:t>4.</w:t>
      </w:r>
      <w:r>
        <w:rPr>
          <w:rFonts w:hint="eastAsia" w:ascii="宋体" w:hAnsi="宋体" w:eastAsia="宋体" w:cs="宋体"/>
          <w:b/>
          <w:color w:val="auto"/>
          <w:sz w:val="28"/>
          <w:szCs w:val="28"/>
          <w:highlight w:val="none"/>
        </w:rPr>
        <w:t>投标费用</w:t>
      </w:r>
      <w:bookmarkEnd w:id="24"/>
      <w:bookmarkEnd w:id="25"/>
      <w:bookmarkEnd w:id="26"/>
      <w:bookmarkEnd w:id="27"/>
    </w:p>
    <w:p w14:paraId="17840B74">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投标人应自行承担所有与参加投标有关的费用，无论投标过程中的做法和结果如何，</w:t>
      </w:r>
      <w:r>
        <w:rPr>
          <w:rFonts w:hint="eastAsia" w:ascii="宋体" w:hAnsi="宋体" w:eastAsia="宋体" w:cs="宋体"/>
          <w:color w:val="auto"/>
          <w:sz w:val="24"/>
          <w:highlight w:val="none"/>
          <w:lang w:eastAsia="zh-CN"/>
        </w:rPr>
        <w:t>张家港华招达招投标代理有限公司</w:t>
      </w:r>
      <w:r>
        <w:rPr>
          <w:rFonts w:hint="eastAsia" w:ascii="宋体" w:hAnsi="宋体" w:eastAsia="宋体" w:cs="宋体"/>
          <w:color w:val="auto"/>
          <w:sz w:val="24"/>
          <w:highlight w:val="none"/>
        </w:rPr>
        <w:t>在任何情况下均无义务和责任承担这些费用。</w:t>
      </w:r>
    </w:p>
    <w:p w14:paraId="7D0A3499">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4.2 本次招标采购代理机构收取代理服务费。</w:t>
      </w:r>
    </w:p>
    <w:p w14:paraId="289C3C9B">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4.2.1 本项目采购代理服务费由中标（成交）供应商 支付</w:t>
      </w:r>
      <w:r>
        <w:rPr>
          <w:rFonts w:hint="eastAsia" w:ascii="宋体" w:hAnsi="宋体" w:eastAsia="宋体" w:cs="宋体"/>
          <w:color w:val="auto"/>
          <w:sz w:val="24"/>
          <w:highlight w:val="none"/>
          <w:lang w:eastAsia="zh-CN"/>
        </w:rPr>
        <w:t>；</w:t>
      </w:r>
    </w:p>
    <w:p w14:paraId="35BE337F">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4.2.2 代理费用收取方式：中标人采用转账或者汇款方式向招标代理支付</w:t>
      </w:r>
    </w:p>
    <w:p w14:paraId="2A67E7F3">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4.2.3 收费金额：代理费用收取方式：由中标人按照预算金额的如下比例进行计算：即100万元内1.5%、100～500万元内1.1%、500～1000万元内0.8%，差额定率累进法的80%计算，不足叁仟元以叁仟元计算。</w:t>
      </w:r>
    </w:p>
    <w:p w14:paraId="42112247">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5.</w:t>
      </w:r>
      <w:r>
        <w:rPr>
          <w:rFonts w:hint="eastAsia" w:ascii="宋体" w:hAnsi="宋体" w:eastAsia="宋体" w:cs="宋体"/>
          <w:b/>
          <w:color w:val="auto"/>
          <w:sz w:val="28"/>
          <w:szCs w:val="28"/>
          <w:highlight w:val="none"/>
        </w:rPr>
        <w:t>招标文件的约束力</w:t>
      </w:r>
    </w:p>
    <w:p w14:paraId="78CF23DD">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5.1 投标人一旦在</w:t>
      </w:r>
      <w:bookmarkStart w:id="28" w:name="_Hlk160040776"/>
      <w:r>
        <w:rPr>
          <w:rFonts w:hint="eastAsia" w:ascii="宋体" w:hAnsi="宋体" w:eastAsia="宋体" w:cs="宋体"/>
          <w:color w:val="auto"/>
          <w:sz w:val="24"/>
          <w:highlight w:val="none"/>
        </w:rPr>
        <w:t>苏采云政府采购一体化平台</w:t>
      </w:r>
      <w:bookmarkEnd w:id="28"/>
      <w:r>
        <w:rPr>
          <w:rFonts w:hint="eastAsia" w:ascii="宋体" w:hAnsi="宋体" w:eastAsia="宋体" w:cs="宋体"/>
          <w:color w:val="auto"/>
          <w:sz w:val="24"/>
          <w:highlight w:val="none"/>
        </w:rPr>
        <w:t>下载本招标文件决定参加投标，即被认为接受了本招标文件的规定和约束，并且视为已经知道或应当知道自身权益是否受到了损害。</w:t>
      </w:r>
    </w:p>
    <w:p w14:paraId="66F84E1B">
      <w:pPr>
        <w:spacing w:line="500" w:lineRule="exact"/>
        <w:ind w:firstLine="562"/>
        <w:jc w:val="left"/>
        <w:outlineLvl w:val="9"/>
        <w:rPr>
          <w:rFonts w:hint="eastAsia" w:ascii="宋体" w:hAnsi="宋体" w:eastAsia="宋体" w:cs="宋体"/>
          <w:b/>
          <w:color w:val="auto"/>
          <w:sz w:val="28"/>
          <w:szCs w:val="28"/>
          <w:highlight w:val="none"/>
        </w:rPr>
      </w:pPr>
      <w:bookmarkStart w:id="29" w:name="_Toc54615240"/>
      <w:bookmarkStart w:id="30" w:name="_Toc513029209"/>
      <w:bookmarkStart w:id="31" w:name="_Toc38368121"/>
      <w:bookmarkStart w:id="32" w:name="_Toc16938525"/>
      <w:bookmarkStart w:id="33" w:name="_Toc35266021"/>
      <w:bookmarkStart w:id="34" w:name="_Toc20823281"/>
      <w:bookmarkStart w:id="35" w:name="_Toc120614215"/>
      <w:r>
        <w:rPr>
          <w:rFonts w:hint="eastAsia" w:ascii="宋体" w:hAnsi="宋体" w:eastAsia="宋体" w:cs="宋体"/>
          <w:b/>
          <w:color w:val="auto"/>
          <w:sz w:val="28"/>
          <w:szCs w:val="28"/>
          <w:highlight w:val="none"/>
        </w:rPr>
        <w:t>二、招标文件</w:t>
      </w:r>
      <w:bookmarkEnd w:id="29"/>
      <w:bookmarkEnd w:id="30"/>
      <w:bookmarkEnd w:id="31"/>
      <w:bookmarkEnd w:id="32"/>
      <w:bookmarkEnd w:id="33"/>
      <w:bookmarkEnd w:id="34"/>
      <w:bookmarkEnd w:id="35"/>
    </w:p>
    <w:p w14:paraId="3FB66FDF">
      <w:pPr>
        <w:spacing w:line="500" w:lineRule="exact"/>
        <w:ind w:firstLine="562"/>
        <w:jc w:val="left"/>
        <w:outlineLvl w:val="9"/>
        <w:rPr>
          <w:rFonts w:hint="eastAsia" w:ascii="宋体" w:hAnsi="宋体" w:eastAsia="宋体" w:cs="宋体"/>
          <w:b/>
          <w:color w:val="auto"/>
          <w:sz w:val="28"/>
          <w:szCs w:val="28"/>
          <w:highlight w:val="none"/>
        </w:rPr>
      </w:pPr>
      <w:bookmarkStart w:id="36" w:name="_Toc513029210"/>
      <w:bookmarkStart w:id="37" w:name="_Toc16938526"/>
      <w:bookmarkStart w:id="38" w:name="_Toc20823282"/>
      <w:r>
        <w:rPr>
          <w:rFonts w:hint="eastAsia" w:ascii="宋体" w:hAnsi="宋体" w:eastAsia="宋体" w:cs="宋体"/>
          <w:b/>
          <w:color w:val="auto"/>
          <w:sz w:val="28"/>
          <w:szCs w:val="28"/>
          <w:highlight w:val="none"/>
          <w:lang w:eastAsia="zh-CN"/>
        </w:rPr>
        <w:t>6.</w:t>
      </w:r>
      <w:r>
        <w:rPr>
          <w:rFonts w:hint="eastAsia" w:ascii="宋体" w:hAnsi="宋体" w:eastAsia="宋体" w:cs="宋体"/>
          <w:b/>
          <w:color w:val="auto"/>
          <w:sz w:val="28"/>
          <w:szCs w:val="28"/>
          <w:highlight w:val="none"/>
        </w:rPr>
        <w:t>招标文件构成</w:t>
      </w:r>
      <w:bookmarkEnd w:id="36"/>
      <w:bookmarkEnd w:id="37"/>
      <w:bookmarkEnd w:id="38"/>
    </w:p>
    <w:p w14:paraId="22EF95A9">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6.1 招标文件有以下部分组成：</w:t>
      </w:r>
    </w:p>
    <w:p w14:paraId="2ECD9FA4">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（1）投标邀请</w:t>
      </w:r>
    </w:p>
    <w:p w14:paraId="4D55DEC1">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（2）投标人须知</w:t>
      </w:r>
    </w:p>
    <w:p w14:paraId="124C5C19">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（3）合同条款及格式</w:t>
      </w:r>
    </w:p>
    <w:p w14:paraId="5644E39B">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（4）项目需求</w:t>
      </w:r>
    </w:p>
    <w:p w14:paraId="27395FAF">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（5）评标方法与评标标准</w:t>
      </w:r>
    </w:p>
    <w:p w14:paraId="5B14780B">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（6）投标文件格式</w:t>
      </w:r>
    </w:p>
    <w:p w14:paraId="03B20748">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746B11FF">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DFFC20F">
      <w:pPr>
        <w:spacing w:line="500" w:lineRule="exact"/>
        <w:ind w:firstLine="562"/>
        <w:jc w:val="left"/>
        <w:outlineLvl w:val="9"/>
        <w:rPr>
          <w:rFonts w:hint="eastAsia" w:ascii="宋体" w:hAnsi="宋体" w:eastAsia="宋体" w:cs="宋体"/>
          <w:b/>
          <w:color w:val="auto"/>
          <w:sz w:val="28"/>
          <w:szCs w:val="28"/>
          <w:highlight w:val="none"/>
        </w:rPr>
      </w:pPr>
      <w:bookmarkStart w:id="39" w:name="_Toc20823283"/>
      <w:bookmarkStart w:id="40" w:name="_Toc16938527"/>
      <w:bookmarkStart w:id="41" w:name="_Toc462564070"/>
      <w:bookmarkStart w:id="42" w:name="_Toc513029211"/>
      <w:r>
        <w:rPr>
          <w:rFonts w:hint="eastAsia" w:ascii="宋体" w:hAnsi="宋体" w:eastAsia="宋体" w:cs="宋体"/>
          <w:b/>
          <w:color w:val="auto"/>
          <w:sz w:val="28"/>
          <w:szCs w:val="28"/>
          <w:highlight w:val="none"/>
          <w:lang w:eastAsia="zh-CN"/>
        </w:rPr>
        <w:t>7.</w:t>
      </w:r>
      <w:bookmarkEnd w:id="39"/>
      <w:bookmarkEnd w:id="40"/>
      <w:bookmarkEnd w:id="41"/>
      <w:bookmarkEnd w:id="42"/>
      <w:r>
        <w:rPr>
          <w:rFonts w:hint="eastAsia" w:ascii="宋体" w:hAnsi="宋体" w:eastAsia="宋体" w:cs="宋体"/>
          <w:b/>
          <w:color w:val="auto"/>
          <w:sz w:val="28"/>
          <w:szCs w:val="28"/>
          <w:highlight w:val="none"/>
        </w:rPr>
        <w:t>招标文件的澄清或修改</w:t>
      </w:r>
    </w:p>
    <w:p w14:paraId="36EC1EE9">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7.1</w:t>
      </w:r>
      <w:r>
        <w:rPr>
          <w:rFonts w:hint="eastAsia" w:ascii="宋体" w:hAnsi="宋体" w:eastAsia="宋体" w:cs="宋体"/>
          <w:color w:val="auto"/>
          <w:sz w:val="24"/>
          <w:highlight w:val="none"/>
          <w:lang w:eastAsia="zh-CN"/>
        </w:rPr>
        <w:t xml:space="preserve"> 在</w:t>
      </w:r>
      <w:r>
        <w:rPr>
          <w:rFonts w:hint="eastAsia" w:ascii="宋体" w:hAnsi="宋体" w:eastAsia="宋体" w:cs="宋体"/>
          <w:color w:val="auto"/>
          <w:sz w:val="24"/>
          <w:highlight w:val="none"/>
        </w:rPr>
        <w:t>投标截止时</w:t>
      </w:r>
      <w:r>
        <w:rPr>
          <w:rFonts w:hint="eastAsia" w:ascii="宋体" w:hAnsi="宋体" w:eastAsia="宋体" w:cs="宋体"/>
          <w:color w:val="auto"/>
          <w:sz w:val="24"/>
          <w:highlight w:val="none"/>
          <w:lang w:eastAsia="zh-CN"/>
        </w:rPr>
        <w:t>间之</w:t>
      </w:r>
      <w:r>
        <w:rPr>
          <w:rFonts w:hint="eastAsia" w:ascii="宋体" w:hAnsi="宋体" w:eastAsia="宋体" w:cs="宋体"/>
          <w:color w:val="auto"/>
          <w:sz w:val="24"/>
          <w:highlight w:val="none"/>
        </w:rPr>
        <w:t>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采购代理机构可以对招标文件进行澄清或修改。</w:t>
      </w:r>
    </w:p>
    <w:p w14:paraId="3382F6B4">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7.2采购代理机构有权按照法定的要求推迟投标截止日期和开标日期。</w:t>
      </w:r>
    </w:p>
    <w:p w14:paraId="6697FA3B">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7.3招标文件的实质性变动或修改将在政府采购公告媒体网通知，投标人可自行下载。补充文件将作为招标文件的组成部分，并对投标人具有约束力。</w:t>
      </w:r>
    </w:p>
    <w:p w14:paraId="77D51161">
      <w:pPr>
        <w:spacing w:line="500" w:lineRule="exact"/>
        <w:ind w:firstLine="562"/>
        <w:jc w:val="left"/>
        <w:outlineLvl w:val="9"/>
        <w:rPr>
          <w:rFonts w:hint="eastAsia" w:ascii="宋体" w:hAnsi="宋体" w:eastAsia="宋体" w:cs="宋体"/>
          <w:b/>
          <w:color w:val="auto"/>
          <w:sz w:val="28"/>
          <w:szCs w:val="28"/>
          <w:highlight w:val="none"/>
        </w:rPr>
      </w:pPr>
      <w:bookmarkStart w:id="43" w:name="_Toc38368122"/>
      <w:bookmarkStart w:id="44" w:name="_Toc16938529"/>
      <w:bookmarkStart w:id="45" w:name="_Toc35266022"/>
      <w:bookmarkStart w:id="46" w:name="_Toc462564072"/>
      <w:bookmarkStart w:id="47" w:name="_Toc54615241"/>
      <w:bookmarkStart w:id="48" w:name="_Toc20823285"/>
      <w:bookmarkStart w:id="49" w:name="_Toc513029213"/>
      <w:bookmarkStart w:id="50" w:name="_Toc160042790"/>
      <w:bookmarkStart w:id="51" w:name="_Toc120614216"/>
      <w:bookmarkStart w:id="52" w:name="_Toc513029214"/>
      <w:bookmarkStart w:id="53" w:name="_Toc20823286"/>
      <w:bookmarkStart w:id="54" w:name="_Toc462564073"/>
      <w:bookmarkStart w:id="55" w:name="_Toc16938530"/>
      <w:bookmarkStart w:id="56" w:name="_Toc14577355"/>
      <w:bookmarkStart w:id="57" w:name="_Toc49090508"/>
      <w:r>
        <w:rPr>
          <w:rFonts w:hint="eastAsia" w:ascii="宋体" w:hAnsi="宋体" w:eastAsia="宋体" w:cs="宋体"/>
          <w:b/>
          <w:color w:val="auto"/>
          <w:sz w:val="28"/>
          <w:szCs w:val="28"/>
          <w:highlight w:val="none"/>
        </w:rPr>
        <w:t>三、投标文件的编制</w:t>
      </w:r>
      <w:bookmarkEnd w:id="43"/>
      <w:bookmarkEnd w:id="44"/>
      <w:bookmarkEnd w:id="45"/>
      <w:bookmarkEnd w:id="46"/>
      <w:bookmarkEnd w:id="47"/>
      <w:bookmarkEnd w:id="48"/>
      <w:bookmarkEnd w:id="49"/>
      <w:bookmarkEnd w:id="50"/>
      <w:bookmarkEnd w:id="51"/>
    </w:p>
    <w:p w14:paraId="19758F4E">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8.</w:t>
      </w:r>
      <w:r>
        <w:rPr>
          <w:rFonts w:hint="eastAsia" w:ascii="宋体" w:hAnsi="宋体" w:eastAsia="宋体" w:cs="宋体"/>
          <w:b/>
          <w:color w:val="auto"/>
          <w:sz w:val="28"/>
          <w:szCs w:val="28"/>
          <w:highlight w:val="none"/>
        </w:rPr>
        <w:t>投标文件的语言及度量衡单位</w:t>
      </w:r>
      <w:bookmarkEnd w:id="52"/>
      <w:bookmarkEnd w:id="53"/>
      <w:bookmarkEnd w:id="54"/>
      <w:bookmarkEnd w:id="55"/>
    </w:p>
    <w:p w14:paraId="0ECEAC1B">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rPr>
        <w:t>8.1</w:t>
      </w:r>
      <w:r>
        <w:rPr>
          <w:rFonts w:hint="eastAsia" w:ascii="宋体" w:hAnsi="宋体" w:eastAsia="宋体" w:cs="宋体"/>
          <w:color w:val="auto"/>
          <w:sz w:val="24"/>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highlight w:val="none"/>
        </w:rPr>
        <w:t>简体中文</w:t>
      </w:r>
      <w:r>
        <w:rPr>
          <w:rFonts w:hint="eastAsia" w:ascii="宋体" w:hAnsi="宋体" w:eastAsia="宋体" w:cs="宋体"/>
          <w:color w:val="auto"/>
          <w:sz w:val="24"/>
          <w:highlight w:val="none"/>
        </w:rPr>
        <w:t>。</w:t>
      </w:r>
    </w:p>
    <w:p w14:paraId="22C6615A">
      <w:pPr>
        <w:spacing w:line="500" w:lineRule="exact"/>
        <w:ind w:firstLine="480"/>
        <w:contextualSpacing/>
        <w:jc w:val="left"/>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rPr>
        <w:t>8.2</w:t>
      </w:r>
      <w:r>
        <w:rPr>
          <w:rFonts w:hint="eastAsia" w:ascii="宋体" w:hAnsi="宋体" w:eastAsia="宋体" w:cs="宋体"/>
          <w:color w:val="auto"/>
          <w:sz w:val="24"/>
          <w:highlight w:val="none"/>
        </w:rPr>
        <w:t xml:space="preserve"> 除技术性能另有规定外，投标文件所使用的度量衡单位，均须采用国家法定计量单位。</w:t>
      </w:r>
    </w:p>
    <w:p w14:paraId="2BCC27E5">
      <w:pPr>
        <w:spacing w:line="500" w:lineRule="exact"/>
        <w:ind w:firstLine="562"/>
        <w:jc w:val="left"/>
        <w:outlineLvl w:val="9"/>
        <w:rPr>
          <w:rFonts w:hint="eastAsia" w:ascii="宋体" w:hAnsi="宋体" w:eastAsia="宋体" w:cs="宋体"/>
          <w:b/>
          <w:color w:val="auto"/>
          <w:sz w:val="28"/>
          <w:szCs w:val="28"/>
          <w:highlight w:val="none"/>
        </w:rPr>
      </w:pPr>
      <w:bookmarkStart w:id="58" w:name="_Toc20823287"/>
      <w:bookmarkStart w:id="59" w:name="_Toc462564074"/>
      <w:bookmarkStart w:id="60" w:name="_Toc16938531"/>
      <w:bookmarkStart w:id="61" w:name="_Toc513029215"/>
      <w:r>
        <w:rPr>
          <w:rFonts w:hint="eastAsia" w:ascii="宋体" w:hAnsi="宋体" w:eastAsia="宋体" w:cs="宋体"/>
          <w:b/>
          <w:color w:val="auto"/>
          <w:sz w:val="28"/>
          <w:szCs w:val="28"/>
          <w:highlight w:val="none"/>
          <w:lang w:eastAsia="zh-CN"/>
        </w:rPr>
        <w:t>9.</w:t>
      </w:r>
      <w:r>
        <w:rPr>
          <w:rFonts w:hint="eastAsia" w:ascii="宋体" w:hAnsi="宋体" w:eastAsia="宋体" w:cs="宋体"/>
          <w:b/>
          <w:color w:val="auto"/>
          <w:sz w:val="28"/>
          <w:szCs w:val="28"/>
          <w:highlight w:val="none"/>
        </w:rPr>
        <w:t>投标文件构成</w:t>
      </w:r>
      <w:bookmarkEnd w:id="58"/>
      <w:bookmarkEnd w:id="59"/>
      <w:bookmarkEnd w:id="60"/>
      <w:bookmarkEnd w:id="61"/>
    </w:p>
    <w:p w14:paraId="2E04C15E">
      <w:pPr>
        <w:spacing w:line="500" w:lineRule="exact"/>
        <w:ind w:right="-141"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9.1 投标人编写的投标文件应包括投标函、开标一览表、资格证明文件、技术人员介绍、第四章项目需求中实质性要求响应对照表、技术及服务方案、投标人情况介绍等部分。</w:t>
      </w:r>
    </w:p>
    <w:p w14:paraId="79CC403B">
      <w:pPr>
        <w:spacing w:line="500" w:lineRule="exact"/>
        <w:ind w:right="-141" w:firstLine="482"/>
        <w:contextualSpacing/>
        <w:jc w:val="left"/>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9.2 特别提醒：投标人必须在投标文件接收截止时间之前在系统中提交所有与开评标相关的资料。开评标现场不接收任何资料。</w:t>
      </w:r>
    </w:p>
    <w:p w14:paraId="2B0922A9">
      <w:pPr>
        <w:spacing w:line="500" w:lineRule="exact"/>
        <w:ind w:firstLine="562"/>
        <w:jc w:val="left"/>
        <w:outlineLvl w:val="9"/>
        <w:rPr>
          <w:rFonts w:hint="eastAsia" w:ascii="宋体" w:hAnsi="宋体" w:eastAsia="宋体" w:cs="宋体"/>
          <w:b/>
          <w:color w:val="auto"/>
          <w:sz w:val="28"/>
          <w:szCs w:val="28"/>
          <w:highlight w:val="none"/>
        </w:rPr>
      </w:pPr>
      <w:bookmarkStart w:id="62" w:name="_Toc14577357"/>
      <w:bookmarkStart w:id="63" w:name="_Toc513029219"/>
      <w:bookmarkStart w:id="64" w:name="_Toc49090509"/>
      <w:r>
        <w:rPr>
          <w:rFonts w:hint="eastAsia" w:ascii="宋体" w:hAnsi="宋体" w:eastAsia="宋体" w:cs="宋体"/>
          <w:b/>
          <w:color w:val="auto"/>
          <w:sz w:val="28"/>
          <w:szCs w:val="28"/>
          <w:highlight w:val="none"/>
          <w:lang w:eastAsia="zh-CN"/>
        </w:rPr>
        <w:t>10.</w:t>
      </w:r>
      <w:r>
        <w:rPr>
          <w:rFonts w:hint="eastAsia" w:ascii="宋体" w:hAnsi="宋体" w:eastAsia="宋体" w:cs="宋体"/>
          <w:b/>
          <w:color w:val="auto"/>
          <w:sz w:val="28"/>
          <w:szCs w:val="28"/>
          <w:highlight w:val="none"/>
        </w:rPr>
        <w:t>投标函和开标一览表</w:t>
      </w:r>
    </w:p>
    <w:p w14:paraId="7AE5664D">
      <w:pPr>
        <w:spacing w:line="500" w:lineRule="exact"/>
        <w:ind w:right="-141"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10.1 投标人应按照招标文件中提供的格式完整、正确填写投标函、开标一览表。</w:t>
      </w:r>
    </w:p>
    <w:p w14:paraId="21E2DE31">
      <w:pPr>
        <w:spacing w:line="500" w:lineRule="exact"/>
        <w:ind w:right="-141"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10.2 开标一览表中的价格应与投标文件中投标配置与分项报价表中的价格一致，若出现价格不一致的情况，评标时一律按开标一览表中价格为准。</w:t>
      </w:r>
    </w:p>
    <w:p w14:paraId="1B74876E">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11.</w:t>
      </w:r>
      <w:r>
        <w:rPr>
          <w:rFonts w:hint="eastAsia" w:ascii="宋体" w:hAnsi="宋体" w:eastAsia="宋体" w:cs="宋体"/>
          <w:b/>
          <w:color w:val="auto"/>
          <w:sz w:val="28"/>
          <w:szCs w:val="28"/>
          <w:highlight w:val="none"/>
        </w:rPr>
        <w:t>投标人资格证明文件</w:t>
      </w:r>
      <w:bookmarkEnd w:id="62"/>
      <w:bookmarkEnd w:id="63"/>
      <w:bookmarkEnd w:id="64"/>
    </w:p>
    <w:p w14:paraId="0F972DB2">
      <w:pPr>
        <w:keepNext/>
        <w:keepLines/>
        <w:spacing w:line="500" w:lineRule="exact"/>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11.1投标人应按招标文件的要求提交资格证明文件。</w:t>
      </w:r>
    </w:p>
    <w:bookmarkEnd w:id="56"/>
    <w:bookmarkEnd w:id="57"/>
    <w:p w14:paraId="1B01C454">
      <w:pPr>
        <w:spacing w:line="500" w:lineRule="exact"/>
        <w:ind w:firstLine="562"/>
        <w:jc w:val="left"/>
        <w:outlineLvl w:val="9"/>
        <w:rPr>
          <w:rFonts w:hint="eastAsia" w:ascii="宋体" w:hAnsi="宋体" w:eastAsia="宋体" w:cs="宋体"/>
          <w:b/>
          <w:color w:val="auto"/>
          <w:sz w:val="28"/>
          <w:szCs w:val="28"/>
          <w:highlight w:val="none"/>
        </w:rPr>
      </w:pPr>
      <w:bookmarkStart w:id="65" w:name="_Toc38368123"/>
      <w:bookmarkStart w:id="66" w:name="_Toc54615242"/>
      <w:bookmarkStart w:id="67" w:name="_Toc6389296"/>
      <w:bookmarkStart w:id="68" w:name="_Toc35266023"/>
      <w:bookmarkStart w:id="69" w:name="_Toc6388848"/>
      <w:bookmarkStart w:id="70" w:name="_Toc16938540"/>
      <w:bookmarkStart w:id="71" w:name="_Toc120614217"/>
      <w:bookmarkStart w:id="72" w:name="_Toc513029224"/>
      <w:bookmarkStart w:id="73" w:name="_Toc20823296"/>
      <w:r>
        <w:rPr>
          <w:rFonts w:hint="eastAsia" w:ascii="宋体" w:hAnsi="宋体" w:eastAsia="宋体" w:cs="宋体"/>
          <w:b/>
          <w:color w:val="auto"/>
          <w:sz w:val="28"/>
          <w:szCs w:val="28"/>
          <w:highlight w:val="none"/>
          <w:lang w:eastAsia="zh-CN"/>
        </w:rPr>
        <w:t>12.</w:t>
      </w:r>
      <w:r>
        <w:rPr>
          <w:rFonts w:hint="eastAsia" w:ascii="宋体" w:hAnsi="宋体" w:eastAsia="宋体" w:cs="宋体"/>
          <w:b/>
          <w:color w:val="auto"/>
          <w:sz w:val="28"/>
          <w:szCs w:val="28"/>
          <w:highlight w:val="none"/>
        </w:rPr>
        <w:t>投标配置与分项报价表</w:t>
      </w:r>
    </w:p>
    <w:p w14:paraId="342F6F3D">
      <w:pPr>
        <w:spacing w:line="500" w:lineRule="exact"/>
        <w:ind w:right="-141"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 投标人应按照招标文件规定格式填报。每项货物和服务等只允许有一个报价。</w:t>
      </w:r>
    </w:p>
    <w:p w14:paraId="7F764D78">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12.2 标的物</w:t>
      </w:r>
    </w:p>
    <w:p w14:paraId="6F2B6CA4">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12.2.1</w:t>
      </w:r>
      <w:r>
        <w:rPr>
          <w:rFonts w:hint="eastAsia" w:ascii="宋体" w:hAnsi="宋体" w:eastAsia="宋体" w:cs="宋体"/>
          <w:bCs/>
          <w:color w:val="auto"/>
          <w:sz w:val="24"/>
          <w:highlight w:val="none"/>
          <w:lang w:eastAsia="zh-CN"/>
        </w:rPr>
        <w:t xml:space="preserve"> 采购</w:t>
      </w:r>
      <w:r>
        <w:rPr>
          <w:rFonts w:hint="eastAsia" w:ascii="宋体" w:hAnsi="宋体" w:eastAsia="宋体" w:cs="宋体"/>
          <w:bCs/>
          <w:color w:val="auto"/>
          <w:sz w:val="24"/>
          <w:highlight w:val="none"/>
        </w:rPr>
        <w:t>人需求的有关服务等。</w:t>
      </w:r>
    </w:p>
    <w:p w14:paraId="2596A746">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48144F58">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12.3投标货币</w:t>
      </w:r>
    </w:p>
    <w:p w14:paraId="2D88875E">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投标文件中的货物单价和总价无特殊规定的采用人民币报价，以元为单位标注。招标文件中另有规定的按规定执行。</w:t>
      </w:r>
    </w:p>
    <w:p w14:paraId="05B7500E">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 投标配置与分项报价表上的价格应按下列方式分开填写：</w:t>
      </w:r>
    </w:p>
    <w:p w14:paraId="1B8EE81C">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12.4.1 项目总价应包括但不限于人员费用（工资、福利、培训、社会保险等）、服务所用设备工具购置及维修费用、服务所用材料消耗费用、管理费用、利润、税金、政策性文件规定及合同包含的所有风险、责任等各项应有费用。</w:t>
      </w:r>
    </w:p>
    <w:p w14:paraId="06851634">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12.4.2 项目单价按投标配置及分项报价表中要求填报。</w:t>
      </w:r>
    </w:p>
    <w:p w14:paraId="4511B214">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12.5本报价必须充分考虑所有可能影响到报价的价格因素，一旦投标结束最终成交，如发生漏、缺、少项，都将被认为是中标人的报价让利行为。</w:t>
      </w:r>
    </w:p>
    <w:p w14:paraId="7E5CB637">
      <w:pPr>
        <w:spacing w:line="500" w:lineRule="exact"/>
        <w:ind w:firstLine="562"/>
        <w:jc w:val="left"/>
        <w:outlineLvl w:val="9"/>
        <w:rPr>
          <w:rFonts w:hint="eastAsia" w:ascii="宋体" w:hAnsi="宋体" w:eastAsia="宋体" w:cs="宋体"/>
          <w:b/>
          <w:color w:val="auto"/>
          <w:sz w:val="28"/>
          <w:szCs w:val="28"/>
          <w:highlight w:val="none"/>
        </w:rPr>
      </w:pPr>
      <w:bookmarkStart w:id="74" w:name="_Toc14577359"/>
      <w:bookmarkStart w:id="75" w:name="_Toc49090510"/>
      <w:r>
        <w:rPr>
          <w:rFonts w:hint="eastAsia" w:ascii="宋体" w:hAnsi="宋体" w:eastAsia="宋体" w:cs="宋体"/>
          <w:b/>
          <w:color w:val="auto"/>
          <w:sz w:val="28"/>
          <w:szCs w:val="28"/>
          <w:highlight w:val="none"/>
          <w:lang w:eastAsia="zh-CN"/>
        </w:rPr>
        <w:t>13.</w:t>
      </w:r>
      <w:r>
        <w:rPr>
          <w:rFonts w:hint="eastAsia" w:ascii="宋体" w:hAnsi="宋体" w:eastAsia="宋体" w:cs="宋体"/>
          <w:b/>
          <w:color w:val="auto"/>
          <w:sz w:val="28"/>
          <w:szCs w:val="28"/>
          <w:highlight w:val="none"/>
        </w:rPr>
        <w:t>技术及服务方案</w:t>
      </w:r>
    </w:p>
    <w:p w14:paraId="3D1D0E32">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13.1根据自己对需求的理解撰写需求分析和服务方案。</w:t>
      </w:r>
    </w:p>
    <w:p w14:paraId="75CDAC63">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7ABAC808">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14.</w:t>
      </w:r>
      <w:r>
        <w:rPr>
          <w:rFonts w:hint="eastAsia" w:ascii="宋体" w:hAnsi="宋体" w:eastAsia="宋体" w:cs="宋体"/>
          <w:b/>
          <w:color w:val="auto"/>
          <w:sz w:val="28"/>
          <w:szCs w:val="28"/>
          <w:highlight w:val="none"/>
        </w:rPr>
        <w:t>投标人情况介绍</w:t>
      </w:r>
    </w:p>
    <w:p w14:paraId="456B91B0">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14.1 投标人的总体情况应在电子投标文件中作出说明。</w:t>
      </w:r>
    </w:p>
    <w:bookmarkEnd w:id="74"/>
    <w:bookmarkEnd w:id="75"/>
    <w:p w14:paraId="671A0F16">
      <w:pPr>
        <w:spacing w:line="500" w:lineRule="exact"/>
        <w:ind w:firstLine="562"/>
        <w:jc w:val="left"/>
        <w:outlineLvl w:val="9"/>
        <w:rPr>
          <w:rFonts w:hint="eastAsia" w:ascii="宋体" w:hAnsi="宋体" w:eastAsia="宋体" w:cs="宋体"/>
          <w:b/>
          <w:color w:val="auto"/>
          <w:sz w:val="28"/>
          <w:szCs w:val="28"/>
          <w:highlight w:val="none"/>
        </w:rPr>
      </w:pPr>
      <w:bookmarkStart w:id="76" w:name="_Toc14577360"/>
      <w:bookmarkStart w:id="77" w:name="_Toc49090511"/>
      <w:r>
        <w:rPr>
          <w:rFonts w:hint="eastAsia" w:ascii="宋体" w:hAnsi="宋体" w:eastAsia="宋体" w:cs="宋体"/>
          <w:b/>
          <w:color w:val="auto"/>
          <w:sz w:val="28"/>
          <w:szCs w:val="28"/>
          <w:highlight w:val="none"/>
          <w:lang w:eastAsia="zh-CN"/>
        </w:rPr>
        <w:t>15.</w:t>
      </w:r>
      <w:r>
        <w:rPr>
          <w:rFonts w:hint="eastAsia" w:ascii="宋体" w:hAnsi="宋体" w:eastAsia="宋体" w:cs="宋体"/>
          <w:b/>
          <w:color w:val="auto"/>
          <w:sz w:val="28"/>
          <w:szCs w:val="28"/>
          <w:highlight w:val="none"/>
        </w:rPr>
        <w:t>投标保证金</w:t>
      </w:r>
    </w:p>
    <w:p w14:paraId="5579F507">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15.1本次招标不收取投标保证金。</w:t>
      </w:r>
    </w:p>
    <w:p w14:paraId="7212EDDC">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16.</w:t>
      </w:r>
      <w:r>
        <w:rPr>
          <w:rFonts w:hint="eastAsia" w:ascii="宋体" w:hAnsi="宋体" w:eastAsia="宋体" w:cs="宋体"/>
          <w:b/>
          <w:color w:val="auto"/>
          <w:sz w:val="28"/>
          <w:szCs w:val="28"/>
          <w:highlight w:val="none"/>
        </w:rPr>
        <w:t>投标有效期</w:t>
      </w:r>
      <w:bookmarkEnd w:id="76"/>
      <w:bookmarkEnd w:id="77"/>
    </w:p>
    <w:p w14:paraId="77C5D093">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16.1 投标有效期为采购代理机构规定的开标之日后九十（90）天</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投标有效期比规定短的将被视为非响应性投标而予以拒绝。</w:t>
      </w:r>
    </w:p>
    <w:p w14:paraId="734DCCEC">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p>
    <w:p w14:paraId="18A4E5A4">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17.</w:t>
      </w:r>
      <w:r>
        <w:rPr>
          <w:rFonts w:hint="eastAsia" w:ascii="宋体" w:hAnsi="宋体" w:eastAsia="宋体" w:cs="宋体"/>
          <w:b/>
          <w:color w:val="auto"/>
          <w:sz w:val="28"/>
          <w:szCs w:val="28"/>
          <w:highlight w:val="none"/>
        </w:rPr>
        <w:t>投标文件的签署</w:t>
      </w:r>
    </w:p>
    <w:p w14:paraId="62EA4F5A">
      <w:pPr>
        <w:spacing w:line="500" w:lineRule="exact"/>
        <w:ind w:firstLine="480"/>
        <w:contextualSpacing/>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17.1本招标文件所表述（指定）的公章是指法定名称章，不包括合同专用章、业务专用章等印章。</w:t>
      </w:r>
    </w:p>
    <w:p w14:paraId="7E0982F2">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四、投标文件的制作、上传、递交</w:t>
      </w:r>
      <w:bookmarkEnd w:id="65"/>
      <w:bookmarkEnd w:id="66"/>
      <w:bookmarkEnd w:id="67"/>
      <w:bookmarkEnd w:id="68"/>
      <w:bookmarkEnd w:id="69"/>
    </w:p>
    <w:bookmarkEnd w:id="70"/>
    <w:bookmarkEnd w:id="71"/>
    <w:bookmarkEnd w:id="72"/>
    <w:bookmarkEnd w:id="73"/>
    <w:p w14:paraId="7483532B">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18.</w:t>
      </w:r>
      <w:r>
        <w:rPr>
          <w:rFonts w:hint="eastAsia" w:ascii="宋体" w:hAnsi="宋体" w:eastAsia="宋体" w:cs="宋体"/>
          <w:b/>
          <w:color w:val="auto"/>
          <w:sz w:val="28"/>
          <w:szCs w:val="28"/>
          <w:highlight w:val="none"/>
        </w:rPr>
        <w:t>投标文件的递交</w:t>
      </w:r>
    </w:p>
    <w:p w14:paraId="2601C84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电子投标文件的递交</w:t>
      </w:r>
    </w:p>
    <w:p w14:paraId="490CECA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投标人应当按照《苏采云系统供应商操作手册》规定，在投标截止时间前制作并上传电子投标文件。</w:t>
      </w:r>
    </w:p>
    <w:p w14:paraId="182E6C42">
      <w:pPr>
        <w:spacing w:line="500" w:lineRule="exact"/>
        <w:ind w:firstLine="562"/>
        <w:jc w:val="left"/>
        <w:outlineLvl w:val="9"/>
        <w:rPr>
          <w:rFonts w:hint="eastAsia" w:ascii="宋体" w:hAnsi="宋体" w:eastAsia="宋体" w:cs="宋体"/>
          <w:b/>
          <w:color w:val="auto"/>
          <w:sz w:val="28"/>
          <w:szCs w:val="28"/>
          <w:highlight w:val="none"/>
        </w:rPr>
      </w:pPr>
      <w:bookmarkStart w:id="78" w:name="EBf32ab2a605304a2590d51e1e588ffb76"/>
      <w:bookmarkEnd w:id="78"/>
      <w:bookmarkStart w:id="79" w:name="_Toc6388850"/>
      <w:bookmarkStart w:id="80" w:name="_Toc6389298"/>
      <w:r>
        <w:rPr>
          <w:rFonts w:hint="eastAsia" w:ascii="宋体" w:hAnsi="宋体" w:eastAsia="宋体" w:cs="宋体"/>
          <w:b/>
          <w:color w:val="auto"/>
          <w:sz w:val="28"/>
          <w:szCs w:val="28"/>
          <w:highlight w:val="none"/>
          <w:lang w:eastAsia="zh-CN"/>
        </w:rPr>
        <w:t>19.</w:t>
      </w:r>
      <w:r>
        <w:rPr>
          <w:rFonts w:hint="eastAsia" w:ascii="宋体" w:hAnsi="宋体" w:eastAsia="宋体" w:cs="宋体"/>
          <w:b/>
          <w:color w:val="auto"/>
          <w:sz w:val="28"/>
          <w:szCs w:val="28"/>
          <w:highlight w:val="none"/>
        </w:rPr>
        <w:t>投标截止日期</w:t>
      </w:r>
      <w:bookmarkEnd w:id="79"/>
      <w:bookmarkEnd w:id="80"/>
    </w:p>
    <w:p w14:paraId="127169B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投标人上传电子投标文件的时间不得迟于招标公告中规定的投标截止时间。</w:t>
      </w:r>
    </w:p>
    <w:p w14:paraId="54E12F2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投标人应充分考虑到网络环境、网络带宽等风险因素，如因投标人自身原因造成的电子投标文件上传不成功由投标人自行承担全部责任。</w:t>
      </w:r>
    </w:p>
    <w:p w14:paraId="4C7E88EF">
      <w:pPr>
        <w:spacing w:line="500" w:lineRule="exact"/>
        <w:ind w:firstLine="562"/>
        <w:jc w:val="left"/>
        <w:outlineLvl w:val="9"/>
        <w:rPr>
          <w:rFonts w:hint="eastAsia" w:ascii="宋体" w:hAnsi="宋体" w:eastAsia="宋体" w:cs="宋体"/>
          <w:b/>
          <w:color w:val="auto"/>
          <w:sz w:val="28"/>
          <w:szCs w:val="28"/>
          <w:highlight w:val="none"/>
        </w:rPr>
      </w:pPr>
      <w:bookmarkStart w:id="81" w:name="_Toc6388851"/>
      <w:bookmarkStart w:id="82" w:name="_Toc6389299"/>
      <w:r>
        <w:rPr>
          <w:rFonts w:hint="eastAsia" w:ascii="宋体" w:hAnsi="宋体" w:eastAsia="宋体" w:cs="宋体"/>
          <w:b/>
          <w:color w:val="auto"/>
          <w:sz w:val="28"/>
          <w:szCs w:val="28"/>
          <w:highlight w:val="none"/>
          <w:lang w:eastAsia="zh-CN"/>
        </w:rPr>
        <w:t>20.</w:t>
      </w:r>
      <w:r>
        <w:rPr>
          <w:rFonts w:hint="eastAsia" w:ascii="宋体" w:hAnsi="宋体" w:eastAsia="宋体" w:cs="宋体"/>
          <w:b/>
          <w:color w:val="auto"/>
          <w:sz w:val="28"/>
          <w:szCs w:val="28"/>
          <w:highlight w:val="none"/>
        </w:rPr>
        <w:t>投标文件的递交</w:t>
      </w:r>
      <w:bookmarkEnd w:id="81"/>
      <w:bookmarkEnd w:id="82"/>
    </w:p>
    <w:p w14:paraId="68C507A0">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20.1采购代理机构拒绝接收在其规定的投标截止时间后递交的任何投标文件。</w:t>
      </w:r>
    </w:p>
    <w:p w14:paraId="6A83B5FA">
      <w:pPr>
        <w:spacing w:line="500" w:lineRule="exact"/>
        <w:ind w:firstLine="562"/>
        <w:jc w:val="left"/>
        <w:outlineLvl w:val="9"/>
        <w:rPr>
          <w:rFonts w:hint="eastAsia" w:ascii="宋体" w:hAnsi="宋体" w:eastAsia="宋体" w:cs="宋体"/>
          <w:b/>
          <w:color w:val="auto"/>
          <w:sz w:val="28"/>
          <w:szCs w:val="28"/>
          <w:highlight w:val="none"/>
        </w:rPr>
      </w:pPr>
      <w:bookmarkStart w:id="83" w:name="_Toc6388852"/>
      <w:bookmarkStart w:id="84" w:name="_Toc6389300"/>
      <w:r>
        <w:rPr>
          <w:rFonts w:hint="eastAsia" w:ascii="宋体" w:hAnsi="宋体" w:eastAsia="宋体" w:cs="宋体"/>
          <w:b/>
          <w:color w:val="auto"/>
          <w:sz w:val="28"/>
          <w:szCs w:val="28"/>
          <w:highlight w:val="none"/>
          <w:lang w:eastAsia="zh-CN"/>
        </w:rPr>
        <w:t>21.</w:t>
      </w:r>
      <w:r>
        <w:rPr>
          <w:rFonts w:hint="eastAsia" w:ascii="宋体" w:hAnsi="宋体" w:eastAsia="宋体" w:cs="宋体"/>
          <w:b/>
          <w:color w:val="auto"/>
          <w:sz w:val="28"/>
          <w:szCs w:val="28"/>
          <w:highlight w:val="none"/>
        </w:rPr>
        <w:t>投标文件的修改和撤回</w:t>
      </w:r>
      <w:bookmarkEnd w:id="83"/>
      <w:bookmarkEnd w:id="84"/>
    </w:p>
    <w:p w14:paraId="322B7A9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投标人在递交投标文件后，可以修改或撤回其投标文件，但这种修改和撤回，必须在规定的投标截止时</w:t>
      </w:r>
      <w:r>
        <w:rPr>
          <w:rFonts w:hint="eastAsia" w:ascii="宋体" w:hAnsi="宋体" w:eastAsia="宋体" w:cs="宋体"/>
          <w:color w:val="auto"/>
          <w:sz w:val="24"/>
          <w:szCs w:val="24"/>
          <w:highlight w:val="none"/>
          <w:lang w:eastAsia="zh-CN"/>
        </w:rPr>
        <w:t>间之</w:t>
      </w:r>
      <w:r>
        <w:rPr>
          <w:rFonts w:hint="eastAsia" w:ascii="宋体" w:hAnsi="宋体" w:eastAsia="宋体" w:cs="宋体"/>
          <w:color w:val="auto"/>
          <w:sz w:val="24"/>
          <w:szCs w:val="24"/>
          <w:highlight w:val="none"/>
        </w:rPr>
        <w:t>前，具体操作方法见《苏采云系统供应商操作手册》。</w:t>
      </w:r>
    </w:p>
    <w:p w14:paraId="49D5E2C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投标人撤回电子投标文件，则认为其不再参与本项目投标活动。</w:t>
      </w:r>
    </w:p>
    <w:p w14:paraId="40C7872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在投标截止时间之后，投标人不得对其电子投标文件作任何修改。</w:t>
      </w:r>
    </w:p>
    <w:p w14:paraId="6E18F67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在投标截止时间至招标文件中规定的投标有效期满之间的这段时间内，投标人不得撤销其投标。</w:t>
      </w:r>
    </w:p>
    <w:p w14:paraId="0AE7C72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不论投标人中标与否，投标文件均不退回。</w:t>
      </w:r>
    </w:p>
    <w:p w14:paraId="3356F339">
      <w:pPr>
        <w:spacing w:line="500" w:lineRule="exact"/>
        <w:ind w:firstLine="562"/>
        <w:jc w:val="left"/>
        <w:outlineLvl w:val="9"/>
        <w:rPr>
          <w:rFonts w:hint="eastAsia" w:ascii="宋体" w:hAnsi="宋体" w:eastAsia="宋体" w:cs="宋体"/>
          <w:b/>
          <w:color w:val="auto"/>
          <w:sz w:val="28"/>
          <w:szCs w:val="28"/>
          <w:highlight w:val="none"/>
        </w:rPr>
      </w:pPr>
      <w:bookmarkStart w:id="85" w:name="_Toc16938545"/>
      <w:bookmarkStart w:id="86" w:name="_Toc35266024"/>
      <w:bookmarkStart w:id="87" w:name="_Toc513029229"/>
      <w:bookmarkStart w:id="88" w:name="_Toc54615243"/>
      <w:bookmarkStart w:id="89" w:name="_Toc120614218"/>
      <w:bookmarkStart w:id="90" w:name="_Toc20823301"/>
      <w:bookmarkStart w:id="91" w:name="_Toc160042792"/>
      <w:bookmarkStart w:id="92" w:name="_Toc38368124"/>
      <w:r>
        <w:rPr>
          <w:rFonts w:hint="eastAsia" w:ascii="宋体" w:hAnsi="宋体" w:eastAsia="宋体" w:cs="宋体"/>
          <w:b/>
          <w:color w:val="auto"/>
          <w:sz w:val="28"/>
          <w:szCs w:val="28"/>
          <w:highlight w:val="none"/>
        </w:rPr>
        <w:t>五、开标与评标</w:t>
      </w:r>
      <w:bookmarkEnd w:id="85"/>
      <w:bookmarkEnd w:id="86"/>
      <w:bookmarkEnd w:id="87"/>
      <w:bookmarkEnd w:id="88"/>
      <w:bookmarkEnd w:id="89"/>
      <w:bookmarkEnd w:id="90"/>
      <w:bookmarkEnd w:id="91"/>
      <w:bookmarkEnd w:id="92"/>
    </w:p>
    <w:p w14:paraId="7728FBCB">
      <w:pPr>
        <w:spacing w:line="500" w:lineRule="exact"/>
        <w:ind w:firstLine="562"/>
        <w:jc w:val="left"/>
        <w:outlineLvl w:val="9"/>
        <w:rPr>
          <w:rFonts w:hint="eastAsia" w:ascii="宋体" w:hAnsi="宋体" w:eastAsia="宋体" w:cs="宋体"/>
          <w:b/>
          <w:color w:val="auto"/>
          <w:sz w:val="28"/>
          <w:szCs w:val="28"/>
          <w:highlight w:val="none"/>
        </w:rPr>
      </w:pPr>
      <w:bookmarkStart w:id="93" w:name="_Toc513029230"/>
      <w:bookmarkStart w:id="94" w:name="_Toc16938546"/>
      <w:bookmarkStart w:id="95" w:name="_Toc20823302"/>
      <w:r>
        <w:rPr>
          <w:rFonts w:hint="eastAsia" w:ascii="宋体" w:hAnsi="宋体" w:eastAsia="宋体" w:cs="宋体"/>
          <w:b/>
          <w:color w:val="auto"/>
          <w:sz w:val="28"/>
          <w:szCs w:val="28"/>
          <w:highlight w:val="none"/>
          <w:lang w:eastAsia="zh-CN"/>
        </w:rPr>
        <w:t>22.</w:t>
      </w:r>
      <w:r>
        <w:rPr>
          <w:rFonts w:hint="eastAsia" w:ascii="宋体" w:hAnsi="宋体" w:eastAsia="宋体" w:cs="宋体"/>
          <w:b/>
          <w:color w:val="auto"/>
          <w:sz w:val="28"/>
          <w:szCs w:val="28"/>
          <w:highlight w:val="none"/>
        </w:rPr>
        <w:t>开标</w:t>
      </w:r>
      <w:bookmarkEnd w:id="93"/>
      <w:bookmarkEnd w:id="94"/>
      <w:bookmarkEnd w:id="95"/>
    </w:p>
    <w:p w14:paraId="7FEA51C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062AF4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D8FCDD0">
      <w:pPr>
        <w:spacing w:line="500" w:lineRule="exact"/>
        <w:ind w:firstLine="562"/>
        <w:jc w:val="left"/>
        <w:outlineLvl w:val="9"/>
        <w:rPr>
          <w:rFonts w:hint="eastAsia" w:ascii="宋体" w:hAnsi="宋体" w:eastAsia="宋体" w:cs="宋体"/>
          <w:b/>
          <w:color w:val="auto"/>
          <w:sz w:val="28"/>
          <w:szCs w:val="28"/>
          <w:highlight w:val="none"/>
        </w:rPr>
      </w:pPr>
      <w:bookmarkStart w:id="96" w:name="_Toc16938547"/>
      <w:bookmarkStart w:id="97" w:name="_Toc513029231"/>
      <w:bookmarkStart w:id="98" w:name="_Toc20823303"/>
      <w:r>
        <w:rPr>
          <w:rFonts w:hint="eastAsia" w:ascii="宋体" w:hAnsi="宋体" w:eastAsia="宋体" w:cs="宋体"/>
          <w:b/>
          <w:color w:val="auto"/>
          <w:sz w:val="28"/>
          <w:szCs w:val="28"/>
          <w:highlight w:val="none"/>
          <w:lang w:eastAsia="zh-CN"/>
        </w:rPr>
        <w:t>23.</w:t>
      </w:r>
      <w:r>
        <w:rPr>
          <w:rFonts w:hint="eastAsia" w:ascii="宋体" w:hAnsi="宋体" w:eastAsia="宋体" w:cs="宋体"/>
          <w:b/>
          <w:color w:val="auto"/>
          <w:sz w:val="28"/>
          <w:szCs w:val="28"/>
          <w:highlight w:val="none"/>
        </w:rPr>
        <w:t>评标委员会</w:t>
      </w:r>
    </w:p>
    <w:p w14:paraId="420CFBF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开标后，采购代理机构将立即组织评标委员会（以下简称评委会）进行评标。</w:t>
      </w:r>
    </w:p>
    <w:p w14:paraId="6881E7B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评委会由评审专家、采购人代表组成，且人员构成符合政府采购有关规定。</w:t>
      </w:r>
    </w:p>
    <w:p w14:paraId="1F84341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23.3评委会应以科学、公正的态度参加评审工作并推荐中标候选人。评审专家和采购人代表在评审过程中不受任何干扰，独立、负责地提出评审意见，并对自己的评审意见承担责任。</w:t>
      </w:r>
    </w:p>
    <w:p w14:paraId="0E4E10B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23.4评委会将对投标人的商业、技术秘密予以保密。</w:t>
      </w:r>
    </w:p>
    <w:p w14:paraId="6A78FD9E">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24.</w:t>
      </w:r>
      <w:r>
        <w:rPr>
          <w:rFonts w:hint="eastAsia" w:ascii="宋体" w:hAnsi="宋体" w:eastAsia="宋体" w:cs="宋体"/>
          <w:b/>
          <w:color w:val="auto"/>
          <w:sz w:val="28"/>
          <w:szCs w:val="28"/>
          <w:highlight w:val="none"/>
        </w:rPr>
        <w:t>评标过程的保密</w:t>
      </w:r>
      <w:bookmarkEnd w:id="96"/>
      <w:bookmarkEnd w:id="97"/>
      <w:bookmarkEnd w:id="98"/>
      <w:r>
        <w:rPr>
          <w:rFonts w:hint="eastAsia" w:ascii="宋体" w:hAnsi="宋体" w:eastAsia="宋体" w:cs="宋体"/>
          <w:b/>
          <w:color w:val="auto"/>
          <w:sz w:val="28"/>
          <w:szCs w:val="28"/>
          <w:highlight w:val="none"/>
        </w:rPr>
        <w:t>与公正</w:t>
      </w:r>
    </w:p>
    <w:p w14:paraId="630A648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24.1公开开标后，直至向中标的投标人授予合同时止，凡是与审查、澄清、评价和比较投标的有关资料以及授标建议等，均不得向投标人或与评标无关的其他人员透露。</w:t>
      </w:r>
    </w:p>
    <w:p w14:paraId="68001EB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24.2在评标过程中，如果投标人试图向采购代理机构和参与评标的人员施加任何影响，都将会导致其投标被拒绝。</w:t>
      </w:r>
    </w:p>
    <w:p w14:paraId="50EF54E6">
      <w:pPr>
        <w:spacing w:line="500" w:lineRule="exact"/>
        <w:ind w:firstLine="562"/>
        <w:jc w:val="left"/>
        <w:outlineLvl w:val="9"/>
        <w:rPr>
          <w:rFonts w:hint="eastAsia" w:ascii="宋体" w:hAnsi="宋体" w:eastAsia="宋体" w:cs="宋体"/>
          <w:b/>
          <w:color w:val="auto"/>
          <w:sz w:val="28"/>
          <w:szCs w:val="28"/>
          <w:highlight w:val="none"/>
        </w:rPr>
      </w:pPr>
      <w:bookmarkStart w:id="99" w:name="_Toc16938548"/>
      <w:bookmarkStart w:id="100" w:name="_Toc20823304"/>
      <w:bookmarkStart w:id="101" w:name="_Toc513029232"/>
      <w:r>
        <w:rPr>
          <w:rFonts w:hint="eastAsia" w:ascii="宋体" w:hAnsi="宋体" w:eastAsia="宋体" w:cs="宋体"/>
          <w:b/>
          <w:color w:val="auto"/>
          <w:sz w:val="28"/>
          <w:szCs w:val="28"/>
          <w:highlight w:val="none"/>
          <w:lang w:eastAsia="zh-CN"/>
        </w:rPr>
        <w:t>25.</w:t>
      </w:r>
      <w:r>
        <w:rPr>
          <w:rFonts w:hint="eastAsia" w:ascii="宋体" w:hAnsi="宋体" w:eastAsia="宋体" w:cs="宋体"/>
          <w:b/>
          <w:color w:val="auto"/>
          <w:sz w:val="28"/>
          <w:szCs w:val="28"/>
          <w:highlight w:val="none"/>
        </w:rPr>
        <w:t>投标的澄清</w:t>
      </w:r>
      <w:bookmarkEnd w:id="99"/>
      <w:bookmarkEnd w:id="100"/>
      <w:bookmarkEnd w:id="101"/>
    </w:p>
    <w:p w14:paraId="1692A88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58000BA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24481256">
      <w:pPr>
        <w:spacing w:line="500" w:lineRule="exact"/>
        <w:ind w:firstLine="482"/>
        <w:jc w:val="lef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本项目投标人的澄清、说明或者补正采用线上澄清</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此处规定时间的计算以系统中的倒计时间为准，供应商应随时保持系统在线，如因供应商自身原因未在规定时间内提交澄清确认资料的，导致的不利后果由供应商自行承担。）</w:t>
      </w:r>
    </w:p>
    <w:p w14:paraId="7C17837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接到评委会澄清要求的投标人如未按规定做出澄清，其风险由投标人自行承担。</w:t>
      </w:r>
    </w:p>
    <w:p w14:paraId="350988D3">
      <w:pPr>
        <w:spacing w:line="500" w:lineRule="exact"/>
        <w:ind w:firstLine="562"/>
        <w:jc w:val="left"/>
        <w:outlineLvl w:val="9"/>
        <w:rPr>
          <w:rFonts w:hint="eastAsia" w:ascii="宋体" w:hAnsi="宋体" w:eastAsia="宋体" w:cs="宋体"/>
          <w:b/>
          <w:color w:val="auto"/>
          <w:sz w:val="28"/>
          <w:szCs w:val="28"/>
          <w:highlight w:val="none"/>
        </w:rPr>
      </w:pPr>
      <w:bookmarkStart w:id="102" w:name="_Toc16938549"/>
      <w:bookmarkStart w:id="103" w:name="_Toc513029233"/>
      <w:bookmarkStart w:id="104" w:name="_Toc20823305"/>
      <w:r>
        <w:rPr>
          <w:rFonts w:hint="eastAsia" w:ascii="宋体" w:hAnsi="宋体" w:eastAsia="宋体" w:cs="宋体"/>
          <w:b/>
          <w:color w:val="auto"/>
          <w:sz w:val="28"/>
          <w:szCs w:val="28"/>
          <w:highlight w:val="none"/>
          <w:lang w:eastAsia="zh-CN"/>
        </w:rPr>
        <w:t>26.</w:t>
      </w:r>
      <w:bookmarkEnd w:id="102"/>
      <w:bookmarkEnd w:id="103"/>
      <w:bookmarkEnd w:id="104"/>
      <w:r>
        <w:rPr>
          <w:rFonts w:hint="eastAsia" w:ascii="宋体" w:hAnsi="宋体" w:eastAsia="宋体" w:cs="宋体"/>
          <w:b/>
          <w:color w:val="auto"/>
          <w:sz w:val="28"/>
          <w:szCs w:val="28"/>
          <w:highlight w:val="none"/>
        </w:rPr>
        <w:t>对投标文件的初审</w:t>
      </w:r>
    </w:p>
    <w:p w14:paraId="777C228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7A00B53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26.1.1资格性审查</w:t>
      </w:r>
    </w:p>
    <w:p w14:paraId="5C549AC6">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08E52D3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26.1.1.1关于诚信库：</w:t>
      </w:r>
    </w:p>
    <w:p w14:paraId="6D3B6F7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26.1.1.1.1根据政府采购法及相关法规，以及苏州市财政局《关于印发苏州市市级政府采购信用记录查询和使用工作试行办法的通知》（苏财购</w:t>
      </w:r>
      <w:r>
        <w:rPr>
          <w:rFonts w:hint="eastAsia" w:ascii="宋体" w:hAnsi="宋体" w:eastAsia="宋体" w:cs="宋体"/>
          <w:color w:val="auto"/>
          <w:sz w:val="24"/>
          <w:szCs w:val="24"/>
          <w:highlight w:val="none"/>
          <w:lang w:eastAsia="zh-CN"/>
        </w:rPr>
        <w:t>〔2017〕11号</w:t>
      </w:r>
      <w:r>
        <w:rPr>
          <w:rFonts w:hint="eastAsia" w:ascii="宋体" w:hAnsi="宋体" w:eastAsia="宋体" w:cs="宋体"/>
          <w:color w:val="auto"/>
          <w:sz w:val="24"/>
          <w:szCs w:val="24"/>
          <w:highlight w:val="none"/>
        </w:rPr>
        <w:t>）文件的规定，将对供应商进行信用查询。</w:t>
      </w:r>
    </w:p>
    <w:p w14:paraId="2A6CFB36">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26.1.1.1.2查询时间：投标文件递交截止时间。</w:t>
      </w:r>
    </w:p>
    <w:p w14:paraId="461EB8C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26.1.1.1.3 查询渠道：“信用中国”。</w:t>
      </w:r>
    </w:p>
    <w:p w14:paraId="475E630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 关于失信联合惩戒</w:t>
      </w:r>
    </w:p>
    <w:p w14:paraId="700B9C0F">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限制严重失信主体参与公共资源交易的投标等政府采购活动。</w:t>
      </w:r>
    </w:p>
    <w:p w14:paraId="0195AA4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w:t>
      </w:r>
    </w:p>
    <w:p w14:paraId="1D5E469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依据招标文件的规定，由评委会对投标文件进行审查，以确定是否对招标文件的实质性要求作出响应。</w:t>
      </w:r>
    </w:p>
    <w:p w14:paraId="4284E97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138AF306">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152AEC7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如果投标文件实质上没有响应招标文件的要求，评委会将予以拒绝，投标人不得通过修改或撤销不合要求的偏离或保留而使其投标成为实质性响应的投标。</w:t>
      </w:r>
    </w:p>
    <w:p w14:paraId="034FB60F">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 </w:t>
      </w:r>
    </w:p>
    <w:p w14:paraId="120FD1FF">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4EA10C44">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58EE57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6B493086">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0DAEE43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614E732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评委会将允许修正投标文件中不构成重大偏离的、微小的、非正规的、不一致的或不规则的地方，但这些修改不能影响任何投标人相应的名次排列。</w:t>
      </w:r>
    </w:p>
    <w:p w14:paraId="48624817">
      <w:pPr>
        <w:spacing w:line="500" w:lineRule="exact"/>
        <w:ind w:firstLine="480"/>
        <w:jc w:val="left"/>
        <w:outlineLvl w:val="9"/>
        <w:rPr>
          <w:rFonts w:hint="eastAsia" w:ascii="宋体" w:hAnsi="宋体" w:eastAsia="宋体" w:cs="宋体"/>
          <w:b/>
          <w:bCs/>
          <w:color w:val="auto"/>
          <w:sz w:val="24"/>
          <w:szCs w:val="24"/>
          <w:highlight w:val="none"/>
        </w:rPr>
      </w:pPr>
      <w:bookmarkStart w:id="105" w:name="_Toc16938550"/>
      <w:bookmarkStart w:id="106" w:name="_Toc20823306"/>
      <w:bookmarkStart w:id="107" w:name="_Toc513029234"/>
      <w:bookmarkStart w:id="108" w:name="_Toc200451960"/>
      <w:r>
        <w:rPr>
          <w:rFonts w:hint="eastAsia" w:ascii="宋体" w:hAnsi="宋体" w:eastAsia="宋体" w:cs="宋体"/>
          <w:b/>
          <w:bCs/>
          <w:color w:val="auto"/>
          <w:sz w:val="24"/>
          <w:szCs w:val="24"/>
          <w:highlight w:val="none"/>
        </w:rPr>
        <w:t>26.6异常低价投标审查</w:t>
      </w:r>
    </w:p>
    <w:p w14:paraId="47819C9B">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26.6.1政府采购评审中出现下列情形之一的，评审委员会应当启动异常低价投标（响应）审查程序：</w:t>
      </w:r>
    </w:p>
    <w:p w14:paraId="157B0D6C">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投标（响应）报价低于全部通过符合性审查供应商</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投标（响应）报价平均值</w:t>
      </w: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lang w:eastAsia="zh-CN"/>
        </w:rPr>
        <w:t>%的，即</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投标（响应）报价&lt;全部通过符合性审查供应商</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投标（响应）报价平均值×</w:t>
      </w: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lang w:eastAsia="zh-CN"/>
        </w:rPr>
        <w:t>%；</w:t>
      </w:r>
    </w:p>
    <w:p w14:paraId="7D1A722B">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投标（响应）报价低于通过符合性审查的次低报价供应商</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w:t>
      </w: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lang w:eastAsia="zh-CN"/>
        </w:rPr>
        <w:t>%的；</w:t>
      </w:r>
    </w:p>
    <w:p w14:paraId="302C1E8D">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投标（响应）报价低于采购项目最高限价</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5%的，即</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lang w:eastAsia="zh-CN"/>
        </w:rPr>
        <w:t>投标（响应）报价&lt;采购项目最高限价×</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5%；</w:t>
      </w:r>
    </w:p>
    <w:p w14:paraId="0866F6AE">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（4）评审委员会基于专业判断，认为供应商报价过低，有可能影响产品质量或者不能诚信履约的其他情形。</w:t>
      </w:r>
    </w:p>
    <w:p w14:paraId="63A1787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79C7A57">
      <w:pPr>
        <w:spacing w:line="500" w:lineRule="exact"/>
        <w:ind w:firstLine="480"/>
        <w:jc w:val="left"/>
        <w:outlineLvl w:val="9"/>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228B6B3">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27.</w:t>
      </w:r>
      <w:bookmarkEnd w:id="105"/>
      <w:bookmarkEnd w:id="106"/>
      <w:bookmarkEnd w:id="107"/>
      <w:r>
        <w:rPr>
          <w:rFonts w:hint="eastAsia" w:ascii="宋体" w:hAnsi="宋体" w:eastAsia="宋体" w:cs="宋体"/>
          <w:b/>
          <w:color w:val="auto"/>
          <w:sz w:val="28"/>
          <w:szCs w:val="28"/>
          <w:highlight w:val="none"/>
        </w:rPr>
        <w:t>无效投标条款和废标条款</w:t>
      </w:r>
    </w:p>
    <w:p w14:paraId="001284D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无效投标条款</w:t>
      </w:r>
    </w:p>
    <w:p w14:paraId="0684ACF0">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投标人未按照招标文件要求上传电子投标文件的；</w:t>
      </w:r>
    </w:p>
    <w:p w14:paraId="37888937">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投标人在规定时间内不解密投标文件或未成功解密投标文件的（因系统原因导致的除外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89DFA5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 投标文件中没有《开标一览表》或《开标一览表》未加盖投标人公章的； </w:t>
      </w:r>
    </w:p>
    <w:p w14:paraId="19A5374F">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 投标文件中任何有选择的报价；</w:t>
      </w:r>
    </w:p>
    <w:p w14:paraId="48C94DF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 投标文件报价出现前后不一致的，按招标文件规定修正后投标人不确认的； </w:t>
      </w:r>
    </w:p>
    <w:p w14:paraId="24EC5CF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 不同投标人的投标文件由同一单位或者个人编制； </w:t>
      </w:r>
    </w:p>
    <w:p w14:paraId="3FD34EC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 不同投标人委托同一单位或者个人办理投标事宜； </w:t>
      </w:r>
    </w:p>
    <w:p w14:paraId="6C727FC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27.1.8不同投标人的投标文件制作机器码一致的；</w:t>
      </w:r>
    </w:p>
    <w:p w14:paraId="79D8F7B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不同投标人的投标文件载明的项目管理成员或者联系人员为同一人；</w:t>
      </w:r>
    </w:p>
    <w:p w14:paraId="4079D40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27.1.10 不同投标人的投标文件异常一致或者投标报价呈规律性差异；</w:t>
      </w:r>
    </w:p>
    <w:p w14:paraId="2C3DC68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44637F17">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21A7F1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 供应商被列入失信被执行人名单、重大税收违法案件当事人名单、政府采购严重违法失信行为记录名单以及其他不符合《中华人民共和国政府采购法》第二十二条规定条件的信用记录的；</w:t>
      </w:r>
    </w:p>
    <w:p w14:paraId="3C18B98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27.1.14 不同供应商的单位负责人为同一人或者存在直接控股、管理关系的； </w:t>
      </w:r>
    </w:p>
    <w:p w14:paraId="7E1AD6F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27.1.15 为采购项目提供整体设计、规范编制或者项目管理、监理、检测等服务的；</w:t>
      </w:r>
    </w:p>
    <w:p w14:paraId="5F45F0B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27.1.16 资格证明文件中要求加盖公章而未加盖公章的； </w:t>
      </w:r>
    </w:p>
    <w:p w14:paraId="0262A84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27.1.17 投标文件未按招标文件要求签署、盖章的； </w:t>
      </w:r>
    </w:p>
    <w:p w14:paraId="23FF933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27.1.18 不具备招标文件中规定的资格要求或未按招标文件规定的要求提供资格证明文件的； </w:t>
      </w:r>
    </w:p>
    <w:p w14:paraId="21A5F92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27.1.19 报价超过招标文件中规定的预算金额或者最高限价的； </w:t>
      </w:r>
    </w:p>
    <w:p w14:paraId="67C4325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27.1.20 投标文件含有采购人不能接受的附加条件的； </w:t>
      </w:r>
    </w:p>
    <w:p w14:paraId="70020F70">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27.1.21 不响应招标文件中规定的实质性要求的（本招标文件中斜体且有下划线部分为实质性要求）； </w:t>
      </w:r>
    </w:p>
    <w:p w14:paraId="60D95878">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27.1.22 法律、法规和采购文件规定的其他无效情形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5A6CA0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废标条款：</w:t>
      </w:r>
    </w:p>
    <w:p w14:paraId="5F72D9F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 xml:space="preserve">符合专业条件的供应商或者对招标文件作实质响应的供应商不足三家的； </w:t>
      </w:r>
    </w:p>
    <w:p w14:paraId="564F6BF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出现影响采购公正的违法、违规行为的；</w:t>
      </w:r>
    </w:p>
    <w:p w14:paraId="1FF5FC3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投标人的报价均超过了采购预算，采购人不能支付的；</w:t>
      </w:r>
    </w:p>
    <w:p w14:paraId="47F07D54">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因重大变故，采购任务取消的。</w:t>
      </w:r>
    </w:p>
    <w:p w14:paraId="51A8F6D0">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因苏采</w:t>
      </w:r>
      <w:r>
        <w:rPr>
          <w:rFonts w:hint="eastAsia" w:ascii="宋体" w:hAnsi="宋体" w:eastAsia="宋体" w:cs="宋体"/>
          <w:color w:val="auto"/>
          <w:sz w:val="24"/>
          <w:szCs w:val="24"/>
          <w:highlight w:val="none"/>
          <w:lang w:eastAsia="zh-CN"/>
        </w:rPr>
        <w:t>云</w:t>
      </w:r>
      <w:r>
        <w:rPr>
          <w:rFonts w:hint="eastAsia" w:ascii="宋体" w:hAnsi="宋体" w:eastAsia="宋体" w:cs="宋体"/>
          <w:color w:val="auto"/>
          <w:sz w:val="24"/>
          <w:szCs w:val="24"/>
          <w:highlight w:val="none"/>
        </w:rPr>
        <w:t>系统故障原因造成开标不成功的。</w:t>
      </w:r>
    </w:p>
    <w:p w14:paraId="1851F19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51A6E24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 如出现投标截止时间结束后参加投标的供应商或者在评标期间对招标文件做出实质响应的供应商不足三家情况，按财政部第87号令第四十三条的规定执行。</w:t>
      </w:r>
    </w:p>
    <w:p w14:paraId="20D96C06">
      <w:pPr>
        <w:spacing w:line="500" w:lineRule="exact"/>
        <w:ind w:firstLine="562"/>
        <w:jc w:val="left"/>
        <w:outlineLvl w:val="9"/>
        <w:rPr>
          <w:rFonts w:hint="eastAsia" w:ascii="宋体" w:hAnsi="宋体" w:eastAsia="宋体" w:cs="宋体"/>
          <w:b/>
          <w:color w:val="auto"/>
          <w:sz w:val="28"/>
          <w:szCs w:val="28"/>
          <w:highlight w:val="none"/>
        </w:rPr>
      </w:pPr>
      <w:bookmarkStart w:id="109" w:name="_Toc513029235"/>
      <w:bookmarkStart w:id="110" w:name="_Toc16938551"/>
      <w:bookmarkStart w:id="111" w:name="_Toc20823307"/>
      <w:bookmarkStart w:id="112" w:name="_Toc54615244"/>
      <w:bookmarkStart w:id="113" w:name="_Toc120614219"/>
      <w:bookmarkStart w:id="114" w:name="_Toc35266025"/>
      <w:bookmarkStart w:id="115" w:name="_Toc38368125"/>
      <w:r>
        <w:rPr>
          <w:rFonts w:hint="eastAsia" w:ascii="宋体" w:hAnsi="宋体" w:eastAsia="宋体" w:cs="宋体"/>
          <w:b/>
          <w:color w:val="auto"/>
          <w:sz w:val="28"/>
          <w:szCs w:val="28"/>
          <w:highlight w:val="none"/>
        </w:rPr>
        <w:t>六、</w:t>
      </w:r>
      <w:bookmarkEnd w:id="109"/>
      <w:bookmarkEnd w:id="110"/>
      <w:bookmarkEnd w:id="111"/>
      <w:r>
        <w:rPr>
          <w:rFonts w:hint="eastAsia" w:ascii="宋体" w:hAnsi="宋体" w:eastAsia="宋体" w:cs="宋体"/>
          <w:b/>
          <w:color w:val="auto"/>
          <w:sz w:val="28"/>
          <w:szCs w:val="28"/>
          <w:highlight w:val="none"/>
        </w:rPr>
        <w:t>定标</w:t>
      </w:r>
      <w:bookmarkEnd w:id="112"/>
      <w:bookmarkEnd w:id="113"/>
      <w:bookmarkEnd w:id="114"/>
      <w:bookmarkEnd w:id="115"/>
    </w:p>
    <w:p w14:paraId="707E7453">
      <w:pPr>
        <w:spacing w:line="500" w:lineRule="exact"/>
        <w:ind w:firstLine="562"/>
        <w:jc w:val="left"/>
        <w:outlineLvl w:val="9"/>
        <w:rPr>
          <w:rFonts w:hint="eastAsia" w:ascii="宋体" w:hAnsi="宋体" w:eastAsia="宋体" w:cs="宋体"/>
          <w:b/>
          <w:color w:val="auto"/>
          <w:sz w:val="28"/>
          <w:szCs w:val="28"/>
          <w:highlight w:val="none"/>
        </w:rPr>
      </w:pPr>
      <w:bookmarkStart w:id="116" w:name="_Toc513029238"/>
      <w:bookmarkStart w:id="117" w:name="_Toc20823310"/>
      <w:bookmarkStart w:id="118" w:name="_Toc16938554"/>
      <w:r>
        <w:rPr>
          <w:rFonts w:hint="eastAsia" w:ascii="宋体" w:hAnsi="宋体" w:eastAsia="宋体" w:cs="宋体"/>
          <w:b/>
          <w:color w:val="auto"/>
          <w:sz w:val="28"/>
          <w:szCs w:val="28"/>
          <w:highlight w:val="none"/>
          <w:lang w:eastAsia="zh-CN"/>
        </w:rPr>
        <w:t>28.</w:t>
      </w:r>
      <w:bookmarkEnd w:id="116"/>
      <w:r>
        <w:rPr>
          <w:rFonts w:hint="eastAsia" w:ascii="宋体" w:hAnsi="宋体" w:eastAsia="宋体" w:cs="宋体"/>
          <w:b/>
          <w:color w:val="auto"/>
          <w:sz w:val="28"/>
          <w:szCs w:val="28"/>
          <w:highlight w:val="none"/>
        </w:rPr>
        <w:t>确定</w:t>
      </w:r>
      <w:bookmarkEnd w:id="117"/>
      <w:bookmarkEnd w:id="118"/>
      <w:r>
        <w:rPr>
          <w:rFonts w:hint="eastAsia" w:ascii="宋体" w:hAnsi="宋体" w:eastAsia="宋体" w:cs="宋体"/>
          <w:b/>
          <w:color w:val="auto"/>
          <w:sz w:val="28"/>
          <w:szCs w:val="28"/>
          <w:highlight w:val="none"/>
        </w:rPr>
        <w:t>中标单位</w:t>
      </w:r>
    </w:p>
    <w:p w14:paraId="55A8C0A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w:t>
      </w:r>
      <w:r>
        <w:rPr>
          <w:rFonts w:hint="eastAsia" w:ascii="宋体" w:hAnsi="宋体" w:eastAsia="宋体" w:cs="宋体"/>
          <w:color w:val="auto"/>
          <w:sz w:val="24"/>
          <w:szCs w:val="24"/>
          <w:highlight w:val="none"/>
          <w:lang w:eastAsia="zh-CN"/>
        </w:rPr>
        <w:t xml:space="preserve"> 评委会</w:t>
      </w:r>
      <w:r>
        <w:rPr>
          <w:rFonts w:hint="eastAsia" w:ascii="宋体" w:hAnsi="宋体" w:eastAsia="宋体" w:cs="宋体"/>
          <w:color w:val="auto"/>
          <w:sz w:val="24"/>
          <w:szCs w:val="24"/>
          <w:highlight w:val="none"/>
        </w:rPr>
        <w:t>根据本招标文件规定评标办法与评标标准向采购人推荐出3名中标候选人。</w:t>
      </w:r>
    </w:p>
    <w:p w14:paraId="780E7F6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采购人应根据评标报告确定的中标候选人名单中按顺序确定中标人。</w:t>
      </w:r>
    </w:p>
    <w:bookmarkEnd w:id="108"/>
    <w:p w14:paraId="766EDFAA">
      <w:pPr>
        <w:spacing w:line="500" w:lineRule="exact"/>
        <w:ind w:firstLine="480"/>
        <w:jc w:val="left"/>
        <w:outlineLvl w:val="9"/>
        <w:rPr>
          <w:rFonts w:hint="eastAsia" w:ascii="宋体" w:hAnsi="宋体" w:eastAsia="宋体" w:cs="宋体"/>
          <w:color w:val="auto"/>
          <w:sz w:val="24"/>
          <w:szCs w:val="24"/>
          <w:highlight w:val="none"/>
        </w:rPr>
      </w:pPr>
      <w:bookmarkStart w:id="119" w:name="EBfa38c9fe4db84c47a946c1558a3ddb8f"/>
      <w:bookmarkEnd w:id="119"/>
      <w:r>
        <w:rPr>
          <w:rFonts w:hint="eastAsia" w:ascii="宋体" w:hAnsi="宋体" w:eastAsia="宋体" w:cs="宋体"/>
          <w:color w:val="auto"/>
          <w:sz w:val="24"/>
          <w:szCs w:val="24"/>
          <w:highlight w:val="none"/>
        </w:rPr>
        <w:t>28.3自中标人确定之日起2个工作日内，中标结果将在省级以上财政部门制定的媒体上进行公告，公告期限为1个工作日。</w:t>
      </w:r>
    </w:p>
    <w:p w14:paraId="3D17ADF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28.4若有充分证据证明，中标人出现下列情况之一的，一经查实，将被取消中标资格：</w:t>
      </w:r>
    </w:p>
    <w:p w14:paraId="7CB37B2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（1）提供虚假材料谋取中标的；</w:t>
      </w:r>
    </w:p>
    <w:p w14:paraId="79D7BD4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14:paraId="08B28B8F">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（3）与采购人、其他供应商或者采购代理机构恶意串通的；</w:t>
      </w:r>
    </w:p>
    <w:p w14:paraId="490BD36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（4）向采购人、采购代理机构行贿或者提供其他不正当利益的；</w:t>
      </w:r>
    </w:p>
    <w:p w14:paraId="2FD8C32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（5）在招标采购过程中与采购人进行协商谈判的；</w:t>
      </w:r>
    </w:p>
    <w:p w14:paraId="0A54CFA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（6）向评标委员会行贿或者提供其他不正当利益。</w:t>
      </w:r>
    </w:p>
    <w:p w14:paraId="43007DEA">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29.</w:t>
      </w:r>
      <w:r>
        <w:rPr>
          <w:rFonts w:hint="eastAsia" w:ascii="宋体" w:hAnsi="宋体" w:eastAsia="宋体" w:cs="宋体"/>
          <w:b/>
          <w:color w:val="auto"/>
          <w:sz w:val="28"/>
          <w:szCs w:val="28"/>
          <w:highlight w:val="none"/>
        </w:rPr>
        <w:t>质疑</w:t>
      </w:r>
    </w:p>
    <w:p w14:paraId="20E165F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29.1质疑形式</w:t>
      </w:r>
    </w:p>
    <w:p w14:paraId="5B9B1CF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p>
    <w:p w14:paraId="2CFAD4A0">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29.1.2</w:t>
      </w:r>
      <w:r>
        <w:rPr>
          <w:rFonts w:hint="eastAsia" w:ascii="宋体" w:hAnsi="宋体" w:eastAsia="宋体" w:cs="宋体"/>
          <w:color w:val="auto"/>
          <w:sz w:val="24"/>
          <w:szCs w:val="24"/>
          <w:highlight w:val="none"/>
          <w:lang w:eastAsia="zh-CN"/>
        </w:rPr>
        <w:t xml:space="preserve"> 质疑</w:t>
      </w:r>
      <w:r>
        <w:rPr>
          <w:rFonts w:hint="eastAsia" w:ascii="宋体" w:hAnsi="宋体" w:eastAsia="宋体" w:cs="宋体"/>
          <w:color w:val="auto"/>
          <w:sz w:val="24"/>
          <w:szCs w:val="24"/>
          <w:highlight w:val="none"/>
        </w:rPr>
        <w:t>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代理机构有权不予</w:t>
      </w:r>
      <w:r>
        <w:rPr>
          <w:rFonts w:hint="eastAsia" w:ascii="宋体" w:hAnsi="宋体" w:eastAsia="宋体" w:cs="宋体"/>
          <w:color w:val="auto"/>
          <w:sz w:val="24"/>
          <w:szCs w:val="24"/>
          <w:highlight w:val="none"/>
          <w:lang w:eastAsia="zh-CN"/>
        </w:rPr>
        <w:t>受理。</w:t>
      </w:r>
    </w:p>
    <w:p w14:paraId="1F5447C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29.1.3质疑函应当包括下列内容：</w:t>
      </w:r>
    </w:p>
    <w:p w14:paraId="010CF5D3">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061D97D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5ECDD62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28BFDA9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761CEE9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313A953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0AFCDB93">
      <w:pPr>
        <w:pStyle w:val="56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z w:val="24"/>
          <w:szCs w:val="24"/>
          <w:highlight w:val="none"/>
        </w:rPr>
        <w:t>29.1.4质疑函应当由法定代表人、主要负责人，或者其授权代表签字或者盖章，并加盖公章。匿名提交的质疑将不予受理。</w:t>
      </w:r>
    </w:p>
    <w:p w14:paraId="71D1C295">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质疑的送达方式</w:t>
      </w:r>
    </w:p>
    <w:p w14:paraId="52DB0E5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.1质疑函应采用邮寄送达或直接送达的方式递交，采用其他方式送达（含传真、电子邮件等）的，采购代理机构有权不予受理。</w:t>
      </w:r>
    </w:p>
    <w:p w14:paraId="53399E17">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29.2特别提示</w:t>
      </w:r>
    </w:p>
    <w:p w14:paraId="5219848E">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14:paraId="0580433D">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29.2.2供应商在法定质疑期内应一次性提出针对同一采购程序环节的质疑。</w:t>
      </w:r>
    </w:p>
    <w:p w14:paraId="7503EB77">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29.2.3供应商提出质疑必须有理、有据，不得恶意质疑或提交虚假质疑。否则，一经查实，采购人或采购代理机构有权依据政府采购的有关规定，报请政府采购监管部门对该投标人进行相应的行政处罚。</w:t>
      </w:r>
    </w:p>
    <w:p w14:paraId="5BD59B74">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29.3其他</w:t>
      </w:r>
    </w:p>
    <w:p w14:paraId="73C0E634">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29.3.1采购人或采购代理机构将在收到供应商的质疑后七个工作日内作出答复，答复的内容不涉及商业秘密。</w:t>
      </w:r>
    </w:p>
    <w:p w14:paraId="293A7483">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30.</w:t>
      </w:r>
      <w:r>
        <w:rPr>
          <w:rFonts w:hint="eastAsia" w:ascii="宋体" w:hAnsi="宋体" w:eastAsia="宋体" w:cs="宋体"/>
          <w:b/>
          <w:color w:val="auto"/>
          <w:sz w:val="28"/>
          <w:szCs w:val="28"/>
          <w:highlight w:val="none"/>
        </w:rPr>
        <w:t>中标通知书</w:t>
      </w:r>
    </w:p>
    <w:p w14:paraId="76E07181">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r>
        <w:rPr>
          <w:rFonts w:hint="eastAsia" w:ascii="宋体" w:hAnsi="宋体" w:eastAsia="宋体" w:cs="宋体"/>
          <w:color w:val="auto"/>
          <w:sz w:val="24"/>
          <w:szCs w:val="24"/>
          <w:highlight w:val="none"/>
          <w:lang w:eastAsia="zh-CN"/>
        </w:rPr>
        <w:t xml:space="preserve">1 </w:t>
      </w:r>
      <w:r>
        <w:rPr>
          <w:rFonts w:hint="eastAsia" w:ascii="宋体" w:hAnsi="宋体" w:eastAsia="宋体" w:cs="宋体"/>
          <w:color w:val="auto"/>
          <w:sz w:val="24"/>
          <w:szCs w:val="24"/>
          <w:highlight w:val="none"/>
        </w:rPr>
        <w:t>在中标结果确定后2个工作日内，采购代理机构向中标供应商发出中标通知书。请中标人在中标结果公告届满之日起30日内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因未及时下载而造成的不利后果由中标人自行承担。</w:t>
      </w:r>
    </w:p>
    <w:p w14:paraId="566B0B7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6679496">
      <w:pPr>
        <w:keepNext/>
        <w:keepLines/>
        <w:spacing w:line="500" w:lineRule="exact"/>
        <w:ind w:firstLine="200"/>
        <w:jc w:val="left"/>
        <w:outlineLvl w:val="9"/>
        <w:rPr>
          <w:rFonts w:hint="eastAsia" w:ascii="宋体" w:hAnsi="宋体" w:eastAsia="宋体" w:cs="宋体"/>
          <w:color w:val="auto"/>
          <w:sz w:val="28"/>
          <w:szCs w:val="28"/>
          <w:highlight w:val="none"/>
        </w:rPr>
      </w:pPr>
      <w:bookmarkStart w:id="120" w:name="_Toc10512"/>
      <w:r>
        <w:rPr>
          <w:rFonts w:hint="eastAsia" w:ascii="宋体" w:hAnsi="宋体" w:eastAsia="宋体" w:cs="宋体"/>
          <w:b/>
          <w:bCs/>
          <w:color w:val="auto"/>
          <w:sz w:val="28"/>
          <w:szCs w:val="28"/>
          <w:highlight w:val="none"/>
        </w:rPr>
        <w:t>七、授予合同</w:t>
      </w:r>
      <w:bookmarkEnd w:id="120"/>
    </w:p>
    <w:p w14:paraId="153AA305">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31.</w:t>
      </w:r>
      <w:r>
        <w:rPr>
          <w:rFonts w:hint="eastAsia" w:ascii="宋体" w:hAnsi="宋体" w:eastAsia="宋体" w:cs="宋体"/>
          <w:b/>
          <w:color w:val="auto"/>
          <w:sz w:val="28"/>
          <w:szCs w:val="28"/>
          <w:highlight w:val="none"/>
        </w:rPr>
        <w:t>签订合同</w:t>
      </w:r>
    </w:p>
    <w:p w14:paraId="247FEB76">
      <w:pPr>
        <w:spacing w:line="500" w:lineRule="exact"/>
        <w:ind w:firstLine="482"/>
        <w:jc w:val="lef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31.l按照《关于做好政府采购支持企业发展有关事项的通知》（苏财购〔2020〕52号）及《关于印发</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苏州市政府采购促进中小企业发展实施意见</w:t>
      </w:r>
      <w:r>
        <w:rPr>
          <w:rFonts w:hint="eastAsia" w:ascii="宋体" w:hAnsi="宋体" w:eastAsia="宋体" w:cs="宋体"/>
          <w:b/>
          <w:color w:val="auto"/>
          <w:sz w:val="24"/>
          <w:szCs w:val="24"/>
          <w:highlight w:val="none"/>
          <w:lang w:eastAsia="zh-CN"/>
        </w:rPr>
        <w:t>〉的通知》</w:t>
      </w:r>
      <w:r>
        <w:rPr>
          <w:rFonts w:hint="eastAsia" w:ascii="宋体" w:hAnsi="宋体" w:eastAsia="宋体" w:cs="宋体"/>
          <w:b/>
          <w:color w:val="auto"/>
          <w:sz w:val="24"/>
          <w:szCs w:val="24"/>
          <w:highlight w:val="none"/>
        </w:rPr>
        <w:t>（苏财购〔2022〕16号）文件精神，采购人与中标人原则上应当在中标通知书发出之日起十五日内，按照招标文件及投标文件确定的事项签订政府采购合同。</w:t>
      </w:r>
    </w:p>
    <w:p w14:paraId="28EFDDDB">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招标文件、中标人的投标文件及招标过程中有关澄清、承诺文件均应作为合同附件。</w:t>
      </w:r>
    </w:p>
    <w:p w14:paraId="7E430F1C">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签订合同后，中标人不得将货物及其他相关服务进行转包和分包。</w:t>
      </w:r>
    </w:p>
    <w:p w14:paraId="6B4C5C6A">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32.</w:t>
      </w:r>
      <w:r>
        <w:rPr>
          <w:rFonts w:hint="eastAsia" w:ascii="宋体" w:hAnsi="宋体" w:eastAsia="宋体" w:cs="宋体"/>
          <w:b/>
          <w:color w:val="auto"/>
          <w:sz w:val="28"/>
          <w:szCs w:val="28"/>
          <w:highlight w:val="none"/>
        </w:rPr>
        <w:t>履约保证金</w:t>
      </w:r>
    </w:p>
    <w:p w14:paraId="2F61B19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合同签订前，中标人向采购单位交付的履约保证金为合同总价款</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p>
    <w:p w14:paraId="63778ADA">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履约保证金必须是人民币。履约保证金应当以支票、汇票、本票或者金融机构、担保机构出具的保函等非现金形式提交。</w:t>
      </w:r>
    </w:p>
    <w:p w14:paraId="29525755">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33.</w:t>
      </w:r>
      <w:r>
        <w:rPr>
          <w:rFonts w:hint="eastAsia" w:ascii="宋体" w:hAnsi="宋体" w:eastAsia="宋体" w:cs="宋体"/>
          <w:b/>
          <w:color w:val="auto"/>
          <w:sz w:val="28"/>
          <w:szCs w:val="28"/>
          <w:highlight w:val="none"/>
        </w:rPr>
        <w:t>货物和服务的追加、减少和添购</w:t>
      </w:r>
    </w:p>
    <w:p w14:paraId="39D8AA30">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5B1DC9C9">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33.2采购结束后，采购人若由于各种客观原因，必须对采购项目所牵涉的货物和服务进行适当的减少时，在双方协商一致的前提下，可以按照招标采购时的价格水平做相应的调减，并据此签订补充合同。</w:t>
      </w:r>
    </w:p>
    <w:p w14:paraId="50920629">
      <w:pPr>
        <w:spacing w:line="500" w:lineRule="exact"/>
        <w:ind w:firstLine="562"/>
        <w:jc w:val="left"/>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34.</w:t>
      </w:r>
      <w:r>
        <w:rPr>
          <w:rFonts w:hint="eastAsia" w:ascii="宋体" w:hAnsi="宋体" w:eastAsia="宋体" w:cs="宋体"/>
          <w:b/>
          <w:color w:val="auto"/>
          <w:sz w:val="28"/>
          <w:szCs w:val="28"/>
          <w:highlight w:val="none"/>
        </w:rPr>
        <w:t>监督和公证</w:t>
      </w:r>
    </w:p>
    <w:p w14:paraId="5C079D42">
      <w:pPr>
        <w:spacing w:line="500" w:lineRule="exact"/>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34.1政府有关监督部门将对投标全过程进行监督。</w:t>
      </w:r>
    </w:p>
    <w:p w14:paraId="265B1668">
      <w:pPr>
        <w:spacing w:line="440" w:lineRule="exact"/>
        <w:ind w:firstLine="480"/>
        <w:rPr>
          <w:rFonts w:hint="eastAsia" w:ascii="宋体" w:hAnsi="宋体" w:eastAsia="宋体" w:cs="宋体"/>
          <w:bCs/>
          <w:color w:val="auto"/>
          <w:sz w:val="24"/>
          <w:highlight w:val="none"/>
        </w:rPr>
      </w:pPr>
    </w:p>
    <w:p w14:paraId="24D0B518">
      <w:pPr>
        <w:pStyle w:val="129"/>
        <w:pageBreakBefore/>
        <w:spacing w:line="440" w:lineRule="exact"/>
        <w:rPr>
          <w:rFonts w:hint="eastAsia" w:ascii="宋体" w:hAnsi="宋体" w:eastAsia="宋体" w:cs="宋体"/>
          <w:color w:val="auto"/>
          <w:highlight w:val="none"/>
        </w:rPr>
      </w:pPr>
      <w:bookmarkStart w:id="121" w:name="_Toc175752382"/>
      <w:r>
        <w:rPr>
          <w:rFonts w:hint="eastAsia" w:ascii="宋体" w:hAnsi="宋体" w:eastAsia="宋体" w:cs="宋体"/>
          <w:color w:val="auto"/>
          <w:highlight w:val="none"/>
        </w:rPr>
        <w:t>第三章  合同条款及格式</w:t>
      </w:r>
      <w:bookmarkEnd w:id="121"/>
    </w:p>
    <w:p w14:paraId="3A97815E">
      <w:pPr>
        <w:rPr>
          <w:rFonts w:hint="eastAsia" w:ascii="宋体" w:hAnsi="宋体" w:eastAsia="宋体" w:cs="宋体"/>
          <w:color w:val="auto"/>
          <w:highlight w:val="none"/>
        </w:rPr>
      </w:pPr>
      <w:bookmarkStart w:id="122" w:name="EB0c436cda110d4e31977602d633a36593"/>
    </w:p>
    <w:p w14:paraId="64C4077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以下为中标(成交)后签定本项目合同的通用条款，中标(成交)供应商不得提出实质性的修改。</w:t>
      </w:r>
    </w:p>
    <w:p w14:paraId="77A8283D">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张家港市政府采购合同</w:t>
      </w:r>
    </w:p>
    <w:p w14:paraId="35857701">
      <w:pPr>
        <w:pStyle w:val="558"/>
        <w:spacing w:line="440" w:lineRule="exact"/>
        <w:ind w:firstLine="480"/>
        <w:rPr>
          <w:rFonts w:hint="eastAsia" w:ascii="宋体" w:hAnsi="宋体" w:eastAsia="宋体" w:cs="宋体"/>
          <w:color w:val="auto"/>
          <w:sz w:val="24"/>
          <w:highlight w:val="none"/>
        </w:rPr>
      </w:pPr>
      <w:bookmarkStart w:id="123" w:name="_Hlk65328514"/>
      <w:r>
        <w:rPr>
          <w:rFonts w:hint="eastAsia" w:ascii="宋体" w:hAnsi="宋体" w:eastAsia="宋体" w:cs="宋体"/>
          <w:color w:val="auto"/>
          <w:sz w:val="24"/>
          <w:highlight w:val="none"/>
        </w:rPr>
        <w:t>项目名称：</w:t>
      </w:r>
      <w:bookmarkStart w:id="124" w:name="biaoduanname_1"/>
      <w:r>
        <w:rPr>
          <w:rFonts w:hint="eastAsia" w:ascii="宋体" w:hAnsi="宋体" w:eastAsia="宋体" w:cs="宋体"/>
          <w:color w:val="auto"/>
          <w:sz w:val="24"/>
          <w:highlight w:val="none"/>
        </w:rPr>
        <w:t xml:space="preserve">             </w:t>
      </w:r>
      <w:bookmarkEnd w:id="124"/>
      <w:r>
        <w:rPr>
          <w:rFonts w:hint="eastAsia" w:ascii="宋体" w:hAnsi="宋体" w:eastAsia="宋体" w:cs="宋体"/>
          <w:color w:val="auto"/>
          <w:sz w:val="24"/>
          <w:highlight w:val="none"/>
        </w:rPr>
        <w:t xml:space="preserve">               </w:t>
      </w:r>
    </w:p>
    <w:p w14:paraId="1FC79B28">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bookmarkStart w:id="125" w:name="projectno"/>
      <w:r>
        <w:rPr>
          <w:rFonts w:hint="eastAsia" w:ascii="宋体" w:hAnsi="宋体" w:eastAsia="宋体" w:cs="宋体"/>
          <w:color w:val="auto"/>
          <w:sz w:val="24"/>
          <w:highlight w:val="none"/>
        </w:rPr>
        <w:t xml:space="preserve">           </w:t>
      </w:r>
      <w:bookmarkEnd w:id="125"/>
    </w:p>
    <w:p w14:paraId="5B287B03">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甲方：（买方）</w:t>
      </w:r>
      <w:r>
        <w:rPr>
          <w:rFonts w:hint="eastAsia" w:ascii="宋体" w:hAnsi="宋体" w:eastAsia="宋体" w:cs="宋体"/>
          <w:color w:val="auto"/>
          <w:sz w:val="24"/>
          <w:highlight w:val="none"/>
          <w:u w:val="single"/>
        </w:rPr>
        <w:t xml:space="preserve"> </w:t>
      </w:r>
      <w:bookmarkStart w:id="126" w:name="jianshedanwei_1"/>
      <w:r>
        <w:rPr>
          <w:rFonts w:hint="eastAsia" w:ascii="宋体" w:hAnsi="宋体" w:eastAsia="宋体" w:cs="宋体"/>
          <w:color w:val="auto"/>
          <w:sz w:val="24"/>
          <w:highlight w:val="none"/>
          <w:u w:val="single"/>
        </w:rPr>
        <w:t xml:space="preserve">        </w:t>
      </w:r>
      <w:bookmarkEnd w:id="126"/>
      <w:r>
        <w:rPr>
          <w:rFonts w:hint="eastAsia" w:ascii="宋体" w:hAnsi="宋体" w:eastAsia="宋体" w:cs="宋体"/>
          <w:color w:val="auto"/>
          <w:sz w:val="24"/>
          <w:highlight w:val="none"/>
          <w:u w:val="single"/>
        </w:rPr>
        <w:t xml:space="preserve"> </w:t>
      </w:r>
    </w:p>
    <w:p w14:paraId="6015C8F5">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乙方：（卖方）</w:t>
      </w:r>
      <w:r>
        <w:rPr>
          <w:rFonts w:hint="eastAsia" w:ascii="宋体" w:hAnsi="宋体" w:eastAsia="宋体" w:cs="宋体"/>
          <w:color w:val="auto"/>
          <w:sz w:val="24"/>
          <w:highlight w:val="none"/>
          <w:u w:val="single"/>
        </w:rPr>
        <w:t xml:space="preserve"> </w:t>
      </w:r>
      <w:bookmarkStart w:id="127" w:name="zhongbiaodanweiname_1"/>
      <w:r>
        <w:rPr>
          <w:rFonts w:hint="eastAsia" w:ascii="宋体" w:hAnsi="宋体" w:eastAsia="宋体" w:cs="宋体"/>
          <w:color w:val="auto"/>
          <w:sz w:val="24"/>
          <w:highlight w:val="none"/>
          <w:u w:val="single"/>
        </w:rPr>
        <w:t xml:space="preserve">          </w:t>
      </w:r>
      <w:bookmarkEnd w:id="127"/>
      <w:r>
        <w:rPr>
          <w:rFonts w:hint="eastAsia" w:ascii="宋体" w:hAnsi="宋体" w:eastAsia="宋体" w:cs="宋体"/>
          <w:color w:val="auto"/>
          <w:sz w:val="24"/>
          <w:highlight w:val="none"/>
          <w:u w:val="single"/>
        </w:rPr>
        <w:t xml:space="preserve"> </w:t>
      </w:r>
    </w:p>
    <w:p w14:paraId="6962B4F1">
      <w:pPr>
        <w:pStyle w:val="558"/>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甲、乙双方根据</w:t>
      </w:r>
      <w:r>
        <w:rPr>
          <w:rFonts w:hint="eastAsia" w:ascii="宋体" w:hAnsi="宋体" w:eastAsia="宋体" w:cs="宋体"/>
          <w:color w:val="auto"/>
          <w:sz w:val="24"/>
          <w:highlight w:val="none"/>
          <w:lang w:eastAsia="zh-CN"/>
        </w:rPr>
        <w:t>张家港华招达招投标代理有限公司</w:t>
      </w:r>
      <w:r>
        <w:rPr>
          <w:rFonts w:hint="eastAsia" w:ascii="宋体" w:hAnsi="宋体" w:eastAsia="宋体" w:cs="宋体"/>
          <w:color w:val="auto"/>
          <w:sz w:val="24"/>
          <w:highlight w:val="none"/>
          <w:u w:val="single"/>
        </w:rPr>
        <w:t xml:space="preserve"> </w:t>
      </w:r>
      <w:bookmarkStart w:id="128" w:name="biaoduanname_2"/>
      <w:r>
        <w:rPr>
          <w:rFonts w:hint="eastAsia" w:ascii="宋体" w:hAnsi="宋体" w:eastAsia="宋体" w:cs="宋体"/>
          <w:color w:val="auto"/>
          <w:sz w:val="24"/>
          <w:highlight w:val="none"/>
          <w:u w:val="single"/>
        </w:rPr>
        <w:t xml:space="preserve">    </w:t>
      </w:r>
      <w:bookmarkEnd w:id="128"/>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项目公开招标的结果，签署本合同。</w:t>
      </w:r>
    </w:p>
    <w:p w14:paraId="1358A55D">
      <w:pPr>
        <w:pStyle w:val="558"/>
        <w:spacing w:line="44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一、服务内容</w:t>
      </w:r>
    </w:p>
    <w:tbl>
      <w:tblPr>
        <w:tblStyle w:val="28"/>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23"/>
        <w:gridCol w:w="2722"/>
        <w:gridCol w:w="2475"/>
      </w:tblGrid>
      <w:tr w14:paraId="1AE2F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1" w:hRule="atLeast"/>
          <w:jc w:val="center"/>
        </w:trPr>
        <w:tc>
          <w:tcPr>
            <w:tcW w:w="2723" w:type="dxa"/>
            <w:noWrap w:val="0"/>
            <w:vAlign w:val="center"/>
          </w:tcPr>
          <w:p w14:paraId="4026EED0">
            <w:pPr>
              <w:pStyle w:val="55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2722" w:type="dxa"/>
            <w:noWrap w:val="0"/>
            <w:vAlign w:val="center"/>
          </w:tcPr>
          <w:p w14:paraId="20142123">
            <w:pPr>
              <w:pStyle w:val="558"/>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总价（元）</w:t>
            </w:r>
          </w:p>
        </w:tc>
        <w:tc>
          <w:tcPr>
            <w:tcW w:w="2475" w:type="dxa"/>
            <w:noWrap w:val="0"/>
            <w:vAlign w:val="center"/>
          </w:tcPr>
          <w:p w14:paraId="1AC7D43F">
            <w:pPr>
              <w:pStyle w:val="558"/>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服务内容</w:t>
            </w:r>
          </w:p>
        </w:tc>
      </w:tr>
      <w:tr w14:paraId="6893C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8" w:hRule="atLeast"/>
          <w:jc w:val="center"/>
        </w:trPr>
        <w:tc>
          <w:tcPr>
            <w:tcW w:w="2723" w:type="dxa"/>
            <w:noWrap w:val="0"/>
            <w:vAlign w:val="center"/>
          </w:tcPr>
          <w:p w14:paraId="2358B7AA">
            <w:pPr>
              <w:pStyle w:val="5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129" w:name="biaoduanname_3"/>
            <w:r>
              <w:rPr>
                <w:rFonts w:hint="eastAsia" w:ascii="宋体" w:hAnsi="宋体" w:eastAsia="宋体" w:cs="宋体"/>
                <w:color w:val="auto"/>
                <w:sz w:val="24"/>
                <w:highlight w:val="none"/>
              </w:rPr>
              <w:t xml:space="preserve">         </w:t>
            </w:r>
            <w:bookmarkEnd w:id="129"/>
            <w:r>
              <w:rPr>
                <w:rFonts w:hint="eastAsia" w:ascii="宋体" w:hAnsi="宋体" w:eastAsia="宋体" w:cs="宋体"/>
                <w:color w:val="auto"/>
                <w:sz w:val="24"/>
                <w:highlight w:val="none"/>
              </w:rPr>
              <w:t xml:space="preserve">   </w:t>
            </w:r>
          </w:p>
        </w:tc>
        <w:tc>
          <w:tcPr>
            <w:tcW w:w="2722" w:type="dxa"/>
            <w:noWrap w:val="0"/>
            <w:vAlign w:val="center"/>
          </w:tcPr>
          <w:p w14:paraId="4030C560">
            <w:pPr>
              <w:pStyle w:val="5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130" w:name="zhongbiaopricelow_1"/>
            <w:r>
              <w:rPr>
                <w:rFonts w:hint="eastAsia" w:ascii="宋体" w:hAnsi="宋体" w:eastAsia="宋体" w:cs="宋体"/>
                <w:color w:val="auto"/>
                <w:sz w:val="24"/>
                <w:highlight w:val="none"/>
              </w:rPr>
              <w:t xml:space="preserve">         </w:t>
            </w:r>
            <w:bookmarkEnd w:id="130"/>
            <w:r>
              <w:rPr>
                <w:rFonts w:hint="eastAsia" w:ascii="宋体" w:hAnsi="宋体" w:eastAsia="宋体" w:cs="宋体"/>
                <w:color w:val="auto"/>
                <w:sz w:val="24"/>
                <w:highlight w:val="none"/>
              </w:rPr>
              <w:t xml:space="preserve">    </w:t>
            </w:r>
          </w:p>
        </w:tc>
        <w:tc>
          <w:tcPr>
            <w:tcW w:w="2475" w:type="dxa"/>
            <w:noWrap w:val="0"/>
            <w:vAlign w:val="center"/>
          </w:tcPr>
          <w:p w14:paraId="34522A9B">
            <w:pPr>
              <w:pStyle w:val="5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131" w:name="fuwuneirong"/>
            <w:r>
              <w:rPr>
                <w:rFonts w:hint="eastAsia" w:ascii="宋体" w:hAnsi="宋体" w:eastAsia="宋体" w:cs="宋体"/>
                <w:color w:val="auto"/>
                <w:sz w:val="24"/>
                <w:highlight w:val="none"/>
              </w:rPr>
              <w:t xml:space="preserve">        </w:t>
            </w:r>
            <w:bookmarkEnd w:id="131"/>
            <w:r>
              <w:rPr>
                <w:rFonts w:hint="eastAsia" w:ascii="宋体" w:hAnsi="宋体" w:eastAsia="宋体" w:cs="宋体"/>
                <w:color w:val="auto"/>
                <w:sz w:val="24"/>
                <w:highlight w:val="none"/>
              </w:rPr>
              <w:t xml:space="preserve">   </w:t>
            </w:r>
          </w:p>
        </w:tc>
      </w:tr>
    </w:tbl>
    <w:p w14:paraId="0C8D2C90">
      <w:pPr>
        <w:pStyle w:val="558"/>
        <w:spacing w:line="44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二、合同金额</w:t>
      </w:r>
    </w:p>
    <w:p w14:paraId="1B37B43B">
      <w:pPr>
        <w:pStyle w:val="558"/>
        <w:spacing w:line="440" w:lineRule="exact"/>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2.1 本合同金额为（大写）：</w:t>
      </w:r>
      <w:r>
        <w:rPr>
          <w:rFonts w:hint="eastAsia" w:ascii="宋体" w:hAnsi="宋体" w:eastAsia="宋体" w:cs="宋体"/>
          <w:color w:val="auto"/>
          <w:sz w:val="24"/>
          <w:highlight w:val="none"/>
          <w:u w:val="single"/>
        </w:rPr>
        <w:t xml:space="preserve"> </w:t>
      </w:r>
      <w:bookmarkStart w:id="132" w:name="zhongbiaopriceup"/>
      <w:r>
        <w:rPr>
          <w:rFonts w:hint="eastAsia" w:ascii="宋体" w:hAnsi="宋体" w:eastAsia="宋体" w:cs="宋体"/>
          <w:color w:val="auto"/>
          <w:sz w:val="24"/>
          <w:highlight w:val="none"/>
          <w:u w:val="single"/>
        </w:rPr>
        <w:t xml:space="preserve">                   </w:t>
      </w:r>
      <w:bookmarkEnd w:id="132"/>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bookmarkStart w:id="133" w:name="zhongbiaopricelow_2"/>
      <w:r>
        <w:rPr>
          <w:rFonts w:hint="eastAsia" w:ascii="宋体" w:hAnsi="宋体" w:eastAsia="宋体" w:cs="宋体"/>
          <w:color w:val="auto"/>
          <w:sz w:val="24"/>
          <w:highlight w:val="none"/>
          <w:u w:val="single"/>
        </w:rPr>
        <w:t xml:space="preserve">             </w:t>
      </w:r>
      <w:bookmarkEnd w:id="133"/>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元）人民币。</w:t>
      </w:r>
    </w:p>
    <w:p w14:paraId="38C33C8E">
      <w:pPr>
        <w:pStyle w:val="558"/>
        <w:spacing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3287309C">
      <w:pPr>
        <w:pStyle w:val="558"/>
        <w:spacing w:line="440" w:lineRule="exact"/>
        <w:ind w:firstLine="482"/>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rPr>
        <w:t>三、履约保证金</w:t>
      </w:r>
    </w:p>
    <w:p w14:paraId="68D093B4">
      <w:pPr>
        <w:pStyle w:val="558"/>
        <w:spacing w:line="440" w:lineRule="exact"/>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3.1 合同签订前，乙方向采购单位交纳人民币</w:t>
      </w:r>
      <w:r>
        <w:rPr>
          <w:rFonts w:hint="eastAsia" w:ascii="宋体" w:hAnsi="宋体" w:eastAsia="宋体" w:cs="宋体"/>
          <w:color w:val="auto"/>
          <w:sz w:val="24"/>
          <w:highlight w:val="none"/>
          <w:u w:val="single"/>
        </w:rPr>
        <w:t xml:space="preserve"> </w:t>
      </w:r>
      <w:bookmarkStart w:id="134" w:name="lvbzj"/>
      <w:r>
        <w:rPr>
          <w:rFonts w:hint="eastAsia" w:ascii="宋体" w:hAnsi="宋体" w:eastAsia="宋体" w:cs="宋体"/>
          <w:color w:val="auto"/>
          <w:sz w:val="24"/>
          <w:highlight w:val="none"/>
          <w:u w:val="single"/>
        </w:rPr>
        <w:t xml:space="preserve">  </w:t>
      </w:r>
      <w:bookmarkEnd w:id="134"/>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元作为本合同的履约保证金。履约保证金可以以支票、汇票、本票或者金融机构、担保机构出具的保函等非现金形式提交。</w:t>
      </w:r>
    </w:p>
    <w:p w14:paraId="7288E296">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 甲方付清全部合同金额的同时返还履约保证金。逾期退还的，应当支付逾期利息，且逾期利息的利率不得低于合同订立时1年期贷款市场报价利率。</w:t>
      </w:r>
    </w:p>
    <w:p w14:paraId="7F53D61E">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 乙方不履行与甲方订立的合同的，履约保证金不予退还。</w:t>
      </w:r>
    </w:p>
    <w:p w14:paraId="2736855A">
      <w:pPr>
        <w:pStyle w:val="558"/>
        <w:spacing w:line="440" w:lineRule="exact"/>
        <w:ind w:firstLine="47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四、转包或分包</w:t>
      </w:r>
    </w:p>
    <w:p w14:paraId="515DC511">
      <w:pPr>
        <w:pStyle w:val="558"/>
        <w:widowControl/>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 本合同范围的服务，应由乙方直接提供，不得转让他人提供；</w:t>
      </w:r>
    </w:p>
    <w:p w14:paraId="7C1E525A">
      <w:pPr>
        <w:pStyle w:val="558"/>
        <w:widowControl/>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 如有转包和分包行为，甲方有权给予终止合同。</w:t>
      </w:r>
    </w:p>
    <w:p w14:paraId="1B05DD08">
      <w:pPr>
        <w:pStyle w:val="558"/>
        <w:spacing w:line="44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五、服务期限：</w:t>
      </w:r>
    </w:p>
    <w:p w14:paraId="01DD7B79">
      <w:pPr>
        <w:pStyle w:val="558"/>
        <w:spacing w:line="440" w:lineRule="exact"/>
        <w:ind w:firstLine="470"/>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服务期限为</w:t>
      </w:r>
      <w:r>
        <w:rPr>
          <w:rFonts w:hint="eastAsia" w:ascii="宋体" w:hAnsi="宋体" w:eastAsia="宋体" w:cs="宋体"/>
          <w:color w:val="auto"/>
          <w:sz w:val="24"/>
          <w:highlight w:val="none"/>
          <w:u w:val="single"/>
        </w:rPr>
        <w:t xml:space="preserve"> </w:t>
      </w:r>
      <w:bookmarkStart w:id="135" w:name="fuwuqixian"/>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bookmarkEnd w:id="135"/>
    </w:p>
    <w:p w14:paraId="79FFEC39">
      <w:pPr>
        <w:pStyle w:val="558"/>
        <w:spacing w:line="44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六、货款支付</w:t>
      </w:r>
    </w:p>
    <w:p w14:paraId="7D7867D5">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 </w:t>
      </w:r>
      <w:r>
        <w:rPr>
          <w:rFonts w:hint="eastAsia" w:ascii="宋体" w:hAnsi="宋体" w:eastAsia="宋体" w:cs="宋体"/>
          <w:color w:val="auto"/>
          <w:sz w:val="24"/>
          <w:highlight w:val="none"/>
        </w:rPr>
        <w:t>结付程序：</w:t>
      </w:r>
    </w:p>
    <w:p w14:paraId="240980D4">
      <w:pPr>
        <w:pStyle w:val="586"/>
        <w:spacing w:line="440" w:lineRule="exact"/>
        <w:ind w:firstLine="500"/>
        <w:rPr>
          <w:rFonts w:hint="eastAsia" w:ascii="宋体" w:hAnsi="宋体" w:eastAsia="宋体" w:cs="宋体"/>
          <w:iCs/>
          <w:color w:val="auto"/>
          <w:spacing w:val="7"/>
          <w:highlight w:val="none"/>
          <w:u w:val="single"/>
        </w:rPr>
      </w:pPr>
      <w:r>
        <w:rPr>
          <w:rFonts w:hint="eastAsia" w:ascii="宋体" w:hAnsi="宋体" w:eastAsia="宋体" w:cs="宋体"/>
          <w:iCs/>
          <w:color w:val="auto"/>
          <w:spacing w:val="7"/>
          <w:highlight w:val="none"/>
          <w:u w:val="single"/>
        </w:rPr>
        <w:t xml:space="preserve">   </w:t>
      </w:r>
      <w:r>
        <w:rPr>
          <w:rFonts w:hint="eastAsia" w:ascii="宋体" w:hAnsi="宋体" w:eastAsia="宋体" w:cs="宋体"/>
          <w:iCs/>
          <w:color w:val="auto"/>
          <w:spacing w:val="7"/>
          <w:highlight w:val="none"/>
          <w:u w:val="single"/>
          <w:lang w:val="en-US" w:eastAsia="zh-CN"/>
        </w:rPr>
        <w:t xml:space="preserve">                </w:t>
      </w:r>
      <w:r>
        <w:rPr>
          <w:rFonts w:hint="eastAsia" w:ascii="宋体" w:hAnsi="宋体" w:eastAsia="宋体" w:cs="宋体"/>
          <w:iCs/>
          <w:color w:val="auto"/>
          <w:spacing w:val="7"/>
          <w:highlight w:val="none"/>
          <w:u w:val="single"/>
        </w:rPr>
        <w:t xml:space="preserve">  </w:t>
      </w:r>
    </w:p>
    <w:p w14:paraId="60C6ABA6">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6.2结付期限：</w:t>
      </w:r>
    </w:p>
    <w:p w14:paraId="3F2524F3">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   </w:t>
      </w:r>
      <w:r>
        <w:rPr>
          <w:rFonts w:hint="eastAsia" w:ascii="宋体" w:hAnsi="宋体" w:eastAsia="宋体" w:cs="宋体"/>
          <w:i/>
          <w:color w:val="auto"/>
          <w:spacing w:val="7"/>
          <w:highlight w:val="none"/>
          <w:u w:val="single"/>
          <w:lang w:val="en-US" w:eastAsia="zh-CN"/>
        </w:rPr>
        <w:t xml:space="preserve">              </w:t>
      </w:r>
      <w:r>
        <w:rPr>
          <w:rFonts w:hint="eastAsia" w:ascii="宋体" w:hAnsi="宋体" w:eastAsia="宋体" w:cs="宋体"/>
          <w:i/>
          <w:color w:val="auto"/>
          <w:spacing w:val="7"/>
          <w:highlight w:val="none"/>
          <w:u w:val="single"/>
        </w:rPr>
        <w:t xml:space="preserve">   </w:t>
      </w:r>
    </w:p>
    <w:p w14:paraId="764E9D09">
      <w:pPr>
        <w:pStyle w:val="558"/>
        <w:spacing w:line="440" w:lineRule="exact"/>
        <w:ind w:firstLine="47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6.3乙方收款账户：</w:t>
      </w:r>
      <w:r>
        <w:rPr>
          <w:rFonts w:hint="eastAsia" w:ascii="宋体" w:hAnsi="宋体" w:eastAsia="宋体" w:cs="宋体"/>
          <w:color w:val="auto"/>
          <w:sz w:val="24"/>
          <w:highlight w:val="none"/>
          <w:u w:val="single"/>
        </w:rPr>
        <w:t xml:space="preserve"> </w:t>
      </w:r>
      <w:bookmarkStart w:id="136" w:name="yifangzhanghao"/>
      <w:r>
        <w:rPr>
          <w:rFonts w:hint="eastAsia" w:ascii="宋体" w:hAnsi="宋体" w:eastAsia="宋体" w:cs="宋体"/>
          <w:color w:val="auto"/>
          <w:sz w:val="24"/>
          <w:highlight w:val="none"/>
          <w:u w:val="single"/>
        </w:rPr>
        <w:t xml:space="preserve">                                     </w:t>
      </w:r>
      <w:bookmarkEnd w:id="136"/>
      <w:r>
        <w:rPr>
          <w:rFonts w:hint="eastAsia" w:ascii="宋体" w:hAnsi="宋体" w:eastAsia="宋体" w:cs="宋体"/>
          <w:color w:val="auto"/>
          <w:sz w:val="24"/>
          <w:highlight w:val="none"/>
          <w:u w:val="single"/>
        </w:rPr>
        <w:t xml:space="preserve"> </w:t>
      </w:r>
    </w:p>
    <w:p w14:paraId="08A7AF17">
      <w:pPr>
        <w:pStyle w:val="55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6.4甲方合同款支付方式：</w:t>
      </w:r>
      <w:r>
        <w:rPr>
          <w:rFonts w:hint="eastAsia" w:ascii="宋体" w:hAnsi="宋体" w:eastAsia="宋体" w:cs="宋体"/>
          <w:color w:val="auto"/>
          <w:highlight w:val="none"/>
          <w:u w:val="single"/>
          <w:lang w:eastAsia="zh"/>
        </w:rPr>
        <w:t>银行转账</w:t>
      </w:r>
      <w:r>
        <w:rPr>
          <w:rFonts w:hint="eastAsia" w:ascii="宋体" w:hAnsi="宋体" w:eastAsia="宋体" w:cs="宋体"/>
          <w:color w:val="auto"/>
          <w:highlight w:val="none"/>
        </w:rPr>
        <w:t>（若乙方为中小企业，不得强制其接受非现金支付方式），</w:t>
      </w:r>
      <w:r>
        <w:rPr>
          <w:rFonts w:hint="eastAsia" w:ascii="宋体" w:hAnsi="宋体" w:eastAsia="宋体" w:cs="宋体"/>
          <w:color w:val="auto"/>
          <w:highlight w:val="none"/>
          <w:lang w:eastAsia="zh"/>
        </w:rPr>
        <w:t>非现金支付产生的财务成本由乙方承担。</w:t>
      </w:r>
    </w:p>
    <w:p w14:paraId="76D56805">
      <w:pPr>
        <w:pStyle w:val="558"/>
        <w:tabs>
          <w:tab w:val="center" w:pos="5131"/>
        </w:tabs>
        <w:spacing w:line="44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七、税</w:t>
      </w:r>
    </w:p>
    <w:p w14:paraId="2FD46056">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 本合同执行中相关的一切税费均由乙方负担。</w:t>
      </w:r>
    </w:p>
    <w:p w14:paraId="406A70BF">
      <w:pPr>
        <w:pStyle w:val="558"/>
        <w:spacing w:line="440" w:lineRule="exac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八、</w:t>
      </w:r>
      <w:r>
        <w:rPr>
          <w:rFonts w:hint="eastAsia" w:ascii="宋体" w:hAnsi="宋体" w:eastAsia="宋体" w:cs="宋体"/>
          <w:b/>
          <w:color w:val="auto"/>
          <w:sz w:val="24"/>
          <w:highlight w:val="none"/>
        </w:rPr>
        <w:t>管理事项</w:t>
      </w:r>
    </w:p>
    <w:p w14:paraId="056542E2">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按招标内容要求以及响应单位的承诺项目阐述。</w:t>
      </w:r>
    </w:p>
    <w:p w14:paraId="209BEDBD">
      <w:pPr>
        <w:pStyle w:val="558"/>
        <w:spacing w:line="44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九、双方权利义务</w:t>
      </w:r>
    </w:p>
    <w:p w14:paraId="7127821C">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9.1 甲方以书面形式提前告知乙方所需交通劝导服务人员的数量、录用条件、</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期限、工作岗位和地点、工作时间和休息时间、劳动报酬和福利待遇，乙方根据甲方的要求和条件提供服务。</w:t>
      </w:r>
    </w:p>
    <w:p w14:paraId="61B922A0">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9.2 乙方</w:t>
      </w:r>
      <w:r>
        <w:rPr>
          <w:rFonts w:hint="eastAsia" w:ascii="宋体" w:hAnsi="宋体" w:eastAsia="宋体" w:cs="宋体"/>
          <w:color w:val="auto"/>
          <w:highlight w:val="none"/>
          <w:lang w:val="en-US" w:eastAsia="zh-CN"/>
        </w:rPr>
        <w:t>投入本项目</w:t>
      </w:r>
      <w:r>
        <w:rPr>
          <w:rFonts w:hint="eastAsia" w:ascii="宋体" w:hAnsi="宋体" w:eastAsia="宋体" w:cs="宋体"/>
          <w:color w:val="auto"/>
          <w:highlight w:val="none"/>
        </w:rPr>
        <w:t>的交通劝导服务人员须服从甲方各项工作纪律和考核要求，甲方有权要求乙方更换违纪人员。甲方对所</w:t>
      </w:r>
      <w:r>
        <w:rPr>
          <w:rFonts w:hint="eastAsia" w:ascii="宋体" w:hAnsi="宋体" w:eastAsia="宋体" w:cs="宋体"/>
          <w:color w:val="auto"/>
          <w:highlight w:val="none"/>
          <w:lang w:val="en-US" w:eastAsia="zh-CN"/>
        </w:rPr>
        <w:t>提供</w:t>
      </w:r>
      <w:r>
        <w:rPr>
          <w:rFonts w:hint="eastAsia" w:ascii="宋体" w:hAnsi="宋体" w:eastAsia="宋体" w:cs="宋体"/>
          <w:color w:val="auto"/>
          <w:highlight w:val="none"/>
        </w:rPr>
        <w:t>的人员进行出勤管理，并负责</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人员的考勤统计和薪资计算。</w:t>
      </w:r>
    </w:p>
    <w:p w14:paraId="465A0FC0">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9.3 甲方对乙方违反本协议约定或国家规定的行为，有劝阻和要求整改的权利。</w:t>
      </w:r>
    </w:p>
    <w:p w14:paraId="247EEFD9">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9.4 乙方应提供与交通劝导服务人员签订的劳动合同书样本给甲方备案。乙方必须根据《劳动合同法》的有关规定与</w:t>
      </w:r>
      <w:r>
        <w:rPr>
          <w:rFonts w:hint="eastAsia" w:ascii="宋体" w:hAnsi="宋体" w:eastAsia="宋体" w:cs="宋体"/>
          <w:color w:val="auto"/>
          <w:highlight w:val="none"/>
          <w:lang w:val="en-US" w:eastAsia="zh-CN"/>
        </w:rPr>
        <w:t>投入本项目</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人员签订 2 年以上的劳动合同，明确劳动关系，并配合甲方进行人员的管理。乙方应在交通劝导服务人员到岗后，向甲方提供盖有乙方公章的服务人员名册给甲方备案。</w:t>
      </w:r>
    </w:p>
    <w:p w14:paraId="3DB4C25B">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9.5 乙方应保证所提供的交通劝导服务人员的基本资料</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包括但不限于身份证、学历证书、户籍资料等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是真实的，甲方如发现有不真实的事实，可以将该交通劝导人员退回，乙方承担全部后续处理责任，以上资料乙方应在交通劝导人员到岗时随人员名册一同提供给甲方。</w:t>
      </w:r>
    </w:p>
    <w:p w14:paraId="07AEB6E4">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9.6 乙方提供招聘服务时，应根据甲方的录用条件和其他要求组织招聘，应聘者经过甲方笔试、面试及医院体检合格后，才能到甲方上岗工作。</w:t>
      </w:r>
    </w:p>
    <w:p w14:paraId="2E24C4F6">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9.7 乙方应对</w:t>
      </w:r>
      <w:r>
        <w:rPr>
          <w:rFonts w:hint="eastAsia" w:ascii="宋体" w:hAnsi="宋体" w:eastAsia="宋体" w:cs="宋体"/>
          <w:color w:val="auto"/>
          <w:highlight w:val="none"/>
          <w:lang w:val="en-US" w:eastAsia="zh-CN"/>
        </w:rPr>
        <w:t>投入本项目</w:t>
      </w:r>
      <w:r>
        <w:rPr>
          <w:rFonts w:hint="eastAsia" w:ascii="宋体" w:hAnsi="宋体" w:eastAsia="宋体" w:cs="宋体"/>
          <w:color w:val="auto"/>
          <w:highlight w:val="none"/>
        </w:rPr>
        <w:t>的交通劝导人员进行遵纪守法、职业道德、安全等必要的教育。对甲方按本协议约定，违反甲方管理规章制度，符合劳动合同法有过错解除劳动合同规定退回乙方的人员，由乙方承担后续处理的全部责任。</w:t>
      </w:r>
    </w:p>
    <w:p w14:paraId="28376573">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9.8 乙方应按本协议约定，按照张家港市人力资源和社会保障部门的规定，为</w:t>
      </w:r>
      <w:r>
        <w:rPr>
          <w:rFonts w:hint="eastAsia" w:ascii="宋体" w:hAnsi="宋体" w:eastAsia="宋体" w:cs="宋体"/>
          <w:color w:val="auto"/>
          <w:highlight w:val="none"/>
          <w:lang w:val="en-US" w:eastAsia="zh-CN"/>
        </w:rPr>
        <w:t>服务人员</w:t>
      </w:r>
      <w:r>
        <w:rPr>
          <w:rFonts w:hint="eastAsia" w:ascii="宋体" w:hAnsi="宋体" w:eastAsia="宋体" w:cs="宋体"/>
          <w:color w:val="auto"/>
          <w:highlight w:val="none"/>
        </w:rPr>
        <w:t>缴纳社会保险。</w:t>
      </w:r>
    </w:p>
    <w:p w14:paraId="7A25CE66">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9.9 乙方对于甲方按本协议约定可以退回的</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人员，要及时做好善后处理工作，不得因处理不当造成对甲方正常工作的影响。如因乙方措施不力或放任不管导致对甲方工作产生影响，甲方有权向乙方进行索赔及要求处理。</w:t>
      </w:r>
    </w:p>
    <w:p w14:paraId="26ECBFE7">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9.10 乙方应严格按本协议为甲方提供约定的服务，对服务过程中出现的问题主动及时和甲方沟通，并提出改善方案，不断提升服务质量。</w:t>
      </w:r>
    </w:p>
    <w:p w14:paraId="369D6EB1">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9.11 根据甲方的实际情况，甲方可以自主向乙方退回部分</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人员，须提前30天通知乙方，由乙方在30日内另行安置，若需支付相应费用的，由乙方全部承担。</w:t>
      </w:r>
    </w:p>
    <w:p w14:paraId="233BFF33">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9.12 乙方</w:t>
      </w:r>
      <w:r>
        <w:rPr>
          <w:rFonts w:hint="eastAsia" w:ascii="宋体" w:hAnsi="宋体" w:eastAsia="宋体" w:cs="宋体"/>
          <w:color w:val="auto"/>
          <w:highlight w:val="none"/>
          <w:lang w:val="en-US" w:eastAsia="zh-CN"/>
        </w:rPr>
        <w:t>投入本项目</w:t>
      </w:r>
      <w:r>
        <w:rPr>
          <w:rFonts w:hint="eastAsia" w:ascii="宋体" w:hAnsi="宋体" w:eastAsia="宋体" w:cs="宋体"/>
          <w:color w:val="auto"/>
          <w:highlight w:val="none"/>
        </w:rPr>
        <w:t>的交通劝导人员条件如下：</w:t>
      </w:r>
    </w:p>
    <w:p w14:paraId="4729E1B4">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（1）乙方</w:t>
      </w:r>
      <w:r>
        <w:rPr>
          <w:rFonts w:hint="eastAsia" w:ascii="宋体" w:hAnsi="宋体" w:eastAsia="宋体" w:cs="宋体"/>
          <w:color w:val="auto"/>
          <w:highlight w:val="none"/>
          <w:lang w:val="en-US" w:eastAsia="zh-CN"/>
        </w:rPr>
        <w:t>投入本项目</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服务人员</w:t>
      </w:r>
      <w:r>
        <w:rPr>
          <w:rFonts w:hint="eastAsia" w:ascii="宋体" w:hAnsi="宋体" w:eastAsia="宋体" w:cs="宋体"/>
          <w:color w:val="auto"/>
          <w:highlight w:val="none"/>
        </w:rPr>
        <w:t>年龄</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w:t>
      </w: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（50周岁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w:t>
      </w: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的人员比例不得超过总人数的</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0%）以下并有交通劝导经验的交通劝导人员确保服务质量。</w:t>
      </w:r>
    </w:p>
    <w:p w14:paraId="33842DB3">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（2）交通劝导员的招聘、补充、调整由乙方负责。</w:t>
      </w:r>
    </w:p>
    <w:p w14:paraId="292C1B79">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（3）在遇到紧急情况时，乙方有责任按照甲方服务需求即时协助处理。</w:t>
      </w:r>
    </w:p>
    <w:p w14:paraId="067119CF">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（4）交通劝导员参与执勤管理时应统一穿着甲方认可的制服，并配备相应统一的反光背心、白手套、口哨等装备。</w:t>
      </w:r>
    </w:p>
    <w:p w14:paraId="1F45A675">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（5）对因引起群众投诉、不适合甲方管理服务需求等原因甲方要求更换交通劝导员的，乙方应予配合。</w:t>
      </w:r>
    </w:p>
    <w:p w14:paraId="1A218CE3">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9.13 沟通与交流：乙方和甲方每周进行一次工作回顾，对甲方针对服务事项和工作质量提出的相关意见落实调整措施。</w:t>
      </w:r>
    </w:p>
    <w:p w14:paraId="256F955A">
      <w:pPr>
        <w:pStyle w:val="558"/>
        <w:spacing w:line="44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9.14 免责说明：所有</w:t>
      </w:r>
      <w:r>
        <w:rPr>
          <w:rFonts w:hint="eastAsia" w:ascii="宋体" w:hAnsi="宋体" w:eastAsia="宋体" w:cs="宋体"/>
          <w:color w:val="auto"/>
          <w:sz w:val="24"/>
          <w:highlight w:val="none"/>
          <w:lang w:val="en-US" w:eastAsia="zh-CN"/>
        </w:rPr>
        <w:t>投入本项目</w:t>
      </w:r>
      <w:r>
        <w:rPr>
          <w:rFonts w:hint="eastAsia" w:ascii="宋体" w:hAnsi="宋体" w:eastAsia="宋体" w:cs="宋体"/>
          <w:color w:val="auto"/>
          <w:sz w:val="24"/>
          <w:highlight w:val="none"/>
        </w:rPr>
        <w:t>的交通劝导员在</w:t>
      </w:r>
      <w:r>
        <w:rPr>
          <w:rFonts w:hint="eastAsia" w:ascii="宋体" w:hAnsi="宋体" w:eastAsia="宋体" w:cs="宋体"/>
          <w:color w:val="auto"/>
          <w:sz w:val="24"/>
          <w:highlight w:val="none"/>
          <w:lang w:val="en-US" w:eastAsia="zh-CN"/>
        </w:rPr>
        <w:t>服</w:t>
      </w:r>
      <w:r>
        <w:rPr>
          <w:rFonts w:hint="eastAsia" w:ascii="宋体" w:hAnsi="宋体" w:cs="宋体"/>
          <w:color w:val="auto"/>
          <w:sz w:val="24"/>
          <w:highlight w:val="none"/>
          <w:lang w:val="en-US" w:eastAsia="zh-CN"/>
        </w:rPr>
        <w:t>务</w:t>
      </w:r>
      <w:r>
        <w:rPr>
          <w:rFonts w:hint="eastAsia" w:ascii="宋体" w:hAnsi="宋体" w:eastAsia="宋体" w:cs="宋体"/>
          <w:color w:val="auto"/>
          <w:sz w:val="24"/>
          <w:highlight w:val="none"/>
        </w:rPr>
        <w:t>期</w:t>
      </w:r>
      <w:r>
        <w:rPr>
          <w:rFonts w:hint="eastAsia" w:ascii="宋体" w:hAnsi="宋体" w:cs="宋体"/>
          <w:color w:val="auto"/>
          <w:sz w:val="24"/>
          <w:highlight w:val="none"/>
          <w:lang w:val="en-US" w:eastAsia="zh-CN"/>
        </w:rPr>
        <w:t>限</w:t>
      </w:r>
      <w:r>
        <w:rPr>
          <w:rFonts w:hint="eastAsia" w:ascii="宋体" w:hAnsi="宋体" w:eastAsia="宋体" w:cs="宋体"/>
          <w:color w:val="auto"/>
          <w:sz w:val="24"/>
          <w:highlight w:val="none"/>
        </w:rPr>
        <w:t>内出现的交通意外、交通事故或因工作遭遇抗阻受到的人身伤害均由乙方具体负责，与甲方无关。若甲方提前垫付的，则甲方有权向乙方予以追偿。</w:t>
      </w:r>
    </w:p>
    <w:p w14:paraId="531D9BE9">
      <w:pPr>
        <w:pStyle w:val="558"/>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十、服务质量及验收</w:t>
      </w:r>
    </w:p>
    <w:p w14:paraId="038CFB89">
      <w:pPr>
        <w:pStyle w:val="558"/>
        <w:widowControl/>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 乙方提供的管理服务应达到投标文件所约定的目标。对达标的理解有异议的，由双方共同认可的第三方予以评定。</w:t>
      </w:r>
    </w:p>
    <w:p w14:paraId="5B75D2BC">
      <w:pPr>
        <w:pStyle w:val="558"/>
        <w:widowControl/>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 本项目采用分期验收，根据实际情况成立验收小组，验收小组制定方案，对照采购文件、合同、考核细则、乙方提供的服务资料、考核结果进行验收。</w:t>
      </w:r>
    </w:p>
    <w:p w14:paraId="356075DD">
      <w:pPr>
        <w:pStyle w:val="558"/>
        <w:widowControl/>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10.3 甲方将依据《关于印发&lt;江苏省政府采购履约验收管理办法&gt;的通知》苏财规【2024】7号文件的相关要求组织验收。</w:t>
      </w:r>
    </w:p>
    <w:p w14:paraId="0358A4B2">
      <w:pPr>
        <w:pStyle w:val="558"/>
        <w:spacing w:line="440" w:lineRule="exac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十一、</w:t>
      </w:r>
      <w:r>
        <w:rPr>
          <w:rFonts w:hint="eastAsia" w:ascii="宋体" w:hAnsi="宋体" w:eastAsia="宋体" w:cs="宋体"/>
          <w:b/>
          <w:color w:val="auto"/>
          <w:sz w:val="24"/>
          <w:highlight w:val="none"/>
        </w:rPr>
        <w:t>违约责任</w:t>
      </w:r>
    </w:p>
    <w:p w14:paraId="352296E1">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11.1甲方违反合同的约定，使乙方未完成规定管理目标，乙方有权要求甲方在一定期限内解决，逾期未解决的，乙方有权终止合同，造成乙方经济损失的，甲方给予乙方经济赔偿。</w:t>
      </w:r>
    </w:p>
    <w:p w14:paraId="6F00C439">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11.2甲方逾期办理合同款支付的,应当支付逾期利息，且逾期利息的利率不得低于合同订立时1年期贷款市场报价利率。</w:t>
      </w:r>
    </w:p>
    <w:p w14:paraId="119B7AB0">
      <w:pPr>
        <w:pStyle w:val="560"/>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11.3乙方违反合同的约定，未能达到约定的管理目标，甲方有权要求乙方限期整改，逾期未整改的，甲方有权终止合同，造成甲方经济损失的，乙方给予甲方赔偿。</w:t>
      </w:r>
    </w:p>
    <w:p w14:paraId="12B409FD">
      <w:pPr>
        <w:pStyle w:val="558"/>
        <w:spacing w:line="440" w:lineRule="exact"/>
        <w:ind w:firstLine="472"/>
        <w:rPr>
          <w:rFonts w:hint="eastAsia" w:ascii="宋体" w:hAnsi="宋体" w:eastAsia="宋体" w:cs="宋体"/>
          <w:color w:val="auto"/>
          <w:sz w:val="24"/>
          <w:highlight w:val="none"/>
        </w:rPr>
      </w:pPr>
      <w:r>
        <w:rPr>
          <w:rFonts w:hint="eastAsia" w:ascii="宋体" w:hAnsi="宋体" w:eastAsia="宋体" w:cs="宋体"/>
          <w:color w:val="auto"/>
          <w:sz w:val="24"/>
          <w:highlight w:val="none"/>
        </w:rPr>
        <w:t>11.4 本合同生效后，甲乙双方任何一方无正当理由要求终止合同的，除双方签订补充协议外，责任方须按本合同及其补充协议的有关条款之规定承担违约责任，并应向对方支付合同金额10%的违约金。</w:t>
      </w:r>
    </w:p>
    <w:p w14:paraId="621CB47C">
      <w:pPr>
        <w:pStyle w:val="558"/>
        <w:spacing w:line="44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十二、不可抗力事件处理</w:t>
      </w:r>
    </w:p>
    <w:p w14:paraId="17E8EEEC">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12.1 在合同有效期内，任何一方因不可抗力事件导致不能履行合同，则合同履行期可延长，其延长期与不可抗力影响期相同。</w:t>
      </w:r>
    </w:p>
    <w:p w14:paraId="16E73C8C">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 不可抗力事件发生后，应立即通知对方，并寄送有关权威机构出具的证明。</w:t>
      </w:r>
    </w:p>
    <w:p w14:paraId="70EB4D1D">
      <w:pPr>
        <w:pStyle w:val="558"/>
        <w:spacing w:line="440" w:lineRule="exact"/>
        <w:ind w:firstLine="470"/>
        <w:rPr>
          <w:rFonts w:hint="eastAsia" w:ascii="宋体" w:hAnsi="宋体" w:eastAsia="宋体" w:cs="宋体"/>
          <w:color w:val="auto"/>
          <w:sz w:val="24"/>
          <w:highlight w:val="none"/>
        </w:rPr>
      </w:pPr>
      <w:r>
        <w:rPr>
          <w:rFonts w:hint="eastAsia" w:ascii="宋体" w:hAnsi="宋体" w:eastAsia="宋体" w:cs="宋体"/>
          <w:color w:val="auto"/>
          <w:sz w:val="24"/>
          <w:highlight w:val="none"/>
        </w:rPr>
        <w:t>12.3 不可抗力事件延续120天以上，双方应通过友好协商，确定是否继续履行合同。</w:t>
      </w:r>
      <w:r>
        <w:rPr>
          <w:rFonts w:hint="eastAsia" w:ascii="宋体" w:hAnsi="宋体" w:eastAsia="宋体" w:cs="宋体"/>
          <w:color w:val="auto"/>
          <w:sz w:val="24"/>
          <w:highlight w:val="none"/>
          <w:lang w:eastAsia="zh"/>
        </w:rPr>
        <w:t>如协商不成，任何一方有权单方解除合同，且不承担违约责任。</w:t>
      </w:r>
    </w:p>
    <w:p w14:paraId="2159319E">
      <w:pPr>
        <w:pStyle w:val="558"/>
        <w:spacing w:line="44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十三、诉讼</w:t>
      </w:r>
    </w:p>
    <w:p w14:paraId="6EBC13DE">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13.1 双方在执行合同中所发生的一切争议，应通过协商解决。如协商不成，可向合同签订地法院起诉，合同签订地在此约定为张家港市。</w:t>
      </w:r>
      <w:r>
        <w:rPr>
          <w:rFonts w:hint="eastAsia" w:ascii="宋体" w:hAnsi="宋体" w:eastAsia="宋体" w:cs="宋体"/>
          <w:color w:val="auto"/>
          <w:sz w:val="24"/>
          <w:highlight w:val="none"/>
          <w:lang w:eastAsia="zh"/>
        </w:rPr>
        <w:t>诉讼过程中，双方应继续履行不受争议影响的部分合同义务。</w:t>
      </w:r>
    </w:p>
    <w:p w14:paraId="749AD5D0">
      <w:pPr>
        <w:pStyle w:val="558"/>
        <w:spacing w:line="44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十四、合同其他文件</w:t>
      </w:r>
    </w:p>
    <w:p w14:paraId="7DA324B3">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 下列文件为本合同不可分割部分，与本合同具有同等效力。</w:t>
      </w:r>
      <w:r>
        <w:rPr>
          <w:rFonts w:hint="eastAsia" w:ascii="宋体" w:hAnsi="宋体" w:eastAsia="宋体" w:cs="宋体"/>
          <w:color w:val="auto"/>
          <w:sz w:val="24"/>
          <w:highlight w:val="none"/>
          <w:lang w:eastAsia="zh"/>
        </w:rPr>
        <w:t>文件冲突时以有利于实现环境保护目标为准。</w:t>
      </w:r>
    </w:p>
    <w:p w14:paraId="22EB7787">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(1)中标通知书；</w:t>
      </w:r>
    </w:p>
    <w:p w14:paraId="3BBA83B5">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(2)乙方方中标的投标书；</w:t>
      </w:r>
    </w:p>
    <w:p w14:paraId="5EFEB2BF">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(3)招标文件；</w:t>
      </w:r>
    </w:p>
    <w:p w14:paraId="6E4447F9">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(4)乙方在招投标过程中所作的其他承诺、声明、书面澄清等。</w:t>
      </w:r>
    </w:p>
    <w:p w14:paraId="6B8A6B9F">
      <w:pPr>
        <w:pStyle w:val="558"/>
        <w:spacing w:line="440" w:lineRule="exact"/>
        <w:ind w:firstLine="47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十五、合同生效及其他</w:t>
      </w:r>
    </w:p>
    <w:p w14:paraId="2DBFB663">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15.1合同经双方法定代表人</w:t>
      </w:r>
      <w:r>
        <w:rPr>
          <w:rFonts w:hint="eastAsia" w:ascii="宋体" w:hAnsi="宋体" w:eastAsia="宋体" w:cs="宋体"/>
          <w:bCs/>
          <w:color w:val="auto"/>
          <w:sz w:val="24"/>
          <w:highlight w:val="none"/>
        </w:rPr>
        <w:t>（或负责人）</w:t>
      </w:r>
      <w:r>
        <w:rPr>
          <w:rFonts w:hint="eastAsia" w:ascii="宋体" w:hAnsi="宋体" w:eastAsia="宋体" w:cs="宋体"/>
          <w:color w:val="auto"/>
          <w:sz w:val="24"/>
          <w:highlight w:val="none"/>
        </w:rPr>
        <w:t>或授权委托代表人签字并加盖单位公章后生效,生效后至张家港市政府采购管理中心备案。</w:t>
      </w:r>
    </w:p>
    <w:p w14:paraId="6FD92A1B">
      <w:pPr>
        <w:pStyle w:val="558"/>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 本合同未尽事宜，遵照《中华人民共和国民法典》合同编经甲乙双方协商一致可签订补充协议。</w:t>
      </w:r>
    </w:p>
    <w:p w14:paraId="554546F3">
      <w:pPr>
        <w:spacing w:line="420" w:lineRule="exact"/>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493F326">
      <w:pPr>
        <w:spacing w:line="420" w:lineRule="exact"/>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w:t>
      </w:r>
      <w:bookmarkStart w:id="137" w:name="jianshedanwei_2"/>
      <w:r>
        <w:rPr>
          <w:rFonts w:hint="eastAsia" w:ascii="宋体" w:hAnsi="宋体" w:eastAsia="宋体" w:cs="宋体"/>
          <w:color w:val="auto"/>
          <w:sz w:val="24"/>
          <w:szCs w:val="24"/>
          <w:highlight w:val="none"/>
        </w:rPr>
        <w:t xml:space="preserve">                </w:t>
      </w:r>
      <w:bookmarkEnd w:id="137"/>
      <w:r>
        <w:rPr>
          <w:rFonts w:hint="eastAsia" w:ascii="宋体" w:hAnsi="宋体" w:eastAsia="宋体" w:cs="宋体"/>
          <w:color w:val="auto"/>
          <w:sz w:val="24"/>
          <w:szCs w:val="24"/>
          <w:highlight w:val="none"/>
        </w:rPr>
        <w:t xml:space="preserve">        </w:t>
      </w:r>
    </w:p>
    <w:p w14:paraId="7F835A1E">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w:t>
      </w:r>
      <w:bookmarkStart w:id="138" w:name="jianshedanweiaddress"/>
      <w:r>
        <w:rPr>
          <w:rFonts w:hint="eastAsia" w:ascii="宋体" w:hAnsi="宋体" w:eastAsia="宋体" w:cs="宋体"/>
          <w:color w:val="auto"/>
          <w:sz w:val="24"/>
          <w:szCs w:val="24"/>
          <w:highlight w:val="none"/>
        </w:rPr>
        <w:t xml:space="preserve">               </w:t>
      </w:r>
      <w:bookmarkEnd w:id="138"/>
      <w:r>
        <w:rPr>
          <w:rFonts w:hint="eastAsia" w:ascii="宋体" w:hAnsi="宋体" w:eastAsia="宋体" w:cs="宋体"/>
          <w:color w:val="auto"/>
          <w:sz w:val="24"/>
          <w:szCs w:val="24"/>
          <w:highlight w:val="none"/>
        </w:rPr>
        <w:t xml:space="preserve">         </w:t>
      </w:r>
    </w:p>
    <w:p w14:paraId="49CE7A6B">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w:t>
      </w:r>
      <w:bookmarkStart w:id="139" w:name="jianshedanweifaren"/>
      <w:r>
        <w:rPr>
          <w:rFonts w:hint="eastAsia" w:ascii="宋体" w:hAnsi="宋体" w:eastAsia="宋体" w:cs="宋体"/>
          <w:color w:val="auto"/>
          <w:sz w:val="24"/>
          <w:szCs w:val="24"/>
          <w:highlight w:val="none"/>
        </w:rPr>
        <w:t xml:space="preserve">        </w:t>
      </w:r>
      <w:bookmarkEnd w:id="139"/>
    </w:p>
    <w:p w14:paraId="688BAEA5">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w:t>
      </w:r>
      <w:bookmarkStart w:id="140" w:name="jianshedanweifarentel"/>
      <w:r>
        <w:rPr>
          <w:rFonts w:hint="eastAsia" w:ascii="宋体" w:hAnsi="宋体" w:eastAsia="宋体" w:cs="宋体"/>
          <w:color w:val="auto"/>
          <w:sz w:val="24"/>
          <w:szCs w:val="24"/>
          <w:highlight w:val="none"/>
        </w:rPr>
        <w:t xml:space="preserve">                   </w:t>
      </w:r>
      <w:bookmarkEnd w:id="140"/>
      <w:r>
        <w:rPr>
          <w:rFonts w:hint="eastAsia" w:ascii="宋体" w:hAnsi="宋体" w:eastAsia="宋体" w:cs="宋体"/>
          <w:color w:val="auto"/>
          <w:sz w:val="24"/>
          <w:szCs w:val="24"/>
          <w:highlight w:val="none"/>
        </w:rPr>
        <w:t xml:space="preserve">  </w:t>
      </w:r>
    </w:p>
    <w:p w14:paraId="47527197">
      <w:pPr>
        <w:spacing w:line="420" w:lineRule="exact"/>
        <w:ind w:left="5850" w:hanging="5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w:t>
      </w:r>
      <w:bookmarkStart w:id="141" w:name="jiafangqiandingdate"/>
      <w:r>
        <w:rPr>
          <w:rFonts w:hint="eastAsia" w:ascii="宋体" w:hAnsi="宋体" w:eastAsia="宋体" w:cs="宋体"/>
          <w:color w:val="auto"/>
          <w:sz w:val="24"/>
          <w:szCs w:val="24"/>
          <w:highlight w:val="none"/>
        </w:rPr>
        <w:t xml:space="preserve">     年    月  日</w:t>
      </w:r>
      <w:bookmarkEnd w:id="141"/>
      <w:r>
        <w:rPr>
          <w:rFonts w:hint="eastAsia" w:ascii="宋体" w:hAnsi="宋体" w:eastAsia="宋体" w:cs="宋体"/>
          <w:color w:val="auto"/>
          <w:sz w:val="24"/>
          <w:szCs w:val="24"/>
          <w:highlight w:val="none"/>
        </w:rPr>
        <w:t xml:space="preserve">   </w:t>
      </w:r>
      <w:bookmarkEnd w:id="123"/>
    </w:p>
    <w:p w14:paraId="25B1CCD3">
      <w:pPr>
        <w:spacing w:line="420" w:lineRule="exact"/>
        <w:ind w:left="5850" w:hanging="5640"/>
        <w:rPr>
          <w:rFonts w:hint="eastAsia" w:ascii="宋体" w:hAnsi="宋体" w:eastAsia="宋体" w:cs="宋体"/>
          <w:color w:val="auto"/>
          <w:sz w:val="24"/>
          <w:szCs w:val="24"/>
          <w:highlight w:val="none"/>
        </w:rPr>
      </w:pPr>
    </w:p>
    <w:p w14:paraId="396FCC5D">
      <w:pPr>
        <w:spacing w:line="420" w:lineRule="exact"/>
        <w:ind w:left="58" w:firstLine="1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bookmarkStart w:id="142" w:name="zhongbiaodanweiname_2"/>
      <w:r>
        <w:rPr>
          <w:rFonts w:hint="eastAsia" w:ascii="宋体" w:hAnsi="宋体" w:eastAsia="宋体" w:cs="宋体"/>
          <w:color w:val="auto"/>
          <w:sz w:val="24"/>
          <w:szCs w:val="24"/>
          <w:highlight w:val="none"/>
        </w:rPr>
        <w:t xml:space="preserve">                     </w:t>
      </w:r>
      <w:bookmarkEnd w:id="142"/>
    </w:p>
    <w:p w14:paraId="140B36B7">
      <w:pPr>
        <w:spacing w:line="420" w:lineRule="exact"/>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bookmarkStart w:id="143" w:name="zhongbiaodanweiaddress"/>
      <w:r>
        <w:rPr>
          <w:rFonts w:hint="eastAsia" w:ascii="宋体" w:hAnsi="宋体" w:eastAsia="宋体" w:cs="宋体"/>
          <w:color w:val="auto"/>
          <w:sz w:val="24"/>
          <w:szCs w:val="24"/>
          <w:highlight w:val="none"/>
        </w:rPr>
        <w:t xml:space="preserve">              </w:t>
      </w:r>
      <w:bookmarkEnd w:id="143"/>
    </w:p>
    <w:p w14:paraId="1080E966">
      <w:pPr>
        <w:spacing w:line="420" w:lineRule="exact"/>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bCs/>
          <w:color w:val="auto"/>
          <w:sz w:val="24"/>
          <w:szCs w:val="24"/>
          <w:highlight w:val="none"/>
        </w:rPr>
        <w:t>（或负责人）</w:t>
      </w:r>
      <w:r>
        <w:rPr>
          <w:rFonts w:hint="eastAsia" w:ascii="宋体" w:hAnsi="宋体" w:eastAsia="宋体" w:cs="宋体"/>
          <w:color w:val="auto"/>
          <w:sz w:val="24"/>
          <w:szCs w:val="24"/>
          <w:highlight w:val="none"/>
        </w:rPr>
        <w:t>或授权代表：</w:t>
      </w:r>
      <w:bookmarkStart w:id="144" w:name="zhongbiaodanweifaren"/>
      <w:r>
        <w:rPr>
          <w:rFonts w:hint="eastAsia" w:ascii="宋体" w:hAnsi="宋体" w:eastAsia="宋体" w:cs="宋体"/>
          <w:color w:val="auto"/>
          <w:sz w:val="24"/>
          <w:szCs w:val="24"/>
          <w:highlight w:val="none"/>
        </w:rPr>
        <w:t xml:space="preserve">               </w:t>
      </w:r>
      <w:bookmarkEnd w:id="144"/>
      <w:r>
        <w:rPr>
          <w:rFonts w:hint="eastAsia" w:ascii="宋体" w:hAnsi="宋体" w:eastAsia="宋体" w:cs="宋体"/>
          <w:color w:val="auto"/>
          <w:sz w:val="24"/>
          <w:szCs w:val="24"/>
          <w:highlight w:val="none"/>
        </w:rPr>
        <w:t xml:space="preserve"> </w:t>
      </w:r>
    </w:p>
    <w:p w14:paraId="504660FD">
      <w:pPr>
        <w:spacing w:line="420" w:lineRule="exact"/>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bookmarkStart w:id="145" w:name="zhongbiaodanweifarentel"/>
      <w:r>
        <w:rPr>
          <w:rFonts w:hint="eastAsia" w:ascii="宋体" w:hAnsi="宋体" w:eastAsia="宋体" w:cs="宋体"/>
          <w:color w:val="auto"/>
          <w:sz w:val="24"/>
          <w:szCs w:val="24"/>
          <w:highlight w:val="none"/>
        </w:rPr>
        <w:t xml:space="preserve">                 </w:t>
      </w:r>
      <w:bookmarkEnd w:id="145"/>
    </w:p>
    <w:p w14:paraId="5C0A3572">
      <w:pPr>
        <w:spacing w:line="420" w:lineRule="exact"/>
        <w:ind w:left="5850" w:hanging="5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w:t>
      </w:r>
      <w:bookmarkStart w:id="146" w:name="yifangqiandingdate"/>
      <w:r>
        <w:rPr>
          <w:rFonts w:hint="eastAsia" w:ascii="宋体" w:hAnsi="宋体" w:eastAsia="宋体" w:cs="宋体"/>
          <w:color w:val="auto"/>
          <w:sz w:val="24"/>
          <w:szCs w:val="24"/>
          <w:highlight w:val="none"/>
        </w:rPr>
        <w:t xml:space="preserve">     年    月  日</w:t>
      </w:r>
      <w:bookmarkEnd w:id="122"/>
      <w:bookmarkEnd w:id="146"/>
    </w:p>
    <w:p w14:paraId="76F8DCB6">
      <w:pPr>
        <w:spacing w:line="420" w:lineRule="exact"/>
        <w:ind w:left="5850" w:hanging="5640"/>
        <w:rPr>
          <w:rFonts w:hint="eastAsia" w:ascii="宋体" w:hAnsi="宋体" w:eastAsia="宋体" w:cs="宋体"/>
          <w:color w:val="auto"/>
          <w:sz w:val="24"/>
          <w:szCs w:val="24"/>
          <w:highlight w:val="none"/>
        </w:rPr>
      </w:pPr>
    </w:p>
    <w:p w14:paraId="1AF8DBE1">
      <w:pPr>
        <w:pStyle w:val="573"/>
        <w:spacing w:line="440" w:lineRule="exact"/>
        <w:ind w:left="0" w:leftChars="0" w:firstLine="200" w:firstLineChars="0"/>
        <w:contextualSpacing/>
        <w:outlineLvl w:val="9"/>
        <w:rPr>
          <w:rStyle w:val="653"/>
          <w:rFonts w:hint="eastAsia" w:ascii="宋体" w:hAnsi="宋体" w:eastAsia="宋体" w:cs="Courier New"/>
          <w:color w:val="auto"/>
          <w:highlight w:val="none"/>
          <w:lang w:eastAsia="zh-CN"/>
        </w:rPr>
      </w:pPr>
      <w:r>
        <w:rPr>
          <w:rStyle w:val="653"/>
          <w:rFonts w:ascii="宋体" w:hAnsi="宋体" w:cs="Courier New"/>
          <w:color w:val="auto"/>
          <w:highlight w:val="none"/>
        </w:rPr>
        <w:t>采购代理机构：</w:t>
      </w:r>
      <w:r>
        <w:rPr>
          <w:rStyle w:val="653"/>
          <w:rFonts w:hint="eastAsia" w:ascii="宋体" w:hAnsi="宋体" w:eastAsia="宋体" w:cs="Courier New"/>
          <w:color w:val="auto"/>
          <w:highlight w:val="none"/>
          <w:lang w:eastAsia="zh-CN"/>
        </w:rPr>
        <w:t>张家港华招达招投标代理有限公司</w:t>
      </w:r>
    </w:p>
    <w:p w14:paraId="6A349250">
      <w:pPr>
        <w:pStyle w:val="573"/>
        <w:spacing w:line="440" w:lineRule="exact"/>
        <w:ind w:left="0" w:leftChars="0" w:firstLine="218" w:firstLineChars="91"/>
        <w:contextualSpacing/>
        <w:outlineLvl w:val="9"/>
        <w:rPr>
          <w:rFonts w:hint="eastAsia" w:ascii="宋体" w:hAnsi="宋体"/>
          <w:color w:val="auto"/>
          <w:sz w:val="24"/>
          <w:szCs w:val="24"/>
          <w:highlight w:val="none"/>
          <w:lang w:val="en-US" w:eastAsia="zh-CN"/>
        </w:rPr>
      </w:pPr>
      <w:r>
        <w:rPr>
          <w:rStyle w:val="653"/>
          <w:rFonts w:ascii="宋体" w:hAnsi="宋体" w:cs="Courier New"/>
          <w:color w:val="auto"/>
          <w:highlight w:val="none"/>
        </w:rPr>
        <w:t>地址：</w:t>
      </w:r>
      <w:r>
        <w:rPr>
          <w:rFonts w:hint="eastAsia" w:ascii="宋体" w:hAnsi="宋体"/>
          <w:color w:val="auto"/>
          <w:sz w:val="24"/>
          <w:szCs w:val="24"/>
          <w:highlight w:val="none"/>
        </w:rPr>
        <w:t>江苏省苏州市张家港市新闸路116号3楼</w:t>
      </w:r>
    </w:p>
    <w:p w14:paraId="43AFD538">
      <w:pPr>
        <w:pStyle w:val="573"/>
        <w:spacing w:line="440" w:lineRule="exact"/>
        <w:ind w:left="0" w:leftChars="0" w:firstLine="220" w:firstLineChars="0"/>
        <w:contextualSpacing/>
        <w:outlineLvl w:val="9"/>
        <w:rPr>
          <w:rStyle w:val="653"/>
          <w:rFonts w:ascii="宋体" w:hAnsi="宋体" w:eastAsia="宋体" w:cs="Courier New"/>
          <w:color w:val="auto"/>
          <w:highlight w:val="none"/>
          <w:lang w:val="en-US" w:eastAsia="zh-CN"/>
        </w:rPr>
      </w:pPr>
      <w:r>
        <w:rPr>
          <w:rStyle w:val="653"/>
          <w:rFonts w:ascii="宋体" w:hAnsi="宋体" w:cs="Courier New"/>
          <w:color w:val="auto"/>
          <w:highlight w:val="none"/>
        </w:rPr>
        <w:t>经办人：</w:t>
      </w:r>
    </w:p>
    <w:p w14:paraId="58435764">
      <w:pPr>
        <w:pStyle w:val="573"/>
        <w:spacing w:line="440" w:lineRule="exact"/>
        <w:ind w:left="0" w:leftChars="0" w:firstLine="220" w:firstLineChars="0"/>
        <w:contextualSpacing/>
        <w:outlineLvl w:val="9"/>
        <w:rPr>
          <w:rStyle w:val="653"/>
          <w:rFonts w:hint="eastAsia" w:ascii="宋体" w:hAnsi="宋体" w:eastAsia="宋体" w:cs="Courier New"/>
          <w:color w:val="auto"/>
          <w:highlight w:val="none"/>
          <w:lang w:val="en-US" w:eastAsia="zh-CN"/>
        </w:rPr>
      </w:pPr>
      <w:r>
        <w:rPr>
          <w:rStyle w:val="653"/>
          <w:rFonts w:ascii="宋体" w:hAnsi="宋体" w:cs="Courier New"/>
          <w:color w:val="auto"/>
          <w:highlight w:val="none"/>
        </w:rPr>
        <w:t>联系电话</w:t>
      </w:r>
      <w:r>
        <w:rPr>
          <w:rStyle w:val="653"/>
          <w:rFonts w:hint="eastAsia" w:ascii="宋体" w:hAnsi="宋体" w:eastAsia="宋体" w:cs="Courier New"/>
          <w:color w:val="auto"/>
          <w:highlight w:val="none"/>
          <w:lang w:eastAsia="zh-CN"/>
        </w:rPr>
        <w:t>：</w:t>
      </w:r>
    </w:p>
    <w:p w14:paraId="376D9105">
      <w:pPr>
        <w:pStyle w:val="573"/>
        <w:spacing w:line="440" w:lineRule="exact"/>
        <w:ind w:firstLine="480"/>
        <w:contextualSpacing/>
        <w:outlineLvl w:val="9"/>
        <w:rPr>
          <w:rStyle w:val="653"/>
          <w:rFonts w:ascii="宋体" w:hAnsi="宋体" w:cs="Courier New"/>
          <w:color w:val="auto"/>
          <w:highlight w:val="none"/>
        </w:rPr>
      </w:pPr>
    </w:p>
    <w:p w14:paraId="12D0ABC2">
      <w:pPr>
        <w:pStyle w:val="573"/>
        <w:spacing w:line="440" w:lineRule="exact"/>
        <w:ind w:firstLine="480"/>
        <w:contextualSpacing/>
        <w:outlineLvl w:val="9"/>
        <w:rPr>
          <w:rStyle w:val="653"/>
          <w:rFonts w:ascii="宋体" w:hAnsi="宋体" w:cs="Courier New"/>
          <w:color w:val="auto"/>
          <w:highlight w:val="none"/>
        </w:rPr>
      </w:pPr>
    </w:p>
    <w:p w14:paraId="7A6469DE">
      <w:pPr>
        <w:pStyle w:val="573"/>
        <w:spacing w:line="440" w:lineRule="exact"/>
        <w:ind w:left="0" w:leftChars="0" w:firstLine="0" w:firstLineChars="0"/>
        <w:contextualSpacing/>
        <w:outlineLvl w:val="9"/>
        <w:rPr>
          <w:rStyle w:val="653"/>
          <w:rFonts w:ascii="宋体" w:hAnsi="宋体" w:cs="Courier New"/>
          <w:color w:val="auto"/>
          <w:highlight w:val="none"/>
        </w:rPr>
      </w:pPr>
      <w:r>
        <w:rPr>
          <w:rStyle w:val="653"/>
          <w:rFonts w:ascii="宋体" w:hAnsi="宋体" w:cs="Courier New"/>
          <w:color w:val="auto"/>
          <w:highlight w:val="none"/>
        </w:rPr>
        <w:t>备案方：张家港市政府采购管理</w:t>
      </w:r>
      <w:r>
        <w:rPr>
          <w:rStyle w:val="653"/>
          <w:rFonts w:hint="eastAsia" w:ascii="宋体" w:hAnsi="宋体" w:eastAsia="宋体" w:cs="Courier New"/>
          <w:color w:val="auto"/>
          <w:highlight w:val="none"/>
          <w:lang w:val="en-US" w:eastAsia="zh-CN"/>
        </w:rPr>
        <w:t>中心</w:t>
      </w:r>
    </w:p>
    <w:p w14:paraId="4E64E690">
      <w:pPr>
        <w:pStyle w:val="573"/>
        <w:spacing w:line="440" w:lineRule="exact"/>
        <w:ind w:left="0" w:leftChars="0" w:firstLine="0" w:firstLineChars="0"/>
        <w:contextualSpacing/>
        <w:outlineLvl w:val="9"/>
        <w:rPr>
          <w:rStyle w:val="653"/>
          <w:rFonts w:ascii="宋体" w:hAnsi="宋体" w:cs="Courier New"/>
          <w:color w:val="auto"/>
          <w:highlight w:val="none"/>
        </w:rPr>
      </w:pPr>
      <w:r>
        <w:rPr>
          <w:rStyle w:val="653"/>
          <w:rFonts w:ascii="宋体" w:hAnsi="宋体" w:cs="Courier New"/>
          <w:color w:val="auto"/>
          <w:highlight w:val="none"/>
        </w:rPr>
        <w:t>联系人：</w:t>
      </w:r>
    </w:p>
    <w:p w14:paraId="747B360E">
      <w:pPr>
        <w:pStyle w:val="573"/>
        <w:spacing w:line="440" w:lineRule="exact"/>
        <w:ind w:left="0" w:leftChars="0" w:firstLine="0" w:firstLineChars="0"/>
        <w:contextualSpacing/>
        <w:outlineLvl w:val="9"/>
        <w:rPr>
          <w:rStyle w:val="653"/>
          <w:rFonts w:ascii="宋体" w:hAnsi="宋体" w:cs="Courier New"/>
          <w:color w:val="auto"/>
          <w:highlight w:val="none"/>
        </w:rPr>
      </w:pPr>
      <w:r>
        <w:rPr>
          <w:rStyle w:val="653"/>
          <w:rFonts w:ascii="宋体" w:hAnsi="宋体" w:cs="Courier New"/>
          <w:color w:val="auto"/>
          <w:highlight w:val="none"/>
        </w:rPr>
        <w:t>联系电话：</w:t>
      </w:r>
    </w:p>
    <w:p w14:paraId="2DFE1A5C">
      <w:pPr>
        <w:spacing w:line="420" w:lineRule="exact"/>
        <w:ind w:left="5850" w:hanging="5640"/>
        <w:rPr>
          <w:rFonts w:hint="eastAsia" w:ascii="宋体" w:hAnsi="宋体" w:eastAsia="宋体" w:cs="宋体"/>
          <w:color w:val="auto"/>
          <w:sz w:val="24"/>
          <w:szCs w:val="24"/>
          <w:highlight w:val="none"/>
        </w:rPr>
      </w:pPr>
    </w:p>
    <w:p w14:paraId="4030CDFC">
      <w:pPr>
        <w:rPr>
          <w:rFonts w:hint="eastAsia" w:ascii="宋体" w:hAnsi="宋体" w:eastAsia="宋体" w:cs="宋体"/>
          <w:color w:val="auto"/>
          <w:sz w:val="20"/>
          <w:highlight w:val="none"/>
        </w:rPr>
      </w:pPr>
    </w:p>
    <w:p w14:paraId="1AD86256">
      <w:pPr>
        <w:pStyle w:val="129"/>
        <w:pageBreakBefore/>
        <w:spacing w:line="360" w:lineRule="auto"/>
        <w:rPr>
          <w:rFonts w:hint="eastAsia" w:ascii="宋体" w:hAnsi="宋体" w:eastAsia="宋体" w:cs="宋体"/>
          <w:color w:val="auto"/>
          <w:highlight w:val="none"/>
        </w:rPr>
      </w:pPr>
      <w:bookmarkStart w:id="147" w:name="_Hlt16619350"/>
      <w:bookmarkStart w:id="148" w:name="_Toc175752383"/>
      <w:r>
        <w:rPr>
          <w:rFonts w:hint="eastAsia" w:ascii="宋体" w:hAnsi="宋体" w:eastAsia="宋体" w:cs="宋体"/>
          <w:color w:val="auto"/>
          <w:highlight w:val="none"/>
        </w:rPr>
        <w:t>第</w:t>
      </w:r>
      <w:bookmarkEnd w:id="147"/>
      <w:r>
        <w:rPr>
          <w:rFonts w:hint="eastAsia" w:ascii="宋体" w:hAnsi="宋体" w:eastAsia="宋体" w:cs="宋体"/>
          <w:color w:val="auto"/>
          <w:highlight w:val="none"/>
        </w:rPr>
        <w:t>四章 项目需求</w:t>
      </w:r>
      <w:bookmarkEnd w:id="148"/>
    </w:p>
    <w:p w14:paraId="3DBE6ABA">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一、清单</w:t>
      </w:r>
    </w:p>
    <w:p w14:paraId="14CB223A">
      <w:pPr>
        <w:pStyle w:val="57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1.清单</w:t>
      </w:r>
    </w:p>
    <w:tbl>
      <w:tblPr>
        <w:tblStyle w:val="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83"/>
        <w:gridCol w:w="2112"/>
        <w:gridCol w:w="768"/>
        <w:gridCol w:w="583"/>
        <w:gridCol w:w="583"/>
        <w:gridCol w:w="3671"/>
        <w:gridCol w:w="765"/>
        <w:gridCol w:w="675"/>
      </w:tblGrid>
      <w:tr w14:paraId="3D7A3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3" w:type="dxa"/>
            <w:noWrap w:val="0"/>
            <w:tcMar>
              <w:top w:w="100" w:type="dxa"/>
              <w:bottom w:w="100" w:type="dxa"/>
            </w:tcMar>
            <w:vAlign w:val="center"/>
          </w:tcPr>
          <w:p w14:paraId="5ED31E41">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379" w:type="dxa"/>
            <w:noWrap w:val="0"/>
            <w:tcMar>
              <w:top w:w="100" w:type="dxa"/>
              <w:bottom w:w="100" w:type="dxa"/>
            </w:tcMar>
            <w:vAlign w:val="center"/>
          </w:tcPr>
          <w:p w14:paraId="0BEBD397">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780" w:type="dxa"/>
            <w:noWrap w:val="0"/>
            <w:tcMar>
              <w:top w:w="100" w:type="dxa"/>
              <w:bottom w:w="100" w:type="dxa"/>
            </w:tcMar>
            <w:vAlign w:val="center"/>
          </w:tcPr>
          <w:p w14:paraId="158DA16B">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603" w:type="dxa"/>
            <w:noWrap w:val="0"/>
            <w:tcMar>
              <w:top w:w="100" w:type="dxa"/>
              <w:bottom w:w="100" w:type="dxa"/>
            </w:tcMar>
            <w:vAlign w:val="center"/>
          </w:tcPr>
          <w:p w14:paraId="5F90A23B">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单位</w:t>
            </w:r>
          </w:p>
        </w:tc>
        <w:tc>
          <w:tcPr>
            <w:tcW w:w="603" w:type="dxa"/>
            <w:noWrap w:val="0"/>
            <w:tcMar>
              <w:top w:w="100" w:type="dxa"/>
              <w:bottom w:w="100" w:type="dxa"/>
            </w:tcMar>
            <w:vAlign w:val="center"/>
          </w:tcPr>
          <w:p w14:paraId="6A88EF1F">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图片</w:t>
            </w:r>
          </w:p>
        </w:tc>
        <w:tc>
          <w:tcPr>
            <w:tcW w:w="4189" w:type="dxa"/>
            <w:noWrap w:val="0"/>
            <w:tcMar>
              <w:top w:w="100" w:type="dxa"/>
              <w:bottom w:w="100" w:type="dxa"/>
            </w:tcMar>
            <w:vAlign w:val="center"/>
          </w:tcPr>
          <w:p w14:paraId="57C6853E">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所属行业</w:t>
            </w:r>
          </w:p>
        </w:tc>
        <w:tc>
          <w:tcPr>
            <w:tcW w:w="815" w:type="dxa"/>
            <w:noWrap w:val="0"/>
            <w:tcMar>
              <w:top w:w="100" w:type="dxa"/>
              <w:bottom w:w="100" w:type="dxa"/>
            </w:tcMar>
            <w:vAlign w:val="center"/>
          </w:tcPr>
          <w:p w14:paraId="334C8274">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标的类型</w:t>
            </w:r>
          </w:p>
        </w:tc>
        <w:tc>
          <w:tcPr>
            <w:tcW w:w="710" w:type="dxa"/>
            <w:noWrap w:val="0"/>
            <w:tcMar>
              <w:top w:w="100" w:type="dxa"/>
              <w:bottom w:w="100" w:type="dxa"/>
            </w:tcMar>
            <w:vAlign w:val="center"/>
          </w:tcPr>
          <w:p w14:paraId="2964C5E5">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标的属性</w:t>
            </w:r>
          </w:p>
        </w:tc>
      </w:tr>
      <w:tr w14:paraId="7FBA0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3" w:type="dxa"/>
            <w:noWrap w:val="0"/>
            <w:tcMar>
              <w:top w:w="100" w:type="dxa"/>
              <w:bottom w:w="100" w:type="dxa"/>
            </w:tcMar>
            <w:vAlign w:val="center"/>
          </w:tcPr>
          <w:p w14:paraId="72FB9629">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379" w:type="dxa"/>
            <w:noWrap w:val="0"/>
            <w:tcMar>
              <w:top w:w="100" w:type="dxa"/>
              <w:bottom w:w="100" w:type="dxa"/>
            </w:tcMar>
            <w:vAlign w:val="center"/>
          </w:tcPr>
          <w:p w14:paraId="6BA5313E">
            <w:pPr>
              <w:pStyle w:val="579"/>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交通管理劝导购买服务</w:t>
            </w:r>
          </w:p>
        </w:tc>
        <w:tc>
          <w:tcPr>
            <w:tcW w:w="780" w:type="dxa"/>
            <w:noWrap w:val="0"/>
            <w:tcMar>
              <w:top w:w="100" w:type="dxa"/>
              <w:bottom w:w="100" w:type="dxa"/>
            </w:tcMar>
            <w:vAlign w:val="center"/>
          </w:tcPr>
          <w:p w14:paraId="4CC77CB9">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1.00</w:t>
            </w:r>
          </w:p>
        </w:tc>
        <w:tc>
          <w:tcPr>
            <w:tcW w:w="603" w:type="dxa"/>
            <w:noWrap w:val="0"/>
            <w:tcMar>
              <w:top w:w="100" w:type="dxa"/>
              <w:bottom w:w="100" w:type="dxa"/>
            </w:tcMar>
            <w:vAlign w:val="center"/>
          </w:tcPr>
          <w:p w14:paraId="142EDDFE">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项</w:t>
            </w:r>
          </w:p>
        </w:tc>
        <w:tc>
          <w:tcPr>
            <w:tcW w:w="603" w:type="dxa"/>
            <w:noWrap w:val="0"/>
            <w:tcMar>
              <w:top w:w="100" w:type="dxa"/>
              <w:bottom w:w="100" w:type="dxa"/>
            </w:tcMar>
            <w:vAlign w:val="center"/>
          </w:tcPr>
          <w:p w14:paraId="1CDE994D">
            <w:pPr>
              <w:pStyle w:val="579"/>
              <w:rPr>
                <w:rFonts w:hint="eastAsia" w:ascii="宋体" w:hAnsi="宋体" w:eastAsia="宋体" w:cs="宋体"/>
                <w:color w:val="auto"/>
                <w:highlight w:val="none"/>
              </w:rPr>
            </w:pPr>
            <w:r>
              <w:rPr>
                <w:rFonts w:hint="eastAsia" w:ascii="宋体" w:hAnsi="宋体" w:eastAsia="宋体" w:cs="宋体"/>
                <w:color w:val="auto"/>
                <w:highlight w:val="none"/>
              </w:rPr>
              <w:t>无</w:t>
            </w:r>
          </w:p>
        </w:tc>
        <w:tc>
          <w:tcPr>
            <w:tcW w:w="4189" w:type="dxa"/>
            <w:noWrap w:val="0"/>
            <w:tcMar>
              <w:top w:w="100" w:type="dxa"/>
              <w:bottom w:w="100" w:type="dxa"/>
            </w:tcMar>
            <w:vAlign w:val="center"/>
          </w:tcPr>
          <w:p w14:paraId="05D6EE4E">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租赁和商务服务业</w:t>
            </w:r>
          </w:p>
        </w:tc>
        <w:tc>
          <w:tcPr>
            <w:tcW w:w="815" w:type="dxa"/>
            <w:noWrap w:val="0"/>
            <w:tcMar>
              <w:top w:w="100" w:type="dxa"/>
              <w:bottom w:w="100" w:type="dxa"/>
            </w:tcMar>
            <w:vAlign w:val="center"/>
          </w:tcPr>
          <w:p w14:paraId="3EC8F561">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主要采购标的</w:t>
            </w:r>
          </w:p>
        </w:tc>
        <w:tc>
          <w:tcPr>
            <w:tcW w:w="710" w:type="dxa"/>
            <w:noWrap w:val="0"/>
            <w:tcMar>
              <w:top w:w="100" w:type="dxa"/>
              <w:bottom w:w="100" w:type="dxa"/>
            </w:tcMar>
            <w:vAlign w:val="center"/>
          </w:tcPr>
          <w:p w14:paraId="2FFFCC56">
            <w:pPr>
              <w:pStyle w:val="579"/>
              <w:jc w:val="center"/>
              <w:rPr>
                <w:rFonts w:hint="eastAsia" w:ascii="宋体" w:hAnsi="宋体" w:eastAsia="宋体" w:cs="宋体"/>
                <w:color w:val="auto"/>
                <w:highlight w:val="none"/>
              </w:rPr>
            </w:pPr>
            <w:r>
              <w:rPr>
                <w:rFonts w:hint="eastAsia" w:ascii="宋体" w:hAnsi="宋体" w:eastAsia="宋体" w:cs="宋体"/>
                <w:color w:val="auto"/>
                <w:highlight w:val="none"/>
              </w:rPr>
              <w:t>服务类</w:t>
            </w:r>
          </w:p>
        </w:tc>
      </w:tr>
    </w:tbl>
    <w:p w14:paraId="4F1920A1">
      <w:pPr>
        <w:pStyle w:val="579"/>
        <w:rPr>
          <w:rFonts w:hint="eastAsia" w:ascii="宋体" w:hAnsi="宋体" w:eastAsia="宋体" w:cs="宋体"/>
          <w:color w:val="auto"/>
          <w:highlight w:val="none"/>
        </w:rPr>
      </w:pPr>
    </w:p>
    <w:p w14:paraId="42AE051B">
      <w:pPr>
        <w:pStyle w:val="580"/>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A32F38">
      <w:pPr>
        <w:pStyle w:val="58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2.核心产品清单</w:t>
      </w:r>
    </w:p>
    <w:p w14:paraId="3BF0C002">
      <w:pPr>
        <w:pStyle w:val="58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1650BF1F">
      <w:pPr>
        <w:pStyle w:val="582"/>
        <w:spacing w:line="440" w:lineRule="exact"/>
        <w:ind w:firstLine="500"/>
        <w:rPr>
          <w:rFonts w:hint="eastAsia" w:ascii="宋体" w:hAnsi="宋体" w:eastAsia="宋体" w:cs="宋体"/>
          <w:color w:val="auto"/>
          <w:highlight w:val="none"/>
        </w:rPr>
      </w:pPr>
      <w:r>
        <w:rPr>
          <w:rFonts w:hint="eastAsia"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2C7EA3B4">
      <w:pPr>
        <w:pStyle w:val="582"/>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节能产品政府采购品目清单： </w:t>
      </w:r>
    </w:p>
    <w:p w14:paraId="520AD083">
      <w:pPr>
        <w:pStyle w:val="582"/>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无 </w:t>
      </w:r>
    </w:p>
    <w:p w14:paraId="41ED092F">
      <w:pPr>
        <w:pStyle w:val="583"/>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环境标志产品政府采购品目清单:</w:t>
      </w:r>
    </w:p>
    <w:p w14:paraId="463CF39D">
      <w:pPr>
        <w:pStyle w:val="583"/>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bookmarkStart w:id="149" w:name="EB408f2104b2e44804a6615a1921eee37c"/>
      <w:bookmarkEnd w:id="149"/>
    </w:p>
    <w:p w14:paraId="57B8985D">
      <w:pPr>
        <w:pStyle w:val="58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4、绿色采购其他政策： </w:t>
      </w:r>
    </w:p>
    <w:p w14:paraId="0E5504CA">
      <w:pPr>
        <w:pStyle w:val="583"/>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066BCA2">
      <w:pPr>
        <w:pStyle w:val="583"/>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343691D">
      <w:pPr>
        <w:pStyle w:val="583"/>
        <w:spacing w:line="440" w:lineRule="exact"/>
        <w:ind w:firstLine="500"/>
        <w:rPr>
          <w:rFonts w:hint="eastAsia" w:ascii="宋体" w:hAnsi="宋体" w:eastAsia="宋体" w:cs="宋体"/>
          <w:b/>
          <w:bCs/>
          <w:color w:val="auto"/>
          <w:spacing w:val="7"/>
          <w:highlight w:val="none"/>
        </w:rPr>
      </w:pPr>
    </w:p>
    <w:p w14:paraId="0BD7F2DB">
      <w:pPr>
        <w:spacing w:before="120" w:after="120"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w:t>
      </w:r>
      <w:bookmarkStart w:id="150" w:name="_Hlk192239596"/>
      <w:r>
        <w:rPr>
          <w:rFonts w:hint="eastAsia" w:ascii="宋体" w:hAnsi="宋体" w:eastAsia="宋体" w:cs="宋体"/>
          <w:b/>
          <w:color w:val="auto"/>
          <w:sz w:val="28"/>
          <w:szCs w:val="28"/>
          <w:highlight w:val="none"/>
        </w:rPr>
        <w:t>、技术要求</w:t>
      </w:r>
      <w:bookmarkStart w:id="151" w:name="OLE_LINK1"/>
      <w:bookmarkStart w:id="152" w:name="_Hlk192248168"/>
    </w:p>
    <w:tbl>
      <w:tblPr>
        <w:tblStyle w:val="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88"/>
        <w:gridCol w:w="1412"/>
        <w:gridCol w:w="7740"/>
      </w:tblGrid>
      <w:tr w14:paraId="06AC9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7" w:type="dxa"/>
            <w:noWrap w:val="0"/>
            <w:tcMar>
              <w:top w:w="100" w:type="dxa"/>
              <w:bottom w:w="100" w:type="dxa"/>
            </w:tcMar>
            <w:vAlign w:val="center"/>
          </w:tcPr>
          <w:p w14:paraId="41239C52">
            <w:pPr>
              <w:pStyle w:val="586"/>
              <w:spacing w:line="440" w:lineRule="exact"/>
              <w:jc w:val="center"/>
              <w:rPr>
                <w:rFonts w:hint="eastAsia" w:ascii="宋体" w:hAnsi="宋体" w:eastAsia="宋体" w:cs="宋体"/>
                <w:color w:val="auto"/>
                <w:highlight w:val="none"/>
              </w:rPr>
            </w:pPr>
            <w:bookmarkStart w:id="153" w:name="_Hlk202876228"/>
            <w:r>
              <w:rPr>
                <w:rFonts w:hint="eastAsia" w:ascii="宋体" w:hAnsi="宋体" w:eastAsia="宋体" w:cs="宋体"/>
                <w:color w:val="auto"/>
                <w:highlight w:val="none"/>
              </w:rPr>
              <w:t>序号</w:t>
            </w:r>
          </w:p>
        </w:tc>
        <w:tc>
          <w:tcPr>
            <w:tcW w:w="1513" w:type="dxa"/>
            <w:noWrap w:val="0"/>
            <w:tcMar>
              <w:top w:w="100" w:type="dxa"/>
              <w:bottom w:w="100" w:type="dxa"/>
            </w:tcMar>
            <w:vAlign w:val="center"/>
          </w:tcPr>
          <w:p w14:paraId="4003519D">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8562" w:type="dxa"/>
            <w:noWrap w:val="0"/>
            <w:tcMar>
              <w:top w:w="100" w:type="dxa"/>
              <w:bottom w:w="100" w:type="dxa"/>
            </w:tcMar>
            <w:vAlign w:val="center"/>
          </w:tcPr>
          <w:p w14:paraId="5EF1DFE3">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r>
      <w:tr w14:paraId="694D5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restart"/>
            <w:noWrap w:val="0"/>
            <w:tcMar>
              <w:top w:w="100" w:type="dxa"/>
              <w:bottom w:w="100" w:type="dxa"/>
            </w:tcMar>
            <w:vAlign w:val="center"/>
          </w:tcPr>
          <w:p w14:paraId="080DC949">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13" w:type="dxa"/>
            <w:vMerge w:val="restart"/>
            <w:noWrap w:val="0"/>
            <w:tcMar>
              <w:top w:w="100" w:type="dxa"/>
              <w:bottom w:w="100" w:type="dxa"/>
            </w:tcMar>
            <w:vAlign w:val="center"/>
          </w:tcPr>
          <w:p w14:paraId="1A7B7F3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工作内容</w:t>
            </w:r>
          </w:p>
        </w:tc>
        <w:tc>
          <w:tcPr>
            <w:tcW w:w="8562" w:type="dxa"/>
            <w:noWrap w:val="0"/>
            <w:tcMar>
              <w:top w:w="100" w:type="dxa"/>
              <w:bottom w:w="100" w:type="dxa"/>
            </w:tcMar>
            <w:vAlign w:val="center"/>
          </w:tcPr>
          <w:p w14:paraId="392FB82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为进一步提高我市交通安全管理和服务保障能力，张家港市公安局根据全市各项道路交通违法行为专项整治和道路交通文明提升行动工作要求，通过购买交通劝导服务，有效缓解警力不足的现实矛盾，进一步提升市区交通管理水平。</w:t>
            </w:r>
          </w:p>
        </w:tc>
      </w:tr>
      <w:tr w14:paraId="49A21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7989C8C9">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4FD18BA1">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34DD326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工作内容：各主要道路及路口交通秩序维护</w:t>
            </w:r>
          </w:p>
          <w:p w14:paraId="41D82CE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任务：在</w:t>
            </w:r>
            <w:r>
              <w:rPr>
                <w:rFonts w:hint="eastAsia" w:ascii="宋体" w:hAnsi="宋体" w:eastAsia="宋体" w:cs="宋体"/>
                <w:color w:val="auto"/>
                <w:highlight w:val="none"/>
                <w:lang w:eastAsia="zh-CN"/>
              </w:rPr>
              <w:t>张家港市公安局交通管理大队</w:t>
            </w:r>
            <w:r>
              <w:rPr>
                <w:rFonts w:hint="eastAsia" w:ascii="宋体" w:hAnsi="宋体" w:eastAsia="宋体" w:cs="宋体"/>
                <w:color w:val="auto"/>
                <w:highlight w:val="none"/>
              </w:rPr>
              <w:t>统一组织和领导下，参与早、晚高峰期、平峰期</w:t>
            </w:r>
            <w:r>
              <w:rPr>
                <w:rFonts w:hint="eastAsia" w:ascii="宋体" w:hAnsi="宋体" w:eastAsia="宋体" w:cs="宋体"/>
                <w:color w:val="auto"/>
                <w:highlight w:val="none"/>
                <w:lang w:val="en-US" w:eastAsia="zh-CN"/>
              </w:rPr>
              <w:t>及各种大型活动、恶劣天气期间</w:t>
            </w:r>
            <w:r>
              <w:rPr>
                <w:rFonts w:hint="eastAsia" w:ascii="宋体" w:hAnsi="宋体" w:eastAsia="宋体" w:cs="宋体"/>
                <w:color w:val="auto"/>
                <w:highlight w:val="none"/>
              </w:rPr>
              <w:t>的道路交通秩序劝导工作。</w:t>
            </w:r>
          </w:p>
          <w:p w14:paraId="312CCC1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目标：以减少路面交通事故发生率、劝导不文明行为、疏通道路和交通拥堵的问题，最大限度保障道路交通安全、有序、畅通。</w:t>
            </w:r>
          </w:p>
          <w:p w14:paraId="51234D1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服务对象：各主要道路过往行人。</w:t>
            </w:r>
          </w:p>
        </w:tc>
      </w:tr>
      <w:tr w14:paraId="02EFF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438" w:hRule="atLeast"/>
        </w:trPr>
        <w:tc>
          <w:tcPr>
            <w:tcW w:w="607" w:type="dxa"/>
            <w:vMerge w:val="restart"/>
            <w:noWrap w:val="0"/>
            <w:tcMar>
              <w:top w:w="100" w:type="dxa"/>
              <w:bottom w:w="100" w:type="dxa"/>
            </w:tcMar>
            <w:vAlign w:val="center"/>
          </w:tcPr>
          <w:p w14:paraId="7D84D8DB">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513" w:type="dxa"/>
            <w:vMerge w:val="restart"/>
            <w:noWrap w:val="0"/>
            <w:tcMar>
              <w:top w:w="100" w:type="dxa"/>
              <w:bottom w:w="100" w:type="dxa"/>
            </w:tcMar>
            <w:vAlign w:val="center"/>
          </w:tcPr>
          <w:p w14:paraId="6D89478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交通劝导服务的人员要求</w:t>
            </w:r>
          </w:p>
        </w:tc>
        <w:tc>
          <w:tcPr>
            <w:tcW w:w="8562" w:type="dxa"/>
            <w:noWrap w:val="0"/>
            <w:tcMar>
              <w:top w:w="100" w:type="dxa"/>
              <w:bottom w:w="100" w:type="dxa"/>
            </w:tcMar>
            <w:vAlign w:val="center"/>
          </w:tcPr>
          <w:p w14:paraId="2E174BE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2.1 人员岗位分布</w:t>
            </w:r>
          </w:p>
        </w:tc>
      </w:tr>
      <w:tr w14:paraId="1C5B6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438" w:hRule="atLeast"/>
        </w:trPr>
        <w:tc>
          <w:tcPr>
            <w:tcW w:w="607" w:type="dxa"/>
            <w:vMerge w:val="continue"/>
            <w:noWrap w:val="0"/>
            <w:tcMar>
              <w:top w:w="100" w:type="dxa"/>
              <w:bottom w:w="100" w:type="dxa"/>
            </w:tcMar>
            <w:vAlign w:val="center"/>
          </w:tcPr>
          <w:p w14:paraId="69E14B53">
            <w:pPr>
              <w:pStyle w:val="586"/>
              <w:spacing w:line="440" w:lineRule="exact"/>
              <w:jc w:val="center"/>
              <w:rPr>
                <w:rFonts w:hint="eastAsia" w:ascii="宋体" w:hAnsi="宋体" w:eastAsia="宋体" w:cs="宋体"/>
                <w:color w:val="auto"/>
                <w:highlight w:val="none"/>
              </w:rPr>
            </w:pPr>
          </w:p>
        </w:tc>
        <w:tc>
          <w:tcPr>
            <w:tcW w:w="1513" w:type="dxa"/>
            <w:vMerge w:val="continue"/>
            <w:noWrap w:val="0"/>
            <w:tcMar>
              <w:top w:w="100" w:type="dxa"/>
              <w:bottom w:w="100" w:type="dxa"/>
            </w:tcMar>
            <w:vAlign w:val="center"/>
          </w:tcPr>
          <w:p w14:paraId="71879E05">
            <w:pPr>
              <w:pStyle w:val="586"/>
              <w:spacing w:line="440" w:lineRule="exact"/>
              <w:rPr>
                <w:rFonts w:hint="eastAsia" w:ascii="宋体" w:hAnsi="宋体" w:eastAsia="宋体" w:cs="宋体"/>
                <w:color w:val="auto"/>
                <w:highlight w:val="none"/>
              </w:rPr>
            </w:pPr>
          </w:p>
        </w:tc>
        <w:tc>
          <w:tcPr>
            <w:tcW w:w="8562" w:type="dxa"/>
            <w:noWrap w:val="0"/>
            <w:tcMar>
              <w:top w:w="100" w:type="dxa"/>
              <w:bottom w:w="100" w:type="dxa"/>
            </w:tcMar>
            <w:vAlign w:val="center"/>
          </w:tcPr>
          <w:p w14:paraId="2CB637C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共有</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0名交通劝导队员，在市区二环路以内各路口开展交通疏导、排堵保畅。</w:t>
            </w:r>
          </w:p>
        </w:tc>
      </w:tr>
      <w:tr w14:paraId="025D1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51CE74E9">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63DE727A">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AC8DD5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2.2 交通劝导员队长（至少3名）</w:t>
            </w:r>
          </w:p>
        </w:tc>
      </w:tr>
      <w:tr w14:paraId="0138D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778FB223">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6830D4BA">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076E6C0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1、男性，</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至50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38EDA2B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2、具有从事本行业5年以上工作经历；</w:t>
            </w:r>
          </w:p>
          <w:p w14:paraId="7915C98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3、具有类似项目管理经验；</w:t>
            </w:r>
          </w:p>
          <w:p w14:paraId="53DD734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4、具有高中以上文化程度；</w:t>
            </w:r>
          </w:p>
          <w:p w14:paraId="775D30F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5、具有高级保安员证书者优先，退伍军人或中共党员优先；</w:t>
            </w:r>
          </w:p>
          <w:p w14:paraId="31A4B9A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6、具有建立健全的内部管理规章制度、部门岗位责任制、制定工作计划并组织实施的能力；</w:t>
            </w:r>
          </w:p>
          <w:p w14:paraId="2A1B3BA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7、具有宣传教育、组织各类活动及处理一般矛盾的能力；</w:t>
            </w:r>
          </w:p>
          <w:p w14:paraId="6EA013C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8、完成各项勤务安排；</w:t>
            </w:r>
          </w:p>
          <w:p w14:paraId="6A265B3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9、能够全面负责交通劝导员队伍各项工作，统一调度指挥，处理突发性事件。</w:t>
            </w:r>
          </w:p>
        </w:tc>
      </w:tr>
      <w:tr w14:paraId="007AB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637C7146">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51F3D074">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3D89648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2.3 交通劝导员要求</w:t>
            </w:r>
          </w:p>
        </w:tc>
      </w:tr>
      <w:tr w14:paraId="54F4A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30" w:hRule="atLeast"/>
        </w:trPr>
        <w:tc>
          <w:tcPr>
            <w:tcW w:w="607" w:type="dxa"/>
            <w:vMerge w:val="continue"/>
            <w:noWrap w:val="0"/>
            <w:tcMar>
              <w:top w:w="100" w:type="dxa"/>
              <w:bottom w:w="100" w:type="dxa"/>
            </w:tcMar>
            <w:vAlign w:val="center"/>
          </w:tcPr>
          <w:p w14:paraId="4D0C1F0C">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0F3F840">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91DA3F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1、男性，</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w:t>
            </w: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（50周岁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w:t>
            </w: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的人员比例不得超过总人数的</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0%）；</w:t>
            </w:r>
          </w:p>
          <w:p w14:paraId="393FFE22">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2、具有高中以上文化程度；</w:t>
            </w:r>
          </w:p>
          <w:p w14:paraId="737FA1C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3、遵纪守法，品行良好，无违法犯罪记录；</w:t>
            </w:r>
          </w:p>
          <w:p w14:paraId="14D8441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4、身高1.65米以上，五官端正，身体健康，无传染病，无残疾，无明显纹身或标记；</w:t>
            </w:r>
          </w:p>
          <w:p w14:paraId="0F0CEB8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5、参与过相关安保工作者优先；退伍军人、中共党员、公安武警学校毕业者优先考虑；</w:t>
            </w:r>
          </w:p>
          <w:p w14:paraId="720CCC7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6、提供近一年内的体检报告。</w:t>
            </w:r>
          </w:p>
        </w:tc>
      </w:tr>
      <w:tr w14:paraId="449A2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243BA9EE">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11F7926E">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0A2870E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2.4 培训要求</w:t>
            </w:r>
          </w:p>
        </w:tc>
      </w:tr>
      <w:tr w14:paraId="68CA1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30" w:hRule="atLeast"/>
        </w:trPr>
        <w:tc>
          <w:tcPr>
            <w:tcW w:w="607" w:type="dxa"/>
            <w:vMerge w:val="continue"/>
            <w:noWrap w:val="0"/>
            <w:tcMar>
              <w:top w:w="100" w:type="dxa"/>
              <w:bottom w:w="100" w:type="dxa"/>
            </w:tcMar>
            <w:vAlign w:val="center"/>
          </w:tcPr>
          <w:p w14:paraId="1A0BF11C">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0AF907F6">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B16D61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2.4.1 基本常识培训要求</w:t>
            </w:r>
          </w:p>
          <w:p w14:paraId="6192B40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基础理论知识：为劝导员系统讲解交通管理的基本概念、目的与意义，明晰交通劝导工作在城市交通管理体系中的关键作用与定位。深入介绍张家港市主要道路及路口的布局、交通流量特征、高峰低谷时段分布等内容，帮助劝导员熟悉工作环境，以便更有针对性地开展劝导工作。</w:t>
            </w:r>
          </w:p>
          <w:p w14:paraId="1DD37064">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法律常识：组织劝导员学习《中华人民共和国道路交通安全法》及实施条例、《江苏省道路交通安全条例》等相关法律法规，明确交通违法行为的界定与处罚标准。通过案例分析、法律知识问答等形式，让劝导员深刻理解法律条文，学会在劝导工作中准确运用法律依据，向交通参与者解释违法行为的危害与后果。</w:t>
            </w:r>
          </w:p>
          <w:p w14:paraId="7E5348A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交通安全常识：开展交通安全常识培训，内容涵盖行人、非机动车、机动车的正确通行规则，如行人应走人行道、过马路要走斑马线并遵守信号灯；非机动车不逆行、不抢行、按规定车道行驶；机动车要遵守交通信号、保持安全车距、不超速超载等。同时，教授特殊天气（如暴雨、大雾、冰雪）及特殊路段（如弯道、陡坡、路口）的交通安全注意事项。</w:t>
            </w:r>
          </w:p>
          <w:p w14:paraId="2BF522C4">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急救常识：为劝导员进行急救知识培训，包括心肺复苏（CPR）、止血包扎、骨折固定、伤员搬运等基本急救技能。通过理论讲解、现场演示和实际操作练习，确保劝导员在遇到交通事故等紧急情况时，能够在专业救援人员到达前，对伤者进行正确的初步急救处理，争取宝贵的救援时间。</w:t>
            </w:r>
          </w:p>
        </w:tc>
      </w:tr>
      <w:tr w14:paraId="6529D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758" w:hRule="atLeast"/>
        </w:trPr>
        <w:tc>
          <w:tcPr>
            <w:tcW w:w="607" w:type="dxa"/>
            <w:vMerge w:val="continue"/>
            <w:noWrap w:val="0"/>
            <w:tcMar>
              <w:top w:w="100" w:type="dxa"/>
              <w:bottom w:w="100" w:type="dxa"/>
            </w:tcMar>
            <w:vAlign w:val="center"/>
          </w:tcPr>
          <w:p w14:paraId="6889E667">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1DCC7F4D">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648F7BA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2.4.2 劝导员守则培训要求</w:t>
            </w:r>
          </w:p>
          <w:p w14:paraId="5468ADF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1、严格遵守国家法律法规，服从张家港市公安局交通管理大队的管理与工作安排，不得擅自更改工作任务和流程。</w:t>
            </w:r>
          </w:p>
          <w:p w14:paraId="27704B8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2、坚守岗位，不得擅自离岗、串岗、脱岗，严格按照规定的时间和地点执勤，工作期间不得从事与交通劝导无关的活动。</w:t>
            </w:r>
          </w:p>
          <w:p w14:paraId="2786715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3、保守工作秘密，不得泄露在工作过程中知悉的警务信息、市民个人隐私等内容。</w:t>
            </w:r>
          </w:p>
          <w:p w14:paraId="3F30251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4、廉洁奉公，严禁利用职务之便谋取私利、接受礼品或贿赂。</w:t>
            </w:r>
          </w:p>
        </w:tc>
      </w:tr>
      <w:tr w14:paraId="16D7D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52" w:hRule="atLeast"/>
        </w:trPr>
        <w:tc>
          <w:tcPr>
            <w:tcW w:w="607" w:type="dxa"/>
            <w:vMerge w:val="continue"/>
            <w:noWrap w:val="0"/>
            <w:tcMar>
              <w:top w:w="100" w:type="dxa"/>
              <w:bottom w:w="100" w:type="dxa"/>
            </w:tcMar>
            <w:vAlign w:val="center"/>
          </w:tcPr>
          <w:p w14:paraId="4636066B">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66FBE285">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0764877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2.4.3 工作和服务态度（含仪容仪表）培训要求</w:t>
            </w:r>
          </w:p>
          <w:p w14:paraId="41AE004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1、工作态度：保持积极主动，在交通高峰时段主动加强疏导，对于市民的交通违法行为及时劝阻，不得敷衍了事。面对复杂交通状况，保持冷静，灵活应对，不得推诿责任。</w:t>
            </w:r>
          </w:p>
          <w:p w14:paraId="164BACF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2、服务态度：使用文明礼貌用语，如“您好”“请”“谢谢配合”等，耐心解答市民疑问，不得使用生硬、粗暴语言。尊重不同年龄、性别、职业的市民，不得歧视、刁难任何交通参与者。</w:t>
            </w:r>
          </w:p>
          <w:p w14:paraId="2B9EB21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仪容仪表：穿着统一配发的交通劝导服装，保持服装整洁、平整，不得私自改制或搭配奇装异服。佩戴好工作证件、帽子等装备，保持良好的精神面貌。男性劝导员头发不宜过长，女性劝导员应束发或盘发，避免披头散发影响工作。</w:t>
            </w:r>
          </w:p>
        </w:tc>
      </w:tr>
      <w:tr w14:paraId="2BF1E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11" w:hRule="atLeast"/>
        </w:trPr>
        <w:tc>
          <w:tcPr>
            <w:tcW w:w="607" w:type="dxa"/>
            <w:vMerge w:val="restart"/>
            <w:noWrap w:val="0"/>
            <w:tcMar>
              <w:top w:w="100" w:type="dxa"/>
              <w:bottom w:w="100" w:type="dxa"/>
            </w:tcMar>
            <w:vAlign w:val="center"/>
          </w:tcPr>
          <w:p w14:paraId="4586C381">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13" w:type="dxa"/>
            <w:vMerge w:val="restart"/>
            <w:noWrap w:val="0"/>
            <w:tcMar>
              <w:top w:w="100" w:type="dxa"/>
              <w:bottom w:w="100" w:type="dxa"/>
            </w:tcMar>
            <w:vAlign w:val="center"/>
          </w:tcPr>
          <w:p w14:paraId="6CA45963">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服务要求</w:t>
            </w:r>
          </w:p>
        </w:tc>
        <w:tc>
          <w:tcPr>
            <w:tcW w:w="8562" w:type="dxa"/>
            <w:noWrap w:val="0"/>
            <w:tcMar>
              <w:top w:w="100" w:type="dxa"/>
              <w:bottom w:w="100" w:type="dxa"/>
            </w:tcMar>
            <w:vAlign w:val="center"/>
          </w:tcPr>
          <w:p w14:paraId="4480F1A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4.1 实施要求</w:t>
            </w:r>
          </w:p>
        </w:tc>
      </w:tr>
      <w:tr w14:paraId="5386F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11" w:hRule="atLeast"/>
        </w:trPr>
        <w:tc>
          <w:tcPr>
            <w:tcW w:w="607" w:type="dxa"/>
            <w:vMerge w:val="continue"/>
            <w:noWrap w:val="0"/>
            <w:tcMar>
              <w:top w:w="100" w:type="dxa"/>
              <w:bottom w:w="100" w:type="dxa"/>
            </w:tcMar>
            <w:vAlign w:val="center"/>
          </w:tcPr>
          <w:p w14:paraId="4E6F351C">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4CCD1725">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4EFB1AB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4.1.1 服务标准</w:t>
            </w:r>
          </w:p>
          <w:p w14:paraId="00BF9FB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需按照张家港市公安局关于各项道路交通违法行为专项整治和道路交通文明提升行动工作要求，维持好路口和道路秩序，确保交通顺畅，减少违法行为，保障行人及车辆安全通行。具体表现为及时劝阻闯红灯、乱穿马路、非机动车逆行等不文明交通行为，引导车辆按道行驶、有序停放等。</w:t>
            </w:r>
          </w:p>
        </w:tc>
      </w:tr>
      <w:tr w14:paraId="3B2F7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11" w:hRule="atLeast"/>
        </w:trPr>
        <w:tc>
          <w:tcPr>
            <w:tcW w:w="607" w:type="dxa"/>
            <w:vMerge w:val="continue"/>
            <w:noWrap w:val="0"/>
            <w:tcMar>
              <w:top w:w="100" w:type="dxa"/>
              <w:bottom w:w="100" w:type="dxa"/>
            </w:tcMar>
            <w:vAlign w:val="center"/>
          </w:tcPr>
          <w:p w14:paraId="0EAD64D1">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5DCAFD5B">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5237CFC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4.1.2 管理模式</w:t>
            </w:r>
          </w:p>
          <w:p w14:paraId="7E0B212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投标人需组建专业的交通劝导员队伍，明确人员分工，接受张家港市公安局交通管理大队的统一管理与监督，遵循公安机关制定的交通管理规范和工作流程开展服务。</w:t>
            </w:r>
          </w:p>
        </w:tc>
      </w:tr>
      <w:tr w14:paraId="08CAA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440" w:hRule="atLeast"/>
        </w:trPr>
        <w:tc>
          <w:tcPr>
            <w:tcW w:w="607" w:type="dxa"/>
            <w:vMerge w:val="continue"/>
            <w:noWrap w:val="0"/>
            <w:tcMar>
              <w:top w:w="100" w:type="dxa"/>
              <w:bottom w:w="100" w:type="dxa"/>
            </w:tcMar>
            <w:vAlign w:val="center"/>
          </w:tcPr>
          <w:p w14:paraId="3F7934C1">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76513276">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3288920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4.1.3 管理计划</w:t>
            </w:r>
          </w:p>
          <w:p w14:paraId="0DB4233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制定详细的日常排班计划，确保在高峰时段、重要路口及路段有足够的劝导人员在岗。定期对劝导员进行培训，包括交通法规、文明劝导礼仪、应急处理等方面，提升其业务能力。建立考核机制，对劝导员的工作表现进行定期评估，奖优罚劣。</w:t>
            </w:r>
          </w:p>
        </w:tc>
      </w:tr>
      <w:tr w14:paraId="10B16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439" w:hRule="atLeast"/>
        </w:trPr>
        <w:tc>
          <w:tcPr>
            <w:tcW w:w="607" w:type="dxa"/>
            <w:vMerge w:val="continue"/>
            <w:noWrap w:val="0"/>
            <w:tcMar>
              <w:top w:w="100" w:type="dxa"/>
              <w:bottom w:w="100" w:type="dxa"/>
            </w:tcMar>
            <w:vAlign w:val="center"/>
          </w:tcPr>
          <w:p w14:paraId="3F900F8A">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38E9A253">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3587FAC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4.1.4 配套措施</w:t>
            </w:r>
          </w:p>
          <w:p w14:paraId="4F6381E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投标人需为交通劝导员配备必要的装备，如反光背心、口哨、指挥棒等，保障其工作安全与便利。建立沟通协调机制，与交警部门保持密切联系，及时反馈现场交通情况，以便交警快速处理突发交通事件。同时，制定应急预案，应对恶劣天气等特殊情况，确保交通秩序维护工作的连续性。</w:t>
            </w:r>
          </w:p>
        </w:tc>
      </w:tr>
      <w:tr w14:paraId="0D64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439" w:hRule="atLeast"/>
        </w:trPr>
        <w:tc>
          <w:tcPr>
            <w:tcW w:w="607" w:type="dxa"/>
            <w:vMerge w:val="continue"/>
            <w:noWrap w:val="0"/>
            <w:tcMar>
              <w:top w:w="100" w:type="dxa"/>
              <w:bottom w:w="100" w:type="dxa"/>
            </w:tcMar>
            <w:vAlign w:val="center"/>
          </w:tcPr>
          <w:p w14:paraId="0778CB23">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1C0A12C1">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4E3059E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4.2 服务质量</w:t>
            </w:r>
          </w:p>
        </w:tc>
      </w:tr>
      <w:tr w14:paraId="0A7C6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439" w:hRule="atLeast"/>
        </w:trPr>
        <w:tc>
          <w:tcPr>
            <w:tcW w:w="607" w:type="dxa"/>
            <w:vMerge w:val="continue"/>
            <w:noWrap w:val="0"/>
            <w:tcMar>
              <w:top w:w="100" w:type="dxa"/>
              <w:bottom w:w="100" w:type="dxa"/>
            </w:tcMar>
            <w:vAlign w:val="center"/>
          </w:tcPr>
          <w:p w14:paraId="7BB59B66">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0A007CDD">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05EC874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4.2.1 综合协调</w:t>
            </w:r>
          </w:p>
          <w:p w14:paraId="01A9E90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投标人应建立高效的跨部门协调机制，与公安、交通、城管等职能部门密切合作。共同商讨交通管理策略与突发问题解决方案。针对重大节假日、恶劣天气等特殊时期，提前与各部门制定联合应急预案，明确各部门职责与协作流程，确保交通秩序平稳。同时，建立信息共享平台，实时共享交通流量、事故情况等信息，以便各部门及时调整工作部署。</w:t>
            </w:r>
          </w:p>
        </w:tc>
      </w:tr>
      <w:tr w14:paraId="25C7B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320" w:hRule="atLeast"/>
        </w:trPr>
        <w:tc>
          <w:tcPr>
            <w:tcW w:w="607" w:type="dxa"/>
            <w:vMerge w:val="continue"/>
            <w:noWrap w:val="0"/>
            <w:tcMar>
              <w:top w:w="100" w:type="dxa"/>
              <w:bottom w:w="100" w:type="dxa"/>
            </w:tcMar>
            <w:vAlign w:val="center"/>
          </w:tcPr>
          <w:p w14:paraId="4A7B3930">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BAA4160">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528F7A6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4.2.2 投诉处理</w:t>
            </w:r>
          </w:p>
          <w:p w14:paraId="6589182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设立专门的投诉处理渠道，包括电话、邮箱、线上平台等，确保市民投诉能够及时接收。在接到投诉后，1小时内响应，与投诉人取得联系，了解具体情况。对于简单投诉，24小时内给出处理结果并反馈投诉人；对于复杂问题，成立专项调查小组，协同相关职能部门进行调查，5个工作日内给出初步解决方案，并持续跟进直至问题解决，定期向投诉人通报处理进度。</w:t>
            </w:r>
          </w:p>
        </w:tc>
      </w:tr>
      <w:tr w14:paraId="2A7CC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620" w:hRule="atLeast"/>
        </w:trPr>
        <w:tc>
          <w:tcPr>
            <w:tcW w:w="607" w:type="dxa"/>
            <w:vMerge w:val="continue"/>
            <w:noWrap w:val="0"/>
            <w:tcMar>
              <w:top w:w="100" w:type="dxa"/>
              <w:bottom w:w="100" w:type="dxa"/>
            </w:tcMar>
            <w:vAlign w:val="center"/>
          </w:tcPr>
          <w:p w14:paraId="3072DD3B">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7237BAD2">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C33833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4.2.3 信息反馈</w:t>
            </w:r>
          </w:p>
          <w:p w14:paraId="5966F8A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建立日报、周报、月报制度，每日向采购人汇报当日交通劝导工作情况，包括劝导人次、纠正交通违法行为数量等；每周提交工作周报，分析本周交通秩序特点、存在问题及改进措施；每月形成详细的月报，总结当月工作成果、典型案例及下月工作计划。对于重大交通事件、舆情信息，需在事件发生后30分钟内电话汇报，2小时内提交书面报告，确保信息及时、准确传递，为决策提供有力支持 。</w:t>
            </w:r>
          </w:p>
        </w:tc>
      </w:tr>
      <w:tr w14:paraId="4105E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09EEF809">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56EAB3AB">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798237A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4.3 应急要求</w:t>
            </w:r>
          </w:p>
        </w:tc>
      </w:tr>
      <w:tr w14:paraId="2DB4C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616" w:hRule="atLeast"/>
        </w:trPr>
        <w:tc>
          <w:tcPr>
            <w:tcW w:w="607" w:type="dxa"/>
            <w:vMerge w:val="continue"/>
            <w:noWrap w:val="0"/>
            <w:tcMar>
              <w:top w:w="100" w:type="dxa"/>
              <w:bottom w:w="100" w:type="dxa"/>
            </w:tcMar>
            <w:vAlign w:val="center"/>
          </w:tcPr>
          <w:p w14:paraId="4506DE2A">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081F9D51">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077CD52">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4.3.1 大型活动</w:t>
            </w:r>
          </w:p>
          <w:p w14:paraId="4B08EEC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活动前，与主办方、公安等部门沟通，掌握活动时间、规模、人员流动等信息，制定针对性交通疏导方案，合理安排劝导员分布在周边路口。活动期间，加强交通指挥，引导车辆有序停放、通行，配合公安管控临时交通管制区域，确保活动顺利进行。</w:t>
            </w:r>
          </w:p>
        </w:tc>
      </w:tr>
      <w:tr w14:paraId="1AD50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882" w:hRule="atLeast"/>
        </w:trPr>
        <w:tc>
          <w:tcPr>
            <w:tcW w:w="607" w:type="dxa"/>
            <w:vMerge w:val="continue"/>
            <w:noWrap w:val="0"/>
            <w:tcMar>
              <w:top w:w="100" w:type="dxa"/>
              <w:bottom w:w="100" w:type="dxa"/>
            </w:tcMar>
            <w:vAlign w:val="center"/>
          </w:tcPr>
          <w:p w14:paraId="4B3E8222">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D36C976">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40DD629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4.3.2 执行中的纠纷</w:t>
            </w:r>
          </w:p>
          <w:p w14:paraId="0D783C5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劝导员遭遇纠纷时，保持冷静克制，避免冲突升级。用文明语言沟通，稳定当事人情绪，了解纠纷原因。如因交通规则劝导引发，耐心解释；涉及其他矛盾，及时联系公安处理，协助维持现场秩序，提供纠纷相关信息。</w:t>
            </w:r>
          </w:p>
        </w:tc>
      </w:tr>
      <w:tr w14:paraId="231C7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098" w:hRule="atLeast"/>
        </w:trPr>
        <w:tc>
          <w:tcPr>
            <w:tcW w:w="607" w:type="dxa"/>
            <w:vMerge w:val="continue"/>
            <w:noWrap w:val="0"/>
            <w:tcMar>
              <w:top w:w="100" w:type="dxa"/>
              <w:bottom w:w="100" w:type="dxa"/>
            </w:tcMar>
            <w:vAlign w:val="center"/>
          </w:tcPr>
          <w:p w14:paraId="2768712D">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6B4751A1">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1566C56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4.3.3 自然灾害</w:t>
            </w:r>
          </w:p>
          <w:p w14:paraId="0600B6B2">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遇暴雨、暴雪、台风等自然灾害，迅速启动应急预案。发现道路积水、树木倒伏、信号灯故障等安全隐患，立即设置警示标志，上报公安及相关部门，并协助清理或疏导交通。恶劣天气下，灵活调整劝导方式，保障自身安全同时确保道路基本通行秩序。</w:t>
            </w:r>
          </w:p>
        </w:tc>
      </w:tr>
      <w:tr w14:paraId="004BB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56" w:hRule="atLeast"/>
        </w:trPr>
        <w:tc>
          <w:tcPr>
            <w:tcW w:w="607" w:type="dxa"/>
            <w:vMerge w:val="continue"/>
            <w:noWrap w:val="0"/>
            <w:tcMar>
              <w:top w:w="100" w:type="dxa"/>
              <w:bottom w:w="100" w:type="dxa"/>
            </w:tcMar>
            <w:vAlign w:val="center"/>
          </w:tcPr>
          <w:p w14:paraId="7F5253BB">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CD8222F">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6B39EBB2">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4.3.4 交通事故</w:t>
            </w:r>
          </w:p>
          <w:p w14:paraId="0BE0252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发生交通事故，劝导员第一时间拨打122、120，保护现场，防止二次事故。协助交警维持秩序，疏散围观群众，引导车辆绕行。若有伤者，在专业救援人员到达前，提供力所能及的帮助，如简单止血、固定等。</w:t>
            </w:r>
          </w:p>
        </w:tc>
      </w:tr>
      <w:tr w14:paraId="5F33A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52" w:hRule="atLeast"/>
        </w:trPr>
        <w:tc>
          <w:tcPr>
            <w:tcW w:w="607" w:type="dxa"/>
            <w:vMerge w:val="continue"/>
            <w:noWrap w:val="0"/>
            <w:tcMar>
              <w:top w:w="100" w:type="dxa"/>
              <w:bottom w:w="100" w:type="dxa"/>
            </w:tcMar>
            <w:vAlign w:val="center"/>
          </w:tcPr>
          <w:p w14:paraId="7540E479">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57649A79">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6D9655F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4.4 进退场要求</w:t>
            </w:r>
          </w:p>
        </w:tc>
      </w:tr>
      <w:tr w14:paraId="6BAF7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52" w:hRule="atLeast"/>
        </w:trPr>
        <w:tc>
          <w:tcPr>
            <w:tcW w:w="607" w:type="dxa"/>
            <w:vMerge w:val="continue"/>
            <w:noWrap w:val="0"/>
            <w:tcMar>
              <w:top w:w="100" w:type="dxa"/>
              <w:bottom w:w="100" w:type="dxa"/>
            </w:tcMar>
            <w:vAlign w:val="center"/>
          </w:tcPr>
          <w:p w14:paraId="652E91FD">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192110AE">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3F15C6A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4.4.1 交接范围</w:t>
            </w:r>
          </w:p>
          <w:p w14:paraId="29650FC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涵盖人员、物资、资料三方面。人员方面，包括现有及拟交接的交通劝导员信息、培训情况等；物资有岗亭、交通指挥设备、防护用具等；资料涉及交通流量数据、劝导工作记录、应急预案等。</w:t>
            </w:r>
          </w:p>
        </w:tc>
      </w:tr>
      <w:tr w14:paraId="36633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52" w:hRule="atLeast"/>
        </w:trPr>
        <w:tc>
          <w:tcPr>
            <w:tcW w:w="607" w:type="dxa"/>
            <w:vMerge w:val="continue"/>
            <w:noWrap w:val="0"/>
            <w:tcMar>
              <w:top w:w="100" w:type="dxa"/>
              <w:bottom w:w="100" w:type="dxa"/>
            </w:tcMar>
            <w:vAlign w:val="center"/>
          </w:tcPr>
          <w:p w14:paraId="48A07C9F">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621A458B">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77C296F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4.4.2 进场交接要求</w:t>
            </w:r>
          </w:p>
          <w:p w14:paraId="2241900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提前与采购人沟通确定进场时间。投标人在进场前完成人员招聘和培训，熟悉工作区域和流程。到达现场后，与采购人指定人员对照交接清单，清点物资、移交资料，确保准确无误。同时，安排原工作人员进行现场指导，帮助新团队尽快适应工作。</w:t>
            </w:r>
          </w:p>
        </w:tc>
      </w:tr>
      <w:tr w14:paraId="6B666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882" w:hRule="atLeast"/>
        </w:trPr>
        <w:tc>
          <w:tcPr>
            <w:tcW w:w="607" w:type="dxa"/>
            <w:vMerge w:val="continue"/>
            <w:noWrap w:val="0"/>
            <w:tcMar>
              <w:top w:w="100" w:type="dxa"/>
              <w:bottom w:w="100" w:type="dxa"/>
            </w:tcMar>
            <w:vAlign w:val="center"/>
          </w:tcPr>
          <w:p w14:paraId="44AA3C17">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E07FF79">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4DFC745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4.4.3 退场交接要求</w:t>
            </w:r>
          </w:p>
          <w:p w14:paraId="584C63A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在合同期满或服务终止前1个月，向采购人提交退场申请和交接计划。按计划有序撤离人员，归还或妥善处置物资。整理并移交服务期间产生的各类资料，配合采购人进行工作评估和审计，对未完成事项提供说明和建议。</w:t>
            </w:r>
          </w:p>
        </w:tc>
      </w:tr>
      <w:tr w14:paraId="19B9C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22" w:hRule="atLeast"/>
        </w:trPr>
        <w:tc>
          <w:tcPr>
            <w:tcW w:w="607" w:type="dxa"/>
            <w:vMerge w:val="continue"/>
            <w:noWrap w:val="0"/>
            <w:tcMar>
              <w:top w:w="100" w:type="dxa"/>
              <w:bottom w:w="100" w:type="dxa"/>
            </w:tcMar>
            <w:vAlign w:val="center"/>
          </w:tcPr>
          <w:p w14:paraId="3F9B3577">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3D98C85C">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8D93A4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4.4.4 交接计划</w:t>
            </w:r>
          </w:p>
          <w:p w14:paraId="22023EA4">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投标人应制定交接。计划，确保在规定时间内完成交接。</w:t>
            </w:r>
          </w:p>
        </w:tc>
      </w:tr>
      <w:tr w14:paraId="73F6B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22" w:hRule="atLeast"/>
        </w:trPr>
        <w:tc>
          <w:tcPr>
            <w:tcW w:w="607" w:type="dxa"/>
            <w:vMerge w:val="restart"/>
            <w:noWrap w:val="0"/>
            <w:tcMar>
              <w:top w:w="100" w:type="dxa"/>
              <w:bottom w:w="100" w:type="dxa"/>
            </w:tcMar>
            <w:vAlign w:val="center"/>
          </w:tcPr>
          <w:p w14:paraId="3734B827">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13" w:type="dxa"/>
            <w:vMerge w:val="restart"/>
            <w:noWrap w:val="0"/>
            <w:tcMar>
              <w:top w:w="100" w:type="dxa"/>
              <w:bottom w:w="100" w:type="dxa"/>
            </w:tcMar>
            <w:vAlign w:val="center"/>
          </w:tcPr>
          <w:p w14:paraId="7C74046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无人机巡飞</w:t>
            </w:r>
          </w:p>
        </w:tc>
        <w:tc>
          <w:tcPr>
            <w:tcW w:w="8562" w:type="dxa"/>
            <w:noWrap w:val="0"/>
            <w:tcMar>
              <w:top w:w="100" w:type="dxa"/>
              <w:bottom w:w="100" w:type="dxa"/>
            </w:tcMar>
            <w:vAlign w:val="center"/>
          </w:tcPr>
          <w:p w14:paraId="7B8D5BF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为优化交通疏导，缓解拥堵问题，要求投标人提供无人机巡飞服务。</w:t>
            </w:r>
          </w:p>
        </w:tc>
      </w:tr>
      <w:tr w14:paraId="1D161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82" w:hRule="atLeast"/>
        </w:trPr>
        <w:tc>
          <w:tcPr>
            <w:tcW w:w="607" w:type="dxa"/>
            <w:vMerge w:val="continue"/>
            <w:noWrap w:val="0"/>
            <w:tcMar>
              <w:top w:w="100" w:type="dxa"/>
              <w:bottom w:w="100" w:type="dxa"/>
            </w:tcMar>
            <w:vAlign w:val="center"/>
          </w:tcPr>
          <w:p w14:paraId="5CA22DD4">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47B8201B">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0CE275A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5.1 巡飞路线及频次</w:t>
            </w:r>
          </w:p>
        </w:tc>
      </w:tr>
      <w:tr w14:paraId="126BE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880" w:hRule="atLeast"/>
        </w:trPr>
        <w:tc>
          <w:tcPr>
            <w:tcW w:w="607" w:type="dxa"/>
            <w:vMerge w:val="continue"/>
            <w:noWrap w:val="0"/>
            <w:tcMar>
              <w:top w:w="100" w:type="dxa"/>
              <w:bottom w:w="100" w:type="dxa"/>
            </w:tcMar>
            <w:vAlign w:val="center"/>
          </w:tcPr>
          <w:p w14:paraId="6259883D">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02F31D27">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58C9089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1、围绕我市重点路口进行无人机巡航，每日飞行时间不少于3小时，重点早、晚高峰期。</w:t>
            </w:r>
          </w:p>
          <w:p w14:paraId="59D9CD9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飞行线路:长安路暨阳路口-长安路人民路口-人民路海关路口-人民路东环路口-东环路暨阳路口-东环路沙洲路口-金港大道南苑路口-港城大道小河坝路口-港城大道沙洲路口-港城大道暨阳路口-港城大道泗杨路口-港城大道人民路口-人民路长安路口。</w:t>
            </w:r>
          </w:p>
        </w:tc>
      </w:tr>
      <w:tr w14:paraId="6451F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0895ABEE">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43B7CFC1">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34B5B3C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5.2 巡飞服务要求</w:t>
            </w:r>
          </w:p>
        </w:tc>
      </w:tr>
      <w:tr w14:paraId="79132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880" w:hRule="atLeast"/>
        </w:trPr>
        <w:tc>
          <w:tcPr>
            <w:tcW w:w="607" w:type="dxa"/>
            <w:vMerge w:val="continue"/>
            <w:noWrap w:val="0"/>
            <w:tcMar>
              <w:top w:w="100" w:type="dxa"/>
              <w:bottom w:w="100" w:type="dxa"/>
            </w:tcMar>
            <w:vAlign w:val="center"/>
          </w:tcPr>
          <w:p w14:paraId="22AE4466">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13EDD813">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39F5C53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高峰时段疏导：在工作日早晚高峰（7:00 - 9:00，17:00 - 19:00）以及节假日出行高峰期间，针对市区主要拥堵路段，无人机需按照预设路线开展定时巡航，每次巡航时长不少于30分钟。利用搭载的高清摄像头，对道路上的车辆排队长度、通行速度进行实时监测，通过图像识别技术分析交通拥堵程度，将数据传输至指挥中心。协助交警疏导交通，引导车辆选择合理的绕行路线，避免驶入拥堵路段。</w:t>
            </w:r>
          </w:p>
          <w:p w14:paraId="54EEC5F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大型活动疏导：提前根据活动场地周边道路情况制定无人机飞行计划，对活动现场及周边道路进行全方位监控。针对人员密集的活动广场及周边道路，利用无人机实时监测人流、车流情况，及时发现可能出现的交通拥堵隐患。配合地面安保人员进行交通疏导，确保活动期间周边道路的交通秩序井然。</w:t>
            </w:r>
          </w:p>
          <w:p w14:paraId="14C3C1F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恶劣天气疏导：遇到暴雨、大雾、暴雪等恶劣天气，增加无人机巡逻频次，对易积水路段（如东横河沿线道路）、易结冰路段（如桥梁、高架路段）进行重点巡查。利用无人机搭载的热成像仪、红外传感器等设备，在恶劣天气条件下也能清晰监测道路状况，及时发现因恶劣天气导致的道路积水深度、结冰范围、车辆故障等问题，并迅速将信息反馈给指挥中心。同时，配合相关部门，对因恶劣天气导致的交通拥堵进行紧急疏导，引导车辆避开危险路段，确保恶劣天气下道路交通的安全与畅通。</w:t>
            </w:r>
          </w:p>
        </w:tc>
      </w:tr>
      <w:tr w14:paraId="7B53C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75" w:hRule="atLeast"/>
        </w:trPr>
        <w:tc>
          <w:tcPr>
            <w:tcW w:w="607" w:type="dxa"/>
            <w:vMerge w:val="continue"/>
            <w:noWrap w:val="0"/>
            <w:tcMar>
              <w:top w:w="100" w:type="dxa"/>
              <w:bottom w:w="100" w:type="dxa"/>
            </w:tcMar>
            <w:vAlign w:val="center"/>
          </w:tcPr>
          <w:p w14:paraId="52C9689B">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4902A9A4">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132BA12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5.3 无人机及其配套设备要求</w:t>
            </w:r>
          </w:p>
        </w:tc>
      </w:tr>
      <w:tr w14:paraId="54602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115" w:hRule="atLeast"/>
        </w:trPr>
        <w:tc>
          <w:tcPr>
            <w:tcW w:w="607" w:type="dxa"/>
            <w:vMerge w:val="continue"/>
            <w:noWrap w:val="0"/>
            <w:tcMar>
              <w:top w:w="100" w:type="dxa"/>
              <w:bottom w:w="100" w:type="dxa"/>
            </w:tcMar>
            <w:vAlign w:val="center"/>
          </w:tcPr>
          <w:p w14:paraId="69DF052D">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A784ED8">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07FD2E2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投标人应投入不少于3台无人机并配有无人机机场。无人机机场点位由投标人根据巡飞路线并结合自身实际情况设立。具体参数要求如下：</w:t>
            </w:r>
          </w:p>
          <w:p w14:paraId="1FB8193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1、续航≥45分钟，作业抗风能力达到12米/秒（6级）；起降阶段抗风能力达到12米/秒（6级），具备RTK高精度定位；</w:t>
            </w:r>
          </w:p>
          <w:p w14:paraId="3607BFB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2、支持4K可见光+热成像双光云台，支持16倍数字变焦；</w:t>
            </w:r>
          </w:p>
          <w:p w14:paraId="65C30FC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3、支持实时回传1080P视频流，延迟≤2秒；</w:t>
            </w:r>
          </w:p>
          <w:p w14:paraId="45ACE43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4、360°全向避障，适应城市复杂环境。</w:t>
            </w:r>
          </w:p>
          <w:p w14:paraId="3CFB8BB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5、螺旋桨支持折叠；</w:t>
            </w:r>
          </w:p>
          <w:p w14:paraId="245D601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6、支持视频数据本地化存储，保留≥30天；</w:t>
            </w:r>
          </w:p>
          <w:p w14:paraId="54C0E194">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7、配套机场具备在常温环境，30分钟内将无人机的电量从关机状态充至95%；</w:t>
            </w:r>
          </w:p>
          <w:p w14:paraId="642DCE5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8、机场防护等级不低于IP56。</w:t>
            </w:r>
          </w:p>
        </w:tc>
      </w:tr>
      <w:tr w14:paraId="75748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20" w:hRule="atLeast"/>
        </w:trPr>
        <w:tc>
          <w:tcPr>
            <w:tcW w:w="607" w:type="dxa"/>
            <w:vMerge w:val="continue"/>
            <w:noWrap w:val="0"/>
            <w:tcMar>
              <w:top w:w="100" w:type="dxa"/>
              <w:bottom w:w="100" w:type="dxa"/>
            </w:tcMar>
            <w:vAlign w:val="center"/>
          </w:tcPr>
          <w:p w14:paraId="6C975AEE">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76775316">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0DDC44D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5.4 无人机飞手</w:t>
            </w:r>
          </w:p>
        </w:tc>
      </w:tr>
      <w:tr w14:paraId="2B2B2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30" w:hRule="atLeast"/>
        </w:trPr>
        <w:tc>
          <w:tcPr>
            <w:tcW w:w="607" w:type="dxa"/>
            <w:vMerge w:val="continue"/>
            <w:noWrap w:val="0"/>
            <w:tcMar>
              <w:top w:w="100" w:type="dxa"/>
              <w:bottom w:w="100" w:type="dxa"/>
            </w:tcMar>
            <w:vAlign w:val="center"/>
          </w:tcPr>
          <w:p w14:paraId="33B1081A">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79310C96">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6E4F0673">
            <w:pPr>
              <w:pStyle w:val="586"/>
              <w:spacing w:line="44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投标人须配备不少于</w:t>
            </w:r>
            <w:r>
              <w:rPr>
                <w:rFonts w:hint="eastAsia" w:ascii="宋体" w:hAnsi="宋体" w:eastAsia="宋体" w:cs="宋体"/>
                <w:i/>
                <w:iCs/>
                <w:color w:val="auto"/>
                <w:highlight w:val="none"/>
                <w:u w:val="single"/>
                <w:lang w:val="en-US" w:eastAsia="zh-CN"/>
              </w:rPr>
              <w:t>6</w:t>
            </w:r>
            <w:r>
              <w:rPr>
                <w:rFonts w:hint="eastAsia" w:ascii="宋体" w:hAnsi="宋体" w:eastAsia="宋体" w:cs="宋体"/>
                <w:i/>
                <w:iCs/>
                <w:color w:val="auto"/>
                <w:highlight w:val="none"/>
                <w:u w:val="single"/>
              </w:rPr>
              <w:t>名无人机飞手，并获得《民用无人机驾驶员执照》（CAAC认证），请在投标文件在提供相关人员有效证书或承诺在中标后30天内提供相关人员证书（提供承诺函），不提供作无效投标处理。</w:t>
            </w:r>
          </w:p>
        </w:tc>
      </w:tr>
      <w:tr w14:paraId="717DC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30" w:hRule="atLeast"/>
        </w:trPr>
        <w:tc>
          <w:tcPr>
            <w:tcW w:w="607" w:type="dxa"/>
            <w:vMerge w:val="continue"/>
            <w:noWrap w:val="0"/>
            <w:tcMar>
              <w:top w:w="100" w:type="dxa"/>
              <w:bottom w:w="100" w:type="dxa"/>
            </w:tcMar>
            <w:vAlign w:val="center"/>
          </w:tcPr>
          <w:p w14:paraId="53AFFBB7">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DFB131B">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7E2C815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5.5 其他要求</w:t>
            </w:r>
          </w:p>
        </w:tc>
      </w:tr>
      <w:tr w14:paraId="4F945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Height w:val="330" w:hRule="atLeast"/>
        </w:trPr>
        <w:tc>
          <w:tcPr>
            <w:tcW w:w="607" w:type="dxa"/>
            <w:vMerge w:val="continue"/>
            <w:noWrap w:val="0"/>
            <w:tcMar>
              <w:top w:w="100" w:type="dxa"/>
              <w:bottom w:w="100" w:type="dxa"/>
            </w:tcMar>
            <w:vAlign w:val="center"/>
          </w:tcPr>
          <w:p w14:paraId="1B8F4D09">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5B42757A">
            <w:pPr>
              <w:spacing w:line="440" w:lineRule="exact"/>
              <w:rPr>
                <w:rFonts w:hint="eastAsia" w:ascii="宋体" w:hAnsi="宋体" w:eastAsia="宋体" w:cs="宋体"/>
                <w:color w:val="auto"/>
                <w:sz w:val="24"/>
                <w:szCs w:val="24"/>
                <w:highlight w:val="none"/>
              </w:rPr>
            </w:pPr>
          </w:p>
        </w:tc>
        <w:tc>
          <w:tcPr>
            <w:tcW w:w="8562" w:type="dxa"/>
            <w:noWrap w:val="0"/>
            <w:tcMar>
              <w:top w:w="100" w:type="dxa"/>
              <w:bottom w:w="100" w:type="dxa"/>
            </w:tcMar>
            <w:vAlign w:val="center"/>
          </w:tcPr>
          <w:p w14:paraId="000CB7A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1、无人机飞行高度支持300米；</w:t>
            </w:r>
          </w:p>
          <w:p w14:paraId="24801AE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2、供应商须办理</w:t>
            </w:r>
            <w:r>
              <w:rPr>
                <w:rFonts w:hint="eastAsia" w:ascii="宋体" w:hAnsi="宋体" w:eastAsia="宋体" w:cs="宋体"/>
                <w:b/>
                <w:bCs/>
                <w:color w:val="auto"/>
                <w:highlight w:val="none"/>
              </w:rPr>
              <w:t>《无人机空域使用许可》</w:t>
            </w:r>
            <w:r>
              <w:rPr>
                <w:rFonts w:hint="eastAsia" w:ascii="宋体" w:hAnsi="宋体" w:eastAsia="宋体" w:cs="宋体"/>
                <w:color w:val="auto"/>
                <w:highlight w:val="none"/>
              </w:rPr>
              <w:t>，确保合法飞行。</w:t>
            </w:r>
          </w:p>
          <w:p w14:paraId="13E8D2B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3、如出现故障，备用无人机30分钟内能接替飞行。</w:t>
            </w:r>
          </w:p>
          <w:p w14:paraId="6B91F4A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4、数据管理符合《网络安全法》</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级等保要求，支持接入市公安内网。</w:t>
            </w:r>
          </w:p>
        </w:tc>
      </w:tr>
      <w:tr w14:paraId="6AC64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7" w:type="dxa"/>
            <w:noWrap w:val="0"/>
            <w:tcMar>
              <w:top w:w="100" w:type="dxa"/>
              <w:bottom w:w="100" w:type="dxa"/>
            </w:tcMar>
            <w:vAlign w:val="center"/>
          </w:tcPr>
          <w:p w14:paraId="04AE38BA">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513" w:type="dxa"/>
            <w:noWrap w:val="0"/>
            <w:tcMar>
              <w:top w:w="100" w:type="dxa"/>
              <w:bottom w:w="100" w:type="dxa"/>
            </w:tcMar>
            <w:vAlign w:val="center"/>
          </w:tcPr>
          <w:p w14:paraId="164DE1F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工作管理规定</w:t>
            </w:r>
          </w:p>
        </w:tc>
        <w:tc>
          <w:tcPr>
            <w:tcW w:w="8562" w:type="dxa"/>
            <w:noWrap w:val="0"/>
            <w:tcMar>
              <w:top w:w="100" w:type="dxa"/>
              <w:bottom w:w="100" w:type="dxa"/>
            </w:tcMar>
            <w:vAlign w:val="center"/>
          </w:tcPr>
          <w:p w14:paraId="75F2B2F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（1）上岗时间：每周工作6天（周日及法定假除外），如遇特殊情况需延时的，应服从</w:t>
            </w:r>
            <w:r>
              <w:rPr>
                <w:rFonts w:hint="eastAsia" w:ascii="宋体" w:hAnsi="宋体" w:eastAsia="宋体" w:cs="宋体"/>
                <w:color w:val="auto"/>
                <w:highlight w:val="none"/>
                <w:lang w:eastAsia="zh-CN"/>
              </w:rPr>
              <w:t>张家港市公安局交通管理大队</w:t>
            </w:r>
            <w:r>
              <w:rPr>
                <w:rFonts w:hint="eastAsia" w:ascii="宋体" w:hAnsi="宋体" w:eastAsia="宋体" w:cs="宋体"/>
                <w:color w:val="auto"/>
                <w:highlight w:val="none"/>
              </w:rPr>
              <w:t>的调配。</w:t>
            </w:r>
          </w:p>
          <w:p w14:paraId="717DA08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管理人员上岗期间着统一的制服、穿黑色皮鞋或运动鞋、佩戴统一的标志符号（服装样式、服装种类、服装数量、标志符号和证件的设计、制作和供应，按国家规定和采购人的要求执行），做到着装整齐。实行岗前培训，统一上岗，做到文明管理，礼貌待人。</w:t>
            </w:r>
          </w:p>
          <w:p w14:paraId="24EFD13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（3）管理人员严禁工作期间看阅书报、玩手机、游戏机等与工作无关的事情。</w:t>
            </w:r>
          </w:p>
          <w:p w14:paraId="6075445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（4）严禁管理人员泄露采购人整治计划、工作情况。</w:t>
            </w:r>
          </w:p>
          <w:p w14:paraId="035193D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（5）管理人员工作期间不得脱岗、串岗、闲聊、吸烟、嬉笑打闹、将手插入口袋、背手、挽臂揽腰巡逻。</w:t>
            </w:r>
          </w:p>
        </w:tc>
      </w:tr>
      <w:tr w14:paraId="1FBF3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restart"/>
            <w:noWrap w:val="0"/>
            <w:tcMar>
              <w:top w:w="100" w:type="dxa"/>
              <w:bottom w:w="100" w:type="dxa"/>
            </w:tcMar>
            <w:vAlign w:val="center"/>
          </w:tcPr>
          <w:p w14:paraId="6091C86E">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513" w:type="dxa"/>
            <w:vMerge w:val="restart"/>
            <w:noWrap w:val="0"/>
            <w:tcMar>
              <w:top w:w="100" w:type="dxa"/>
              <w:bottom w:w="100" w:type="dxa"/>
            </w:tcMar>
            <w:vAlign w:val="center"/>
          </w:tcPr>
          <w:p w14:paraId="70712B7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交通劝导服务标准、检查、考核</w:t>
            </w:r>
          </w:p>
        </w:tc>
        <w:tc>
          <w:tcPr>
            <w:tcW w:w="8562" w:type="dxa"/>
            <w:noWrap w:val="0"/>
            <w:tcMar>
              <w:top w:w="100" w:type="dxa"/>
              <w:bottom w:w="100" w:type="dxa"/>
            </w:tcMar>
            <w:vAlign w:val="center"/>
          </w:tcPr>
          <w:p w14:paraId="639BE20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交通劝导员队伍管理规定（具体内容详见合同）。</w:t>
            </w:r>
          </w:p>
        </w:tc>
      </w:tr>
      <w:tr w14:paraId="372CF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799605AD">
            <w:pPr>
              <w:pStyle w:val="586"/>
              <w:spacing w:line="440" w:lineRule="exact"/>
              <w:jc w:val="center"/>
              <w:rPr>
                <w:rFonts w:hint="eastAsia" w:ascii="宋体" w:hAnsi="宋体" w:eastAsia="宋体" w:cs="宋体"/>
                <w:color w:val="auto"/>
                <w:highlight w:val="none"/>
              </w:rPr>
            </w:pPr>
          </w:p>
        </w:tc>
        <w:tc>
          <w:tcPr>
            <w:tcW w:w="1513" w:type="dxa"/>
            <w:vMerge w:val="continue"/>
            <w:noWrap w:val="0"/>
            <w:tcMar>
              <w:top w:w="100" w:type="dxa"/>
              <w:bottom w:w="100" w:type="dxa"/>
            </w:tcMar>
            <w:vAlign w:val="center"/>
          </w:tcPr>
          <w:p w14:paraId="7769DBB0">
            <w:pPr>
              <w:pStyle w:val="586"/>
              <w:spacing w:line="440" w:lineRule="exact"/>
              <w:rPr>
                <w:rFonts w:hint="eastAsia" w:ascii="宋体" w:hAnsi="宋体" w:eastAsia="宋体" w:cs="宋体"/>
                <w:color w:val="auto"/>
                <w:highlight w:val="none"/>
              </w:rPr>
            </w:pPr>
          </w:p>
        </w:tc>
        <w:tc>
          <w:tcPr>
            <w:tcW w:w="8562" w:type="dxa"/>
            <w:noWrap w:val="0"/>
            <w:tcMar>
              <w:top w:w="100" w:type="dxa"/>
              <w:bottom w:w="100" w:type="dxa"/>
            </w:tcMar>
            <w:vAlign w:val="center"/>
          </w:tcPr>
          <w:p w14:paraId="227AE8D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6.1 管理规定适用范围：适用于所有受聘中标公司和参与交通劝导管理的人员。</w:t>
            </w:r>
          </w:p>
        </w:tc>
      </w:tr>
      <w:tr w14:paraId="478FB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6C2F52E5">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35DB9EC6">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55D39A2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6.2 中标公司服务标准</w:t>
            </w:r>
          </w:p>
        </w:tc>
      </w:tr>
      <w:tr w14:paraId="7995E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0D07DC85">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FDB0C9B">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73CB92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6.2.1 中标公司服务标准</w:t>
            </w:r>
          </w:p>
          <w:p w14:paraId="5C77921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（1）必须严格选拔，提供足量优质的人员参与交通劝导服务。</w:t>
            </w:r>
          </w:p>
          <w:p w14:paraId="5A3E7F1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必须定期为参与交通劝导服务的劝导员提供交通手势、执勤姿态等交通相关的培训，培训时间每周累计不少于2小时，并指派专人现场指导，记录培训情况并定期上报，在日常工作中要多做思想沟通，总结经验，改进不足。</w:t>
            </w:r>
          </w:p>
          <w:p w14:paraId="1CAA069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（3）必须为参与交通管理劝导员提供充分的后勤保障，为其制作保安证，配齐所有必要装备。</w:t>
            </w:r>
          </w:p>
          <w:p w14:paraId="53714D7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（5）必须制定一套完整的管理制度，表彰优秀交通劝导员，严肃处理纪律性不强，经常性迟到、早退、无故缺勤的交通劝导人员。人员调动，须及时联系负责管理的中队，说明情况，补齐人员。</w:t>
            </w:r>
          </w:p>
          <w:p w14:paraId="20140B0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（6）必须熟悉相关管理制度，配合张家港市公安局交通管理大队保质保量完成交通劝导工作。严守纪律，对于服务质量差，达不到聘用要求的，张家港市公安局交通管理大队有权单方面解除合约。</w:t>
            </w:r>
          </w:p>
          <w:p w14:paraId="70D1AB4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（7）必须无条件服从张家港市公安局交通管理大队的安排。张家港市公安局交通管理大队根据已定标准对参与交通劝导服务的中标公司和交通劝导人员进行考核。</w:t>
            </w:r>
          </w:p>
        </w:tc>
      </w:tr>
      <w:tr w14:paraId="14CEB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06A11AC4">
            <w:pPr>
              <w:pStyle w:val="586"/>
              <w:spacing w:line="440" w:lineRule="exact"/>
              <w:jc w:val="center"/>
              <w:rPr>
                <w:rFonts w:hint="eastAsia" w:ascii="宋体" w:hAnsi="宋体" w:eastAsia="宋体" w:cs="宋体"/>
                <w:color w:val="auto"/>
                <w:highlight w:val="none"/>
              </w:rPr>
            </w:pPr>
          </w:p>
        </w:tc>
        <w:tc>
          <w:tcPr>
            <w:tcW w:w="1513" w:type="dxa"/>
            <w:vMerge w:val="continue"/>
            <w:noWrap w:val="0"/>
            <w:tcMar>
              <w:top w:w="100" w:type="dxa"/>
              <w:bottom w:w="100" w:type="dxa"/>
            </w:tcMar>
            <w:vAlign w:val="center"/>
          </w:tcPr>
          <w:p w14:paraId="214F9406">
            <w:pPr>
              <w:pStyle w:val="586"/>
              <w:spacing w:line="440" w:lineRule="exact"/>
              <w:rPr>
                <w:rFonts w:hint="eastAsia" w:ascii="宋体" w:hAnsi="宋体" w:eastAsia="宋体" w:cs="宋体"/>
                <w:color w:val="auto"/>
                <w:highlight w:val="none"/>
              </w:rPr>
            </w:pPr>
          </w:p>
        </w:tc>
        <w:tc>
          <w:tcPr>
            <w:tcW w:w="8562" w:type="dxa"/>
            <w:noWrap w:val="0"/>
            <w:tcMar>
              <w:top w:w="100" w:type="dxa"/>
              <w:bottom w:w="100" w:type="dxa"/>
            </w:tcMar>
            <w:vAlign w:val="center"/>
          </w:tcPr>
          <w:p w14:paraId="30755AFA">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6.2.2 录用交通劝导人员上岗标准</w:t>
            </w:r>
          </w:p>
          <w:p w14:paraId="0AF3892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参与交通劝导服务的劝导人员应当明确主要职责，积极参与工作，严格遵守服务期间一切管理规定。张家港市公安局交通管理大队将依照一定标准对其工作过程和效果进行检查、考核。</w:t>
            </w:r>
          </w:p>
          <w:p w14:paraId="669ECA9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服务人员上岗标准：详见附件一</w:t>
            </w:r>
          </w:p>
        </w:tc>
      </w:tr>
      <w:tr w14:paraId="7E312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5B215265">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27CC2CA3">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4F5294F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6.3 管理和考核规定</w:t>
            </w:r>
          </w:p>
        </w:tc>
      </w:tr>
      <w:tr w14:paraId="210F2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0CAD9850">
            <w:pPr>
              <w:pStyle w:val="586"/>
              <w:spacing w:line="440" w:lineRule="exact"/>
              <w:jc w:val="center"/>
              <w:rPr>
                <w:rFonts w:hint="eastAsia" w:ascii="宋体" w:hAnsi="宋体" w:eastAsia="宋体" w:cs="宋体"/>
                <w:color w:val="auto"/>
                <w:highlight w:val="none"/>
              </w:rPr>
            </w:pPr>
          </w:p>
        </w:tc>
        <w:tc>
          <w:tcPr>
            <w:tcW w:w="1513" w:type="dxa"/>
            <w:vMerge w:val="continue"/>
            <w:noWrap w:val="0"/>
            <w:tcMar>
              <w:top w:w="100" w:type="dxa"/>
              <w:bottom w:w="100" w:type="dxa"/>
            </w:tcMar>
            <w:vAlign w:val="center"/>
          </w:tcPr>
          <w:p w14:paraId="5AE1691A">
            <w:pPr>
              <w:pStyle w:val="586"/>
              <w:spacing w:line="440" w:lineRule="exact"/>
              <w:rPr>
                <w:rFonts w:hint="eastAsia" w:ascii="宋体" w:hAnsi="宋体" w:eastAsia="宋体" w:cs="宋体"/>
                <w:color w:val="auto"/>
                <w:highlight w:val="none"/>
              </w:rPr>
            </w:pPr>
          </w:p>
        </w:tc>
        <w:tc>
          <w:tcPr>
            <w:tcW w:w="8562" w:type="dxa"/>
            <w:noWrap w:val="0"/>
            <w:tcMar>
              <w:top w:w="100" w:type="dxa"/>
              <w:bottom w:w="100" w:type="dxa"/>
            </w:tcMar>
            <w:vAlign w:val="center"/>
          </w:tcPr>
          <w:p w14:paraId="3F602D7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6.3.1管理规定</w:t>
            </w:r>
          </w:p>
          <w:p w14:paraId="405C1A7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工作任务：协助参与早、晚高峰期、平峰期及</w:t>
            </w:r>
            <w:r>
              <w:rPr>
                <w:rFonts w:hint="eastAsia" w:ascii="宋体" w:hAnsi="宋体" w:eastAsia="宋体" w:cs="宋体"/>
                <w:color w:val="auto"/>
                <w:highlight w:val="none"/>
                <w:lang w:val="en-US" w:eastAsia="zh-CN"/>
              </w:rPr>
              <w:t>大型活动、恶劣天气</w:t>
            </w:r>
            <w:r>
              <w:rPr>
                <w:rFonts w:hint="eastAsia" w:ascii="宋体" w:hAnsi="宋体" w:eastAsia="宋体" w:cs="宋体"/>
                <w:color w:val="auto"/>
                <w:highlight w:val="none"/>
              </w:rPr>
              <w:t>期间道路交通劝导工作，以减少路面交通事故发生率、劝导不文明行为、疏通道路和交通拥堵的问题，最大限度保障道路交通安全、有序、畅通。</w:t>
            </w:r>
          </w:p>
          <w:p w14:paraId="4F5175F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参与交通劝导的劝导人员由辖区中队负责统一管理。交通劝导人员须听从路面执勤民警安排，接受路面民警监督。</w:t>
            </w:r>
          </w:p>
        </w:tc>
      </w:tr>
      <w:tr w14:paraId="6A464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073934EC">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6FB482C4">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5B1E25E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6.3.2 考核细则</w:t>
            </w:r>
          </w:p>
          <w:p w14:paraId="47A06F3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各</w:t>
            </w:r>
            <w:r>
              <w:rPr>
                <w:rFonts w:hint="eastAsia" w:ascii="宋体" w:hAnsi="宋体" w:eastAsia="宋体" w:cs="宋体"/>
                <w:color w:val="auto"/>
                <w:highlight w:val="none"/>
                <w:lang w:eastAsia="zh-CN"/>
              </w:rPr>
              <w:t>交管中队</w:t>
            </w:r>
            <w:r>
              <w:rPr>
                <w:rFonts w:hint="eastAsia" w:ascii="宋体" w:hAnsi="宋体" w:eastAsia="宋体" w:cs="宋体"/>
                <w:color w:val="auto"/>
                <w:highlight w:val="none"/>
              </w:rPr>
              <w:t>负责辖区交通劝导员日常管理及每日考核工作。</w:t>
            </w:r>
          </w:p>
          <w:p w14:paraId="22F703D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各</w:t>
            </w:r>
            <w:r>
              <w:rPr>
                <w:rFonts w:hint="eastAsia" w:ascii="宋体" w:hAnsi="宋体" w:eastAsia="宋体" w:cs="宋体"/>
                <w:color w:val="auto"/>
                <w:highlight w:val="none"/>
                <w:lang w:eastAsia="zh-CN"/>
              </w:rPr>
              <w:t>交管中队</w:t>
            </w:r>
            <w:r>
              <w:rPr>
                <w:rFonts w:hint="eastAsia" w:ascii="宋体" w:hAnsi="宋体" w:eastAsia="宋体" w:cs="宋体"/>
                <w:color w:val="auto"/>
                <w:highlight w:val="none"/>
              </w:rPr>
              <w:t>须指定专人负责每日交通劝导员检查工作，根据下述考核扣分细则对辖区交通劝导员进行细致的督查，记录违规行为。汇总后每周一上午10时前报</w:t>
            </w:r>
            <w:r>
              <w:rPr>
                <w:rFonts w:hint="eastAsia" w:ascii="宋体" w:hAnsi="宋体" w:eastAsia="宋体" w:cs="宋体"/>
                <w:color w:val="auto"/>
                <w:highlight w:val="none"/>
                <w:lang w:eastAsia="zh-CN"/>
              </w:rPr>
              <w:t>交通指挥中心</w:t>
            </w:r>
            <w:r>
              <w:rPr>
                <w:rFonts w:hint="eastAsia" w:ascii="宋体" w:hAnsi="宋体" w:eastAsia="宋体" w:cs="宋体"/>
                <w:color w:val="auto"/>
                <w:highlight w:val="none"/>
              </w:rPr>
              <w:t>邮箱。逾期不报的，</w:t>
            </w:r>
            <w:r>
              <w:rPr>
                <w:rFonts w:hint="eastAsia" w:ascii="宋体" w:hAnsi="宋体" w:eastAsia="宋体" w:cs="宋体"/>
                <w:color w:val="auto"/>
                <w:highlight w:val="none"/>
                <w:lang w:eastAsia="zh-CN"/>
              </w:rPr>
              <w:t>交管大队</w:t>
            </w:r>
            <w:r>
              <w:rPr>
                <w:rFonts w:hint="eastAsia" w:ascii="宋体" w:hAnsi="宋体" w:eastAsia="宋体" w:cs="宋体"/>
                <w:color w:val="auto"/>
                <w:highlight w:val="none"/>
              </w:rPr>
              <w:t>交通劝导员考核小组将会在大队主页通报，并在大队对中队考核中扣分。</w:t>
            </w:r>
          </w:p>
          <w:p w14:paraId="28A5C6C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张家港市公安局交通管理大队交通劝导员考核小组将定期或不定期进行抽查，若发现交通劝导员违规行为，各执勤中队在日常督查中没有发现的，将会在大队主页通报，并在大队对中队考核中扣分。</w:t>
            </w:r>
          </w:p>
          <w:p w14:paraId="7076CAC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服务人员考核标准详见附件二、交通劝导员考核办法。</w:t>
            </w:r>
          </w:p>
        </w:tc>
      </w:tr>
      <w:tr w14:paraId="386DB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cantSplit/>
        </w:trPr>
        <w:tc>
          <w:tcPr>
            <w:tcW w:w="607" w:type="dxa"/>
            <w:vMerge w:val="continue"/>
            <w:noWrap w:val="0"/>
            <w:tcMar>
              <w:top w:w="100" w:type="dxa"/>
              <w:bottom w:w="100" w:type="dxa"/>
            </w:tcMar>
            <w:vAlign w:val="center"/>
          </w:tcPr>
          <w:p w14:paraId="6912632C">
            <w:pPr>
              <w:spacing w:line="440" w:lineRule="exact"/>
              <w:rPr>
                <w:rFonts w:hint="eastAsia" w:ascii="宋体" w:hAnsi="宋体" w:eastAsia="宋体" w:cs="宋体"/>
                <w:color w:val="auto"/>
                <w:sz w:val="20"/>
                <w:szCs w:val="20"/>
                <w:highlight w:val="none"/>
              </w:rPr>
            </w:pPr>
          </w:p>
        </w:tc>
        <w:tc>
          <w:tcPr>
            <w:tcW w:w="1513" w:type="dxa"/>
            <w:vMerge w:val="continue"/>
            <w:noWrap w:val="0"/>
            <w:tcMar>
              <w:top w:w="100" w:type="dxa"/>
              <w:bottom w:w="100" w:type="dxa"/>
            </w:tcMar>
            <w:vAlign w:val="center"/>
          </w:tcPr>
          <w:p w14:paraId="49228AC8">
            <w:pPr>
              <w:spacing w:line="440" w:lineRule="exact"/>
              <w:rPr>
                <w:rFonts w:hint="eastAsia" w:ascii="宋体" w:hAnsi="宋体" w:eastAsia="宋体" w:cs="宋体"/>
                <w:color w:val="auto"/>
                <w:sz w:val="20"/>
                <w:szCs w:val="20"/>
                <w:highlight w:val="none"/>
              </w:rPr>
            </w:pPr>
          </w:p>
        </w:tc>
        <w:tc>
          <w:tcPr>
            <w:tcW w:w="8562" w:type="dxa"/>
            <w:noWrap w:val="0"/>
            <w:tcMar>
              <w:top w:w="100" w:type="dxa"/>
              <w:bottom w:w="100" w:type="dxa"/>
            </w:tcMar>
            <w:vAlign w:val="center"/>
          </w:tcPr>
          <w:p w14:paraId="29023D7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6.3.3 相关罚则</w:t>
            </w:r>
          </w:p>
          <w:p w14:paraId="1CED28E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张家港市公安局交通管理大队交通劝导员考核小组每月根据定期或不定期的抽查和各执勤中队的考核登记，统计和汇总中标公司的扣分情况，并以此核算每月的交通劝导费用。</w:t>
            </w:r>
          </w:p>
          <w:p w14:paraId="1405D14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（1）费用核算总体原则是：每扣1分，扣100元人民币，按月计算。</w:t>
            </w:r>
          </w:p>
          <w:p w14:paraId="6690900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（2）每日工资计算规则：以上岗开始服务起计算，每周工作6天。</w:t>
            </w:r>
          </w:p>
          <w:p w14:paraId="764F99AF">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（3）因事因病（提供相关证明）不能到岗，要扣除中标公司相应费用，对于无故缺勤的，扣除每天工资外，并按相应规定扣分。</w:t>
            </w:r>
          </w:p>
          <w:p w14:paraId="332C621C">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（4）交通劝导员个人任何一项每月违反3次以上或者每月违反3项以上，对公司再额外扣除1000元人民币。每月违反累计超过5次的，予以辞退。</w:t>
            </w:r>
          </w:p>
          <w:p w14:paraId="125B09FE">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公司出现3人及以上每月违反规定超过3次的，除按罚则（4）相应费用外，同时扣除公司5000元人民币；出现5人及以上每月违反规定超过5次的，同时扣除公司10000元人民币；出现10人及以上每月违反规定超过10次的，解除合约。</w:t>
            </w:r>
          </w:p>
          <w:p w14:paraId="25A076A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（6）若存在交通劝导员在岗期间喝酒，或出现吃拿卡要、敲诈勒索等情形以及存在其他违法行为的，除直接辞退相关人员外，同时扣除中标公司10000元。</w:t>
            </w:r>
          </w:p>
          <w:p w14:paraId="17288D89">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（7）投标人应按投标时所配备人员开展工作，年内，配备人员比例更换不得高于30%（含），超过30%的，采购人有权单方面解除合同。</w:t>
            </w:r>
          </w:p>
        </w:tc>
      </w:tr>
      <w:tr w14:paraId="2DF94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7" w:type="dxa"/>
            <w:noWrap w:val="0"/>
            <w:tcMar>
              <w:top w:w="100" w:type="dxa"/>
              <w:bottom w:w="100" w:type="dxa"/>
            </w:tcMar>
            <w:vAlign w:val="center"/>
          </w:tcPr>
          <w:p w14:paraId="7569F971">
            <w:pPr>
              <w:pStyle w:val="586"/>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513" w:type="dxa"/>
            <w:noWrap w:val="0"/>
            <w:tcMar>
              <w:top w:w="100" w:type="dxa"/>
              <w:bottom w:w="100" w:type="dxa"/>
            </w:tcMar>
            <w:vAlign w:val="center"/>
          </w:tcPr>
          <w:p w14:paraId="3AA4B97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工资结算价</w:t>
            </w:r>
          </w:p>
        </w:tc>
        <w:tc>
          <w:tcPr>
            <w:tcW w:w="8562" w:type="dxa"/>
            <w:noWrap w:val="0"/>
            <w:tcMar>
              <w:top w:w="100" w:type="dxa"/>
              <w:bottom w:w="100" w:type="dxa"/>
            </w:tcMar>
            <w:vAlign w:val="center"/>
          </w:tcPr>
          <w:p w14:paraId="23F3825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1、每天工作时间为：上午7：30—11：00；下午13：30—18：00。（夏季、冬季下午上班时间调整另行通知）如遇特殊情况需延时的，应服从</w:t>
            </w:r>
            <w:r>
              <w:rPr>
                <w:rFonts w:hint="eastAsia" w:ascii="宋体" w:hAnsi="宋体" w:eastAsia="宋体" w:cs="宋体"/>
                <w:color w:val="auto"/>
                <w:highlight w:val="none"/>
                <w:lang w:eastAsia="zh-CN"/>
              </w:rPr>
              <w:t>张家港市公安局交通管理大队</w:t>
            </w:r>
            <w:r>
              <w:rPr>
                <w:rFonts w:hint="eastAsia" w:ascii="宋体" w:hAnsi="宋体" w:eastAsia="宋体" w:cs="宋体"/>
                <w:color w:val="auto"/>
                <w:highlight w:val="none"/>
              </w:rPr>
              <w:t>的调配。</w:t>
            </w:r>
          </w:p>
          <w:p w14:paraId="12432F8D">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2、以上服务费价格包括：交通劝导员工资、保险、服装、装备、培训、税收、行政、报告、餐费补助及其它费用。</w:t>
            </w:r>
          </w:p>
          <w:p w14:paraId="6AF17B6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3、服务费包含每周工作6天（周日及法定假除外），如需要周日及国家法定节假日上班的，不再另外支付费用。</w:t>
            </w:r>
          </w:p>
        </w:tc>
      </w:tr>
      <w:tr w14:paraId="6CBFB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7" w:type="dxa"/>
            <w:noWrap w:val="0"/>
            <w:tcMar>
              <w:top w:w="100" w:type="dxa"/>
              <w:bottom w:w="100" w:type="dxa"/>
            </w:tcMar>
            <w:vAlign w:val="center"/>
          </w:tcPr>
          <w:p w14:paraId="1E85F875">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513" w:type="dxa"/>
            <w:noWrap w:val="0"/>
            <w:tcMar>
              <w:top w:w="100" w:type="dxa"/>
              <w:bottom w:w="100" w:type="dxa"/>
            </w:tcMar>
            <w:vAlign w:val="center"/>
          </w:tcPr>
          <w:p w14:paraId="1CA7E638">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综合说明及其他</w:t>
            </w:r>
          </w:p>
        </w:tc>
        <w:tc>
          <w:tcPr>
            <w:tcW w:w="8562" w:type="dxa"/>
            <w:noWrap w:val="0"/>
            <w:tcMar>
              <w:top w:w="100" w:type="dxa"/>
              <w:bottom w:w="100" w:type="dxa"/>
            </w:tcMar>
            <w:vAlign w:val="center"/>
          </w:tcPr>
          <w:p w14:paraId="63C2D5A6">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投标总报价一次报定，除非合同中另有规定，投标人对投标报价中的工作量和服务的报价应包括完成本项工作所需的人工、材料、机械、管理、维护、保险、利润、税金、专业统一服装、胸卡、通讯器材、办公设备、巡检器材、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p>
          <w:p w14:paraId="32899A27">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2、张家港市公安局交通管理大队对中标人的服务工作进行考核，每月考核结果与服务费用挂钩，考核不合格采购人有权暂缓支付服务费，考核细则详见相关罚则。</w:t>
            </w:r>
          </w:p>
          <w:p w14:paraId="33ADED50">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3、风险承担：</w:t>
            </w:r>
          </w:p>
          <w:p w14:paraId="4BAE56E4">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投入本项目</w:t>
            </w:r>
            <w:r>
              <w:rPr>
                <w:rFonts w:hint="eastAsia" w:ascii="宋体" w:hAnsi="宋体" w:eastAsia="宋体" w:cs="宋体"/>
                <w:color w:val="auto"/>
                <w:highlight w:val="none"/>
              </w:rPr>
              <w:t>的服务人员在工作期间发生任何工伤、工亡、意外伤害、纠纷时，中标人应自行妥善处理，采购人不承担任何有关责任。</w:t>
            </w:r>
          </w:p>
          <w:p w14:paraId="78A937D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2）中标人违反国家相关法规，与聘用人员发生纠纷，均由中标人负责调解与处理，采购人不承担责任。</w:t>
            </w:r>
          </w:p>
          <w:p w14:paraId="133F8651">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3）中标人在综合服务中违反国家相关法规或行业规范，因过失造成他人人身伤亡的，均由中标人负责处理并承担经济和道义上的责任，采购人不承担任何责任。</w:t>
            </w:r>
          </w:p>
          <w:p w14:paraId="470BD93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4、验收：</w:t>
            </w:r>
          </w:p>
          <w:p w14:paraId="2338CF94">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1）本项目采用分期验收，根据实际情况成立验收小组，验收小组制定方案，对照采购文件、合同、考核细则、乙方提供的服务资料、考核结果进行验收。</w:t>
            </w:r>
          </w:p>
          <w:p w14:paraId="479ED0F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2）采购人将依据《关于印发&lt;江苏省政府采购履约验收管理办法&gt;的通知》苏财规【2024】7号文件的相关要求组织验收。</w:t>
            </w:r>
          </w:p>
          <w:p w14:paraId="6ADE69BB">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根据《中华人民共和国劳动合同法》、《中华人民共和国社会保险法》、《住房公积金管理条例》，中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p>
          <w:p w14:paraId="430CCBC3">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6、投标人具有202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年以来类似项目业绩。</w:t>
            </w:r>
          </w:p>
          <w:p w14:paraId="4E004B72">
            <w:pPr>
              <w:pStyle w:val="586"/>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7、投标人能提供各项承诺，包括对发生各类安全事故善后处理承诺、依法规范用工承诺及应对履约期内各类风险承诺。格式自拟。</w:t>
            </w:r>
          </w:p>
        </w:tc>
      </w:tr>
      <w:bookmarkEnd w:id="153"/>
    </w:tbl>
    <w:p w14:paraId="6E8891C8">
      <w:pPr>
        <w:spacing w:before="120" w:after="120" w:line="440" w:lineRule="exact"/>
        <w:rPr>
          <w:rFonts w:hint="eastAsia" w:ascii="宋体" w:hAnsi="宋体" w:eastAsia="宋体" w:cs="宋体"/>
          <w:b/>
          <w:color w:val="auto"/>
          <w:sz w:val="28"/>
          <w:szCs w:val="28"/>
          <w:highlight w:val="none"/>
        </w:rPr>
      </w:pPr>
    </w:p>
    <w:bookmarkEnd w:id="151"/>
    <w:p w14:paraId="3796215F">
      <w:pPr>
        <w:spacing w:before="120" w:after="120" w:line="440" w:lineRule="exact"/>
        <w:rPr>
          <w:rFonts w:hint="eastAsia" w:ascii="宋体" w:hAnsi="宋体" w:eastAsia="宋体" w:cs="宋体"/>
          <w:b/>
          <w:color w:val="auto"/>
          <w:sz w:val="28"/>
          <w:szCs w:val="28"/>
          <w:highlight w:val="none"/>
        </w:rPr>
      </w:pPr>
      <w:bookmarkStart w:id="154" w:name="EBb0ab975038a04efd86af0f0eaa5a524b"/>
      <w:bookmarkEnd w:id="154"/>
      <w:r>
        <w:rPr>
          <w:rFonts w:hint="eastAsia" w:ascii="宋体" w:hAnsi="宋体" w:eastAsia="宋体" w:cs="宋体"/>
          <w:b/>
          <w:color w:val="auto"/>
          <w:sz w:val="28"/>
          <w:szCs w:val="28"/>
          <w:highlight w:val="none"/>
        </w:rPr>
        <w:t xml:space="preserve">三、商务条款 </w:t>
      </w:r>
    </w:p>
    <w:p w14:paraId="3FD12927">
      <w:pPr>
        <w:pStyle w:val="586"/>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1 服务期限</w:t>
      </w:r>
    </w:p>
    <w:p w14:paraId="7B693247">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1.1、服务期限</w:t>
      </w:r>
    </w:p>
    <w:p w14:paraId="08D04022">
      <w:pPr>
        <w:pStyle w:val="586"/>
        <w:spacing w:line="440" w:lineRule="exact"/>
        <w:ind w:firstLine="508"/>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自合同签订之日起至1</w:t>
      </w:r>
      <w:r>
        <w:rPr>
          <w:rFonts w:hint="eastAsia" w:ascii="宋体" w:hAnsi="宋体" w:eastAsia="宋体" w:cs="宋体"/>
          <w:i/>
          <w:color w:val="auto"/>
          <w:spacing w:val="7"/>
          <w:highlight w:val="none"/>
          <w:u w:val="single"/>
          <w:lang w:val="en-US" w:eastAsia="zh-CN"/>
        </w:rPr>
        <w:t>2</w:t>
      </w:r>
      <w:r>
        <w:rPr>
          <w:rFonts w:hint="eastAsia" w:ascii="宋体" w:hAnsi="宋体" w:eastAsia="宋体" w:cs="宋体"/>
          <w:i/>
          <w:color w:val="auto"/>
          <w:spacing w:val="7"/>
          <w:highlight w:val="none"/>
          <w:u w:val="single"/>
        </w:rPr>
        <w:t>个月。</w:t>
      </w:r>
    </w:p>
    <w:p w14:paraId="24F60743">
      <w:pPr>
        <w:pStyle w:val="586"/>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2 货款支付</w:t>
      </w:r>
    </w:p>
    <w:p w14:paraId="7F8D25BB">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2.1、结付程序</w:t>
      </w:r>
    </w:p>
    <w:p w14:paraId="0C6179B0">
      <w:pPr>
        <w:pStyle w:val="586"/>
        <w:spacing w:line="440" w:lineRule="exact"/>
        <w:ind w:firstLine="508"/>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供方按本合同内容合格地履行服务义务后，凭验收报告、销售发票到采购单位办理结算手续。</w:t>
      </w:r>
    </w:p>
    <w:p w14:paraId="2395C880">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2.2、结付期限</w:t>
      </w:r>
    </w:p>
    <w:p w14:paraId="2B7A079F">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合同基准价格按此次中标价格执行，合同签订生效后30日内支付合同总价的10%作为预付款；</w:t>
      </w:r>
      <w:r>
        <w:rPr>
          <w:rFonts w:hint="eastAsia" w:ascii="宋体" w:hAnsi="宋体" w:eastAsia="宋体" w:cs="宋体"/>
          <w:i/>
          <w:color w:val="auto"/>
          <w:spacing w:val="7"/>
          <w:highlight w:val="none"/>
          <w:u w:val="single"/>
          <w:lang w:val="en-US" w:eastAsia="zh-CN"/>
        </w:rPr>
        <w:t>中标单位</w:t>
      </w:r>
      <w:r>
        <w:rPr>
          <w:rFonts w:hint="eastAsia" w:ascii="宋体" w:hAnsi="宋体" w:eastAsia="宋体" w:cs="宋体"/>
          <w:i/>
          <w:color w:val="auto"/>
          <w:spacing w:val="7"/>
          <w:highlight w:val="none"/>
          <w:u w:val="single"/>
        </w:rPr>
        <w:t>应在合同签订的服务结束后 3 日内出具服务费发票，采购人结合考核情况在收到发票后的 30 日内支付剩余款项（因考核检查有失分，实际支付金额与基准价格存在差异）。</w:t>
      </w:r>
    </w:p>
    <w:p w14:paraId="1D9C9E4E">
      <w:pPr>
        <w:pStyle w:val="586"/>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3 投标货币</w:t>
      </w:r>
    </w:p>
    <w:p w14:paraId="3C215F18">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3.1、投标货币</w:t>
      </w:r>
    </w:p>
    <w:p w14:paraId="59265C52">
      <w:pPr>
        <w:pStyle w:val="586"/>
        <w:spacing w:line="440" w:lineRule="exact"/>
        <w:ind w:firstLine="500"/>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人民币。</w:t>
      </w:r>
    </w:p>
    <w:p w14:paraId="44998688">
      <w:pPr>
        <w:pStyle w:val="586"/>
        <w:spacing w:line="440" w:lineRule="exact"/>
        <w:ind w:firstLine="500"/>
        <w:rPr>
          <w:rFonts w:hint="eastAsia" w:ascii="宋体" w:hAnsi="宋体" w:eastAsia="宋体" w:cs="宋体"/>
          <w:i/>
          <w:color w:val="auto"/>
          <w:spacing w:val="7"/>
          <w:highlight w:val="none"/>
          <w:u w:val="single"/>
        </w:rPr>
      </w:pPr>
    </w:p>
    <w:p w14:paraId="4650B122">
      <w:pPr>
        <w:spacing w:before="120" w:after="120"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四、其他要求</w:t>
      </w:r>
    </w:p>
    <w:p w14:paraId="7FA2E9CC">
      <w:pPr>
        <w:spacing w:before="120" w:after="120" w:line="44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1、投标方案</w:t>
      </w:r>
    </w:p>
    <w:p w14:paraId="492EFB1E">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（1）根据本项目对服务实施的具体要求，结合自身实际情况。请在投标文件中提供相关方案内容（如有）。</w:t>
      </w:r>
    </w:p>
    <w:p w14:paraId="4B8626F7">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（2）根据本项目对服务质量的具体要求，结合自身实际情况，请在投标文件中提供相关方案内容（如有）。</w:t>
      </w:r>
    </w:p>
    <w:p w14:paraId="40BE141D">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（3）根据本项目对应急处置的具体要求，结合自身实际情况，请在投标文件中提供相关方案内容（如有）。</w:t>
      </w:r>
    </w:p>
    <w:p w14:paraId="5B0DEA27">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（4）根据本项目对进退场处理具体要求，结合自身实际情况，请在投标文件中提供相关方案内容（如有）。</w:t>
      </w:r>
    </w:p>
    <w:p w14:paraId="5B339151">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（5）根据本项目对人员培训具体要求，结合自身实际情况，请在投标文件中提供相关方案内容（如有）。</w:t>
      </w:r>
    </w:p>
    <w:p w14:paraId="433AD9F8">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（6）根据本项目对无人机巡飞具体要求，结合自身实际情况，请在投标文件中提供相关方案内容（如有）。</w:t>
      </w:r>
    </w:p>
    <w:p w14:paraId="43C49D4B">
      <w:pPr>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（7）投标人针对本项目制定的合理化建议，包括但不限于对</w:t>
      </w:r>
      <w:r>
        <w:rPr>
          <w:rFonts w:hint="eastAsia" w:ascii="宋体" w:hAnsi="宋体" w:cs="宋体"/>
          <w:color w:val="auto"/>
          <w:spacing w:val="7"/>
          <w:sz w:val="24"/>
          <w:szCs w:val="24"/>
          <w:highlight w:val="none"/>
          <w:lang w:val="en-US" w:eastAsia="zh-CN"/>
        </w:rPr>
        <w:t>大型活动、恶劣天气、交通事故等情况下</w:t>
      </w:r>
      <w:r>
        <w:rPr>
          <w:rFonts w:hint="eastAsia" w:ascii="宋体" w:hAnsi="宋体" w:eastAsia="宋体" w:cs="宋体"/>
          <w:color w:val="auto"/>
          <w:spacing w:val="7"/>
          <w:sz w:val="24"/>
          <w:szCs w:val="24"/>
          <w:highlight w:val="none"/>
        </w:rPr>
        <w:t>交通管理办法、道路拥堵等难点问题、创新管理手段等（如有）。</w:t>
      </w:r>
    </w:p>
    <w:p w14:paraId="08920171">
      <w:pPr>
        <w:spacing w:line="440" w:lineRule="exact"/>
        <w:ind w:firstLine="508"/>
        <w:jc w:val="left"/>
        <w:rPr>
          <w:rFonts w:hint="eastAsia" w:ascii="宋体" w:hAnsi="宋体" w:eastAsia="宋体" w:cs="宋体"/>
          <w:color w:val="auto"/>
          <w:spacing w:val="7"/>
          <w:sz w:val="24"/>
          <w:szCs w:val="24"/>
          <w:highlight w:val="none"/>
        </w:rPr>
        <w:sectPr>
          <w:footerReference r:id="rId8" w:type="first"/>
          <w:footerReference r:id="rId6" w:type="default"/>
          <w:footerReference r:id="rId7" w:type="even"/>
          <w:pgSz w:w="11906" w:h="16838"/>
          <w:pgMar w:top="1191" w:right="1191" w:bottom="1191" w:left="1191" w:header="851" w:footer="992" w:gutter="0"/>
          <w:cols w:space="720" w:num="1"/>
          <w:titlePg/>
          <w:docGrid w:linePitch="360" w:charSpace="0"/>
        </w:sectPr>
      </w:pPr>
      <w:r>
        <w:rPr>
          <w:rFonts w:hint="eastAsia" w:ascii="宋体" w:hAnsi="宋体" w:eastAsia="宋体" w:cs="宋体"/>
          <w:color w:val="auto"/>
          <w:spacing w:val="7"/>
          <w:sz w:val="24"/>
          <w:szCs w:val="24"/>
          <w:highlight w:val="none"/>
        </w:rPr>
        <w:t>（8）根据本项目对人员配置具体要求，结合自身实际情况，请在投标文件中提供相关方案内容（如有）。</w:t>
      </w:r>
    </w:p>
    <w:p w14:paraId="1C3FA757">
      <w:pPr>
        <w:pStyle w:val="588"/>
        <w:spacing w:before="240" w:after="240" w:line="440" w:lineRule="atLeast"/>
        <w:ind w:firstLine="510"/>
        <w:jc w:val="both"/>
        <w:rPr>
          <w:rFonts w:hint="eastAsia" w:ascii="宋体" w:hAnsi="宋体" w:eastAsia="宋体" w:cs="宋体"/>
          <w:color w:val="auto"/>
          <w:highlight w:val="none"/>
        </w:rPr>
      </w:pPr>
      <w:r>
        <w:rPr>
          <w:rFonts w:hint="eastAsia" w:ascii="宋体" w:hAnsi="宋体" w:eastAsia="宋体" w:cs="宋体"/>
          <w:b/>
          <w:bCs/>
          <w:color w:val="auto"/>
          <w:spacing w:val="7"/>
          <w:highlight w:val="none"/>
        </w:rPr>
        <w:t>附件一：</w:t>
      </w:r>
    </w:p>
    <w:tbl>
      <w:tblPr>
        <w:tblStyle w:val="28"/>
        <w:tblW w:w="4999" w:type="pct"/>
        <w:tblInd w:w="0" w:type="dxa"/>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Layout w:type="autofit"/>
        <w:tblCellMar>
          <w:top w:w="0" w:type="dxa"/>
          <w:left w:w="108" w:type="dxa"/>
          <w:bottom w:w="0" w:type="dxa"/>
          <w:right w:w="108" w:type="dxa"/>
        </w:tblCellMar>
      </w:tblPr>
      <w:tblGrid>
        <w:gridCol w:w="1446"/>
        <w:gridCol w:w="9234"/>
      </w:tblGrid>
      <w:tr w14:paraId="176BEF17">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trHeight w:val="505" w:hRule="atLeast"/>
        </w:trPr>
        <w:tc>
          <w:tcPr>
            <w:tcW w:w="677" w:type="pct"/>
            <w:noWrap w:val="0"/>
            <w:vAlign w:val="center"/>
          </w:tcPr>
          <w:p w14:paraId="48E08EAD">
            <w:pPr>
              <w:pStyle w:val="588"/>
              <w:spacing w:before="240"/>
              <w:jc w:val="center"/>
              <w:rPr>
                <w:rFonts w:hint="eastAsia" w:ascii="宋体" w:hAnsi="宋体" w:eastAsia="宋体" w:cs="宋体"/>
                <w:color w:val="auto"/>
                <w:highlight w:val="none"/>
              </w:rPr>
            </w:pPr>
            <w:r>
              <w:rPr>
                <w:rFonts w:hint="eastAsia" w:ascii="宋体" w:hAnsi="宋体" w:eastAsia="宋体" w:cs="宋体"/>
                <w:color w:val="auto"/>
                <w:highlight w:val="none"/>
              </w:rPr>
              <w:t>项目</w:t>
            </w:r>
          </w:p>
        </w:tc>
        <w:tc>
          <w:tcPr>
            <w:tcW w:w="4322" w:type="pct"/>
            <w:noWrap w:val="0"/>
            <w:vAlign w:val="center"/>
          </w:tcPr>
          <w:p w14:paraId="47475900">
            <w:pPr>
              <w:pStyle w:val="588"/>
              <w:jc w:val="center"/>
              <w:rPr>
                <w:rFonts w:hint="eastAsia" w:ascii="宋体" w:hAnsi="宋体" w:eastAsia="宋体" w:cs="宋体"/>
                <w:color w:val="auto"/>
                <w:highlight w:val="none"/>
              </w:rPr>
            </w:pPr>
            <w:r>
              <w:rPr>
                <w:rFonts w:hint="eastAsia" w:ascii="宋体" w:hAnsi="宋体" w:eastAsia="宋体" w:cs="宋体"/>
                <w:color w:val="auto"/>
                <w:highlight w:val="none"/>
              </w:rPr>
              <w:t>上岗标准</w:t>
            </w:r>
          </w:p>
        </w:tc>
      </w:tr>
      <w:tr w14:paraId="5AB93CF0">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890" w:hRule="atLeast"/>
        </w:trPr>
        <w:tc>
          <w:tcPr>
            <w:tcW w:w="677" w:type="pct"/>
            <w:vMerge w:val="restart"/>
            <w:noWrap w:val="0"/>
            <w:vAlign w:val="center"/>
          </w:tcPr>
          <w:p w14:paraId="7DB32D3E">
            <w:pPr>
              <w:pStyle w:val="588"/>
              <w:spacing w:after="240"/>
              <w:jc w:val="center"/>
              <w:rPr>
                <w:rFonts w:hint="eastAsia" w:ascii="宋体" w:hAnsi="宋体" w:eastAsia="宋体" w:cs="宋体"/>
                <w:color w:val="auto"/>
                <w:highlight w:val="none"/>
              </w:rPr>
            </w:pPr>
            <w:r>
              <w:rPr>
                <w:rFonts w:hint="eastAsia" w:ascii="宋体" w:hAnsi="宋体" w:eastAsia="宋体" w:cs="宋体"/>
                <w:color w:val="auto"/>
                <w:highlight w:val="none"/>
              </w:rPr>
              <w:t>人员</w:t>
            </w:r>
          </w:p>
          <w:p w14:paraId="6B17C4A5">
            <w:pPr>
              <w:pStyle w:val="588"/>
              <w:spacing w:before="240"/>
              <w:jc w:val="center"/>
              <w:rPr>
                <w:rFonts w:hint="eastAsia" w:ascii="宋体" w:hAnsi="宋体" w:eastAsia="宋体" w:cs="宋体"/>
                <w:color w:val="auto"/>
                <w:highlight w:val="none"/>
              </w:rPr>
            </w:pPr>
            <w:r>
              <w:rPr>
                <w:rFonts w:hint="eastAsia" w:ascii="宋体" w:hAnsi="宋体" w:eastAsia="宋体" w:cs="宋体"/>
                <w:color w:val="auto"/>
                <w:highlight w:val="none"/>
              </w:rPr>
              <w:t>装备</w:t>
            </w:r>
          </w:p>
        </w:tc>
        <w:tc>
          <w:tcPr>
            <w:tcW w:w="4322" w:type="pct"/>
            <w:noWrap w:val="0"/>
            <w:vAlign w:val="center"/>
          </w:tcPr>
          <w:p w14:paraId="0EFBBACE">
            <w:pPr>
              <w:pStyle w:val="588"/>
              <w:rPr>
                <w:rFonts w:hint="eastAsia" w:ascii="宋体" w:hAnsi="宋体" w:eastAsia="宋体" w:cs="宋体"/>
                <w:color w:val="auto"/>
                <w:highlight w:val="none"/>
              </w:rPr>
            </w:pPr>
            <w:r>
              <w:rPr>
                <w:rFonts w:hint="eastAsia" w:ascii="宋体" w:hAnsi="宋体" w:eastAsia="宋体" w:cs="宋体"/>
                <w:color w:val="auto"/>
                <w:highlight w:val="none"/>
              </w:rPr>
              <w:t>1.年龄在</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w:t>
            </w: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，男性，身高达到1.65米以上，具有高中及以上文化；身体健康，五官端正、品行良好，无色盲、无纹身、无口吃；无违法犯罪及其他不良记录。</w:t>
            </w:r>
          </w:p>
        </w:tc>
      </w:tr>
      <w:tr w14:paraId="5C9DB1F6">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890" w:hRule="atLeast"/>
        </w:trPr>
        <w:tc>
          <w:tcPr>
            <w:tcW w:w="677" w:type="pct"/>
            <w:vMerge w:val="continue"/>
            <w:noWrap w:val="0"/>
            <w:vAlign w:val="center"/>
          </w:tcPr>
          <w:p w14:paraId="39E5FB50">
            <w:pPr>
              <w:rPr>
                <w:rFonts w:hint="eastAsia" w:ascii="宋体" w:hAnsi="宋体" w:eastAsia="宋体" w:cs="宋体"/>
                <w:color w:val="auto"/>
                <w:sz w:val="20"/>
                <w:szCs w:val="20"/>
                <w:highlight w:val="none"/>
              </w:rPr>
            </w:pPr>
          </w:p>
        </w:tc>
        <w:tc>
          <w:tcPr>
            <w:tcW w:w="4322" w:type="pct"/>
            <w:noWrap w:val="0"/>
            <w:vAlign w:val="center"/>
          </w:tcPr>
          <w:p w14:paraId="3960CF82">
            <w:pPr>
              <w:pStyle w:val="588"/>
              <w:rPr>
                <w:rFonts w:hint="eastAsia" w:ascii="宋体" w:hAnsi="宋体" w:eastAsia="宋体" w:cs="宋体"/>
                <w:color w:val="auto"/>
                <w:highlight w:val="none"/>
              </w:rPr>
            </w:pPr>
            <w:r>
              <w:rPr>
                <w:rFonts w:hint="eastAsia" w:ascii="宋体" w:hAnsi="宋体" w:eastAsia="宋体" w:cs="宋体"/>
                <w:color w:val="auto"/>
                <w:highlight w:val="none"/>
              </w:rPr>
              <w:t>2.服务人员上岗前须经过相关培训且必须随身携带身份证和保安证。未经</w:t>
            </w:r>
            <w:r>
              <w:rPr>
                <w:rFonts w:hint="eastAsia" w:ascii="宋体" w:hAnsi="宋体" w:eastAsia="宋体" w:cs="宋体"/>
                <w:color w:val="auto"/>
                <w:highlight w:val="none"/>
                <w:lang w:eastAsia="zh-CN"/>
              </w:rPr>
              <w:t>张家港市公安局交通管理大队</w:t>
            </w:r>
            <w:r>
              <w:rPr>
                <w:rFonts w:hint="eastAsia" w:ascii="宋体" w:hAnsi="宋体" w:eastAsia="宋体" w:cs="宋体"/>
                <w:color w:val="auto"/>
                <w:highlight w:val="none"/>
              </w:rPr>
              <w:t>同意，不得接受任何形式采访。</w:t>
            </w:r>
          </w:p>
        </w:tc>
      </w:tr>
      <w:tr w14:paraId="1587C494">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890" w:hRule="atLeast"/>
        </w:trPr>
        <w:tc>
          <w:tcPr>
            <w:tcW w:w="677" w:type="pct"/>
            <w:vMerge w:val="continue"/>
            <w:noWrap w:val="0"/>
            <w:vAlign w:val="center"/>
          </w:tcPr>
          <w:p w14:paraId="0EDFDED5">
            <w:pPr>
              <w:rPr>
                <w:rFonts w:hint="eastAsia" w:ascii="宋体" w:hAnsi="宋体" w:eastAsia="宋体" w:cs="宋体"/>
                <w:color w:val="auto"/>
                <w:sz w:val="20"/>
                <w:szCs w:val="20"/>
                <w:highlight w:val="none"/>
              </w:rPr>
            </w:pPr>
          </w:p>
        </w:tc>
        <w:tc>
          <w:tcPr>
            <w:tcW w:w="4322" w:type="pct"/>
            <w:noWrap w:val="0"/>
            <w:vAlign w:val="center"/>
          </w:tcPr>
          <w:p w14:paraId="4BD7F850">
            <w:pPr>
              <w:pStyle w:val="588"/>
              <w:rPr>
                <w:rFonts w:hint="eastAsia" w:ascii="宋体" w:hAnsi="宋体" w:eastAsia="宋体" w:cs="宋体"/>
                <w:color w:val="auto"/>
                <w:highlight w:val="none"/>
              </w:rPr>
            </w:pPr>
            <w:r>
              <w:rPr>
                <w:rFonts w:hint="eastAsia" w:ascii="宋体" w:hAnsi="宋体" w:eastAsia="宋体" w:cs="宋体"/>
                <w:color w:val="auto"/>
                <w:highlight w:val="none"/>
              </w:rPr>
              <w:t>3.统一服装、标志整齐，执勤时必须着制服，不得混穿其他服装，安保器材按标准配置。</w:t>
            </w:r>
          </w:p>
        </w:tc>
      </w:tr>
      <w:tr w14:paraId="40E68AED">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890" w:hRule="atLeast"/>
        </w:trPr>
        <w:tc>
          <w:tcPr>
            <w:tcW w:w="677" w:type="pct"/>
            <w:vMerge w:val="continue"/>
            <w:noWrap w:val="0"/>
            <w:vAlign w:val="center"/>
          </w:tcPr>
          <w:p w14:paraId="75E4FAE3">
            <w:pPr>
              <w:rPr>
                <w:rFonts w:hint="eastAsia" w:ascii="宋体" w:hAnsi="宋体" w:eastAsia="宋体" w:cs="宋体"/>
                <w:color w:val="auto"/>
                <w:sz w:val="20"/>
                <w:szCs w:val="20"/>
                <w:highlight w:val="none"/>
              </w:rPr>
            </w:pPr>
          </w:p>
        </w:tc>
        <w:tc>
          <w:tcPr>
            <w:tcW w:w="4322" w:type="pct"/>
            <w:noWrap w:val="0"/>
            <w:vAlign w:val="center"/>
          </w:tcPr>
          <w:p w14:paraId="55ADAE95">
            <w:pPr>
              <w:pStyle w:val="588"/>
              <w:rPr>
                <w:rFonts w:hint="eastAsia" w:ascii="宋体" w:hAnsi="宋体" w:eastAsia="宋体" w:cs="宋体"/>
                <w:color w:val="auto"/>
                <w:highlight w:val="none"/>
              </w:rPr>
            </w:pPr>
            <w:r>
              <w:rPr>
                <w:rFonts w:hint="eastAsia" w:ascii="宋体" w:hAnsi="宋体" w:eastAsia="宋体" w:cs="宋体"/>
                <w:color w:val="auto"/>
                <w:highlight w:val="none"/>
              </w:rPr>
              <w:t>4.仪容仪表符合标准，不留长头发、长胡须、长指甲，不染发，不得佩戴首饰。</w:t>
            </w:r>
          </w:p>
        </w:tc>
      </w:tr>
      <w:tr w14:paraId="38F174B3">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58" w:hRule="atLeast"/>
        </w:trPr>
        <w:tc>
          <w:tcPr>
            <w:tcW w:w="677" w:type="pct"/>
            <w:vMerge w:val="restart"/>
            <w:noWrap w:val="0"/>
            <w:vAlign w:val="center"/>
          </w:tcPr>
          <w:p w14:paraId="1EC64E34">
            <w:pPr>
              <w:pStyle w:val="588"/>
              <w:spacing w:after="240"/>
              <w:jc w:val="center"/>
              <w:rPr>
                <w:rFonts w:hint="eastAsia" w:ascii="宋体" w:hAnsi="宋体" w:eastAsia="宋体" w:cs="宋体"/>
                <w:color w:val="auto"/>
                <w:highlight w:val="none"/>
              </w:rPr>
            </w:pPr>
            <w:r>
              <w:rPr>
                <w:rFonts w:hint="eastAsia" w:ascii="宋体" w:hAnsi="宋体" w:eastAsia="宋体" w:cs="宋体"/>
                <w:color w:val="auto"/>
                <w:highlight w:val="none"/>
              </w:rPr>
              <w:t>工作</w:t>
            </w:r>
          </w:p>
          <w:p w14:paraId="50F1A97E">
            <w:pPr>
              <w:pStyle w:val="588"/>
              <w:spacing w:before="240"/>
              <w:jc w:val="center"/>
              <w:rPr>
                <w:rFonts w:hint="eastAsia" w:ascii="宋体" w:hAnsi="宋体" w:eastAsia="宋体" w:cs="宋体"/>
                <w:color w:val="auto"/>
                <w:highlight w:val="none"/>
              </w:rPr>
            </w:pPr>
            <w:r>
              <w:rPr>
                <w:rFonts w:hint="eastAsia" w:ascii="宋体" w:hAnsi="宋体" w:eastAsia="宋体" w:cs="宋体"/>
                <w:color w:val="auto"/>
                <w:highlight w:val="none"/>
              </w:rPr>
              <w:t>标准</w:t>
            </w:r>
          </w:p>
        </w:tc>
        <w:tc>
          <w:tcPr>
            <w:tcW w:w="4322" w:type="pct"/>
            <w:noWrap w:val="0"/>
            <w:vAlign w:val="center"/>
          </w:tcPr>
          <w:p w14:paraId="23973D13">
            <w:pPr>
              <w:pStyle w:val="588"/>
              <w:rPr>
                <w:rFonts w:hint="eastAsia" w:ascii="宋体" w:hAnsi="宋体" w:eastAsia="宋体" w:cs="宋体"/>
                <w:color w:val="auto"/>
                <w:highlight w:val="none"/>
              </w:rPr>
            </w:pPr>
            <w:r>
              <w:rPr>
                <w:rFonts w:hint="eastAsia" w:ascii="宋体" w:hAnsi="宋体" w:eastAsia="宋体" w:cs="宋体"/>
                <w:color w:val="auto"/>
                <w:highlight w:val="none"/>
              </w:rPr>
              <w:t>1.按时上岗：实行每周</w:t>
            </w:r>
            <w:r>
              <w:rPr>
                <w:rFonts w:hint="eastAsia" w:ascii="宋体" w:hAnsi="宋体" w:eastAsia="宋体" w:cs="宋体"/>
                <w:color w:val="auto"/>
                <w:highlight w:val="none"/>
                <w:u w:val="single"/>
              </w:rPr>
              <w:t>6</w:t>
            </w:r>
            <w:r>
              <w:rPr>
                <w:rFonts w:hint="eastAsia" w:ascii="宋体" w:hAnsi="宋体" w:eastAsia="宋体" w:cs="宋体"/>
                <w:color w:val="auto"/>
                <w:highlight w:val="none"/>
              </w:rPr>
              <w:t>天，严格按照规定时间到岗到位。</w:t>
            </w:r>
          </w:p>
        </w:tc>
      </w:tr>
      <w:tr w14:paraId="4A311532">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794" w:hRule="atLeast"/>
        </w:trPr>
        <w:tc>
          <w:tcPr>
            <w:tcW w:w="677" w:type="pct"/>
            <w:vMerge w:val="continue"/>
            <w:noWrap w:val="0"/>
            <w:vAlign w:val="center"/>
          </w:tcPr>
          <w:p w14:paraId="46C2EE66">
            <w:pPr>
              <w:rPr>
                <w:rFonts w:hint="eastAsia" w:ascii="宋体" w:hAnsi="宋体" w:eastAsia="宋体" w:cs="宋体"/>
                <w:color w:val="auto"/>
                <w:sz w:val="20"/>
                <w:szCs w:val="20"/>
                <w:highlight w:val="none"/>
              </w:rPr>
            </w:pPr>
          </w:p>
        </w:tc>
        <w:tc>
          <w:tcPr>
            <w:tcW w:w="4322" w:type="pct"/>
            <w:noWrap w:val="0"/>
            <w:vAlign w:val="center"/>
          </w:tcPr>
          <w:p w14:paraId="555CC741">
            <w:pPr>
              <w:pStyle w:val="588"/>
              <w:rPr>
                <w:rFonts w:hint="eastAsia" w:ascii="宋体" w:hAnsi="宋体" w:eastAsia="宋体" w:cs="宋体"/>
                <w:color w:val="auto"/>
                <w:highlight w:val="none"/>
              </w:rPr>
            </w:pPr>
            <w:r>
              <w:rPr>
                <w:rFonts w:hint="eastAsia" w:ascii="宋体" w:hAnsi="宋体" w:eastAsia="宋体" w:cs="宋体"/>
                <w:color w:val="auto"/>
                <w:highlight w:val="none"/>
              </w:rPr>
              <w:t>2.服务人员要使用文明礼貌用语，做到文明劝导，发现问题及时处理汇报。</w:t>
            </w:r>
          </w:p>
        </w:tc>
      </w:tr>
      <w:tr w14:paraId="06233C08">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1137" w:hRule="atLeast"/>
        </w:trPr>
        <w:tc>
          <w:tcPr>
            <w:tcW w:w="677" w:type="pct"/>
            <w:vMerge w:val="continue"/>
            <w:noWrap w:val="0"/>
            <w:vAlign w:val="center"/>
          </w:tcPr>
          <w:p w14:paraId="461A1A81">
            <w:pPr>
              <w:rPr>
                <w:rFonts w:hint="eastAsia" w:ascii="宋体" w:hAnsi="宋体" w:eastAsia="宋体" w:cs="宋体"/>
                <w:color w:val="auto"/>
                <w:sz w:val="20"/>
                <w:szCs w:val="20"/>
                <w:highlight w:val="none"/>
              </w:rPr>
            </w:pPr>
          </w:p>
        </w:tc>
        <w:tc>
          <w:tcPr>
            <w:tcW w:w="4322" w:type="pct"/>
            <w:noWrap w:val="0"/>
            <w:vAlign w:val="center"/>
          </w:tcPr>
          <w:p w14:paraId="3E8CF77A">
            <w:pPr>
              <w:pStyle w:val="588"/>
              <w:rPr>
                <w:rFonts w:hint="eastAsia" w:ascii="宋体" w:hAnsi="宋体" w:eastAsia="宋体" w:cs="宋体"/>
                <w:color w:val="auto"/>
                <w:highlight w:val="none"/>
              </w:rPr>
            </w:pPr>
            <w:r>
              <w:rPr>
                <w:rFonts w:hint="eastAsia" w:ascii="宋体" w:hAnsi="宋体" w:eastAsia="宋体" w:cs="宋体"/>
                <w:color w:val="auto"/>
                <w:highlight w:val="none"/>
              </w:rPr>
              <w:t>3.服务人员服从大队民警指挥，按时按量完成民警安排的任务。路口劝导中，要进入工作状态，积极主动参与管理，劝导非机动车逆向行驶、违法载人、闯红灯、不戴头盔等交通违法和不文明行为。</w:t>
            </w:r>
          </w:p>
        </w:tc>
      </w:tr>
      <w:tr w14:paraId="1A28B294">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416" w:hRule="atLeast"/>
        </w:trPr>
        <w:tc>
          <w:tcPr>
            <w:tcW w:w="677" w:type="pct"/>
            <w:vMerge w:val="continue"/>
            <w:noWrap w:val="0"/>
            <w:vAlign w:val="center"/>
          </w:tcPr>
          <w:p w14:paraId="0D8ECBC0">
            <w:pPr>
              <w:rPr>
                <w:rFonts w:hint="eastAsia" w:ascii="宋体" w:hAnsi="宋体" w:eastAsia="宋体" w:cs="宋体"/>
                <w:color w:val="auto"/>
                <w:sz w:val="20"/>
                <w:szCs w:val="20"/>
                <w:highlight w:val="none"/>
              </w:rPr>
            </w:pPr>
          </w:p>
        </w:tc>
        <w:tc>
          <w:tcPr>
            <w:tcW w:w="4322" w:type="pct"/>
            <w:noWrap w:val="0"/>
            <w:vAlign w:val="center"/>
          </w:tcPr>
          <w:p w14:paraId="04A0FEA6">
            <w:pPr>
              <w:pStyle w:val="588"/>
              <w:rPr>
                <w:rFonts w:hint="eastAsia" w:ascii="宋体" w:hAnsi="宋体" w:eastAsia="宋体" w:cs="宋体"/>
                <w:color w:val="auto"/>
                <w:highlight w:val="none"/>
              </w:rPr>
            </w:pPr>
            <w:r>
              <w:rPr>
                <w:rFonts w:hint="eastAsia" w:ascii="宋体" w:hAnsi="宋体" w:eastAsia="宋体" w:cs="宋体"/>
                <w:color w:val="auto"/>
                <w:highlight w:val="none"/>
              </w:rPr>
              <w:t>4.服务人员认真执行大队相关规章制度，维护大队利益及正常的运营工作秩序。</w:t>
            </w:r>
          </w:p>
        </w:tc>
      </w:tr>
      <w:tr w14:paraId="713D1AE3">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408" w:hRule="atLeast"/>
        </w:trPr>
        <w:tc>
          <w:tcPr>
            <w:tcW w:w="677" w:type="pct"/>
            <w:vMerge w:val="continue"/>
            <w:noWrap w:val="0"/>
            <w:vAlign w:val="center"/>
          </w:tcPr>
          <w:p w14:paraId="5C5C3C9C">
            <w:pPr>
              <w:rPr>
                <w:rFonts w:hint="eastAsia" w:ascii="宋体" w:hAnsi="宋体" w:eastAsia="宋体" w:cs="宋体"/>
                <w:color w:val="auto"/>
                <w:sz w:val="20"/>
                <w:szCs w:val="20"/>
                <w:highlight w:val="none"/>
              </w:rPr>
            </w:pPr>
          </w:p>
        </w:tc>
        <w:tc>
          <w:tcPr>
            <w:tcW w:w="4322" w:type="pct"/>
            <w:noWrap w:val="0"/>
            <w:vAlign w:val="center"/>
          </w:tcPr>
          <w:p w14:paraId="402564E2">
            <w:pPr>
              <w:pStyle w:val="588"/>
              <w:rPr>
                <w:rFonts w:hint="eastAsia" w:ascii="宋体" w:hAnsi="宋体" w:eastAsia="宋体" w:cs="宋体"/>
                <w:color w:val="auto"/>
                <w:highlight w:val="none"/>
              </w:rPr>
            </w:pPr>
            <w:r>
              <w:rPr>
                <w:rFonts w:hint="eastAsia" w:ascii="宋体" w:hAnsi="宋体" w:eastAsia="宋体" w:cs="宋体"/>
                <w:color w:val="auto"/>
                <w:highlight w:val="none"/>
              </w:rPr>
              <w:t>5.服务人员在劝导时，保持高度警惕，及时发现隐患、事故和犯罪行为，发现可疑情况必须果断处理，及时汇报。</w:t>
            </w:r>
          </w:p>
        </w:tc>
      </w:tr>
      <w:tr w14:paraId="3F6C2BFD">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1137" w:hRule="atLeast"/>
        </w:trPr>
        <w:tc>
          <w:tcPr>
            <w:tcW w:w="677" w:type="pct"/>
            <w:vMerge w:val="continue"/>
            <w:noWrap w:val="0"/>
            <w:vAlign w:val="center"/>
          </w:tcPr>
          <w:p w14:paraId="7B056936">
            <w:pPr>
              <w:rPr>
                <w:rFonts w:hint="eastAsia" w:ascii="宋体" w:hAnsi="宋体" w:eastAsia="宋体" w:cs="宋体"/>
                <w:color w:val="auto"/>
                <w:sz w:val="20"/>
                <w:szCs w:val="20"/>
                <w:highlight w:val="none"/>
              </w:rPr>
            </w:pPr>
          </w:p>
        </w:tc>
        <w:tc>
          <w:tcPr>
            <w:tcW w:w="4322" w:type="pct"/>
            <w:noWrap w:val="0"/>
            <w:vAlign w:val="center"/>
          </w:tcPr>
          <w:p w14:paraId="488FA3FB">
            <w:pPr>
              <w:pStyle w:val="588"/>
              <w:rPr>
                <w:rFonts w:hint="eastAsia" w:ascii="宋体" w:hAnsi="宋体" w:eastAsia="宋体" w:cs="宋体"/>
                <w:color w:val="auto"/>
                <w:highlight w:val="none"/>
              </w:rPr>
            </w:pPr>
            <w:r>
              <w:rPr>
                <w:rFonts w:hint="eastAsia" w:ascii="宋体" w:hAnsi="宋体" w:eastAsia="宋体" w:cs="宋体"/>
                <w:color w:val="auto"/>
                <w:highlight w:val="none"/>
              </w:rPr>
              <w:t>6.严禁工作期间玩手机、游戏机；不允许在工作期间擅自离开岗位，到沿街店面、花坛等非工作区域休息。不得脱岗、串岗、闲聊、吸烟、睡觉、嬉笑打闹、将手插入口袋、背手、挽臂揽腰巡逻。不准做与工作无关的事。</w:t>
            </w:r>
          </w:p>
        </w:tc>
      </w:tr>
      <w:tr w14:paraId="297AC5B4">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221" w:hRule="atLeast"/>
        </w:trPr>
        <w:tc>
          <w:tcPr>
            <w:tcW w:w="677" w:type="pct"/>
            <w:vMerge w:val="continue"/>
            <w:noWrap w:val="0"/>
            <w:vAlign w:val="center"/>
          </w:tcPr>
          <w:p w14:paraId="57DED567">
            <w:pPr>
              <w:rPr>
                <w:rFonts w:hint="eastAsia" w:ascii="宋体" w:hAnsi="宋体" w:eastAsia="宋体" w:cs="宋体"/>
                <w:color w:val="auto"/>
                <w:sz w:val="20"/>
                <w:szCs w:val="20"/>
                <w:highlight w:val="none"/>
              </w:rPr>
            </w:pPr>
          </w:p>
        </w:tc>
        <w:tc>
          <w:tcPr>
            <w:tcW w:w="4322" w:type="pct"/>
            <w:noWrap w:val="0"/>
            <w:vAlign w:val="center"/>
          </w:tcPr>
          <w:p w14:paraId="6C8B901B">
            <w:pPr>
              <w:pStyle w:val="588"/>
              <w:rPr>
                <w:rFonts w:hint="eastAsia" w:ascii="宋体" w:hAnsi="宋体" w:eastAsia="宋体" w:cs="宋体"/>
                <w:color w:val="auto"/>
                <w:highlight w:val="none"/>
              </w:rPr>
            </w:pPr>
            <w:r>
              <w:rPr>
                <w:rFonts w:hint="eastAsia" w:ascii="宋体" w:hAnsi="宋体" w:eastAsia="宋体" w:cs="宋体"/>
                <w:color w:val="auto"/>
                <w:highlight w:val="none"/>
              </w:rPr>
              <w:t>7.不得无故迟到或者早退。有病假、事假的应提前向所在中队和所属公司报告。</w:t>
            </w:r>
          </w:p>
        </w:tc>
      </w:tr>
      <w:tr w14:paraId="094D3CA9">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58" w:hRule="atLeast"/>
        </w:trPr>
        <w:tc>
          <w:tcPr>
            <w:tcW w:w="677" w:type="pct"/>
            <w:vMerge w:val="restart"/>
            <w:noWrap w:val="0"/>
            <w:vAlign w:val="center"/>
          </w:tcPr>
          <w:p w14:paraId="690BE780">
            <w:pPr>
              <w:pStyle w:val="588"/>
              <w:spacing w:after="240"/>
              <w:jc w:val="center"/>
              <w:rPr>
                <w:rFonts w:hint="eastAsia" w:ascii="宋体" w:hAnsi="宋体" w:eastAsia="宋体" w:cs="宋体"/>
                <w:color w:val="auto"/>
                <w:highlight w:val="none"/>
              </w:rPr>
            </w:pPr>
            <w:r>
              <w:rPr>
                <w:rFonts w:hint="eastAsia" w:ascii="宋体" w:hAnsi="宋体" w:eastAsia="宋体" w:cs="宋体"/>
                <w:color w:val="auto"/>
                <w:highlight w:val="none"/>
              </w:rPr>
              <w:t>服务</w:t>
            </w:r>
          </w:p>
          <w:p w14:paraId="2399A610">
            <w:pPr>
              <w:pStyle w:val="588"/>
              <w:spacing w:before="240"/>
              <w:jc w:val="center"/>
              <w:rPr>
                <w:rFonts w:hint="eastAsia" w:ascii="宋体" w:hAnsi="宋体" w:eastAsia="宋体" w:cs="宋体"/>
                <w:color w:val="auto"/>
                <w:highlight w:val="none"/>
              </w:rPr>
            </w:pPr>
            <w:r>
              <w:rPr>
                <w:rFonts w:hint="eastAsia" w:ascii="宋体" w:hAnsi="宋体" w:eastAsia="宋体" w:cs="宋体"/>
                <w:color w:val="auto"/>
                <w:highlight w:val="none"/>
              </w:rPr>
              <w:t>标准</w:t>
            </w:r>
          </w:p>
        </w:tc>
        <w:tc>
          <w:tcPr>
            <w:tcW w:w="4322" w:type="pct"/>
            <w:noWrap w:val="0"/>
            <w:vAlign w:val="center"/>
          </w:tcPr>
          <w:p w14:paraId="311CC721">
            <w:pPr>
              <w:pStyle w:val="588"/>
              <w:rPr>
                <w:rFonts w:hint="eastAsia" w:ascii="宋体" w:hAnsi="宋体" w:eastAsia="宋体" w:cs="宋体"/>
                <w:color w:val="auto"/>
                <w:highlight w:val="none"/>
              </w:rPr>
            </w:pPr>
            <w:r>
              <w:rPr>
                <w:rFonts w:hint="eastAsia" w:ascii="宋体" w:hAnsi="宋体" w:eastAsia="宋体" w:cs="宋体"/>
                <w:color w:val="auto"/>
                <w:highlight w:val="none"/>
              </w:rPr>
              <w:t>1.在劝导工作中，处理问题时要坚持原则，分清是非，实事求是，以理服人，无有责投诉。</w:t>
            </w:r>
          </w:p>
        </w:tc>
      </w:tr>
      <w:tr w14:paraId="718B53A6">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83" w:hRule="atLeast"/>
        </w:trPr>
        <w:tc>
          <w:tcPr>
            <w:tcW w:w="677" w:type="pct"/>
            <w:vMerge w:val="continue"/>
            <w:noWrap w:val="0"/>
            <w:vAlign w:val="center"/>
          </w:tcPr>
          <w:p w14:paraId="2CED665B">
            <w:pPr>
              <w:rPr>
                <w:rFonts w:hint="eastAsia" w:ascii="宋体" w:hAnsi="宋体" w:eastAsia="宋体" w:cs="宋体"/>
                <w:color w:val="auto"/>
                <w:sz w:val="20"/>
                <w:szCs w:val="20"/>
                <w:highlight w:val="none"/>
              </w:rPr>
            </w:pPr>
          </w:p>
        </w:tc>
        <w:tc>
          <w:tcPr>
            <w:tcW w:w="4322" w:type="pct"/>
            <w:noWrap w:val="0"/>
            <w:vAlign w:val="center"/>
          </w:tcPr>
          <w:p w14:paraId="52624C1C">
            <w:pPr>
              <w:pStyle w:val="588"/>
              <w:rPr>
                <w:rFonts w:hint="eastAsia" w:ascii="宋体" w:hAnsi="宋体" w:eastAsia="宋体" w:cs="宋体"/>
                <w:color w:val="auto"/>
                <w:highlight w:val="none"/>
              </w:rPr>
            </w:pPr>
            <w:r>
              <w:rPr>
                <w:rFonts w:hint="eastAsia" w:ascii="宋体" w:hAnsi="宋体" w:eastAsia="宋体" w:cs="宋体"/>
                <w:color w:val="auto"/>
                <w:highlight w:val="none"/>
              </w:rPr>
              <w:t>2.服务期间应避免与他人发生争执、肢体冲突等，给甲方造成声誉上的影响。</w:t>
            </w:r>
          </w:p>
        </w:tc>
      </w:tr>
      <w:tr w14:paraId="70E023A6">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58" w:hRule="atLeast"/>
        </w:trPr>
        <w:tc>
          <w:tcPr>
            <w:tcW w:w="677" w:type="pct"/>
            <w:vMerge w:val="continue"/>
            <w:noWrap w:val="0"/>
            <w:vAlign w:val="center"/>
          </w:tcPr>
          <w:p w14:paraId="16D9C6BF">
            <w:pPr>
              <w:rPr>
                <w:rFonts w:hint="eastAsia" w:ascii="宋体" w:hAnsi="宋体" w:eastAsia="宋体" w:cs="宋体"/>
                <w:color w:val="auto"/>
                <w:sz w:val="20"/>
                <w:szCs w:val="20"/>
                <w:highlight w:val="none"/>
              </w:rPr>
            </w:pPr>
          </w:p>
        </w:tc>
        <w:tc>
          <w:tcPr>
            <w:tcW w:w="4322" w:type="pct"/>
            <w:noWrap w:val="0"/>
            <w:vAlign w:val="center"/>
          </w:tcPr>
          <w:p w14:paraId="23A07BE7">
            <w:pPr>
              <w:pStyle w:val="588"/>
              <w:rPr>
                <w:rFonts w:hint="eastAsia" w:ascii="宋体" w:hAnsi="宋体" w:eastAsia="宋体" w:cs="宋体"/>
                <w:color w:val="auto"/>
                <w:highlight w:val="none"/>
              </w:rPr>
            </w:pPr>
            <w:r>
              <w:rPr>
                <w:rFonts w:hint="eastAsia" w:ascii="宋体" w:hAnsi="宋体" w:eastAsia="宋体" w:cs="宋体"/>
                <w:color w:val="auto"/>
                <w:highlight w:val="none"/>
              </w:rPr>
              <w:t>3.不得泄露甲方内部事务或其他秘密情况、资料等。</w:t>
            </w:r>
          </w:p>
        </w:tc>
      </w:tr>
      <w:tr w14:paraId="00A56B93">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cantSplit/>
          <w:trHeight w:val="125" w:hRule="atLeast"/>
        </w:trPr>
        <w:tc>
          <w:tcPr>
            <w:tcW w:w="677" w:type="pct"/>
            <w:vMerge w:val="continue"/>
            <w:noWrap w:val="0"/>
            <w:vAlign w:val="center"/>
          </w:tcPr>
          <w:p w14:paraId="73F348CF">
            <w:pPr>
              <w:rPr>
                <w:rFonts w:hint="eastAsia" w:ascii="宋体" w:hAnsi="宋体" w:eastAsia="宋体" w:cs="宋体"/>
                <w:color w:val="auto"/>
                <w:sz w:val="20"/>
                <w:szCs w:val="20"/>
                <w:highlight w:val="none"/>
              </w:rPr>
            </w:pPr>
          </w:p>
        </w:tc>
        <w:tc>
          <w:tcPr>
            <w:tcW w:w="4322" w:type="pct"/>
            <w:noWrap w:val="0"/>
            <w:vAlign w:val="center"/>
          </w:tcPr>
          <w:p w14:paraId="74C3D601">
            <w:pPr>
              <w:pStyle w:val="588"/>
              <w:rPr>
                <w:rFonts w:hint="eastAsia" w:ascii="宋体" w:hAnsi="宋体" w:eastAsia="宋体" w:cs="宋体"/>
                <w:color w:val="auto"/>
                <w:highlight w:val="none"/>
              </w:rPr>
            </w:pPr>
            <w:r>
              <w:rPr>
                <w:rFonts w:hint="eastAsia" w:ascii="宋体" w:hAnsi="宋体" w:eastAsia="宋体" w:cs="宋体"/>
                <w:color w:val="auto"/>
                <w:highlight w:val="none"/>
              </w:rPr>
              <w:t>4.在协助参与突发事件应急处置工作中不得出现处置不力、甚至临阵退缩现象。</w:t>
            </w:r>
          </w:p>
        </w:tc>
      </w:tr>
      <w:tr w14:paraId="3BF5974B">
        <w:tblPrEx>
          <w:tblBorders>
            <w:top w:val="single" w:color="808080" w:sz="6" w:space="0"/>
            <w:left w:val="single" w:color="808080" w:sz="6" w:space="0"/>
            <w:bottom w:val="single" w:color="808080" w:sz="6" w:space="0"/>
            <w:right w:val="single" w:color="808080" w:sz="6" w:space="0"/>
            <w:insideH w:val="single" w:color="000000" w:sz="6" w:space="0"/>
            <w:insideV w:val="single" w:color="000000" w:sz="6" w:space="0"/>
          </w:tblBorders>
          <w:tblCellMar>
            <w:top w:w="0" w:type="dxa"/>
            <w:left w:w="108" w:type="dxa"/>
            <w:bottom w:w="0" w:type="dxa"/>
            <w:right w:w="108" w:type="dxa"/>
          </w:tblCellMar>
        </w:tblPrEx>
        <w:trPr>
          <w:trHeight w:val="205" w:hRule="atLeast"/>
        </w:trPr>
        <w:tc>
          <w:tcPr>
            <w:tcW w:w="677" w:type="pct"/>
            <w:noWrap w:val="0"/>
            <w:vAlign w:val="center"/>
          </w:tcPr>
          <w:p w14:paraId="570F1C73">
            <w:pPr>
              <w:pStyle w:val="588"/>
              <w:spacing w:after="240"/>
              <w:jc w:val="center"/>
              <w:rPr>
                <w:rFonts w:hint="eastAsia" w:ascii="宋体" w:hAnsi="宋体" w:eastAsia="宋体" w:cs="宋体"/>
                <w:color w:val="auto"/>
                <w:highlight w:val="none"/>
              </w:rPr>
            </w:pPr>
            <w:r>
              <w:rPr>
                <w:rFonts w:hint="eastAsia" w:ascii="宋体" w:hAnsi="宋体" w:eastAsia="宋体" w:cs="宋体"/>
                <w:color w:val="auto"/>
                <w:highlight w:val="none"/>
              </w:rPr>
              <w:t>规章制</w:t>
            </w:r>
          </w:p>
          <w:p w14:paraId="23809818">
            <w:pPr>
              <w:pStyle w:val="588"/>
              <w:spacing w:before="240"/>
              <w:jc w:val="center"/>
              <w:rPr>
                <w:rFonts w:hint="eastAsia" w:ascii="宋体" w:hAnsi="宋体" w:eastAsia="宋体" w:cs="宋体"/>
                <w:color w:val="auto"/>
                <w:highlight w:val="none"/>
              </w:rPr>
            </w:pPr>
            <w:r>
              <w:rPr>
                <w:rFonts w:hint="eastAsia" w:ascii="宋体" w:hAnsi="宋体" w:eastAsia="宋体" w:cs="宋体"/>
                <w:color w:val="auto"/>
                <w:highlight w:val="none"/>
              </w:rPr>
              <w:t>度学习</w:t>
            </w:r>
          </w:p>
        </w:tc>
        <w:tc>
          <w:tcPr>
            <w:tcW w:w="4322" w:type="pct"/>
            <w:noWrap w:val="0"/>
            <w:vAlign w:val="center"/>
          </w:tcPr>
          <w:p w14:paraId="242D3E46">
            <w:pPr>
              <w:pStyle w:val="588"/>
              <w:rPr>
                <w:rFonts w:hint="eastAsia" w:ascii="宋体" w:hAnsi="宋体" w:eastAsia="宋体" w:cs="宋体"/>
                <w:color w:val="auto"/>
                <w:highlight w:val="none"/>
              </w:rPr>
            </w:pPr>
            <w:r>
              <w:rPr>
                <w:rFonts w:hint="eastAsia" w:ascii="宋体" w:hAnsi="宋体" w:eastAsia="宋体" w:cs="宋体"/>
                <w:color w:val="auto"/>
                <w:highlight w:val="none"/>
              </w:rPr>
              <w:t>1.服务人员按规定参加学习国家相关法律法规、中队相关制度及行业相关规定。</w:t>
            </w:r>
          </w:p>
        </w:tc>
      </w:tr>
    </w:tbl>
    <w:p w14:paraId="0C05C3CC">
      <w:pPr>
        <w:pStyle w:val="588"/>
        <w:spacing w:before="240" w:after="240"/>
        <w:rPr>
          <w:rFonts w:hint="eastAsia" w:ascii="宋体" w:hAnsi="宋体" w:eastAsia="宋体" w:cs="宋体"/>
          <w:color w:val="auto"/>
          <w:highlight w:val="none"/>
        </w:rPr>
        <w:sectPr>
          <w:pgSz w:w="11906" w:h="16838"/>
          <w:pgMar w:top="720" w:right="720" w:bottom="720" w:left="720" w:header="851" w:footer="992" w:gutter="0"/>
          <w:cols w:space="720" w:num="1"/>
          <w:titlePg/>
          <w:docGrid w:linePitch="360" w:charSpace="0"/>
        </w:sectPr>
      </w:pPr>
    </w:p>
    <w:p w14:paraId="46D36AB2">
      <w:pPr>
        <w:pStyle w:val="58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附件二、交通劝导员考核办法</w:t>
      </w:r>
    </w:p>
    <w:p w14:paraId="7A394D9C">
      <w:pPr>
        <w:pStyle w:val="588"/>
        <w:spacing w:before="240" w:after="240" w:line="420" w:lineRule="atLeast"/>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总则</w:t>
      </w:r>
    </w:p>
    <w:p w14:paraId="15B6AAC6">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第一条　管理考核坚持公开、公平、公正原则，注重实绩，考核重点项目，考核管理效果。考核实行月度考核制，考核结果与中标公司直接挂钩。</w:t>
      </w:r>
    </w:p>
    <w:p w14:paraId="47794A0A">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第二条 </w:t>
      </w:r>
      <w:r>
        <w:rPr>
          <w:rFonts w:hint="eastAsia" w:ascii="宋体" w:hAnsi="宋体" w:eastAsia="宋体" w:cs="宋体"/>
          <w:color w:val="auto"/>
          <w:sz w:val="21"/>
          <w:szCs w:val="21"/>
          <w:highlight w:val="none"/>
          <w:lang w:val="en-US" w:eastAsia="zh-CN"/>
        </w:rPr>
        <w:t>交管大队</w:t>
      </w:r>
      <w:r>
        <w:rPr>
          <w:rFonts w:hint="eastAsia" w:ascii="宋体" w:hAnsi="宋体" w:eastAsia="宋体" w:cs="宋体"/>
          <w:color w:val="auto"/>
          <w:sz w:val="21"/>
          <w:szCs w:val="21"/>
          <w:highlight w:val="none"/>
        </w:rPr>
        <w:t>对外聘交通劝导员执勤时间段的到岗时间、工作质态、管理效果进行考核，其他人员管理由所属公司负责。</w:t>
      </w:r>
    </w:p>
    <w:p w14:paraId="19165E18">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第三条 管理考核实行百分制，由大队考核（指挥中心视频督查20分、大队领导路面督查10分、管事率10分）40分、中队考核（考勤报备15分、执勤规范15分、工作纪律20分、管事率10分）60分组成。上述项目加分上限为本项目（有小项目的以小项目计）的总分，扣分在本项目扣完为止。每月</w:t>
      </w:r>
      <w:r>
        <w:rPr>
          <w:rFonts w:hint="eastAsia" w:ascii="宋体" w:hAnsi="宋体" w:eastAsia="宋体" w:cs="宋体"/>
          <w:color w:val="auto"/>
          <w:sz w:val="21"/>
          <w:szCs w:val="21"/>
          <w:highlight w:val="none"/>
          <w:lang w:eastAsia="zh-CN"/>
        </w:rPr>
        <w:t>交通指挥中心</w:t>
      </w:r>
      <w:r>
        <w:rPr>
          <w:rFonts w:hint="eastAsia" w:ascii="宋体" w:hAnsi="宋体" w:eastAsia="宋体" w:cs="宋体"/>
          <w:color w:val="auto"/>
          <w:sz w:val="21"/>
          <w:szCs w:val="21"/>
          <w:highlight w:val="none"/>
        </w:rPr>
        <w:t>负责汇总。</w:t>
      </w:r>
    </w:p>
    <w:p w14:paraId="5561D878">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第四条 考核的交通违法行为包括，非机动车逆向行驶、越线停车、在机动车道行驶、违规带人、闯红灯等；行人不走斑马线、乱穿马路、闯红灯等。</w:t>
      </w:r>
    </w:p>
    <w:p w14:paraId="2F7CD63A">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第五条 对于被现场纠正的路口交通违法行为，均不扣分。</w:t>
      </w:r>
    </w:p>
    <w:p w14:paraId="392512CA">
      <w:pPr>
        <w:pStyle w:val="588"/>
        <w:spacing w:line="440" w:lineRule="exact"/>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分则</w:t>
      </w:r>
    </w:p>
    <w:p w14:paraId="5873546A">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第六条 大队领导现场督查，大队领导随机选取有交通劝导员劝导的路口，对交通劝导员劝导期间的路口秩序、站位、口哨使用、着装、精神面貌等综合情况进行打分。（10分）</w:t>
      </w:r>
    </w:p>
    <w:p w14:paraId="16704041">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第七条 </w:t>
      </w:r>
      <w:r>
        <w:rPr>
          <w:rFonts w:hint="eastAsia" w:ascii="宋体" w:hAnsi="宋体" w:eastAsia="宋体" w:cs="宋体"/>
          <w:color w:val="auto"/>
          <w:sz w:val="21"/>
          <w:szCs w:val="21"/>
          <w:highlight w:val="none"/>
          <w:lang w:eastAsia="zh-CN"/>
        </w:rPr>
        <w:t>交通指挥中心</w:t>
      </w:r>
      <w:r>
        <w:rPr>
          <w:rFonts w:hint="eastAsia" w:ascii="宋体" w:hAnsi="宋体" w:eastAsia="宋体" w:cs="宋体"/>
          <w:color w:val="auto"/>
          <w:sz w:val="21"/>
          <w:szCs w:val="21"/>
          <w:highlight w:val="none"/>
        </w:rPr>
        <w:t>视频督查，每天分别调取早、晚高峰各15分钟监控录像，统计路口中各交通劝导员劝导点位的交通违法情况，存在3个或3个以内交通违法行为的扣0分，每超过一个扣1分，扣完为止。（20分）</w:t>
      </w:r>
    </w:p>
    <w:p w14:paraId="47CAA8EC">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第八条 高峰劝导管事率，</w:t>
      </w:r>
      <w:r>
        <w:rPr>
          <w:rFonts w:hint="eastAsia" w:ascii="宋体" w:hAnsi="宋体" w:eastAsia="宋体" w:cs="宋体"/>
          <w:color w:val="auto"/>
          <w:sz w:val="21"/>
          <w:szCs w:val="21"/>
          <w:highlight w:val="none"/>
          <w:lang w:eastAsia="zh-CN"/>
        </w:rPr>
        <w:t>交通指挥中心</w:t>
      </w:r>
      <w:r>
        <w:rPr>
          <w:rFonts w:hint="eastAsia" w:ascii="宋体" w:hAnsi="宋体" w:eastAsia="宋体" w:cs="宋体"/>
          <w:color w:val="auto"/>
          <w:sz w:val="21"/>
          <w:szCs w:val="21"/>
          <w:highlight w:val="none"/>
        </w:rPr>
        <w:t>视频回查发现交通劝导员态度消极，对多起违法行为不加制止，每发现一次扣1分，扣完为止。（10分）</w:t>
      </w:r>
    </w:p>
    <w:p w14:paraId="742E6B47">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以下项目由中队负责考核，并每月报</w:t>
      </w:r>
      <w:r>
        <w:rPr>
          <w:rFonts w:hint="eastAsia" w:ascii="宋体" w:hAnsi="宋体" w:eastAsia="宋体" w:cs="宋体"/>
          <w:color w:val="auto"/>
          <w:sz w:val="21"/>
          <w:szCs w:val="21"/>
          <w:highlight w:val="none"/>
          <w:lang w:eastAsia="zh-CN"/>
        </w:rPr>
        <w:t>交通指挥中心</w:t>
      </w:r>
      <w:r>
        <w:rPr>
          <w:rFonts w:hint="eastAsia" w:ascii="宋体" w:hAnsi="宋体" w:eastAsia="宋体" w:cs="宋体"/>
          <w:color w:val="auto"/>
          <w:sz w:val="21"/>
          <w:szCs w:val="21"/>
          <w:highlight w:val="none"/>
        </w:rPr>
        <w:t>汇总。</w:t>
      </w:r>
    </w:p>
    <w:p w14:paraId="518CF008">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第九条 考勤报备（15分）</w:t>
      </w:r>
    </w:p>
    <w:p w14:paraId="16993C82">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上岗时间为7:30-11:00、13:30-18:00，早晚高峰期间（7:30-8:45、16:30-18:00）所有执勤交通劝导员必须在岗在位。另外，必须在每日7:30前、18:00后列队拍摄勤务照片，辖区中队负责核查，存在迟到、早退的，每发现一次扣2分。</w:t>
      </w:r>
    </w:p>
    <w:p w14:paraId="4D5DDC10">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交通劝导员人员要固定，不允许兼职，请假要提前向交通劝导员队长申请，由交通劝导员队长向所属</w:t>
      </w:r>
      <w:r>
        <w:rPr>
          <w:rFonts w:hint="eastAsia" w:ascii="宋体" w:hAnsi="宋体" w:eastAsia="宋体" w:cs="宋体"/>
          <w:color w:val="auto"/>
          <w:sz w:val="21"/>
          <w:szCs w:val="21"/>
          <w:highlight w:val="none"/>
          <w:lang w:eastAsia="zh-CN"/>
        </w:rPr>
        <w:t>交管中队</w:t>
      </w:r>
      <w:r>
        <w:rPr>
          <w:rFonts w:hint="eastAsia" w:ascii="宋体" w:hAnsi="宋体" w:eastAsia="宋体" w:cs="宋体"/>
          <w:color w:val="auto"/>
          <w:sz w:val="21"/>
          <w:szCs w:val="21"/>
          <w:highlight w:val="none"/>
        </w:rPr>
        <w:t>领导申请批准签字，未请假或请假不批准强行休息的，扣除当天工资，并考核扣10分。</w:t>
      </w:r>
    </w:p>
    <w:p w14:paraId="6A186DDB">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第十条 执勤规范（15分）</w:t>
      </w:r>
    </w:p>
    <w:p w14:paraId="2C677A04">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在岗期间，规范举止着装，必须穿制服，带好大檐帽、反光背心、哨子、手套等必要装备，装备不全的，每发现一次扣1分；站岗执勤时不能叼烟、吸烟，鞋子以黑色皮鞋为主或黑色的鞋子，违反规定的，每发现一次扣1分。</w:t>
      </w:r>
    </w:p>
    <w:p w14:paraId="1BFFC2B7">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劝导时应规范用语，劝导时发生投诉，经</w:t>
      </w:r>
      <w:r>
        <w:rPr>
          <w:rFonts w:hint="eastAsia" w:ascii="宋体" w:hAnsi="宋体" w:eastAsia="宋体" w:cs="宋体"/>
          <w:color w:val="auto"/>
          <w:sz w:val="21"/>
          <w:szCs w:val="21"/>
          <w:highlight w:val="none"/>
          <w:lang w:eastAsia="zh-CN"/>
        </w:rPr>
        <w:t>交管中队</w:t>
      </w:r>
      <w:r>
        <w:rPr>
          <w:rFonts w:hint="eastAsia" w:ascii="宋体" w:hAnsi="宋体" w:eastAsia="宋体" w:cs="宋体"/>
          <w:color w:val="auto"/>
          <w:sz w:val="21"/>
          <w:szCs w:val="21"/>
          <w:highlight w:val="none"/>
        </w:rPr>
        <w:t>查证属实的，每一起扣5分，造成严重后果的，扣10分，由当事人赔偿相应损失并退回至所属公司。</w:t>
      </w:r>
    </w:p>
    <w:p w14:paraId="7B8C7B82">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第十一条 工作纪律（20分）</w:t>
      </w:r>
    </w:p>
    <w:p w14:paraId="56C8C97F">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工作期间一律不得饮酒，一经发现酒后上岗的，每次扣20分并退回公司按照相关规定解除聘用关系。非工作时间一律不得着制服在公众场所饮酒，一经发现，每次扣10分。</w:t>
      </w:r>
    </w:p>
    <w:p w14:paraId="70559CB1">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交通劝导员应严格遵守公安保密工作纪律，不得擅自查询、泄漏公民个人信息；不得以任何方式对外发布涉及各类案、事件等相关保密信息。凡违反保密规定的，经查实每次扣20分并退回公司按照相关规定解除聘用关系。</w:t>
      </w:r>
    </w:p>
    <w:p w14:paraId="7E0AF362">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交通劝导员应遵守所在中队制定的相关工作纪律，凡违反规定的，由所在中队依照相关规定予以考核。</w:t>
      </w:r>
    </w:p>
    <w:p w14:paraId="50E81473">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上下班期间有违反交通法规行为的，每查实一起扣2分，并对相关交通违法行为进行处罚。</w:t>
      </w:r>
    </w:p>
    <w:p w14:paraId="2BACC3D4">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第十二条 平峰期间，每个路口至少有2名劝导员管理路口秩序，缺少一名扣1分。</w:t>
      </w:r>
      <w:r>
        <w:rPr>
          <w:rFonts w:hint="eastAsia" w:ascii="宋体" w:hAnsi="宋体" w:eastAsia="宋体" w:cs="宋体"/>
          <w:color w:val="auto"/>
          <w:sz w:val="21"/>
          <w:szCs w:val="21"/>
          <w:highlight w:val="none"/>
          <w:lang w:eastAsia="zh-CN"/>
        </w:rPr>
        <w:t>交管中队</w:t>
      </w:r>
      <w:r>
        <w:rPr>
          <w:rFonts w:hint="eastAsia" w:ascii="宋体" w:hAnsi="宋体" w:eastAsia="宋体" w:cs="宋体"/>
          <w:color w:val="auto"/>
          <w:sz w:val="21"/>
          <w:szCs w:val="21"/>
          <w:highlight w:val="none"/>
        </w:rPr>
        <w:t>发现交通劝导员长时间休息，脱岗，责任路段无人管理，非机动车违法率较高的，每发现一次扣2分。对</w:t>
      </w:r>
      <w:r>
        <w:rPr>
          <w:rFonts w:hint="eastAsia" w:ascii="宋体" w:hAnsi="宋体" w:eastAsia="宋体" w:cs="宋体"/>
          <w:color w:val="auto"/>
          <w:sz w:val="21"/>
          <w:szCs w:val="21"/>
          <w:highlight w:val="none"/>
          <w:lang w:eastAsia="zh-CN"/>
        </w:rPr>
        <w:t>交管中队</w:t>
      </w:r>
      <w:r>
        <w:rPr>
          <w:rFonts w:hint="eastAsia" w:ascii="宋体" w:hAnsi="宋体" w:eastAsia="宋体" w:cs="宋体"/>
          <w:color w:val="auto"/>
          <w:sz w:val="21"/>
          <w:szCs w:val="21"/>
          <w:highlight w:val="none"/>
        </w:rPr>
        <w:t>指令不执行，每次扣1分，造成后果的扣5分，并退回至所属公司。（10分）</w:t>
      </w:r>
    </w:p>
    <w:p w14:paraId="4B1BCDD4">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第十三条 每月对表现优秀的个人或得到上级表扬的个人进行奖励，由中队推荐，大队办公会议商议决定。</w:t>
      </w:r>
    </w:p>
    <w:p w14:paraId="34D8A59A">
      <w:pPr>
        <w:pStyle w:val="588"/>
        <w:spacing w:line="440" w:lineRule="exact"/>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t>附则</w:t>
      </w:r>
    </w:p>
    <w:p w14:paraId="5D61019B">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第十四条 本办法所述交通劝导员指通过政务购买服务形式聘请的社会交通劝导力量。</w:t>
      </w:r>
    </w:p>
    <w:p w14:paraId="28AB42F6">
      <w:pPr>
        <w:pStyle w:val="588"/>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第十五条 本办法由张家港市公安局交通管理大队负责解释。</w:t>
      </w:r>
    </w:p>
    <w:p w14:paraId="763763A2">
      <w:pPr>
        <w:widowControl/>
        <w:spacing w:line="440" w:lineRule="exact"/>
        <w:ind w:firstLine="482"/>
        <w:jc w:val="left"/>
        <w:rPr>
          <w:rFonts w:hint="eastAsia" w:ascii="宋体" w:hAnsi="宋体" w:eastAsia="宋体" w:cs="宋体"/>
          <w:b/>
          <w:color w:val="auto"/>
          <w:sz w:val="24"/>
          <w:szCs w:val="24"/>
          <w:highlight w:val="none"/>
        </w:rPr>
        <w:sectPr>
          <w:pgSz w:w="11906" w:h="16838"/>
          <w:pgMar w:top="720" w:right="720" w:bottom="720" w:left="720" w:header="851" w:footer="992" w:gutter="0"/>
          <w:cols w:space="720" w:num="1"/>
          <w:titlePg/>
          <w:docGrid w:linePitch="360" w:charSpace="0"/>
        </w:sectPr>
      </w:pPr>
    </w:p>
    <w:p w14:paraId="6FA7B8DA">
      <w:pPr>
        <w:pStyle w:val="129"/>
        <w:pageBreakBefore/>
        <w:spacing w:line="440" w:lineRule="exact"/>
        <w:rPr>
          <w:rFonts w:hint="eastAsia" w:ascii="宋体" w:hAnsi="宋体" w:eastAsia="宋体" w:cs="宋体"/>
          <w:b w:val="0"/>
          <w:color w:val="auto"/>
          <w:sz w:val="24"/>
          <w:highlight w:val="none"/>
        </w:rPr>
      </w:pPr>
      <w:bookmarkStart w:id="155" w:name="_Toc175752384"/>
      <w:r>
        <w:rPr>
          <w:rFonts w:hint="eastAsia" w:ascii="宋体" w:hAnsi="宋体" w:eastAsia="宋体" w:cs="宋体"/>
          <w:color w:val="auto"/>
          <w:highlight w:val="none"/>
        </w:rPr>
        <w:t>第五章  评标方法与评标标准</w:t>
      </w:r>
      <w:bookmarkEnd w:id="155"/>
    </w:p>
    <w:p w14:paraId="233506AA">
      <w:pPr>
        <w:pStyle w:val="59"/>
        <w:spacing w:before="0" w:after="0" w:line="440" w:lineRule="atLeast"/>
        <w:jc w:val="left"/>
        <w:rPr>
          <w:rStyle w:val="335"/>
          <w:rFonts w:hint="eastAsia" w:ascii="宋体" w:hAnsi="宋体" w:eastAsia="宋体" w:cs="宋体"/>
          <w:b w:val="0"/>
          <w:bCs w:val="0"/>
          <w:color w:val="auto"/>
          <w:highlight w:val="none"/>
        </w:rPr>
      </w:pPr>
      <w:bookmarkStart w:id="156" w:name="_Toc175752385"/>
      <w:r>
        <w:rPr>
          <w:rStyle w:val="335"/>
          <w:rFonts w:hint="eastAsia" w:ascii="宋体" w:hAnsi="宋体" w:eastAsia="宋体" w:cs="宋体"/>
          <w:b w:val="0"/>
          <w:bCs w:val="0"/>
          <w:color w:val="auto"/>
          <w:highlight w:val="none"/>
        </w:rPr>
        <w:t>一、评标方法与定标原则</w:t>
      </w:r>
      <w:bookmarkEnd w:id="156"/>
    </w:p>
    <w:p w14:paraId="01D1FFE5">
      <w:pPr>
        <w:pStyle w:val="571"/>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1.1 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52F0E4D">
      <w:pPr>
        <w:pStyle w:val="59"/>
        <w:spacing w:before="0" w:after="0" w:line="440" w:lineRule="exact"/>
        <w:jc w:val="left"/>
        <w:rPr>
          <w:rStyle w:val="335"/>
          <w:rFonts w:hint="eastAsia" w:ascii="宋体" w:hAnsi="宋体" w:eastAsia="宋体" w:cs="宋体"/>
          <w:b w:val="0"/>
          <w:bCs w:val="0"/>
          <w:color w:val="auto"/>
          <w:highlight w:val="none"/>
        </w:rPr>
      </w:pPr>
      <w:bookmarkStart w:id="157" w:name="EBd9567453f96a4fca96262d13cc886515"/>
      <w:bookmarkEnd w:id="157"/>
      <w:bookmarkStart w:id="158" w:name="_Toc175752386"/>
      <w:r>
        <w:rPr>
          <w:rStyle w:val="335"/>
          <w:rFonts w:hint="eastAsia" w:ascii="宋体" w:hAnsi="宋体" w:eastAsia="宋体" w:cs="宋体"/>
          <w:b w:val="0"/>
          <w:bCs w:val="0"/>
          <w:color w:val="auto"/>
          <w:highlight w:val="none"/>
        </w:rPr>
        <w:t>二、评标标准</w:t>
      </w:r>
      <w:bookmarkEnd w:id="158"/>
    </w:p>
    <w:p w14:paraId="746A24E1">
      <w:pPr>
        <w:pStyle w:val="588"/>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1 价格分 20.0 分</w:t>
      </w:r>
    </w:p>
    <w:p w14:paraId="383AA620">
      <w:pPr>
        <w:pStyle w:val="58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采用低价优先法计算，即满足招标文件要求且投标价格最低的投标价为评标基准价，其价格分为满分20.0分。其他投标人的价格分统一按照下列公式计算：</w:t>
      </w:r>
    </w:p>
    <w:p w14:paraId="4F6FE306">
      <w:pPr>
        <w:pStyle w:val="588"/>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投标报价得分=（评标基准价/投标报价）* 20.0% * 100（保留</w:t>
      </w:r>
      <w:r>
        <w:rPr>
          <w:rFonts w:hint="eastAsia" w:ascii="宋体" w:hAnsi="宋体" w:eastAsia="宋体" w:cs="宋体"/>
          <w:color w:val="auto"/>
          <w:spacing w:val="7"/>
          <w:highlight w:val="none"/>
          <w:lang w:eastAsia="zh-CN"/>
        </w:rPr>
        <w:t>两位</w:t>
      </w:r>
      <w:r>
        <w:rPr>
          <w:rFonts w:hint="eastAsia" w:ascii="宋体" w:hAnsi="宋体" w:eastAsia="宋体" w:cs="宋体"/>
          <w:color w:val="auto"/>
          <w:spacing w:val="7"/>
          <w:highlight w:val="none"/>
        </w:rPr>
        <w:t>小数）。</w:t>
      </w:r>
    </w:p>
    <w:p w14:paraId="04D2F868">
      <w:pPr>
        <w:pStyle w:val="609"/>
        <w:spacing w:line="440" w:lineRule="exact"/>
        <w:ind w:firstLine="500"/>
        <w:rPr>
          <w:rFonts w:hint="eastAsia" w:ascii="宋体" w:hAnsi="宋体" w:eastAsia="宋体" w:cs="宋体"/>
          <w:b/>
          <w:color w:val="auto"/>
          <w:spacing w:val="7"/>
          <w:highlight w:val="none"/>
        </w:rPr>
      </w:pPr>
      <w:bookmarkStart w:id="159" w:name="_Hlk166419597"/>
      <w:r>
        <w:rPr>
          <w:rFonts w:hint="eastAsia" w:ascii="宋体" w:hAnsi="宋体" w:eastAsia="宋体" w:cs="宋体"/>
          <w:b/>
          <w:color w:val="auto"/>
          <w:spacing w:val="7"/>
          <w:highlight w:val="none"/>
        </w:rPr>
        <w:t>2 技术方案 6</w:t>
      </w:r>
      <w:r>
        <w:rPr>
          <w:rFonts w:hint="eastAsia" w:ascii="宋体" w:hAnsi="宋体" w:eastAsia="宋体" w:cs="宋体"/>
          <w:b/>
          <w:color w:val="auto"/>
          <w:spacing w:val="7"/>
          <w:highlight w:val="none"/>
          <w:lang w:val="en-US" w:eastAsia="zh-CN"/>
        </w:rPr>
        <w:t>7</w:t>
      </w:r>
      <w:r>
        <w:rPr>
          <w:rFonts w:hint="eastAsia" w:ascii="宋体" w:hAnsi="宋体" w:eastAsia="宋体" w:cs="宋体"/>
          <w:b/>
          <w:color w:val="auto"/>
          <w:spacing w:val="7"/>
          <w:highlight w:val="none"/>
        </w:rPr>
        <w:t>.0 分</w:t>
      </w:r>
    </w:p>
    <w:p w14:paraId="210E067D">
      <w:pPr>
        <w:pStyle w:val="609"/>
        <w:spacing w:line="440" w:lineRule="exact"/>
        <w:ind w:firstLine="500"/>
        <w:rPr>
          <w:rFonts w:hint="eastAsia" w:ascii="宋体" w:hAnsi="宋体" w:eastAsia="宋体" w:cs="宋体"/>
          <w:color w:val="auto"/>
          <w:spacing w:val="7"/>
          <w:highlight w:val="none"/>
        </w:rPr>
      </w:pPr>
      <w:bookmarkStart w:id="160" w:name="_Hlk202880050"/>
      <w:r>
        <w:rPr>
          <w:rFonts w:hint="eastAsia" w:ascii="宋体" w:hAnsi="宋体" w:eastAsia="宋体" w:cs="宋体"/>
          <w:color w:val="auto"/>
          <w:spacing w:val="7"/>
          <w:highlight w:val="none"/>
        </w:rPr>
        <w:t>2.1.实施方案</w:t>
      </w:r>
    </w:p>
    <w:p w14:paraId="4A7787D4">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本项目对服务实施的具体要求，投标人制定的实施方案包括但不限于①服务标准、②管理模式、③管理计划、④配套措施等，方案完全包含上述内容且满足本项目实施要求的，得12分；上述部分内容略有提及或与项目实施要求有负偏离的，有一项扣1.5分，最多扣6分；上述部分内容有缺失或完全脱离项目实际需要的，有一项扣3分，扣完为止。【0-12】</w:t>
      </w:r>
    </w:p>
    <w:p w14:paraId="50FBF05D">
      <w:pPr>
        <w:pStyle w:val="609"/>
        <w:spacing w:line="440" w:lineRule="exact"/>
        <w:ind w:firstLine="500"/>
        <w:rPr>
          <w:rFonts w:hint="eastAsia" w:ascii="宋体" w:hAnsi="宋体" w:eastAsia="宋体" w:cs="宋体"/>
          <w:color w:val="auto"/>
          <w:spacing w:val="7"/>
          <w:highlight w:val="none"/>
        </w:rPr>
      </w:pPr>
      <w:bookmarkStart w:id="161" w:name="_Hlk202865382"/>
      <w:r>
        <w:rPr>
          <w:rFonts w:hint="eastAsia" w:ascii="宋体" w:hAnsi="宋体" w:eastAsia="宋体" w:cs="宋体"/>
          <w:color w:val="auto"/>
          <w:spacing w:val="7"/>
          <w:highlight w:val="none"/>
        </w:rPr>
        <w:t>2.2.服务质量保障措施</w:t>
      </w:r>
    </w:p>
    <w:p w14:paraId="0530FA77">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本项目对服务质量的具体要求，投标人制定的服务质量保障措施包括但不限于①综合协调方案、②投诉处理方案、③信息反馈方案等，方案完全包含上述内容且满足本项目服务质量要求的，得9分；上述部分内容略有提及或与项目服务质量要求有负偏离的，有一项扣1.5分，最多扣4.5分；上述部分内容有缺失或完全脱离项目实际需要的，有一项扣3分，扣完为止。【0-9】</w:t>
      </w:r>
    </w:p>
    <w:p w14:paraId="01590B14">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2.3.应急方案</w:t>
      </w:r>
    </w:p>
    <w:p w14:paraId="51DAD174">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本项目对应急的具体要求，投标人制定的应急方案包括但不限于①大型活动应急预案、②产生纠纷应急预案、③自然灾害应急预案、④交通事故应急预案等，方案完全包含上述内容且满足本项目应急要求的，得1</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分；上述部分内容略有提及或与项目应急要求有负偏离的，有一项扣1.5分，最多扣</w:t>
      </w:r>
      <w:r>
        <w:rPr>
          <w:rFonts w:hint="eastAsia" w:ascii="宋体" w:hAnsi="宋体" w:eastAsia="宋体" w:cs="宋体"/>
          <w:color w:val="auto"/>
          <w:spacing w:val="7"/>
          <w:highlight w:val="none"/>
          <w:lang w:val="en-US" w:eastAsia="zh-CN"/>
        </w:rPr>
        <w:t>6</w:t>
      </w:r>
      <w:r>
        <w:rPr>
          <w:rFonts w:hint="eastAsia" w:ascii="宋体" w:hAnsi="宋体" w:eastAsia="宋体" w:cs="宋体"/>
          <w:color w:val="auto"/>
          <w:spacing w:val="7"/>
          <w:highlight w:val="none"/>
        </w:rPr>
        <w:t>分；上述部分内容有缺失或完全脱离项目实际需要的，有一项扣</w:t>
      </w:r>
      <w:r>
        <w:rPr>
          <w:rFonts w:hint="eastAsia" w:ascii="宋体" w:hAnsi="宋体" w:eastAsia="宋体" w:cs="宋体"/>
          <w:color w:val="auto"/>
          <w:spacing w:val="7"/>
          <w:highlight w:val="none"/>
          <w:lang w:val="en-US" w:eastAsia="zh-CN"/>
        </w:rPr>
        <w:t>3</w:t>
      </w:r>
      <w:r>
        <w:rPr>
          <w:rFonts w:hint="eastAsia" w:ascii="宋体" w:hAnsi="宋体" w:eastAsia="宋体" w:cs="宋体"/>
          <w:color w:val="auto"/>
          <w:spacing w:val="7"/>
          <w:highlight w:val="none"/>
        </w:rPr>
        <w:t>分，扣完为止。【0-1</w:t>
      </w:r>
      <w:r>
        <w:rPr>
          <w:rFonts w:hint="eastAsia" w:ascii="宋体" w:hAnsi="宋体" w:eastAsia="宋体" w:cs="宋体"/>
          <w:color w:val="auto"/>
          <w:spacing w:val="7"/>
          <w:highlight w:val="none"/>
          <w:lang w:val="en-US" w:eastAsia="zh-CN"/>
        </w:rPr>
        <w:t>2</w:t>
      </w:r>
      <w:r>
        <w:rPr>
          <w:rFonts w:hint="eastAsia" w:ascii="宋体" w:hAnsi="宋体" w:eastAsia="宋体" w:cs="宋体"/>
          <w:color w:val="auto"/>
          <w:spacing w:val="7"/>
          <w:highlight w:val="none"/>
        </w:rPr>
        <w:t>】</w:t>
      </w:r>
    </w:p>
    <w:p w14:paraId="13A46A15">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2.4.进退场方案</w:t>
      </w:r>
    </w:p>
    <w:p w14:paraId="0B012C99">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本项目对进退场的具体要求，投标人制定的进退场方案包括但不限于①交接范围、②进场交接方案、③退场交接方案、④交接计划等，方案完全包含上述内容且满足本项目进退场要求的，得8分；上述部分内容略有提及或与项目进退场要求有负偏离的，有一项扣1分，最多扣4分；上述部分内容有缺失或完全脱离项目实际需要的，有一项扣2分，扣完为止。【0-8】</w:t>
      </w:r>
    </w:p>
    <w:p w14:paraId="3EEE148E">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2.5.培训方案</w:t>
      </w:r>
    </w:p>
    <w:p w14:paraId="4F160726">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根据本项目对人员培训的具体要求，投标人制定的培训方案包括但不限于①基本常识培训方案、②</w:t>
      </w:r>
      <w:r>
        <w:rPr>
          <w:rFonts w:hint="eastAsia" w:ascii="宋体" w:hAnsi="宋体" w:eastAsia="宋体" w:cs="宋体"/>
          <w:color w:val="auto"/>
          <w:highlight w:val="none"/>
        </w:rPr>
        <w:t>劝导员守则培训方案</w:t>
      </w:r>
      <w:r>
        <w:rPr>
          <w:rFonts w:hint="eastAsia" w:ascii="宋体" w:hAnsi="宋体" w:eastAsia="宋体" w:cs="宋体"/>
          <w:color w:val="auto"/>
          <w:spacing w:val="7"/>
          <w:highlight w:val="none"/>
        </w:rPr>
        <w:t>、③</w:t>
      </w:r>
      <w:r>
        <w:rPr>
          <w:rFonts w:hint="eastAsia" w:ascii="宋体" w:hAnsi="宋体" w:eastAsia="宋体" w:cs="宋体"/>
          <w:color w:val="auto"/>
          <w:highlight w:val="none"/>
        </w:rPr>
        <w:t>工作和服务态度（含仪容仪表）培训</w:t>
      </w:r>
      <w:r>
        <w:rPr>
          <w:rFonts w:hint="eastAsia" w:ascii="宋体" w:hAnsi="宋体" w:eastAsia="宋体" w:cs="宋体"/>
          <w:color w:val="auto"/>
          <w:spacing w:val="7"/>
          <w:highlight w:val="none"/>
        </w:rPr>
        <w:t>方案等，方案完全包含上述内容且满足本项目人员培训要求的，得6分；上述部分内容略有提及或与项目</w:t>
      </w:r>
      <w:r>
        <w:rPr>
          <w:rFonts w:hint="eastAsia" w:ascii="宋体" w:hAnsi="宋体" w:eastAsia="宋体" w:cs="宋体"/>
          <w:color w:val="auto"/>
          <w:spacing w:val="7"/>
          <w:highlight w:val="none"/>
          <w:lang w:val="en-US" w:eastAsia="zh-CN"/>
        </w:rPr>
        <w:t>培训</w:t>
      </w:r>
      <w:r>
        <w:rPr>
          <w:rFonts w:hint="eastAsia" w:ascii="宋体" w:hAnsi="宋体" w:eastAsia="宋体" w:cs="宋体"/>
          <w:color w:val="auto"/>
          <w:spacing w:val="7"/>
          <w:highlight w:val="none"/>
        </w:rPr>
        <w:t>要求有负偏离的，有一项扣1分，最多扣3分；上述部分内容有缺失或完全脱离项目实际需要的，有一项扣2分，扣完为止。【0-6】</w:t>
      </w:r>
    </w:p>
    <w:p w14:paraId="3BBFFE90">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2.6.无人机巡飞方案</w:t>
      </w:r>
    </w:p>
    <w:p w14:paraId="61BE6F2F">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根据本项目对无人机巡飞的具体要求，投标人制定的无人机巡飞方案包括但不限于①无人机机场点位设置方案、②无人机及配套设备参数（请提供具体的无人机及配套设备型号并附参数表）、③</w:t>
      </w:r>
      <w:r>
        <w:rPr>
          <w:rFonts w:hint="eastAsia" w:ascii="宋体" w:hAnsi="宋体" w:eastAsia="宋体" w:cs="宋体"/>
          <w:color w:val="auto"/>
          <w:highlight w:val="none"/>
        </w:rPr>
        <w:t>高峰时段巡飞</w:t>
      </w:r>
      <w:r>
        <w:rPr>
          <w:rFonts w:hint="eastAsia" w:ascii="宋体" w:hAnsi="宋体" w:eastAsia="宋体" w:cs="宋体"/>
          <w:color w:val="auto"/>
          <w:spacing w:val="7"/>
          <w:highlight w:val="none"/>
        </w:rPr>
        <w:t>方案、④</w:t>
      </w:r>
      <w:r>
        <w:rPr>
          <w:rFonts w:hint="eastAsia" w:ascii="宋体" w:hAnsi="宋体" w:eastAsia="宋体" w:cs="宋体"/>
          <w:color w:val="auto"/>
          <w:highlight w:val="none"/>
        </w:rPr>
        <w:t>大型活动期间巡飞方案</w:t>
      </w:r>
      <w:r>
        <w:rPr>
          <w:rFonts w:hint="eastAsia" w:ascii="宋体" w:hAnsi="宋体" w:eastAsia="宋体" w:cs="宋体"/>
          <w:color w:val="auto"/>
          <w:spacing w:val="7"/>
          <w:highlight w:val="none"/>
        </w:rPr>
        <w:t>、⑤</w:t>
      </w:r>
      <w:r>
        <w:rPr>
          <w:rFonts w:hint="eastAsia" w:ascii="宋体" w:hAnsi="宋体" w:eastAsia="宋体" w:cs="宋体"/>
          <w:color w:val="auto"/>
          <w:highlight w:val="none"/>
        </w:rPr>
        <w:t>恶劣天气期间巡飞</w:t>
      </w:r>
      <w:r>
        <w:rPr>
          <w:rFonts w:hint="eastAsia" w:ascii="宋体" w:hAnsi="宋体" w:eastAsia="宋体" w:cs="宋体"/>
          <w:color w:val="auto"/>
          <w:spacing w:val="7"/>
          <w:highlight w:val="none"/>
        </w:rPr>
        <w:t>方案等，方案完全包含上述内容且满足本项目无人机巡飞要求的，得15分；上述部分内容略有提及或与项目无人机巡飞要求有负偏离的，有一项扣1.5分，最多扣7.5分；上述部分内容有缺失或完全脱离项目实际需要的，有一项扣3分，扣完为止。【0-15】</w:t>
      </w:r>
    </w:p>
    <w:p w14:paraId="6B5FE997">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2.7.合理化建议</w:t>
      </w:r>
    </w:p>
    <w:p w14:paraId="5882238F">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投标人针对本项目制定的合理化建议，包括但不限于对</w:t>
      </w:r>
      <w:r>
        <w:rPr>
          <w:rFonts w:hint="eastAsia" w:ascii="宋体" w:hAnsi="宋体" w:cs="宋体"/>
          <w:color w:val="auto"/>
          <w:spacing w:val="7"/>
          <w:sz w:val="24"/>
          <w:szCs w:val="24"/>
          <w:highlight w:val="none"/>
          <w:lang w:val="en-US" w:eastAsia="zh-CN"/>
        </w:rPr>
        <w:t>大型活动、恶劣天气、交通事故等情况下</w:t>
      </w:r>
      <w:r>
        <w:rPr>
          <w:rFonts w:hint="eastAsia" w:ascii="宋体" w:hAnsi="宋体" w:eastAsia="宋体" w:cs="宋体"/>
          <w:color w:val="auto"/>
          <w:spacing w:val="7"/>
          <w:highlight w:val="none"/>
        </w:rPr>
        <w:t>交通管理办法、道路拥堵等难点问题、创新管理手段等。每有一条建议有益于项目实施的，得1分，最多得2分；未作说明不得分。【0-2】</w:t>
      </w:r>
    </w:p>
    <w:p w14:paraId="0A87A92F">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2.8</w:t>
      </w:r>
      <w:r>
        <w:rPr>
          <w:rFonts w:hint="eastAsia" w:ascii="宋体" w:hAnsi="宋体" w:eastAsia="宋体" w:cs="宋体"/>
          <w:color w:val="auto"/>
          <w:spacing w:val="7"/>
          <w:highlight w:val="none"/>
        </w:rPr>
        <w:t>其他承诺</w:t>
      </w:r>
    </w:p>
    <w:p w14:paraId="0D20E74A">
      <w:pPr>
        <w:pStyle w:val="588"/>
        <w:spacing w:line="440" w:lineRule="exact"/>
        <w:ind w:firstLine="508"/>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投标人针对本项目</w:t>
      </w:r>
      <w:r>
        <w:rPr>
          <w:rFonts w:hint="eastAsia" w:ascii="宋体" w:hAnsi="宋体" w:eastAsia="宋体" w:cs="宋体"/>
          <w:color w:val="auto"/>
          <w:spacing w:val="7"/>
          <w:highlight w:val="none"/>
          <w:lang w:val="en-US" w:eastAsia="zh-CN"/>
        </w:rPr>
        <w:t>做出的</w:t>
      </w:r>
      <w:r>
        <w:rPr>
          <w:rFonts w:hint="eastAsia" w:ascii="宋体" w:hAnsi="宋体" w:eastAsia="宋体" w:cs="宋体"/>
          <w:color w:val="auto"/>
          <w:spacing w:val="7"/>
          <w:highlight w:val="none"/>
        </w:rPr>
        <w:t>各项承诺，包括服对发生各类安全事故善后处理承诺、依法规范用工承诺、应对履约期内各类风险承诺。有一项得1分，最多得3分</w:t>
      </w:r>
      <w:r>
        <w:rPr>
          <w:rFonts w:hint="eastAsia" w:ascii="宋体" w:hAnsi="宋体" w:eastAsia="宋体" w:cs="宋体"/>
          <w:b/>
          <w:bCs/>
          <w:color w:val="auto"/>
          <w:spacing w:val="7"/>
          <w:highlight w:val="none"/>
        </w:rPr>
        <w:t>（请在投标文件中提供以上</w:t>
      </w:r>
      <w:r>
        <w:rPr>
          <w:rFonts w:hint="eastAsia" w:ascii="宋体" w:hAnsi="宋体" w:eastAsia="宋体" w:cs="宋体"/>
          <w:b/>
          <w:bCs/>
          <w:color w:val="auto"/>
          <w:spacing w:val="7"/>
          <w:highlight w:val="none"/>
          <w:lang w:val="en-US" w:eastAsia="zh-CN"/>
        </w:rPr>
        <w:t>承诺书</w:t>
      </w:r>
      <w:r>
        <w:rPr>
          <w:rFonts w:hint="eastAsia" w:ascii="宋体" w:hAnsi="宋体" w:eastAsia="宋体" w:cs="宋体"/>
          <w:b/>
          <w:bCs/>
          <w:color w:val="auto"/>
          <w:spacing w:val="7"/>
          <w:highlight w:val="none"/>
        </w:rPr>
        <w:t>，不提供不得分）</w:t>
      </w:r>
      <w:r>
        <w:rPr>
          <w:rFonts w:hint="eastAsia" w:ascii="宋体" w:hAnsi="宋体" w:eastAsia="宋体" w:cs="宋体"/>
          <w:color w:val="auto"/>
          <w:spacing w:val="7"/>
          <w:highlight w:val="none"/>
        </w:rPr>
        <w:t>。【0-3】</w:t>
      </w:r>
    </w:p>
    <w:p w14:paraId="58A58C78">
      <w:pPr>
        <w:pStyle w:val="609"/>
        <w:spacing w:line="440" w:lineRule="exact"/>
        <w:ind w:firstLine="500"/>
        <w:rPr>
          <w:rFonts w:hint="default" w:ascii="宋体" w:hAnsi="宋体" w:eastAsia="宋体" w:cs="宋体"/>
          <w:color w:val="auto"/>
          <w:spacing w:val="7"/>
          <w:highlight w:val="none"/>
          <w:lang w:val="en-US" w:eastAsia="zh-CN"/>
        </w:rPr>
      </w:pPr>
    </w:p>
    <w:p w14:paraId="4B6DD51F">
      <w:pPr>
        <w:pStyle w:val="609"/>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3 人员要求 12.0 分</w:t>
      </w:r>
    </w:p>
    <w:bookmarkEnd w:id="161"/>
    <w:p w14:paraId="1C448A76">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3.1.人员配置方案（含无人机飞手）</w:t>
      </w:r>
    </w:p>
    <w:p w14:paraId="05D896C4">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针对本项目拟提供的工作人员配置满足项目需求或拟投入本项目现有人员配置不能满足项目需求，投标人除需提供拟投入本项目现有人员名单外，还需提供针对不足部分人员的招聘方案，方案包含但不限于①招聘渠道、②招聘计划、③按时完成招聘任务的保证措施、④聘用人员条件设置（含人数、年龄、岗位要求等）等，方案完全包含上述内容且满足项目人员配置需求的，得12分；上述部分内容略有提及或与项目人员配置需求有负偏离的，有一项扣1.5分，最多扣6分；上述部分内容有缺失或完全脱离项目实际需要的，有一项扣3分，扣完为止。</w:t>
      </w:r>
      <w:r>
        <w:rPr>
          <w:rFonts w:hint="eastAsia" w:ascii="宋体" w:hAnsi="宋体" w:eastAsia="宋体" w:cs="宋体"/>
          <w:color w:val="auto"/>
          <w:spacing w:val="7"/>
          <w:highlight w:val="none"/>
          <w:lang w:val="en-US" w:eastAsia="zh-CN"/>
        </w:rPr>
        <w:t>投标人拟投入本项目总人数（含现有人员及拟招聘人员）少于50人，或</w:t>
      </w:r>
      <w:r>
        <w:rPr>
          <w:rFonts w:hint="eastAsia" w:ascii="宋体" w:hAnsi="宋体" w:eastAsia="宋体" w:cs="宋体"/>
          <w:color w:val="auto"/>
          <w:highlight w:val="none"/>
        </w:rPr>
        <w:t>50周岁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至</w:t>
      </w: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周岁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不含</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人员</w:t>
      </w:r>
      <w:r>
        <w:rPr>
          <w:rFonts w:hint="eastAsia" w:ascii="宋体" w:hAnsi="宋体" w:eastAsia="宋体" w:cs="宋体"/>
          <w:color w:val="auto"/>
          <w:highlight w:val="none"/>
          <w:lang w:val="en-US" w:eastAsia="zh-CN"/>
        </w:rPr>
        <w:t>占比</w:t>
      </w:r>
      <w:r>
        <w:rPr>
          <w:rFonts w:hint="eastAsia" w:ascii="宋体" w:hAnsi="宋体" w:eastAsia="宋体" w:cs="宋体"/>
          <w:color w:val="auto"/>
          <w:highlight w:val="none"/>
        </w:rPr>
        <w:t>超过</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0%</w:t>
      </w:r>
      <w:r>
        <w:rPr>
          <w:rFonts w:hint="eastAsia" w:ascii="宋体" w:hAnsi="宋体" w:eastAsia="宋体" w:cs="宋体"/>
          <w:color w:val="auto"/>
          <w:highlight w:val="none"/>
          <w:lang w:val="en-US" w:eastAsia="zh-CN"/>
        </w:rPr>
        <w:t>的，本项不得分。</w:t>
      </w:r>
      <w:r>
        <w:rPr>
          <w:rFonts w:hint="eastAsia" w:ascii="宋体" w:hAnsi="宋体" w:eastAsia="宋体" w:cs="宋体"/>
          <w:b/>
          <w:bCs/>
          <w:color w:val="auto"/>
          <w:spacing w:val="7"/>
          <w:highlight w:val="none"/>
        </w:rPr>
        <w:t>（请在投标文件中提供</w:t>
      </w:r>
      <w:r>
        <w:rPr>
          <w:rFonts w:hint="eastAsia" w:ascii="宋体" w:hAnsi="宋体" w:eastAsia="宋体" w:cs="宋体"/>
          <w:b/>
          <w:bCs/>
          <w:color w:val="auto"/>
          <w:spacing w:val="7"/>
          <w:highlight w:val="none"/>
          <w:lang w:val="en-US" w:eastAsia="zh-CN"/>
        </w:rPr>
        <w:t>现有</w:t>
      </w:r>
      <w:r>
        <w:rPr>
          <w:rFonts w:hint="eastAsia" w:ascii="宋体" w:hAnsi="宋体" w:eastAsia="宋体" w:cs="宋体"/>
          <w:b/>
          <w:bCs/>
          <w:color w:val="auto"/>
          <w:spacing w:val="7"/>
          <w:highlight w:val="none"/>
        </w:rPr>
        <w:t>人员名单及身份证复印件（如有））</w:t>
      </w:r>
      <w:r>
        <w:rPr>
          <w:rFonts w:hint="eastAsia" w:ascii="宋体" w:hAnsi="宋体" w:eastAsia="宋体" w:cs="宋体"/>
          <w:color w:val="auto"/>
          <w:spacing w:val="7"/>
          <w:highlight w:val="none"/>
        </w:rPr>
        <w:t>【0-12】</w:t>
      </w:r>
    </w:p>
    <w:bookmarkEnd w:id="160"/>
    <w:p w14:paraId="2824AEC1">
      <w:pPr>
        <w:pStyle w:val="609"/>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4 履约能力 </w:t>
      </w:r>
      <w:r>
        <w:rPr>
          <w:rFonts w:hint="eastAsia" w:ascii="宋体" w:hAnsi="宋体" w:eastAsia="宋体" w:cs="宋体"/>
          <w:b/>
          <w:color w:val="auto"/>
          <w:spacing w:val="7"/>
          <w:highlight w:val="none"/>
          <w:lang w:val="en-US" w:eastAsia="zh-CN"/>
        </w:rPr>
        <w:t>1</w:t>
      </w:r>
      <w:r>
        <w:rPr>
          <w:rFonts w:hint="eastAsia" w:ascii="宋体" w:hAnsi="宋体" w:eastAsia="宋体" w:cs="宋体"/>
          <w:b/>
          <w:color w:val="auto"/>
          <w:spacing w:val="7"/>
          <w:highlight w:val="none"/>
        </w:rPr>
        <w:t>.0 分</w:t>
      </w:r>
    </w:p>
    <w:p w14:paraId="7BE7C712">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4.1.类似业绩</w:t>
      </w:r>
    </w:p>
    <w:p w14:paraId="31D2732C">
      <w:pPr>
        <w:pStyle w:val="609"/>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投标人具有202</w:t>
      </w:r>
      <w:r>
        <w:rPr>
          <w:rFonts w:hint="eastAsia" w:ascii="宋体" w:hAnsi="宋体" w:eastAsia="宋体" w:cs="宋体"/>
          <w:color w:val="auto"/>
          <w:spacing w:val="7"/>
          <w:highlight w:val="none"/>
          <w:lang w:val="en-US" w:eastAsia="zh-CN"/>
        </w:rPr>
        <w:t>3</w:t>
      </w:r>
      <w:r>
        <w:rPr>
          <w:rFonts w:hint="eastAsia" w:ascii="宋体" w:hAnsi="宋体" w:eastAsia="宋体" w:cs="宋体"/>
          <w:color w:val="auto"/>
          <w:spacing w:val="7"/>
          <w:highlight w:val="none"/>
        </w:rPr>
        <w:t>年以来类似项目业绩，有一份得</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分，最多得</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分。</w:t>
      </w:r>
      <w:r>
        <w:rPr>
          <w:rFonts w:hint="eastAsia" w:ascii="宋体" w:hAnsi="宋体" w:eastAsia="宋体" w:cs="宋体"/>
          <w:b/>
          <w:bCs/>
          <w:color w:val="auto"/>
          <w:spacing w:val="7"/>
          <w:highlight w:val="none"/>
        </w:rPr>
        <w:t>（请在投标文件中提供合同，合同中须反映出相关内容，如合同中不能反映，须提供其他材料予以佐证，不提供的不得分）</w:t>
      </w:r>
      <w:r>
        <w:rPr>
          <w:rFonts w:hint="eastAsia" w:ascii="宋体" w:hAnsi="宋体" w:eastAsia="宋体" w:cs="宋体"/>
          <w:color w:val="auto"/>
          <w:spacing w:val="7"/>
          <w:highlight w:val="none"/>
        </w:rPr>
        <w:t>【0</w:t>
      </w:r>
      <w:r>
        <w:rPr>
          <w:rFonts w:hint="eastAsia" w:ascii="宋体" w:hAnsi="宋体" w:eastAsia="宋体" w:cs="宋体"/>
          <w:color w:val="auto"/>
          <w:spacing w:val="7"/>
          <w:highlight w:val="none"/>
          <w:lang w:val="en-US" w:eastAsia="zh-CN"/>
        </w:rPr>
        <w:t>/1</w:t>
      </w:r>
      <w:r>
        <w:rPr>
          <w:rFonts w:hint="eastAsia" w:ascii="宋体" w:hAnsi="宋体" w:eastAsia="宋体" w:cs="宋体"/>
          <w:color w:val="auto"/>
          <w:spacing w:val="7"/>
          <w:highlight w:val="none"/>
        </w:rPr>
        <w:t>】</w:t>
      </w:r>
    </w:p>
    <w:bookmarkEnd w:id="159"/>
    <w:p w14:paraId="02B6FCE8">
      <w:pPr>
        <w:spacing w:line="440" w:lineRule="atLeast"/>
        <w:ind w:firstLine="482"/>
        <w:rPr>
          <w:rFonts w:hint="eastAsia" w:ascii="宋体" w:hAnsi="宋体" w:eastAsia="宋体" w:cs="宋体"/>
          <w:b/>
          <w:bCs/>
          <w:color w:val="auto"/>
          <w:sz w:val="24"/>
          <w:highlight w:val="none"/>
        </w:rPr>
      </w:pPr>
      <w:bookmarkStart w:id="162" w:name="EB5eda7c9be7464788810dca94d24e634f"/>
      <w:bookmarkEnd w:id="162"/>
      <w:r>
        <w:rPr>
          <w:rFonts w:hint="eastAsia" w:ascii="宋体" w:hAnsi="宋体" w:eastAsia="宋体" w:cs="宋体"/>
          <w:b/>
          <w:bCs/>
          <w:color w:val="auto"/>
          <w:sz w:val="24"/>
          <w:highlight w:val="none"/>
        </w:rPr>
        <w:t>注:</w:t>
      </w:r>
    </w:p>
    <w:p w14:paraId="727C4288">
      <w:pPr>
        <w:spacing w:line="440" w:lineRule="atLeas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以上证明材料，不提供不得分。</w:t>
      </w:r>
      <w:bookmarkStart w:id="163" w:name="EBeb5e011c94484d45bc78085f792444b0"/>
      <w:r>
        <w:rPr>
          <w:rFonts w:hint="eastAsia" w:ascii="宋体" w:hAnsi="宋体" w:eastAsia="宋体" w:cs="宋体"/>
          <w:color w:val="auto"/>
          <w:sz w:val="20"/>
          <w:highlight w:val="none"/>
        </w:rPr>
        <w:t xml:space="preserve"> </w:t>
      </w:r>
      <w:bookmarkEnd w:id="163"/>
    </w:p>
    <w:bookmarkEnd w:id="150"/>
    <w:bookmarkEnd w:id="152"/>
    <w:p w14:paraId="28C0E2F0">
      <w:pPr>
        <w:pStyle w:val="129"/>
        <w:pageBreakBefore/>
        <w:spacing w:line="440" w:lineRule="exact"/>
        <w:rPr>
          <w:rFonts w:hint="eastAsia" w:ascii="宋体" w:hAnsi="宋体" w:eastAsia="宋体" w:cs="宋体"/>
          <w:color w:val="auto"/>
          <w:highlight w:val="none"/>
        </w:rPr>
      </w:pPr>
      <w:bookmarkStart w:id="164" w:name="_Toc175752387"/>
      <w:r>
        <w:rPr>
          <w:rFonts w:hint="eastAsia" w:ascii="宋体" w:hAnsi="宋体" w:eastAsia="宋体" w:cs="宋体"/>
          <w:color w:val="auto"/>
          <w:highlight w:val="none"/>
        </w:rPr>
        <w:t>第六章 投标文件格式</w:t>
      </w:r>
      <w:bookmarkEnd w:id="164"/>
      <w:bookmarkStart w:id="165" w:name="_Hlt26955039"/>
      <w:bookmarkEnd w:id="165"/>
      <w:bookmarkStart w:id="166" w:name="_Hlt26671244"/>
      <w:bookmarkEnd w:id="166"/>
    </w:p>
    <w:p w14:paraId="04E774B2">
      <w:pPr>
        <w:spacing w:line="440" w:lineRule="exact"/>
        <w:ind w:right="-124" w:firstLine="420"/>
        <w:rPr>
          <w:rFonts w:hint="eastAsia" w:ascii="宋体" w:hAnsi="宋体" w:eastAsia="宋体" w:cs="宋体"/>
          <w:color w:val="auto"/>
          <w:highlight w:val="none"/>
        </w:rPr>
      </w:pPr>
    </w:p>
    <w:p w14:paraId="2072301D">
      <w:pPr>
        <w:spacing w:line="440" w:lineRule="exact"/>
        <w:ind w:firstLine="400"/>
        <w:jc w:val="left"/>
        <w:rPr>
          <w:rFonts w:hint="eastAsia" w:ascii="宋体" w:hAnsi="宋体" w:eastAsia="宋体" w:cs="宋体"/>
          <w:color w:val="auto"/>
          <w:sz w:val="20"/>
          <w:highlight w:val="none"/>
        </w:rPr>
      </w:pPr>
      <w:bookmarkStart w:id="167" w:name="EB3198bb99319c4c5cb9e4b30deb0155ce"/>
    </w:p>
    <w:p w14:paraId="1C150A49">
      <w:pPr>
        <w:pStyle w:val="589"/>
        <w:spacing w:after="400"/>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投标主要文件目录</w:t>
      </w:r>
    </w:p>
    <w:p w14:paraId="2BAB0DC9">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一、封面</w:t>
      </w:r>
    </w:p>
    <w:p w14:paraId="088737B4">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二、投标函格式</w:t>
      </w:r>
    </w:p>
    <w:p w14:paraId="66A06A3F">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三、开标一览表（总价）</w:t>
      </w:r>
    </w:p>
    <w:p w14:paraId="3482F50D">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四、资格证明文件</w:t>
      </w:r>
    </w:p>
    <w:p w14:paraId="2DECA8C5">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法人或者其他组织的营业执照等证明文件，自然人的身份证明</w:t>
      </w:r>
    </w:p>
    <w:p w14:paraId="1049ABE2">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财务状况报告（成立不满一年不需要提供）</w:t>
      </w:r>
    </w:p>
    <w:p w14:paraId="636CD392">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依法缴纳税收和社会保障资金的相关材料</w:t>
      </w:r>
    </w:p>
    <w:p w14:paraId="0CEE84D5">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具备履行合同所必需的设备和专业技术能力的书面声明</w:t>
      </w:r>
    </w:p>
    <w:p w14:paraId="142C8AF5">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参加政府采购活动前3年内在经营活动中没有重大违法记录的书面声明</w:t>
      </w:r>
    </w:p>
    <w:p w14:paraId="3D9F29A8">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授权委托书</w:t>
      </w:r>
    </w:p>
    <w:p w14:paraId="3FF597DE">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关于资格证明文件的书面承诺</w:t>
      </w:r>
    </w:p>
    <w:p w14:paraId="6D4FC15A">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五、中小企业声明函</w:t>
      </w:r>
    </w:p>
    <w:p w14:paraId="6B82087D">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残疾人福利性单位声明函（专门面向中小企业）</w:t>
      </w:r>
    </w:p>
    <w:p w14:paraId="2177717E">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监狱企业的证明文件（专门面向中小企业）</w:t>
      </w:r>
    </w:p>
    <w:p w14:paraId="1B200F37">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六、第四章项目需求中实质性要求响应对照表</w:t>
      </w:r>
    </w:p>
    <w:p w14:paraId="6DF901F3">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七、服务方案</w:t>
      </w:r>
    </w:p>
    <w:p w14:paraId="1882B70E">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八、投标人情况介绍</w:t>
      </w:r>
    </w:p>
    <w:p w14:paraId="0754E030">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类似业绩一览表</w:t>
      </w:r>
    </w:p>
    <w:p w14:paraId="1C645ADE">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投标人获得的相关证书</w:t>
      </w:r>
    </w:p>
    <w:p w14:paraId="532E85E5">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投标人获得的相关奖项</w:t>
      </w:r>
    </w:p>
    <w:p w14:paraId="2DE7E944">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九、技术参数响应及偏离表</w:t>
      </w:r>
    </w:p>
    <w:p w14:paraId="138F0C69">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十、商务条款响应及偏离表</w:t>
      </w:r>
    </w:p>
    <w:p w14:paraId="20FF9969">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十一、项目负责人及其他人员介绍</w:t>
      </w:r>
    </w:p>
    <w:p w14:paraId="1FFB8EB1">
      <w:pPr>
        <w:pStyle w:val="589"/>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十二、其他材料</w:t>
      </w:r>
    </w:p>
    <w:p w14:paraId="2071050E">
      <w:pPr>
        <w:pStyle w:val="590"/>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68" w:name="_Toc175752388"/>
      <w:r>
        <w:rPr>
          <w:rFonts w:hint="eastAsia" w:ascii="宋体" w:hAnsi="宋体" w:eastAsia="宋体" w:cs="宋体"/>
          <w:b/>
          <w:color w:val="auto"/>
          <w:sz w:val="32"/>
          <w:highlight w:val="none"/>
        </w:rPr>
        <w:t>一、封面</w:t>
      </w:r>
      <w:bookmarkEnd w:id="168"/>
    </w:p>
    <w:p w14:paraId="1475BF3F">
      <w:pPr>
        <w:pStyle w:val="591"/>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11E5FF93">
      <w:pPr>
        <w:pStyle w:val="591"/>
        <w:spacing w:before="540" w:after="540"/>
        <w:jc w:val="center"/>
        <w:rPr>
          <w:rFonts w:hint="eastAsia" w:ascii="宋体" w:hAnsi="宋体" w:eastAsia="宋体" w:cs="宋体"/>
          <w:color w:val="auto"/>
          <w:sz w:val="54"/>
          <w:szCs w:val="54"/>
          <w:highlight w:val="none"/>
        </w:rPr>
      </w:pPr>
      <w:r>
        <w:rPr>
          <w:rFonts w:hint="eastAsia" w:ascii="宋体" w:hAnsi="宋体" w:eastAsia="宋体" w:cs="宋体"/>
          <w:color w:val="auto"/>
          <w:sz w:val="54"/>
          <w:szCs w:val="54"/>
          <w:highlight w:val="none"/>
        </w:rPr>
        <w:t>投 标 文 件</w:t>
      </w:r>
    </w:p>
    <w:p w14:paraId="6F125698">
      <w:pPr>
        <w:pStyle w:val="59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62BAE8BA">
      <w:pPr>
        <w:pStyle w:val="591"/>
        <w:spacing w:before="400" w:after="400"/>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w:t>
      </w:r>
    </w:p>
    <w:p w14:paraId="4E36A6F6">
      <w:pPr>
        <w:pStyle w:val="59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064480B4">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   </w:t>
      </w:r>
    </w:p>
    <w:p w14:paraId="4F73A7FD">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招标编号：   </w:t>
      </w:r>
    </w:p>
    <w:p w14:paraId="2F140901">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127460D7">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420CA200">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投标人名称：   </w:t>
      </w:r>
    </w:p>
    <w:p w14:paraId="66D6B406">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日期：   </w:t>
      </w:r>
    </w:p>
    <w:p w14:paraId="321B2A46">
      <w:pPr>
        <w:pStyle w:val="591"/>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4F38FB09">
      <w:pPr>
        <w:pStyle w:val="59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1EBDCDB5">
      <w:pPr>
        <w:pStyle w:val="59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69" w:name="_Toc175752389"/>
      <w:r>
        <w:rPr>
          <w:rFonts w:hint="eastAsia" w:ascii="宋体" w:hAnsi="宋体" w:eastAsia="宋体" w:cs="宋体"/>
          <w:b/>
          <w:color w:val="auto"/>
          <w:sz w:val="32"/>
          <w:highlight w:val="none"/>
        </w:rPr>
        <w:t>二、投标函格式</w:t>
      </w:r>
      <w:bookmarkEnd w:id="169"/>
    </w:p>
    <w:p w14:paraId="6D72BDF5">
      <w:pPr>
        <w:pStyle w:val="593"/>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5EB573C1">
      <w:pPr>
        <w:pStyle w:val="593"/>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投标函格式</w:t>
      </w:r>
    </w:p>
    <w:p w14:paraId="00841A9F">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致：   ：</w:t>
      </w:r>
    </w:p>
    <w:p w14:paraId="57D33FC3">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   号招标文件，正式授权下述签字人      (姓名和职务)代表我方   （投标人的名称），全权处理本次项目投标的有关事宜。 </w:t>
      </w:r>
    </w:p>
    <w:p w14:paraId="5967D143">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 </w:t>
      </w:r>
    </w:p>
    <w:p w14:paraId="2D4B3990">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1、同意向贵方提供贵方可能另外要求的与投标有关的任何证据或资料； </w:t>
      </w:r>
    </w:p>
    <w:p w14:paraId="1BBFCD74">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 </w:t>
      </w:r>
    </w:p>
    <w:p w14:paraId="2D454E81">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 </w:t>
      </w:r>
    </w:p>
    <w:p w14:paraId="0C881C4D">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4、一旦我方中标，我们将根据招标文件的规定，严格履行合同条款的责任和义务，并保证按照合同条款提供服务； </w:t>
      </w:r>
    </w:p>
    <w:p w14:paraId="0B8C457D">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5、与本投标有关的正式通讯地址为： </w:t>
      </w:r>
    </w:p>
    <w:p w14:paraId="3C24C237">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p>
    <w:p w14:paraId="21448632">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邮编：    </w:t>
      </w:r>
    </w:p>
    <w:p w14:paraId="7D0497AA">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p>
    <w:p w14:paraId="54B6F4AE">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传真：    </w:t>
      </w:r>
    </w:p>
    <w:p w14:paraId="71603E90">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投标单位代表姓名：    </w:t>
      </w:r>
    </w:p>
    <w:p w14:paraId="12EB9EF4">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投标单位名称：    </w:t>
      </w:r>
    </w:p>
    <w:p w14:paraId="324F7868">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公章：</w:t>
      </w:r>
    </w:p>
    <w:p w14:paraId="7C707F4A">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日期：   </w:t>
      </w:r>
    </w:p>
    <w:p w14:paraId="75B65DC3">
      <w:pPr>
        <w:pStyle w:val="59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2C7331E4">
      <w:pPr>
        <w:pStyle w:val="594"/>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0" w:name="_Toc175752390"/>
      <w:r>
        <w:rPr>
          <w:rFonts w:hint="eastAsia" w:ascii="宋体" w:hAnsi="宋体" w:eastAsia="宋体" w:cs="宋体"/>
          <w:b/>
          <w:color w:val="auto"/>
          <w:sz w:val="32"/>
          <w:highlight w:val="none"/>
        </w:rPr>
        <w:t>三、开标一览表</w:t>
      </w:r>
      <w:bookmarkEnd w:id="170"/>
    </w:p>
    <w:p w14:paraId="1613B974">
      <w:pPr>
        <w:pStyle w:val="584"/>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3EC3B803">
      <w:pPr>
        <w:pStyle w:val="584"/>
        <w:spacing w:before="400" w:after="400" w:line="30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开标一览表（总价）</w:t>
      </w:r>
    </w:p>
    <w:p w14:paraId="385BDF47">
      <w:pPr>
        <w:pStyle w:val="58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投标单位全称（加盖公章）：    </w:t>
      </w:r>
    </w:p>
    <w:p w14:paraId="03DB77B2">
      <w:pPr>
        <w:pStyle w:val="58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项目编号：</w:t>
      </w:r>
    </w:p>
    <w:tbl>
      <w:tblPr>
        <w:tblStyle w:val="28"/>
        <w:tblW w:w="856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31"/>
        <w:gridCol w:w="4935"/>
      </w:tblGrid>
      <w:tr w14:paraId="627EA26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3631" w:type="dxa"/>
            <w:noWrap w:val="0"/>
            <w:tcMar>
              <w:top w:w="0" w:type="dxa"/>
              <w:left w:w="0" w:type="dxa"/>
              <w:bottom w:w="0" w:type="dxa"/>
              <w:right w:w="0" w:type="dxa"/>
            </w:tcMar>
            <w:vAlign w:val="center"/>
          </w:tcPr>
          <w:p w14:paraId="0BDA82B1">
            <w:pPr>
              <w:pStyle w:val="595"/>
              <w:jc w:val="center"/>
              <w:rPr>
                <w:rFonts w:ascii="宋体" w:hAnsi="宋体" w:eastAsia="宋体" w:cs="宋体"/>
                <w:color w:val="auto"/>
                <w:highlight w:val="none"/>
              </w:rPr>
            </w:pPr>
            <w:r>
              <w:rPr>
                <w:rFonts w:ascii="宋体" w:hAnsi="宋体" w:eastAsia="宋体" w:cs="宋体"/>
                <w:color w:val="auto"/>
                <w:highlight w:val="none"/>
              </w:rPr>
              <w:t xml:space="preserve">项目名称 </w:t>
            </w:r>
          </w:p>
        </w:tc>
        <w:tc>
          <w:tcPr>
            <w:tcW w:w="4935" w:type="dxa"/>
            <w:noWrap w:val="0"/>
            <w:tcMar>
              <w:top w:w="0" w:type="dxa"/>
              <w:left w:w="0" w:type="dxa"/>
              <w:bottom w:w="0" w:type="dxa"/>
              <w:right w:w="0" w:type="dxa"/>
            </w:tcMar>
            <w:vAlign w:val="center"/>
          </w:tcPr>
          <w:p w14:paraId="1C762BA8">
            <w:pPr>
              <w:pStyle w:val="595"/>
              <w:jc w:val="center"/>
              <w:rPr>
                <w:rFonts w:ascii="宋体" w:hAnsi="宋体" w:eastAsia="宋体" w:cs="宋体"/>
                <w:color w:val="auto"/>
                <w:highlight w:val="none"/>
              </w:rPr>
            </w:pPr>
            <w:r>
              <w:rPr>
                <w:rFonts w:ascii="宋体" w:hAnsi="宋体" w:eastAsia="宋体" w:cs="宋体"/>
                <w:color w:val="auto"/>
                <w:highlight w:val="none"/>
              </w:rPr>
              <w:t xml:space="preserve">投标总报价 </w:t>
            </w:r>
          </w:p>
        </w:tc>
      </w:tr>
      <w:tr w14:paraId="7E776B5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3631" w:type="dxa"/>
            <w:noWrap w:val="0"/>
            <w:tcMar>
              <w:top w:w="0" w:type="dxa"/>
              <w:left w:w="0" w:type="dxa"/>
              <w:bottom w:w="0" w:type="dxa"/>
              <w:right w:w="0" w:type="dxa"/>
            </w:tcMar>
            <w:vAlign w:val="center"/>
          </w:tcPr>
          <w:p w14:paraId="02CD584C">
            <w:pPr>
              <w:pStyle w:val="595"/>
              <w:rPr>
                <w:rFonts w:ascii="宋体" w:hAnsi="宋体" w:eastAsia="宋体" w:cs="宋体"/>
                <w:color w:val="auto"/>
                <w:highlight w:val="none"/>
              </w:rPr>
            </w:pPr>
            <w:r>
              <w:rPr>
                <w:rFonts w:ascii="宋体" w:hAnsi="宋体" w:eastAsia="宋体" w:cs="宋体"/>
                <w:color w:val="auto"/>
                <w:highlight w:val="none"/>
              </w:rPr>
              <w:t>   </w:t>
            </w:r>
          </w:p>
        </w:tc>
        <w:tc>
          <w:tcPr>
            <w:tcW w:w="4935" w:type="dxa"/>
            <w:noWrap w:val="0"/>
            <w:tcMar>
              <w:top w:w="0" w:type="dxa"/>
              <w:left w:w="0" w:type="dxa"/>
              <w:bottom w:w="0" w:type="dxa"/>
              <w:right w:w="0" w:type="dxa"/>
            </w:tcMar>
            <w:vAlign w:val="center"/>
          </w:tcPr>
          <w:p w14:paraId="66CCD14C">
            <w:pPr>
              <w:pStyle w:val="595"/>
              <w:rPr>
                <w:rFonts w:ascii="宋体" w:hAnsi="宋体" w:eastAsia="宋体" w:cs="宋体"/>
                <w:color w:val="auto"/>
                <w:highlight w:val="none"/>
              </w:rPr>
            </w:pPr>
            <w:r>
              <w:rPr>
                <w:rFonts w:hint="eastAsia" w:ascii="宋体" w:hAnsi="宋体" w:eastAsia="宋体" w:cs="宋体"/>
                <w:color w:val="auto"/>
                <w:highlight w:val="none"/>
              </w:rPr>
              <w:t>小写：     （元人民币）</w:t>
            </w:r>
          </w:p>
        </w:tc>
      </w:tr>
      <w:tr w14:paraId="7B2F36F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3631" w:type="dxa"/>
            <w:noWrap w:val="0"/>
            <w:tcMar>
              <w:top w:w="0" w:type="dxa"/>
              <w:left w:w="0" w:type="dxa"/>
              <w:bottom w:w="0" w:type="dxa"/>
              <w:right w:w="0" w:type="dxa"/>
            </w:tcMar>
            <w:vAlign w:val="center"/>
          </w:tcPr>
          <w:p w14:paraId="654E7B85">
            <w:pPr>
              <w:pStyle w:val="595"/>
              <w:rPr>
                <w:rFonts w:hint="eastAsia" w:ascii="宋体" w:hAnsi="宋体" w:eastAsia="宋体" w:cs="宋体"/>
                <w:color w:val="auto"/>
                <w:highlight w:val="none"/>
              </w:rPr>
            </w:pPr>
            <w:r>
              <w:rPr>
                <w:rFonts w:ascii="宋体" w:hAnsi="宋体" w:eastAsia="宋体" w:cs="宋体"/>
                <w:color w:val="auto"/>
                <w:highlight w:val="none"/>
              </w:rPr>
              <w:t>投标总报价大写</w:t>
            </w:r>
            <w:r>
              <w:rPr>
                <w:rFonts w:hint="eastAsia" w:ascii="宋体" w:hAnsi="宋体" w:eastAsia="宋体" w:cs="宋体"/>
                <w:color w:val="auto"/>
                <w:highlight w:val="none"/>
              </w:rPr>
              <w:t>金额</w:t>
            </w:r>
          </w:p>
        </w:tc>
        <w:tc>
          <w:tcPr>
            <w:tcW w:w="4935" w:type="dxa"/>
            <w:noWrap w:val="0"/>
            <w:tcMar>
              <w:top w:w="0" w:type="dxa"/>
              <w:left w:w="0" w:type="dxa"/>
              <w:bottom w:w="0" w:type="dxa"/>
              <w:right w:w="0" w:type="dxa"/>
            </w:tcMar>
            <w:vAlign w:val="center"/>
          </w:tcPr>
          <w:p w14:paraId="301E9703">
            <w:pPr>
              <w:pStyle w:val="595"/>
              <w:rPr>
                <w:rFonts w:ascii="宋体" w:hAnsi="宋体" w:eastAsia="宋体" w:cs="宋体"/>
                <w:color w:val="auto"/>
                <w:highlight w:val="none"/>
              </w:rPr>
            </w:pPr>
          </w:p>
        </w:tc>
      </w:tr>
    </w:tbl>
    <w:p w14:paraId="5958BD56">
      <w:pPr>
        <w:pStyle w:val="584"/>
        <w:spacing w:before="240" w:after="240"/>
        <w:ind w:right="960"/>
        <w:jc w:val="right"/>
        <w:rPr>
          <w:rFonts w:hint="eastAsia" w:ascii="宋体" w:hAnsi="宋体" w:eastAsia="宋体" w:cs="宋体"/>
          <w:color w:val="auto"/>
          <w:highlight w:val="none"/>
        </w:rPr>
      </w:pPr>
    </w:p>
    <w:p w14:paraId="6924185A">
      <w:pPr>
        <w:pStyle w:val="584"/>
        <w:spacing w:before="240" w:after="240"/>
        <w:ind w:right="960"/>
        <w:jc w:val="right"/>
        <w:rPr>
          <w:rFonts w:hint="eastAsia" w:ascii="宋体" w:hAnsi="宋体" w:eastAsia="宋体" w:cs="宋体"/>
          <w:color w:val="auto"/>
          <w:highlight w:val="none"/>
        </w:rPr>
      </w:pPr>
      <w:r>
        <w:rPr>
          <w:rFonts w:hint="eastAsia" w:ascii="宋体" w:hAnsi="宋体" w:eastAsia="宋体" w:cs="宋体"/>
          <w:color w:val="auto"/>
          <w:highlight w:val="none"/>
        </w:rPr>
        <w:t> 日期：</w:t>
      </w:r>
    </w:p>
    <w:p w14:paraId="757AB404">
      <w:pPr>
        <w:pStyle w:val="584"/>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1C475150">
      <w:pPr>
        <w:pStyle w:val="584"/>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1、总价为综合报价，详见招标文件第二章12.4。</w:t>
      </w:r>
    </w:p>
    <w:p w14:paraId="5C52E647">
      <w:pPr>
        <w:pStyle w:val="584"/>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p>
    <w:p w14:paraId="1D579206">
      <w:pPr>
        <w:pStyle w:val="584"/>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3、本表中的报价已包括公共责任险（第三者险），中标单位未及时投保所造成的损害责任由中标单位承担。</w:t>
      </w:r>
    </w:p>
    <w:p w14:paraId="52AB25B4">
      <w:pPr>
        <w:pStyle w:val="596"/>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填写说明：</w:t>
      </w:r>
    </w:p>
    <w:p w14:paraId="1EBAFF9A">
      <w:pPr>
        <w:pStyle w:val="596"/>
        <w:spacing w:line="44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1、开标一览表必须加盖投标人公章（复印件无效）。</w:t>
      </w:r>
    </w:p>
    <w:p w14:paraId="411F4C88">
      <w:pPr>
        <w:pStyle w:val="611"/>
        <w:outlineLvl w:val="1"/>
        <w:rPr>
          <w:rFonts w:hint="eastAsia" w:ascii="宋体" w:hAnsi="宋体" w:eastAsia="宋体" w:cs="宋体"/>
          <w:color w:val="auto"/>
          <w:highlight w:val="none"/>
        </w:rPr>
      </w:pPr>
      <w:bookmarkStart w:id="171" w:name="_Toc175752391"/>
      <w:r>
        <w:rPr>
          <w:rFonts w:hint="eastAsia" w:ascii="宋体" w:hAnsi="宋体" w:eastAsia="宋体" w:cs="宋体"/>
          <w:i/>
          <w:iCs/>
          <w:color w:val="auto"/>
          <w:highlight w:val="none"/>
          <w:u w:val="single"/>
        </w:rPr>
        <w:t>2、如有分包，投标人投任何一个包的标的，都需单独填写开标一览表。</w:t>
      </w: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b/>
          <w:color w:val="auto"/>
          <w:sz w:val="32"/>
          <w:highlight w:val="none"/>
        </w:rPr>
        <w:t>经费测算明细表</w:t>
      </w:r>
    </w:p>
    <w:p w14:paraId="2F58E3C1">
      <w:pPr>
        <w:pStyle w:val="612"/>
        <w:spacing w:line="440" w:lineRule="exact"/>
        <w:rPr>
          <w:rFonts w:hint="eastAsia" w:ascii="宋体" w:hAnsi="宋体" w:eastAsia="宋体" w:cs="宋体"/>
          <w:color w:val="auto"/>
          <w:spacing w:val="7"/>
          <w:highlight w:val="none"/>
        </w:rPr>
      </w:pPr>
    </w:p>
    <w:p w14:paraId="167B86D4">
      <w:pPr>
        <w:pStyle w:val="612"/>
        <w:spacing w:before="400" w:after="400" w:line="30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经费测算明细表 </w:t>
      </w:r>
    </w:p>
    <w:p w14:paraId="48E77BFA">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28"/>
        <w:tblW w:w="898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03"/>
        <w:gridCol w:w="2162"/>
        <w:gridCol w:w="2853"/>
        <w:gridCol w:w="1067"/>
        <w:gridCol w:w="1067"/>
        <w:gridCol w:w="1333"/>
      </w:tblGrid>
      <w:tr w14:paraId="13143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108104E3">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62" w:type="dxa"/>
            <w:noWrap w:val="0"/>
            <w:vAlign w:val="center"/>
          </w:tcPr>
          <w:p w14:paraId="4A542A5F">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项目</w:t>
            </w:r>
          </w:p>
        </w:tc>
        <w:tc>
          <w:tcPr>
            <w:tcW w:w="2853" w:type="dxa"/>
            <w:noWrap w:val="0"/>
            <w:vAlign w:val="center"/>
          </w:tcPr>
          <w:p w14:paraId="65255073">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测算依据和测算式</w:t>
            </w:r>
          </w:p>
        </w:tc>
        <w:tc>
          <w:tcPr>
            <w:tcW w:w="1067" w:type="dxa"/>
            <w:noWrap w:val="0"/>
            <w:vAlign w:val="center"/>
          </w:tcPr>
          <w:p w14:paraId="6CA453F5">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月支出（元）</w:t>
            </w:r>
          </w:p>
        </w:tc>
        <w:tc>
          <w:tcPr>
            <w:tcW w:w="1067" w:type="dxa"/>
            <w:noWrap w:val="0"/>
            <w:vAlign w:val="center"/>
          </w:tcPr>
          <w:p w14:paraId="2EE6449C">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个月总支出（元）</w:t>
            </w:r>
          </w:p>
        </w:tc>
        <w:tc>
          <w:tcPr>
            <w:tcW w:w="1333" w:type="dxa"/>
            <w:noWrap w:val="0"/>
            <w:vAlign w:val="center"/>
          </w:tcPr>
          <w:p w14:paraId="0D10286E">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2192C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433E1349">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62" w:type="dxa"/>
            <w:noWrap w:val="0"/>
            <w:vAlign w:val="center"/>
          </w:tcPr>
          <w:p w14:paraId="4A21E1C7">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人员费用 </w:t>
            </w:r>
          </w:p>
        </w:tc>
        <w:tc>
          <w:tcPr>
            <w:tcW w:w="2853" w:type="dxa"/>
            <w:noWrap w:val="0"/>
            <w:vAlign w:val="center"/>
          </w:tcPr>
          <w:p w14:paraId="5DAE2C7C">
            <w:pPr>
              <w:pStyle w:val="614"/>
              <w:jc w:val="center"/>
              <w:rPr>
                <w:rFonts w:hint="eastAsia" w:ascii="宋体" w:hAnsi="宋体" w:eastAsia="宋体" w:cs="宋体"/>
                <w:color w:val="auto"/>
                <w:highlight w:val="none"/>
              </w:rPr>
            </w:pPr>
          </w:p>
        </w:tc>
        <w:tc>
          <w:tcPr>
            <w:tcW w:w="1067" w:type="dxa"/>
            <w:noWrap w:val="0"/>
            <w:vAlign w:val="center"/>
          </w:tcPr>
          <w:p w14:paraId="7FCDDA28">
            <w:pPr>
              <w:pStyle w:val="614"/>
              <w:jc w:val="center"/>
              <w:rPr>
                <w:rFonts w:hint="eastAsia" w:ascii="宋体" w:hAnsi="宋体" w:eastAsia="宋体" w:cs="宋体"/>
                <w:color w:val="auto"/>
                <w:highlight w:val="none"/>
              </w:rPr>
            </w:pPr>
          </w:p>
        </w:tc>
        <w:tc>
          <w:tcPr>
            <w:tcW w:w="1067" w:type="dxa"/>
            <w:noWrap w:val="0"/>
            <w:vAlign w:val="center"/>
          </w:tcPr>
          <w:p w14:paraId="3023E651">
            <w:pPr>
              <w:pStyle w:val="614"/>
              <w:jc w:val="center"/>
              <w:rPr>
                <w:rFonts w:hint="eastAsia" w:ascii="宋体" w:hAnsi="宋体" w:eastAsia="宋体" w:cs="宋体"/>
                <w:color w:val="auto"/>
                <w:highlight w:val="none"/>
              </w:rPr>
            </w:pPr>
          </w:p>
        </w:tc>
        <w:tc>
          <w:tcPr>
            <w:tcW w:w="1333" w:type="dxa"/>
            <w:noWrap w:val="0"/>
            <w:vAlign w:val="center"/>
          </w:tcPr>
          <w:p w14:paraId="272445CF">
            <w:pPr>
              <w:pStyle w:val="614"/>
              <w:jc w:val="center"/>
              <w:rPr>
                <w:rFonts w:hint="eastAsia" w:ascii="宋体" w:hAnsi="宋体" w:eastAsia="宋体" w:cs="宋体"/>
                <w:color w:val="auto"/>
                <w:highlight w:val="none"/>
              </w:rPr>
            </w:pPr>
          </w:p>
        </w:tc>
      </w:tr>
      <w:tr w14:paraId="1351D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57C58A42">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62" w:type="dxa"/>
            <w:noWrap w:val="0"/>
            <w:vAlign w:val="center"/>
          </w:tcPr>
          <w:p w14:paraId="61C64541">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员工工资 </w:t>
            </w:r>
          </w:p>
        </w:tc>
        <w:tc>
          <w:tcPr>
            <w:tcW w:w="2853" w:type="dxa"/>
            <w:noWrap w:val="0"/>
            <w:vAlign w:val="center"/>
          </w:tcPr>
          <w:p w14:paraId="053A5F4E">
            <w:pPr>
              <w:pStyle w:val="614"/>
              <w:jc w:val="center"/>
              <w:rPr>
                <w:rFonts w:hint="eastAsia" w:ascii="宋体" w:hAnsi="宋体" w:eastAsia="宋体" w:cs="宋体"/>
                <w:color w:val="auto"/>
                <w:highlight w:val="none"/>
              </w:rPr>
            </w:pPr>
          </w:p>
        </w:tc>
        <w:tc>
          <w:tcPr>
            <w:tcW w:w="1067" w:type="dxa"/>
            <w:noWrap w:val="0"/>
            <w:vAlign w:val="center"/>
          </w:tcPr>
          <w:p w14:paraId="3C36CBAA">
            <w:pPr>
              <w:pStyle w:val="614"/>
              <w:jc w:val="center"/>
              <w:rPr>
                <w:rFonts w:hint="eastAsia" w:ascii="宋体" w:hAnsi="宋体" w:eastAsia="宋体" w:cs="宋体"/>
                <w:color w:val="auto"/>
                <w:highlight w:val="none"/>
              </w:rPr>
            </w:pPr>
          </w:p>
        </w:tc>
        <w:tc>
          <w:tcPr>
            <w:tcW w:w="1067" w:type="dxa"/>
            <w:noWrap w:val="0"/>
            <w:vAlign w:val="center"/>
          </w:tcPr>
          <w:p w14:paraId="505FD78F">
            <w:pPr>
              <w:pStyle w:val="614"/>
              <w:jc w:val="center"/>
              <w:rPr>
                <w:rFonts w:hint="eastAsia" w:ascii="宋体" w:hAnsi="宋体" w:eastAsia="宋体" w:cs="宋体"/>
                <w:color w:val="auto"/>
                <w:highlight w:val="none"/>
              </w:rPr>
            </w:pPr>
          </w:p>
        </w:tc>
        <w:tc>
          <w:tcPr>
            <w:tcW w:w="1333" w:type="dxa"/>
            <w:noWrap w:val="0"/>
            <w:vAlign w:val="center"/>
          </w:tcPr>
          <w:p w14:paraId="32616DD6">
            <w:pPr>
              <w:pStyle w:val="614"/>
              <w:jc w:val="center"/>
              <w:rPr>
                <w:rFonts w:hint="eastAsia" w:ascii="宋体" w:hAnsi="宋体" w:eastAsia="宋体" w:cs="宋体"/>
                <w:color w:val="auto"/>
                <w:highlight w:val="none"/>
              </w:rPr>
            </w:pPr>
          </w:p>
        </w:tc>
      </w:tr>
      <w:tr w14:paraId="00FB6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088251E1">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62" w:type="dxa"/>
            <w:noWrap w:val="0"/>
            <w:vAlign w:val="center"/>
          </w:tcPr>
          <w:p w14:paraId="4EF40F38">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社会保险 </w:t>
            </w:r>
          </w:p>
        </w:tc>
        <w:tc>
          <w:tcPr>
            <w:tcW w:w="2853" w:type="dxa"/>
            <w:noWrap w:val="0"/>
            <w:vAlign w:val="center"/>
          </w:tcPr>
          <w:p w14:paraId="57D773A9">
            <w:pPr>
              <w:pStyle w:val="614"/>
              <w:jc w:val="center"/>
              <w:rPr>
                <w:rFonts w:hint="eastAsia" w:ascii="宋体" w:hAnsi="宋体" w:eastAsia="宋体" w:cs="宋体"/>
                <w:color w:val="auto"/>
                <w:highlight w:val="none"/>
              </w:rPr>
            </w:pPr>
          </w:p>
        </w:tc>
        <w:tc>
          <w:tcPr>
            <w:tcW w:w="1067" w:type="dxa"/>
            <w:noWrap w:val="0"/>
            <w:vAlign w:val="center"/>
          </w:tcPr>
          <w:p w14:paraId="73EBDF5B">
            <w:pPr>
              <w:pStyle w:val="614"/>
              <w:jc w:val="center"/>
              <w:rPr>
                <w:rFonts w:hint="eastAsia" w:ascii="宋体" w:hAnsi="宋体" w:eastAsia="宋体" w:cs="宋体"/>
                <w:color w:val="auto"/>
                <w:highlight w:val="none"/>
              </w:rPr>
            </w:pPr>
          </w:p>
        </w:tc>
        <w:tc>
          <w:tcPr>
            <w:tcW w:w="1067" w:type="dxa"/>
            <w:noWrap w:val="0"/>
            <w:vAlign w:val="center"/>
          </w:tcPr>
          <w:p w14:paraId="5B830963">
            <w:pPr>
              <w:pStyle w:val="614"/>
              <w:jc w:val="center"/>
              <w:rPr>
                <w:rFonts w:hint="eastAsia" w:ascii="宋体" w:hAnsi="宋体" w:eastAsia="宋体" w:cs="宋体"/>
                <w:color w:val="auto"/>
                <w:highlight w:val="none"/>
              </w:rPr>
            </w:pPr>
          </w:p>
        </w:tc>
        <w:tc>
          <w:tcPr>
            <w:tcW w:w="1333" w:type="dxa"/>
            <w:noWrap w:val="0"/>
            <w:vAlign w:val="center"/>
          </w:tcPr>
          <w:p w14:paraId="1576C046">
            <w:pPr>
              <w:pStyle w:val="614"/>
              <w:jc w:val="center"/>
              <w:rPr>
                <w:rFonts w:hint="eastAsia" w:ascii="宋体" w:hAnsi="宋体" w:eastAsia="宋体" w:cs="宋体"/>
                <w:color w:val="auto"/>
                <w:highlight w:val="none"/>
              </w:rPr>
            </w:pPr>
          </w:p>
        </w:tc>
      </w:tr>
      <w:tr w14:paraId="603B7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6398A3D0">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62" w:type="dxa"/>
            <w:noWrap w:val="0"/>
            <w:vAlign w:val="center"/>
          </w:tcPr>
          <w:p w14:paraId="46DB048B">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住房公积金 </w:t>
            </w:r>
          </w:p>
        </w:tc>
        <w:tc>
          <w:tcPr>
            <w:tcW w:w="2853" w:type="dxa"/>
            <w:noWrap w:val="0"/>
            <w:vAlign w:val="center"/>
          </w:tcPr>
          <w:p w14:paraId="40447E57">
            <w:pPr>
              <w:pStyle w:val="614"/>
              <w:jc w:val="center"/>
              <w:rPr>
                <w:rFonts w:hint="eastAsia" w:ascii="宋体" w:hAnsi="宋体" w:eastAsia="宋体" w:cs="宋体"/>
                <w:color w:val="auto"/>
                <w:highlight w:val="none"/>
              </w:rPr>
            </w:pPr>
          </w:p>
        </w:tc>
        <w:tc>
          <w:tcPr>
            <w:tcW w:w="1067" w:type="dxa"/>
            <w:noWrap w:val="0"/>
            <w:vAlign w:val="center"/>
          </w:tcPr>
          <w:p w14:paraId="1C7D930E">
            <w:pPr>
              <w:pStyle w:val="614"/>
              <w:jc w:val="center"/>
              <w:rPr>
                <w:rFonts w:hint="eastAsia" w:ascii="宋体" w:hAnsi="宋体" w:eastAsia="宋体" w:cs="宋体"/>
                <w:color w:val="auto"/>
                <w:highlight w:val="none"/>
              </w:rPr>
            </w:pPr>
          </w:p>
        </w:tc>
        <w:tc>
          <w:tcPr>
            <w:tcW w:w="1067" w:type="dxa"/>
            <w:noWrap w:val="0"/>
            <w:vAlign w:val="center"/>
          </w:tcPr>
          <w:p w14:paraId="317D3A3D">
            <w:pPr>
              <w:pStyle w:val="614"/>
              <w:jc w:val="center"/>
              <w:rPr>
                <w:rFonts w:hint="eastAsia" w:ascii="宋体" w:hAnsi="宋体" w:eastAsia="宋体" w:cs="宋体"/>
                <w:color w:val="auto"/>
                <w:highlight w:val="none"/>
              </w:rPr>
            </w:pPr>
          </w:p>
        </w:tc>
        <w:tc>
          <w:tcPr>
            <w:tcW w:w="1333" w:type="dxa"/>
            <w:noWrap w:val="0"/>
            <w:vAlign w:val="center"/>
          </w:tcPr>
          <w:p w14:paraId="15552C65">
            <w:pPr>
              <w:pStyle w:val="614"/>
              <w:jc w:val="center"/>
              <w:rPr>
                <w:rFonts w:hint="eastAsia" w:ascii="宋体" w:hAnsi="宋体" w:eastAsia="宋体" w:cs="宋体"/>
                <w:color w:val="auto"/>
                <w:highlight w:val="none"/>
              </w:rPr>
            </w:pPr>
          </w:p>
        </w:tc>
      </w:tr>
      <w:tr w14:paraId="7646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229D415F">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162" w:type="dxa"/>
            <w:noWrap w:val="0"/>
            <w:vAlign w:val="center"/>
          </w:tcPr>
          <w:p w14:paraId="7696B74C">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服务用品费用 </w:t>
            </w:r>
          </w:p>
        </w:tc>
        <w:tc>
          <w:tcPr>
            <w:tcW w:w="2853" w:type="dxa"/>
            <w:noWrap w:val="0"/>
            <w:vAlign w:val="center"/>
          </w:tcPr>
          <w:p w14:paraId="5547167F">
            <w:pPr>
              <w:pStyle w:val="614"/>
              <w:jc w:val="center"/>
              <w:rPr>
                <w:rFonts w:hint="eastAsia" w:ascii="宋体" w:hAnsi="宋体" w:eastAsia="宋体" w:cs="宋体"/>
                <w:color w:val="auto"/>
                <w:highlight w:val="none"/>
              </w:rPr>
            </w:pPr>
          </w:p>
        </w:tc>
        <w:tc>
          <w:tcPr>
            <w:tcW w:w="1067" w:type="dxa"/>
            <w:noWrap w:val="0"/>
            <w:vAlign w:val="center"/>
          </w:tcPr>
          <w:p w14:paraId="11A852FC">
            <w:pPr>
              <w:pStyle w:val="614"/>
              <w:jc w:val="center"/>
              <w:rPr>
                <w:rFonts w:hint="eastAsia" w:ascii="宋体" w:hAnsi="宋体" w:eastAsia="宋体" w:cs="宋体"/>
                <w:color w:val="auto"/>
                <w:highlight w:val="none"/>
              </w:rPr>
            </w:pPr>
          </w:p>
        </w:tc>
        <w:tc>
          <w:tcPr>
            <w:tcW w:w="1067" w:type="dxa"/>
            <w:noWrap w:val="0"/>
            <w:vAlign w:val="center"/>
          </w:tcPr>
          <w:p w14:paraId="5CA249C1">
            <w:pPr>
              <w:pStyle w:val="614"/>
              <w:jc w:val="center"/>
              <w:rPr>
                <w:rFonts w:hint="eastAsia" w:ascii="宋体" w:hAnsi="宋体" w:eastAsia="宋体" w:cs="宋体"/>
                <w:color w:val="auto"/>
                <w:highlight w:val="none"/>
              </w:rPr>
            </w:pPr>
          </w:p>
        </w:tc>
        <w:tc>
          <w:tcPr>
            <w:tcW w:w="1333" w:type="dxa"/>
            <w:noWrap w:val="0"/>
            <w:vAlign w:val="center"/>
          </w:tcPr>
          <w:p w14:paraId="183BD8BB">
            <w:pPr>
              <w:pStyle w:val="614"/>
              <w:jc w:val="center"/>
              <w:rPr>
                <w:rFonts w:hint="eastAsia" w:ascii="宋体" w:hAnsi="宋体" w:eastAsia="宋体" w:cs="宋体"/>
                <w:color w:val="auto"/>
                <w:highlight w:val="none"/>
              </w:rPr>
            </w:pPr>
          </w:p>
        </w:tc>
      </w:tr>
      <w:tr w14:paraId="2886A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1A5D6A66">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2162" w:type="dxa"/>
            <w:noWrap w:val="0"/>
            <w:vAlign w:val="center"/>
          </w:tcPr>
          <w:p w14:paraId="4F224AE3">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意外保险费用 </w:t>
            </w:r>
          </w:p>
        </w:tc>
        <w:tc>
          <w:tcPr>
            <w:tcW w:w="2853" w:type="dxa"/>
            <w:noWrap w:val="0"/>
            <w:vAlign w:val="center"/>
          </w:tcPr>
          <w:p w14:paraId="54898C72">
            <w:pPr>
              <w:pStyle w:val="614"/>
              <w:jc w:val="center"/>
              <w:rPr>
                <w:rFonts w:hint="eastAsia" w:ascii="宋体" w:hAnsi="宋体" w:eastAsia="宋体" w:cs="宋体"/>
                <w:color w:val="auto"/>
                <w:highlight w:val="none"/>
              </w:rPr>
            </w:pPr>
          </w:p>
        </w:tc>
        <w:tc>
          <w:tcPr>
            <w:tcW w:w="1067" w:type="dxa"/>
            <w:noWrap w:val="0"/>
            <w:vAlign w:val="center"/>
          </w:tcPr>
          <w:p w14:paraId="155F88C6">
            <w:pPr>
              <w:pStyle w:val="614"/>
              <w:jc w:val="center"/>
              <w:rPr>
                <w:rFonts w:hint="eastAsia" w:ascii="宋体" w:hAnsi="宋体" w:eastAsia="宋体" w:cs="宋体"/>
                <w:color w:val="auto"/>
                <w:highlight w:val="none"/>
              </w:rPr>
            </w:pPr>
          </w:p>
        </w:tc>
        <w:tc>
          <w:tcPr>
            <w:tcW w:w="1067" w:type="dxa"/>
            <w:noWrap w:val="0"/>
            <w:vAlign w:val="center"/>
          </w:tcPr>
          <w:p w14:paraId="4297D7DE">
            <w:pPr>
              <w:pStyle w:val="614"/>
              <w:jc w:val="center"/>
              <w:rPr>
                <w:rFonts w:hint="eastAsia" w:ascii="宋体" w:hAnsi="宋体" w:eastAsia="宋体" w:cs="宋体"/>
                <w:color w:val="auto"/>
                <w:highlight w:val="none"/>
              </w:rPr>
            </w:pPr>
          </w:p>
        </w:tc>
        <w:tc>
          <w:tcPr>
            <w:tcW w:w="1333" w:type="dxa"/>
            <w:noWrap w:val="0"/>
            <w:vAlign w:val="center"/>
          </w:tcPr>
          <w:p w14:paraId="5339BBE8">
            <w:pPr>
              <w:pStyle w:val="614"/>
              <w:jc w:val="center"/>
              <w:rPr>
                <w:rFonts w:hint="eastAsia" w:ascii="宋体" w:hAnsi="宋体" w:eastAsia="宋体" w:cs="宋体"/>
                <w:color w:val="auto"/>
                <w:highlight w:val="none"/>
              </w:rPr>
            </w:pPr>
          </w:p>
        </w:tc>
      </w:tr>
      <w:tr w14:paraId="77C4D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7CC25600">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2162" w:type="dxa"/>
            <w:noWrap w:val="0"/>
            <w:vAlign w:val="center"/>
          </w:tcPr>
          <w:p w14:paraId="2C26185E">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劳保用品 </w:t>
            </w:r>
          </w:p>
        </w:tc>
        <w:tc>
          <w:tcPr>
            <w:tcW w:w="2853" w:type="dxa"/>
            <w:noWrap w:val="0"/>
            <w:vAlign w:val="center"/>
          </w:tcPr>
          <w:p w14:paraId="1849EDEE">
            <w:pPr>
              <w:pStyle w:val="614"/>
              <w:jc w:val="both"/>
              <w:rPr>
                <w:rFonts w:hint="eastAsia" w:ascii="宋体" w:hAnsi="宋体" w:eastAsia="宋体" w:cs="宋体"/>
                <w:color w:val="auto"/>
                <w:highlight w:val="none"/>
              </w:rPr>
            </w:pPr>
          </w:p>
        </w:tc>
        <w:tc>
          <w:tcPr>
            <w:tcW w:w="1067" w:type="dxa"/>
            <w:noWrap w:val="0"/>
            <w:vAlign w:val="center"/>
          </w:tcPr>
          <w:p w14:paraId="250F4635">
            <w:pPr>
              <w:pStyle w:val="614"/>
              <w:jc w:val="center"/>
              <w:rPr>
                <w:rFonts w:hint="eastAsia" w:ascii="宋体" w:hAnsi="宋体" w:eastAsia="宋体" w:cs="宋体"/>
                <w:color w:val="auto"/>
                <w:highlight w:val="none"/>
              </w:rPr>
            </w:pPr>
          </w:p>
        </w:tc>
        <w:tc>
          <w:tcPr>
            <w:tcW w:w="1067" w:type="dxa"/>
            <w:noWrap w:val="0"/>
            <w:vAlign w:val="center"/>
          </w:tcPr>
          <w:p w14:paraId="36986657">
            <w:pPr>
              <w:pStyle w:val="614"/>
              <w:jc w:val="center"/>
              <w:rPr>
                <w:rFonts w:hint="eastAsia" w:ascii="宋体" w:hAnsi="宋体" w:eastAsia="宋体" w:cs="宋体"/>
                <w:color w:val="auto"/>
                <w:highlight w:val="none"/>
              </w:rPr>
            </w:pPr>
          </w:p>
        </w:tc>
        <w:tc>
          <w:tcPr>
            <w:tcW w:w="1333" w:type="dxa"/>
            <w:noWrap w:val="0"/>
            <w:vAlign w:val="center"/>
          </w:tcPr>
          <w:p w14:paraId="5A623022">
            <w:pPr>
              <w:pStyle w:val="614"/>
              <w:jc w:val="center"/>
              <w:rPr>
                <w:rFonts w:hint="eastAsia" w:ascii="宋体" w:hAnsi="宋体" w:eastAsia="宋体" w:cs="宋体"/>
                <w:color w:val="auto"/>
                <w:highlight w:val="none"/>
              </w:rPr>
            </w:pPr>
          </w:p>
        </w:tc>
      </w:tr>
      <w:tr w14:paraId="5C99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1DDFDC50">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2162" w:type="dxa"/>
            <w:noWrap w:val="0"/>
            <w:vAlign w:val="center"/>
          </w:tcPr>
          <w:p w14:paraId="1DA6B1A0">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办公费用 </w:t>
            </w:r>
          </w:p>
        </w:tc>
        <w:tc>
          <w:tcPr>
            <w:tcW w:w="2853" w:type="dxa"/>
            <w:noWrap w:val="0"/>
            <w:vAlign w:val="center"/>
          </w:tcPr>
          <w:p w14:paraId="3A8C09B6">
            <w:pPr>
              <w:pStyle w:val="614"/>
              <w:jc w:val="both"/>
              <w:rPr>
                <w:rFonts w:hint="eastAsia" w:ascii="宋体" w:hAnsi="宋体" w:eastAsia="宋体" w:cs="宋体"/>
                <w:color w:val="auto"/>
                <w:highlight w:val="none"/>
              </w:rPr>
            </w:pPr>
          </w:p>
        </w:tc>
        <w:tc>
          <w:tcPr>
            <w:tcW w:w="1067" w:type="dxa"/>
            <w:noWrap w:val="0"/>
            <w:vAlign w:val="center"/>
          </w:tcPr>
          <w:p w14:paraId="6217B290">
            <w:pPr>
              <w:pStyle w:val="614"/>
              <w:jc w:val="center"/>
              <w:rPr>
                <w:rFonts w:hint="eastAsia" w:ascii="宋体" w:hAnsi="宋体" w:eastAsia="宋体" w:cs="宋体"/>
                <w:color w:val="auto"/>
                <w:highlight w:val="none"/>
              </w:rPr>
            </w:pPr>
          </w:p>
        </w:tc>
        <w:tc>
          <w:tcPr>
            <w:tcW w:w="1067" w:type="dxa"/>
            <w:noWrap w:val="0"/>
            <w:vAlign w:val="center"/>
          </w:tcPr>
          <w:p w14:paraId="534387C1">
            <w:pPr>
              <w:pStyle w:val="614"/>
              <w:jc w:val="center"/>
              <w:rPr>
                <w:rFonts w:hint="eastAsia" w:ascii="宋体" w:hAnsi="宋体" w:eastAsia="宋体" w:cs="宋体"/>
                <w:color w:val="auto"/>
                <w:highlight w:val="none"/>
              </w:rPr>
            </w:pPr>
          </w:p>
        </w:tc>
        <w:tc>
          <w:tcPr>
            <w:tcW w:w="1333" w:type="dxa"/>
            <w:noWrap w:val="0"/>
            <w:vAlign w:val="center"/>
          </w:tcPr>
          <w:p w14:paraId="36B02D28">
            <w:pPr>
              <w:pStyle w:val="614"/>
              <w:jc w:val="center"/>
              <w:rPr>
                <w:rFonts w:hint="eastAsia" w:ascii="宋体" w:hAnsi="宋体" w:eastAsia="宋体" w:cs="宋体"/>
                <w:color w:val="auto"/>
                <w:highlight w:val="none"/>
              </w:rPr>
            </w:pPr>
          </w:p>
        </w:tc>
      </w:tr>
      <w:tr w14:paraId="5ED69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5ACBD07A">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2162" w:type="dxa"/>
            <w:noWrap w:val="0"/>
            <w:vAlign w:val="center"/>
          </w:tcPr>
          <w:p w14:paraId="40ACF61F">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其它费用 </w:t>
            </w:r>
          </w:p>
        </w:tc>
        <w:tc>
          <w:tcPr>
            <w:tcW w:w="2853" w:type="dxa"/>
            <w:noWrap w:val="0"/>
            <w:vAlign w:val="center"/>
          </w:tcPr>
          <w:p w14:paraId="27846B1D">
            <w:pPr>
              <w:pStyle w:val="614"/>
              <w:jc w:val="both"/>
              <w:rPr>
                <w:rFonts w:hint="eastAsia" w:ascii="宋体" w:hAnsi="宋体" w:eastAsia="宋体" w:cs="宋体"/>
                <w:color w:val="auto"/>
                <w:highlight w:val="none"/>
              </w:rPr>
            </w:pPr>
          </w:p>
        </w:tc>
        <w:tc>
          <w:tcPr>
            <w:tcW w:w="1067" w:type="dxa"/>
            <w:noWrap w:val="0"/>
            <w:vAlign w:val="center"/>
          </w:tcPr>
          <w:p w14:paraId="3E89E818">
            <w:pPr>
              <w:pStyle w:val="614"/>
              <w:jc w:val="center"/>
              <w:rPr>
                <w:rFonts w:hint="eastAsia" w:ascii="宋体" w:hAnsi="宋体" w:eastAsia="宋体" w:cs="宋体"/>
                <w:color w:val="auto"/>
                <w:highlight w:val="none"/>
              </w:rPr>
            </w:pPr>
          </w:p>
        </w:tc>
        <w:tc>
          <w:tcPr>
            <w:tcW w:w="1067" w:type="dxa"/>
            <w:noWrap w:val="0"/>
            <w:vAlign w:val="center"/>
          </w:tcPr>
          <w:p w14:paraId="730BA487">
            <w:pPr>
              <w:pStyle w:val="614"/>
              <w:jc w:val="center"/>
              <w:rPr>
                <w:rFonts w:hint="eastAsia" w:ascii="宋体" w:hAnsi="宋体" w:eastAsia="宋体" w:cs="宋体"/>
                <w:color w:val="auto"/>
                <w:highlight w:val="none"/>
              </w:rPr>
            </w:pPr>
          </w:p>
        </w:tc>
        <w:tc>
          <w:tcPr>
            <w:tcW w:w="1333" w:type="dxa"/>
            <w:noWrap w:val="0"/>
            <w:vAlign w:val="center"/>
          </w:tcPr>
          <w:p w14:paraId="549E985A">
            <w:pPr>
              <w:pStyle w:val="614"/>
              <w:jc w:val="center"/>
              <w:rPr>
                <w:rFonts w:hint="eastAsia" w:ascii="宋体" w:hAnsi="宋体" w:eastAsia="宋体" w:cs="宋体"/>
                <w:color w:val="auto"/>
                <w:highlight w:val="none"/>
              </w:rPr>
            </w:pPr>
          </w:p>
        </w:tc>
      </w:tr>
      <w:tr w14:paraId="55638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6D102862">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162" w:type="dxa"/>
            <w:noWrap w:val="0"/>
            <w:vAlign w:val="center"/>
          </w:tcPr>
          <w:p w14:paraId="6B19F0CA">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税金</w:t>
            </w:r>
          </w:p>
        </w:tc>
        <w:tc>
          <w:tcPr>
            <w:tcW w:w="2853" w:type="dxa"/>
            <w:noWrap w:val="0"/>
            <w:vAlign w:val="center"/>
          </w:tcPr>
          <w:p w14:paraId="4113B010">
            <w:pPr>
              <w:pStyle w:val="614"/>
              <w:jc w:val="center"/>
              <w:rPr>
                <w:rFonts w:hint="eastAsia" w:ascii="宋体" w:hAnsi="宋体" w:eastAsia="宋体" w:cs="宋体"/>
                <w:color w:val="auto"/>
                <w:highlight w:val="none"/>
              </w:rPr>
            </w:pPr>
          </w:p>
        </w:tc>
        <w:tc>
          <w:tcPr>
            <w:tcW w:w="1067" w:type="dxa"/>
            <w:noWrap w:val="0"/>
            <w:vAlign w:val="center"/>
          </w:tcPr>
          <w:p w14:paraId="0172FF15">
            <w:pPr>
              <w:pStyle w:val="614"/>
              <w:jc w:val="center"/>
              <w:rPr>
                <w:rFonts w:hint="eastAsia" w:ascii="宋体" w:hAnsi="宋体" w:eastAsia="宋体" w:cs="宋体"/>
                <w:color w:val="auto"/>
                <w:highlight w:val="none"/>
              </w:rPr>
            </w:pPr>
          </w:p>
        </w:tc>
        <w:tc>
          <w:tcPr>
            <w:tcW w:w="1067" w:type="dxa"/>
            <w:noWrap w:val="0"/>
            <w:vAlign w:val="center"/>
          </w:tcPr>
          <w:p w14:paraId="5B1AAA13">
            <w:pPr>
              <w:pStyle w:val="614"/>
              <w:jc w:val="center"/>
              <w:rPr>
                <w:rFonts w:hint="eastAsia" w:ascii="宋体" w:hAnsi="宋体" w:eastAsia="宋体" w:cs="宋体"/>
                <w:color w:val="auto"/>
                <w:highlight w:val="none"/>
              </w:rPr>
            </w:pPr>
          </w:p>
        </w:tc>
        <w:tc>
          <w:tcPr>
            <w:tcW w:w="1333" w:type="dxa"/>
            <w:noWrap w:val="0"/>
            <w:vAlign w:val="center"/>
          </w:tcPr>
          <w:p w14:paraId="6EFE392A">
            <w:pPr>
              <w:pStyle w:val="614"/>
              <w:jc w:val="center"/>
              <w:rPr>
                <w:rFonts w:hint="eastAsia" w:ascii="宋体" w:hAnsi="宋体" w:eastAsia="宋体" w:cs="宋体"/>
                <w:color w:val="auto"/>
                <w:highlight w:val="none"/>
              </w:rPr>
            </w:pPr>
          </w:p>
        </w:tc>
      </w:tr>
      <w:tr w14:paraId="0A7A8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03" w:type="dxa"/>
            <w:noWrap w:val="0"/>
            <w:vAlign w:val="center"/>
          </w:tcPr>
          <w:p w14:paraId="40365B92">
            <w:pPr>
              <w:pStyle w:val="614"/>
              <w:jc w:val="center"/>
              <w:rPr>
                <w:rFonts w:hint="eastAsia" w:ascii="宋体" w:hAnsi="宋体" w:eastAsia="宋体" w:cs="宋体"/>
                <w:color w:val="auto"/>
                <w:highlight w:val="none"/>
              </w:rPr>
            </w:pPr>
          </w:p>
        </w:tc>
        <w:tc>
          <w:tcPr>
            <w:tcW w:w="2162" w:type="dxa"/>
            <w:noWrap w:val="0"/>
            <w:vAlign w:val="center"/>
          </w:tcPr>
          <w:p w14:paraId="57FFE69A">
            <w:pPr>
              <w:pStyle w:val="614"/>
              <w:jc w:val="center"/>
              <w:rPr>
                <w:rFonts w:hint="eastAsia" w:ascii="宋体" w:hAnsi="宋体" w:eastAsia="宋体" w:cs="宋体"/>
                <w:color w:val="auto"/>
                <w:highlight w:val="none"/>
              </w:rPr>
            </w:pPr>
          </w:p>
        </w:tc>
        <w:tc>
          <w:tcPr>
            <w:tcW w:w="2853" w:type="dxa"/>
            <w:noWrap w:val="0"/>
            <w:vAlign w:val="center"/>
          </w:tcPr>
          <w:p w14:paraId="19137C46">
            <w:pPr>
              <w:pStyle w:val="614"/>
              <w:jc w:val="center"/>
              <w:rPr>
                <w:rFonts w:hint="eastAsia" w:ascii="宋体" w:hAnsi="宋体" w:eastAsia="宋体" w:cs="宋体"/>
                <w:color w:val="auto"/>
                <w:highlight w:val="none"/>
              </w:rPr>
            </w:pPr>
          </w:p>
        </w:tc>
        <w:tc>
          <w:tcPr>
            <w:tcW w:w="1067" w:type="dxa"/>
            <w:noWrap w:val="0"/>
            <w:vAlign w:val="center"/>
          </w:tcPr>
          <w:p w14:paraId="0F5B2FDF">
            <w:pPr>
              <w:pStyle w:val="614"/>
              <w:jc w:val="center"/>
              <w:rPr>
                <w:rFonts w:hint="eastAsia" w:ascii="宋体" w:hAnsi="宋体" w:eastAsia="宋体" w:cs="宋体"/>
                <w:color w:val="auto"/>
                <w:highlight w:val="none"/>
              </w:rPr>
            </w:pPr>
          </w:p>
        </w:tc>
        <w:tc>
          <w:tcPr>
            <w:tcW w:w="1067" w:type="dxa"/>
            <w:noWrap w:val="0"/>
            <w:vAlign w:val="center"/>
          </w:tcPr>
          <w:p w14:paraId="713D0618">
            <w:pPr>
              <w:pStyle w:val="614"/>
              <w:jc w:val="center"/>
              <w:rPr>
                <w:rFonts w:hint="eastAsia" w:ascii="宋体" w:hAnsi="宋体" w:eastAsia="宋体" w:cs="宋体"/>
                <w:color w:val="auto"/>
                <w:highlight w:val="none"/>
              </w:rPr>
            </w:pPr>
          </w:p>
        </w:tc>
        <w:tc>
          <w:tcPr>
            <w:tcW w:w="1333" w:type="dxa"/>
            <w:noWrap w:val="0"/>
            <w:vAlign w:val="center"/>
          </w:tcPr>
          <w:p w14:paraId="36EEF892">
            <w:pPr>
              <w:pStyle w:val="614"/>
              <w:jc w:val="center"/>
              <w:rPr>
                <w:rFonts w:hint="eastAsia" w:ascii="宋体" w:hAnsi="宋体" w:eastAsia="宋体" w:cs="宋体"/>
                <w:color w:val="auto"/>
                <w:highlight w:val="none"/>
              </w:rPr>
            </w:pPr>
          </w:p>
        </w:tc>
      </w:tr>
      <w:tr w14:paraId="23BB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7" w:hRule="atLeast"/>
          <w:jc w:val="center"/>
        </w:trPr>
        <w:tc>
          <w:tcPr>
            <w:tcW w:w="5518" w:type="dxa"/>
            <w:gridSpan w:val="3"/>
            <w:noWrap w:val="0"/>
            <w:vAlign w:val="center"/>
          </w:tcPr>
          <w:p w14:paraId="79CF174F">
            <w:pPr>
              <w:pStyle w:val="614"/>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1067" w:type="dxa"/>
            <w:noWrap w:val="0"/>
            <w:vAlign w:val="center"/>
          </w:tcPr>
          <w:p w14:paraId="112956B3">
            <w:pPr>
              <w:pStyle w:val="614"/>
              <w:jc w:val="center"/>
              <w:rPr>
                <w:rFonts w:hint="eastAsia" w:ascii="宋体" w:hAnsi="宋体" w:eastAsia="宋体" w:cs="宋体"/>
                <w:color w:val="auto"/>
                <w:highlight w:val="none"/>
              </w:rPr>
            </w:pPr>
          </w:p>
        </w:tc>
        <w:tc>
          <w:tcPr>
            <w:tcW w:w="1067" w:type="dxa"/>
            <w:noWrap w:val="0"/>
            <w:vAlign w:val="center"/>
          </w:tcPr>
          <w:p w14:paraId="3286F337">
            <w:pPr>
              <w:pStyle w:val="614"/>
              <w:jc w:val="center"/>
              <w:rPr>
                <w:rFonts w:hint="eastAsia" w:ascii="宋体" w:hAnsi="宋体" w:eastAsia="宋体" w:cs="宋体"/>
                <w:color w:val="auto"/>
                <w:highlight w:val="none"/>
              </w:rPr>
            </w:pPr>
          </w:p>
        </w:tc>
        <w:tc>
          <w:tcPr>
            <w:tcW w:w="1333" w:type="dxa"/>
            <w:noWrap w:val="0"/>
            <w:vAlign w:val="center"/>
          </w:tcPr>
          <w:p w14:paraId="676B32D3">
            <w:pPr>
              <w:pStyle w:val="614"/>
              <w:jc w:val="center"/>
              <w:rPr>
                <w:rFonts w:hint="eastAsia" w:ascii="宋体" w:hAnsi="宋体" w:eastAsia="宋体" w:cs="宋体"/>
                <w:color w:val="auto"/>
                <w:highlight w:val="none"/>
              </w:rPr>
            </w:pPr>
          </w:p>
        </w:tc>
      </w:tr>
    </w:tbl>
    <w:p w14:paraId="11CE2B34">
      <w:pPr>
        <w:pStyle w:val="612"/>
        <w:rPr>
          <w:rFonts w:hint="eastAsia" w:ascii="宋体" w:hAnsi="宋体" w:eastAsia="宋体" w:cs="宋体"/>
          <w:vanish/>
          <w:color w:val="auto"/>
          <w:highlight w:val="none"/>
        </w:rPr>
      </w:pPr>
    </w:p>
    <w:p w14:paraId="6446FE4D">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Style w:val="141"/>
          <w:rFonts w:hint="eastAsia" w:ascii="宋体" w:hAnsi="宋体" w:eastAsia="宋体" w:cs="宋体"/>
          <w:b/>
          <w:bCs/>
          <w:color w:val="auto"/>
          <w:sz w:val="24"/>
          <w:szCs w:val="28"/>
          <w:highlight w:val="none"/>
        </w:rPr>
        <w:t>针对本项目</w:t>
      </w:r>
      <w:r>
        <w:rPr>
          <w:rStyle w:val="141"/>
          <w:rFonts w:hint="eastAsia" w:ascii="宋体" w:hAnsi="宋体" w:eastAsia="宋体" w:cs="宋体"/>
          <w:b/>
          <w:bCs/>
          <w:color w:val="auto"/>
          <w:sz w:val="24"/>
          <w:szCs w:val="28"/>
          <w:highlight w:val="none"/>
          <w:u w:val="single"/>
        </w:rPr>
        <w:t xml:space="preserve">     （是或否）</w:t>
      </w:r>
      <w:r>
        <w:rPr>
          <w:rStyle w:val="141"/>
          <w:rFonts w:hint="eastAsia" w:ascii="宋体" w:hAnsi="宋体" w:eastAsia="宋体" w:cs="宋体"/>
          <w:b/>
          <w:bCs/>
          <w:color w:val="auto"/>
          <w:sz w:val="24"/>
          <w:szCs w:val="28"/>
          <w:highlight w:val="none"/>
        </w:rPr>
        <w:t>使用退休人员。</w:t>
      </w:r>
    </w:p>
    <w:p w14:paraId="6961B630">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注：1、以上表格必须如实提供，内容表述不全的可自行调整或添加。</w:t>
      </w:r>
    </w:p>
    <w:p w14:paraId="735383A1">
      <w:pPr>
        <w:pStyle w:val="614"/>
        <w:numPr>
          <w:ilvl w:val="0"/>
          <w:numId w:val="9"/>
        </w:numPr>
        <w:spacing w:before="240" w:after="240"/>
        <w:rPr>
          <w:rFonts w:hint="eastAsia" w:ascii="宋体" w:hAnsi="宋体" w:eastAsia="宋体" w:cs="宋体"/>
          <w:color w:val="auto"/>
          <w:highlight w:val="none"/>
        </w:rPr>
      </w:pPr>
      <w:r>
        <w:rPr>
          <w:rStyle w:val="141"/>
          <w:rFonts w:hint="eastAsia" w:ascii="宋体" w:hAnsi="宋体" w:eastAsia="宋体" w:cs="宋体"/>
          <w:color w:val="auto"/>
          <w:sz w:val="24"/>
          <w:szCs w:val="28"/>
          <w:highlight w:val="none"/>
        </w:rPr>
        <w:t>请供应商明确针对该项目是否使用退休人员：如使用退休人员，则在横线处填写“是”；如未使用退休人员，则在横线处填写“否”。（此为必填项）</w:t>
      </w:r>
    </w:p>
    <w:p w14:paraId="45C30D54">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3、在服务采购项目中，服务由中小企业承接，即提供服务的人员为中小企业依照《中华人民共和国劳动合同法》订立劳动合同的从业人员。</w:t>
      </w:r>
      <w:r>
        <w:rPr>
          <w:rFonts w:hint="eastAsia" w:ascii="宋体" w:hAnsi="宋体" w:eastAsia="宋体" w:cs="宋体"/>
          <w:b/>
          <w:bCs/>
          <w:color w:val="auto"/>
          <w:highlight w:val="none"/>
        </w:rPr>
        <w:t>服务类项目中供应商若使用退休人员，将不享受相应扶持政策。</w:t>
      </w:r>
    </w:p>
    <w:p w14:paraId="6D81B263">
      <w:pPr>
        <w:pStyle w:val="596"/>
        <w:spacing w:line="440" w:lineRule="exact"/>
        <w:outlineLvl w:val="1"/>
        <w:rPr>
          <w:rFonts w:hint="eastAsia" w:ascii="宋体" w:hAnsi="宋体" w:eastAsia="宋体" w:cs="宋体"/>
          <w:color w:val="auto"/>
          <w:highlight w:val="none"/>
        </w:rPr>
        <w:sectPr>
          <w:pgSz w:w="11906" w:h="16838"/>
          <w:pgMar w:top="720" w:right="720" w:bottom="720" w:left="720" w:header="851" w:footer="992" w:gutter="0"/>
          <w:cols w:space="720" w:num="1"/>
          <w:titlePg/>
          <w:docGrid w:linePitch="360" w:charSpace="0"/>
        </w:sectPr>
      </w:pPr>
    </w:p>
    <w:p w14:paraId="28A7F4F0">
      <w:pPr>
        <w:pStyle w:val="596"/>
        <w:spacing w:line="440" w:lineRule="exact"/>
        <w:outlineLvl w:val="1"/>
        <w:rPr>
          <w:rFonts w:hint="eastAsia" w:ascii="宋体" w:hAnsi="宋体" w:eastAsia="宋体" w:cs="宋体"/>
          <w:color w:val="auto"/>
          <w:highlight w:val="none"/>
        </w:rPr>
      </w:pPr>
      <w:r>
        <w:rPr>
          <w:rFonts w:hint="eastAsia" w:ascii="宋体" w:hAnsi="宋体" w:eastAsia="宋体" w:cs="宋体"/>
          <w:b/>
          <w:color w:val="auto"/>
          <w:sz w:val="32"/>
          <w:highlight w:val="none"/>
        </w:rPr>
        <w:t>四、资格证明文件</w:t>
      </w:r>
      <w:bookmarkEnd w:id="171"/>
    </w:p>
    <w:p w14:paraId="2EA211B7">
      <w:pPr>
        <w:pStyle w:val="597"/>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法人或者其他组织的营业执照等证明文件，自然人的身份证明</w:t>
      </w:r>
    </w:p>
    <w:p w14:paraId="6A1CEA9A">
      <w:pPr>
        <w:pStyle w:val="598"/>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178534A0">
      <w:pPr>
        <w:pStyle w:val="59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B3C32C1">
      <w:pPr>
        <w:pStyle w:val="598"/>
        <w:spacing w:before="360" w:after="360" w:line="30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法人或者其他组织的营业执照等证明文件，自然人的身份证明 </w:t>
      </w:r>
    </w:p>
    <w:p w14:paraId="4C721238">
      <w:pPr>
        <w:pStyle w:val="598"/>
        <w:spacing w:before="240" w:after="240" w:line="360" w:lineRule="auto"/>
        <w:rPr>
          <w:rFonts w:hint="eastAsia" w:ascii="宋体" w:hAnsi="宋体" w:eastAsia="宋体" w:cs="宋体"/>
          <w:color w:val="auto"/>
          <w:highlight w:val="none"/>
        </w:rPr>
      </w:pPr>
      <w:bookmarkStart w:id="172" w:name="A1"/>
      <w:bookmarkEnd w:id="172"/>
      <w:r>
        <w:rPr>
          <w:rFonts w:hint="eastAsia" w:ascii="宋体" w:hAnsi="宋体" w:eastAsia="宋体" w:cs="宋体"/>
          <w:color w:val="auto"/>
          <w:highlight w:val="none"/>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0CB19BF">
      <w:pPr>
        <w:pStyle w:val="598"/>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216DDC0">
      <w:pPr>
        <w:pStyle w:val="599"/>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财务状况报告（成立不满一年不需要提供）</w:t>
      </w:r>
    </w:p>
    <w:p w14:paraId="01A52113">
      <w:pPr>
        <w:pStyle w:val="600"/>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0802FC2C">
      <w:pPr>
        <w:pStyle w:val="600"/>
        <w:spacing w:before="360" w:after="360" w:line="30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近年财务状况表</w:t>
      </w:r>
    </w:p>
    <w:p w14:paraId="01712CF9">
      <w:pPr>
        <w:pStyle w:val="600"/>
        <w:rPr>
          <w:rFonts w:hint="eastAsia" w:ascii="宋体" w:hAnsi="宋体" w:eastAsia="宋体" w:cs="宋体"/>
          <w:b/>
          <w:bCs/>
          <w:color w:val="auto"/>
          <w:sz w:val="36"/>
          <w:szCs w:val="36"/>
          <w:highlight w:val="none"/>
        </w:rPr>
      </w:pPr>
      <w:bookmarkStart w:id="173" w:name="Year"/>
      <w:bookmarkEnd w:id="173"/>
    </w:p>
    <w:p w14:paraId="6A7E7BA0">
      <w:pPr>
        <w:pStyle w:val="601"/>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依法缴纳税收和社会保障资金的相关材料</w:t>
      </w:r>
    </w:p>
    <w:p w14:paraId="4DF9857C">
      <w:pPr>
        <w:pStyle w:val="602"/>
        <w:rPr>
          <w:rFonts w:hint="eastAsia" w:ascii="宋体" w:hAnsi="宋体" w:eastAsia="宋体" w:cs="宋体"/>
          <w:color w:val="auto"/>
          <w:highlight w:val="none"/>
        </w:rPr>
      </w:pPr>
      <w:r>
        <w:rPr>
          <w:rFonts w:hint="eastAsia" w:ascii="宋体" w:hAnsi="宋体" w:eastAsia="宋体" w:cs="宋体"/>
          <w:color w:val="auto"/>
          <w:highlight w:val="none"/>
        </w:rPr>
        <w:t xml:space="preserve">依法缴纳税收和社会保障资金的相关材料 </w:t>
      </w:r>
    </w:p>
    <w:p w14:paraId="2ECA5A79">
      <w:pPr>
        <w:pStyle w:val="603"/>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具备履行合同所必需的设备和专业技术能力的书面声明</w:t>
      </w:r>
    </w:p>
    <w:p w14:paraId="3BF60A15">
      <w:pPr>
        <w:pStyle w:val="604"/>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0E4A7BB5">
      <w:pPr>
        <w:pStyle w:val="604"/>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具备履行合同所必需的设备和专业技术能力的书面声明</w:t>
      </w:r>
    </w:p>
    <w:p w14:paraId="36C04CC8">
      <w:pPr>
        <w:pStyle w:val="6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1A24B517">
      <w:pPr>
        <w:pStyle w:val="604"/>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439745F1">
      <w:pPr>
        <w:pStyle w:val="6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3F31B894">
      <w:pPr>
        <w:pStyle w:val="60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我单位郑重声明： 我单位具备履行本项采购合同所必需的设备和专业技术能力。 </w:t>
      </w:r>
    </w:p>
    <w:p w14:paraId="06BAF1B8">
      <w:pPr>
        <w:pStyle w:val="604"/>
        <w:spacing w:before="360" w:after="36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5CC37126">
      <w:pPr>
        <w:pStyle w:val="604"/>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1A804802">
      <w:pPr>
        <w:pStyle w:val="604"/>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31F69C1F">
      <w:pPr>
        <w:pStyle w:val="604"/>
        <w:spacing w:before="360" w:after="36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w:t>
      </w:r>
    </w:p>
    <w:p w14:paraId="6986C6A7">
      <w:pPr>
        <w:pStyle w:val="604"/>
        <w:spacing w:before="210" w:after="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投标单位（加盖公章）：   </w:t>
      </w:r>
    </w:p>
    <w:p w14:paraId="7ED9F84B">
      <w:pPr>
        <w:pStyle w:val="605"/>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参加政府采购活动前3年内在经营活动中没有重大违法记录的书面声明</w:t>
      </w:r>
    </w:p>
    <w:p w14:paraId="78C2CE75">
      <w:pPr>
        <w:pStyle w:val="606"/>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35D04971">
      <w:pPr>
        <w:pStyle w:val="606"/>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参加政府采购活动前3年内在经营活动中没有重大违法记录的书面声明</w:t>
      </w:r>
    </w:p>
    <w:p w14:paraId="61667140">
      <w:pPr>
        <w:pStyle w:val="606"/>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21FC3ED1">
      <w:pPr>
        <w:pStyle w:val="606"/>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1AEB9B98">
      <w:pPr>
        <w:pStyle w:val="606"/>
        <w:spacing w:before="320" w:after="32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声明</w:t>
      </w:r>
    </w:p>
    <w:p w14:paraId="1265AE04">
      <w:pPr>
        <w:pStyle w:val="606"/>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4DD19BFA">
      <w:pPr>
        <w:pStyle w:val="606"/>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14:paraId="3E47C69E">
      <w:pPr>
        <w:pStyle w:val="606"/>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53D84923">
      <w:pPr>
        <w:pStyle w:val="606"/>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D63BE5D">
      <w:pPr>
        <w:pStyle w:val="606"/>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F05A3A3">
      <w:pPr>
        <w:pStyle w:val="606"/>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7DA5C11">
      <w:pPr>
        <w:pStyle w:val="606"/>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投标单位（加盖公章）：   </w:t>
      </w:r>
    </w:p>
    <w:p w14:paraId="665E104E">
      <w:pPr>
        <w:pStyle w:val="607"/>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授权委托书</w:t>
      </w:r>
    </w:p>
    <w:p w14:paraId="02BF3A74">
      <w:pPr>
        <w:pStyle w:val="608"/>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5EEC9FAA">
      <w:pPr>
        <w:pStyle w:val="608"/>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授权委托书</w:t>
      </w:r>
    </w:p>
    <w:p w14:paraId="477F97AD">
      <w:pPr>
        <w:pStyle w:val="60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022A7D86">
      <w:pPr>
        <w:pStyle w:val="608"/>
        <w:spacing w:line="440" w:lineRule="exact"/>
        <w:ind w:firstLine="499"/>
        <w:rPr>
          <w:rFonts w:hint="eastAsia"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eastAsia="宋体" w:cs="宋体"/>
          <w:color w:val="auto"/>
          <w:highlight w:val="none"/>
          <w:u w:val="single"/>
        </w:rPr>
        <w:t>（投标人名称）</w:t>
      </w:r>
      <w:r>
        <w:rPr>
          <w:rFonts w:hint="eastAsia" w:ascii="宋体" w:hAnsi="宋体" w:eastAsia="宋体" w:cs="宋体"/>
          <w:color w:val="auto"/>
          <w:highlight w:val="none"/>
        </w:rPr>
        <w:t>授权</w:t>
      </w:r>
      <w:bookmarkStart w:id="174" w:name="sys_STR"/>
      <w:bookmarkEnd w:id="174"/>
      <w:r>
        <w:rPr>
          <w:rFonts w:hint="eastAsia" w:ascii="宋体" w:hAnsi="宋体" w:eastAsia="宋体" w:cs="宋体"/>
          <w:color w:val="auto"/>
          <w:highlight w:val="none"/>
          <w:u w:val="single"/>
        </w:rPr>
        <w:t>(被授权人的姓名)</w:t>
      </w:r>
      <w:r>
        <w:rPr>
          <w:rFonts w:hint="eastAsia" w:ascii="宋体" w:hAnsi="宋体" w:eastAsia="宋体" w:cs="宋体"/>
          <w:color w:val="auto"/>
          <w:highlight w:val="none"/>
        </w:rPr>
        <w:t>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 </w:t>
      </w:r>
    </w:p>
    <w:p w14:paraId="2860CA2F">
      <w:pPr>
        <w:pStyle w:val="608"/>
        <w:spacing w:line="440" w:lineRule="exact"/>
        <w:ind w:firstLine="499"/>
        <w:rPr>
          <w:rFonts w:hint="eastAsia" w:ascii="宋体" w:hAnsi="宋体" w:eastAsia="宋体" w:cs="宋体"/>
          <w:color w:val="auto"/>
          <w:highlight w:val="none"/>
        </w:rPr>
      </w:pPr>
      <w:r>
        <w:rPr>
          <w:rFonts w:hint="eastAsia" w:ascii="宋体" w:hAnsi="宋体" w:eastAsia="宋体" w:cs="宋体"/>
          <w:color w:val="auto"/>
          <w:highlight w:val="none"/>
        </w:rPr>
        <w:t>本授权书于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起生效，特此声明。  </w:t>
      </w:r>
    </w:p>
    <w:p w14:paraId="2D0C34E1">
      <w:pPr>
        <w:pStyle w:val="60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154F2A01">
      <w:pPr>
        <w:pStyle w:val="608"/>
        <w:spacing w:before="240" w:after="240"/>
        <w:ind w:firstLine="3570"/>
        <w:rPr>
          <w:rFonts w:hint="eastAsia" w:ascii="宋体" w:hAnsi="宋体" w:eastAsia="宋体" w:cs="宋体"/>
          <w:color w:val="auto"/>
          <w:highlight w:val="none"/>
        </w:rPr>
      </w:pPr>
      <w:r>
        <w:rPr>
          <w:rFonts w:hint="eastAsia" w:ascii="宋体" w:hAnsi="宋体" w:eastAsia="宋体" w:cs="宋体"/>
          <w:color w:val="auto"/>
          <w:highlight w:val="none"/>
        </w:rPr>
        <w:t>被授权人身份证号码：   </w:t>
      </w:r>
    </w:p>
    <w:p w14:paraId="22D38A91">
      <w:pPr>
        <w:pStyle w:val="608"/>
        <w:spacing w:before="240" w:after="240"/>
        <w:ind w:firstLine="3570"/>
        <w:rPr>
          <w:rFonts w:hint="eastAsia" w:ascii="宋体" w:hAnsi="宋体" w:eastAsia="宋体" w:cs="宋体"/>
          <w:color w:val="auto"/>
          <w:highlight w:val="none"/>
        </w:rPr>
      </w:pPr>
      <w:r>
        <w:rPr>
          <w:rFonts w:hint="eastAsia" w:ascii="宋体" w:hAnsi="宋体" w:eastAsia="宋体" w:cs="宋体"/>
          <w:color w:val="auto"/>
          <w:highlight w:val="none"/>
        </w:rPr>
        <w:t>被授权人联系电话：（手机）   </w:t>
      </w:r>
    </w:p>
    <w:p w14:paraId="0D9198D1">
      <w:pPr>
        <w:pStyle w:val="608"/>
        <w:spacing w:before="240" w:after="240"/>
        <w:ind w:firstLine="3570"/>
        <w:rPr>
          <w:rFonts w:hint="eastAsia" w:ascii="宋体" w:hAnsi="宋体" w:eastAsia="宋体" w:cs="宋体"/>
          <w:color w:val="auto"/>
          <w:highlight w:val="none"/>
        </w:rPr>
      </w:pPr>
      <w:r>
        <w:rPr>
          <w:rFonts w:hint="eastAsia" w:ascii="宋体" w:hAnsi="宋体" w:eastAsia="宋体" w:cs="宋体"/>
          <w:color w:val="auto"/>
          <w:highlight w:val="none"/>
        </w:rPr>
        <w:t>授权单位名称：   （加盖公章）</w:t>
      </w:r>
    </w:p>
    <w:p w14:paraId="5BA75D76">
      <w:pPr>
        <w:pStyle w:val="608"/>
        <w:spacing w:before="240" w:after="240"/>
        <w:ind w:firstLine="3570"/>
        <w:rPr>
          <w:rFonts w:hint="eastAsia" w:ascii="宋体" w:hAnsi="宋体" w:eastAsia="宋体" w:cs="宋体"/>
          <w:color w:val="auto"/>
          <w:highlight w:val="none"/>
        </w:rPr>
      </w:pPr>
      <w:r>
        <w:rPr>
          <w:rFonts w:hint="eastAsia" w:ascii="宋体" w:hAnsi="宋体" w:eastAsia="宋体" w:cs="宋体"/>
          <w:color w:val="auto"/>
          <w:highlight w:val="none"/>
        </w:rPr>
        <w:t>单位地址：   </w:t>
      </w:r>
    </w:p>
    <w:p w14:paraId="161BD223">
      <w:pPr>
        <w:pStyle w:val="608"/>
        <w:spacing w:before="240" w:after="240"/>
        <w:ind w:firstLine="3600"/>
        <w:rPr>
          <w:rFonts w:hint="eastAsia" w:ascii="宋体" w:hAnsi="宋体" w:eastAsia="宋体" w:cs="宋体"/>
          <w:color w:val="auto"/>
          <w:highlight w:val="none"/>
        </w:rPr>
      </w:pPr>
      <w:r>
        <w:rPr>
          <w:rFonts w:hint="eastAsia" w:ascii="宋体" w:hAnsi="宋体" w:eastAsia="宋体" w:cs="宋体"/>
          <w:color w:val="auto"/>
          <w:highlight w:val="none"/>
        </w:rPr>
        <w:t>日期：   </w:t>
      </w:r>
    </w:p>
    <w:p w14:paraId="5320B9FA">
      <w:pPr>
        <w:pStyle w:val="608"/>
        <w:spacing w:before="240" w:after="240"/>
        <w:ind w:firstLine="4830"/>
        <w:rPr>
          <w:rFonts w:hint="eastAsia" w:ascii="宋体" w:hAnsi="宋体" w:eastAsia="宋体" w:cs="宋体"/>
          <w:color w:val="auto"/>
          <w:highlight w:val="none"/>
        </w:rPr>
      </w:pPr>
    </w:p>
    <w:p w14:paraId="6C0EE42B">
      <w:pPr>
        <w:pStyle w:val="608"/>
        <w:spacing w:line="360" w:lineRule="auto"/>
        <w:ind w:firstLine="482"/>
        <w:contextualSpacing/>
        <w:rPr>
          <w:rFonts w:hint="eastAsia" w:ascii="宋体" w:hAnsi="宋体" w:eastAsia="宋体" w:cs="宋体"/>
          <w:b/>
          <w:bCs/>
          <w:color w:val="auto"/>
          <w:highlight w:val="none"/>
        </w:rPr>
      </w:pPr>
      <w:bookmarkStart w:id="175" w:name="OLE_LINK6"/>
      <w:r>
        <w:rPr>
          <w:rFonts w:hint="eastAsia" w:ascii="宋体" w:hAnsi="宋体" w:eastAsia="宋体" w:cs="宋体"/>
          <w:b/>
          <w:bCs/>
          <w:color w:val="auto"/>
          <w:highlight w:val="none"/>
        </w:rPr>
        <w:t>注：被授权人非法定代表人的，应提供授权委托书原件、身份证原件的扫描件；被授权人是法定代表人的，应提供法定代表人身份证原件的扫描件。</w:t>
      </w:r>
    </w:p>
    <w:p w14:paraId="0C1F66FC">
      <w:pPr>
        <w:pStyle w:val="608"/>
        <w:spacing w:line="360" w:lineRule="auto"/>
        <w:ind w:firstLine="482"/>
        <w:contextualSpacing/>
        <w:rPr>
          <w:rFonts w:hint="eastAsia" w:ascii="宋体" w:hAnsi="宋体" w:eastAsia="宋体" w:cs="宋体"/>
          <w:b/>
          <w:bCs/>
          <w:color w:val="auto"/>
          <w:highlight w:val="none"/>
        </w:rPr>
      </w:pPr>
    </w:p>
    <w:p w14:paraId="496E20C4">
      <w:pPr>
        <w:spacing w:before="240" w:after="24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法定代表人身份证明书</w:t>
      </w:r>
    </w:p>
    <w:p w14:paraId="2A45FBFF">
      <w:pPr>
        <w:spacing w:line="440" w:lineRule="exact"/>
        <w:ind w:firstLine="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兹证明（姓名）（法定代表人身份证号码：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）担任(供应商名称)</w:t>
      </w:r>
      <w:r>
        <w:rPr>
          <w:rFonts w:hint="eastAsia" w:ascii="宋体" w:hAnsi="宋体" w:eastAsia="宋体" w:cs="宋体"/>
          <w:color w:val="auto"/>
          <w:sz w:val="24"/>
          <w:szCs w:val="24"/>
          <w:highlight w:val="none"/>
          <w:u w:val="single"/>
        </w:rPr>
        <w:t xml:space="preserve">      （职位 ）</w:t>
      </w:r>
      <w:r>
        <w:rPr>
          <w:rFonts w:hint="eastAsia" w:ascii="宋体" w:hAnsi="宋体" w:eastAsia="宋体" w:cs="宋体"/>
          <w:color w:val="auto"/>
          <w:sz w:val="24"/>
          <w:szCs w:val="24"/>
          <w:highlight w:val="none"/>
        </w:rPr>
        <w:t xml:space="preserve">，是我单位的法定代表人。 </w:t>
      </w:r>
    </w:p>
    <w:p w14:paraId="4752E137">
      <w:pPr>
        <w:spacing w:line="440" w:lineRule="exact"/>
        <w:ind w:firstLine="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  </w:t>
      </w:r>
    </w:p>
    <w:p w14:paraId="04A513E5">
      <w:pPr>
        <w:spacing w:line="440" w:lineRule="exact"/>
        <w:rPr>
          <w:rFonts w:hint="eastAsia" w:ascii="宋体" w:hAnsi="宋体" w:eastAsia="宋体" w:cs="宋体"/>
          <w:color w:val="auto"/>
          <w:sz w:val="24"/>
          <w:szCs w:val="24"/>
          <w:highlight w:val="none"/>
        </w:rPr>
      </w:pPr>
    </w:p>
    <w:p w14:paraId="13F5EB9D">
      <w:pPr>
        <w:spacing w:line="440" w:lineRule="exact"/>
        <w:ind w:firstLine="3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法定代表人联系电话：（手机）   </w:t>
      </w:r>
    </w:p>
    <w:p w14:paraId="1BE62E90">
      <w:pPr>
        <w:spacing w:line="440" w:lineRule="exact"/>
        <w:ind w:firstLine="3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   （加盖公章）</w:t>
      </w:r>
    </w:p>
    <w:p w14:paraId="36B8AD6E">
      <w:pPr>
        <w:spacing w:line="440" w:lineRule="exact"/>
        <w:ind w:firstLine="3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   </w:t>
      </w:r>
    </w:p>
    <w:p w14:paraId="29E2F190">
      <w:pPr>
        <w:spacing w:line="440" w:lineRule="exact"/>
        <w:ind w:firstLine="3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bookmarkEnd w:id="175"/>
    <w:p w14:paraId="37043E2C">
      <w:pPr>
        <w:pStyle w:val="609"/>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关于资格证明文件的书面承诺</w:t>
      </w:r>
    </w:p>
    <w:p w14:paraId="29EB2855">
      <w:pPr>
        <w:pStyle w:val="610"/>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50292195">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09DEFBE">
      <w:pPr>
        <w:pStyle w:val="610"/>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3BEE5A5A">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3330EB55">
      <w:pPr>
        <w:pStyle w:val="610"/>
        <w:spacing w:before="320" w:after="32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关于资格证明文件的书面承诺</w:t>
      </w:r>
    </w:p>
    <w:p w14:paraId="2764201F">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5BD5BD61">
      <w:pPr>
        <w:pStyle w:val="610"/>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224E40CD">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32076DFB">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13F053A4">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0DFC39BD">
      <w:pPr>
        <w:pStyle w:val="610"/>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6CDC289">
      <w:pPr>
        <w:pStyle w:val="610"/>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F628912">
      <w:pPr>
        <w:pStyle w:val="610"/>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839F883">
      <w:pPr>
        <w:pStyle w:val="6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投标单位（加盖公章）：   </w:t>
      </w:r>
    </w:p>
    <w:p w14:paraId="7D353037">
      <w:pPr>
        <w:pStyle w:val="610"/>
        <w:spacing w:before="240" w:after="240"/>
        <w:rPr>
          <w:rFonts w:hint="eastAsia" w:ascii="宋体" w:hAnsi="宋体" w:eastAsia="宋体" w:cs="宋体"/>
          <w:color w:val="auto"/>
          <w:highlight w:val="none"/>
        </w:rPr>
      </w:pPr>
    </w:p>
    <w:p w14:paraId="3DF7189C">
      <w:pPr>
        <w:pStyle w:val="611"/>
        <w:ind w:firstLine="48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6" w:name="_Toc175752392"/>
      <w:r>
        <w:rPr>
          <w:rFonts w:hint="eastAsia" w:ascii="宋体" w:hAnsi="宋体" w:eastAsia="宋体" w:cs="宋体"/>
          <w:b/>
          <w:color w:val="auto"/>
          <w:sz w:val="32"/>
          <w:szCs w:val="32"/>
          <w:highlight w:val="none"/>
        </w:rPr>
        <w:t>五、中小企业声明函</w:t>
      </w:r>
      <w:bookmarkEnd w:id="176"/>
    </w:p>
    <w:p w14:paraId="3A8D8316">
      <w:pPr>
        <w:pStyle w:val="612"/>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2FFE638E">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A55DD66">
      <w:pPr>
        <w:pStyle w:val="612"/>
        <w:spacing w:before="320" w:after="32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中小企业声明函（服务）</w:t>
      </w:r>
    </w:p>
    <w:p w14:paraId="15798A68">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37E127FE">
      <w:pPr>
        <w:pStyle w:val="612"/>
        <w:spacing w:before="320" w:after="32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w:t>
      </w:r>
    </w:p>
    <w:p w14:paraId="3CB2BF4C">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本公司郑重声明，根据《政府采购促进中小企业发展管理办法》 (财库〔2020〕46号)的规定，本公司参加   （单位名称）的   （项目名称）采购活动，服务全部由符合政策要求的中小企业承接。相关企业的具体情况如下：</w:t>
      </w:r>
    </w:p>
    <w:p w14:paraId="374CA853">
      <w:pPr>
        <w:pStyle w:val="612"/>
        <w:spacing w:line="440" w:lineRule="exact"/>
        <w:ind w:firstLine="480"/>
        <w:rPr>
          <w:rFonts w:hint="eastAsia" w:ascii="宋体" w:hAnsi="宋体" w:eastAsia="宋体" w:cs="宋体"/>
          <w:color w:val="auto"/>
          <w:highlight w:val="none"/>
          <w:u w:val="singl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 （标的名称）</w:t>
      </w:r>
      <w:r>
        <w:rPr>
          <w:rFonts w:hint="eastAsia" w:ascii="宋体" w:hAnsi="宋体" w:eastAsia="宋体" w:cs="宋体"/>
          <w:i/>
          <w:iCs/>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p>
    <w:p w14:paraId="013E5E53">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 </w:t>
      </w:r>
    </w:p>
    <w:p w14:paraId="36CC611E">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 </w:t>
      </w:r>
    </w:p>
    <w:p w14:paraId="57775DD8">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企业名称（盖章）：   </w:t>
      </w:r>
    </w:p>
    <w:p w14:paraId="22291B90">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日期：   </w:t>
      </w:r>
    </w:p>
    <w:p w14:paraId="7E55231E">
      <w:pPr>
        <w:pStyle w:val="612"/>
        <w:spacing w:line="440" w:lineRule="exact"/>
        <w:ind w:firstLine="480"/>
        <w:rPr>
          <w:rFonts w:hint="eastAsia" w:ascii="宋体" w:hAnsi="宋体" w:eastAsia="宋体" w:cs="宋体"/>
          <w:color w:val="auto"/>
          <w:highlight w:val="none"/>
        </w:rPr>
      </w:pPr>
    </w:p>
    <w:p w14:paraId="2A0EB862">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注：供应商对照《关于印发中小企业划型标准规定的通知》（工信部联企业【2011】300号）中的标准，明确标的承接企业所属企业类型。</w:t>
      </w:r>
    </w:p>
    <w:p w14:paraId="4CF440A1">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C35D2E8">
      <w:pPr>
        <w:pStyle w:val="612"/>
        <w:spacing w:line="440" w:lineRule="exact"/>
        <w:ind w:firstLine="480"/>
        <w:rPr>
          <w:rFonts w:hint="eastAsia" w:ascii="宋体" w:hAnsi="宋体" w:eastAsia="宋体" w:cs="宋体"/>
          <w:b/>
          <w:bCs/>
          <w:color w:val="auto"/>
          <w:highlight w:val="none"/>
        </w:rPr>
      </w:pPr>
      <w:r>
        <w:rPr>
          <w:rFonts w:hint="eastAsia" w:ascii="宋体" w:hAnsi="宋体" w:eastAsia="宋体" w:cs="宋体"/>
          <w:color w:val="auto"/>
          <w:highlight w:val="none"/>
        </w:rPr>
        <w:t>2.在服务采购项目中，服务由中小企业承接，即提供服务的人员为中小企业依照《中华人民共和国劳动合同法》订立劳动合同的从业人员。</w:t>
      </w:r>
      <w:r>
        <w:rPr>
          <w:rFonts w:hint="eastAsia" w:ascii="宋体" w:hAnsi="宋体" w:eastAsia="宋体" w:cs="宋体"/>
          <w:b/>
          <w:bCs/>
          <w:color w:val="auto"/>
          <w:highlight w:val="none"/>
        </w:rPr>
        <w:t>服务类项目中供应商若使用退休人员，将不享受相应扶持政策。</w:t>
      </w:r>
    </w:p>
    <w:p w14:paraId="405D39AF">
      <w:pPr>
        <w:pStyle w:val="612"/>
        <w:spacing w:line="44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3.在货物类采购项目中，主要标的物由中小企业制造，即提供制造商为中小企业的相关从业人员、营业收入、资产总额数据。</w:t>
      </w:r>
    </w:p>
    <w:p w14:paraId="02613896">
      <w:pPr>
        <w:pStyle w:val="612"/>
        <w:spacing w:line="440" w:lineRule="exact"/>
        <w:rPr>
          <w:rFonts w:hint="eastAsia" w:ascii="宋体" w:hAnsi="宋体" w:eastAsia="宋体" w:cs="宋体"/>
          <w:color w:val="auto"/>
          <w:highlight w:val="none"/>
        </w:rPr>
      </w:pPr>
    </w:p>
    <w:p w14:paraId="7D74BA8E">
      <w:pPr>
        <w:pStyle w:val="612"/>
        <w:spacing w:line="440" w:lineRule="exact"/>
        <w:rPr>
          <w:rFonts w:hint="eastAsia" w:ascii="宋体" w:hAnsi="宋体" w:eastAsia="宋体" w:cs="宋体"/>
          <w:color w:val="auto"/>
          <w:highlight w:val="none"/>
        </w:rPr>
      </w:pPr>
    </w:p>
    <w:p w14:paraId="4DABCD11">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附：中小企业划型标准规定</w:t>
      </w:r>
    </w:p>
    <w:p w14:paraId="3628EAB9">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3D900D0C">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CBAE461">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5DEAF40">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FB94FB3">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9A077C8">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9FC9145">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5D60CD8">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F357541">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6FA2A8">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97B492">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317AE62">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81DE0B">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E6C3C42">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424B9C4">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D0FF3AF">
      <w:pPr>
        <w:pStyle w:val="6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1A84F2DA">
      <w:pPr>
        <w:pStyle w:val="613"/>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残疾人福利性单位声明函（专门面向中小企业）</w:t>
      </w:r>
    </w:p>
    <w:p w14:paraId="19ACDCC4">
      <w:pPr>
        <w:pStyle w:val="614"/>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342DAE84">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E85E40D">
      <w:pPr>
        <w:pStyle w:val="614"/>
        <w:spacing w:before="320" w:after="32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425970B9">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7D82CEB5">
      <w:pPr>
        <w:pStyle w:val="614"/>
        <w:spacing w:before="320" w:after="32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37F5E199">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466106EE">
      <w:pPr>
        <w:pStyle w:val="614"/>
        <w:spacing w:before="320" w:after="32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w:t>
      </w:r>
    </w:p>
    <w:p w14:paraId="32D27E1C">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1BF99518">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433533C1">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7A95C5F5">
      <w:pPr>
        <w:pStyle w:val="614"/>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0552220">
      <w:pPr>
        <w:pStyle w:val="614"/>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48C7D47">
      <w:pPr>
        <w:pStyle w:val="614"/>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3BB236A">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单位名称（盖章）：   </w:t>
      </w:r>
    </w:p>
    <w:p w14:paraId="0E6CE7B6">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日期：   </w:t>
      </w:r>
    </w:p>
    <w:p w14:paraId="4007C5FD">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19811CFD">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供应商提供的《残疾人福利性单位声明函》与事实不符的，依照《政府采购法》第七十七条第一款的规定追究法律责任。</w:t>
      </w:r>
    </w:p>
    <w:p w14:paraId="5A833521">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4718D5B3">
      <w:pPr>
        <w:pStyle w:val="614"/>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1084A78F">
      <w:pPr>
        <w:pStyle w:val="615"/>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监狱企业的证明文件（专门面向中小企业）</w:t>
      </w:r>
    </w:p>
    <w:p w14:paraId="3B367325">
      <w:pPr>
        <w:pStyle w:val="616"/>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监狱企业的证明文件</w:t>
      </w:r>
    </w:p>
    <w:p w14:paraId="6654F833">
      <w:pPr>
        <w:pStyle w:val="616"/>
        <w:rPr>
          <w:rFonts w:hint="eastAsia" w:ascii="宋体" w:hAnsi="宋体" w:eastAsia="宋体" w:cs="宋体"/>
          <w:color w:val="auto"/>
          <w:highlight w:val="none"/>
        </w:rPr>
      </w:pPr>
    </w:p>
    <w:p w14:paraId="00A84CFE">
      <w:pPr>
        <w:pStyle w:val="616"/>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B58305F">
      <w:pPr>
        <w:pStyle w:val="616"/>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5B9EA5B">
      <w:pPr>
        <w:pStyle w:val="616"/>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793A2E04">
      <w:pPr>
        <w:pStyle w:val="616"/>
        <w:rPr>
          <w:rFonts w:hint="eastAsia" w:ascii="宋体" w:hAnsi="宋体" w:eastAsia="宋体" w:cs="宋体"/>
          <w:color w:val="auto"/>
          <w:highlight w:val="none"/>
        </w:rPr>
      </w:pPr>
    </w:p>
    <w:p w14:paraId="4D6BF26E">
      <w:pPr>
        <w:pStyle w:val="616"/>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C1E9C56">
      <w:pPr>
        <w:pStyle w:val="619"/>
        <w:outlineLvl w:val="1"/>
        <w:rPr>
          <w:rFonts w:hint="eastAsia" w:ascii="宋体" w:hAnsi="宋体" w:eastAsia="宋体" w:cs="宋体"/>
          <w:color w:val="auto"/>
          <w:highlight w:val="none"/>
        </w:rPr>
        <w:sectPr>
          <w:pgSz w:w="11906" w:h="16838"/>
          <w:pgMar w:top="1191" w:right="1191" w:bottom="1191" w:left="1191" w:header="851" w:footer="992" w:gutter="0"/>
          <w:cols w:space="720" w:num="1"/>
          <w:titlePg/>
          <w:docGrid w:linePitch="360" w:charSpace="0"/>
        </w:sectPr>
      </w:pPr>
    </w:p>
    <w:p w14:paraId="1ED7BE12">
      <w:pPr>
        <w:pStyle w:val="619"/>
        <w:outlineLvl w:val="1"/>
        <w:rPr>
          <w:rFonts w:hint="eastAsia" w:ascii="宋体" w:hAnsi="宋体" w:eastAsia="宋体" w:cs="宋体"/>
          <w:color w:val="auto"/>
          <w:highlight w:val="none"/>
        </w:rPr>
      </w:pPr>
      <w:bookmarkStart w:id="177" w:name="_Toc175752393"/>
      <w:r>
        <w:rPr>
          <w:rFonts w:hint="eastAsia" w:ascii="宋体" w:hAnsi="宋体" w:eastAsia="宋体" w:cs="宋体"/>
          <w:b/>
          <w:color w:val="auto"/>
          <w:sz w:val="32"/>
          <w:highlight w:val="none"/>
        </w:rPr>
        <w:t>六、第四章项目需求中实质性要求响应对照表</w:t>
      </w:r>
      <w:bookmarkEnd w:id="177"/>
    </w:p>
    <w:p w14:paraId="5C5DEE98">
      <w:pPr>
        <w:pStyle w:val="620"/>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4AF9F94A">
      <w:pPr>
        <w:pStyle w:val="620"/>
        <w:spacing w:before="400" w:after="400" w:line="300" w:lineRule="auto"/>
        <w:jc w:val="center"/>
        <w:rPr>
          <w:rFonts w:hint="eastAsia" w:ascii="宋体" w:hAnsi="宋体" w:eastAsia="宋体" w:cs="宋体"/>
          <w:b/>
          <w:bCs/>
          <w:color w:val="auto"/>
          <w:sz w:val="40"/>
          <w:szCs w:val="40"/>
          <w:highlight w:val="none"/>
        </w:rPr>
      </w:pPr>
      <w:bookmarkStart w:id="178" w:name="_Hlk162955391"/>
      <w:bookmarkStart w:id="179" w:name="_Hlk173957647"/>
      <w:r>
        <w:rPr>
          <w:rFonts w:hint="eastAsia" w:ascii="宋体" w:hAnsi="宋体" w:eastAsia="宋体" w:cs="宋体"/>
          <w:b/>
          <w:bCs/>
          <w:color w:val="auto"/>
          <w:sz w:val="40"/>
          <w:szCs w:val="40"/>
          <w:highlight w:val="none"/>
        </w:rPr>
        <w:t xml:space="preserve">第四章项目需求中实质性要求响应对照表 </w:t>
      </w:r>
    </w:p>
    <w:p w14:paraId="1ABF53D6">
      <w:pPr>
        <w:pStyle w:val="62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bl>
      <w:tblPr>
        <w:tblStyle w:val="28"/>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85"/>
        <w:gridCol w:w="7203"/>
        <w:gridCol w:w="897"/>
      </w:tblGrid>
      <w:tr w14:paraId="12486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915" w:type="dxa"/>
            <w:noWrap w:val="0"/>
            <w:tcMar>
              <w:top w:w="0" w:type="dxa"/>
              <w:left w:w="0" w:type="dxa"/>
              <w:bottom w:w="0" w:type="dxa"/>
              <w:right w:w="0" w:type="dxa"/>
            </w:tcMar>
            <w:vAlign w:val="center"/>
          </w:tcPr>
          <w:p w14:paraId="7D830063">
            <w:pPr>
              <w:pStyle w:val="62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7515" w:type="dxa"/>
            <w:noWrap w:val="0"/>
            <w:tcMar>
              <w:top w:w="0" w:type="dxa"/>
              <w:left w:w="0" w:type="dxa"/>
              <w:bottom w:w="0" w:type="dxa"/>
              <w:right w:w="0" w:type="dxa"/>
            </w:tcMar>
            <w:vAlign w:val="center"/>
          </w:tcPr>
          <w:p w14:paraId="1B53BC17">
            <w:pPr>
              <w:pStyle w:val="620"/>
              <w:jc w:val="center"/>
              <w:rPr>
                <w:rFonts w:hint="eastAsia" w:ascii="宋体" w:hAnsi="宋体" w:eastAsia="宋体" w:cs="宋体"/>
                <w:color w:val="auto"/>
                <w:highlight w:val="none"/>
              </w:rPr>
            </w:pPr>
            <w:r>
              <w:rPr>
                <w:rFonts w:hint="eastAsia" w:ascii="宋体" w:hAnsi="宋体" w:eastAsia="宋体" w:cs="宋体"/>
                <w:color w:val="auto"/>
                <w:highlight w:val="none"/>
              </w:rPr>
              <w:t>第四章项目需求中的实质性要求（即斜体且有下划线部分，每条详细列出）</w:t>
            </w:r>
          </w:p>
        </w:tc>
        <w:tc>
          <w:tcPr>
            <w:tcW w:w="915" w:type="dxa"/>
            <w:noWrap w:val="0"/>
            <w:tcMar>
              <w:top w:w="0" w:type="dxa"/>
              <w:left w:w="0" w:type="dxa"/>
              <w:bottom w:w="0" w:type="dxa"/>
              <w:right w:w="0" w:type="dxa"/>
            </w:tcMar>
            <w:vAlign w:val="center"/>
          </w:tcPr>
          <w:p w14:paraId="4C552155">
            <w:pPr>
              <w:pStyle w:val="620"/>
              <w:jc w:val="center"/>
              <w:rPr>
                <w:rFonts w:hint="eastAsia" w:ascii="宋体" w:hAnsi="宋体" w:eastAsia="宋体" w:cs="宋体"/>
                <w:color w:val="auto"/>
                <w:highlight w:val="none"/>
              </w:rPr>
            </w:pPr>
            <w:r>
              <w:rPr>
                <w:rFonts w:hint="eastAsia" w:ascii="宋体" w:hAnsi="宋体" w:eastAsia="宋体" w:cs="宋体"/>
                <w:color w:val="auto"/>
                <w:highlight w:val="none"/>
              </w:rPr>
              <w:t>是否响应（填是或者否）</w:t>
            </w:r>
            <w:bookmarkEnd w:id="178"/>
          </w:p>
        </w:tc>
      </w:tr>
    </w:tbl>
    <w:p w14:paraId="110DC28A">
      <w:pPr>
        <w:pStyle w:val="620"/>
        <w:rPr>
          <w:rFonts w:hint="eastAsia" w:ascii="宋体" w:hAnsi="宋体" w:eastAsia="宋体" w:cs="宋体"/>
          <w:color w:val="auto"/>
          <w:highlight w:val="none"/>
        </w:rPr>
      </w:pPr>
    </w:p>
    <w:p w14:paraId="1C0DC6B5">
      <w:pPr>
        <w:pStyle w:val="621"/>
        <w:outlineLvl w:val="1"/>
        <w:rPr>
          <w:rFonts w:hint="eastAsia" w:ascii="宋体" w:hAnsi="宋体" w:eastAsia="宋体" w:cs="宋体"/>
          <w:color w:val="auto"/>
          <w:highlight w:val="none"/>
        </w:rPr>
      </w:pPr>
    </w:p>
    <w:p w14:paraId="60A32D29">
      <w:pPr>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45A1AC68">
      <w:pPr>
        <w:spacing w:line="440" w:lineRule="exact"/>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如有缺项（由此造成符合性审查不通过的，由投标人承担后果），投标人自行补充。</w:t>
      </w:r>
    </w:p>
    <w:p w14:paraId="1693C3E0">
      <w:pPr>
        <w:pStyle w:val="621"/>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79"/>
      <w:bookmarkStart w:id="180" w:name="_Toc175752394"/>
      <w:r>
        <w:rPr>
          <w:rFonts w:hint="eastAsia" w:ascii="宋体" w:hAnsi="宋体" w:eastAsia="宋体" w:cs="宋体"/>
          <w:b/>
          <w:color w:val="auto"/>
          <w:sz w:val="32"/>
          <w:highlight w:val="none"/>
        </w:rPr>
        <w:t>七、服务方案</w:t>
      </w:r>
      <w:bookmarkEnd w:id="180"/>
    </w:p>
    <w:p w14:paraId="4FDD7E00">
      <w:pPr>
        <w:pStyle w:val="618"/>
        <w:keepNext/>
        <w:keepLines/>
        <w:spacing w:before="260" w:after="260" w:line="415"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服务方案</w:t>
      </w:r>
    </w:p>
    <w:p w14:paraId="1B7F5FB0">
      <w:pPr>
        <w:pStyle w:val="618"/>
        <w:spacing w:line="360" w:lineRule="auto"/>
        <w:ind w:firstLine="480"/>
        <w:jc w:val="left"/>
        <w:rPr>
          <w:rFonts w:hint="eastAsia" w:ascii="宋体" w:hAnsi="宋体" w:eastAsia="宋体" w:cs="宋体"/>
          <w:color w:val="auto"/>
          <w:sz w:val="24"/>
          <w:szCs w:val="24"/>
          <w:highlight w:val="none"/>
        </w:rPr>
      </w:pPr>
    </w:p>
    <w:p w14:paraId="7FC86148">
      <w:pPr>
        <w:pStyle w:val="618"/>
        <w:spacing w:line="360" w:lineRule="auto"/>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（服务方案的内容编排等由投标人自定）</w:t>
      </w:r>
    </w:p>
    <w:p w14:paraId="492081DC">
      <w:pPr>
        <w:pStyle w:val="62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81" w:name="_Toc175752395"/>
      <w:r>
        <w:rPr>
          <w:rFonts w:hint="eastAsia" w:ascii="宋体" w:hAnsi="宋体" w:eastAsia="宋体" w:cs="宋体"/>
          <w:b/>
          <w:color w:val="auto"/>
          <w:sz w:val="32"/>
          <w:highlight w:val="none"/>
        </w:rPr>
        <w:t>八、投标人情况介绍</w:t>
      </w:r>
      <w:bookmarkEnd w:id="181"/>
    </w:p>
    <w:p w14:paraId="43F0FA1D">
      <w:pPr>
        <w:pStyle w:val="626"/>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类似业绩一览表</w:t>
      </w:r>
    </w:p>
    <w:p w14:paraId="4DE544FD">
      <w:pPr>
        <w:pStyle w:val="627"/>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468958BA">
      <w:pPr>
        <w:pStyle w:val="628"/>
        <w:outlineLvl w:val="2"/>
        <w:rPr>
          <w:rFonts w:hint="eastAsia" w:ascii="宋体" w:hAnsi="宋体" w:eastAsia="宋体" w:cs="宋体"/>
          <w:color w:val="auto"/>
          <w:highlight w:val="none"/>
        </w:rPr>
      </w:pPr>
      <w:bookmarkStart w:id="182" w:name="xh"/>
      <w:bookmarkEnd w:id="182"/>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投标人获得的相关证书</w:t>
      </w:r>
    </w:p>
    <w:p w14:paraId="334DF283">
      <w:pPr>
        <w:pStyle w:val="629"/>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2E409B05">
      <w:pPr>
        <w:pStyle w:val="62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79779CB9">
      <w:pPr>
        <w:pStyle w:val="629"/>
        <w:spacing w:before="240" w:after="240"/>
        <w:rPr>
          <w:rFonts w:hint="eastAsia" w:ascii="宋体" w:hAnsi="宋体" w:eastAsia="宋体" w:cs="宋体"/>
          <w:color w:val="auto"/>
          <w:highlight w:val="none"/>
        </w:rPr>
      </w:pPr>
      <w:bookmarkStart w:id="183" w:name="MC_0"/>
      <w:bookmarkEnd w:id="183"/>
      <w:r>
        <w:rPr>
          <w:rFonts w:hint="eastAsia" w:ascii="宋体" w:hAnsi="宋体" w:eastAsia="宋体" w:cs="宋体"/>
          <w:color w:val="auto"/>
          <w:highlight w:val="none"/>
        </w:rPr>
        <w:t> </w:t>
      </w:r>
    </w:p>
    <w:p w14:paraId="128EE62F">
      <w:pPr>
        <w:pStyle w:val="62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08E5019B">
      <w:pPr>
        <w:pStyle w:val="630"/>
        <w:outlineLvl w:val="2"/>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highlight w:val="none"/>
        </w:rPr>
        <w:t xml:space="preserve">  投标人获得的相关奖项</w:t>
      </w:r>
    </w:p>
    <w:p w14:paraId="2E81BC85">
      <w:pPr>
        <w:pStyle w:val="631"/>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01E8E904">
      <w:pPr>
        <w:pStyle w:val="63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bookmarkStart w:id="184" w:name="ChaKan_2"/>
      <w:bookmarkEnd w:id="184"/>
      <w:bookmarkStart w:id="185" w:name="MC_1"/>
      <w:bookmarkEnd w:id="185"/>
    </w:p>
    <w:p w14:paraId="14B7AED9">
      <w:pPr>
        <w:pStyle w:val="631"/>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w:t>
      </w:r>
    </w:p>
    <w:p w14:paraId="11C3CD76">
      <w:pPr>
        <w:pStyle w:val="633"/>
        <w:spacing w:before="400" w:after="400" w:line="30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67"/>
      <w:bookmarkStart w:id="186" w:name="_Toc175752397"/>
      <w:r>
        <w:rPr>
          <w:rFonts w:hint="eastAsia" w:ascii="宋体" w:hAnsi="宋体" w:eastAsia="宋体" w:cs="宋体"/>
          <w:b/>
          <w:color w:val="auto"/>
          <w:sz w:val="32"/>
          <w:highlight w:val="none"/>
        </w:rPr>
        <w:t>九、技术参数响应及偏离表</w:t>
      </w:r>
      <w:bookmarkEnd w:id="186"/>
    </w:p>
    <w:p w14:paraId="6F3DC07B">
      <w:pPr>
        <w:pStyle w:val="633"/>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54254252">
      <w:pPr>
        <w:pStyle w:val="633"/>
        <w:spacing w:before="320" w:after="320" w:line="30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技术参数响应及偏离表 </w:t>
      </w:r>
    </w:p>
    <w:p w14:paraId="0E4347C1">
      <w:pPr>
        <w:pStyle w:val="6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bl>
      <w:tblPr>
        <w:tblStyle w:val="28"/>
        <w:tblW w:w="8715"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4"/>
        <w:gridCol w:w="1080"/>
        <w:gridCol w:w="2272"/>
        <w:gridCol w:w="2074"/>
        <w:gridCol w:w="950"/>
        <w:gridCol w:w="1821"/>
        <w:gridCol w:w="6"/>
        <w:gridCol w:w="6"/>
        <w:gridCol w:w="6"/>
        <w:gridCol w:w="16"/>
      </w:tblGrid>
      <w:tr w14:paraId="65A8694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3"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D86ECAF">
            <w:pPr>
              <w:pStyle w:val="633"/>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25502D">
            <w:pPr>
              <w:pStyle w:val="633"/>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B95A09F">
            <w:pPr>
              <w:pStyle w:val="633"/>
              <w:jc w:val="center"/>
              <w:rPr>
                <w:rFonts w:hint="eastAsia" w:ascii="宋体" w:hAnsi="宋体" w:eastAsia="宋体" w:cs="宋体"/>
                <w:color w:val="auto"/>
                <w:highlight w:val="none"/>
              </w:rPr>
            </w:pPr>
            <w:r>
              <w:rPr>
                <w:rFonts w:hint="eastAsia" w:ascii="宋体" w:hAnsi="宋体" w:eastAsia="宋体" w:cs="宋体"/>
                <w:color w:val="auto"/>
                <w:highlight w:val="none"/>
              </w:rPr>
              <w:t>招标服务或货物的技术性能</w:t>
            </w: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BBEC7EF">
            <w:pPr>
              <w:pStyle w:val="633"/>
              <w:jc w:val="center"/>
              <w:rPr>
                <w:rFonts w:hint="eastAsia" w:ascii="宋体" w:hAnsi="宋体" w:eastAsia="宋体" w:cs="宋体"/>
                <w:color w:val="auto"/>
                <w:highlight w:val="none"/>
              </w:rPr>
            </w:pPr>
            <w:r>
              <w:rPr>
                <w:rFonts w:hint="eastAsia" w:ascii="宋体" w:hAnsi="宋体" w:eastAsia="宋体" w:cs="宋体"/>
                <w:color w:val="auto"/>
                <w:highlight w:val="none"/>
              </w:rPr>
              <w:t>参与投标的服务或货物的技术性能</w:t>
            </w:r>
          </w:p>
        </w:tc>
        <w:tc>
          <w:tcPr>
            <w:tcW w:w="95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5634CE">
            <w:pPr>
              <w:pStyle w:val="633"/>
              <w:jc w:val="center"/>
              <w:rPr>
                <w:rFonts w:hint="eastAsia" w:ascii="宋体" w:hAnsi="宋体" w:eastAsia="宋体" w:cs="宋体"/>
                <w:color w:val="auto"/>
                <w:highlight w:val="none"/>
              </w:rPr>
            </w:pPr>
            <w:r>
              <w:rPr>
                <w:rFonts w:hint="eastAsia" w:ascii="宋体" w:hAnsi="宋体" w:eastAsia="宋体" w:cs="宋体"/>
                <w:color w:val="auto"/>
                <w:highlight w:val="none"/>
              </w:rPr>
              <w:t>有无偏离</w:t>
            </w: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7E028E54">
            <w:pPr>
              <w:pStyle w:val="633"/>
              <w:rPr>
                <w:rFonts w:hint="eastAsia" w:ascii="宋体" w:hAnsi="宋体" w:eastAsia="宋体" w:cs="宋体"/>
                <w:color w:val="auto"/>
                <w:highlight w:val="none"/>
              </w:rPr>
            </w:pPr>
            <w:r>
              <w:rPr>
                <w:rFonts w:hint="eastAsia" w:ascii="宋体" w:hAnsi="宋体" w:eastAsia="宋体" w:cs="宋体"/>
                <w:color w:val="auto"/>
                <w:highlight w:val="none"/>
              </w:rPr>
              <w:t>偏离内容及原因</w:t>
            </w:r>
          </w:p>
        </w:tc>
        <w:tc>
          <w:tcPr>
            <w:tcW w:w="0" w:type="auto"/>
            <w:noWrap w:val="0"/>
            <w:vAlign w:val="center"/>
          </w:tcPr>
          <w:p w14:paraId="06EF13CA">
            <w:pPr>
              <w:pStyle w:val="633"/>
              <w:rPr>
                <w:rFonts w:hint="eastAsia" w:ascii="宋体" w:hAnsi="宋体" w:eastAsia="宋体" w:cs="宋体"/>
                <w:color w:val="auto"/>
                <w:highlight w:val="none"/>
              </w:rPr>
            </w:pPr>
          </w:p>
        </w:tc>
        <w:tc>
          <w:tcPr>
            <w:tcW w:w="0" w:type="auto"/>
            <w:noWrap w:val="0"/>
            <w:vAlign w:val="center"/>
          </w:tcPr>
          <w:p w14:paraId="2397C01E">
            <w:pPr>
              <w:pStyle w:val="633"/>
              <w:rPr>
                <w:rFonts w:hint="eastAsia" w:ascii="宋体" w:hAnsi="宋体" w:eastAsia="宋体" w:cs="宋体"/>
                <w:color w:val="auto"/>
                <w:highlight w:val="none"/>
              </w:rPr>
            </w:pPr>
          </w:p>
        </w:tc>
        <w:tc>
          <w:tcPr>
            <w:tcW w:w="0" w:type="auto"/>
            <w:noWrap w:val="0"/>
            <w:vAlign w:val="center"/>
          </w:tcPr>
          <w:p w14:paraId="775487AD">
            <w:pPr>
              <w:pStyle w:val="633"/>
              <w:rPr>
                <w:rFonts w:hint="eastAsia" w:ascii="宋体" w:hAnsi="宋体" w:eastAsia="宋体" w:cs="宋体"/>
                <w:color w:val="auto"/>
                <w:highlight w:val="none"/>
              </w:rPr>
            </w:pPr>
          </w:p>
        </w:tc>
        <w:tc>
          <w:tcPr>
            <w:tcW w:w="0" w:type="auto"/>
            <w:noWrap w:val="0"/>
            <w:vAlign w:val="center"/>
          </w:tcPr>
          <w:p w14:paraId="1577F532">
            <w:pPr>
              <w:pStyle w:val="633"/>
              <w:rPr>
                <w:rFonts w:hint="eastAsia" w:ascii="宋体" w:hAnsi="宋体" w:eastAsia="宋体" w:cs="宋体"/>
                <w:color w:val="auto"/>
                <w:highlight w:val="none"/>
              </w:rPr>
            </w:pPr>
          </w:p>
        </w:tc>
      </w:tr>
      <w:tr w14:paraId="0E45678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55" w:hRule="atLeast"/>
        </w:trPr>
        <w:tc>
          <w:tcPr>
            <w:tcW w:w="0" w:type="auto"/>
            <w:gridSpan w:val="10"/>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2A33B41">
            <w:pPr>
              <w:pStyle w:val="633"/>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bl>
    <w:p w14:paraId="1F0287A0">
      <w:pPr>
        <w:pStyle w:val="6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CA495F2">
      <w:pPr>
        <w:pStyle w:val="6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注： </w:t>
      </w:r>
    </w:p>
    <w:p w14:paraId="56D1EE81">
      <w:pPr>
        <w:pStyle w:val="6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1、投标人应根据“技术要求”中的参数要求，对照所投报服务或货物的技术性能进行逐项填写。未标明将默认为无偏离（斜体下划部分除外）。因未标明或表述含糊导致的评标风险将由投标人承担。 </w:t>
      </w:r>
    </w:p>
    <w:p w14:paraId="411AFE20">
      <w:pPr>
        <w:pStyle w:val="6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6D30FB4B">
      <w:pPr>
        <w:pStyle w:val="63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3、表格不够可另接。 </w:t>
      </w:r>
    </w:p>
    <w:p w14:paraId="384349F7">
      <w:pPr>
        <w:spacing w:line="360" w:lineRule="auto"/>
        <w:outlineLvl w:val="1"/>
        <w:rPr>
          <w:rFonts w:hint="eastAsia" w:ascii="宋体" w:hAnsi="宋体" w:eastAsia="宋体" w:cs="宋体"/>
          <w:b/>
          <w:color w:val="auto"/>
          <w:sz w:val="32"/>
          <w:highlight w:val="none"/>
        </w:rPr>
      </w:pPr>
    </w:p>
    <w:p w14:paraId="22237BDB">
      <w:pPr>
        <w:spacing w:line="360" w:lineRule="auto"/>
        <w:rPr>
          <w:rFonts w:hint="eastAsia" w:ascii="宋体" w:hAnsi="宋体" w:eastAsia="宋体" w:cs="宋体"/>
          <w:color w:val="auto"/>
          <w:sz w:val="24"/>
          <w:highlight w:val="none"/>
        </w:rPr>
        <w:sectPr>
          <w:pgSz w:w="11906" w:h="16838"/>
          <w:pgMar w:top="1440" w:right="1466" w:bottom="1440" w:left="1797" w:header="851" w:footer="992" w:gutter="0"/>
          <w:cols w:space="720" w:num="1"/>
          <w:titlePg/>
          <w:docGrid w:linePitch="360" w:charSpace="0"/>
        </w:sectPr>
      </w:pPr>
    </w:p>
    <w:p w14:paraId="4553FDD9">
      <w:pPr>
        <w:pStyle w:val="634"/>
        <w:outlineLvl w:val="1"/>
        <w:rPr>
          <w:rFonts w:hint="eastAsia" w:ascii="宋体" w:hAnsi="宋体" w:eastAsia="宋体" w:cs="宋体"/>
          <w:color w:val="auto"/>
          <w:highlight w:val="none"/>
        </w:rPr>
      </w:pPr>
      <w:bookmarkStart w:id="187" w:name="_Toc175752398"/>
      <w:r>
        <w:rPr>
          <w:rFonts w:hint="eastAsia" w:ascii="宋体" w:hAnsi="宋体" w:eastAsia="宋体" w:cs="宋体"/>
          <w:b/>
          <w:color w:val="auto"/>
          <w:sz w:val="32"/>
          <w:highlight w:val="none"/>
        </w:rPr>
        <w:t>十、商务条款响应及偏离表</w:t>
      </w:r>
      <w:bookmarkEnd w:id="187"/>
    </w:p>
    <w:p w14:paraId="5A2FEDB5">
      <w:pPr>
        <w:pStyle w:val="637"/>
        <w:spacing w:line="440" w:lineRule="exact"/>
        <w:rPr>
          <w:rFonts w:hint="eastAsia" w:ascii="宋体" w:hAnsi="宋体" w:eastAsia="宋体" w:cs="宋体"/>
          <w:color w:val="auto"/>
          <w:spacing w:val="7"/>
          <w:highlight w:val="none"/>
        </w:rPr>
      </w:pPr>
      <w:r>
        <w:rPr>
          <w:rFonts w:hint="eastAsia" w:ascii="宋体" w:hAnsi="宋体" w:eastAsia="宋体" w:cs="宋体"/>
          <w:color w:val="auto"/>
          <w:highlight w:val="none"/>
        </w:rPr>
        <w:t xml:space="preserve">﻿ </w:t>
      </w:r>
    </w:p>
    <w:p w14:paraId="42629BD8">
      <w:pPr>
        <w:pStyle w:val="637"/>
        <w:spacing w:before="320" w:after="320" w:line="30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商务条款响应及偏离表 </w:t>
      </w:r>
    </w:p>
    <w:p w14:paraId="6454FA0D">
      <w:pPr>
        <w:pStyle w:val="6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bl>
      <w:tblPr>
        <w:tblStyle w:val="2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559"/>
        <w:gridCol w:w="2559"/>
        <w:gridCol w:w="806"/>
        <w:gridCol w:w="3061"/>
      </w:tblGrid>
      <w:tr w14:paraId="5567881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A21F444">
            <w:pPr>
              <w:pStyle w:val="637"/>
              <w:jc w:val="center"/>
              <w:rPr>
                <w:rFonts w:hint="eastAsia" w:ascii="宋体" w:hAnsi="宋体" w:eastAsia="宋体" w:cs="宋体"/>
                <w:color w:val="auto"/>
                <w:highlight w:val="none"/>
              </w:rPr>
            </w:pPr>
            <w:r>
              <w:rPr>
                <w:rFonts w:hint="eastAsia" w:ascii="宋体" w:hAnsi="宋体" w:eastAsia="宋体" w:cs="宋体"/>
                <w:color w:val="auto"/>
                <w:highlight w:val="none"/>
              </w:rPr>
              <w:t>项目</w:t>
            </w:r>
          </w:p>
        </w:tc>
        <w:tc>
          <w:tcPr>
            <w:tcW w:w="30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138540F">
            <w:pPr>
              <w:pStyle w:val="637"/>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9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1584ED">
            <w:pPr>
              <w:pStyle w:val="637"/>
              <w:jc w:val="center"/>
              <w:rPr>
                <w:rFonts w:hint="eastAsia" w:ascii="宋体" w:hAnsi="宋体" w:eastAsia="宋体" w:cs="宋体"/>
                <w:color w:val="auto"/>
                <w:highlight w:val="none"/>
              </w:rPr>
            </w:pPr>
            <w:r>
              <w:rPr>
                <w:rFonts w:hint="eastAsia" w:ascii="宋体" w:hAnsi="宋体" w:eastAsia="宋体" w:cs="宋体"/>
                <w:color w:val="auto"/>
                <w:highlight w:val="none"/>
              </w:rPr>
              <w:t>是否响应</w:t>
            </w:r>
          </w:p>
        </w:tc>
        <w:tc>
          <w:tcPr>
            <w:tcW w:w="361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966702E">
            <w:pPr>
              <w:pStyle w:val="637"/>
              <w:jc w:val="center"/>
              <w:rPr>
                <w:rFonts w:hint="eastAsia" w:ascii="宋体" w:hAnsi="宋体" w:eastAsia="宋体" w:cs="宋体"/>
                <w:color w:val="auto"/>
                <w:highlight w:val="none"/>
              </w:rPr>
            </w:pPr>
            <w:r>
              <w:rPr>
                <w:rFonts w:hint="eastAsia" w:ascii="宋体" w:hAnsi="宋体" w:eastAsia="宋体" w:cs="宋体"/>
                <w:color w:val="auto"/>
                <w:highlight w:val="none"/>
              </w:rPr>
              <w:t>投标人的承诺或说明</w:t>
            </w:r>
          </w:p>
        </w:tc>
      </w:tr>
    </w:tbl>
    <w:p w14:paraId="195417E6">
      <w:pPr>
        <w:pStyle w:val="637"/>
        <w:spacing w:before="240" w:after="240"/>
        <w:rPr>
          <w:rFonts w:hint="eastAsia" w:ascii="宋体" w:hAnsi="宋体" w:eastAsia="宋体" w:cs="宋体"/>
          <w:color w:val="auto"/>
          <w:highlight w:val="none"/>
        </w:rPr>
        <w:sectPr>
          <w:pgSz w:w="11906" w:h="16838"/>
          <w:pgMar w:top="1440" w:right="1466" w:bottom="1440" w:left="1797" w:header="851" w:footer="992" w:gutter="0"/>
          <w:cols w:space="720" w:num="1"/>
          <w:titlePg/>
          <w:docGrid w:linePitch="360" w:charSpace="0"/>
        </w:sectPr>
      </w:pPr>
      <w:r>
        <w:rPr>
          <w:rFonts w:hint="eastAsia" w:ascii="宋体" w:hAnsi="宋体" w:eastAsia="宋体" w:cs="宋体"/>
          <w:color w:val="auto"/>
          <w:highlight w:val="none"/>
        </w:rPr>
        <w:t xml:space="preserve">  </w:t>
      </w:r>
    </w:p>
    <w:p w14:paraId="5E81C826">
      <w:pPr>
        <w:spacing w:line="360" w:lineRule="auto"/>
        <w:outlineLvl w:val="1"/>
        <w:rPr>
          <w:rFonts w:hint="eastAsia" w:ascii="宋体" w:hAnsi="宋体" w:eastAsia="宋体" w:cs="宋体"/>
          <w:b/>
          <w:color w:val="auto"/>
          <w:sz w:val="32"/>
          <w:highlight w:val="none"/>
        </w:rPr>
      </w:pPr>
      <w:bookmarkStart w:id="188" w:name="_Toc13159"/>
      <w:bookmarkStart w:id="189" w:name="_Toc256000027"/>
      <w:bookmarkStart w:id="190" w:name="_Toc1668016937"/>
      <w:r>
        <w:rPr>
          <w:rFonts w:hint="eastAsia" w:ascii="宋体" w:hAnsi="宋体" w:eastAsia="宋体" w:cs="宋体"/>
          <w:b/>
          <w:color w:val="auto"/>
          <w:sz w:val="32"/>
          <w:highlight w:val="none"/>
        </w:rPr>
        <w:t>十一、</w:t>
      </w:r>
      <w:bookmarkEnd w:id="188"/>
      <w:bookmarkEnd w:id="189"/>
      <w:r>
        <w:rPr>
          <w:rFonts w:hint="eastAsia" w:ascii="宋体" w:hAnsi="宋体" w:eastAsia="宋体" w:cs="宋体"/>
          <w:b/>
          <w:color w:val="auto"/>
          <w:sz w:val="32"/>
          <w:highlight w:val="none"/>
        </w:rPr>
        <w:t>项目负责人及其他人员介绍</w:t>
      </w:r>
      <w:bookmarkEnd w:id="190"/>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0"/>
        <w:gridCol w:w="1800"/>
        <w:gridCol w:w="1260"/>
        <w:gridCol w:w="720"/>
        <w:gridCol w:w="1260"/>
        <w:gridCol w:w="1260"/>
        <w:gridCol w:w="900"/>
        <w:gridCol w:w="1980"/>
      </w:tblGrid>
      <w:tr w14:paraId="27FBB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jc w:val="center"/>
        </w:trPr>
        <w:tc>
          <w:tcPr>
            <w:tcW w:w="540" w:type="dxa"/>
            <w:noWrap w:val="0"/>
            <w:vAlign w:val="center"/>
          </w:tcPr>
          <w:p w14:paraId="5BF672B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00" w:type="dxa"/>
            <w:noWrap w:val="0"/>
            <w:vAlign w:val="center"/>
          </w:tcPr>
          <w:p w14:paraId="2E52B26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岗位</w:t>
            </w:r>
          </w:p>
        </w:tc>
        <w:tc>
          <w:tcPr>
            <w:tcW w:w="1260" w:type="dxa"/>
            <w:noWrap w:val="0"/>
            <w:vAlign w:val="center"/>
          </w:tcPr>
          <w:p w14:paraId="0349DBE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c>
          <w:tcPr>
            <w:tcW w:w="720" w:type="dxa"/>
            <w:noWrap w:val="0"/>
            <w:vAlign w:val="center"/>
          </w:tcPr>
          <w:p w14:paraId="47E262B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1260" w:type="dxa"/>
            <w:noWrap w:val="0"/>
            <w:vAlign w:val="center"/>
          </w:tcPr>
          <w:p w14:paraId="0E2C71E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w:t>
            </w:r>
          </w:p>
        </w:tc>
        <w:tc>
          <w:tcPr>
            <w:tcW w:w="1260" w:type="dxa"/>
            <w:noWrap w:val="0"/>
            <w:vAlign w:val="center"/>
          </w:tcPr>
          <w:p w14:paraId="7066075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学历</w:t>
            </w:r>
          </w:p>
        </w:tc>
        <w:tc>
          <w:tcPr>
            <w:tcW w:w="900" w:type="dxa"/>
            <w:noWrap w:val="0"/>
            <w:vAlign w:val="center"/>
          </w:tcPr>
          <w:p w14:paraId="5CD0482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证书名称</w:t>
            </w:r>
          </w:p>
        </w:tc>
        <w:tc>
          <w:tcPr>
            <w:tcW w:w="1980" w:type="dxa"/>
            <w:noWrap w:val="0"/>
            <w:vAlign w:val="center"/>
          </w:tcPr>
          <w:p w14:paraId="53FA932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主要资历、工作年限及承担过的管理项目</w:t>
            </w:r>
          </w:p>
        </w:tc>
      </w:tr>
      <w:tr w14:paraId="36274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3F7647A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00" w:type="dxa"/>
            <w:noWrap w:val="0"/>
            <w:vAlign w:val="center"/>
          </w:tcPr>
          <w:p w14:paraId="1B2E7B06">
            <w:pPr>
              <w:jc w:val="center"/>
              <w:rPr>
                <w:rFonts w:hint="eastAsia" w:ascii="宋体" w:hAnsi="宋体" w:eastAsia="宋体" w:cs="宋体"/>
                <w:color w:val="auto"/>
                <w:sz w:val="24"/>
                <w:szCs w:val="24"/>
                <w:highlight w:val="none"/>
              </w:rPr>
            </w:pPr>
          </w:p>
        </w:tc>
        <w:tc>
          <w:tcPr>
            <w:tcW w:w="1260" w:type="dxa"/>
            <w:noWrap w:val="0"/>
            <w:vAlign w:val="center"/>
          </w:tcPr>
          <w:p w14:paraId="24A80197">
            <w:pPr>
              <w:jc w:val="center"/>
              <w:rPr>
                <w:rFonts w:hint="eastAsia" w:ascii="宋体" w:hAnsi="宋体" w:eastAsia="宋体" w:cs="宋体"/>
                <w:color w:val="auto"/>
                <w:sz w:val="24"/>
                <w:szCs w:val="24"/>
                <w:highlight w:val="none"/>
              </w:rPr>
            </w:pPr>
          </w:p>
        </w:tc>
        <w:tc>
          <w:tcPr>
            <w:tcW w:w="720" w:type="dxa"/>
            <w:noWrap w:val="0"/>
            <w:vAlign w:val="center"/>
          </w:tcPr>
          <w:p w14:paraId="689F7008">
            <w:pPr>
              <w:jc w:val="center"/>
              <w:rPr>
                <w:rFonts w:hint="eastAsia" w:ascii="宋体" w:hAnsi="宋体" w:eastAsia="宋体" w:cs="宋体"/>
                <w:color w:val="auto"/>
                <w:sz w:val="24"/>
                <w:szCs w:val="24"/>
                <w:highlight w:val="none"/>
              </w:rPr>
            </w:pPr>
          </w:p>
        </w:tc>
        <w:tc>
          <w:tcPr>
            <w:tcW w:w="1260" w:type="dxa"/>
            <w:noWrap w:val="0"/>
            <w:vAlign w:val="center"/>
          </w:tcPr>
          <w:p w14:paraId="42E742B2">
            <w:pPr>
              <w:jc w:val="center"/>
              <w:rPr>
                <w:rFonts w:hint="eastAsia" w:ascii="宋体" w:hAnsi="宋体" w:eastAsia="宋体" w:cs="宋体"/>
                <w:color w:val="auto"/>
                <w:sz w:val="24"/>
                <w:szCs w:val="24"/>
                <w:highlight w:val="none"/>
              </w:rPr>
            </w:pPr>
          </w:p>
        </w:tc>
        <w:tc>
          <w:tcPr>
            <w:tcW w:w="1260" w:type="dxa"/>
            <w:noWrap w:val="0"/>
            <w:vAlign w:val="center"/>
          </w:tcPr>
          <w:p w14:paraId="6E153997">
            <w:pPr>
              <w:jc w:val="center"/>
              <w:rPr>
                <w:rFonts w:hint="eastAsia" w:ascii="宋体" w:hAnsi="宋体" w:eastAsia="宋体" w:cs="宋体"/>
                <w:color w:val="auto"/>
                <w:sz w:val="24"/>
                <w:szCs w:val="24"/>
                <w:highlight w:val="none"/>
              </w:rPr>
            </w:pPr>
          </w:p>
        </w:tc>
        <w:tc>
          <w:tcPr>
            <w:tcW w:w="900" w:type="dxa"/>
            <w:noWrap w:val="0"/>
            <w:vAlign w:val="center"/>
          </w:tcPr>
          <w:p w14:paraId="5ED50FA0">
            <w:pPr>
              <w:jc w:val="center"/>
              <w:rPr>
                <w:rFonts w:hint="eastAsia" w:ascii="宋体" w:hAnsi="宋体" w:eastAsia="宋体" w:cs="宋体"/>
                <w:color w:val="auto"/>
                <w:sz w:val="24"/>
                <w:szCs w:val="24"/>
                <w:highlight w:val="none"/>
              </w:rPr>
            </w:pPr>
          </w:p>
        </w:tc>
        <w:tc>
          <w:tcPr>
            <w:tcW w:w="1980" w:type="dxa"/>
            <w:noWrap w:val="0"/>
            <w:vAlign w:val="center"/>
          </w:tcPr>
          <w:p w14:paraId="7321FE83">
            <w:pPr>
              <w:jc w:val="center"/>
              <w:rPr>
                <w:rFonts w:hint="eastAsia" w:ascii="宋体" w:hAnsi="宋体" w:eastAsia="宋体" w:cs="宋体"/>
                <w:color w:val="auto"/>
                <w:sz w:val="24"/>
                <w:szCs w:val="24"/>
                <w:highlight w:val="none"/>
              </w:rPr>
            </w:pPr>
          </w:p>
        </w:tc>
      </w:tr>
      <w:tr w14:paraId="2BDBE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50C762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00" w:type="dxa"/>
            <w:noWrap w:val="0"/>
            <w:vAlign w:val="center"/>
          </w:tcPr>
          <w:p w14:paraId="2246C81B">
            <w:pPr>
              <w:jc w:val="center"/>
              <w:rPr>
                <w:rFonts w:hint="eastAsia" w:ascii="宋体" w:hAnsi="宋体" w:eastAsia="宋体" w:cs="宋体"/>
                <w:color w:val="auto"/>
                <w:sz w:val="24"/>
                <w:szCs w:val="24"/>
                <w:highlight w:val="none"/>
              </w:rPr>
            </w:pPr>
          </w:p>
        </w:tc>
        <w:tc>
          <w:tcPr>
            <w:tcW w:w="1260" w:type="dxa"/>
            <w:noWrap w:val="0"/>
            <w:vAlign w:val="center"/>
          </w:tcPr>
          <w:p w14:paraId="15F84DE2">
            <w:pPr>
              <w:jc w:val="center"/>
              <w:rPr>
                <w:rFonts w:hint="eastAsia" w:ascii="宋体" w:hAnsi="宋体" w:eastAsia="宋体" w:cs="宋体"/>
                <w:color w:val="auto"/>
                <w:sz w:val="24"/>
                <w:szCs w:val="24"/>
                <w:highlight w:val="none"/>
              </w:rPr>
            </w:pPr>
          </w:p>
        </w:tc>
        <w:tc>
          <w:tcPr>
            <w:tcW w:w="720" w:type="dxa"/>
            <w:noWrap w:val="0"/>
            <w:vAlign w:val="center"/>
          </w:tcPr>
          <w:p w14:paraId="0182E763">
            <w:pPr>
              <w:jc w:val="center"/>
              <w:rPr>
                <w:rFonts w:hint="eastAsia" w:ascii="宋体" w:hAnsi="宋体" w:eastAsia="宋体" w:cs="宋体"/>
                <w:color w:val="auto"/>
                <w:sz w:val="24"/>
                <w:szCs w:val="24"/>
                <w:highlight w:val="none"/>
              </w:rPr>
            </w:pPr>
          </w:p>
        </w:tc>
        <w:tc>
          <w:tcPr>
            <w:tcW w:w="1260" w:type="dxa"/>
            <w:noWrap w:val="0"/>
            <w:vAlign w:val="center"/>
          </w:tcPr>
          <w:p w14:paraId="66D3F3F0">
            <w:pPr>
              <w:jc w:val="center"/>
              <w:rPr>
                <w:rFonts w:hint="eastAsia" w:ascii="宋体" w:hAnsi="宋体" w:eastAsia="宋体" w:cs="宋体"/>
                <w:color w:val="auto"/>
                <w:sz w:val="24"/>
                <w:szCs w:val="24"/>
                <w:highlight w:val="none"/>
              </w:rPr>
            </w:pPr>
          </w:p>
        </w:tc>
        <w:tc>
          <w:tcPr>
            <w:tcW w:w="1260" w:type="dxa"/>
            <w:noWrap w:val="0"/>
            <w:vAlign w:val="center"/>
          </w:tcPr>
          <w:p w14:paraId="11389B1D">
            <w:pPr>
              <w:jc w:val="center"/>
              <w:rPr>
                <w:rFonts w:hint="eastAsia" w:ascii="宋体" w:hAnsi="宋体" w:eastAsia="宋体" w:cs="宋体"/>
                <w:color w:val="auto"/>
                <w:sz w:val="24"/>
                <w:szCs w:val="24"/>
                <w:highlight w:val="none"/>
              </w:rPr>
            </w:pPr>
          </w:p>
        </w:tc>
        <w:tc>
          <w:tcPr>
            <w:tcW w:w="900" w:type="dxa"/>
            <w:noWrap w:val="0"/>
            <w:vAlign w:val="center"/>
          </w:tcPr>
          <w:p w14:paraId="6EB2AD6C">
            <w:pPr>
              <w:jc w:val="center"/>
              <w:rPr>
                <w:rFonts w:hint="eastAsia" w:ascii="宋体" w:hAnsi="宋体" w:eastAsia="宋体" w:cs="宋体"/>
                <w:color w:val="auto"/>
                <w:sz w:val="24"/>
                <w:szCs w:val="24"/>
                <w:highlight w:val="none"/>
              </w:rPr>
            </w:pPr>
          </w:p>
        </w:tc>
        <w:tc>
          <w:tcPr>
            <w:tcW w:w="1980" w:type="dxa"/>
            <w:noWrap w:val="0"/>
            <w:vAlign w:val="center"/>
          </w:tcPr>
          <w:p w14:paraId="2877DDB9">
            <w:pPr>
              <w:jc w:val="center"/>
              <w:rPr>
                <w:rFonts w:hint="eastAsia" w:ascii="宋体" w:hAnsi="宋体" w:eastAsia="宋体" w:cs="宋体"/>
                <w:color w:val="auto"/>
                <w:sz w:val="24"/>
                <w:szCs w:val="24"/>
                <w:highlight w:val="none"/>
              </w:rPr>
            </w:pPr>
          </w:p>
        </w:tc>
      </w:tr>
      <w:tr w14:paraId="42A04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315F4F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00" w:type="dxa"/>
            <w:noWrap w:val="0"/>
            <w:vAlign w:val="center"/>
          </w:tcPr>
          <w:p w14:paraId="1B55D7D6">
            <w:pPr>
              <w:jc w:val="center"/>
              <w:rPr>
                <w:rFonts w:hint="eastAsia" w:ascii="宋体" w:hAnsi="宋体" w:eastAsia="宋体" w:cs="宋体"/>
                <w:color w:val="auto"/>
                <w:sz w:val="24"/>
                <w:szCs w:val="24"/>
                <w:highlight w:val="none"/>
              </w:rPr>
            </w:pPr>
          </w:p>
        </w:tc>
        <w:tc>
          <w:tcPr>
            <w:tcW w:w="1260" w:type="dxa"/>
            <w:noWrap w:val="0"/>
            <w:vAlign w:val="center"/>
          </w:tcPr>
          <w:p w14:paraId="34483747">
            <w:pPr>
              <w:jc w:val="center"/>
              <w:rPr>
                <w:rFonts w:hint="eastAsia" w:ascii="宋体" w:hAnsi="宋体" w:eastAsia="宋体" w:cs="宋体"/>
                <w:color w:val="auto"/>
                <w:sz w:val="24"/>
                <w:szCs w:val="24"/>
                <w:highlight w:val="none"/>
              </w:rPr>
            </w:pPr>
          </w:p>
        </w:tc>
        <w:tc>
          <w:tcPr>
            <w:tcW w:w="720" w:type="dxa"/>
            <w:noWrap w:val="0"/>
            <w:vAlign w:val="center"/>
          </w:tcPr>
          <w:p w14:paraId="1E27EF04">
            <w:pPr>
              <w:jc w:val="center"/>
              <w:rPr>
                <w:rFonts w:hint="eastAsia" w:ascii="宋体" w:hAnsi="宋体" w:eastAsia="宋体" w:cs="宋体"/>
                <w:color w:val="auto"/>
                <w:sz w:val="24"/>
                <w:szCs w:val="24"/>
                <w:highlight w:val="none"/>
              </w:rPr>
            </w:pPr>
          </w:p>
        </w:tc>
        <w:tc>
          <w:tcPr>
            <w:tcW w:w="1260" w:type="dxa"/>
            <w:noWrap w:val="0"/>
            <w:vAlign w:val="center"/>
          </w:tcPr>
          <w:p w14:paraId="718C4E4B">
            <w:pPr>
              <w:jc w:val="center"/>
              <w:rPr>
                <w:rFonts w:hint="eastAsia" w:ascii="宋体" w:hAnsi="宋体" w:eastAsia="宋体" w:cs="宋体"/>
                <w:color w:val="auto"/>
                <w:sz w:val="24"/>
                <w:szCs w:val="24"/>
                <w:highlight w:val="none"/>
              </w:rPr>
            </w:pPr>
          </w:p>
        </w:tc>
        <w:tc>
          <w:tcPr>
            <w:tcW w:w="1260" w:type="dxa"/>
            <w:noWrap w:val="0"/>
            <w:vAlign w:val="center"/>
          </w:tcPr>
          <w:p w14:paraId="05F8FA0D">
            <w:pPr>
              <w:jc w:val="center"/>
              <w:rPr>
                <w:rFonts w:hint="eastAsia" w:ascii="宋体" w:hAnsi="宋体" w:eastAsia="宋体" w:cs="宋体"/>
                <w:color w:val="auto"/>
                <w:sz w:val="24"/>
                <w:szCs w:val="24"/>
                <w:highlight w:val="none"/>
              </w:rPr>
            </w:pPr>
          </w:p>
        </w:tc>
        <w:tc>
          <w:tcPr>
            <w:tcW w:w="900" w:type="dxa"/>
            <w:noWrap w:val="0"/>
            <w:vAlign w:val="center"/>
          </w:tcPr>
          <w:p w14:paraId="2969F2F3">
            <w:pPr>
              <w:jc w:val="center"/>
              <w:rPr>
                <w:rFonts w:hint="eastAsia" w:ascii="宋体" w:hAnsi="宋体" w:eastAsia="宋体" w:cs="宋体"/>
                <w:color w:val="auto"/>
                <w:sz w:val="24"/>
                <w:szCs w:val="24"/>
                <w:highlight w:val="none"/>
              </w:rPr>
            </w:pPr>
          </w:p>
        </w:tc>
        <w:tc>
          <w:tcPr>
            <w:tcW w:w="1980" w:type="dxa"/>
            <w:noWrap w:val="0"/>
            <w:vAlign w:val="center"/>
          </w:tcPr>
          <w:p w14:paraId="2D9171E9">
            <w:pPr>
              <w:jc w:val="center"/>
              <w:rPr>
                <w:rFonts w:hint="eastAsia" w:ascii="宋体" w:hAnsi="宋体" w:eastAsia="宋体" w:cs="宋体"/>
                <w:color w:val="auto"/>
                <w:sz w:val="24"/>
                <w:szCs w:val="24"/>
                <w:highlight w:val="none"/>
              </w:rPr>
            </w:pPr>
          </w:p>
        </w:tc>
      </w:tr>
      <w:tr w14:paraId="75196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067D5FC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00" w:type="dxa"/>
            <w:noWrap w:val="0"/>
            <w:vAlign w:val="center"/>
          </w:tcPr>
          <w:p w14:paraId="1B2C0A31">
            <w:pPr>
              <w:jc w:val="center"/>
              <w:rPr>
                <w:rFonts w:hint="eastAsia" w:ascii="宋体" w:hAnsi="宋体" w:eastAsia="宋体" w:cs="宋体"/>
                <w:color w:val="auto"/>
                <w:sz w:val="24"/>
                <w:szCs w:val="24"/>
                <w:highlight w:val="none"/>
              </w:rPr>
            </w:pPr>
          </w:p>
        </w:tc>
        <w:tc>
          <w:tcPr>
            <w:tcW w:w="1260" w:type="dxa"/>
            <w:noWrap w:val="0"/>
            <w:vAlign w:val="center"/>
          </w:tcPr>
          <w:p w14:paraId="7DDD1A9C">
            <w:pPr>
              <w:jc w:val="center"/>
              <w:rPr>
                <w:rFonts w:hint="eastAsia" w:ascii="宋体" w:hAnsi="宋体" w:eastAsia="宋体" w:cs="宋体"/>
                <w:color w:val="auto"/>
                <w:sz w:val="24"/>
                <w:szCs w:val="24"/>
                <w:highlight w:val="none"/>
              </w:rPr>
            </w:pPr>
          </w:p>
        </w:tc>
        <w:tc>
          <w:tcPr>
            <w:tcW w:w="720" w:type="dxa"/>
            <w:noWrap w:val="0"/>
            <w:vAlign w:val="center"/>
          </w:tcPr>
          <w:p w14:paraId="04D3C2D0">
            <w:pPr>
              <w:jc w:val="center"/>
              <w:rPr>
                <w:rFonts w:hint="eastAsia" w:ascii="宋体" w:hAnsi="宋体" w:eastAsia="宋体" w:cs="宋体"/>
                <w:color w:val="auto"/>
                <w:sz w:val="24"/>
                <w:szCs w:val="24"/>
                <w:highlight w:val="none"/>
              </w:rPr>
            </w:pPr>
          </w:p>
        </w:tc>
        <w:tc>
          <w:tcPr>
            <w:tcW w:w="1260" w:type="dxa"/>
            <w:noWrap w:val="0"/>
            <w:vAlign w:val="center"/>
          </w:tcPr>
          <w:p w14:paraId="090BA1D6">
            <w:pPr>
              <w:jc w:val="center"/>
              <w:rPr>
                <w:rFonts w:hint="eastAsia" w:ascii="宋体" w:hAnsi="宋体" w:eastAsia="宋体" w:cs="宋体"/>
                <w:color w:val="auto"/>
                <w:sz w:val="24"/>
                <w:szCs w:val="24"/>
                <w:highlight w:val="none"/>
              </w:rPr>
            </w:pPr>
          </w:p>
        </w:tc>
        <w:tc>
          <w:tcPr>
            <w:tcW w:w="1260" w:type="dxa"/>
            <w:noWrap w:val="0"/>
            <w:vAlign w:val="center"/>
          </w:tcPr>
          <w:p w14:paraId="35930ECE">
            <w:pPr>
              <w:jc w:val="center"/>
              <w:rPr>
                <w:rFonts w:hint="eastAsia" w:ascii="宋体" w:hAnsi="宋体" w:eastAsia="宋体" w:cs="宋体"/>
                <w:color w:val="auto"/>
                <w:sz w:val="24"/>
                <w:szCs w:val="24"/>
                <w:highlight w:val="none"/>
              </w:rPr>
            </w:pPr>
          </w:p>
        </w:tc>
        <w:tc>
          <w:tcPr>
            <w:tcW w:w="900" w:type="dxa"/>
            <w:noWrap w:val="0"/>
            <w:vAlign w:val="center"/>
          </w:tcPr>
          <w:p w14:paraId="6871D41C">
            <w:pPr>
              <w:jc w:val="center"/>
              <w:rPr>
                <w:rFonts w:hint="eastAsia" w:ascii="宋体" w:hAnsi="宋体" w:eastAsia="宋体" w:cs="宋体"/>
                <w:color w:val="auto"/>
                <w:sz w:val="24"/>
                <w:szCs w:val="24"/>
                <w:highlight w:val="none"/>
              </w:rPr>
            </w:pPr>
          </w:p>
        </w:tc>
        <w:tc>
          <w:tcPr>
            <w:tcW w:w="1980" w:type="dxa"/>
            <w:noWrap w:val="0"/>
            <w:vAlign w:val="center"/>
          </w:tcPr>
          <w:p w14:paraId="3BA15EA1">
            <w:pPr>
              <w:jc w:val="center"/>
              <w:rPr>
                <w:rFonts w:hint="eastAsia" w:ascii="宋体" w:hAnsi="宋体" w:eastAsia="宋体" w:cs="宋体"/>
                <w:color w:val="auto"/>
                <w:sz w:val="24"/>
                <w:szCs w:val="24"/>
                <w:highlight w:val="none"/>
              </w:rPr>
            </w:pPr>
          </w:p>
        </w:tc>
      </w:tr>
      <w:tr w14:paraId="33F4F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5096138B">
            <w:pPr>
              <w:jc w:val="center"/>
              <w:rPr>
                <w:rFonts w:hint="eastAsia" w:ascii="宋体" w:hAnsi="宋体" w:eastAsia="宋体" w:cs="宋体"/>
                <w:color w:val="auto"/>
                <w:sz w:val="24"/>
                <w:szCs w:val="24"/>
                <w:highlight w:val="none"/>
              </w:rPr>
            </w:pPr>
          </w:p>
        </w:tc>
        <w:tc>
          <w:tcPr>
            <w:tcW w:w="1800" w:type="dxa"/>
            <w:noWrap w:val="0"/>
            <w:vAlign w:val="center"/>
          </w:tcPr>
          <w:p w14:paraId="106EBEEE">
            <w:pPr>
              <w:jc w:val="center"/>
              <w:rPr>
                <w:rFonts w:hint="eastAsia" w:ascii="宋体" w:hAnsi="宋体" w:eastAsia="宋体" w:cs="宋体"/>
                <w:color w:val="auto"/>
                <w:sz w:val="24"/>
                <w:szCs w:val="24"/>
                <w:highlight w:val="none"/>
              </w:rPr>
            </w:pPr>
          </w:p>
        </w:tc>
        <w:tc>
          <w:tcPr>
            <w:tcW w:w="1260" w:type="dxa"/>
            <w:noWrap w:val="0"/>
            <w:vAlign w:val="center"/>
          </w:tcPr>
          <w:p w14:paraId="65C5B4A4">
            <w:pPr>
              <w:jc w:val="center"/>
              <w:rPr>
                <w:rFonts w:hint="eastAsia" w:ascii="宋体" w:hAnsi="宋体" w:eastAsia="宋体" w:cs="宋体"/>
                <w:color w:val="auto"/>
                <w:sz w:val="24"/>
                <w:szCs w:val="24"/>
                <w:highlight w:val="none"/>
              </w:rPr>
            </w:pPr>
          </w:p>
        </w:tc>
        <w:tc>
          <w:tcPr>
            <w:tcW w:w="720" w:type="dxa"/>
            <w:noWrap w:val="0"/>
            <w:vAlign w:val="center"/>
          </w:tcPr>
          <w:p w14:paraId="1FEC89D2">
            <w:pPr>
              <w:jc w:val="center"/>
              <w:rPr>
                <w:rFonts w:hint="eastAsia" w:ascii="宋体" w:hAnsi="宋体" w:eastAsia="宋体" w:cs="宋体"/>
                <w:color w:val="auto"/>
                <w:sz w:val="24"/>
                <w:szCs w:val="24"/>
                <w:highlight w:val="none"/>
              </w:rPr>
            </w:pPr>
          </w:p>
        </w:tc>
        <w:tc>
          <w:tcPr>
            <w:tcW w:w="1260" w:type="dxa"/>
            <w:noWrap w:val="0"/>
            <w:vAlign w:val="center"/>
          </w:tcPr>
          <w:p w14:paraId="0842A7CA">
            <w:pPr>
              <w:jc w:val="center"/>
              <w:rPr>
                <w:rFonts w:hint="eastAsia" w:ascii="宋体" w:hAnsi="宋体" w:eastAsia="宋体" w:cs="宋体"/>
                <w:color w:val="auto"/>
                <w:sz w:val="24"/>
                <w:szCs w:val="24"/>
                <w:highlight w:val="none"/>
              </w:rPr>
            </w:pPr>
          </w:p>
        </w:tc>
        <w:tc>
          <w:tcPr>
            <w:tcW w:w="1260" w:type="dxa"/>
            <w:noWrap w:val="0"/>
            <w:vAlign w:val="center"/>
          </w:tcPr>
          <w:p w14:paraId="46FC89B7">
            <w:pPr>
              <w:jc w:val="center"/>
              <w:rPr>
                <w:rFonts w:hint="eastAsia" w:ascii="宋体" w:hAnsi="宋体" w:eastAsia="宋体" w:cs="宋体"/>
                <w:color w:val="auto"/>
                <w:sz w:val="24"/>
                <w:szCs w:val="24"/>
                <w:highlight w:val="none"/>
              </w:rPr>
            </w:pPr>
          </w:p>
        </w:tc>
        <w:tc>
          <w:tcPr>
            <w:tcW w:w="900" w:type="dxa"/>
            <w:noWrap w:val="0"/>
            <w:vAlign w:val="center"/>
          </w:tcPr>
          <w:p w14:paraId="4DD596AD">
            <w:pPr>
              <w:jc w:val="center"/>
              <w:rPr>
                <w:rFonts w:hint="eastAsia" w:ascii="宋体" w:hAnsi="宋体" w:eastAsia="宋体" w:cs="宋体"/>
                <w:color w:val="auto"/>
                <w:sz w:val="24"/>
                <w:szCs w:val="24"/>
                <w:highlight w:val="none"/>
              </w:rPr>
            </w:pPr>
          </w:p>
        </w:tc>
        <w:tc>
          <w:tcPr>
            <w:tcW w:w="1980" w:type="dxa"/>
            <w:noWrap w:val="0"/>
            <w:vAlign w:val="center"/>
          </w:tcPr>
          <w:p w14:paraId="3E5033DB">
            <w:pPr>
              <w:jc w:val="center"/>
              <w:rPr>
                <w:rFonts w:hint="eastAsia" w:ascii="宋体" w:hAnsi="宋体" w:eastAsia="宋体" w:cs="宋体"/>
                <w:color w:val="auto"/>
                <w:sz w:val="24"/>
                <w:szCs w:val="24"/>
                <w:highlight w:val="none"/>
              </w:rPr>
            </w:pPr>
          </w:p>
        </w:tc>
      </w:tr>
      <w:tr w14:paraId="4D571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2E2C4918">
            <w:pPr>
              <w:jc w:val="center"/>
              <w:rPr>
                <w:rFonts w:hint="eastAsia" w:ascii="宋体" w:hAnsi="宋体" w:eastAsia="宋体" w:cs="宋体"/>
                <w:color w:val="auto"/>
                <w:sz w:val="24"/>
                <w:szCs w:val="24"/>
                <w:highlight w:val="none"/>
              </w:rPr>
            </w:pPr>
          </w:p>
        </w:tc>
        <w:tc>
          <w:tcPr>
            <w:tcW w:w="1800" w:type="dxa"/>
            <w:noWrap w:val="0"/>
            <w:vAlign w:val="center"/>
          </w:tcPr>
          <w:p w14:paraId="06EAFF90">
            <w:pPr>
              <w:jc w:val="center"/>
              <w:rPr>
                <w:rFonts w:hint="eastAsia" w:ascii="宋体" w:hAnsi="宋体" w:eastAsia="宋体" w:cs="宋体"/>
                <w:color w:val="auto"/>
                <w:sz w:val="24"/>
                <w:szCs w:val="24"/>
                <w:highlight w:val="none"/>
              </w:rPr>
            </w:pPr>
          </w:p>
        </w:tc>
        <w:tc>
          <w:tcPr>
            <w:tcW w:w="1260" w:type="dxa"/>
            <w:noWrap w:val="0"/>
            <w:vAlign w:val="center"/>
          </w:tcPr>
          <w:p w14:paraId="45CCC5EC">
            <w:pPr>
              <w:jc w:val="center"/>
              <w:rPr>
                <w:rFonts w:hint="eastAsia" w:ascii="宋体" w:hAnsi="宋体" w:eastAsia="宋体" w:cs="宋体"/>
                <w:color w:val="auto"/>
                <w:sz w:val="24"/>
                <w:szCs w:val="24"/>
                <w:highlight w:val="none"/>
              </w:rPr>
            </w:pPr>
          </w:p>
        </w:tc>
        <w:tc>
          <w:tcPr>
            <w:tcW w:w="720" w:type="dxa"/>
            <w:noWrap w:val="0"/>
            <w:vAlign w:val="center"/>
          </w:tcPr>
          <w:p w14:paraId="0827D5E7">
            <w:pPr>
              <w:jc w:val="center"/>
              <w:rPr>
                <w:rFonts w:hint="eastAsia" w:ascii="宋体" w:hAnsi="宋体" w:eastAsia="宋体" w:cs="宋体"/>
                <w:color w:val="auto"/>
                <w:sz w:val="24"/>
                <w:szCs w:val="24"/>
                <w:highlight w:val="none"/>
              </w:rPr>
            </w:pPr>
          </w:p>
        </w:tc>
        <w:tc>
          <w:tcPr>
            <w:tcW w:w="1260" w:type="dxa"/>
            <w:noWrap w:val="0"/>
            <w:vAlign w:val="center"/>
          </w:tcPr>
          <w:p w14:paraId="21401525">
            <w:pPr>
              <w:jc w:val="center"/>
              <w:rPr>
                <w:rFonts w:hint="eastAsia" w:ascii="宋体" w:hAnsi="宋体" w:eastAsia="宋体" w:cs="宋体"/>
                <w:color w:val="auto"/>
                <w:sz w:val="24"/>
                <w:szCs w:val="24"/>
                <w:highlight w:val="none"/>
              </w:rPr>
            </w:pPr>
          </w:p>
        </w:tc>
        <w:tc>
          <w:tcPr>
            <w:tcW w:w="1260" w:type="dxa"/>
            <w:noWrap w:val="0"/>
            <w:vAlign w:val="center"/>
          </w:tcPr>
          <w:p w14:paraId="77321885">
            <w:pPr>
              <w:jc w:val="center"/>
              <w:rPr>
                <w:rFonts w:hint="eastAsia" w:ascii="宋体" w:hAnsi="宋体" w:eastAsia="宋体" w:cs="宋体"/>
                <w:color w:val="auto"/>
                <w:sz w:val="24"/>
                <w:szCs w:val="24"/>
                <w:highlight w:val="none"/>
              </w:rPr>
            </w:pPr>
          </w:p>
        </w:tc>
        <w:tc>
          <w:tcPr>
            <w:tcW w:w="900" w:type="dxa"/>
            <w:noWrap w:val="0"/>
            <w:vAlign w:val="center"/>
          </w:tcPr>
          <w:p w14:paraId="09503BBE">
            <w:pPr>
              <w:jc w:val="center"/>
              <w:rPr>
                <w:rFonts w:hint="eastAsia" w:ascii="宋体" w:hAnsi="宋体" w:eastAsia="宋体" w:cs="宋体"/>
                <w:color w:val="auto"/>
                <w:sz w:val="24"/>
                <w:szCs w:val="24"/>
                <w:highlight w:val="none"/>
              </w:rPr>
            </w:pPr>
          </w:p>
        </w:tc>
        <w:tc>
          <w:tcPr>
            <w:tcW w:w="1980" w:type="dxa"/>
            <w:noWrap w:val="0"/>
            <w:vAlign w:val="center"/>
          </w:tcPr>
          <w:p w14:paraId="6678ACBD">
            <w:pPr>
              <w:jc w:val="center"/>
              <w:rPr>
                <w:rFonts w:hint="eastAsia" w:ascii="宋体" w:hAnsi="宋体" w:eastAsia="宋体" w:cs="宋体"/>
                <w:color w:val="auto"/>
                <w:sz w:val="24"/>
                <w:szCs w:val="24"/>
                <w:highlight w:val="none"/>
              </w:rPr>
            </w:pPr>
          </w:p>
        </w:tc>
      </w:tr>
      <w:tr w14:paraId="29376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4B78C852">
            <w:pPr>
              <w:jc w:val="center"/>
              <w:rPr>
                <w:rFonts w:hint="eastAsia" w:ascii="宋体" w:hAnsi="宋体" w:eastAsia="宋体" w:cs="宋体"/>
                <w:color w:val="auto"/>
                <w:sz w:val="24"/>
                <w:szCs w:val="24"/>
                <w:highlight w:val="none"/>
              </w:rPr>
            </w:pPr>
          </w:p>
        </w:tc>
        <w:tc>
          <w:tcPr>
            <w:tcW w:w="1800" w:type="dxa"/>
            <w:noWrap w:val="0"/>
            <w:vAlign w:val="center"/>
          </w:tcPr>
          <w:p w14:paraId="13B49ADB">
            <w:pPr>
              <w:jc w:val="center"/>
              <w:rPr>
                <w:rFonts w:hint="eastAsia" w:ascii="宋体" w:hAnsi="宋体" w:eastAsia="宋体" w:cs="宋体"/>
                <w:color w:val="auto"/>
                <w:sz w:val="24"/>
                <w:szCs w:val="24"/>
                <w:highlight w:val="none"/>
              </w:rPr>
            </w:pPr>
          </w:p>
        </w:tc>
        <w:tc>
          <w:tcPr>
            <w:tcW w:w="1260" w:type="dxa"/>
            <w:noWrap w:val="0"/>
            <w:vAlign w:val="center"/>
          </w:tcPr>
          <w:p w14:paraId="65FBF6C9">
            <w:pPr>
              <w:jc w:val="center"/>
              <w:rPr>
                <w:rFonts w:hint="eastAsia" w:ascii="宋体" w:hAnsi="宋体" w:eastAsia="宋体" w:cs="宋体"/>
                <w:color w:val="auto"/>
                <w:sz w:val="24"/>
                <w:szCs w:val="24"/>
                <w:highlight w:val="none"/>
              </w:rPr>
            </w:pPr>
          </w:p>
        </w:tc>
        <w:tc>
          <w:tcPr>
            <w:tcW w:w="720" w:type="dxa"/>
            <w:noWrap w:val="0"/>
            <w:vAlign w:val="center"/>
          </w:tcPr>
          <w:p w14:paraId="3B04260D">
            <w:pPr>
              <w:jc w:val="center"/>
              <w:rPr>
                <w:rFonts w:hint="eastAsia" w:ascii="宋体" w:hAnsi="宋体" w:eastAsia="宋体" w:cs="宋体"/>
                <w:color w:val="auto"/>
                <w:sz w:val="24"/>
                <w:szCs w:val="24"/>
                <w:highlight w:val="none"/>
              </w:rPr>
            </w:pPr>
          </w:p>
        </w:tc>
        <w:tc>
          <w:tcPr>
            <w:tcW w:w="1260" w:type="dxa"/>
            <w:noWrap w:val="0"/>
            <w:vAlign w:val="center"/>
          </w:tcPr>
          <w:p w14:paraId="15856F02">
            <w:pPr>
              <w:jc w:val="center"/>
              <w:rPr>
                <w:rFonts w:hint="eastAsia" w:ascii="宋体" w:hAnsi="宋体" w:eastAsia="宋体" w:cs="宋体"/>
                <w:color w:val="auto"/>
                <w:sz w:val="24"/>
                <w:szCs w:val="24"/>
                <w:highlight w:val="none"/>
              </w:rPr>
            </w:pPr>
          </w:p>
        </w:tc>
        <w:tc>
          <w:tcPr>
            <w:tcW w:w="1260" w:type="dxa"/>
            <w:noWrap w:val="0"/>
            <w:vAlign w:val="center"/>
          </w:tcPr>
          <w:p w14:paraId="4153D09D">
            <w:pPr>
              <w:jc w:val="center"/>
              <w:rPr>
                <w:rFonts w:hint="eastAsia" w:ascii="宋体" w:hAnsi="宋体" w:eastAsia="宋体" w:cs="宋体"/>
                <w:color w:val="auto"/>
                <w:sz w:val="24"/>
                <w:szCs w:val="24"/>
                <w:highlight w:val="none"/>
              </w:rPr>
            </w:pPr>
          </w:p>
        </w:tc>
        <w:tc>
          <w:tcPr>
            <w:tcW w:w="900" w:type="dxa"/>
            <w:noWrap w:val="0"/>
            <w:vAlign w:val="center"/>
          </w:tcPr>
          <w:p w14:paraId="2B5127FB">
            <w:pPr>
              <w:jc w:val="center"/>
              <w:rPr>
                <w:rFonts w:hint="eastAsia" w:ascii="宋体" w:hAnsi="宋体" w:eastAsia="宋体" w:cs="宋体"/>
                <w:color w:val="auto"/>
                <w:sz w:val="24"/>
                <w:szCs w:val="24"/>
                <w:highlight w:val="none"/>
              </w:rPr>
            </w:pPr>
          </w:p>
        </w:tc>
        <w:tc>
          <w:tcPr>
            <w:tcW w:w="1980" w:type="dxa"/>
            <w:noWrap w:val="0"/>
            <w:vAlign w:val="center"/>
          </w:tcPr>
          <w:p w14:paraId="350345FF">
            <w:pPr>
              <w:jc w:val="center"/>
              <w:rPr>
                <w:rFonts w:hint="eastAsia" w:ascii="宋体" w:hAnsi="宋体" w:eastAsia="宋体" w:cs="宋体"/>
                <w:color w:val="auto"/>
                <w:sz w:val="24"/>
                <w:szCs w:val="24"/>
                <w:highlight w:val="none"/>
              </w:rPr>
            </w:pPr>
          </w:p>
        </w:tc>
      </w:tr>
      <w:tr w14:paraId="6A9D5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2C6BD3DA">
            <w:pPr>
              <w:jc w:val="center"/>
              <w:rPr>
                <w:rFonts w:hint="eastAsia" w:ascii="宋体" w:hAnsi="宋体" w:eastAsia="宋体" w:cs="宋体"/>
                <w:color w:val="auto"/>
                <w:sz w:val="24"/>
                <w:szCs w:val="24"/>
                <w:highlight w:val="none"/>
              </w:rPr>
            </w:pPr>
          </w:p>
        </w:tc>
        <w:tc>
          <w:tcPr>
            <w:tcW w:w="1800" w:type="dxa"/>
            <w:noWrap w:val="0"/>
            <w:vAlign w:val="center"/>
          </w:tcPr>
          <w:p w14:paraId="348A2670">
            <w:pPr>
              <w:jc w:val="center"/>
              <w:rPr>
                <w:rFonts w:hint="eastAsia" w:ascii="宋体" w:hAnsi="宋体" w:eastAsia="宋体" w:cs="宋体"/>
                <w:color w:val="auto"/>
                <w:sz w:val="24"/>
                <w:szCs w:val="24"/>
                <w:highlight w:val="none"/>
              </w:rPr>
            </w:pPr>
          </w:p>
        </w:tc>
        <w:tc>
          <w:tcPr>
            <w:tcW w:w="1260" w:type="dxa"/>
            <w:noWrap w:val="0"/>
            <w:vAlign w:val="center"/>
          </w:tcPr>
          <w:p w14:paraId="08E50C6E">
            <w:pPr>
              <w:jc w:val="center"/>
              <w:rPr>
                <w:rFonts w:hint="eastAsia" w:ascii="宋体" w:hAnsi="宋体" w:eastAsia="宋体" w:cs="宋体"/>
                <w:color w:val="auto"/>
                <w:sz w:val="24"/>
                <w:szCs w:val="24"/>
                <w:highlight w:val="none"/>
              </w:rPr>
            </w:pPr>
          </w:p>
        </w:tc>
        <w:tc>
          <w:tcPr>
            <w:tcW w:w="720" w:type="dxa"/>
            <w:noWrap w:val="0"/>
            <w:vAlign w:val="center"/>
          </w:tcPr>
          <w:p w14:paraId="4617637D">
            <w:pPr>
              <w:jc w:val="center"/>
              <w:rPr>
                <w:rFonts w:hint="eastAsia" w:ascii="宋体" w:hAnsi="宋体" w:eastAsia="宋体" w:cs="宋体"/>
                <w:color w:val="auto"/>
                <w:sz w:val="24"/>
                <w:szCs w:val="24"/>
                <w:highlight w:val="none"/>
              </w:rPr>
            </w:pPr>
          </w:p>
        </w:tc>
        <w:tc>
          <w:tcPr>
            <w:tcW w:w="1260" w:type="dxa"/>
            <w:noWrap w:val="0"/>
            <w:vAlign w:val="center"/>
          </w:tcPr>
          <w:p w14:paraId="6FBEE2C6">
            <w:pPr>
              <w:jc w:val="center"/>
              <w:rPr>
                <w:rFonts w:hint="eastAsia" w:ascii="宋体" w:hAnsi="宋体" w:eastAsia="宋体" w:cs="宋体"/>
                <w:color w:val="auto"/>
                <w:sz w:val="24"/>
                <w:szCs w:val="24"/>
                <w:highlight w:val="none"/>
              </w:rPr>
            </w:pPr>
          </w:p>
        </w:tc>
        <w:tc>
          <w:tcPr>
            <w:tcW w:w="1260" w:type="dxa"/>
            <w:noWrap w:val="0"/>
            <w:vAlign w:val="center"/>
          </w:tcPr>
          <w:p w14:paraId="4F2EEFE4">
            <w:pPr>
              <w:jc w:val="center"/>
              <w:rPr>
                <w:rFonts w:hint="eastAsia" w:ascii="宋体" w:hAnsi="宋体" w:eastAsia="宋体" w:cs="宋体"/>
                <w:color w:val="auto"/>
                <w:sz w:val="24"/>
                <w:szCs w:val="24"/>
                <w:highlight w:val="none"/>
              </w:rPr>
            </w:pPr>
          </w:p>
        </w:tc>
        <w:tc>
          <w:tcPr>
            <w:tcW w:w="900" w:type="dxa"/>
            <w:noWrap w:val="0"/>
            <w:vAlign w:val="center"/>
          </w:tcPr>
          <w:p w14:paraId="46902412">
            <w:pPr>
              <w:jc w:val="center"/>
              <w:rPr>
                <w:rFonts w:hint="eastAsia" w:ascii="宋体" w:hAnsi="宋体" w:eastAsia="宋体" w:cs="宋体"/>
                <w:color w:val="auto"/>
                <w:sz w:val="24"/>
                <w:szCs w:val="24"/>
                <w:highlight w:val="none"/>
              </w:rPr>
            </w:pPr>
          </w:p>
        </w:tc>
        <w:tc>
          <w:tcPr>
            <w:tcW w:w="1980" w:type="dxa"/>
            <w:noWrap w:val="0"/>
            <w:vAlign w:val="center"/>
          </w:tcPr>
          <w:p w14:paraId="2770CC65">
            <w:pPr>
              <w:jc w:val="center"/>
              <w:rPr>
                <w:rFonts w:hint="eastAsia" w:ascii="宋体" w:hAnsi="宋体" w:eastAsia="宋体" w:cs="宋体"/>
                <w:color w:val="auto"/>
                <w:sz w:val="24"/>
                <w:szCs w:val="24"/>
                <w:highlight w:val="none"/>
              </w:rPr>
            </w:pPr>
          </w:p>
        </w:tc>
      </w:tr>
      <w:tr w14:paraId="50055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363B4764">
            <w:pPr>
              <w:jc w:val="center"/>
              <w:rPr>
                <w:rFonts w:hint="eastAsia" w:ascii="宋体" w:hAnsi="宋体" w:eastAsia="宋体" w:cs="宋体"/>
                <w:color w:val="auto"/>
                <w:sz w:val="24"/>
                <w:szCs w:val="24"/>
                <w:highlight w:val="none"/>
              </w:rPr>
            </w:pPr>
          </w:p>
        </w:tc>
        <w:tc>
          <w:tcPr>
            <w:tcW w:w="1800" w:type="dxa"/>
            <w:noWrap w:val="0"/>
            <w:vAlign w:val="center"/>
          </w:tcPr>
          <w:p w14:paraId="7CA1F2D1">
            <w:pPr>
              <w:jc w:val="center"/>
              <w:rPr>
                <w:rFonts w:hint="eastAsia" w:ascii="宋体" w:hAnsi="宋体" w:eastAsia="宋体" w:cs="宋体"/>
                <w:color w:val="auto"/>
                <w:sz w:val="24"/>
                <w:szCs w:val="24"/>
                <w:highlight w:val="none"/>
              </w:rPr>
            </w:pPr>
          </w:p>
        </w:tc>
        <w:tc>
          <w:tcPr>
            <w:tcW w:w="1260" w:type="dxa"/>
            <w:noWrap w:val="0"/>
            <w:vAlign w:val="center"/>
          </w:tcPr>
          <w:p w14:paraId="6049087A">
            <w:pPr>
              <w:jc w:val="center"/>
              <w:rPr>
                <w:rFonts w:hint="eastAsia" w:ascii="宋体" w:hAnsi="宋体" w:eastAsia="宋体" w:cs="宋体"/>
                <w:color w:val="auto"/>
                <w:sz w:val="24"/>
                <w:szCs w:val="24"/>
                <w:highlight w:val="none"/>
              </w:rPr>
            </w:pPr>
          </w:p>
        </w:tc>
        <w:tc>
          <w:tcPr>
            <w:tcW w:w="720" w:type="dxa"/>
            <w:noWrap w:val="0"/>
            <w:vAlign w:val="center"/>
          </w:tcPr>
          <w:p w14:paraId="2D1175B7">
            <w:pPr>
              <w:jc w:val="center"/>
              <w:rPr>
                <w:rFonts w:hint="eastAsia" w:ascii="宋体" w:hAnsi="宋体" w:eastAsia="宋体" w:cs="宋体"/>
                <w:color w:val="auto"/>
                <w:sz w:val="24"/>
                <w:szCs w:val="24"/>
                <w:highlight w:val="none"/>
              </w:rPr>
            </w:pPr>
          </w:p>
        </w:tc>
        <w:tc>
          <w:tcPr>
            <w:tcW w:w="1260" w:type="dxa"/>
            <w:noWrap w:val="0"/>
            <w:vAlign w:val="center"/>
          </w:tcPr>
          <w:p w14:paraId="41B7FD42">
            <w:pPr>
              <w:jc w:val="center"/>
              <w:rPr>
                <w:rFonts w:hint="eastAsia" w:ascii="宋体" w:hAnsi="宋体" w:eastAsia="宋体" w:cs="宋体"/>
                <w:color w:val="auto"/>
                <w:sz w:val="24"/>
                <w:szCs w:val="24"/>
                <w:highlight w:val="none"/>
              </w:rPr>
            </w:pPr>
          </w:p>
        </w:tc>
        <w:tc>
          <w:tcPr>
            <w:tcW w:w="1260" w:type="dxa"/>
            <w:noWrap w:val="0"/>
            <w:vAlign w:val="center"/>
          </w:tcPr>
          <w:p w14:paraId="635B4610">
            <w:pPr>
              <w:jc w:val="center"/>
              <w:rPr>
                <w:rFonts w:hint="eastAsia" w:ascii="宋体" w:hAnsi="宋体" w:eastAsia="宋体" w:cs="宋体"/>
                <w:color w:val="auto"/>
                <w:sz w:val="24"/>
                <w:szCs w:val="24"/>
                <w:highlight w:val="none"/>
              </w:rPr>
            </w:pPr>
          </w:p>
        </w:tc>
        <w:tc>
          <w:tcPr>
            <w:tcW w:w="900" w:type="dxa"/>
            <w:noWrap w:val="0"/>
            <w:vAlign w:val="center"/>
          </w:tcPr>
          <w:p w14:paraId="7355B072">
            <w:pPr>
              <w:jc w:val="center"/>
              <w:rPr>
                <w:rFonts w:hint="eastAsia" w:ascii="宋体" w:hAnsi="宋体" w:eastAsia="宋体" w:cs="宋体"/>
                <w:color w:val="auto"/>
                <w:sz w:val="24"/>
                <w:szCs w:val="24"/>
                <w:highlight w:val="none"/>
              </w:rPr>
            </w:pPr>
          </w:p>
        </w:tc>
        <w:tc>
          <w:tcPr>
            <w:tcW w:w="1980" w:type="dxa"/>
            <w:noWrap w:val="0"/>
            <w:vAlign w:val="center"/>
          </w:tcPr>
          <w:p w14:paraId="64441E04">
            <w:pPr>
              <w:jc w:val="center"/>
              <w:rPr>
                <w:rFonts w:hint="eastAsia" w:ascii="宋体" w:hAnsi="宋体" w:eastAsia="宋体" w:cs="宋体"/>
                <w:color w:val="auto"/>
                <w:sz w:val="24"/>
                <w:szCs w:val="24"/>
                <w:highlight w:val="none"/>
              </w:rPr>
            </w:pPr>
          </w:p>
        </w:tc>
      </w:tr>
      <w:tr w14:paraId="604B9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2F4256AE">
            <w:pPr>
              <w:jc w:val="center"/>
              <w:rPr>
                <w:rFonts w:hint="eastAsia" w:ascii="宋体" w:hAnsi="宋体" w:eastAsia="宋体" w:cs="宋体"/>
                <w:color w:val="auto"/>
                <w:sz w:val="24"/>
                <w:szCs w:val="24"/>
                <w:highlight w:val="none"/>
              </w:rPr>
            </w:pPr>
          </w:p>
        </w:tc>
        <w:tc>
          <w:tcPr>
            <w:tcW w:w="1800" w:type="dxa"/>
            <w:noWrap w:val="0"/>
            <w:vAlign w:val="center"/>
          </w:tcPr>
          <w:p w14:paraId="1A941357">
            <w:pPr>
              <w:jc w:val="center"/>
              <w:rPr>
                <w:rFonts w:hint="eastAsia" w:ascii="宋体" w:hAnsi="宋体" w:eastAsia="宋体" w:cs="宋体"/>
                <w:color w:val="auto"/>
                <w:sz w:val="24"/>
                <w:szCs w:val="24"/>
                <w:highlight w:val="none"/>
              </w:rPr>
            </w:pPr>
          </w:p>
        </w:tc>
        <w:tc>
          <w:tcPr>
            <w:tcW w:w="1260" w:type="dxa"/>
            <w:noWrap w:val="0"/>
            <w:vAlign w:val="center"/>
          </w:tcPr>
          <w:p w14:paraId="78B868A0">
            <w:pPr>
              <w:jc w:val="center"/>
              <w:rPr>
                <w:rFonts w:hint="eastAsia" w:ascii="宋体" w:hAnsi="宋体" w:eastAsia="宋体" w:cs="宋体"/>
                <w:color w:val="auto"/>
                <w:sz w:val="24"/>
                <w:szCs w:val="24"/>
                <w:highlight w:val="none"/>
              </w:rPr>
            </w:pPr>
          </w:p>
        </w:tc>
        <w:tc>
          <w:tcPr>
            <w:tcW w:w="720" w:type="dxa"/>
            <w:noWrap w:val="0"/>
            <w:vAlign w:val="center"/>
          </w:tcPr>
          <w:p w14:paraId="3EF18C3B">
            <w:pPr>
              <w:jc w:val="center"/>
              <w:rPr>
                <w:rFonts w:hint="eastAsia" w:ascii="宋体" w:hAnsi="宋体" w:eastAsia="宋体" w:cs="宋体"/>
                <w:color w:val="auto"/>
                <w:sz w:val="24"/>
                <w:szCs w:val="24"/>
                <w:highlight w:val="none"/>
              </w:rPr>
            </w:pPr>
          </w:p>
        </w:tc>
        <w:tc>
          <w:tcPr>
            <w:tcW w:w="1260" w:type="dxa"/>
            <w:noWrap w:val="0"/>
            <w:vAlign w:val="center"/>
          </w:tcPr>
          <w:p w14:paraId="7CAED7AB">
            <w:pPr>
              <w:jc w:val="center"/>
              <w:rPr>
                <w:rFonts w:hint="eastAsia" w:ascii="宋体" w:hAnsi="宋体" w:eastAsia="宋体" w:cs="宋体"/>
                <w:color w:val="auto"/>
                <w:sz w:val="24"/>
                <w:szCs w:val="24"/>
                <w:highlight w:val="none"/>
              </w:rPr>
            </w:pPr>
          </w:p>
        </w:tc>
        <w:tc>
          <w:tcPr>
            <w:tcW w:w="1260" w:type="dxa"/>
            <w:noWrap w:val="0"/>
            <w:vAlign w:val="center"/>
          </w:tcPr>
          <w:p w14:paraId="607773F4">
            <w:pPr>
              <w:jc w:val="center"/>
              <w:rPr>
                <w:rFonts w:hint="eastAsia" w:ascii="宋体" w:hAnsi="宋体" w:eastAsia="宋体" w:cs="宋体"/>
                <w:color w:val="auto"/>
                <w:sz w:val="24"/>
                <w:szCs w:val="24"/>
                <w:highlight w:val="none"/>
              </w:rPr>
            </w:pPr>
          </w:p>
        </w:tc>
        <w:tc>
          <w:tcPr>
            <w:tcW w:w="900" w:type="dxa"/>
            <w:noWrap w:val="0"/>
            <w:vAlign w:val="center"/>
          </w:tcPr>
          <w:p w14:paraId="11CB2AB8">
            <w:pPr>
              <w:jc w:val="center"/>
              <w:rPr>
                <w:rFonts w:hint="eastAsia" w:ascii="宋体" w:hAnsi="宋体" w:eastAsia="宋体" w:cs="宋体"/>
                <w:color w:val="auto"/>
                <w:sz w:val="24"/>
                <w:szCs w:val="24"/>
                <w:highlight w:val="none"/>
              </w:rPr>
            </w:pPr>
          </w:p>
        </w:tc>
        <w:tc>
          <w:tcPr>
            <w:tcW w:w="1980" w:type="dxa"/>
            <w:noWrap w:val="0"/>
            <w:vAlign w:val="center"/>
          </w:tcPr>
          <w:p w14:paraId="3663A0B6">
            <w:pPr>
              <w:jc w:val="center"/>
              <w:rPr>
                <w:rFonts w:hint="eastAsia" w:ascii="宋体" w:hAnsi="宋体" w:eastAsia="宋体" w:cs="宋体"/>
                <w:color w:val="auto"/>
                <w:sz w:val="24"/>
                <w:szCs w:val="24"/>
                <w:highlight w:val="none"/>
              </w:rPr>
            </w:pPr>
          </w:p>
        </w:tc>
      </w:tr>
      <w:tr w14:paraId="4F254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754F98C8">
            <w:pPr>
              <w:jc w:val="center"/>
              <w:rPr>
                <w:rFonts w:hint="eastAsia" w:ascii="宋体" w:hAnsi="宋体" w:eastAsia="宋体" w:cs="宋体"/>
                <w:color w:val="auto"/>
                <w:sz w:val="24"/>
                <w:szCs w:val="24"/>
                <w:highlight w:val="none"/>
              </w:rPr>
            </w:pPr>
          </w:p>
        </w:tc>
        <w:tc>
          <w:tcPr>
            <w:tcW w:w="1800" w:type="dxa"/>
            <w:noWrap w:val="0"/>
            <w:vAlign w:val="center"/>
          </w:tcPr>
          <w:p w14:paraId="6167792E">
            <w:pPr>
              <w:jc w:val="center"/>
              <w:rPr>
                <w:rFonts w:hint="eastAsia" w:ascii="宋体" w:hAnsi="宋体" w:eastAsia="宋体" w:cs="宋体"/>
                <w:color w:val="auto"/>
                <w:sz w:val="24"/>
                <w:szCs w:val="24"/>
                <w:highlight w:val="none"/>
              </w:rPr>
            </w:pPr>
          </w:p>
        </w:tc>
        <w:tc>
          <w:tcPr>
            <w:tcW w:w="1260" w:type="dxa"/>
            <w:noWrap w:val="0"/>
            <w:vAlign w:val="center"/>
          </w:tcPr>
          <w:p w14:paraId="08CA2B3A">
            <w:pPr>
              <w:jc w:val="center"/>
              <w:rPr>
                <w:rFonts w:hint="eastAsia" w:ascii="宋体" w:hAnsi="宋体" w:eastAsia="宋体" w:cs="宋体"/>
                <w:color w:val="auto"/>
                <w:sz w:val="24"/>
                <w:szCs w:val="24"/>
                <w:highlight w:val="none"/>
              </w:rPr>
            </w:pPr>
          </w:p>
        </w:tc>
        <w:tc>
          <w:tcPr>
            <w:tcW w:w="720" w:type="dxa"/>
            <w:noWrap w:val="0"/>
            <w:vAlign w:val="center"/>
          </w:tcPr>
          <w:p w14:paraId="424D1296">
            <w:pPr>
              <w:jc w:val="center"/>
              <w:rPr>
                <w:rFonts w:hint="eastAsia" w:ascii="宋体" w:hAnsi="宋体" w:eastAsia="宋体" w:cs="宋体"/>
                <w:color w:val="auto"/>
                <w:sz w:val="24"/>
                <w:szCs w:val="24"/>
                <w:highlight w:val="none"/>
              </w:rPr>
            </w:pPr>
          </w:p>
        </w:tc>
        <w:tc>
          <w:tcPr>
            <w:tcW w:w="1260" w:type="dxa"/>
            <w:noWrap w:val="0"/>
            <w:vAlign w:val="center"/>
          </w:tcPr>
          <w:p w14:paraId="23965E38">
            <w:pPr>
              <w:jc w:val="center"/>
              <w:rPr>
                <w:rFonts w:hint="eastAsia" w:ascii="宋体" w:hAnsi="宋体" w:eastAsia="宋体" w:cs="宋体"/>
                <w:color w:val="auto"/>
                <w:sz w:val="24"/>
                <w:szCs w:val="24"/>
                <w:highlight w:val="none"/>
              </w:rPr>
            </w:pPr>
          </w:p>
        </w:tc>
        <w:tc>
          <w:tcPr>
            <w:tcW w:w="1260" w:type="dxa"/>
            <w:noWrap w:val="0"/>
            <w:vAlign w:val="center"/>
          </w:tcPr>
          <w:p w14:paraId="58F0C7E9">
            <w:pPr>
              <w:jc w:val="center"/>
              <w:rPr>
                <w:rFonts w:hint="eastAsia" w:ascii="宋体" w:hAnsi="宋体" w:eastAsia="宋体" w:cs="宋体"/>
                <w:color w:val="auto"/>
                <w:sz w:val="24"/>
                <w:szCs w:val="24"/>
                <w:highlight w:val="none"/>
              </w:rPr>
            </w:pPr>
          </w:p>
        </w:tc>
        <w:tc>
          <w:tcPr>
            <w:tcW w:w="900" w:type="dxa"/>
            <w:noWrap w:val="0"/>
            <w:vAlign w:val="center"/>
          </w:tcPr>
          <w:p w14:paraId="3567F0A4">
            <w:pPr>
              <w:jc w:val="center"/>
              <w:rPr>
                <w:rFonts w:hint="eastAsia" w:ascii="宋体" w:hAnsi="宋体" w:eastAsia="宋体" w:cs="宋体"/>
                <w:color w:val="auto"/>
                <w:sz w:val="24"/>
                <w:szCs w:val="24"/>
                <w:highlight w:val="none"/>
              </w:rPr>
            </w:pPr>
          </w:p>
        </w:tc>
        <w:tc>
          <w:tcPr>
            <w:tcW w:w="1980" w:type="dxa"/>
            <w:noWrap w:val="0"/>
            <w:vAlign w:val="center"/>
          </w:tcPr>
          <w:p w14:paraId="584A20D1">
            <w:pPr>
              <w:jc w:val="center"/>
              <w:rPr>
                <w:rFonts w:hint="eastAsia" w:ascii="宋体" w:hAnsi="宋体" w:eastAsia="宋体" w:cs="宋体"/>
                <w:color w:val="auto"/>
                <w:sz w:val="24"/>
                <w:szCs w:val="24"/>
                <w:highlight w:val="none"/>
              </w:rPr>
            </w:pPr>
          </w:p>
        </w:tc>
      </w:tr>
      <w:tr w14:paraId="5916E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24F04BEE">
            <w:pPr>
              <w:jc w:val="center"/>
              <w:rPr>
                <w:rFonts w:hint="eastAsia" w:ascii="宋体" w:hAnsi="宋体" w:eastAsia="宋体" w:cs="宋体"/>
                <w:color w:val="auto"/>
                <w:sz w:val="24"/>
                <w:szCs w:val="24"/>
                <w:highlight w:val="none"/>
              </w:rPr>
            </w:pPr>
          </w:p>
        </w:tc>
        <w:tc>
          <w:tcPr>
            <w:tcW w:w="1800" w:type="dxa"/>
            <w:noWrap w:val="0"/>
            <w:vAlign w:val="center"/>
          </w:tcPr>
          <w:p w14:paraId="03D4D1AB">
            <w:pPr>
              <w:jc w:val="center"/>
              <w:rPr>
                <w:rFonts w:hint="eastAsia" w:ascii="宋体" w:hAnsi="宋体" w:eastAsia="宋体" w:cs="宋体"/>
                <w:color w:val="auto"/>
                <w:sz w:val="24"/>
                <w:szCs w:val="24"/>
                <w:highlight w:val="none"/>
              </w:rPr>
            </w:pPr>
          </w:p>
        </w:tc>
        <w:tc>
          <w:tcPr>
            <w:tcW w:w="1260" w:type="dxa"/>
            <w:noWrap w:val="0"/>
            <w:vAlign w:val="center"/>
          </w:tcPr>
          <w:p w14:paraId="4F09E162">
            <w:pPr>
              <w:jc w:val="center"/>
              <w:rPr>
                <w:rFonts w:hint="eastAsia" w:ascii="宋体" w:hAnsi="宋体" w:eastAsia="宋体" w:cs="宋体"/>
                <w:color w:val="auto"/>
                <w:sz w:val="24"/>
                <w:szCs w:val="24"/>
                <w:highlight w:val="none"/>
              </w:rPr>
            </w:pPr>
          </w:p>
        </w:tc>
        <w:tc>
          <w:tcPr>
            <w:tcW w:w="720" w:type="dxa"/>
            <w:noWrap w:val="0"/>
            <w:vAlign w:val="center"/>
          </w:tcPr>
          <w:p w14:paraId="7447A5EB">
            <w:pPr>
              <w:jc w:val="center"/>
              <w:rPr>
                <w:rFonts w:hint="eastAsia" w:ascii="宋体" w:hAnsi="宋体" w:eastAsia="宋体" w:cs="宋体"/>
                <w:color w:val="auto"/>
                <w:sz w:val="24"/>
                <w:szCs w:val="24"/>
                <w:highlight w:val="none"/>
              </w:rPr>
            </w:pPr>
          </w:p>
        </w:tc>
        <w:tc>
          <w:tcPr>
            <w:tcW w:w="1260" w:type="dxa"/>
            <w:noWrap w:val="0"/>
            <w:vAlign w:val="center"/>
          </w:tcPr>
          <w:p w14:paraId="4E6A1601">
            <w:pPr>
              <w:jc w:val="center"/>
              <w:rPr>
                <w:rFonts w:hint="eastAsia" w:ascii="宋体" w:hAnsi="宋体" w:eastAsia="宋体" w:cs="宋体"/>
                <w:color w:val="auto"/>
                <w:sz w:val="24"/>
                <w:szCs w:val="24"/>
                <w:highlight w:val="none"/>
              </w:rPr>
            </w:pPr>
          </w:p>
        </w:tc>
        <w:tc>
          <w:tcPr>
            <w:tcW w:w="1260" w:type="dxa"/>
            <w:noWrap w:val="0"/>
            <w:vAlign w:val="center"/>
          </w:tcPr>
          <w:p w14:paraId="681ABBDB">
            <w:pPr>
              <w:jc w:val="center"/>
              <w:rPr>
                <w:rFonts w:hint="eastAsia" w:ascii="宋体" w:hAnsi="宋体" w:eastAsia="宋体" w:cs="宋体"/>
                <w:color w:val="auto"/>
                <w:sz w:val="24"/>
                <w:szCs w:val="24"/>
                <w:highlight w:val="none"/>
              </w:rPr>
            </w:pPr>
          </w:p>
        </w:tc>
        <w:tc>
          <w:tcPr>
            <w:tcW w:w="900" w:type="dxa"/>
            <w:noWrap w:val="0"/>
            <w:vAlign w:val="center"/>
          </w:tcPr>
          <w:p w14:paraId="11DFBF83">
            <w:pPr>
              <w:jc w:val="center"/>
              <w:rPr>
                <w:rFonts w:hint="eastAsia" w:ascii="宋体" w:hAnsi="宋体" w:eastAsia="宋体" w:cs="宋体"/>
                <w:color w:val="auto"/>
                <w:sz w:val="24"/>
                <w:szCs w:val="24"/>
                <w:highlight w:val="none"/>
              </w:rPr>
            </w:pPr>
          </w:p>
        </w:tc>
        <w:tc>
          <w:tcPr>
            <w:tcW w:w="1980" w:type="dxa"/>
            <w:noWrap w:val="0"/>
            <w:vAlign w:val="center"/>
          </w:tcPr>
          <w:p w14:paraId="52E32CC2">
            <w:pPr>
              <w:jc w:val="center"/>
              <w:rPr>
                <w:rFonts w:hint="eastAsia" w:ascii="宋体" w:hAnsi="宋体" w:eastAsia="宋体" w:cs="宋体"/>
                <w:color w:val="auto"/>
                <w:sz w:val="24"/>
                <w:szCs w:val="24"/>
                <w:highlight w:val="none"/>
              </w:rPr>
            </w:pPr>
          </w:p>
        </w:tc>
      </w:tr>
      <w:tr w14:paraId="0FCF3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5DEF888D">
            <w:pPr>
              <w:jc w:val="center"/>
              <w:rPr>
                <w:rFonts w:hint="eastAsia" w:ascii="宋体" w:hAnsi="宋体" w:eastAsia="宋体" w:cs="宋体"/>
                <w:color w:val="auto"/>
                <w:sz w:val="24"/>
                <w:szCs w:val="24"/>
                <w:highlight w:val="none"/>
              </w:rPr>
            </w:pPr>
          </w:p>
        </w:tc>
        <w:tc>
          <w:tcPr>
            <w:tcW w:w="1800" w:type="dxa"/>
            <w:noWrap w:val="0"/>
            <w:vAlign w:val="center"/>
          </w:tcPr>
          <w:p w14:paraId="1AF1CF91">
            <w:pPr>
              <w:jc w:val="center"/>
              <w:rPr>
                <w:rFonts w:hint="eastAsia" w:ascii="宋体" w:hAnsi="宋体" w:eastAsia="宋体" w:cs="宋体"/>
                <w:color w:val="auto"/>
                <w:sz w:val="24"/>
                <w:szCs w:val="24"/>
                <w:highlight w:val="none"/>
              </w:rPr>
            </w:pPr>
          </w:p>
        </w:tc>
        <w:tc>
          <w:tcPr>
            <w:tcW w:w="1260" w:type="dxa"/>
            <w:noWrap w:val="0"/>
            <w:vAlign w:val="center"/>
          </w:tcPr>
          <w:p w14:paraId="2ADF2388">
            <w:pPr>
              <w:jc w:val="center"/>
              <w:rPr>
                <w:rFonts w:hint="eastAsia" w:ascii="宋体" w:hAnsi="宋体" w:eastAsia="宋体" w:cs="宋体"/>
                <w:color w:val="auto"/>
                <w:sz w:val="24"/>
                <w:szCs w:val="24"/>
                <w:highlight w:val="none"/>
              </w:rPr>
            </w:pPr>
          </w:p>
        </w:tc>
        <w:tc>
          <w:tcPr>
            <w:tcW w:w="720" w:type="dxa"/>
            <w:noWrap w:val="0"/>
            <w:vAlign w:val="center"/>
          </w:tcPr>
          <w:p w14:paraId="6B42430D">
            <w:pPr>
              <w:jc w:val="center"/>
              <w:rPr>
                <w:rFonts w:hint="eastAsia" w:ascii="宋体" w:hAnsi="宋体" w:eastAsia="宋体" w:cs="宋体"/>
                <w:color w:val="auto"/>
                <w:sz w:val="24"/>
                <w:szCs w:val="24"/>
                <w:highlight w:val="none"/>
              </w:rPr>
            </w:pPr>
          </w:p>
        </w:tc>
        <w:tc>
          <w:tcPr>
            <w:tcW w:w="1260" w:type="dxa"/>
            <w:noWrap w:val="0"/>
            <w:vAlign w:val="center"/>
          </w:tcPr>
          <w:p w14:paraId="730A58CA">
            <w:pPr>
              <w:jc w:val="center"/>
              <w:rPr>
                <w:rFonts w:hint="eastAsia" w:ascii="宋体" w:hAnsi="宋体" w:eastAsia="宋体" w:cs="宋体"/>
                <w:color w:val="auto"/>
                <w:sz w:val="24"/>
                <w:szCs w:val="24"/>
                <w:highlight w:val="none"/>
              </w:rPr>
            </w:pPr>
          </w:p>
        </w:tc>
        <w:tc>
          <w:tcPr>
            <w:tcW w:w="1260" w:type="dxa"/>
            <w:noWrap w:val="0"/>
            <w:vAlign w:val="center"/>
          </w:tcPr>
          <w:p w14:paraId="583D4207">
            <w:pPr>
              <w:jc w:val="center"/>
              <w:rPr>
                <w:rFonts w:hint="eastAsia" w:ascii="宋体" w:hAnsi="宋体" w:eastAsia="宋体" w:cs="宋体"/>
                <w:color w:val="auto"/>
                <w:sz w:val="24"/>
                <w:szCs w:val="24"/>
                <w:highlight w:val="none"/>
              </w:rPr>
            </w:pPr>
          </w:p>
        </w:tc>
        <w:tc>
          <w:tcPr>
            <w:tcW w:w="900" w:type="dxa"/>
            <w:noWrap w:val="0"/>
            <w:vAlign w:val="center"/>
          </w:tcPr>
          <w:p w14:paraId="7A29D07A">
            <w:pPr>
              <w:jc w:val="center"/>
              <w:rPr>
                <w:rFonts w:hint="eastAsia" w:ascii="宋体" w:hAnsi="宋体" w:eastAsia="宋体" w:cs="宋体"/>
                <w:color w:val="auto"/>
                <w:sz w:val="24"/>
                <w:szCs w:val="24"/>
                <w:highlight w:val="none"/>
              </w:rPr>
            </w:pPr>
          </w:p>
        </w:tc>
        <w:tc>
          <w:tcPr>
            <w:tcW w:w="1980" w:type="dxa"/>
            <w:noWrap w:val="0"/>
            <w:vAlign w:val="center"/>
          </w:tcPr>
          <w:p w14:paraId="56C2211D">
            <w:pPr>
              <w:jc w:val="center"/>
              <w:rPr>
                <w:rFonts w:hint="eastAsia" w:ascii="宋体" w:hAnsi="宋体" w:eastAsia="宋体" w:cs="宋体"/>
                <w:color w:val="auto"/>
                <w:sz w:val="24"/>
                <w:szCs w:val="24"/>
                <w:highlight w:val="none"/>
              </w:rPr>
            </w:pPr>
          </w:p>
        </w:tc>
      </w:tr>
      <w:tr w14:paraId="39659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0EFEEB70">
            <w:pPr>
              <w:jc w:val="center"/>
              <w:rPr>
                <w:rFonts w:hint="eastAsia" w:ascii="宋体" w:hAnsi="宋体" w:eastAsia="宋体" w:cs="宋体"/>
                <w:color w:val="auto"/>
                <w:sz w:val="24"/>
                <w:szCs w:val="24"/>
                <w:highlight w:val="none"/>
              </w:rPr>
            </w:pPr>
          </w:p>
        </w:tc>
        <w:tc>
          <w:tcPr>
            <w:tcW w:w="1800" w:type="dxa"/>
            <w:noWrap w:val="0"/>
            <w:vAlign w:val="center"/>
          </w:tcPr>
          <w:p w14:paraId="0ACED5AF">
            <w:pPr>
              <w:jc w:val="center"/>
              <w:rPr>
                <w:rFonts w:hint="eastAsia" w:ascii="宋体" w:hAnsi="宋体" w:eastAsia="宋体" w:cs="宋体"/>
                <w:color w:val="auto"/>
                <w:sz w:val="24"/>
                <w:szCs w:val="24"/>
                <w:highlight w:val="none"/>
              </w:rPr>
            </w:pPr>
          </w:p>
        </w:tc>
        <w:tc>
          <w:tcPr>
            <w:tcW w:w="1260" w:type="dxa"/>
            <w:noWrap w:val="0"/>
            <w:vAlign w:val="center"/>
          </w:tcPr>
          <w:p w14:paraId="29B85057">
            <w:pPr>
              <w:jc w:val="center"/>
              <w:rPr>
                <w:rFonts w:hint="eastAsia" w:ascii="宋体" w:hAnsi="宋体" w:eastAsia="宋体" w:cs="宋体"/>
                <w:color w:val="auto"/>
                <w:sz w:val="24"/>
                <w:szCs w:val="24"/>
                <w:highlight w:val="none"/>
              </w:rPr>
            </w:pPr>
          </w:p>
        </w:tc>
        <w:tc>
          <w:tcPr>
            <w:tcW w:w="720" w:type="dxa"/>
            <w:noWrap w:val="0"/>
            <w:vAlign w:val="center"/>
          </w:tcPr>
          <w:p w14:paraId="60CF8525">
            <w:pPr>
              <w:jc w:val="center"/>
              <w:rPr>
                <w:rFonts w:hint="eastAsia" w:ascii="宋体" w:hAnsi="宋体" w:eastAsia="宋体" w:cs="宋体"/>
                <w:color w:val="auto"/>
                <w:sz w:val="24"/>
                <w:szCs w:val="24"/>
                <w:highlight w:val="none"/>
              </w:rPr>
            </w:pPr>
          </w:p>
        </w:tc>
        <w:tc>
          <w:tcPr>
            <w:tcW w:w="1260" w:type="dxa"/>
            <w:noWrap w:val="0"/>
            <w:vAlign w:val="center"/>
          </w:tcPr>
          <w:p w14:paraId="725A3C4E">
            <w:pPr>
              <w:jc w:val="center"/>
              <w:rPr>
                <w:rFonts w:hint="eastAsia" w:ascii="宋体" w:hAnsi="宋体" w:eastAsia="宋体" w:cs="宋体"/>
                <w:color w:val="auto"/>
                <w:sz w:val="24"/>
                <w:szCs w:val="24"/>
                <w:highlight w:val="none"/>
              </w:rPr>
            </w:pPr>
          </w:p>
        </w:tc>
        <w:tc>
          <w:tcPr>
            <w:tcW w:w="1260" w:type="dxa"/>
            <w:noWrap w:val="0"/>
            <w:vAlign w:val="center"/>
          </w:tcPr>
          <w:p w14:paraId="2579B23D">
            <w:pPr>
              <w:jc w:val="center"/>
              <w:rPr>
                <w:rFonts w:hint="eastAsia" w:ascii="宋体" w:hAnsi="宋体" w:eastAsia="宋体" w:cs="宋体"/>
                <w:color w:val="auto"/>
                <w:sz w:val="24"/>
                <w:szCs w:val="24"/>
                <w:highlight w:val="none"/>
              </w:rPr>
            </w:pPr>
          </w:p>
        </w:tc>
        <w:tc>
          <w:tcPr>
            <w:tcW w:w="900" w:type="dxa"/>
            <w:noWrap w:val="0"/>
            <w:vAlign w:val="center"/>
          </w:tcPr>
          <w:p w14:paraId="0D0A2ED0">
            <w:pPr>
              <w:jc w:val="center"/>
              <w:rPr>
                <w:rFonts w:hint="eastAsia" w:ascii="宋体" w:hAnsi="宋体" w:eastAsia="宋体" w:cs="宋体"/>
                <w:color w:val="auto"/>
                <w:sz w:val="24"/>
                <w:szCs w:val="24"/>
                <w:highlight w:val="none"/>
              </w:rPr>
            </w:pPr>
          </w:p>
        </w:tc>
        <w:tc>
          <w:tcPr>
            <w:tcW w:w="1980" w:type="dxa"/>
            <w:noWrap w:val="0"/>
            <w:vAlign w:val="center"/>
          </w:tcPr>
          <w:p w14:paraId="75D4E0AA">
            <w:pPr>
              <w:jc w:val="center"/>
              <w:rPr>
                <w:rFonts w:hint="eastAsia" w:ascii="宋体" w:hAnsi="宋体" w:eastAsia="宋体" w:cs="宋体"/>
                <w:color w:val="auto"/>
                <w:sz w:val="24"/>
                <w:szCs w:val="24"/>
                <w:highlight w:val="none"/>
              </w:rPr>
            </w:pPr>
          </w:p>
        </w:tc>
      </w:tr>
      <w:tr w14:paraId="3FA6F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4260DDE6">
            <w:pPr>
              <w:jc w:val="center"/>
              <w:rPr>
                <w:rFonts w:hint="eastAsia" w:ascii="宋体" w:hAnsi="宋体" w:eastAsia="宋体" w:cs="宋体"/>
                <w:color w:val="auto"/>
                <w:sz w:val="24"/>
                <w:szCs w:val="24"/>
                <w:highlight w:val="none"/>
              </w:rPr>
            </w:pPr>
          </w:p>
        </w:tc>
        <w:tc>
          <w:tcPr>
            <w:tcW w:w="1800" w:type="dxa"/>
            <w:noWrap w:val="0"/>
            <w:vAlign w:val="center"/>
          </w:tcPr>
          <w:p w14:paraId="5B6A24B0">
            <w:pPr>
              <w:jc w:val="center"/>
              <w:rPr>
                <w:rFonts w:hint="eastAsia" w:ascii="宋体" w:hAnsi="宋体" w:eastAsia="宋体" w:cs="宋体"/>
                <w:color w:val="auto"/>
                <w:sz w:val="24"/>
                <w:szCs w:val="24"/>
                <w:highlight w:val="none"/>
              </w:rPr>
            </w:pPr>
          </w:p>
        </w:tc>
        <w:tc>
          <w:tcPr>
            <w:tcW w:w="1260" w:type="dxa"/>
            <w:noWrap w:val="0"/>
            <w:vAlign w:val="center"/>
          </w:tcPr>
          <w:p w14:paraId="628A5137">
            <w:pPr>
              <w:jc w:val="center"/>
              <w:rPr>
                <w:rFonts w:hint="eastAsia" w:ascii="宋体" w:hAnsi="宋体" w:eastAsia="宋体" w:cs="宋体"/>
                <w:color w:val="auto"/>
                <w:sz w:val="24"/>
                <w:szCs w:val="24"/>
                <w:highlight w:val="none"/>
              </w:rPr>
            </w:pPr>
          </w:p>
        </w:tc>
        <w:tc>
          <w:tcPr>
            <w:tcW w:w="720" w:type="dxa"/>
            <w:noWrap w:val="0"/>
            <w:vAlign w:val="center"/>
          </w:tcPr>
          <w:p w14:paraId="2FFF0545">
            <w:pPr>
              <w:jc w:val="center"/>
              <w:rPr>
                <w:rFonts w:hint="eastAsia" w:ascii="宋体" w:hAnsi="宋体" w:eastAsia="宋体" w:cs="宋体"/>
                <w:color w:val="auto"/>
                <w:sz w:val="24"/>
                <w:szCs w:val="24"/>
                <w:highlight w:val="none"/>
              </w:rPr>
            </w:pPr>
          </w:p>
        </w:tc>
        <w:tc>
          <w:tcPr>
            <w:tcW w:w="1260" w:type="dxa"/>
            <w:noWrap w:val="0"/>
            <w:vAlign w:val="center"/>
          </w:tcPr>
          <w:p w14:paraId="26639743">
            <w:pPr>
              <w:jc w:val="center"/>
              <w:rPr>
                <w:rFonts w:hint="eastAsia" w:ascii="宋体" w:hAnsi="宋体" w:eastAsia="宋体" w:cs="宋体"/>
                <w:color w:val="auto"/>
                <w:sz w:val="24"/>
                <w:szCs w:val="24"/>
                <w:highlight w:val="none"/>
              </w:rPr>
            </w:pPr>
          </w:p>
        </w:tc>
        <w:tc>
          <w:tcPr>
            <w:tcW w:w="1260" w:type="dxa"/>
            <w:noWrap w:val="0"/>
            <w:vAlign w:val="center"/>
          </w:tcPr>
          <w:p w14:paraId="178462B0">
            <w:pPr>
              <w:jc w:val="center"/>
              <w:rPr>
                <w:rFonts w:hint="eastAsia" w:ascii="宋体" w:hAnsi="宋体" w:eastAsia="宋体" w:cs="宋体"/>
                <w:color w:val="auto"/>
                <w:sz w:val="24"/>
                <w:szCs w:val="24"/>
                <w:highlight w:val="none"/>
              </w:rPr>
            </w:pPr>
          </w:p>
        </w:tc>
        <w:tc>
          <w:tcPr>
            <w:tcW w:w="900" w:type="dxa"/>
            <w:noWrap w:val="0"/>
            <w:vAlign w:val="center"/>
          </w:tcPr>
          <w:p w14:paraId="179577F6">
            <w:pPr>
              <w:jc w:val="center"/>
              <w:rPr>
                <w:rFonts w:hint="eastAsia" w:ascii="宋体" w:hAnsi="宋体" w:eastAsia="宋体" w:cs="宋体"/>
                <w:color w:val="auto"/>
                <w:sz w:val="24"/>
                <w:szCs w:val="24"/>
                <w:highlight w:val="none"/>
              </w:rPr>
            </w:pPr>
          </w:p>
        </w:tc>
        <w:tc>
          <w:tcPr>
            <w:tcW w:w="1980" w:type="dxa"/>
            <w:noWrap w:val="0"/>
            <w:vAlign w:val="center"/>
          </w:tcPr>
          <w:p w14:paraId="2A4B5A7B">
            <w:pPr>
              <w:jc w:val="center"/>
              <w:rPr>
                <w:rFonts w:hint="eastAsia" w:ascii="宋体" w:hAnsi="宋体" w:eastAsia="宋体" w:cs="宋体"/>
                <w:color w:val="auto"/>
                <w:sz w:val="24"/>
                <w:szCs w:val="24"/>
                <w:highlight w:val="none"/>
              </w:rPr>
            </w:pPr>
          </w:p>
        </w:tc>
      </w:tr>
      <w:tr w14:paraId="07017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25F416AE">
            <w:pPr>
              <w:jc w:val="center"/>
              <w:rPr>
                <w:rFonts w:hint="eastAsia" w:ascii="宋体" w:hAnsi="宋体" w:eastAsia="宋体" w:cs="宋体"/>
                <w:color w:val="auto"/>
                <w:sz w:val="24"/>
                <w:szCs w:val="24"/>
                <w:highlight w:val="none"/>
              </w:rPr>
            </w:pPr>
          </w:p>
        </w:tc>
        <w:tc>
          <w:tcPr>
            <w:tcW w:w="1800" w:type="dxa"/>
            <w:noWrap w:val="0"/>
            <w:vAlign w:val="center"/>
          </w:tcPr>
          <w:p w14:paraId="55626BBA">
            <w:pPr>
              <w:jc w:val="center"/>
              <w:rPr>
                <w:rFonts w:hint="eastAsia" w:ascii="宋体" w:hAnsi="宋体" w:eastAsia="宋体" w:cs="宋体"/>
                <w:color w:val="auto"/>
                <w:sz w:val="24"/>
                <w:szCs w:val="24"/>
                <w:highlight w:val="none"/>
              </w:rPr>
            </w:pPr>
          </w:p>
        </w:tc>
        <w:tc>
          <w:tcPr>
            <w:tcW w:w="1260" w:type="dxa"/>
            <w:noWrap w:val="0"/>
            <w:vAlign w:val="center"/>
          </w:tcPr>
          <w:p w14:paraId="0155307F">
            <w:pPr>
              <w:jc w:val="center"/>
              <w:rPr>
                <w:rFonts w:hint="eastAsia" w:ascii="宋体" w:hAnsi="宋体" w:eastAsia="宋体" w:cs="宋体"/>
                <w:color w:val="auto"/>
                <w:sz w:val="24"/>
                <w:szCs w:val="24"/>
                <w:highlight w:val="none"/>
              </w:rPr>
            </w:pPr>
          </w:p>
        </w:tc>
        <w:tc>
          <w:tcPr>
            <w:tcW w:w="720" w:type="dxa"/>
            <w:noWrap w:val="0"/>
            <w:vAlign w:val="center"/>
          </w:tcPr>
          <w:p w14:paraId="1739C7A6">
            <w:pPr>
              <w:jc w:val="center"/>
              <w:rPr>
                <w:rFonts w:hint="eastAsia" w:ascii="宋体" w:hAnsi="宋体" w:eastAsia="宋体" w:cs="宋体"/>
                <w:color w:val="auto"/>
                <w:sz w:val="24"/>
                <w:szCs w:val="24"/>
                <w:highlight w:val="none"/>
              </w:rPr>
            </w:pPr>
          </w:p>
        </w:tc>
        <w:tc>
          <w:tcPr>
            <w:tcW w:w="1260" w:type="dxa"/>
            <w:noWrap w:val="0"/>
            <w:vAlign w:val="center"/>
          </w:tcPr>
          <w:p w14:paraId="6D155AFA">
            <w:pPr>
              <w:jc w:val="center"/>
              <w:rPr>
                <w:rFonts w:hint="eastAsia" w:ascii="宋体" w:hAnsi="宋体" w:eastAsia="宋体" w:cs="宋体"/>
                <w:color w:val="auto"/>
                <w:sz w:val="24"/>
                <w:szCs w:val="24"/>
                <w:highlight w:val="none"/>
              </w:rPr>
            </w:pPr>
          </w:p>
        </w:tc>
        <w:tc>
          <w:tcPr>
            <w:tcW w:w="1260" w:type="dxa"/>
            <w:noWrap w:val="0"/>
            <w:vAlign w:val="center"/>
          </w:tcPr>
          <w:p w14:paraId="0196F1F8">
            <w:pPr>
              <w:jc w:val="center"/>
              <w:rPr>
                <w:rFonts w:hint="eastAsia" w:ascii="宋体" w:hAnsi="宋体" w:eastAsia="宋体" w:cs="宋体"/>
                <w:color w:val="auto"/>
                <w:sz w:val="24"/>
                <w:szCs w:val="24"/>
                <w:highlight w:val="none"/>
              </w:rPr>
            </w:pPr>
          </w:p>
        </w:tc>
        <w:tc>
          <w:tcPr>
            <w:tcW w:w="900" w:type="dxa"/>
            <w:noWrap w:val="0"/>
            <w:vAlign w:val="center"/>
          </w:tcPr>
          <w:p w14:paraId="3ED7242D">
            <w:pPr>
              <w:jc w:val="center"/>
              <w:rPr>
                <w:rFonts w:hint="eastAsia" w:ascii="宋体" w:hAnsi="宋体" w:eastAsia="宋体" w:cs="宋体"/>
                <w:color w:val="auto"/>
                <w:sz w:val="24"/>
                <w:szCs w:val="24"/>
                <w:highlight w:val="none"/>
              </w:rPr>
            </w:pPr>
          </w:p>
        </w:tc>
        <w:tc>
          <w:tcPr>
            <w:tcW w:w="1980" w:type="dxa"/>
            <w:noWrap w:val="0"/>
            <w:vAlign w:val="center"/>
          </w:tcPr>
          <w:p w14:paraId="4EEEE711">
            <w:pPr>
              <w:jc w:val="center"/>
              <w:rPr>
                <w:rFonts w:hint="eastAsia" w:ascii="宋体" w:hAnsi="宋体" w:eastAsia="宋体" w:cs="宋体"/>
                <w:color w:val="auto"/>
                <w:sz w:val="24"/>
                <w:szCs w:val="24"/>
                <w:highlight w:val="none"/>
              </w:rPr>
            </w:pPr>
          </w:p>
        </w:tc>
      </w:tr>
      <w:tr w14:paraId="3C668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4B922835">
            <w:pPr>
              <w:jc w:val="center"/>
              <w:rPr>
                <w:rFonts w:hint="eastAsia" w:ascii="宋体" w:hAnsi="宋体" w:eastAsia="宋体" w:cs="宋体"/>
                <w:color w:val="auto"/>
                <w:sz w:val="24"/>
                <w:szCs w:val="24"/>
                <w:highlight w:val="none"/>
              </w:rPr>
            </w:pPr>
          </w:p>
        </w:tc>
        <w:tc>
          <w:tcPr>
            <w:tcW w:w="1800" w:type="dxa"/>
            <w:noWrap w:val="0"/>
            <w:vAlign w:val="center"/>
          </w:tcPr>
          <w:p w14:paraId="2F2D6D53">
            <w:pPr>
              <w:jc w:val="center"/>
              <w:rPr>
                <w:rFonts w:hint="eastAsia" w:ascii="宋体" w:hAnsi="宋体" w:eastAsia="宋体" w:cs="宋体"/>
                <w:color w:val="auto"/>
                <w:sz w:val="24"/>
                <w:szCs w:val="24"/>
                <w:highlight w:val="none"/>
              </w:rPr>
            </w:pPr>
          </w:p>
        </w:tc>
        <w:tc>
          <w:tcPr>
            <w:tcW w:w="1260" w:type="dxa"/>
            <w:noWrap w:val="0"/>
            <w:vAlign w:val="center"/>
          </w:tcPr>
          <w:p w14:paraId="3132BCAE">
            <w:pPr>
              <w:jc w:val="center"/>
              <w:rPr>
                <w:rFonts w:hint="eastAsia" w:ascii="宋体" w:hAnsi="宋体" w:eastAsia="宋体" w:cs="宋体"/>
                <w:color w:val="auto"/>
                <w:sz w:val="24"/>
                <w:szCs w:val="24"/>
                <w:highlight w:val="none"/>
              </w:rPr>
            </w:pPr>
          </w:p>
        </w:tc>
        <w:tc>
          <w:tcPr>
            <w:tcW w:w="720" w:type="dxa"/>
            <w:noWrap w:val="0"/>
            <w:vAlign w:val="center"/>
          </w:tcPr>
          <w:p w14:paraId="0CEB5CA0">
            <w:pPr>
              <w:jc w:val="center"/>
              <w:rPr>
                <w:rFonts w:hint="eastAsia" w:ascii="宋体" w:hAnsi="宋体" w:eastAsia="宋体" w:cs="宋体"/>
                <w:color w:val="auto"/>
                <w:sz w:val="24"/>
                <w:szCs w:val="24"/>
                <w:highlight w:val="none"/>
              </w:rPr>
            </w:pPr>
          </w:p>
        </w:tc>
        <w:tc>
          <w:tcPr>
            <w:tcW w:w="1260" w:type="dxa"/>
            <w:noWrap w:val="0"/>
            <w:vAlign w:val="center"/>
          </w:tcPr>
          <w:p w14:paraId="1C6D8F36">
            <w:pPr>
              <w:jc w:val="center"/>
              <w:rPr>
                <w:rFonts w:hint="eastAsia" w:ascii="宋体" w:hAnsi="宋体" w:eastAsia="宋体" w:cs="宋体"/>
                <w:color w:val="auto"/>
                <w:sz w:val="24"/>
                <w:szCs w:val="24"/>
                <w:highlight w:val="none"/>
              </w:rPr>
            </w:pPr>
          </w:p>
        </w:tc>
        <w:tc>
          <w:tcPr>
            <w:tcW w:w="1260" w:type="dxa"/>
            <w:noWrap w:val="0"/>
            <w:vAlign w:val="center"/>
          </w:tcPr>
          <w:p w14:paraId="710903C3">
            <w:pPr>
              <w:jc w:val="center"/>
              <w:rPr>
                <w:rFonts w:hint="eastAsia" w:ascii="宋体" w:hAnsi="宋体" w:eastAsia="宋体" w:cs="宋体"/>
                <w:color w:val="auto"/>
                <w:sz w:val="24"/>
                <w:szCs w:val="24"/>
                <w:highlight w:val="none"/>
              </w:rPr>
            </w:pPr>
          </w:p>
        </w:tc>
        <w:tc>
          <w:tcPr>
            <w:tcW w:w="900" w:type="dxa"/>
            <w:noWrap w:val="0"/>
            <w:vAlign w:val="center"/>
          </w:tcPr>
          <w:p w14:paraId="1D145E78">
            <w:pPr>
              <w:jc w:val="center"/>
              <w:rPr>
                <w:rFonts w:hint="eastAsia" w:ascii="宋体" w:hAnsi="宋体" w:eastAsia="宋体" w:cs="宋体"/>
                <w:color w:val="auto"/>
                <w:sz w:val="24"/>
                <w:szCs w:val="24"/>
                <w:highlight w:val="none"/>
              </w:rPr>
            </w:pPr>
          </w:p>
        </w:tc>
        <w:tc>
          <w:tcPr>
            <w:tcW w:w="1980" w:type="dxa"/>
            <w:noWrap w:val="0"/>
            <w:vAlign w:val="center"/>
          </w:tcPr>
          <w:p w14:paraId="0BA342D9">
            <w:pPr>
              <w:jc w:val="center"/>
              <w:rPr>
                <w:rFonts w:hint="eastAsia" w:ascii="宋体" w:hAnsi="宋体" w:eastAsia="宋体" w:cs="宋体"/>
                <w:color w:val="auto"/>
                <w:sz w:val="24"/>
                <w:szCs w:val="24"/>
                <w:highlight w:val="none"/>
              </w:rPr>
            </w:pPr>
          </w:p>
        </w:tc>
      </w:tr>
      <w:tr w14:paraId="46DAE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6C9CBB8E">
            <w:pPr>
              <w:jc w:val="center"/>
              <w:rPr>
                <w:rFonts w:hint="eastAsia" w:ascii="宋体" w:hAnsi="宋体" w:eastAsia="宋体" w:cs="宋体"/>
                <w:color w:val="auto"/>
                <w:sz w:val="24"/>
                <w:szCs w:val="24"/>
                <w:highlight w:val="none"/>
              </w:rPr>
            </w:pPr>
          </w:p>
        </w:tc>
        <w:tc>
          <w:tcPr>
            <w:tcW w:w="1800" w:type="dxa"/>
            <w:noWrap w:val="0"/>
            <w:vAlign w:val="center"/>
          </w:tcPr>
          <w:p w14:paraId="5FAC17D6">
            <w:pPr>
              <w:jc w:val="center"/>
              <w:rPr>
                <w:rFonts w:hint="eastAsia" w:ascii="宋体" w:hAnsi="宋体" w:eastAsia="宋体" w:cs="宋体"/>
                <w:color w:val="auto"/>
                <w:sz w:val="24"/>
                <w:szCs w:val="24"/>
                <w:highlight w:val="none"/>
              </w:rPr>
            </w:pPr>
          </w:p>
        </w:tc>
        <w:tc>
          <w:tcPr>
            <w:tcW w:w="1260" w:type="dxa"/>
            <w:noWrap w:val="0"/>
            <w:vAlign w:val="center"/>
          </w:tcPr>
          <w:p w14:paraId="1B917C86">
            <w:pPr>
              <w:jc w:val="center"/>
              <w:rPr>
                <w:rFonts w:hint="eastAsia" w:ascii="宋体" w:hAnsi="宋体" w:eastAsia="宋体" w:cs="宋体"/>
                <w:color w:val="auto"/>
                <w:sz w:val="24"/>
                <w:szCs w:val="24"/>
                <w:highlight w:val="none"/>
              </w:rPr>
            </w:pPr>
          </w:p>
        </w:tc>
        <w:tc>
          <w:tcPr>
            <w:tcW w:w="720" w:type="dxa"/>
            <w:noWrap w:val="0"/>
            <w:vAlign w:val="center"/>
          </w:tcPr>
          <w:p w14:paraId="261E029E">
            <w:pPr>
              <w:jc w:val="center"/>
              <w:rPr>
                <w:rFonts w:hint="eastAsia" w:ascii="宋体" w:hAnsi="宋体" w:eastAsia="宋体" w:cs="宋体"/>
                <w:color w:val="auto"/>
                <w:sz w:val="24"/>
                <w:szCs w:val="24"/>
                <w:highlight w:val="none"/>
              </w:rPr>
            </w:pPr>
          </w:p>
        </w:tc>
        <w:tc>
          <w:tcPr>
            <w:tcW w:w="1260" w:type="dxa"/>
            <w:noWrap w:val="0"/>
            <w:vAlign w:val="center"/>
          </w:tcPr>
          <w:p w14:paraId="416896EA">
            <w:pPr>
              <w:jc w:val="center"/>
              <w:rPr>
                <w:rFonts w:hint="eastAsia" w:ascii="宋体" w:hAnsi="宋体" w:eastAsia="宋体" w:cs="宋体"/>
                <w:color w:val="auto"/>
                <w:sz w:val="24"/>
                <w:szCs w:val="24"/>
                <w:highlight w:val="none"/>
              </w:rPr>
            </w:pPr>
          </w:p>
        </w:tc>
        <w:tc>
          <w:tcPr>
            <w:tcW w:w="1260" w:type="dxa"/>
            <w:noWrap w:val="0"/>
            <w:vAlign w:val="center"/>
          </w:tcPr>
          <w:p w14:paraId="71B9DC66">
            <w:pPr>
              <w:jc w:val="center"/>
              <w:rPr>
                <w:rFonts w:hint="eastAsia" w:ascii="宋体" w:hAnsi="宋体" w:eastAsia="宋体" w:cs="宋体"/>
                <w:color w:val="auto"/>
                <w:sz w:val="24"/>
                <w:szCs w:val="24"/>
                <w:highlight w:val="none"/>
              </w:rPr>
            </w:pPr>
          </w:p>
        </w:tc>
        <w:tc>
          <w:tcPr>
            <w:tcW w:w="900" w:type="dxa"/>
            <w:noWrap w:val="0"/>
            <w:vAlign w:val="center"/>
          </w:tcPr>
          <w:p w14:paraId="654AC165">
            <w:pPr>
              <w:jc w:val="center"/>
              <w:rPr>
                <w:rFonts w:hint="eastAsia" w:ascii="宋体" w:hAnsi="宋体" w:eastAsia="宋体" w:cs="宋体"/>
                <w:color w:val="auto"/>
                <w:sz w:val="24"/>
                <w:szCs w:val="24"/>
                <w:highlight w:val="none"/>
              </w:rPr>
            </w:pPr>
          </w:p>
        </w:tc>
        <w:tc>
          <w:tcPr>
            <w:tcW w:w="1980" w:type="dxa"/>
            <w:noWrap w:val="0"/>
            <w:vAlign w:val="center"/>
          </w:tcPr>
          <w:p w14:paraId="312BBE31">
            <w:pPr>
              <w:jc w:val="center"/>
              <w:rPr>
                <w:rFonts w:hint="eastAsia" w:ascii="宋体" w:hAnsi="宋体" w:eastAsia="宋体" w:cs="宋体"/>
                <w:color w:val="auto"/>
                <w:sz w:val="24"/>
                <w:szCs w:val="24"/>
                <w:highlight w:val="none"/>
              </w:rPr>
            </w:pPr>
          </w:p>
        </w:tc>
      </w:tr>
      <w:tr w14:paraId="6383B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40" w:type="dxa"/>
            <w:noWrap w:val="0"/>
            <w:vAlign w:val="center"/>
          </w:tcPr>
          <w:p w14:paraId="5FD36D9B">
            <w:pPr>
              <w:jc w:val="center"/>
              <w:rPr>
                <w:rFonts w:hint="eastAsia" w:ascii="宋体" w:hAnsi="宋体" w:eastAsia="宋体" w:cs="宋体"/>
                <w:color w:val="auto"/>
                <w:sz w:val="24"/>
                <w:szCs w:val="24"/>
                <w:highlight w:val="none"/>
              </w:rPr>
            </w:pPr>
          </w:p>
        </w:tc>
        <w:tc>
          <w:tcPr>
            <w:tcW w:w="1800" w:type="dxa"/>
            <w:noWrap w:val="0"/>
            <w:vAlign w:val="center"/>
          </w:tcPr>
          <w:p w14:paraId="1B4891E7">
            <w:pPr>
              <w:jc w:val="center"/>
              <w:rPr>
                <w:rFonts w:hint="eastAsia" w:ascii="宋体" w:hAnsi="宋体" w:eastAsia="宋体" w:cs="宋体"/>
                <w:color w:val="auto"/>
                <w:sz w:val="24"/>
                <w:szCs w:val="24"/>
                <w:highlight w:val="none"/>
              </w:rPr>
            </w:pPr>
          </w:p>
        </w:tc>
        <w:tc>
          <w:tcPr>
            <w:tcW w:w="1260" w:type="dxa"/>
            <w:noWrap w:val="0"/>
            <w:vAlign w:val="center"/>
          </w:tcPr>
          <w:p w14:paraId="5529005D">
            <w:pPr>
              <w:jc w:val="center"/>
              <w:rPr>
                <w:rFonts w:hint="eastAsia" w:ascii="宋体" w:hAnsi="宋体" w:eastAsia="宋体" w:cs="宋体"/>
                <w:color w:val="auto"/>
                <w:sz w:val="24"/>
                <w:szCs w:val="24"/>
                <w:highlight w:val="none"/>
              </w:rPr>
            </w:pPr>
          </w:p>
        </w:tc>
        <w:tc>
          <w:tcPr>
            <w:tcW w:w="720" w:type="dxa"/>
            <w:noWrap w:val="0"/>
            <w:vAlign w:val="center"/>
          </w:tcPr>
          <w:p w14:paraId="3739950C">
            <w:pPr>
              <w:jc w:val="center"/>
              <w:rPr>
                <w:rFonts w:hint="eastAsia" w:ascii="宋体" w:hAnsi="宋体" w:eastAsia="宋体" w:cs="宋体"/>
                <w:color w:val="auto"/>
                <w:sz w:val="24"/>
                <w:szCs w:val="24"/>
                <w:highlight w:val="none"/>
              </w:rPr>
            </w:pPr>
          </w:p>
        </w:tc>
        <w:tc>
          <w:tcPr>
            <w:tcW w:w="1260" w:type="dxa"/>
            <w:noWrap w:val="0"/>
            <w:vAlign w:val="center"/>
          </w:tcPr>
          <w:p w14:paraId="74EB6423">
            <w:pPr>
              <w:jc w:val="center"/>
              <w:rPr>
                <w:rFonts w:hint="eastAsia" w:ascii="宋体" w:hAnsi="宋体" w:eastAsia="宋体" w:cs="宋体"/>
                <w:color w:val="auto"/>
                <w:sz w:val="24"/>
                <w:szCs w:val="24"/>
                <w:highlight w:val="none"/>
              </w:rPr>
            </w:pPr>
          </w:p>
        </w:tc>
        <w:tc>
          <w:tcPr>
            <w:tcW w:w="1260" w:type="dxa"/>
            <w:noWrap w:val="0"/>
            <w:vAlign w:val="center"/>
          </w:tcPr>
          <w:p w14:paraId="2E76D2CB">
            <w:pPr>
              <w:jc w:val="center"/>
              <w:rPr>
                <w:rFonts w:hint="eastAsia" w:ascii="宋体" w:hAnsi="宋体" w:eastAsia="宋体" w:cs="宋体"/>
                <w:color w:val="auto"/>
                <w:sz w:val="24"/>
                <w:szCs w:val="24"/>
                <w:highlight w:val="none"/>
              </w:rPr>
            </w:pPr>
          </w:p>
        </w:tc>
        <w:tc>
          <w:tcPr>
            <w:tcW w:w="900" w:type="dxa"/>
            <w:noWrap w:val="0"/>
            <w:vAlign w:val="center"/>
          </w:tcPr>
          <w:p w14:paraId="23BBC9AC">
            <w:pPr>
              <w:jc w:val="center"/>
              <w:rPr>
                <w:rFonts w:hint="eastAsia" w:ascii="宋体" w:hAnsi="宋体" w:eastAsia="宋体" w:cs="宋体"/>
                <w:color w:val="auto"/>
                <w:sz w:val="24"/>
                <w:szCs w:val="24"/>
                <w:highlight w:val="none"/>
              </w:rPr>
            </w:pPr>
          </w:p>
        </w:tc>
        <w:tc>
          <w:tcPr>
            <w:tcW w:w="1980" w:type="dxa"/>
            <w:noWrap w:val="0"/>
            <w:vAlign w:val="center"/>
          </w:tcPr>
          <w:p w14:paraId="6F5A2B5D">
            <w:pPr>
              <w:jc w:val="center"/>
              <w:rPr>
                <w:rFonts w:hint="eastAsia" w:ascii="宋体" w:hAnsi="宋体" w:eastAsia="宋体" w:cs="宋体"/>
                <w:color w:val="auto"/>
                <w:sz w:val="24"/>
                <w:szCs w:val="24"/>
                <w:highlight w:val="none"/>
              </w:rPr>
            </w:pPr>
          </w:p>
        </w:tc>
      </w:tr>
    </w:tbl>
    <w:p w14:paraId="56B49AEC">
      <w:pPr>
        <w:spacing w:line="360" w:lineRule="auto"/>
        <w:ind w:firstLine="480"/>
        <w:rPr>
          <w:rFonts w:hint="eastAsia" w:ascii="宋体" w:hAnsi="宋体" w:eastAsia="宋体" w:cs="宋体"/>
          <w:color w:val="auto"/>
          <w:sz w:val="24"/>
          <w:szCs w:val="24"/>
          <w:highlight w:val="none"/>
        </w:rPr>
      </w:pPr>
    </w:p>
    <w:p w14:paraId="614D8832">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09EC4A1D">
      <w:pPr>
        <w:pStyle w:val="384"/>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1．资格证书类别一栏按资格证书、岗位证书、培训证书填写。</w:t>
      </w:r>
    </w:p>
    <w:p w14:paraId="07E3C79C">
      <w:pPr>
        <w:pStyle w:val="384"/>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2．提供人员相关证书、社保，条目不限于此，可自行添加。</w:t>
      </w:r>
    </w:p>
    <w:p w14:paraId="60FD1888">
      <w:pPr>
        <w:spacing w:line="360" w:lineRule="auto"/>
        <w:outlineLvl w:val="1"/>
        <w:rPr>
          <w:rFonts w:hint="eastAsia" w:ascii="宋体" w:hAnsi="宋体" w:eastAsia="宋体" w:cs="宋体"/>
          <w:b/>
          <w:color w:val="auto"/>
          <w:sz w:val="32"/>
          <w:highlight w:val="none"/>
        </w:rPr>
        <w:sectPr>
          <w:pgSz w:w="11906" w:h="16838"/>
          <w:pgMar w:top="1440" w:right="1466" w:bottom="1440" w:left="1797" w:header="851" w:footer="992" w:gutter="0"/>
          <w:cols w:space="720" w:num="1"/>
          <w:titlePg/>
          <w:docGrid w:linePitch="360" w:charSpace="0"/>
        </w:sectPr>
      </w:pPr>
    </w:p>
    <w:p w14:paraId="1749DDE2">
      <w:pPr>
        <w:spacing w:line="360" w:lineRule="auto"/>
        <w:outlineLvl w:val="1"/>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十二、其他材料</w:t>
      </w:r>
    </w:p>
    <w:sectPr>
      <w:pgSz w:w="11906" w:h="16838"/>
      <w:pgMar w:top="1440" w:right="1466" w:bottom="1440" w:left="1797"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83" w:usb1="288F0000" w:usb2="0000000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Univers">
    <w:altName w:val="DejaVu Math TeX Gyre"/>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58DE3">
    <w:pPr>
      <w:pStyle w:val="108"/>
      <w:framePr w:wrap="around" w:vAnchor="text" w:hAnchor="margin" w:xAlign="center" w:y="1"/>
      <w:rPr>
        <w:rStyle w:val="136"/>
      </w:rPr>
    </w:pPr>
    <w:r>
      <w:fldChar w:fldCharType="begin"/>
    </w:r>
    <w:r>
      <w:rPr>
        <w:rStyle w:val="136"/>
        <w:highlight w:val="white"/>
      </w:rPr>
      <w:instrText xml:space="preserve">PAGE  </w:instrText>
    </w:r>
    <w:r>
      <w:fldChar w:fldCharType="separate"/>
    </w:r>
    <w:r>
      <w:rPr>
        <w:rStyle w:val="136"/>
        <w:highlight w:val="white"/>
      </w:rPr>
      <w:t>1</w:t>
    </w:r>
    <w:r>
      <w:fldChar w:fldCharType="end"/>
    </w:r>
  </w:p>
  <w:p w14:paraId="62D9EF7A">
    <w:pPr>
      <w:pStyle w:val="1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D9BAF">
    <w:pPr>
      <w:pStyle w:val="108"/>
      <w:framePr w:wrap="around" w:vAnchor="text" w:hAnchor="margin" w:xAlign="center" w:y="1"/>
      <w:rPr>
        <w:rStyle w:val="136"/>
      </w:rPr>
    </w:pPr>
    <w:r>
      <w:fldChar w:fldCharType="begin"/>
    </w:r>
    <w:r>
      <w:rPr>
        <w:rStyle w:val="136"/>
        <w:highlight w:val="white"/>
      </w:rPr>
      <w:instrText xml:space="preserve">PAGE  </w:instrText>
    </w:r>
    <w:r>
      <w:fldChar w:fldCharType="separate"/>
    </w:r>
    <w:r>
      <w:fldChar w:fldCharType="end"/>
    </w:r>
  </w:p>
  <w:p w14:paraId="4BE7ACF6">
    <w:pPr>
      <w:pStyle w:val="10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BB53A">
    <w:pPr>
      <w:pStyle w:val="1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0F12C">
    <w:pPr>
      <w:pStyle w:val="108"/>
      <w:framePr w:wrap="around" w:vAnchor="text" w:hAnchor="margin" w:xAlign="right" w:y="1"/>
      <w:ind w:firstLine="360"/>
      <w:rPr>
        <w:rStyle w:val="136"/>
      </w:rPr>
    </w:pPr>
    <w:r>
      <w:fldChar w:fldCharType="begin"/>
    </w:r>
    <w:r>
      <w:rPr>
        <w:rStyle w:val="136"/>
        <w:color w:val="000000"/>
        <w:highlight w:val="white"/>
      </w:rPr>
      <w:instrText xml:space="preserve">PAGE  </w:instrText>
    </w:r>
    <w:r>
      <w:fldChar w:fldCharType="separate"/>
    </w:r>
    <w:r>
      <w:fldChar w:fldCharType="end"/>
    </w:r>
  </w:p>
  <w:p w14:paraId="1C1B41F6">
    <w:pPr>
      <w:pStyle w:val="108"/>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742C2">
    <w:pPr>
      <w:pStyle w:val="10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22483D93">
    <w:pPr>
      <w:pStyle w:val="10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3F147">
    <w:pPr>
      <w:pStyle w:val="11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12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96"/>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80"/>
      <w:lvlText w:val="%1)"/>
      <w:lvlJc w:val="left"/>
      <w:pPr>
        <w:tabs>
          <w:tab w:val="left" w:pos="420"/>
        </w:tabs>
        <w:ind w:left="420" w:hanging="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63"/>
      <w:suff w:val="nothing"/>
      <w:lvlText w:val=""/>
      <w:lvlJc w:val="left"/>
      <w:pPr>
        <w:tabs>
          <w:tab w:val="left" w:pos="0"/>
        </w:tabs>
        <w:ind w:left="0" w:firstLine="0"/>
      </w:pPr>
    </w:lvl>
    <w:lvl w:ilvl="6" w:tentative="0">
      <w:start w:val="1"/>
      <w:numFmt w:val="decimal"/>
      <w:pStyle w:val="64"/>
      <w:suff w:val="nothing"/>
      <w:lvlText w:val=""/>
      <w:lvlJc w:val="left"/>
      <w:pPr>
        <w:tabs>
          <w:tab w:val="left" w:pos="0"/>
        </w:tabs>
        <w:ind w:left="0" w:firstLine="0"/>
      </w:pPr>
    </w:lvl>
    <w:lvl w:ilvl="7" w:tentative="0">
      <w:start w:val="1"/>
      <w:numFmt w:val="decimal"/>
      <w:pStyle w:val="65"/>
      <w:suff w:val="nothing"/>
      <w:lvlText w:val=""/>
      <w:lvlJc w:val="left"/>
      <w:pPr>
        <w:tabs>
          <w:tab w:val="left" w:pos="0"/>
        </w:tabs>
        <w:ind w:left="0" w:firstLine="0"/>
      </w:pPr>
    </w:lvl>
    <w:lvl w:ilvl="8" w:tentative="0">
      <w:start w:val="1"/>
      <w:numFmt w:val="decimal"/>
      <w:pStyle w:val="66"/>
      <w:suff w:val="nothing"/>
      <w:lvlText w:val=""/>
      <w:lvlJc w:val="left"/>
      <w:pPr>
        <w:tabs>
          <w:tab w:val="left" w:pos="0"/>
        </w:tabs>
        <w:ind w:left="0" w:firstLine="0"/>
      </w:pPr>
    </w:lvl>
  </w:abstractNum>
  <w:abstractNum w:abstractNumId="4">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bullet"/>
      <w:pStyle w:val="316"/>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6">
    <w:nsid w:val="25B654F3"/>
    <w:multiLevelType w:val="multilevel"/>
    <w:tmpl w:val="25B654F3"/>
    <w:lvl w:ilvl="0" w:tentative="0">
      <w:start w:val="1"/>
      <w:numFmt w:val="decimal"/>
      <w:pStyle w:val="436"/>
      <w:lvlText w:val="第%1章"/>
      <w:lvlJc w:val="left"/>
      <w:pPr>
        <w:ind w:left="709" w:hanging="425"/>
      </w:pPr>
      <w:rPr>
        <w:rFonts w:hint="eastAsia" w:eastAsia="宋体"/>
        <w:sz w:val="28"/>
        <w:lang w:val="en-US"/>
      </w:rPr>
    </w:lvl>
    <w:lvl w:ilvl="1" w:tentative="0">
      <w:start w:val="1"/>
      <w:numFmt w:val="decimal"/>
      <w:pStyle w:val="435"/>
      <w:lvlText w:val="%1.%2"/>
      <w:lvlJc w:val="left"/>
      <w:pPr>
        <w:ind w:left="880" w:hanging="879"/>
      </w:pPr>
      <w:rPr>
        <w:rFonts w:hint="eastAsia" w:ascii="宋体" w:hAnsi="宋体" w:eastAsia="宋体"/>
        <w:sz w:val="28"/>
      </w:rPr>
    </w:lvl>
    <w:lvl w:ilvl="2" w:tentative="0">
      <w:start w:val="1"/>
      <w:numFmt w:val="decimal"/>
      <w:pStyle w:val="460"/>
      <w:lvlText w:val="%1.%2.%3"/>
      <w:lvlJc w:val="left"/>
      <w:pPr>
        <w:ind w:left="5444" w:hanging="1191"/>
      </w:pPr>
      <w:rPr>
        <w:rFonts w:hint="eastAsia" w:ascii="宋体" w:hAnsi="宋体" w:eastAsia="宋体"/>
        <w:sz w:val="28"/>
      </w:rPr>
    </w:lvl>
    <w:lvl w:ilvl="3" w:tentative="0">
      <w:start w:val="1"/>
      <w:numFmt w:val="decimal"/>
      <w:pStyle w:val="459"/>
      <w:lvlText w:val="%1.%2.%3.%4"/>
      <w:lvlJc w:val="left"/>
      <w:pPr>
        <w:ind w:left="1275" w:hanging="1644"/>
      </w:pPr>
      <w:rPr>
        <w:rFonts w:hint="eastAsia" w:ascii="宋体" w:hAnsi="宋体" w:eastAsia="宋体"/>
        <w:sz w:val="28"/>
      </w:rPr>
    </w:lvl>
    <w:lvl w:ilvl="4" w:tentative="0">
      <w:start w:val="1"/>
      <w:numFmt w:val="decimal"/>
      <w:pStyle w:val="507"/>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7">
    <w:nsid w:val="59ADCABA"/>
    <w:multiLevelType w:val="multilevel"/>
    <w:tmpl w:val="59ADCABA"/>
    <w:lvl w:ilvl="0" w:tentative="0">
      <w:start w:val="1"/>
      <w:numFmt w:val="upperLetter"/>
      <w:pStyle w:val="95"/>
      <w:lvlText w:val="附录%1."/>
      <w:lvlJc w:val="left"/>
      <w:pPr>
        <w:tabs>
          <w:tab w:val="left" w:pos="972"/>
        </w:tabs>
        <w:ind w:left="972" w:hanging="907"/>
      </w:pPr>
    </w:lvl>
    <w:lvl w:ilvl="1" w:tentative="0">
      <w:start w:val="1"/>
      <w:numFmt w:val="decimal"/>
      <w:lvlText w:val="%2."/>
      <w:lvlJc w:val="left"/>
      <w:pPr>
        <w:tabs>
          <w:tab w:val="left" w:pos="1505"/>
        </w:tabs>
        <w:ind w:left="1505" w:hanging="360"/>
      </w:pPr>
    </w:lvl>
    <w:lvl w:ilvl="2" w:tentative="0">
      <w:start w:val="1"/>
      <w:numFmt w:val="decimal"/>
      <w:lvlText w:val="%3."/>
      <w:lvlJc w:val="left"/>
      <w:pPr>
        <w:tabs>
          <w:tab w:val="left" w:pos="2225"/>
        </w:tabs>
        <w:ind w:left="2225" w:hanging="360"/>
      </w:pPr>
    </w:lvl>
    <w:lvl w:ilvl="3" w:tentative="0">
      <w:start w:val="1"/>
      <w:numFmt w:val="decimal"/>
      <w:lvlText w:val="%4."/>
      <w:lvlJc w:val="left"/>
      <w:pPr>
        <w:tabs>
          <w:tab w:val="left" w:pos="2945"/>
        </w:tabs>
        <w:ind w:left="2945" w:hanging="360"/>
      </w:pPr>
    </w:lvl>
    <w:lvl w:ilvl="4" w:tentative="0">
      <w:start w:val="1"/>
      <w:numFmt w:val="decimal"/>
      <w:lvlText w:val="%5."/>
      <w:lvlJc w:val="left"/>
      <w:pPr>
        <w:tabs>
          <w:tab w:val="left" w:pos="3665"/>
        </w:tabs>
        <w:ind w:left="3665" w:hanging="360"/>
      </w:pPr>
    </w:lvl>
    <w:lvl w:ilvl="5" w:tentative="0">
      <w:start w:val="1"/>
      <w:numFmt w:val="decimal"/>
      <w:lvlText w:val="%6."/>
      <w:lvlJc w:val="left"/>
      <w:pPr>
        <w:tabs>
          <w:tab w:val="left" w:pos="4385"/>
        </w:tabs>
        <w:ind w:left="4385" w:hanging="360"/>
      </w:pPr>
    </w:lvl>
    <w:lvl w:ilvl="6" w:tentative="0">
      <w:start w:val="1"/>
      <w:numFmt w:val="decimal"/>
      <w:lvlText w:val="%7."/>
      <w:lvlJc w:val="left"/>
      <w:pPr>
        <w:tabs>
          <w:tab w:val="left" w:pos="5105"/>
        </w:tabs>
        <w:ind w:left="5105" w:hanging="360"/>
      </w:pPr>
    </w:lvl>
    <w:lvl w:ilvl="7" w:tentative="0">
      <w:start w:val="1"/>
      <w:numFmt w:val="decimal"/>
      <w:lvlText w:val="%8."/>
      <w:lvlJc w:val="left"/>
      <w:pPr>
        <w:tabs>
          <w:tab w:val="left" w:pos="5825"/>
        </w:tabs>
        <w:ind w:left="5825" w:hanging="360"/>
      </w:pPr>
    </w:lvl>
    <w:lvl w:ilvl="8" w:tentative="0">
      <w:start w:val="1"/>
      <w:numFmt w:val="decimal"/>
      <w:lvlText w:val="%9."/>
      <w:lvlJc w:val="left"/>
      <w:pPr>
        <w:tabs>
          <w:tab w:val="left" w:pos="6545"/>
        </w:tabs>
        <w:ind w:left="6545" w:hanging="360"/>
      </w:pPr>
    </w:lvl>
  </w:abstractNum>
  <w:abstractNum w:abstractNumId="8">
    <w:nsid w:val="72183CF9"/>
    <w:multiLevelType w:val="multilevel"/>
    <w:tmpl w:val="72183CF9"/>
    <w:lvl w:ilvl="0" w:tentative="0">
      <w:start w:val="1"/>
      <w:numFmt w:val="decimal"/>
      <w:pStyle w:val="526"/>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444C1"/>
    <w:rsid w:val="023A53F2"/>
    <w:rsid w:val="03092820"/>
    <w:rsid w:val="0333409E"/>
    <w:rsid w:val="06473C2F"/>
    <w:rsid w:val="080B4FC2"/>
    <w:rsid w:val="08DA2984"/>
    <w:rsid w:val="0CC83BBD"/>
    <w:rsid w:val="0CF24181"/>
    <w:rsid w:val="10507564"/>
    <w:rsid w:val="114726B1"/>
    <w:rsid w:val="17407056"/>
    <w:rsid w:val="1ABD0513"/>
    <w:rsid w:val="1C475837"/>
    <w:rsid w:val="2445265D"/>
    <w:rsid w:val="24843DB1"/>
    <w:rsid w:val="26DB0B08"/>
    <w:rsid w:val="2AE41DC4"/>
    <w:rsid w:val="328F13DA"/>
    <w:rsid w:val="356D4477"/>
    <w:rsid w:val="36E6490D"/>
    <w:rsid w:val="37922C44"/>
    <w:rsid w:val="396B1E0A"/>
    <w:rsid w:val="45D26F33"/>
    <w:rsid w:val="46750E34"/>
    <w:rsid w:val="4C151046"/>
    <w:rsid w:val="4C467409"/>
    <w:rsid w:val="50E10904"/>
    <w:rsid w:val="529F49C7"/>
    <w:rsid w:val="54986918"/>
    <w:rsid w:val="555869E7"/>
    <w:rsid w:val="56BA3C49"/>
    <w:rsid w:val="5BCD17B1"/>
    <w:rsid w:val="606A4D9B"/>
    <w:rsid w:val="61CE0B42"/>
    <w:rsid w:val="62AE3406"/>
    <w:rsid w:val="62ED7B55"/>
    <w:rsid w:val="6BEB2BC4"/>
    <w:rsid w:val="6C4574DF"/>
    <w:rsid w:val="6FC11053"/>
    <w:rsid w:val="72737501"/>
    <w:rsid w:val="731724CE"/>
    <w:rsid w:val="74B817C8"/>
    <w:rsid w:val="79705E89"/>
    <w:rsid w:val="798A3716"/>
    <w:rsid w:val="7C466CEA"/>
    <w:rsid w:val="7DD343B4"/>
    <w:rsid w:val="7EFC2BE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6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pPr>
  </w:style>
  <w:style w:type="paragraph" w:styleId="14">
    <w:name w:val="toc 3"/>
    <w:basedOn w:val="1"/>
    <w:next w:val="1"/>
    <w:unhideWhenUsed/>
    <w:qFormat/>
    <w:uiPriority w:val="39"/>
    <w:pPr>
      <w:spacing w:after="57"/>
      <w:ind w:left="567"/>
    </w:pPr>
  </w:style>
  <w:style w:type="paragraph" w:styleId="15">
    <w:name w:val="toc 8"/>
    <w:basedOn w:val="1"/>
    <w:next w:val="1"/>
    <w:unhideWhenUsed/>
    <w:qFormat/>
    <w:uiPriority w:val="39"/>
    <w:pPr>
      <w:spacing w:after="57"/>
      <w:ind w:left="1984"/>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table" w:customStyle="1" w:styleId="3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标题 11"/>
    <w:basedOn w:val="1"/>
    <w:next w:val="1"/>
    <w:link w:val="70"/>
    <w:qFormat/>
    <w:uiPriority w:val="9"/>
    <w:pPr>
      <w:keepNext/>
      <w:jc w:val="center"/>
      <w:outlineLvl w:val="0"/>
    </w:pPr>
    <w:rPr>
      <w:rFonts w:ascii="楷体_GB2312" w:hAnsi="宋体" w:eastAsia="楷体_GB2312"/>
      <w:sz w:val="28"/>
      <w:szCs w:val="28"/>
    </w:rPr>
  </w:style>
  <w:style w:type="paragraph" w:customStyle="1" w:styleId="59">
    <w:name w:val="标题 21"/>
    <w:basedOn w:val="1"/>
    <w:link w:val="71"/>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60">
    <w:name w:val="标题 31"/>
    <w:basedOn w:val="1"/>
    <w:link w:val="72"/>
    <w:qFormat/>
    <w:uiPriority w:val="9"/>
    <w:pPr>
      <w:keepNext/>
      <w:keepLines/>
      <w:spacing w:before="260" w:after="260" w:line="415" w:lineRule="auto"/>
      <w:outlineLvl w:val="2"/>
    </w:pPr>
    <w:rPr>
      <w:b/>
      <w:bCs/>
      <w:sz w:val="32"/>
      <w:szCs w:val="32"/>
    </w:rPr>
  </w:style>
  <w:style w:type="paragraph" w:customStyle="1" w:styleId="61">
    <w:name w:val="标题 41"/>
    <w:basedOn w:val="1"/>
    <w:link w:val="73"/>
    <w:qFormat/>
    <w:uiPriority w:val="9"/>
    <w:pPr>
      <w:keepNext/>
      <w:keepLines/>
      <w:spacing w:before="280" w:after="290" w:line="376" w:lineRule="auto"/>
      <w:outlineLvl w:val="3"/>
    </w:pPr>
    <w:rPr>
      <w:rFonts w:ascii="Arial" w:hAnsi="Arial" w:eastAsia="黑体"/>
      <w:b/>
      <w:bCs/>
      <w:sz w:val="28"/>
      <w:szCs w:val="28"/>
    </w:rPr>
  </w:style>
  <w:style w:type="paragraph" w:customStyle="1" w:styleId="62">
    <w:name w:val="标题 51"/>
    <w:basedOn w:val="1"/>
    <w:link w:val="74"/>
    <w:qFormat/>
    <w:uiPriority w:val="0"/>
    <w:pPr>
      <w:keepNext/>
      <w:outlineLvl w:val="4"/>
    </w:pPr>
    <w:rPr>
      <w:rFonts w:ascii="宋体" w:hAnsi="宋体"/>
      <w:color w:val="000000"/>
      <w:sz w:val="28"/>
      <w:szCs w:val="28"/>
    </w:rPr>
  </w:style>
  <w:style w:type="paragraph" w:customStyle="1" w:styleId="63">
    <w:name w:val="标题 61"/>
    <w:basedOn w:val="1"/>
    <w:next w:val="1"/>
    <w:link w:val="75"/>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64">
    <w:name w:val="标题 71"/>
    <w:basedOn w:val="1"/>
    <w:next w:val="1"/>
    <w:link w:val="76"/>
    <w:qFormat/>
    <w:uiPriority w:val="0"/>
    <w:pPr>
      <w:keepNext/>
      <w:keepLines/>
      <w:numPr>
        <w:ilvl w:val="6"/>
        <w:numId w:val="1"/>
      </w:numPr>
      <w:spacing w:before="240" w:after="64" w:line="319" w:lineRule="auto"/>
      <w:outlineLvl w:val="6"/>
    </w:pPr>
    <w:rPr>
      <w:b/>
      <w:bCs/>
      <w:sz w:val="24"/>
    </w:rPr>
  </w:style>
  <w:style w:type="paragraph" w:customStyle="1" w:styleId="65">
    <w:name w:val="标题 81"/>
    <w:basedOn w:val="1"/>
    <w:next w:val="1"/>
    <w:link w:val="77"/>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66">
    <w:name w:val="标题 91"/>
    <w:basedOn w:val="1"/>
    <w:next w:val="1"/>
    <w:link w:val="78"/>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67">
    <w:name w:val="默认段落字体1"/>
    <w:link w:val="1"/>
    <w:unhideWhenUsed/>
    <w:qFormat/>
    <w:uiPriority w:val="1"/>
  </w:style>
  <w:style w:type="table" w:customStyle="1" w:styleId="68">
    <w:name w:val="普通表格1"/>
    <w:unhideWhenUsed/>
    <w:qFormat/>
    <w:uiPriority w:val="99"/>
  </w:style>
  <w:style w:type="paragraph" w:customStyle="1" w:styleId="69">
    <w:name w:val="首行缩进"/>
    <w:basedOn w:val="1"/>
    <w:next w:val="1"/>
    <w:qFormat/>
    <w:uiPriority w:val="0"/>
    <w:pPr>
      <w:spacing w:line="360" w:lineRule="auto"/>
      <w:ind w:firstLine="480"/>
      <w:jc w:val="left"/>
    </w:pPr>
    <w:rPr>
      <w:rFonts w:ascii="宋体" w:hAnsi="宋体"/>
      <w:sz w:val="24"/>
    </w:rPr>
  </w:style>
  <w:style w:type="character" w:customStyle="1" w:styleId="70">
    <w:name w:val="标题 1 字符1"/>
    <w:link w:val="58"/>
    <w:qFormat/>
    <w:uiPriority w:val="9"/>
    <w:rPr>
      <w:rFonts w:ascii="楷体_GB2312" w:hAnsi="宋体" w:eastAsia="楷体_GB2312" w:cs="宋体"/>
      <w:sz w:val="28"/>
      <w:szCs w:val="28"/>
    </w:rPr>
  </w:style>
  <w:style w:type="character" w:customStyle="1" w:styleId="71">
    <w:name w:val="标题 2 字符"/>
    <w:link w:val="59"/>
    <w:qFormat/>
    <w:uiPriority w:val="0"/>
    <w:rPr>
      <w:rFonts w:ascii="Arial" w:hAnsi="Arial" w:eastAsia="幼圆" w:cs="Arial"/>
      <w:b/>
      <w:bCs/>
      <w:sz w:val="44"/>
      <w:szCs w:val="44"/>
    </w:rPr>
  </w:style>
  <w:style w:type="character" w:customStyle="1" w:styleId="72">
    <w:name w:val="标题 3 字符"/>
    <w:link w:val="60"/>
    <w:qFormat/>
    <w:uiPriority w:val="9"/>
    <w:rPr>
      <w:b/>
      <w:bCs/>
      <w:sz w:val="32"/>
      <w:szCs w:val="32"/>
    </w:rPr>
  </w:style>
  <w:style w:type="character" w:customStyle="1" w:styleId="73">
    <w:name w:val="标题 4 字符"/>
    <w:link w:val="61"/>
    <w:qFormat/>
    <w:uiPriority w:val="9"/>
    <w:rPr>
      <w:rFonts w:ascii="Arial" w:hAnsi="Arial" w:eastAsia="黑体" w:cs="Arial"/>
      <w:b/>
      <w:bCs/>
      <w:sz w:val="28"/>
      <w:szCs w:val="28"/>
    </w:rPr>
  </w:style>
  <w:style w:type="character" w:customStyle="1" w:styleId="74">
    <w:name w:val="标题 5 字符"/>
    <w:link w:val="62"/>
    <w:qFormat/>
    <w:uiPriority w:val="0"/>
    <w:rPr>
      <w:rFonts w:ascii="宋体" w:hAnsi="宋体" w:cs="宋体"/>
      <w:color w:val="000000"/>
      <w:sz w:val="28"/>
      <w:szCs w:val="28"/>
    </w:rPr>
  </w:style>
  <w:style w:type="character" w:customStyle="1" w:styleId="75">
    <w:name w:val="标题 6 字符"/>
    <w:link w:val="63"/>
    <w:qFormat/>
    <w:uiPriority w:val="0"/>
    <w:rPr>
      <w:rFonts w:ascii="Arial" w:hAnsi="Arial" w:eastAsia="黑体"/>
      <w:b/>
      <w:bCs/>
      <w:sz w:val="24"/>
      <w:szCs w:val="22"/>
    </w:rPr>
  </w:style>
  <w:style w:type="character" w:customStyle="1" w:styleId="76">
    <w:name w:val="标题 7 字符"/>
    <w:link w:val="64"/>
    <w:qFormat/>
    <w:uiPriority w:val="0"/>
    <w:rPr>
      <w:rFonts w:ascii="Calibri" w:hAnsi="Calibri"/>
      <w:b/>
      <w:bCs/>
      <w:sz w:val="24"/>
      <w:szCs w:val="22"/>
    </w:rPr>
  </w:style>
  <w:style w:type="character" w:customStyle="1" w:styleId="77">
    <w:name w:val="标题 8 字符"/>
    <w:link w:val="65"/>
    <w:qFormat/>
    <w:uiPriority w:val="0"/>
    <w:rPr>
      <w:rFonts w:ascii="Arial" w:hAnsi="Arial" w:eastAsia="黑体"/>
      <w:sz w:val="24"/>
      <w:szCs w:val="22"/>
    </w:rPr>
  </w:style>
  <w:style w:type="character" w:customStyle="1" w:styleId="78">
    <w:name w:val="标题 9 字符"/>
    <w:link w:val="66"/>
    <w:qFormat/>
    <w:uiPriority w:val="0"/>
    <w:rPr>
      <w:rFonts w:ascii="Arial" w:hAnsi="Arial" w:eastAsia="黑体"/>
      <w:sz w:val="21"/>
      <w:szCs w:val="21"/>
    </w:rPr>
  </w:style>
  <w:style w:type="paragraph" w:customStyle="1" w:styleId="79">
    <w:name w:val="列表 311"/>
    <w:basedOn w:val="1"/>
    <w:qFormat/>
    <w:uiPriority w:val="0"/>
    <w:pPr>
      <w:ind w:hanging="200"/>
    </w:pPr>
    <w:rPr>
      <w:szCs w:val="21"/>
    </w:rPr>
  </w:style>
  <w:style w:type="paragraph" w:customStyle="1" w:styleId="80">
    <w:name w:val="列表编号1"/>
    <w:basedOn w:val="1"/>
    <w:qFormat/>
    <w:uiPriority w:val="0"/>
    <w:pPr>
      <w:numPr>
        <w:ilvl w:val="0"/>
        <w:numId w:val="2"/>
      </w:numPr>
      <w:tabs>
        <w:tab w:val="clear" w:pos="420"/>
      </w:tabs>
      <w:ind w:left="0" w:firstLine="0"/>
    </w:pPr>
    <w:rPr>
      <w:szCs w:val="20"/>
    </w:rPr>
  </w:style>
  <w:style w:type="paragraph" w:customStyle="1" w:styleId="81">
    <w:name w:val="正文缩进1"/>
    <w:basedOn w:val="1"/>
    <w:next w:val="1"/>
    <w:link w:val="82"/>
    <w:qFormat/>
    <w:uiPriority w:val="99"/>
    <w:pPr>
      <w:ind w:firstLine="420"/>
    </w:pPr>
    <w:rPr>
      <w:szCs w:val="21"/>
    </w:rPr>
  </w:style>
  <w:style w:type="character" w:customStyle="1" w:styleId="82">
    <w:name w:val="正文缩进 字符"/>
    <w:link w:val="81"/>
    <w:qFormat/>
    <w:uiPriority w:val="99"/>
    <w:rPr>
      <w:rFonts w:eastAsia="宋体"/>
      <w:sz w:val="21"/>
      <w:szCs w:val="21"/>
      <w:lang w:val="en-US" w:eastAsia="zh-CN" w:bidi="ar-SA"/>
    </w:rPr>
  </w:style>
  <w:style w:type="paragraph" w:customStyle="1" w:styleId="83">
    <w:name w:val="题注1"/>
    <w:basedOn w:val="1"/>
    <w:next w:val="1"/>
    <w:qFormat/>
    <w:uiPriority w:val="35"/>
    <w:pPr>
      <w:spacing w:line="276" w:lineRule="auto"/>
    </w:pPr>
    <w:rPr>
      <w:b/>
      <w:bCs/>
      <w:color w:val="4F81BD"/>
      <w:sz w:val="18"/>
      <w:szCs w:val="18"/>
    </w:rPr>
  </w:style>
  <w:style w:type="paragraph" w:customStyle="1" w:styleId="84">
    <w:name w:val="文档结构图1"/>
    <w:basedOn w:val="1"/>
    <w:link w:val="85"/>
    <w:qFormat/>
    <w:uiPriority w:val="99"/>
    <w:pPr>
      <w:shd w:val="clear" w:color="auto" w:fill="000080"/>
    </w:pPr>
    <w:rPr>
      <w:szCs w:val="21"/>
    </w:rPr>
  </w:style>
  <w:style w:type="character" w:customStyle="1" w:styleId="85">
    <w:name w:val="文档结构图 字符"/>
    <w:link w:val="84"/>
    <w:qFormat/>
    <w:uiPriority w:val="99"/>
    <w:rPr>
      <w:sz w:val="21"/>
      <w:szCs w:val="21"/>
      <w:shd w:val="clear" w:color="auto" w:fill="000080"/>
    </w:rPr>
  </w:style>
  <w:style w:type="paragraph" w:customStyle="1" w:styleId="86">
    <w:name w:val="引文目录标题1"/>
    <w:basedOn w:val="1"/>
    <w:next w:val="1"/>
    <w:qFormat/>
    <w:uiPriority w:val="0"/>
    <w:pPr>
      <w:spacing w:before="120"/>
    </w:pPr>
    <w:rPr>
      <w:rFonts w:ascii="Arial" w:hAnsi="Arial" w:cs="Arial"/>
      <w:sz w:val="24"/>
    </w:rPr>
  </w:style>
  <w:style w:type="paragraph" w:customStyle="1" w:styleId="87">
    <w:name w:val="批注文字1"/>
    <w:basedOn w:val="1"/>
    <w:link w:val="88"/>
    <w:qFormat/>
    <w:uiPriority w:val="99"/>
    <w:pPr>
      <w:jc w:val="left"/>
    </w:pPr>
    <w:rPr>
      <w:szCs w:val="21"/>
    </w:rPr>
  </w:style>
  <w:style w:type="character" w:customStyle="1" w:styleId="88">
    <w:name w:val="批注文字 字符"/>
    <w:link w:val="87"/>
    <w:qFormat/>
    <w:uiPriority w:val="99"/>
    <w:rPr>
      <w:sz w:val="21"/>
      <w:szCs w:val="21"/>
    </w:rPr>
  </w:style>
  <w:style w:type="paragraph" w:customStyle="1" w:styleId="89">
    <w:name w:val="正文文本 31"/>
    <w:basedOn w:val="1"/>
    <w:link w:val="90"/>
    <w:qFormat/>
    <w:uiPriority w:val="0"/>
    <w:rPr>
      <w:rFonts w:ascii="仿宋_GB2312" w:hAnsi="宋体" w:eastAsia="仿宋_GB2312" w:cs="宋体"/>
      <w:sz w:val="32"/>
      <w:szCs w:val="32"/>
    </w:rPr>
  </w:style>
  <w:style w:type="character" w:customStyle="1" w:styleId="90">
    <w:name w:val="正文文本 3 字符"/>
    <w:link w:val="89"/>
    <w:qFormat/>
    <w:uiPriority w:val="0"/>
    <w:rPr>
      <w:rFonts w:ascii="仿宋_GB2312" w:hAnsi="宋体" w:eastAsia="仿宋_GB2312" w:cs="宋体"/>
      <w:sz w:val="32"/>
      <w:szCs w:val="32"/>
    </w:rPr>
  </w:style>
  <w:style w:type="paragraph" w:customStyle="1" w:styleId="91">
    <w:name w:val="正文文本1"/>
    <w:basedOn w:val="1"/>
    <w:link w:val="92"/>
    <w:qFormat/>
    <w:uiPriority w:val="0"/>
    <w:pPr>
      <w:tabs>
        <w:tab w:val="right" w:pos="2520"/>
        <w:tab w:val="left" w:pos="2880"/>
      </w:tabs>
      <w:spacing w:after="60"/>
      <w:jc w:val="left"/>
    </w:pPr>
    <w:rPr>
      <w:sz w:val="22"/>
      <w:szCs w:val="20"/>
    </w:rPr>
  </w:style>
  <w:style w:type="character" w:customStyle="1" w:styleId="92">
    <w:name w:val="正文文本 字符"/>
    <w:link w:val="91"/>
    <w:qFormat/>
    <w:uiPriority w:val="0"/>
    <w:rPr>
      <w:rFonts w:ascii="楷体_GB2312" w:hAnsi="宋体" w:eastAsia="楷体_GB2312" w:cs="宋体"/>
      <w:sz w:val="28"/>
      <w:szCs w:val="28"/>
    </w:rPr>
  </w:style>
  <w:style w:type="paragraph" w:customStyle="1" w:styleId="93">
    <w:name w:val="正文文本缩进1"/>
    <w:basedOn w:val="1"/>
    <w:next w:val="1"/>
    <w:link w:val="94"/>
    <w:qFormat/>
    <w:uiPriority w:val="0"/>
    <w:pPr>
      <w:ind w:firstLine="645"/>
    </w:pPr>
    <w:rPr>
      <w:rFonts w:ascii="楷体_GB2312" w:hAnsi="宋体" w:eastAsia="楷体_GB2312" w:cs="宋体"/>
      <w:sz w:val="32"/>
      <w:szCs w:val="32"/>
    </w:rPr>
  </w:style>
  <w:style w:type="character" w:customStyle="1" w:styleId="94">
    <w:name w:val="正文文本缩进 字符"/>
    <w:link w:val="93"/>
    <w:qFormat/>
    <w:uiPriority w:val="0"/>
    <w:rPr>
      <w:rFonts w:ascii="楷体_GB2312" w:hAnsi="宋体" w:eastAsia="楷体_GB2312" w:cs="宋体"/>
      <w:sz w:val="32"/>
      <w:szCs w:val="32"/>
    </w:rPr>
  </w:style>
  <w:style w:type="paragraph" w:customStyle="1" w:styleId="95">
    <w:name w:val="列表 211"/>
    <w:basedOn w:val="1"/>
    <w:qFormat/>
    <w:uiPriority w:val="0"/>
    <w:pPr>
      <w:numPr>
        <w:ilvl w:val="0"/>
        <w:numId w:val="3"/>
      </w:numPr>
      <w:ind w:left="0" w:hanging="200"/>
    </w:pPr>
    <w:rPr>
      <w:szCs w:val="21"/>
    </w:rPr>
  </w:style>
  <w:style w:type="paragraph" w:customStyle="1" w:styleId="96">
    <w:name w:val="HTML 地址1"/>
    <w:basedOn w:val="1"/>
    <w:link w:val="97"/>
    <w:qFormat/>
    <w:uiPriority w:val="0"/>
    <w:pPr>
      <w:numPr>
        <w:ilvl w:val="0"/>
        <w:numId w:val="4"/>
      </w:numPr>
      <w:tabs>
        <w:tab w:val="clear" w:pos="397"/>
      </w:tabs>
      <w:ind w:left="0" w:firstLine="0"/>
    </w:pPr>
    <w:rPr>
      <w:i/>
      <w:iCs/>
      <w:szCs w:val="21"/>
    </w:rPr>
  </w:style>
  <w:style w:type="character" w:customStyle="1" w:styleId="97">
    <w:name w:val="HTML 地址 字符"/>
    <w:link w:val="96"/>
    <w:qFormat/>
    <w:uiPriority w:val="0"/>
    <w:rPr>
      <w:rFonts w:ascii="Calibri" w:hAnsi="Calibri"/>
      <w:i/>
      <w:iCs/>
      <w:sz w:val="21"/>
      <w:szCs w:val="21"/>
    </w:rPr>
  </w:style>
  <w:style w:type="paragraph" w:customStyle="1" w:styleId="98">
    <w:name w:val="纯文本1"/>
    <w:basedOn w:val="1"/>
    <w:link w:val="99"/>
    <w:qFormat/>
    <w:uiPriority w:val="99"/>
    <w:rPr>
      <w:rFonts w:ascii="宋体" w:hAnsi="宋体"/>
      <w:szCs w:val="21"/>
    </w:rPr>
  </w:style>
  <w:style w:type="character" w:customStyle="1" w:styleId="99">
    <w:name w:val="纯文本 字符"/>
    <w:link w:val="98"/>
    <w:qFormat/>
    <w:uiPriority w:val="99"/>
    <w:rPr>
      <w:rFonts w:ascii="宋体" w:hAnsi="宋体" w:cs="Courier New"/>
      <w:sz w:val="21"/>
      <w:szCs w:val="21"/>
    </w:rPr>
  </w:style>
  <w:style w:type="paragraph" w:customStyle="1" w:styleId="100">
    <w:name w:val="日期1"/>
    <w:basedOn w:val="1"/>
    <w:next w:val="1"/>
    <w:link w:val="101"/>
    <w:qFormat/>
    <w:uiPriority w:val="0"/>
    <w:rPr>
      <w:sz w:val="24"/>
    </w:rPr>
  </w:style>
  <w:style w:type="character" w:customStyle="1" w:styleId="101">
    <w:name w:val="日期 字符"/>
    <w:link w:val="100"/>
    <w:qFormat/>
    <w:uiPriority w:val="0"/>
    <w:rPr>
      <w:sz w:val="24"/>
      <w:szCs w:val="24"/>
    </w:rPr>
  </w:style>
  <w:style w:type="paragraph" w:customStyle="1" w:styleId="102">
    <w:name w:val="正文文本缩进 21"/>
    <w:basedOn w:val="1"/>
    <w:link w:val="103"/>
    <w:qFormat/>
    <w:uiPriority w:val="0"/>
    <w:pPr>
      <w:ind w:left="630" w:firstLine="645"/>
    </w:pPr>
    <w:rPr>
      <w:rFonts w:ascii="Arial" w:hAnsi="Arial" w:eastAsia="仿宋_GB2312" w:cs="Arial"/>
      <w:sz w:val="32"/>
      <w:szCs w:val="32"/>
    </w:rPr>
  </w:style>
  <w:style w:type="character" w:customStyle="1" w:styleId="103">
    <w:name w:val="正文文本缩进 2 字符"/>
    <w:link w:val="102"/>
    <w:qFormat/>
    <w:uiPriority w:val="0"/>
    <w:rPr>
      <w:rFonts w:ascii="Arial" w:hAnsi="Arial" w:eastAsia="仿宋_GB2312" w:cs="Arial"/>
      <w:sz w:val="32"/>
      <w:szCs w:val="32"/>
    </w:rPr>
  </w:style>
  <w:style w:type="paragraph" w:customStyle="1" w:styleId="104">
    <w:name w:val="尾注文本1"/>
    <w:basedOn w:val="1"/>
    <w:link w:val="105"/>
    <w:unhideWhenUsed/>
    <w:qFormat/>
    <w:uiPriority w:val="99"/>
    <w:rPr>
      <w:sz w:val="20"/>
    </w:rPr>
  </w:style>
  <w:style w:type="character" w:customStyle="1" w:styleId="105">
    <w:name w:val="尾注文本 字符"/>
    <w:link w:val="104"/>
    <w:qFormat/>
    <w:uiPriority w:val="99"/>
    <w:rPr>
      <w:sz w:val="20"/>
    </w:rPr>
  </w:style>
  <w:style w:type="paragraph" w:customStyle="1" w:styleId="106">
    <w:name w:val="批注框文本1"/>
    <w:basedOn w:val="1"/>
    <w:link w:val="107"/>
    <w:qFormat/>
    <w:uiPriority w:val="99"/>
    <w:rPr>
      <w:sz w:val="18"/>
      <w:szCs w:val="18"/>
    </w:rPr>
  </w:style>
  <w:style w:type="character" w:customStyle="1" w:styleId="107">
    <w:name w:val="批注框文本 字符"/>
    <w:link w:val="106"/>
    <w:qFormat/>
    <w:uiPriority w:val="99"/>
    <w:rPr>
      <w:sz w:val="18"/>
      <w:szCs w:val="18"/>
    </w:rPr>
  </w:style>
  <w:style w:type="paragraph" w:customStyle="1" w:styleId="108">
    <w:name w:val="页脚1"/>
    <w:basedOn w:val="1"/>
    <w:link w:val="109"/>
    <w:qFormat/>
    <w:uiPriority w:val="99"/>
    <w:pPr>
      <w:tabs>
        <w:tab w:val="center" w:pos="4153"/>
        <w:tab w:val="right" w:pos="8306"/>
      </w:tabs>
      <w:jc w:val="left"/>
    </w:pPr>
    <w:rPr>
      <w:sz w:val="18"/>
      <w:szCs w:val="18"/>
    </w:rPr>
  </w:style>
  <w:style w:type="character" w:customStyle="1" w:styleId="109">
    <w:name w:val="页脚 字符"/>
    <w:link w:val="108"/>
    <w:qFormat/>
    <w:uiPriority w:val="99"/>
    <w:rPr>
      <w:sz w:val="18"/>
      <w:szCs w:val="18"/>
    </w:rPr>
  </w:style>
  <w:style w:type="paragraph" w:customStyle="1" w:styleId="110">
    <w:name w:val="页眉1"/>
    <w:basedOn w:val="1"/>
    <w:link w:val="111"/>
    <w:qFormat/>
    <w:uiPriority w:val="99"/>
    <w:pPr>
      <w:pBdr>
        <w:bottom w:val="single" w:color="000000" w:sz="6" w:space="1"/>
      </w:pBdr>
      <w:tabs>
        <w:tab w:val="center" w:pos="4153"/>
        <w:tab w:val="right" w:pos="8306"/>
      </w:tabs>
      <w:jc w:val="center"/>
    </w:pPr>
    <w:rPr>
      <w:sz w:val="18"/>
      <w:szCs w:val="18"/>
    </w:rPr>
  </w:style>
  <w:style w:type="character" w:customStyle="1" w:styleId="111">
    <w:name w:val="页眉 字符"/>
    <w:link w:val="110"/>
    <w:qFormat/>
    <w:uiPriority w:val="99"/>
    <w:rPr>
      <w:sz w:val="18"/>
      <w:szCs w:val="18"/>
    </w:rPr>
  </w:style>
  <w:style w:type="paragraph" w:customStyle="1" w:styleId="112">
    <w:name w:val="副标题1"/>
    <w:basedOn w:val="1"/>
    <w:next w:val="1"/>
    <w:link w:val="113"/>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113">
    <w:name w:val="副标题 字符"/>
    <w:link w:val="112"/>
    <w:qFormat/>
    <w:uiPriority w:val="0"/>
    <w:rPr>
      <w:rFonts w:ascii="Cambria" w:hAnsi="Cambria"/>
      <w:b/>
      <w:bCs/>
      <w:sz w:val="32"/>
      <w:szCs w:val="32"/>
    </w:rPr>
  </w:style>
  <w:style w:type="paragraph" w:customStyle="1" w:styleId="114">
    <w:name w:val="列表1"/>
    <w:basedOn w:val="1"/>
    <w:qFormat/>
    <w:uiPriority w:val="99"/>
    <w:pPr>
      <w:ind w:left="200" w:hanging="200"/>
    </w:pPr>
    <w:rPr>
      <w:szCs w:val="21"/>
    </w:rPr>
  </w:style>
  <w:style w:type="paragraph" w:customStyle="1" w:styleId="115">
    <w:name w:val="脚注文本1"/>
    <w:basedOn w:val="1"/>
    <w:link w:val="116"/>
    <w:qFormat/>
    <w:uiPriority w:val="0"/>
    <w:pPr>
      <w:widowControl/>
      <w:jc w:val="left"/>
    </w:pPr>
    <w:rPr>
      <w:sz w:val="20"/>
      <w:szCs w:val="20"/>
    </w:rPr>
  </w:style>
  <w:style w:type="character" w:customStyle="1" w:styleId="116">
    <w:name w:val="脚注文本 字符"/>
    <w:link w:val="115"/>
    <w:qFormat/>
    <w:uiPriority w:val="0"/>
    <w:rPr>
      <w:sz w:val="18"/>
    </w:rPr>
  </w:style>
  <w:style w:type="paragraph" w:customStyle="1" w:styleId="117">
    <w:name w:val="正文文本缩进 31"/>
    <w:basedOn w:val="1"/>
    <w:link w:val="118"/>
    <w:qFormat/>
    <w:uiPriority w:val="0"/>
    <w:pPr>
      <w:ind w:left="645" w:firstLine="645"/>
    </w:pPr>
    <w:rPr>
      <w:rFonts w:ascii="Arial" w:hAnsi="Arial" w:eastAsia="仿宋_GB2312" w:cs="Arial"/>
      <w:color w:val="FFFF00"/>
      <w:sz w:val="32"/>
      <w:szCs w:val="32"/>
    </w:rPr>
  </w:style>
  <w:style w:type="character" w:customStyle="1" w:styleId="118">
    <w:name w:val="正文文本缩进 3 字符"/>
    <w:link w:val="117"/>
    <w:qFormat/>
    <w:uiPriority w:val="0"/>
    <w:rPr>
      <w:rFonts w:ascii="Arial" w:hAnsi="Arial" w:eastAsia="仿宋_GB2312" w:cs="Arial"/>
      <w:color w:val="FFFF00"/>
      <w:sz w:val="32"/>
      <w:szCs w:val="32"/>
    </w:rPr>
  </w:style>
  <w:style w:type="paragraph" w:customStyle="1" w:styleId="119">
    <w:name w:val="图表目录1"/>
    <w:basedOn w:val="1"/>
    <w:next w:val="1"/>
    <w:qFormat/>
    <w:uiPriority w:val="0"/>
    <w:pPr>
      <w:ind w:left="840" w:hanging="420"/>
    </w:pPr>
    <w:rPr>
      <w:szCs w:val="21"/>
    </w:rPr>
  </w:style>
  <w:style w:type="paragraph" w:customStyle="1" w:styleId="120">
    <w:name w:val="正文文本 21"/>
    <w:basedOn w:val="1"/>
    <w:link w:val="121"/>
    <w:qFormat/>
    <w:uiPriority w:val="0"/>
    <w:pPr>
      <w:widowControl/>
      <w:jc w:val="center"/>
    </w:pPr>
    <w:rPr>
      <w:rFonts w:ascii="楷体_GB2312" w:hAnsi="宋体" w:eastAsia="楷体_GB2312" w:cs="宋体"/>
      <w:sz w:val="28"/>
      <w:szCs w:val="28"/>
    </w:rPr>
  </w:style>
  <w:style w:type="character" w:customStyle="1" w:styleId="121">
    <w:name w:val="正文文本 2 字符"/>
    <w:link w:val="120"/>
    <w:qFormat/>
    <w:uiPriority w:val="0"/>
    <w:rPr>
      <w:rFonts w:ascii="楷体_GB2312" w:hAnsi="宋体" w:eastAsia="楷体_GB2312" w:cs="宋体"/>
      <w:sz w:val="28"/>
      <w:szCs w:val="28"/>
    </w:rPr>
  </w:style>
  <w:style w:type="paragraph" w:customStyle="1" w:styleId="122">
    <w:name w:val="列表 41"/>
    <w:basedOn w:val="1"/>
    <w:qFormat/>
    <w:uiPriority w:val="0"/>
    <w:pPr>
      <w:numPr>
        <w:ilvl w:val="0"/>
        <w:numId w:val="5"/>
      </w:numPr>
      <w:tabs>
        <w:tab w:val="clear" w:pos="709"/>
      </w:tabs>
      <w:ind w:left="100" w:hanging="200"/>
    </w:pPr>
    <w:rPr>
      <w:szCs w:val="21"/>
    </w:rPr>
  </w:style>
  <w:style w:type="paragraph" w:customStyle="1" w:styleId="123">
    <w:name w:val="HTML 预设格式1"/>
    <w:basedOn w:val="1"/>
    <w:link w:val="12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124">
    <w:name w:val="HTML 预设格式 字符"/>
    <w:link w:val="123"/>
    <w:qFormat/>
    <w:uiPriority w:val="0"/>
    <w:rPr>
      <w:rFonts w:ascii="宋体" w:hAnsi="宋体" w:cs="宋体"/>
      <w:sz w:val="24"/>
      <w:szCs w:val="22"/>
    </w:rPr>
  </w:style>
  <w:style w:type="paragraph" w:customStyle="1" w:styleId="125">
    <w:name w:val="普通(网站)1"/>
    <w:basedOn w:val="1"/>
    <w:link w:val="126"/>
    <w:qFormat/>
    <w:uiPriority w:val="99"/>
    <w:pPr>
      <w:widowControl/>
      <w:spacing w:before="100" w:beforeAutospacing="1" w:after="100" w:afterAutospacing="1"/>
      <w:jc w:val="left"/>
    </w:pPr>
    <w:rPr>
      <w:rFonts w:ascii="宋体" w:hAnsi="宋体"/>
      <w:sz w:val="24"/>
    </w:rPr>
  </w:style>
  <w:style w:type="character" w:customStyle="1" w:styleId="126">
    <w:name w:val="普通(网站) 字符"/>
    <w:link w:val="125"/>
    <w:qFormat/>
    <w:uiPriority w:val="99"/>
    <w:rPr>
      <w:rFonts w:ascii="宋体" w:hAnsi="宋体" w:cs="宋体"/>
      <w:sz w:val="24"/>
      <w:szCs w:val="24"/>
    </w:rPr>
  </w:style>
  <w:style w:type="paragraph" w:customStyle="1" w:styleId="127">
    <w:name w:val="列表接续 31"/>
    <w:basedOn w:val="1"/>
    <w:qFormat/>
    <w:uiPriority w:val="0"/>
    <w:pPr>
      <w:spacing w:after="120"/>
      <w:ind w:left="1260"/>
    </w:pPr>
    <w:rPr>
      <w:szCs w:val="20"/>
    </w:rPr>
  </w:style>
  <w:style w:type="paragraph" w:customStyle="1" w:styleId="128">
    <w:name w:val="索引 11"/>
    <w:basedOn w:val="1"/>
    <w:next w:val="1"/>
    <w:qFormat/>
    <w:uiPriority w:val="0"/>
    <w:pPr>
      <w:spacing w:line="240" w:lineRule="atLeast"/>
    </w:pPr>
    <w:rPr>
      <w:b/>
      <w:bCs/>
      <w:szCs w:val="21"/>
    </w:rPr>
  </w:style>
  <w:style w:type="paragraph" w:customStyle="1" w:styleId="129">
    <w:name w:val="标题11"/>
    <w:basedOn w:val="1"/>
    <w:link w:val="130"/>
    <w:qFormat/>
    <w:uiPriority w:val="0"/>
    <w:pPr>
      <w:spacing w:before="240" w:after="60"/>
      <w:jc w:val="center"/>
      <w:outlineLvl w:val="0"/>
    </w:pPr>
    <w:rPr>
      <w:rFonts w:ascii="Arial" w:hAnsi="Arial" w:eastAsia="黑体"/>
      <w:b/>
      <w:bCs/>
      <w:sz w:val="44"/>
      <w:szCs w:val="32"/>
    </w:rPr>
  </w:style>
  <w:style w:type="character" w:customStyle="1" w:styleId="130">
    <w:name w:val="标题 字符1"/>
    <w:link w:val="129"/>
    <w:qFormat/>
    <w:uiPriority w:val="0"/>
    <w:rPr>
      <w:rFonts w:ascii="Arial" w:hAnsi="Arial" w:eastAsia="黑体" w:cs="Arial"/>
      <w:b/>
      <w:bCs/>
      <w:sz w:val="44"/>
      <w:szCs w:val="32"/>
    </w:rPr>
  </w:style>
  <w:style w:type="paragraph" w:customStyle="1" w:styleId="131">
    <w:name w:val="批注主题1"/>
    <w:basedOn w:val="87"/>
    <w:next w:val="87"/>
    <w:link w:val="132"/>
    <w:qFormat/>
    <w:uiPriority w:val="99"/>
    <w:rPr>
      <w:b/>
      <w:bCs/>
    </w:rPr>
  </w:style>
  <w:style w:type="character" w:customStyle="1" w:styleId="132">
    <w:name w:val="批注主题 字符"/>
    <w:link w:val="131"/>
    <w:qFormat/>
    <w:uiPriority w:val="99"/>
    <w:rPr>
      <w:b/>
      <w:bCs/>
      <w:sz w:val="21"/>
      <w:szCs w:val="21"/>
    </w:rPr>
  </w:style>
  <w:style w:type="table" w:customStyle="1" w:styleId="133">
    <w:name w:val="网格型1"/>
    <w:basedOn w:val="68"/>
    <w:qFormat/>
    <w:uiPriority w:val="39"/>
    <w:rPr>
      <w:rFonts w:ascii="Calibri" w:hAnsi="Calibri"/>
    </w:rPr>
  </w:style>
  <w:style w:type="character" w:customStyle="1" w:styleId="134">
    <w:name w:val="要点1"/>
    <w:link w:val="1"/>
    <w:qFormat/>
    <w:uiPriority w:val="22"/>
    <w:rPr>
      <w:b/>
      <w:bCs/>
    </w:rPr>
  </w:style>
  <w:style w:type="character" w:customStyle="1" w:styleId="135">
    <w:name w:val="尾注引用1"/>
    <w:link w:val="1"/>
    <w:unhideWhenUsed/>
    <w:qFormat/>
    <w:uiPriority w:val="99"/>
    <w:rPr>
      <w:vertAlign w:val="superscript"/>
    </w:rPr>
  </w:style>
  <w:style w:type="character" w:customStyle="1" w:styleId="136">
    <w:name w:val="页码1"/>
    <w:link w:val="1"/>
    <w:qFormat/>
    <w:uiPriority w:val="0"/>
  </w:style>
  <w:style w:type="character" w:customStyle="1" w:styleId="137">
    <w:name w:val="强调1"/>
    <w:link w:val="1"/>
    <w:qFormat/>
    <w:uiPriority w:val="20"/>
    <w:rPr>
      <w:i/>
      <w:iCs/>
    </w:rPr>
  </w:style>
  <w:style w:type="character" w:customStyle="1" w:styleId="138">
    <w:name w:val="超链接1"/>
    <w:link w:val="1"/>
    <w:qFormat/>
    <w:uiPriority w:val="99"/>
    <w:rPr>
      <w:color w:val="0000FF"/>
      <w:u w:val="single"/>
    </w:rPr>
  </w:style>
  <w:style w:type="character" w:customStyle="1" w:styleId="139">
    <w:name w:val="批注引用1"/>
    <w:link w:val="1"/>
    <w:qFormat/>
    <w:uiPriority w:val="99"/>
    <w:rPr>
      <w:sz w:val="21"/>
      <w:szCs w:val="21"/>
    </w:rPr>
  </w:style>
  <w:style w:type="character" w:customStyle="1" w:styleId="140">
    <w:name w:val="脚注引用1"/>
    <w:link w:val="1"/>
    <w:unhideWhenUsed/>
    <w:qFormat/>
    <w:uiPriority w:val="99"/>
    <w:rPr>
      <w:vertAlign w:val="superscript"/>
    </w:rPr>
  </w:style>
  <w:style w:type="character" w:customStyle="1" w:styleId="141">
    <w:name w:val="默认段落字体11"/>
    <w:link w:val="1"/>
    <w:unhideWhenUsed/>
    <w:qFormat/>
    <w:uiPriority w:val="1"/>
    <w:rPr>
      <w:rFonts w:ascii="Calibri" w:hAnsi="Calibri" w:eastAsia="宋体" w:cs="Times New Roman"/>
      <w:sz w:val="21"/>
      <w:szCs w:val="22"/>
      <w:lang w:val="en-US" w:eastAsia="zh-CN" w:bidi="ar-SA"/>
    </w:rPr>
  </w:style>
  <w:style w:type="paragraph" w:customStyle="1" w:styleId="142">
    <w:name w:val="列表段落"/>
    <w:basedOn w:val="1"/>
    <w:qFormat/>
    <w:uiPriority w:val="0"/>
    <w:pPr>
      <w:ind w:firstLine="200"/>
    </w:pPr>
    <w:rPr>
      <w:rFonts w:cs="Arial"/>
    </w:rPr>
  </w:style>
  <w:style w:type="paragraph" w:customStyle="1" w:styleId="143">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144">
    <w:name w:val="引用"/>
    <w:basedOn w:val="1"/>
    <w:next w:val="1"/>
    <w:link w:val="145"/>
    <w:qFormat/>
    <w:uiPriority w:val="29"/>
    <w:pPr>
      <w:ind w:left="720" w:right="720"/>
    </w:pPr>
    <w:rPr>
      <w:i/>
    </w:rPr>
  </w:style>
  <w:style w:type="character" w:customStyle="1" w:styleId="145">
    <w:name w:val="引用 字符"/>
    <w:link w:val="144"/>
    <w:qFormat/>
    <w:uiPriority w:val="29"/>
    <w:rPr>
      <w:i/>
    </w:rPr>
  </w:style>
  <w:style w:type="paragraph" w:customStyle="1" w:styleId="146">
    <w:name w:val="明显引用"/>
    <w:basedOn w:val="1"/>
    <w:next w:val="1"/>
    <w:link w:val="14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7">
    <w:name w:val="明显引用 字符"/>
    <w:link w:val="146"/>
    <w:qFormat/>
    <w:uiPriority w:val="30"/>
    <w:rPr>
      <w:i/>
    </w:rPr>
  </w:style>
  <w:style w:type="table" w:customStyle="1" w:styleId="148">
    <w:name w:val="无格式表格 11"/>
    <w:basedOn w:val="68"/>
    <w:qFormat/>
    <w:uiPriority w:val="59"/>
  </w:style>
  <w:style w:type="table" w:customStyle="1" w:styleId="149">
    <w:name w:val="无格式表格 21"/>
    <w:basedOn w:val="68"/>
    <w:qFormat/>
    <w:uiPriority w:val="59"/>
  </w:style>
  <w:style w:type="table" w:customStyle="1" w:styleId="150">
    <w:name w:val="无格式表格 31"/>
    <w:basedOn w:val="68"/>
    <w:qFormat/>
    <w:uiPriority w:val="99"/>
  </w:style>
  <w:style w:type="table" w:customStyle="1" w:styleId="151">
    <w:name w:val="无格式表格 41"/>
    <w:basedOn w:val="68"/>
    <w:qFormat/>
    <w:uiPriority w:val="99"/>
  </w:style>
  <w:style w:type="table" w:customStyle="1" w:styleId="152">
    <w:name w:val="无格式表格 51"/>
    <w:basedOn w:val="68"/>
    <w:qFormat/>
    <w:uiPriority w:val="99"/>
  </w:style>
  <w:style w:type="table" w:customStyle="1" w:styleId="153">
    <w:name w:val="网格表 1 浅色1"/>
    <w:basedOn w:val="68"/>
    <w:qFormat/>
    <w:uiPriority w:val="99"/>
  </w:style>
  <w:style w:type="table" w:customStyle="1" w:styleId="154">
    <w:name w:val="网格表 21"/>
    <w:basedOn w:val="68"/>
    <w:qFormat/>
    <w:uiPriority w:val="99"/>
  </w:style>
  <w:style w:type="table" w:customStyle="1" w:styleId="155">
    <w:name w:val="网格表 31"/>
    <w:basedOn w:val="68"/>
    <w:qFormat/>
    <w:uiPriority w:val="99"/>
  </w:style>
  <w:style w:type="table" w:customStyle="1" w:styleId="156">
    <w:name w:val="网格表 41"/>
    <w:basedOn w:val="68"/>
    <w:qFormat/>
    <w:uiPriority w:val="59"/>
  </w:style>
  <w:style w:type="table" w:customStyle="1" w:styleId="157">
    <w:name w:val="网格表 5 深色1"/>
    <w:basedOn w:val="68"/>
    <w:qFormat/>
    <w:uiPriority w:val="99"/>
  </w:style>
  <w:style w:type="table" w:customStyle="1" w:styleId="158">
    <w:name w:val="网格表 6 彩色1"/>
    <w:basedOn w:val="68"/>
    <w:qFormat/>
    <w:uiPriority w:val="99"/>
  </w:style>
  <w:style w:type="table" w:customStyle="1" w:styleId="159">
    <w:name w:val="网格表 7 彩色1"/>
    <w:basedOn w:val="68"/>
    <w:qFormat/>
    <w:uiPriority w:val="99"/>
  </w:style>
  <w:style w:type="table" w:customStyle="1" w:styleId="160">
    <w:name w:val="清单表 1 浅色1"/>
    <w:basedOn w:val="68"/>
    <w:qFormat/>
    <w:uiPriority w:val="99"/>
  </w:style>
  <w:style w:type="table" w:customStyle="1" w:styleId="161">
    <w:name w:val="清单表 21"/>
    <w:basedOn w:val="68"/>
    <w:qFormat/>
    <w:uiPriority w:val="99"/>
  </w:style>
  <w:style w:type="table" w:customStyle="1" w:styleId="162">
    <w:name w:val="清单表 31"/>
    <w:basedOn w:val="68"/>
    <w:qFormat/>
    <w:uiPriority w:val="99"/>
  </w:style>
  <w:style w:type="table" w:customStyle="1" w:styleId="163">
    <w:name w:val="清单表 41"/>
    <w:basedOn w:val="68"/>
    <w:qFormat/>
    <w:uiPriority w:val="99"/>
  </w:style>
  <w:style w:type="table" w:customStyle="1" w:styleId="164">
    <w:name w:val="清单表 5 深色1"/>
    <w:basedOn w:val="68"/>
    <w:qFormat/>
    <w:uiPriority w:val="99"/>
  </w:style>
  <w:style w:type="table" w:customStyle="1" w:styleId="165">
    <w:name w:val="清单表 6 彩色1"/>
    <w:basedOn w:val="68"/>
    <w:qFormat/>
    <w:uiPriority w:val="99"/>
  </w:style>
  <w:style w:type="table" w:customStyle="1" w:styleId="166">
    <w:name w:val="清单表 7 彩色1"/>
    <w:basedOn w:val="68"/>
    <w:qFormat/>
    <w:uiPriority w:val="99"/>
  </w:style>
  <w:style w:type="paragraph" w:customStyle="1" w:styleId="167">
    <w:name w:val="TOC 标题1"/>
    <w:unhideWhenUsed/>
    <w:qFormat/>
    <w:uiPriority w:val="39"/>
    <w:rPr>
      <w:rFonts w:hint="default" w:ascii="Times New Roman" w:hAnsi="Times New Roman" w:eastAsia="宋体" w:cs="Times New Roman"/>
      <w:lang w:val="en-US" w:eastAsia="zh-CN" w:bidi="ar-SA"/>
    </w:rPr>
  </w:style>
  <w:style w:type="paragraph" w:customStyle="1" w:styleId="168">
    <w:name w:val="TOC 标题112"/>
    <w:unhideWhenUsed/>
    <w:qFormat/>
    <w:uiPriority w:val="39"/>
    <w:rPr>
      <w:rFonts w:hint="default" w:ascii="Times New Roman" w:hAnsi="Times New Roman" w:eastAsia="宋体" w:cs="Times New Roman"/>
      <w:lang w:val="en-US" w:eastAsia="zh-CN" w:bidi="ar-SA"/>
    </w:rPr>
  </w:style>
  <w:style w:type="character" w:customStyle="1" w:styleId="169">
    <w:name w:val="Quote Char"/>
    <w:link w:val="1"/>
    <w:qFormat/>
    <w:uiPriority w:val="29"/>
    <w:rPr>
      <w:i/>
    </w:rPr>
  </w:style>
  <w:style w:type="character" w:customStyle="1" w:styleId="170">
    <w:name w:val="Intense Quote Char"/>
    <w:link w:val="1"/>
    <w:qFormat/>
    <w:uiPriority w:val="30"/>
    <w:rPr>
      <w:i/>
    </w:rPr>
  </w:style>
  <w:style w:type="character" w:customStyle="1" w:styleId="171">
    <w:name w:val="Footnote Text Char"/>
    <w:link w:val="1"/>
    <w:qFormat/>
    <w:uiPriority w:val="99"/>
    <w:rPr>
      <w:sz w:val="18"/>
    </w:rPr>
  </w:style>
  <w:style w:type="character" w:customStyle="1" w:styleId="172">
    <w:name w:val="Endnote Text Char"/>
    <w:link w:val="1"/>
    <w:qFormat/>
    <w:uiPriority w:val="99"/>
    <w:rPr>
      <w:sz w:val="20"/>
    </w:rPr>
  </w:style>
  <w:style w:type="paragraph" w:customStyle="1" w:styleId="173">
    <w:name w:val="TOC 标题111"/>
    <w:unhideWhenUsed/>
    <w:qFormat/>
    <w:uiPriority w:val="39"/>
    <w:rPr>
      <w:rFonts w:hint="default" w:ascii="Times New Roman" w:hAnsi="Times New Roman" w:eastAsia="宋体" w:cs="Times New Roman"/>
      <w:lang w:val="en-US" w:eastAsia="zh-CN" w:bidi="ar-SA"/>
    </w:rPr>
  </w:style>
  <w:style w:type="character" w:customStyle="1" w:styleId="174">
    <w:name w:val="Heading 1 Char"/>
    <w:link w:val="1"/>
    <w:qFormat/>
    <w:uiPriority w:val="9"/>
    <w:rPr>
      <w:rFonts w:ascii="Arial" w:hAnsi="Arial" w:eastAsia="Arial" w:cs="Arial"/>
      <w:sz w:val="40"/>
      <w:szCs w:val="40"/>
    </w:rPr>
  </w:style>
  <w:style w:type="character" w:customStyle="1" w:styleId="175">
    <w:name w:val="Heading 2 Char"/>
    <w:link w:val="1"/>
    <w:qFormat/>
    <w:uiPriority w:val="9"/>
    <w:rPr>
      <w:rFonts w:ascii="Arial" w:hAnsi="Arial" w:eastAsia="Arial" w:cs="Arial"/>
      <w:sz w:val="34"/>
    </w:rPr>
  </w:style>
  <w:style w:type="character" w:customStyle="1" w:styleId="176">
    <w:name w:val="Heading 3 Char"/>
    <w:link w:val="1"/>
    <w:qFormat/>
    <w:uiPriority w:val="9"/>
    <w:rPr>
      <w:rFonts w:ascii="Arial" w:hAnsi="Arial" w:eastAsia="Arial" w:cs="Arial"/>
      <w:sz w:val="30"/>
      <w:szCs w:val="30"/>
    </w:rPr>
  </w:style>
  <w:style w:type="character" w:customStyle="1" w:styleId="177">
    <w:name w:val="Heading 4 Char"/>
    <w:link w:val="1"/>
    <w:qFormat/>
    <w:uiPriority w:val="9"/>
    <w:rPr>
      <w:rFonts w:ascii="Arial" w:hAnsi="Arial" w:eastAsia="Arial" w:cs="Arial"/>
      <w:b/>
      <w:bCs/>
      <w:sz w:val="26"/>
      <w:szCs w:val="26"/>
    </w:rPr>
  </w:style>
  <w:style w:type="character" w:customStyle="1" w:styleId="178">
    <w:name w:val="Heading 5 Char"/>
    <w:link w:val="1"/>
    <w:qFormat/>
    <w:uiPriority w:val="9"/>
    <w:rPr>
      <w:rFonts w:ascii="Arial" w:hAnsi="Arial" w:eastAsia="Arial" w:cs="Arial"/>
      <w:b/>
      <w:bCs/>
      <w:sz w:val="24"/>
      <w:szCs w:val="24"/>
    </w:rPr>
  </w:style>
  <w:style w:type="character" w:customStyle="1" w:styleId="179">
    <w:name w:val="Heading 6 Char"/>
    <w:link w:val="1"/>
    <w:qFormat/>
    <w:uiPriority w:val="9"/>
    <w:rPr>
      <w:rFonts w:ascii="Arial" w:hAnsi="Arial" w:eastAsia="Arial" w:cs="Arial"/>
      <w:b/>
      <w:bCs/>
      <w:sz w:val="22"/>
      <w:szCs w:val="22"/>
    </w:rPr>
  </w:style>
  <w:style w:type="character" w:customStyle="1" w:styleId="180">
    <w:name w:val="Heading 7 Char"/>
    <w:link w:val="1"/>
    <w:qFormat/>
    <w:uiPriority w:val="9"/>
    <w:rPr>
      <w:rFonts w:ascii="Arial" w:hAnsi="Arial" w:eastAsia="Arial" w:cs="Arial"/>
      <w:b/>
      <w:bCs/>
      <w:i/>
      <w:iCs/>
      <w:sz w:val="22"/>
      <w:szCs w:val="22"/>
    </w:rPr>
  </w:style>
  <w:style w:type="character" w:customStyle="1" w:styleId="181">
    <w:name w:val="Heading 8 Char"/>
    <w:link w:val="1"/>
    <w:qFormat/>
    <w:uiPriority w:val="9"/>
    <w:rPr>
      <w:rFonts w:ascii="Arial" w:hAnsi="Arial" w:eastAsia="Arial" w:cs="Arial"/>
      <w:i/>
      <w:iCs/>
      <w:sz w:val="22"/>
      <w:szCs w:val="22"/>
    </w:rPr>
  </w:style>
  <w:style w:type="character" w:customStyle="1" w:styleId="182">
    <w:name w:val="Heading 9 Char"/>
    <w:link w:val="1"/>
    <w:qFormat/>
    <w:uiPriority w:val="9"/>
    <w:rPr>
      <w:rFonts w:ascii="Arial" w:hAnsi="Arial" w:eastAsia="Arial" w:cs="Arial"/>
      <w:i/>
      <w:iCs/>
      <w:sz w:val="21"/>
      <w:szCs w:val="21"/>
    </w:rPr>
  </w:style>
  <w:style w:type="character" w:customStyle="1" w:styleId="183">
    <w:name w:val="Title Char"/>
    <w:link w:val="1"/>
    <w:qFormat/>
    <w:uiPriority w:val="10"/>
    <w:rPr>
      <w:sz w:val="48"/>
      <w:szCs w:val="48"/>
    </w:rPr>
  </w:style>
  <w:style w:type="character" w:customStyle="1" w:styleId="184">
    <w:name w:val="Subtitle Char"/>
    <w:link w:val="1"/>
    <w:qFormat/>
    <w:uiPriority w:val="11"/>
    <w:rPr>
      <w:sz w:val="24"/>
      <w:szCs w:val="24"/>
    </w:rPr>
  </w:style>
  <w:style w:type="character" w:customStyle="1" w:styleId="185">
    <w:name w:val="Header Char"/>
    <w:link w:val="1"/>
    <w:qFormat/>
    <w:uiPriority w:val="99"/>
  </w:style>
  <w:style w:type="character" w:customStyle="1" w:styleId="186">
    <w:name w:val="Footer Char"/>
    <w:link w:val="1"/>
    <w:qFormat/>
    <w:uiPriority w:val="99"/>
  </w:style>
  <w:style w:type="character" w:customStyle="1" w:styleId="187">
    <w:name w:val="Caption Char"/>
    <w:link w:val="1"/>
    <w:qFormat/>
    <w:uiPriority w:val="99"/>
  </w:style>
  <w:style w:type="table" w:customStyle="1" w:styleId="188">
    <w:name w:val="Table Grid Light"/>
    <w:qFormat/>
    <w:uiPriority w:val="59"/>
    <w:rPr>
      <w:lang w:val="en-US" w:eastAsia="zh-CN" w:bidi="ar-SA"/>
    </w:rPr>
  </w:style>
  <w:style w:type="table" w:customStyle="1" w:styleId="189">
    <w:name w:val="Grid Table 1 Light - Accent 1"/>
    <w:qFormat/>
    <w:uiPriority w:val="99"/>
    <w:rPr>
      <w:lang w:val="en-US" w:eastAsia="zh-CN" w:bidi="ar-SA"/>
    </w:rPr>
  </w:style>
  <w:style w:type="table" w:customStyle="1" w:styleId="190">
    <w:name w:val="Grid Table 1 Light - Accent 2"/>
    <w:qFormat/>
    <w:uiPriority w:val="99"/>
    <w:rPr>
      <w:lang w:val="en-US" w:eastAsia="zh-CN" w:bidi="ar-SA"/>
    </w:rPr>
  </w:style>
  <w:style w:type="table" w:customStyle="1" w:styleId="191">
    <w:name w:val="Grid Table 1 Light - Accent 3"/>
    <w:qFormat/>
    <w:uiPriority w:val="99"/>
    <w:rPr>
      <w:lang w:val="en-US" w:eastAsia="zh-CN" w:bidi="ar-SA"/>
    </w:rPr>
  </w:style>
  <w:style w:type="table" w:customStyle="1" w:styleId="192">
    <w:name w:val="Grid Table 1 Light - Accent 4"/>
    <w:qFormat/>
    <w:uiPriority w:val="99"/>
    <w:rPr>
      <w:lang w:val="en-US" w:eastAsia="zh-CN" w:bidi="ar-SA"/>
    </w:rPr>
  </w:style>
  <w:style w:type="table" w:customStyle="1" w:styleId="193">
    <w:name w:val="Grid Table 1 Light - Accent 5"/>
    <w:qFormat/>
    <w:uiPriority w:val="99"/>
    <w:rPr>
      <w:lang w:val="en-US" w:eastAsia="zh-CN" w:bidi="ar-SA"/>
    </w:rPr>
  </w:style>
  <w:style w:type="table" w:customStyle="1" w:styleId="194">
    <w:name w:val="Grid Table 1 Light - Accent 6"/>
    <w:qFormat/>
    <w:uiPriority w:val="99"/>
    <w:rPr>
      <w:lang w:val="en-US" w:eastAsia="zh-CN" w:bidi="ar-SA"/>
    </w:rPr>
  </w:style>
  <w:style w:type="table" w:customStyle="1" w:styleId="195">
    <w:name w:val="Grid Table 2 - Accent 1"/>
    <w:qFormat/>
    <w:uiPriority w:val="99"/>
    <w:rPr>
      <w:lang w:val="en-US" w:eastAsia="zh-CN" w:bidi="ar-SA"/>
    </w:rPr>
  </w:style>
  <w:style w:type="table" w:customStyle="1" w:styleId="196">
    <w:name w:val="Grid Table 2 - Accent 2"/>
    <w:qFormat/>
    <w:uiPriority w:val="99"/>
    <w:rPr>
      <w:lang w:val="en-US" w:eastAsia="zh-CN" w:bidi="ar-SA"/>
    </w:rPr>
  </w:style>
  <w:style w:type="table" w:customStyle="1" w:styleId="197">
    <w:name w:val="Grid Table 2 - Accent 3"/>
    <w:qFormat/>
    <w:uiPriority w:val="99"/>
    <w:rPr>
      <w:lang w:val="en-US" w:eastAsia="zh-CN" w:bidi="ar-SA"/>
    </w:rPr>
  </w:style>
  <w:style w:type="table" w:customStyle="1" w:styleId="198">
    <w:name w:val="Grid Table 2 - Accent 4"/>
    <w:qFormat/>
    <w:uiPriority w:val="99"/>
    <w:rPr>
      <w:lang w:val="en-US" w:eastAsia="zh-CN" w:bidi="ar-SA"/>
    </w:rPr>
  </w:style>
  <w:style w:type="table" w:customStyle="1" w:styleId="199">
    <w:name w:val="Grid Table 2 - Accent 5"/>
    <w:qFormat/>
    <w:uiPriority w:val="99"/>
    <w:rPr>
      <w:lang w:val="en-US" w:eastAsia="zh-CN" w:bidi="ar-SA"/>
    </w:rPr>
  </w:style>
  <w:style w:type="table" w:customStyle="1" w:styleId="200">
    <w:name w:val="Grid Table 2 - Accent 6"/>
    <w:qFormat/>
    <w:uiPriority w:val="99"/>
    <w:rPr>
      <w:lang w:val="en-US" w:eastAsia="zh-CN" w:bidi="ar-SA"/>
    </w:rPr>
  </w:style>
  <w:style w:type="table" w:customStyle="1" w:styleId="201">
    <w:name w:val="Grid Table 3 - Accent 1"/>
    <w:qFormat/>
    <w:uiPriority w:val="99"/>
    <w:rPr>
      <w:lang w:val="en-US" w:eastAsia="zh-CN" w:bidi="ar-SA"/>
    </w:rPr>
  </w:style>
  <w:style w:type="table" w:customStyle="1" w:styleId="202">
    <w:name w:val="Grid Table 3 - Accent 2"/>
    <w:qFormat/>
    <w:uiPriority w:val="99"/>
    <w:rPr>
      <w:lang w:val="en-US" w:eastAsia="zh-CN" w:bidi="ar-SA"/>
    </w:rPr>
  </w:style>
  <w:style w:type="table" w:customStyle="1" w:styleId="203">
    <w:name w:val="Grid Table 3 - Accent 3"/>
    <w:qFormat/>
    <w:uiPriority w:val="99"/>
    <w:rPr>
      <w:lang w:val="en-US" w:eastAsia="zh-CN" w:bidi="ar-SA"/>
    </w:rPr>
  </w:style>
  <w:style w:type="table" w:customStyle="1" w:styleId="204">
    <w:name w:val="Grid Table 3 - Accent 4"/>
    <w:qFormat/>
    <w:uiPriority w:val="99"/>
    <w:rPr>
      <w:lang w:val="en-US" w:eastAsia="zh-CN" w:bidi="ar-SA"/>
    </w:rPr>
  </w:style>
  <w:style w:type="table" w:customStyle="1" w:styleId="205">
    <w:name w:val="Grid Table 3 - Accent 5"/>
    <w:qFormat/>
    <w:uiPriority w:val="99"/>
    <w:rPr>
      <w:lang w:val="en-US" w:eastAsia="zh-CN" w:bidi="ar-SA"/>
    </w:rPr>
  </w:style>
  <w:style w:type="table" w:customStyle="1" w:styleId="206">
    <w:name w:val="Grid Table 3 - Accent 6"/>
    <w:qFormat/>
    <w:uiPriority w:val="99"/>
    <w:rPr>
      <w:lang w:val="en-US" w:eastAsia="zh-CN" w:bidi="ar-SA"/>
    </w:rPr>
  </w:style>
  <w:style w:type="table" w:customStyle="1" w:styleId="207">
    <w:name w:val="Grid Table 4 - Accent 1"/>
    <w:qFormat/>
    <w:uiPriority w:val="59"/>
    <w:rPr>
      <w:lang w:val="en-US" w:eastAsia="zh-CN" w:bidi="ar-SA"/>
    </w:rPr>
  </w:style>
  <w:style w:type="table" w:customStyle="1" w:styleId="208">
    <w:name w:val="Grid Table 4 - Accent 2"/>
    <w:qFormat/>
    <w:uiPriority w:val="59"/>
    <w:rPr>
      <w:lang w:val="en-US" w:eastAsia="zh-CN" w:bidi="ar-SA"/>
    </w:rPr>
  </w:style>
  <w:style w:type="table" w:customStyle="1" w:styleId="209">
    <w:name w:val="Grid Table 4 - Accent 3"/>
    <w:qFormat/>
    <w:uiPriority w:val="59"/>
    <w:rPr>
      <w:lang w:val="en-US" w:eastAsia="zh-CN" w:bidi="ar-SA"/>
    </w:rPr>
  </w:style>
  <w:style w:type="table" w:customStyle="1" w:styleId="210">
    <w:name w:val="Grid Table 4 - Accent 4"/>
    <w:qFormat/>
    <w:uiPriority w:val="59"/>
    <w:rPr>
      <w:lang w:val="en-US" w:eastAsia="zh-CN" w:bidi="ar-SA"/>
    </w:rPr>
  </w:style>
  <w:style w:type="table" w:customStyle="1" w:styleId="211">
    <w:name w:val="Grid Table 4 - Accent 5"/>
    <w:qFormat/>
    <w:uiPriority w:val="59"/>
    <w:rPr>
      <w:lang w:val="en-US" w:eastAsia="zh-CN" w:bidi="ar-SA"/>
    </w:rPr>
  </w:style>
  <w:style w:type="table" w:customStyle="1" w:styleId="212">
    <w:name w:val="Grid Table 4 - Accent 6"/>
    <w:qFormat/>
    <w:uiPriority w:val="59"/>
    <w:rPr>
      <w:lang w:val="en-US" w:eastAsia="zh-CN" w:bidi="ar-SA"/>
    </w:rPr>
  </w:style>
  <w:style w:type="table" w:customStyle="1" w:styleId="213">
    <w:name w:val="Grid Table 5 Dark- Accent 1"/>
    <w:qFormat/>
    <w:uiPriority w:val="99"/>
    <w:rPr>
      <w:lang w:val="en-US" w:eastAsia="zh-CN" w:bidi="ar-SA"/>
    </w:rPr>
  </w:style>
  <w:style w:type="table" w:customStyle="1" w:styleId="214">
    <w:name w:val="Grid Table 5 Dark - Accent 2"/>
    <w:qFormat/>
    <w:uiPriority w:val="99"/>
    <w:rPr>
      <w:lang w:val="en-US" w:eastAsia="zh-CN" w:bidi="ar-SA"/>
    </w:rPr>
  </w:style>
  <w:style w:type="table" w:customStyle="1" w:styleId="215">
    <w:name w:val="Grid Table 5 Dark - Accent 3"/>
    <w:qFormat/>
    <w:uiPriority w:val="99"/>
    <w:rPr>
      <w:lang w:val="en-US" w:eastAsia="zh-CN" w:bidi="ar-SA"/>
    </w:rPr>
  </w:style>
  <w:style w:type="table" w:customStyle="1" w:styleId="216">
    <w:name w:val="Grid Table 5 Dark- Accent 4"/>
    <w:qFormat/>
    <w:uiPriority w:val="99"/>
    <w:rPr>
      <w:lang w:val="en-US" w:eastAsia="zh-CN" w:bidi="ar-SA"/>
    </w:rPr>
  </w:style>
  <w:style w:type="table" w:customStyle="1" w:styleId="217">
    <w:name w:val="Grid Table 5 Dark - Accent 5"/>
    <w:qFormat/>
    <w:uiPriority w:val="99"/>
    <w:rPr>
      <w:lang w:val="en-US" w:eastAsia="zh-CN" w:bidi="ar-SA"/>
    </w:rPr>
  </w:style>
  <w:style w:type="table" w:customStyle="1" w:styleId="218">
    <w:name w:val="Grid Table 5 Dark - Accent 6"/>
    <w:qFormat/>
    <w:uiPriority w:val="99"/>
    <w:rPr>
      <w:lang w:val="en-US" w:eastAsia="zh-CN" w:bidi="ar-SA"/>
    </w:rPr>
  </w:style>
  <w:style w:type="table" w:customStyle="1" w:styleId="219">
    <w:name w:val="Grid Table 6 Colorful - Accent 1"/>
    <w:qFormat/>
    <w:uiPriority w:val="99"/>
    <w:rPr>
      <w:lang w:val="en-US" w:eastAsia="zh-CN" w:bidi="ar-SA"/>
    </w:rPr>
  </w:style>
  <w:style w:type="table" w:customStyle="1" w:styleId="220">
    <w:name w:val="Grid Table 6 Colorful - Accent 2"/>
    <w:qFormat/>
    <w:uiPriority w:val="99"/>
    <w:rPr>
      <w:lang w:val="en-US" w:eastAsia="zh-CN" w:bidi="ar-SA"/>
    </w:rPr>
  </w:style>
  <w:style w:type="table" w:customStyle="1" w:styleId="221">
    <w:name w:val="Grid Table 6 Colorful - Accent 3"/>
    <w:qFormat/>
    <w:uiPriority w:val="99"/>
    <w:rPr>
      <w:lang w:val="en-US" w:eastAsia="zh-CN" w:bidi="ar-SA"/>
    </w:rPr>
  </w:style>
  <w:style w:type="table" w:customStyle="1" w:styleId="222">
    <w:name w:val="Grid Table 6 Colorful - Accent 4"/>
    <w:qFormat/>
    <w:uiPriority w:val="99"/>
    <w:rPr>
      <w:lang w:val="en-US" w:eastAsia="zh-CN" w:bidi="ar-SA"/>
    </w:rPr>
  </w:style>
  <w:style w:type="table" w:customStyle="1" w:styleId="223">
    <w:name w:val="Grid Table 6 Colorful - Accent 5"/>
    <w:qFormat/>
    <w:uiPriority w:val="99"/>
    <w:rPr>
      <w:lang w:val="en-US" w:eastAsia="zh-CN" w:bidi="ar-SA"/>
    </w:rPr>
  </w:style>
  <w:style w:type="table" w:customStyle="1" w:styleId="224">
    <w:name w:val="Grid Table 6 Colorful - Accent 6"/>
    <w:qFormat/>
    <w:uiPriority w:val="99"/>
    <w:rPr>
      <w:lang w:val="en-US" w:eastAsia="zh-CN" w:bidi="ar-SA"/>
    </w:rPr>
  </w:style>
  <w:style w:type="table" w:customStyle="1" w:styleId="225">
    <w:name w:val="Grid Table 7 Colorful - Accent 1"/>
    <w:qFormat/>
    <w:uiPriority w:val="99"/>
    <w:rPr>
      <w:lang w:val="en-US" w:eastAsia="zh-CN" w:bidi="ar-SA"/>
    </w:rPr>
  </w:style>
  <w:style w:type="table" w:customStyle="1" w:styleId="226">
    <w:name w:val="Grid Table 7 Colorful - Accent 2"/>
    <w:qFormat/>
    <w:uiPriority w:val="99"/>
    <w:rPr>
      <w:lang w:val="en-US" w:eastAsia="zh-CN" w:bidi="ar-SA"/>
    </w:rPr>
  </w:style>
  <w:style w:type="table" w:customStyle="1" w:styleId="227">
    <w:name w:val="Grid Table 7 Colorful - Accent 3"/>
    <w:qFormat/>
    <w:uiPriority w:val="99"/>
    <w:rPr>
      <w:lang w:val="en-US" w:eastAsia="zh-CN" w:bidi="ar-SA"/>
    </w:rPr>
  </w:style>
  <w:style w:type="table" w:customStyle="1" w:styleId="228">
    <w:name w:val="Grid Table 7 Colorful - Accent 4"/>
    <w:qFormat/>
    <w:uiPriority w:val="99"/>
    <w:rPr>
      <w:lang w:val="en-US" w:eastAsia="zh-CN" w:bidi="ar-SA"/>
    </w:rPr>
  </w:style>
  <w:style w:type="table" w:customStyle="1" w:styleId="229">
    <w:name w:val="Grid Table 7 Colorful - Accent 5"/>
    <w:qFormat/>
    <w:uiPriority w:val="99"/>
    <w:rPr>
      <w:lang w:val="en-US" w:eastAsia="zh-CN" w:bidi="ar-SA"/>
    </w:rPr>
  </w:style>
  <w:style w:type="table" w:customStyle="1" w:styleId="230">
    <w:name w:val="Grid Table 7 Colorful - Accent 6"/>
    <w:qFormat/>
    <w:uiPriority w:val="99"/>
    <w:rPr>
      <w:lang w:val="en-US" w:eastAsia="zh-CN" w:bidi="ar-SA"/>
    </w:rPr>
  </w:style>
  <w:style w:type="table" w:customStyle="1" w:styleId="231">
    <w:name w:val="List Table 1 Light - Accent 1"/>
    <w:qFormat/>
    <w:uiPriority w:val="99"/>
    <w:rPr>
      <w:lang w:val="en-US" w:eastAsia="zh-CN" w:bidi="ar-SA"/>
    </w:rPr>
  </w:style>
  <w:style w:type="table" w:customStyle="1" w:styleId="232">
    <w:name w:val="List Table 1 Light - Accent 2"/>
    <w:qFormat/>
    <w:uiPriority w:val="99"/>
    <w:rPr>
      <w:lang w:val="en-US" w:eastAsia="zh-CN" w:bidi="ar-SA"/>
    </w:rPr>
  </w:style>
  <w:style w:type="table" w:customStyle="1" w:styleId="233">
    <w:name w:val="List Table 1 Light - Accent 3"/>
    <w:qFormat/>
    <w:uiPriority w:val="99"/>
    <w:rPr>
      <w:lang w:val="en-US" w:eastAsia="zh-CN" w:bidi="ar-SA"/>
    </w:rPr>
  </w:style>
  <w:style w:type="table" w:customStyle="1" w:styleId="234">
    <w:name w:val="List Table 1 Light - Accent 4"/>
    <w:qFormat/>
    <w:uiPriority w:val="99"/>
    <w:rPr>
      <w:lang w:val="en-US" w:eastAsia="zh-CN" w:bidi="ar-SA"/>
    </w:rPr>
  </w:style>
  <w:style w:type="table" w:customStyle="1" w:styleId="235">
    <w:name w:val="List Table 1 Light - Accent 5"/>
    <w:qFormat/>
    <w:uiPriority w:val="99"/>
    <w:rPr>
      <w:lang w:val="en-US" w:eastAsia="zh-CN" w:bidi="ar-SA"/>
    </w:rPr>
  </w:style>
  <w:style w:type="table" w:customStyle="1" w:styleId="236">
    <w:name w:val="List Table 1 Light - Accent 6"/>
    <w:qFormat/>
    <w:uiPriority w:val="99"/>
    <w:rPr>
      <w:lang w:val="en-US" w:eastAsia="zh-CN" w:bidi="ar-SA"/>
    </w:rPr>
  </w:style>
  <w:style w:type="table" w:customStyle="1" w:styleId="237">
    <w:name w:val="List Table 2 - Accent 1"/>
    <w:qFormat/>
    <w:uiPriority w:val="99"/>
    <w:rPr>
      <w:lang w:val="en-US" w:eastAsia="zh-CN" w:bidi="ar-SA"/>
    </w:rPr>
  </w:style>
  <w:style w:type="table" w:customStyle="1" w:styleId="238">
    <w:name w:val="List Table 2 - Accent 2"/>
    <w:qFormat/>
    <w:uiPriority w:val="99"/>
    <w:rPr>
      <w:lang w:val="en-US" w:eastAsia="zh-CN" w:bidi="ar-SA"/>
    </w:rPr>
  </w:style>
  <w:style w:type="table" w:customStyle="1" w:styleId="239">
    <w:name w:val="List Table 2 - Accent 3"/>
    <w:qFormat/>
    <w:uiPriority w:val="99"/>
    <w:rPr>
      <w:lang w:val="en-US" w:eastAsia="zh-CN" w:bidi="ar-SA"/>
    </w:rPr>
  </w:style>
  <w:style w:type="table" w:customStyle="1" w:styleId="240">
    <w:name w:val="List Table 2 - Accent 4"/>
    <w:qFormat/>
    <w:uiPriority w:val="99"/>
    <w:rPr>
      <w:lang w:val="en-US" w:eastAsia="zh-CN" w:bidi="ar-SA"/>
    </w:rPr>
  </w:style>
  <w:style w:type="table" w:customStyle="1" w:styleId="241">
    <w:name w:val="List Table 2 - Accent 5"/>
    <w:qFormat/>
    <w:uiPriority w:val="99"/>
    <w:rPr>
      <w:lang w:val="en-US" w:eastAsia="zh-CN" w:bidi="ar-SA"/>
    </w:rPr>
  </w:style>
  <w:style w:type="table" w:customStyle="1" w:styleId="242">
    <w:name w:val="List Table 2 - Accent 6"/>
    <w:qFormat/>
    <w:uiPriority w:val="99"/>
    <w:rPr>
      <w:lang w:val="en-US" w:eastAsia="zh-CN" w:bidi="ar-SA"/>
    </w:rPr>
  </w:style>
  <w:style w:type="table" w:customStyle="1" w:styleId="243">
    <w:name w:val="List Table 3 - Accent 1"/>
    <w:qFormat/>
    <w:uiPriority w:val="99"/>
    <w:rPr>
      <w:lang w:val="en-US" w:eastAsia="zh-CN" w:bidi="ar-SA"/>
    </w:rPr>
  </w:style>
  <w:style w:type="table" w:customStyle="1" w:styleId="244">
    <w:name w:val="List Table 3 - Accent 2"/>
    <w:qFormat/>
    <w:uiPriority w:val="99"/>
    <w:rPr>
      <w:lang w:val="en-US" w:eastAsia="zh-CN" w:bidi="ar-SA"/>
    </w:rPr>
  </w:style>
  <w:style w:type="table" w:customStyle="1" w:styleId="245">
    <w:name w:val="List Table 3 - Accent 3"/>
    <w:qFormat/>
    <w:uiPriority w:val="99"/>
    <w:rPr>
      <w:lang w:val="en-US" w:eastAsia="zh-CN" w:bidi="ar-SA"/>
    </w:rPr>
  </w:style>
  <w:style w:type="table" w:customStyle="1" w:styleId="246">
    <w:name w:val="List Table 3 - Accent 4"/>
    <w:qFormat/>
    <w:uiPriority w:val="99"/>
    <w:rPr>
      <w:lang w:val="en-US" w:eastAsia="zh-CN" w:bidi="ar-SA"/>
    </w:rPr>
  </w:style>
  <w:style w:type="table" w:customStyle="1" w:styleId="247">
    <w:name w:val="List Table 3 - Accent 5"/>
    <w:qFormat/>
    <w:uiPriority w:val="99"/>
    <w:rPr>
      <w:lang w:val="en-US" w:eastAsia="zh-CN" w:bidi="ar-SA"/>
    </w:rPr>
  </w:style>
  <w:style w:type="table" w:customStyle="1" w:styleId="248">
    <w:name w:val="List Table 3 - Accent 6"/>
    <w:qFormat/>
    <w:uiPriority w:val="99"/>
    <w:rPr>
      <w:lang w:val="en-US" w:eastAsia="zh-CN" w:bidi="ar-SA"/>
    </w:rPr>
  </w:style>
  <w:style w:type="table" w:customStyle="1" w:styleId="249">
    <w:name w:val="List Table 4 - Accent 1"/>
    <w:qFormat/>
    <w:uiPriority w:val="99"/>
    <w:rPr>
      <w:lang w:val="en-US" w:eastAsia="zh-CN" w:bidi="ar-SA"/>
    </w:rPr>
  </w:style>
  <w:style w:type="table" w:customStyle="1" w:styleId="250">
    <w:name w:val="List Table 4 - Accent 2"/>
    <w:qFormat/>
    <w:uiPriority w:val="99"/>
    <w:rPr>
      <w:lang w:val="en-US" w:eastAsia="zh-CN" w:bidi="ar-SA"/>
    </w:rPr>
  </w:style>
  <w:style w:type="table" w:customStyle="1" w:styleId="251">
    <w:name w:val="List Table 4 - Accent 3"/>
    <w:qFormat/>
    <w:uiPriority w:val="99"/>
    <w:rPr>
      <w:lang w:val="en-US" w:eastAsia="zh-CN" w:bidi="ar-SA"/>
    </w:rPr>
  </w:style>
  <w:style w:type="table" w:customStyle="1" w:styleId="252">
    <w:name w:val="List Table 4 - Accent 4"/>
    <w:qFormat/>
    <w:uiPriority w:val="99"/>
    <w:rPr>
      <w:lang w:val="en-US" w:eastAsia="zh-CN" w:bidi="ar-SA"/>
    </w:rPr>
  </w:style>
  <w:style w:type="table" w:customStyle="1" w:styleId="253">
    <w:name w:val="List Table 4 - Accent 5"/>
    <w:qFormat/>
    <w:uiPriority w:val="99"/>
    <w:rPr>
      <w:lang w:val="en-US" w:eastAsia="zh-CN" w:bidi="ar-SA"/>
    </w:rPr>
  </w:style>
  <w:style w:type="table" w:customStyle="1" w:styleId="254">
    <w:name w:val="List Table 4 - Accent 6"/>
    <w:qFormat/>
    <w:uiPriority w:val="99"/>
    <w:rPr>
      <w:lang w:val="en-US" w:eastAsia="zh-CN" w:bidi="ar-SA"/>
    </w:rPr>
  </w:style>
  <w:style w:type="table" w:customStyle="1" w:styleId="255">
    <w:name w:val="List Table 5 Dark - Accent 1"/>
    <w:qFormat/>
    <w:uiPriority w:val="99"/>
    <w:rPr>
      <w:lang w:val="en-US" w:eastAsia="zh-CN" w:bidi="ar-SA"/>
    </w:rPr>
  </w:style>
  <w:style w:type="table" w:customStyle="1" w:styleId="256">
    <w:name w:val="List Table 5 Dark - Accent 2"/>
    <w:qFormat/>
    <w:uiPriority w:val="99"/>
    <w:rPr>
      <w:lang w:val="en-US" w:eastAsia="zh-CN" w:bidi="ar-SA"/>
    </w:rPr>
  </w:style>
  <w:style w:type="table" w:customStyle="1" w:styleId="257">
    <w:name w:val="List Table 5 Dark - Accent 3"/>
    <w:qFormat/>
    <w:uiPriority w:val="99"/>
    <w:rPr>
      <w:lang w:val="en-US" w:eastAsia="zh-CN" w:bidi="ar-SA"/>
    </w:rPr>
  </w:style>
  <w:style w:type="table" w:customStyle="1" w:styleId="258">
    <w:name w:val="List Table 5 Dark - Accent 4"/>
    <w:qFormat/>
    <w:uiPriority w:val="99"/>
    <w:rPr>
      <w:lang w:val="en-US" w:eastAsia="zh-CN" w:bidi="ar-SA"/>
    </w:rPr>
  </w:style>
  <w:style w:type="table" w:customStyle="1" w:styleId="259">
    <w:name w:val="List Table 5 Dark - Accent 5"/>
    <w:qFormat/>
    <w:uiPriority w:val="99"/>
    <w:rPr>
      <w:lang w:val="en-US" w:eastAsia="zh-CN" w:bidi="ar-SA"/>
    </w:rPr>
  </w:style>
  <w:style w:type="table" w:customStyle="1" w:styleId="260">
    <w:name w:val="List Table 5 Dark - Accent 6"/>
    <w:qFormat/>
    <w:uiPriority w:val="99"/>
    <w:rPr>
      <w:lang w:val="en-US" w:eastAsia="zh-CN" w:bidi="ar-SA"/>
    </w:rPr>
  </w:style>
  <w:style w:type="table" w:customStyle="1" w:styleId="261">
    <w:name w:val="List Table 6 Colorful - Accent 1"/>
    <w:qFormat/>
    <w:uiPriority w:val="99"/>
    <w:rPr>
      <w:lang w:val="en-US" w:eastAsia="zh-CN" w:bidi="ar-SA"/>
    </w:rPr>
  </w:style>
  <w:style w:type="table" w:customStyle="1" w:styleId="262">
    <w:name w:val="List Table 6 Colorful - Accent 2"/>
    <w:qFormat/>
    <w:uiPriority w:val="99"/>
    <w:rPr>
      <w:lang w:val="en-US" w:eastAsia="zh-CN" w:bidi="ar-SA"/>
    </w:rPr>
  </w:style>
  <w:style w:type="table" w:customStyle="1" w:styleId="263">
    <w:name w:val="List Table 6 Colorful - Accent 3"/>
    <w:qFormat/>
    <w:uiPriority w:val="99"/>
    <w:rPr>
      <w:lang w:val="en-US" w:eastAsia="zh-CN" w:bidi="ar-SA"/>
    </w:rPr>
  </w:style>
  <w:style w:type="table" w:customStyle="1" w:styleId="264">
    <w:name w:val="List Table 6 Colorful - Accent 4"/>
    <w:qFormat/>
    <w:uiPriority w:val="99"/>
    <w:rPr>
      <w:lang w:val="en-US" w:eastAsia="zh-CN" w:bidi="ar-SA"/>
    </w:rPr>
  </w:style>
  <w:style w:type="table" w:customStyle="1" w:styleId="265">
    <w:name w:val="List Table 6 Colorful - Accent 5"/>
    <w:qFormat/>
    <w:uiPriority w:val="99"/>
    <w:rPr>
      <w:lang w:val="en-US" w:eastAsia="zh-CN" w:bidi="ar-SA"/>
    </w:rPr>
  </w:style>
  <w:style w:type="table" w:customStyle="1" w:styleId="266">
    <w:name w:val="List Table 6 Colorful - Accent 6"/>
    <w:qFormat/>
    <w:uiPriority w:val="99"/>
    <w:rPr>
      <w:lang w:val="en-US" w:eastAsia="zh-CN" w:bidi="ar-SA"/>
    </w:rPr>
  </w:style>
  <w:style w:type="table" w:customStyle="1" w:styleId="267">
    <w:name w:val="List Table 7 Colorful - Accent 1"/>
    <w:qFormat/>
    <w:uiPriority w:val="99"/>
    <w:rPr>
      <w:lang w:val="en-US" w:eastAsia="zh-CN" w:bidi="ar-SA"/>
    </w:rPr>
  </w:style>
  <w:style w:type="table" w:customStyle="1" w:styleId="268">
    <w:name w:val="List Table 7 Colorful - Accent 2"/>
    <w:qFormat/>
    <w:uiPriority w:val="99"/>
    <w:rPr>
      <w:lang w:val="en-US" w:eastAsia="zh-CN" w:bidi="ar-SA"/>
    </w:rPr>
  </w:style>
  <w:style w:type="table" w:customStyle="1" w:styleId="269">
    <w:name w:val="List Table 7 Colorful - Accent 3"/>
    <w:qFormat/>
    <w:uiPriority w:val="99"/>
    <w:rPr>
      <w:lang w:val="en-US" w:eastAsia="zh-CN" w:bidi="ar-SA"/>
    </w:rPr>
  </w:style>
  <w:style w:type="table" w:customStyle="1" w:styleId="270">
    <w:name w:val="List Table 7 Colorful - Accent 4"/>
    <w:qFormat/>
    <w:uiPriority w:val="99"/>
    <w:rPr>
      <w:lang w:val="en-US" w:eastAsia="zh-CN" w:bidi="ar-SA"/>
    </w:rPr>
  </w:style>
  <w:style w:type="table" w:customStyle="1" w:styleId="271">
    <w:name w:val="List Table 7 Colorful - Accent 5"/>
    <w:qFormat/>
    <w:uiPriority w:val="99"/>
    <w:rPr>
      <w:lang w:val="en-US" w:eastAsia="zh-CN" w:bidi="ar-SA"/>
    </w:rPr>
  </w:style>
  <w:style w:type="table" w:customStyle="1" w:styleId="272">
    <w:name w:val="List Table 7 Colorful - Accent 6"/>
    <w:qFormat/>
    <w:uiPriority w:val="99"/>
    <w:rPr>
      <w:lang w:val="en-US" w:eastAsia="zh-CN" w:bidi="ar-SA"/>
    </w:rPr>
  </w:style>
  <w:style w:type="table" w:customStyle="1" w:styleId="273">
    <w:name w:val="Lined - Accent"/>
    <w:qFormat/>
    <w:uiPriority w:val="99"/>
    <w:rPr>
      <w:color w:val="404040"/>
      <w:lang w:val="en-US" w:eastAsia="zh-CN" w:bidi="ar-SA"/>
    </w:rPr>
  </w:style>
  <w:style w:type="table" w:customStyle="1" w:styleId="274">
    <w:name w:val="Lined - Accent 1"/>
    <w:qFormat/>
    <w:uiPriority w:val="99"/>
    <w:rPr>
      <w:color w:val="404040"/>
      <w:lang w:val="en-US" w:eastAsia="zh-CN" w:bidi="ar-SA"/>
    </w:rPr>
  </w:style>
  <w:style w:type="table" w:customStyle="1" w:styleId="275">
    <w:name w:val="Lined - Accent 2"/>
    <w:qFormat/>
    <w:uiPriority w:val="99"/>
    <w:rPr>
      <w:color w:val="404040"/>
      <w:lang w:val="en-US" w:eastAsia="zh-CN" w:bidi="ar-SA"/>
    </w:rPr>
  </w:style>
  <w:style w:type="table" w:customStyle="1" w:styleId="276">
    <w:name w:val="Lined - Accent 3"/>
    <w:qFormat/>
    <w:uiPriority w:val="99"/>
    <w:rPr>
      <w:color w:val="404040"/>
      <w:lang w:val="en-US" w:eastAsia="zh-CN" w:bidi="ar-SA"/>
    </w:rPr>
  </w:style>
  <w:style w:type="table" w:customStyle="1" w:styleId="277">
    <w:name w:val="Lined - Accent 4"/>
    <w:qFormat/>
    <w:uiPriority w:val="99"/>
    <w:rPr>
      <w:color w:val="404040"/>
      <w:lang w:val="en-US" w:eastAsia="zh-CN" w:bidi="ar-SA"/>
    </w:rPr>
  </w:style>
  <w:style w:type="table" w:customStyle="1" w:styleId="278">
    <w:name w:val="Lined - Accent 5"/>
    <w:qFormat/>
    <w:uiPriority w:val="99"/>
    <w:rPr>
      <w:color w:val="404040"/>
      <w:lang w:val="en-US" w:eastAsia="zh-CN" w:bidi="ar-SA"/>
    </w:rPr>
  </w:style>
  <w:style w:type="table" w:customStyle="1" w:styleId="279">
    <w:name w:val="Lined - Accent 6"/>
    <w:qFormat/>
    <w:uiPriority w:val="99"/>
    <w:rPr>
      <w:color w:val="404040"/>
      <w:lang w:val="en-US" w:eastAsia="zh-CN" w:bidi="ar-SA"/>
    </w:rPr>
  </w:style>
  <w:style w:type="table" w:customStyle="1" w:styleId="280">
    <w:name w:val="Bordered &amp; Lined - Accent"/>
    <w:qFormat/>
    <w:uiPriority w:val="99"/>
    <w:rPr>
      <w:color w:val="404040"/>
      <w:lang w:val="en-US" w:eastAsia="zh-CN" w:bidi="ar-SA"/>
    </w:rPr>
  </w:style>
  <w:style w:type="table" w:customStyle="1" w:styleId="281">
    <w:name w:val="Bordered &amp; Lined - Accent 1"/>
    <w:qFormat/>
    <w:uiPriority w:val="99"/>
    <w:rPr>
      <w:color w:val="404040"/>
      <w:lang w:val="en-US" w:eastAsia="zh-CN" w:bidi="ar-SA"/>
    </w:rPr>
  </w:style>
  <w:style w:type="table" w:customStyle="1" w:styleId="282">
    <w:name w:val="Bordered &amp; Lined - Accent 2"/>
    <w:qFormat/>
    <w:uiPriority w:val="99"/>
    <w:rPr>
      <w:color w:val="404040"/>
      <w:lang w:val="en-US" w:eastAsia="zh-CN" w:bidi="ar-SA"/>
    </w:rPr>
  </w:style>
  <w:style w:type="table" w:customStyle="1" w:styleId="283">
    <w:name w:val="Bordered &amp; Lined - Accent 3"/>
    <w:qFormat/>
    <w:uiPriority w:val="99"/>
    <w:rPr>
      <w:color w:val="404040"/>
      <w:lang w:val="en-US" w:eastAsia="zh-CN" w:bidi="ar-SA"/>
    </w:rPr>
  </w:style>
  <w:style w:type="table" w:customStyle="1" w:styleId="284">
    <w:name w:val="Bordered &amp; Lined - Accent 4"/>
    <w:qFormat/>
    <w:uiPriority w:val="99"/>
    <w:rPr>
      <w:color w:val="404040"/>
      <w:lang w:val="en-US" w:eastAsia="zh-CN" w:bidi="ar-SA"/>
    </w:rPr>
  </w:style>
  <w:style w:type="table" w:customStyle="1" w:styleId="285">
    <w:name w:val="Bordered &amp; Lined - Accent 5"/>
    <w:qFormat/>
    <w:uiPriority w:val="99"/>
    <w:rPr>
      <w:color w:val="404040"/>
      <w:lang w:val="en-US" w:eastAsia="zh-CN" w:bidi="ar-SA"/>
    </w:rPr>
  </w:style>
  <w:style w:type="table" w:customStyle="1" w:styleId="286">
    <w:name w:val="Bordered &amp; Lined - Accent 6"/>
    <w:qFormat/>
    <w:uiPriority w:val="99"/>
    <w:rPr>
      <w:color w:val="404040"/>
      <w:lang w:val="en-US" w:eastAsia="zh-CN" w:bidi="ar-SA"/>
    </w:rPr>
  </w:style>
  <w:style w:type="table" w:customStyle="1" w:styleId="287">
    <w:name w:val="Bordered"/>
    <w:qFormat/>
    <w:uiPriority w:val="99"/>
    <w:rPr>
      <w:lang w:val="en-US" w:eastAsia="zh-CN" w:bidi="ar-SA"/>
    </w:rPr>
  </w:style>
  <w:style w:type="table" w:customStyle="1" w:styleId="288">
    <w:name w:val="Bordered - Accent 1"/>
    <w:qFormat/>
    <w:uiPriority w:val="99"/>
    <w:rPr>
      <w:lang w:val="en-US" w:eastAsia="zh-CN" w:bidi="ar-SA"/>
    </w:rPr>
  </w:style>
  <w:style w:type="table" w:customStyle="1" w:styleId="289">
    <w:name w:val="Bordered - Accent 2"/>
    <w:qFormat/>
    <w:uiPriority w:val="99"/>
    <w:rPr>
      <w:lang w:val="en-US" w:eastAsia="zh-CN" w:bidi="ar-SA"/>
    </w:rPr>
  </w:style>
  <w:style w:type="table" w:customStyle="1" w:styleId="290">
    <w:name w:val="Bordered - Accent 3"/>
    <w:qFormat/>
    <w:uiPriority w:val="99"/>
    <w:rPr>
      <w:lang w:val="en-US" w:eastAsia="zh-CN" w:bidi="ar-SA"/>
    </w:rPr>
  </w:style>
  <w:style w:type="table" w:customStyle="1" w:styleId="291">
    <w:name w:val="Bordered - Accent 4"/>
    <w:qFormat/>
    <w:uiPriority w:val="99"/>
    <w:rPr>
      <w:lang w:val="en-US" w:eastAsia="zh-CN" w:bidi="ar-SA"/>
    </w:rPr>
  </w:style>
  <w:style w:type="table" w:customStyle="1" w:styleId="292">
    <w:name w:val="Bordered - Accent 5"/>
    <w:qFormat/>
    <w:uiPriority w:val="99"/>
    <w:rPr>
      <w:lang w:val="en-US" w:eastAsia="zh-CN" w:bidi="ar-SA"/>
    </w:rPr>
  </w:style>
  <w:style w:type="table" w:customStyle="1" w:styleId="293">
    <w:name w:val="Bordered - Accent 6"/>
    <w:qFormat/>
    <w:uiPriority w:val="99"/>
    <w:rPr>
      <w:lang w:val="en-US" w:eastAsia="zh-CN" w:bidi="ar-SA"/>
    </w:rPr>
  </w:style>
  <w:style w:type="paragraph" w:customStyle="1" w:styleId="294">
    <w:name w:val="TOC 标题11"/>
    <w:basedOn w:val="58"/>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295">
    <w:name w:val="目录 71"/>
    <w:basedOn w:val="1"/>
    <w:next w:val="1"/>
    <w:qFormat/>
    <w:uiPriority w:val="39"/>
    <w:pPr>
      <w:ind w:left="1260"/>
      <w:jc w:val="left"/>
    </w:pPr>
    <w:rPr>
      <w:rFonts w:cs="Calibri"/>
      <w:sz w:val="18"/>
      <w:szCs w:val="18"/>
    </w:rPr>
  </w:style>
  <w:style w:type="paragraph" w:customStyle="1" w:styleId="296">
    <w:name w:val="目录 51"/>
    <w:basedOn w:val="1"/>
    <w:next w:val="1"/>
    <w:qFormat/>
    <w:uiPriority w:val="39"/>
    <w:pPr>
      <w:ind w:left="840"/>
      <w:jc w:val="left"/>
    </w:pPr>
    <w:rPr>
      <w:rFonts w:cs="Calibri"/>
      <w:sz w:val="18"/>
      <w:szCs w:val="18"/>
    </w:rPr>
  </w:style>
  <w:style w:type="paragraph" w:customStyle="1" w:styleId="297">
    <w:name w:val="目录 31"/>
    <w:basedOn w:val="1"/>
    <w:next w:val="1"/>
    <w:qFormat/>
    <w:uiPriority w:val="39"/>
    <w:pPr>
      <w:ind w:left="420"/>
      <w:jc w:val="left"/>
    </w:pPr>
    <w:rPr>
      <w:rFonts w:cs="Calibri"/>
      <w:i/>
      <w:iCs/>
      <w:sz w:val="20"/>
      <w:szCs w:val="20"/>
    </w:rPr>
  </w:style>
  <w:style w:type="paragraph" w:customStyle="1" w:styleId="298">
    <w:name w:val="目录 81"/>
    <w:basedOn w:val="1"/>
    <w:next w:val="1"/>
    <w:qFormat/>
    <w:uiPriority w:val="39"/>
    <w:pPr>
      <w:ind w:left="1470"/>
      <w:jc w:val="left"/>
    </w:pPr>
    <w:rPr>
      <w:rFonts w:cs="Calibri"/>
      <w:sz w:val="18"/>
      <w:szCs w:val="18"/>
    </w:rPr>
  </w:style>
  <w:style w:type="paragraph" w:customStyle="1" w:styleId="299">
    <w:name w:val="目录 11"/>
    <w:basedOn w:val="1"/>
    <w:next w:val="1"/>
    <w:qFormat/>
    <w:uiPriority w:val="39"/>
    <w:pPr>
      <w:spacing w:before="120" w:after="120"/>
      <w:jc w:val="left"/>
    </w:pPr>
    <w:rPr>
      <w:rFonts w:cs="Calibri"/>
      <w:b/>
      <w:bCs/>
      <w:caps/>
      <w:sz w:val="20"/>
      <w:szCs w:val="20"/>
    </w:rPr>
  </w:style>
  <w:style w:type="paragraph" w:customStyle="1" w:styleId="300">
    <w:name w:val="目录 41"/>
    <w:basedOn w:val="1"/>
    <w:next w:val="1"/>
    <w:qFormat/>
    <w:uiPriority w:val="39"/>
    <w:pPr>
      <w:ind w:left="630"/>
      <w:jc w:val="left"/>
    </w:pPr>
    <w:rPr>
      <w:rFonts w:cs="Calibri"/>
      <w:sz w:val="18"/>
      <w:szCs w:val="18"/>
    </w:rPr>
  </w:style>
  <w:style w:type="paragraph" w:customStyle="1" w:styleId="301">
    <w:name w:val="目录 61"/>
    <w:basedOn w:val="1"/>
    <w:next w:val="1"/>
    <w:qFormat/>
    <w:uiPriority w:val="39"/>
    <w:pPr>
      <w:ind w:left="1050"/>
      <w:jc w:val="left"/>
    </w:pPr>
    <w:rPr>
      <w:rFonts w:cs="Calibri"/>
      <w:sz w:val="18"/>
      <w:szCs w:val="18"/>
    </w:rPr>
  </w:style>
  <w:style w:type="paragraph" w:customStyle="1" w:styleId="302">
    <w:name w:val="目录 21"/>
    <w:basedOn w:val="1"/>
    <w:next w:val="1"/>
    <w:qFormat/>
    <w:uiPriority w:val="39"/>
    <w:pPr>
      <w:ind w:left="210"/>
      <w:jc w:val="left"/>
    </w:pPr>
    <w:rPr>
      <w:rFonts w:cs="Calibri"/>
      <w:smallCaps/>
      <w:sz w:val="20"/>
      <w:szCs w:val="20"/>
    </w:rPr>
  </w:style>
  <w:style w:type="paragraph" w:customStyle="1" w:styleId="303">
    <w:name w:val="目录 91"/>
    <w:basedOn w:val="1"/>
    <w:next w:val="1"/>
    <w:qFormat/>
    <w:uiPriority w:val="39"/>
    <w:pPr>
      <w:ind w:left="1680"/>
      <w:jc w:val="left"/>
    </w:pPr>
    <w:rPr>
      <w:rFonts w:cs="Calibri"/>
      <w:sz w:val="18"/>
      <w:szCs w:val="18"/>
    </w:rPr>
  </w:style>
  <w:style w:type="paragraph" w:customStyle="1" w:styleId="304">
    <w:name w:val="正文首行缩进11"/>
    <w:basedOn w:val="1"/>
    <w:link w:val="305"/>
    <w:qFormat/>
    <w:uiPriority w:val="0"/>
    <w:pPr>
      <w:spacing w:line="360" w:lineRule="auto"/>
      <w:ind w:firstLine="200"/>
    </w:pPr>
    <w:rPr>
      <w:rFonts w:ascii="仿宋_GB2312" w:hAnsi="宋体" w:eastAsia="仿宋_GB2312"/>
      <w:sz w:val="30"/>
      <w:szCs w:val="30"/>
    </w:rPr>
  </w:style>
  <w:style w:type="character" w:customStyle="1" w:styleId="305">
    <w:name w:val="正文文本首行缩进 字符"/>
    <w:link w:val="304"/>
    <w:qFormat/>
    <w:uiPriority w:val="0"/>
    <w:rPr>
      <w:rFonts w:ascii="仿宋_GB2312" w:hAnsi="宋体" w:eastAsia="仿宋_GB2312" w:cs="宋体"/>
      <w:sz w:val="30"/>
      <w:szCs w:val="30"/>
    </w:rPr>
  </w:style>
  <w:style w:type="paragraph" w:customStyle="1" w:styleId="306">
    <w:name w:val="正文首行缩进 21"/>
    <w:basedOn w:val="93"/>
    <w:qFormat/>
    <w:uiPriority w:val="0"/>
    <w:pPr>
      <w:spacing w:line="360" w:lineRule="auto"/>
      <w:ind w:firstLine="200"/>
    </w:pPr>
    <w:rPr>
      <w:rFonts w:ascii="宋体" w:eastAsia="宋体"/>
      <w:sz w:val="21"/>
      <w:szCs w:val="20"/>
    </w:rPr>
  </w:style>
  <w:style w:type="character" w:customStyle="1" w:styleId="307">
    <w:name w:val="已访问的超链接1"/>
    <w:link w:val="1"/>
    <w:qFormat/>
    <w:uiPriority w:val="99"/>
    <w:rPr>
      <w:color w:val="800080"/>
      <w:u w:val="single"/>
    </w:rPr>
  </w:style>
  <w:style w:type="character" w:customStyle="1" w:styleId="308">
    <w:name w:val="标题 8 Char1"/>
    <w:link w:val="1"/>
    <w:semiHidden/>
    <w:qFormat/>
    <w:uiPriority w:val="0"/>
    <w:rPr>
      <w:rFonts w:ascii="Cambria" w:hAnsi="Cambria" w:eastAsia="宋体" w:cs="Times New Roman"/>
      <w:sz w:val="24"/>
      <w:szCs w:val="24"/>
    </w:rPr>
  </w:style>
  <w:style w:type="character" w:customStyle="1" w:styleId="309">
    <w:name w:val="标题 字符"/>
    <w:link w:val="1"/>
    <w:qFormat/>
    <w:uiPriority w:val="10"/>
    <w:rPr>
      <w:rFonts w:ascii="Cambria" w:hAnsi="Cambria" w:eastAsia="宋体" w:cs="Times New Roman"/>
      <w:b/>
      <w:bCs/>
      <w:sz w:val="32"/>
      <w:szCs w:val="32"/>
    </w:rPr>
  </w:style>
  <w:style w:type="character" w:customStyle="1" w:styleId="310">
    <w:name w:val="font61"/>
    <w:link w:val="1"/>
    <w:qFormat/>
    <w:uiPriority w:val="0"/>
    <w:rPr>
      <w:rFonts w:hint="eastAsia" w:ascii="宋体" w:hAnsi="宋体" w:eastAsia="宋体" w:cs="宋体"/>
      <w:i/>
      <w:color w:val="000000"/>
      <w:sz w:val="20"/>
      <w:szCs w:val="20"/>
      <w:u w:val="single"/>
    </w:rPr>
  </w:style>
  <w:style w:type="character" w:customStyle="1" w:styleId="311">
    <w:name w:val="font71"/>
    <w:link w:val="1"/>
    <w:qFormat/>
    <w:uiPriority w:val="0"/>
    <w:rPr>
      <w:rFonts w:hint="eastAsia" w:ascii="宋体" w:hAnsi="宋体" w:eastAsia="宋体" w:cs="宋体"/>
      <w:color w:val="000000"/>
      <w:sz w:val="20"/>
      <w:szCs w:val="20"/>
      <w:u w:val="none"/>
    </w:rPr>
  </w:style>
  <w:style w:type="character" w:customStyle="1" w:styleId="312">
    <w:name w:val="副标题 Char1"/>
    <w:link w:val="1"/>
    <w:qFormat/>
    <w:uiPriority w:val="11"/>
    <w:rPr>
      <w:rFonts w:ascii="Cambria" w:hAnsi="Cambria" w:cs="Times New Roman"/>
      <w:b/>
      <w:bCs/>
      <w:sz w:val="32"/>
      <w:szCs w:val="32"/>
    </w:rPr>
  </w:style>
  <w:style w:type="character" w:customStyle="1" w:styleId="313">
    <w:name w:val="标题 5 Char"/>
    <w:link w:val="1"/>
    <w:qFormat/>
    <w:uiPriority w:val="0"/>
    <w:rPr>
      <w:b/>
      <w:bCs/>
      <w:sz w:val="28"/>
      <w:szCs w:val="28"/>
    </w:rPr>
  </w:style>
  <w:style w:type="character" w:customStyle="1" w:styleId="314">
    <w:name w:val="正文文本 Char"/>
    <w:link w:val="1"/>
    <w:qFormat/>
    <w:uiPriority w:val="0"/>
    <w:rPr>
      <w:rFonts w:ascii="Calibri" w:hAnsi="Calibri" w:eastAsia="宋体" w:cs="Times New Roman"/>
    </w:rPr>
  </w:style>
  <w:style w:type="character" w:customStyle="1" w:styleId="315">
    <w:name w:val="Item List in Table Char Char"/>
    <w:link w:val="316"/>
    <w:qFormat/>
    <w:uiPriority w:val="99"/>
    <w:rPr>
      <w:rFonts w:ascii="Arial" w:hAnsi="Arial"/>
      <w:sz w:val="18"/>
      <w:szCs w:val="22"/>
    </w:rPr>
  </w:style>
  <w:style w:type="paragraph" w:customStyle="1" w:styleId="316">
    <w:name w:val="Item List in Table"/>
    <w:link w:val="315"/>
    <w:qFormat/>
    <w:uiPriority w:val="99"/>
    <w:pPr>
      <w:numPr>
        <w:ilvl w:val="0"/>
        <w:numId w:val="6"/>
      </w:numPr>
      <w:spacing w:before="40" w:after="40"/>
      <w:jc w:val="both"/>
    </w:pPr>
    <w:rPr>
      <w:rFonts w:hint="default" w:ascii="Arial" w:hAnsi="Arial" w:eastAsia="宋体" w:cs="Times New Roman"/>
      <w:sz w:val="18"/>
      <w:szCs w:val="22"/>
      <w:lang w:val="en-US" w:eastAsia="zh-CN" w:bidi="ar-SA"/>
    </w:rPr>
  </w:style>
  <w:style w:type="character" w:customStyle="1" w:styleId="317">
    <w:name w:val="标题 9 Char1"/>
    <w:link w:val="1"/>
    <w:semiHidden/>
    <w:qFormat/>
    <w:uiPriority w:val="0"/>
    <w:rPr>
      <w:rFonts w:ascii="Cambria" w:hAnsi="Cambria" w:eastAsia="宋体" w:cs="Times New Roman"/>
      <w:sz w:val="21"/>
      <w:szCs w:val="21"/>
    </w:rPr>
  </w:style>
  <w:style w:type="character" w:customStyle="1" w:styleId="318">
    <w:name w:val="副标题 字符1"/>
    <w:link w:val="1"/>
    <w:qFormat/>
    <w:uiPriority w:val="11"/>
    <w:rPr>
      <w:b/>
      <w:bCs/>
      <w:sz w:val="32"/>
      <w:szCs w:val="32"/>
    </w:rPr>
  </w:style>
  <w:style w:type="character" w:customStyle="1" w:styleId="319">
    <w:name w:val="font91"/>
    <w:link w:val="1"/>
    <w:qFormat/>
    <w:uiPriority w:val="0"/>
    <w:rPr>
      <w:rFonts w:ascii="Times New Roman" w:hAnsi="Times New Roman" w:cs="Times New Roman"/>
      <w:color w:val="000000"/>
      <w:sz w:val="20"/>
      <w:szCs w:val="20"/>
      <w:u w:val="none"/>
    </w:rPr>
  </w:style>
  <w:style w:type="character" w:customStyle="1" w:styleId="320">
    <w:name w:val="Item List Char Char"/>
    <w:link w:val="321"/>
    <w:qFormat/>
    <w:uiPriority w:val="99"/>
    <w:rPr>
      <w:rFonts w:ascii="Arial" w:hAnsi="Arial" w:cs="Arial"/>
      <w:lang w:eastAsia="en-US"/>
    </w:rPr>
  </w:style>
  <w:style w:type="paragraph" w:customStyle="1" w:styleId="321">
    <w:name w:val="Item List"/>
    <w:basedOn w:val="1"/>
    <w:link w:val="320"/>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22">
    <w:name w:val="正文首行缩进 Char Char"/>
    <w:link w:val="323"/>
    <w:qFormat/>
    <w:uiPriority w:val="0"/>
    <w:rPr>
      <w:szCs w:val="24"/>
    </w:rPr>
  </w:style>
  <w:style w:type="paragraph" w:customStyle="1" w:styleId="323">
    <w:name w:val="正文首行缩进1"/>
    <w:basedOn w:val="91"/>
    <w:link w:val="322"/>
    <w:qFormat/>
    <w:uiPriority w:val="0"/>
    <w:pPr>
      <w:spacing w:after="120"/>
      <w:ind w:firstLine="420"/>
    </w:pPr>
    <w:rPr>
      <w:rFonts w:ascii="Times New Roman" w:hAnsi="Times New Roman"/>
      <w:sz w:val="20"/>
      <w:szCs w:val="24"/>
    </w:rPr>
  </w:style>
  <w:style w:type="character" w:customStyle="1" w:styleId="324">
    <w:name w:val="正文样式 Char"/>
    <w:link w:val="325"/>
    <w:qFormat/>
    <w:uiPriority w:val="0"/>
    <w:rPr>
      <w:rFonts w:ascii="宋体" w:hAnsi="宋体"/>
      <w:sz w:val="24"/>
      <w:szCs w:val="24"/>
    </w:rPr>
  </w:style>
  <w:style w:type="paragraph" w:customStyle="1" w:styleId="325">
    <w:name w:val="正文样式"/>
    <w:basedOn w:val="1"/>
    <w:link w:val="324"/>
    <w:qFormat/>
    <w:uiPriority w:val="0"/>
    <w:pPr>
      <w:spacing w:line="360" w:lineRule="auto"/>
      <w:ind w:firstLine="480"/>
    </w:pPr>
    <w:rPr>
      <w:rFonts w:ascii="宋体" w:hAnsi="宋体"/>
      <w:sz w:val="24"/>
    </w:rPr>
  </w:style>
  <w:style w:type="character" w:customStyle="1" w:styleId="326">
    <w:name w:val="标题 5 Char1"/>
    <w:link w:val="1"/>
    <w:semiHidden/>
    <w:qFormat/>
    <w:uiPriority w:val="0"/>
    <w:rPr>
      <w:b/>
      <w:bCs/>
      <w:sz w:val="28"/>
      <w:szCs w:val="28"/>
    </w:rPr>
  </w:style>
  <w:style w:type="character" w:customStyle="1" w:styleId="327">
    <w:name w:val="Table Text Char"/>
    <w:link w:val="328"/>
    <w:qFormat/>
    <w:uiPriority w:val="99"/>
    <w:rPr>
      <w:rFonts w:ascii="Arial" w:hAnsi="Arial"/>
      <w:sz w:val="18"/>
      <w:szCs w:val="18"/>
      <w:lang w:val="en-US" w:eastAsia="zh-CN" w:bidi="ar-SA"/>
    </w:rPr>
  </w:style>
  <w:style w:type="paragraph" w:customStyle="1" w:styleId="328">
    <w:name w:val="Table Text"/>
    <w:link w:val="327"/>
    <w:qFormat/>
    <w:uiPriority w:val="99"/>
    <w:pPr>
      <w:spacing w:before="80" w:after="80"/>
    </w:pPr>
    <w:rPr>
      <w:rFonts w:hint="default" w:ascii="Arial" w:hAnsi="Arial" w:eastAsia="宋体" w:cs="Times New Roman"/>
      <w:sz w:val="18"/>
      <w:szCs w:val="18"/>
      <w:lang w:val="en-US" w:eastAsia="zh-CN" w:bidi="ar-SA"/>
    </w:rPr>
  </w:style>
  <w:style w:type="character" w:customStyle="1" w:styleId="329">
    <w:name w:val="样式1 Char"/>
    <w:link w:val="330"/>
    <w:qFormat/>
    <w:uiPriority w:val="0"/>
    <w:rPr>
      <w:rFonts w:ascii="宋体" w:hAnsi="宋体"/>
      <w:sz w:val="21"/>
      <w:szCs w:val="21"/>
    </w:rPr>
  </w:style>
  <w:style w:type="paragraph" w:customStyle="1" w:styleId="330">
    <w:name w:val="样式1"/>
    <w:basedOn w:val="1"/>
    <w:link w:val="329"/>
    <w:qFormat/>
    <w:uiPriority w:val="0"/>
    <w:pPr>
      <w:tabs>
        <w:tab w:val="left" w:pos="709"/>
      </w:tabs>
      <w:ind w:left="709" w:hanging="709"/>
    </w:pPr>
    <w:rPr>
      <w:rFonts w:ascii="宋体" w:hAnsi="宋体"/>
      <w:szCs w:val="21"/>
    </w:rPr>
  </w:style>
  <w:style w:type="character" w:customStyle="1" w:styleId="331">
    <w:name w:val="标题 4 Char1"/>
    <w:link w:val="1"/>
    <w:semiHidden/>
    <w:qFormat/>
    <w:uiPriority w:val="99"/>
    <w:rPr>
      <w:rFonts w:ascii="Cambria" w:hAnsi="Cambria" w:eastAsia="宋体" w:cs="Times New Roman"/>
      <w:b/>
      <w:bCs/>
      <w:sz w:val="28"/>
      <w:szCs w:val="28"/>
    </w:rPr>
  </w:style>
  <w:style w:type="character" w:customStyle="1" w:styleId="332">
    <w:name w:val="as-productsummary-addonupgrade"/>
    <w:link w:val="1"/>
    <w:qFormat/>
    <w:uiPriority w:val="0"/>
  </w:style>
  <w:style w:type="character" w:customStyle="1" w:styleId="333">
    <w:name w:val="标题 2 Char1"/>
    <w:link w:val="1"/>
    <w:semiHidden/>
    <w:qFormat/>
    <w:uiPriority w:val="99"/>
    <w:rPr>
      <w:rFonts w:ascii="Cambria" w:hAnsi="Cambria" w:eastAsia="宋体" w:cs="Times New Roman"/>
      <w:b/>
      <w:bCs/>
      <w:sz w:val="32"/>
      <w:szCs w:val="32"/>
    </w:rPr>
  </w:style>
  <w:style w:type="character" w:customStyle="1" w:styleId="334">
    <w:name w:val="标题 3 Char"/>
    <w:link w:val="1"/>
    <w:qFormat/>
    <w:uiPriority w:val="0"/>
    <w:rPr>
      <w:b/>
      <w:bCs/>
      <w:sz w:val="32"/>
      <w:szCs w:val="32"/>
    </w:rPr>
  </w:style>
  <w:style w:type="character" w:customStyle="1" w:styleId="335">
    <w:name w:val="标题 4 Char"/>
    <w:link w:val="1"/>
    <w:qFormat/>
    <w:uiPriority w:val="0"/>
    <w:rPr>
      <w:rFonts w:ascii="Cambria" w:hAnsi="Cambria" w:eastAsia="宋体" w:cs="Times New Roman"/>
      <w:b/>
      <w:bCs/>
      <w:sz w:val="28"/>
      <w:szCs w:val="28"/>
    </w:rPr>
  </w:style>
  <w:style w:type="character" w:customStyle="1" w:styleId="336">
    <w:name w:val="font41"/>
    <w:link w:val="1"/>
    <w:qFormat/>
    <w:uiPriority w:val="0"/>
    <w:rPr>
      <w:rFonts w:hint="eastAsia" w:ascii="宋体" w:hAnsi="宋体" w:eastAsia="宋体" w:cs="宋体"/>
      <w:color w:val="000000"/>
      <w:sz w:val="18"/>
      <w:szCs w:val="18"/>
      <w:u w:val="none"/>
    </w:rPr>
  </w:style>
  <w:style w:type="character" w:customStyle="1" w:styleId="337">
    <w:name w:val="标题 6 Char"/>
    <w:link w:val="1"/>
    <w:qFormat/>
    <w:uiPriority w:val="0"/>
    <w:rPr>
      <w:rFonts w:ascii="Cambria" w:hAnsi="Cambria" w:eastAsia="宋体" w:cs="Times New Roman"/>
      <w:b/>
      <w:bCs/>
      <w:sz w:val="24"/>
      <w:szCs w:val="24"/>
    </w:rPr>
  </w:style>
  <w:style w:type="character" w:customStyle="1" w:styleId="338">
    <w:name w:val="表格 Char Char"/>
    <w:link w:val="339"/>
    <w:qFormat/>
    <w:uiPriority w:val="0"/>
    <w:rPr>
      <w:rFonts w:ascii="宋体" w:hAnsi="宋体" w:cs="宋体"/>
    </w:rPr>
  </w:style>
  <w:style w:type="paragraph" w:customStyle="1" w:styleId="339">
    <w:name w:val="表格"/>
    <w:basedOn w:val="1"/>
    <w:link w:val="338"/>
    <w:qFormat/>
    <w:uiPriority w:val="0"/>
    <w:pPr>
      <w:ind w:firstLine="21"/>
    </w:pPr>
    <w:rPr>
      <w:rFonts w:ascii="宋体" w:hAnsi="宋体"/>
      <w:sz w:val="20"/>
      <w:szCs w:val="20"/>
    </w:rPr>
  </w:style>
  <w:style w:type="character" w:customStyle="1" w:styleId="340">
    <w:name w:val="普通正文 Char"/>
    <w:link w:val="341"/>
    <w:qFormat/>
    <w:uiPriority w:val="0"/>
    <w:rPr>
      <w:rFonts w:ascii="Arial" w:hAnsi="Arial" w:cs="Arial"/>
      <w:sz w:val="24"/>
      <w:szCs w:val="24"/>
    </w:rPr>
  </w:style>
  <w:style w:type="paragraph" w:customStyle="1" w:styleId="341">
    <w:name w:val="普通正文"/>
    <w:basedOn w:val="1"/>
    <w:link w:val="340"/>
    <w:qFormat/>
    <w:uiPriority w:val="0"/>
    <w:pPr>
      <w:spacing w:before="120" w:after="120" w:line="360" w:lineRule="auto"/>
      <w:ind w:firstLine="480"/>
      <w:jc w:val="left"/>
    </w:pPr>
    <w:rPr>
      <w:rFonts w:ascii="Arial" w:hAnsi="Arial"/>
      <w:sz w:val="24"/>
    </w:rPr>
  </w:style>
  <w:style w:type="character" w:customStyle="1" w:styleId="342">
    <w:name w:val="intro1"/>
    <w:link w:val="1"/>
    <w:qFormat/>
    <w:uiPriority w:val="0"/>
    <w:rPr>
      <w:rFonts w:ascii="Trebuchet MS"/>
      <w:sz w:val="21"/>
      <w:szCs w:val="21"/>
    </w:rPr>
  </w:style>
  <w:style w:type="character" w:customStyle="1" w:styleId="343">
    <w:name w:val="批注框文本 Char"/>
    <w:link w:val="1"/>
    <w:qFormat/>
    <w:uiPriority w:val="99"/>
    <w:rPr>
      <w:sz w:val="18"/>
      <w:szCs w:val="18"/>
    </w:rPr>
  </w:style>
  <w:style w:type="character" w:customStyle="1" w:styleId="344">
    <w:name w:val="文档结构图 Char"/>
    <w:link w:val="1"/>
    <w:qFormat/>
    <w:uiPriority w:val="99"/>
    <w:rPr>
      <w:rFonts w:ascii="宋体" w:eastAsia="宋体"/>
      <w:sz w:val="18"/>
      <w:szCs w:val="18"/>
    </w:rPr>
  </w:style>
  <w:style w:type="character" w:customStyle="1" w:styleId="345">
    <w:name w:val="font81"/>
    <w:link w:val="1"/>
    <w:qFormat/>
    <w:uiPriority w:val="0"/>
    <w:rPr>
      <w:rFonts w:hint="eastAsia" w:ascii="宋体" w:hAnsi="宋体" w:eastAsia="宋体" w:cs="宋体"/>
      <w:color w:val="000000"/>
      <w:sz w:val="20"/>
      <w:szCs w:val="20"/>
      <w:u w:val="none"/>
    </w:rPr>
  </w:style>
  <w:style w:type="character" w:customStyle="1" w:styleId="346">
    <w:name w:val="font112"/>
    <w:link w:val="1"/>
    <w:qFormat/>
    <w:uiPriority w:val="0"/>
    <w:rPr>
      <w:rFonts w:hint="eastAsia" w:ascii="宋体" w:hAnsi="宋体" w:eastAsia="宋体" w:cs="宋体"/>
      <w:color w:val="000000"/>
      <w:sz w:val="22"/>
      <w:szCs w:val="22"/>
      <w:u w:val="none"/>
    </w:rPr>
  </w:style>
  <w:style w:type="character" w:customStyle="1" w:styleId="347">
    <w:name w:val="font132"/>
    <w:link w:val="1"/>
    <w:qFormat/>
    <w:uiPriority w:val="0"/>
    <w:rPr>
      <w:rFonts w:hint="eastAsia" w:ascii="宋体" w:hAnsi="宋体" w:eastAsia="宋体" w:cs="宋体"/>
      <w:color w:val="000000"/>
      <w:sz w:val="22"/>
      <w:szCs w:val="22"/>
      <w:u w:val="none"/>
    </w:rPr>
  </w:style>
  <w:style w:type="character" w:customStyle="1" w:styleId="348">
    <w:name w:val="正文（绿盟科技） Char"/>
    <w:link w:val="349"/>
    <w:qFormat/>
    <w:uiPriority w:val="99"/>
    <w:rPr>
      <w:rFonts w:ascii="Arial" w:hAnsi="Arial"/>
      <w:sz w:val="21"/>
      <w:szCs w:val="22"/>
      <w:lang w:val="en-US" w:eastAsia="zh-CN" w:bidi="ar-SA"/>
    </w:rPr>
  </w:style>
  <w:style w:type="paragraph" w:customStyle="1" w:styleId="349">
    <w:name w:val="正文（绿盟科技）"/>
    <w:link w:val="348"/>
    <w:qFormat/>
    <w:uiPriority w:val="99"/>
    <w:pPr>
      <w:spacing w:line="300" w:lineRule="auto"/>
    </w:pPr>
    <w:rPr>
      <w:rFonts w:hint="default" w:ascii="Arial" w:hAnsi="Arial" w:eastAsia="宋体" w:cs="Times New Roman"/>
      <w:sz w:val="21"/>
      <w:szCs w:val="22"/>
      <w:lang w:val="en-US" w:eastAsia="zh-CN" w:bidi="ar-SA"/>
    </w:rPr>
  </w:style>
  <w:style w:type="character" w:customStyle="1" w:styleId="350">
    <w:name w:val="标题 1 Char"/>
    <w:link w:val="1"/>
    <w:qFormat/>
    <w:uiPriority w:val="0"/>
    <w:rPr>
      <w:b/>
      <w:bCs/>
      <w:sz w:val="44"/>
      <w:szCs w:val="44"/>
    </w:rPr>
  </w:style>
  <w:style w:type="character" w:customStyle="1" w:styleId="351">
    <w:name w:val="font131"/>
    <w:link w:val="1"/>
    <w:qFormat/>
    <w:uiPriority w:val="0"/>
    <w:rPr>
      <w:rFonts w:hint="eastAsia" w:ascii="宋体" w:hAnsi="宋体" w:eastAsia="宋体" w:cs="宋体"/>
      <w:color w:val="000000"/>
      <w:sz w:val="20"/>
      <w:szCs w:val="20"/>
      <w:u w:val="none"/>
    </w:rPr>
  </w:style>
  <w:style w:type="character" w:customStyle="1" w:styleId="352">
    <w:name w:val="font101"/>
    <w:link w:val="1"/>
    <w:qFormat/>
    <w:uiPriority w:val="0"/>
    <w:rPr>
      <w:rFonts w:ascii="Tahoma" w:hAnsi="Tahoma" w:eastAsia="Tahoma" w:cs="Tahoma"/>
      <w:color w:val="000000"/>
      <w:sz w:val="22"/>
      <w:szCs w:val="22"/>
      <w:u w:val="none"/>
    </w:rPr>
  </w:style>
  <w:style w:type="character" w:customStyle="1" w:styleId="353">
    <w:name w:val="标题 7 Char1"/>
    <w:link w:val="1"/>
    <w:semiHidden/>
    <w:qFormat/>
    <w:uiPriority w:val="0"/>
    <w:rPr>
      <w:b/>
      <w:bCs/>
      <w:sz w:val="24"/>
      <w:szCs w:val="24"/>
    </w:rPr>
  </w:style>
  <w:style w:type="character" w:customStyle="1" w:styleId="354">
    <w:name w:val="列出段落 Char"/>
    <w:link w:val="355"/>
    <w:qFormat/>
    <w:uiPriority w:val="0"/>
    <w:rPr>
      <w:rFonts w:ascii="Calibri" w:hAnsi="Calibri"/>
      <w:sz w:val="22"/>
    </w:rPr>
  </w:style>
  <w:style w:type="paragraph" w:customStyle="1" w:styleId="355">
    <w:name w:val="2"/>
    <w:basedOn w:val="1"/>
    <w:next w:val="142"/>
    <w:link w:val="354"/>
    <w:qFormat/>
    <w:uiPriority w:val="0"/>
    <w:pPr>
      <w:ind w:firstLine="420"/>
    </w:pPr>
    <w:rPr>
      <w:sz w:val="22"/>
      <w:szCs w:val="20"/>
    </w:rPr>
  </w:style>
  <w:style w:type="character" w:customStyle="1" w:styleId="356">
    <w:name w:val="标题 1 字符"/>
    <w:link w:val="1"/>
    <w:qFormat/>
    <w:uiPriority w:val="9"/>
    <w:rPr>
      <w:rFonts w:ascii="Calibri" w:hAnsi="Calibri" w:eastAsia="宋体" w:cs="Times New Roman"/>
      <w:b/>
      <w:bCs/>
      <w:sz w:val="44"/>
      <w:szCs w:val="44"/>
    </w:rPr>
  </w:style>
  <w:style w:type="character" w:customStyle="1" w:styleId="357">
    <w:name w:val="font5 Char"/>
    <w:link w:val="1"/>
    <w:qFormat/>
    <w:uiPriority w:val="0"/>
    <w:rPr>
      <w:rFonts w:ascii="宋体" w:eastAsia="宋体"/>
      <w:sz w:val="28"/>
      <w:szCs w:val="28"/>
      <w:lang w:val="en-US" w:eastAsia="zh-CN"/>
    </w:rPr>
  </w:style>
  <w:style w:type="character" w:customStyle="1" w:styleId="358">
    <w:name w:val="页脚 Char"/>
    <w:link w:val="1"/>
    <w:qFormat/>
    <w:uiPriority w:val="99"/>
    <w:rPr>
      <w:sz w:val="18"/>
      <w:szCs w:val="18"/>
    </w:rPr>
  </w:style>
  <w:style w:type="character" w:customStyle="1" w:styleId="359">
    <w:name w:val="列出段落 Char1"/>
    <w:link w:val="360"/>
    <w:qFormat/>
    <w:uiPriority w:val="34"/>
    <w:rPr>
      <w:rFonts w:ascii="Calibri" w:hAnsi="Calibri"/>
      <w:sz w:val="21"/>
      <w:szCs w:val="22"/>
    </w:rPr>
  </w:style>
  <w:style w:type="paragraph" w:customStyle="1" w:styleId="360">
    <w:name w:val="列出段落1"/>
    <w:basedOn w:val="1"/>
    <w:link w:val="359"/>
    <w:qFormat/>
    <w:uiPriority w:val="34"/>
    <w:pPr>
      <w:ind w:firstLine="420"/>
    </w:pPr>
  </w:style>
  <w:style w:type="character" w:customStyle="1" w:styleId="361">
    <w:name w:val="批注主题 Char"/>
    <w:link w:val="1"/>
    <w:qFormat/>
    <w:uiPriority w:val="99"/>
    <w:rPr>
      <w:b/>
      <w:bCs/>
    </w:rPr>
  </w:style>
  <w:style w:type="character" w:customStyle="1" w:styleId="362">
    <w:name w:val="批注文字 Char1"/>
    <w:link w:val="1"/>
    <w:qFormat/>
    <w:uiPriority w:val="99"/>
    <w:rPr>
      <w:rFonts w:ascii="Times New Roman" w:hAnsi="Times New Roman" w:eastAsia="宋体" w:cs="Times New Roman"/>
      <w:szCs w:val="24"/>
    </w:rPr>
  </w:style>
  <w:style w:type="character" w:customStyle="1" w:styleId="363">
    <w:name w:val="modeltitle"/>
    <w:link w:val="1"/>
    <w:qFormat/>
    <w:uiPriority w:val="0"/>
  </w:style>
  <w:style w:type="character" w:customStyle="1" w:styleId="364">
    <w:name w:val="font01"/>
    <w:link w:val="1"/>
    <w:qFormat/>
    <w:uiPriority w:val="0"/>
    <w:rPr>
      <w:rFonts w:hint="eastAsia" w:ascii="宋体" w:hAnsi="宋体" w:eastAsia="宋体" w:cs="宋体"/>
      <w:color w:val="000000"/>
      <w:sz w:val="20"/>
      <w:szCs w:val="20"/>
      <w:u w:val="none"/>
    </w:rPr>
  </w:style>
  <w:style w:type="character" w:customStyle="1" w:styleId="365">
    <w:name w:val="标题 Char"/>
    <w:link w:val="1"/>
    <w:qFormat/>
    <w:uiPriority w:val="0"/>
    <w:rPr>
      <w:rFonts w:ascii="Cambria" w:hAnsi="Cambria" w:cs="Times New Roman"/>
      <w:b/>
      <w:bCs/>
      <w:sz w:val="32"/>
      <w:szCs w:val="32"/>
    </w:rPr>
  </w:style>
  <w:style w:type="character" w:customStyle="1" w:styleId="366">
    <w:name w:val="标题 2 Char"/>
    <w:link w:val="1"/>
    <w:qFormat/>
    <w:uiPriority w:val="9"/>
    <w:rPr>
      <w:rFonts w:ascii="Cambria" w:hAnsi="Cambria" w:eastAsia="宋体" w:cs="Times New Roman"/>
      <w:b/>
      <w:bCs/>
      <w:sz w:val="32"/>
      <w:szCs w:val="32"/>
    </w:rPr>
  </w:style>
  <w:style w:type="character" w:customStyle="1" w:styleId="367">
    <w:name w:val="列出段落字符"/>
    <w:link w:val="1"/>
    <w:qFormat/>
    <w:uiPriority w:val="34"/>
    <w:rPr>
      <w:rFonts w:ascii="Calibri" w:hAnsi="Calibri" w:eastAsia="宋体" w:cs="Times New Roman"/>
      <w:sz w:val="24"/>
      <w:szCs w:val="24"/>
    </w:rPr>
  </w:style>
  <w:style w:type="character" w:customStyle="1" w:styleId="368">
    <w:name w:val="标题 1 Char1"/>
    <w:link w:val="1"/>
    <w:qFormat/>
    <w:uiPriority w:val="99"/>
    <w:rPr>
      <w:b/>
      <w:bCs/>
      <w:sz w:val="44"/>
      <w:szCs w:val="44"/>
    </w:rPr>
  </w:style>
  <w:style w:type="character" w:customStyle="1" w:styleId="369">
    <w:name w:val="font51"/>
    <w:link w:val="1"/>
    <w:qFormat/>
    <w:uiPriority w:val="0"/>
    <w:rPr>
      <w:rFonts w:hint="eastAsia" w:ascii="宋体" w:hAnsi="宋体" w:eastAsia="宋体" w:cs="宋体"/>
      <w:i/>
      <w:color w:val="000000"/>
      <w:sz w:val="20"/>
      <w:szCs w:val="20"/>
      <w:u w:val="single"/>
    </w:rPr>
  </w:style>
  <w:style w:type="character" w:customStyle="1" w:styleId="370">
    <w:name w:val="font121"/>
    <w:link w:val="1"/>
    <w:qFormat/>
    <w:uiPriority w:val="0"/>
    <w:rPr>
      <w:rFonts w:ascii="宋体-简" w:hAnsi="宋体-简" w:eastAsia="宋体-简" w:cs="宋体-简"/>
      <w:i/>
      <w:color w:val="000000"/>
      <w:sz w:val="20"/>
      <w:szCs w:val="20"/>
      <w:u w:val="single"/>
    </w:rPr>
  </w:style>
  <w:style w:type="character" w:customStyle="1" w:styleId="371">
    <w:name w:val="正文首行缩进 Char"/>
    <w:link w:val="1"/>
    <w:qFormat/>
    <w:uiPriority w:val="0"/>
    <w:rPr>
      <w:rFonts w:ascii="Times New Roman" w:hAnsi="Times New Roman" w:eastAsia="宋体" w:cs="Times New Roman"/>
      <w:szCs w:val="20"/>
    </w:rPr>
  </w:style>
  <w:style w:type="character" w:customStyle="1" w:styleId="372">
    <w:name w:val="表格非标题文字 Char"/>
    <w:link w:val="373"/>
    <w:qFormat/>
    <w:uiPriority w:val="99"/>
    <w:rPr>
      <w:rFonts w:ascii="Futura Bk" w:hAnsi="Futura Bk"/>
      <w:sz w:val="18"/>
      <w:szCs w:val="21"/>
      <w:lang w:val="en-US" w:eastAsia="zh-CN" w:bidi="ar-SA"/>
    </w:rPr>
  </w:style>
  <w:style w:type="paragraph" w:customStyle="1" w:styleId="373">
    <w:name w:val="表格非标题文字"/>
    <w:link w:val="372"/>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74">
    <w:name w:val="普通(网站) Char1"/>
    <w:link w:val="1"/>
    <w:semiHidden/>
    <w:qFormat/>
    <w:uiPriority w:val="99"/>
    <w:rPr>
      <w:sz w:val="18"/>
      <w:szCs w:val="18"/>
    </w:rPr>
  </w:style>
  <w:style w:type="character" w:customStyle="1" w:styleId="375">
    <w:name w:val="js-正文 Char"/>
    <w:link w:val="376"/>
    <w:qFormat/>
    <w:uiPriority w:val="0"/>
    <w:rPr>
      <w:sz w:val="24"/>
      <w:szCs w:val="24"/>
    </w:rPr>
  </w:style>
  <w:style w:type="paragraph" w:customStyle="1" w:styleId="376">
    <w:name w:val="js-正文"/>
    <w:basedOn w:val="1"/>
    <w:link w:val="375"/>
    <w:qFormat/>
    <w:uiPriority w:val="0"/>
    <w:pPr>
      <w:spacing w:line="360" w:lineRule="auto"/>
      <w:ind w:firstLine="480"/>
    </w:pPr>
    <w:rPr>
      <w:sz w:val="24"/>
    </w:rPr>
  </w:style>
  <w:style w:type="character" w:customStyle="1" w:styleId="377">
    <w:name w:val="标题 3 Char1"/>
    <w:link w:val="1"/>
    <w:semiHidden/>
    <w:qFormat/>
    <w:uiPriority w:val="99"/>
    <w:rPr>
      <w:b/>
      <w:bCs/>
      <w:sz w:val="32"/>
      <w:szCs w:val="32"/>
    </w:rPr>
  </w:style>
  <w:style w:type="character" w:customStyle="1" w:styleId="378">
    <w:name w:val="正文首行缩进 Char1"/>
    <w:link w:val="1"/>
    <w:semiHidden/>
    <w:qFormat/>
    <w:uiPriority w:val="99"/>
  </w:style>
  <w:style w:type="character" w:customStyle="1" w:styleId="379">
    <w:name w:val="页眉 Char"/>
    <w:link w:val="1"/>
    <w:qFormat/>
    <w:uiPriority w:val="99"/>
    <w:rPr>
      <w:sz w:val="18"/>
      <w:szCs w:val="18"/>
    </w:rPr>
  </w:style>
  <w:style w:type="character" w:customStyle="1" w:styleId="380">
    <w:name w:val="apple-converted-space"/>
    <w:link w:val="1"/>
    <w:qFormat/>
    <w:uiPriority w:val="0"/>
  </w:style>
  <w:style w:type="character" w:customStyle="1" w:styleId="381">
    <w:name w:val="日期 Char"/>
    <w:link w:val="1"/>
    <w:qFormat/>
    <w:uiPriority w:val="0"/>
    <w:rPr>
      <w:rFonts w:eastAsia="宋体"/>
      <w:sz w:val="24"/>
      <w:szCs w:val="24"/>
    </w:rPr>
  </w:style>
  <w:style w:type="character" w:customStyle="1" w:styleId="382">
    <w:name w:val="标题 6 Char1"/>
    <w:link w:val="1"/>
    <w:semiHidden/>
    <w:qFormat/>
    <w:uiPriority w:val="0"/>
    <w:rPr>
      <w:rFonts w:ascii="Cambria" w:hAnsi="Cambria" w:eastAsia="宋体" w:cs="Times New Roman"/>
      <w:b/>
      <w:bCs/>
      <w:sz w:val="24"/>
      <w:szCs w:val="24"/>
    </w:rPr>
  </w:style>
  <w:style w:type="character" w:customStyle="1" w:styleId="383">
    <w:name w:val="apple-style-span"/>
    <w:link w:val="1"/>
    <w:qFormat/>
    <w:uiPriority w:val="0"/>
  </w:style>
  <w:style w:type="paragraph" w:customStyle="1" w:styleId="384">
    <w:name w:val="段"/>
    <w:basedOn w:val="385"/>
    <w:next w:val="386"/>
    <w:qFormat/>
    <w:uiPriority w:val="0"/>
    <w:pPr>
      <w:ind w:firstLine="200"/>
      <w:jc w:val="both"/>
    </w:pPr>
    <w:rPr>
      <w:rFonts w:ascii="宋体" w:hAnsi="Times New Roman" w:eastAsia="Times New Roman" w:cs="Times New Roman"/>
      <w:sz w:val="21"/>
      <w:szCs w:val="22"/>
      <w:lang w:val="en-US" w:eastAsia="zh-CN" w:bidi="ar-SA"/>
    </w:rPr>
  </w:style>
  <w:style w:type="paragraph" w:customStyle="1" w:styleId="385">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6">
    <w:name w:val="正文 A"/>
    <w:next w:val="384"/>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87">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8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89">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390">
    <w:name w:val="_Style 235"/>
    <w:basedOn w:val="91"/>
    <w:next w:val="304"/>
    <w:qFormat/>
    <w:uiPriority w:val="0"/>
    <w:pPr>
      <w:spacing w:after="120"/>
      <w:ind w:firstLine="420"/>
      <w:jc w:val="center"/>
    </w:pPr>
    <w:rPr>
      <w:rFonts w:ascii="Times New Roman" w:hAnsi="Times New Roman"/>
      <w:position w:val="6"/>
      <w:sz w:val="21"/>
      <w:szCs w:val="24"/>
    </w:rPr>
  </w:style>
  <w:style w:type="paragraph" w:customStyle="1" w:styleId="391">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92">
    <w:name w:val="Item List_3"/>
    <w:basedOn w:val="393"/>
    <w:semiHidden/>
    <w:qFormat/>
    <w:uiPriority w:val="99"/>
    <w:pPr>
      <w:tabs>
        <w:tab w:val="left" w:pos="360"/>
        <w:tab w:val="left" w:pos="840"/>
        <w:tab w:val="left" w:pos="1134"/>
      </w:tabs>
    </w:pPr>
  </w:style>
  <w:style w:type="paragraph" w:customStyle="1" w:styleId="393">
    <w:name w:val="Item List_2"/>
    <w:basedOn w:val="321"/>
    <w:qFormat/>
    <w:uiPriority w:val="99"/>
    <w:pPr>
      <w:tabs>
        <w:tab w:val="left" w:pos="360"/>
        <w:tab w:val="left" w:pos="840"/>
      </w:tabs>
      <w:ind w:left="840" w:hanging="420"/>
    </w:pPr>
  </w:style>
  <w:style w:type="paragraph" w:customStyle="1" w:styleId="394">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95">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96">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97">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8">
    <w:name w:val="table_1stline"/>
    <w:basedOn w:val="1"/>
    <w:qFormat/>
    <w:uiPriority w:val="0"/>
    <w:pPr>
      <w:widowControl/>
      <w:spacing w:before="120"/>
      <w:jc w:val="left"/>
    </w:pPr>
    <w:rPr>
      <w:bCs/>
      <w:sz w:val="20"/>
      <w:szCs w:val="20"/>
      <w:lang w:val="de-DE" w:eastAsia="de-DE"/>
    </w:rPr>
  </w:style>
  <w:style w:type="paragraph" w:customStyle="1" w:styleId="399">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400">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01">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02">
    <w:name w:val="列出段落2"/>
    <w:basedOn w:val="1"/>
    <w:qFormat/>
    <w:uiPriority w:val="99"/>
    <w:pPr>
      <w:widowControl/>
      <w:ind w:firstLine="420"/>
      <w:jc w:val="left"/>
    </w:pPr>
    <w:rPr>
      <w:sz w:val="24"/>
    </w:rPr>
  </w:style>
  <w:style w:type="paragraph" w:customStyle="1" w:styleId="403">
    <w:name w:val="Char5 Char Char Char Char Char Char"/>
    <w:basedOn w:val="1"/>
    <w:qFormat/>
    <w:uiPriority w:val="0"/>
    <w:rPr>
      <w:rFonts w:ascii="Tahoma" w:hAnsi="Tahoma"/>
      <w:sz w:val="24"/>
      <w:szCs w:val="20"/>
    </w:rPr>
  </w:style>
  <w:style w:type="paragraph" w:customStyle="1" w:styleId="404">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05">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06">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0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8">
    <w:name w:val="Char"/>
    <w:basedOn w:val="1"/>
    <w:qFormat/>
    <w:uiPriority w:val="0"/>
    <w:rPr>
      <w:rFonts w:ascii="Tahoma" w:hAnsi="Tahoma"/>
      <w:sz w:val="24"/>
      <w:szCs w:val="20"/>
    </w:rPr>
  </w:style>
  <w:style w:type="paragraph" w:customStyle="1" w:styleId="409">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10">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1">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12">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1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14">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15">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16">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417">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1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9">
    <w:name w:val="Char Char1 Char Char Char Char Char Char Char"/>
    <w:basedOn w:val="1"/>
    <w:qFormat/>
    <w:uiPriority w:val="0"/>
    <w:rPr>
      <w:rFonts w:ascii="Tahoma" w:hAnsi="Tahoma" w:cs="Tahoma"/>
      <w:sz w:val="24"/>
    </w:rPr>
  </w:style>
  <w:style w:type="paragraph" w:customStyle="1" w:styleId="420">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2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2">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23">
    <w:name w:val="Char2"/>
    <w:basedOn w:val="1"/>
    <w:qFormat/>
    <w:uiPriority w:val="0"/>
    <w:rPr>
      <w:rFonts w:ascii="仿宋_GB2312" w:eastAsia="仿宋_GB2312"/>
      <w:b/>
      <w:sz w:val="32"/>
      <w:szCs w:val="32"/>
    </w:rPr>
  </w:style>
  <w:style w:type="paragraph" w:customStyle="1" w:styleId="424">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25">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26">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7">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8">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29">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30">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1">
    <w:name w:val="列出段落31"/>
    <w:basedOn w:val="1"/>
    <w:qFormat/>
    <w:uiPriority w:val="72"/>
    <w:pPr>
      <w:widowControl/>
      <w:ind w:firstLine="420"/>
      <w:jc w:val="left"/>
    </w:pPr>
    <w:rPr>
      <w:rFonts w:ascii="Cambria" w:hAnsi="Cambria"/>
      <w:sz w:val="24"/>
    </w:rPr>
  </w:style>
  <w:style w:type="paragraph" w:customStyle="1" w:styleId="432">
    <w:name w:val="reader-word-layer"/>
    <w:basedOn w:val="1"/>
    <w:qFormat/>
    <w:uiPriority w:val="0"/>
    <w:pPr>
      <w:widowControl/>
      <w:spacing w:before="100" w:beforeAutospacing="1" w:after="100" w:afterAutospacing="1"/>
      <w:jc w:val="left"/>
    </w:pPr>
    <w:rPr>
      <w:sz w:val="24"/>
    </w:rPr>
  </w:style>
  <w:style w:type="paragraph" w:customStyle="1" w:styleId="433">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34">
    <w:name w:val="Char1 Char Char Char"/>
    <w:basedOn w:val="1"/>
    <w:qFormat/>
    <w:uiPriority w:val="0"/>
    <w:rPr>
      <w:rFonts w:ascii="Tahoma" w:hAnsi="Tahoma" w:cs="Tahoma"/>
      <w:sz w:val="24"/>
      <w:szCs w:val="20"/>
    </w:rPr>
  </w:style>
  <w:style w:type="paragraph" w:customStyle="1" w:styleId="435">
    <w:name w:val="二级标题"/>
    <w:basedOn w:val="436"/>
    <w:qFormat/>
    <w:uiPriority w:val="0"/>
    <w:pPr>
      <w:numPr>
        <w:ilvl w:val="1"/>
      </w:numPr>
      <w:outlineLvl w:val="1"/>
    </w:pPr>
    <w:rPr>
      <w:lang w:eastAsia="zh-CN"/>
    </w:rPr>
  </w:style>
  <w:style w:type="paragraph" w:customStyle="1" w:styleId="436">
    <w:name w:val="一级标题"/>
    <w:basedOn w:val="1"/>
    <w:qFormat/>
    <w:uiPriority w:val="0"/>
    <w:pPr>
      <w:widowControl/>
      <w:numPr>
        <w:ilvl w:val="0"/>
        <w:numId w:val="7"/>
      </w:numPr>
      <w:ind w:firstLine="0"/>
      <w:jc w:val="left"/>
      <w:outlineLvl w:val="0"/>
    </w:pPr>
    <w:rPr>
      <w:rFonts w:ascii="宋体" w:hAnsi="宋体"/>
      <w:b/>
      <w:sz w:val="30"/>
      <w:lang w:eastAsia="en-US" w:bidi="en-US"/>
    </w:rPr>
  </w:style>
  <w:style w:type="paragraph" w:customStyle="1" w:styleId="437">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38">
    <w:name w:val="Char Char Char"/>
    <w:basedOn w:val="1"/>
    <w:qFormat/>
    <w:uiPriority w:val="0"/>
    <w:pPr>
      <w:widowControl/>
      <w:jc w:val="left"/>
    </w:pPr>
    <w:rPr>
      <w:rFonts w:ascii="Tahoma" w:hAnsi="Tahoma" w:cs="宋体"/>
      <w:sz w:val="24"/>
      <w:szCs w:val="20"/>
    </w:rPr>
  </w:style>
  <w:style w:type="paragraph" w:customStyle="1" w:styleId="439">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0">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41">
    <w:name w:val="Char5 Char Char Char Char Char Char2"/>
    <w:basedOn w:val="1"/>
    <w:qFormat/>
    <w:uiPriority w:val="0"/>
    <w:rPr>
      <w:rFonts w:ascii="Tahoma" w:hAnsi="Tahoma"/>
      <w:sz w:val="24"/>
      <w:szCs w:val="20"/>
    </w:rPr>
  </w:style>
  <w:style w:type="paragraph" w:customStyle="1" w:styleId="442">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4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44">
    <w:name w:val="默认段落字体 Para Char Char"/>
    <w:basedOn w:val="1"/>
    <w:qFormat/>
    <w:uiPriority w:val="0"/>
    <w:pPr>
      <w:spacing w:before="156" w:after="156"/>
    </w:pPr>
    <w:rPr>
      <w:szCs w:val="20"/>
    </w:rPr>
  </w:style>
  <w:style w:type="paragraph" w:customStyle="1" w:styleId="445">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46">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7">
    <w:name w:val="Char Char Char Char Char Char Char Char Char Char"/>
    <w:basedOn w:val="1"/>
    <w:qFormat/>
    <w:uiPriority w:val="0"/>
    <w:pPr>
      <w:spacing w:line="360" w:lineRule="auto"/>
    </w:pPr>
    <w:rPr>
      <w:sz w:val="24"/>
      <w:szCs w:val="20"/>
    </w:rPr>
  </w:style>
  <w:style w:type="paragraph" w:customStyle="1" w:styleId="448">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9">
    <w:name w:val="Char3"/>
    <w:basedOn w:val="84"/>
    <w:qFormat/>
    <w:uiPriority w:val="0"/>
    <w:pPr>
      <w:spacing w:line="360" w:lineRule="auto"/>
    </w:pPr>
    <w:rPr>
      <w:rFonts w:ascii="Tahoma" w:hAnsi="Tahoma" w:cs="Tahoma"/>
      <w:sz w:val="24"/>
      <w:szCs w:val="24"/>
    </w:rPr>
  </w:style>
  <w:style w:type="paragraph" w:customStyle="1" w:styleId="450">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51">
    <w:name w:val="彩色列表 - 强调文字颜色 11"/>
    <w:basedOn w:val="1"/>
    <w:qFormat/>
    <w:uiPriority w:val="34"/>
    <w:pPr>
      <w:ind w:firstLine="420"/>
    </w:pPr>
    <w:rPr>
      <w:rFonts w:ascii="Cambria" w:hAnsi="Cambria"/>
      <w:sz w:val="24"/>
    </w:rPr>
  </w:style>
  <w:style w:type="paragraph" w:customStyle="1" w:styleId="452">
    <w:name w:val="Char1"/>
    <w:basedOn w:val="1"/>
    <w:qFormat/>
    <w:uiPriority w:val="0"/>
    <w:pPr>
      <w:tabs>
        <w:tab w:val="left" w:pos="840"/>
      </w:tabs>
      <w:ind w:left="840" w:hanging="420"/>
    </w:pPr>
    <w:rPr>
      <w:sz w:val="24"/>
    </w:rPr>
  </w:style>
  <w:style w:type="paragraph" w:customStyle="1" w:styleId="453">
    <w:name w:val="默认段落字体 Para Char Char Char Char"/>
    <w:basedOn w:val="1"/>
    <w:qFormat/>
    <w:uiPriority w:val="0"/>
    <w:rPr>
      <w:rFonts w:ascii="Arial" w:hAnsi="Arial" w:cs="Arial"/>
      <w:szCs w:val="21"/>
    </w:rPr>
  </w:style>
  <w:style w:type="paragraph" w:customStyle="1" w:styleId="45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55">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56">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57">
    <w:name w:val="标题5"/>
    <w:basedOn w:val="62"/>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58">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59">
    <w:name w:val="四级标题"/>
    <w:basedOn w:val="460"/>
    <w:qFormat/>
    <w:uiPriority w:val="0"/>
    <w:pPr>
      <w:numPr>
        <w:ilvl w:val="3"/>
      </w:numPr>
      <w:outlineLvl w:val="3"/>
    </w:pPr>
  </w:style>
  <w:style w:type="paragraph" w:customStyle="1" w:styleId="460">
    <w:name w:val="三级标题"/>
    <w:basedOn w:val="435"/>
    <w:qFormat/>
    <w:uiPriority w:val="0"/>
    <w:pPr>
      <w:numPr>
        <w:ilvl w:val="2"/>
      </w:numPr>
      <w:spacing w:before="50" w:after="50"/>
      <w:ind w:left="1191"/>
      <w:outlineLvl w:val="2"/>
    </w:pPr>
    <w:rPr>
      <w:sz w:val="24"/>
    </w:rPr>
  </w:style>
  <w:style w:type="paragraph" w:customStyle="1" w:styleId="461">
    <w:name w:val="附录1"/>
    <w:qFormat/>
    <w:uiPriority w:val="0"/>
    <w:pPr>
      <w:tabs>
        <w:tab w:val="left" w:pos="907"/>
      </w:tabs>
      <w:spacing w:before="240" w:line="600" w:lineRule="atLeast"/>
      <w:ind w:left="907" w:hanging="907"/>
    </w:pPr>
    <w:rPr>
      <w:rFonts w:hint="default" w:ascii="Times New Roman" w:hAnsi="Times New Roman" w:eastAsia="宋体" w:cs="Times New Roman"/>
      <w:b/>
      <w:i/>
      <w:iCs/>
      <w:sz w:val="28"/>
      <w:szCs w:val="28"/>
      <w:lang w:val="en-US" w:eastAsia="zh-CN" w:bidi="ar-SA"/>
    </w:rPr>
  </w:style>
  <w:style w:type="paragraph" w:customStyle="1" w:styleId="462">
    <w:name w:val="table_lines"/>
    <w:basedOn w:val="1"/>
    <w:qFormat/>
    <w:uiPriority w:val="0"/>
    <w:pPr>
      <w:widowControl/>
      <w:jc w:val="left"/>
    </w:pPr>
    <w:rPr>
      <w:sz w:val="20"/>
      <w:szCs w:val="20"/>
      <w:lang w:val="de-DE" w:eastAsia="de-DE"/>
    </w:rPr>
  </w:style>
  <w:style w:type="paragraph" w:customStyle="1" w:styleId="463">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64">
    <w:name w:val="Char Char Char Char Char Char Char Char Char"/>
    <w:basedOn w:val="1"/>
    <w:qFormat/>
    <w:uiPriority w:val="0"/>
    <w:rPr>
      <w:rFonts w:ascii="Tahoma" w:hAnsi="Tahoma" w:cs="Tahoma"/>
      <w:sz w:val="24"/>
      <w:szCs w:val="20"/>
    </w:rPr>
  </w:style>
  <w:style w:type="paragraph" w:customStyle="1" w:styleId="46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66">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67">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68">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69">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70">
    <w:name w:val="Char Char Char Char"/>
    <w:basedOn w:val="84"/>
    <w:qFormat/>
    <w:uiPriority w:val="0"/>
    <w:pPr>
      <w:spacing w:line="360" w:lineRule="auto"/>
    </w:pPr>
    <w:rPr>
      <w:rFonts w:ascii="Tahoma" w:hAnsi="Tahoma" w:cs="Tahoma"/>
      <w:sz w:val="24"/>
      <w:szCs w:val="24"/>
    </w:rPr>
  </w:style>
  <w:style w:type="paragraph" w:customStyle="1" w:styleId="471">
    <w:name w:val="正文蓝"/>
    <w:basedOn w:val="81"/>
    <w:qFormat/>
    <w:uiPriority w:val="0"/>
    <w:pPr>
      <w:spacing w:line="288" w:lineRule="auto"/>
      <w:ind w:firstLine="482"/>
    </w:pPr>
    <w:rPr>
      <w:rFonts w:ascii="仿宋_GB2312" w:hAnsi="宋体" w:eastAsia="仿宋_GB2312" w:cs="宋体"/>
      <w:bCs/>
      <w:color w:val="0000FF"/>
      <w:sz w:val="24"/>
      <w:szCs w:val="20"/>
    </w:rPr>
  </w:style>
  <w:style w:type="paragraph" w:customStyle="1" w:styleId="47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73">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4">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75">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76">
    <w:name w:val="标题2"/>
    <w:basedOn w:val="59"/>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78">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79">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80">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8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2">
    <w:name w:val="可研 + 首行缩进:  2 字符"/>
    <w:basedOn w:val="1"/>
    <w:qFormat/>
    <w:uiPriority w:val="0"/>
    <w:pPr>
      <w:spacing w:before="120" w:line="288" w:lineRule="auto"/>
      <w:ind w:firstLine="200"/>
    </w:pPr>
    <w:rPr>
      <w:rFonts w:eastAsia="仿宋_GB2312"/>
      <w:sz w:val="24"/>
      <w:szCs w:val="20"/>
    </w:rPr>
  </w:style>
  <w:style w:type="paragraph" w:customStyle="1" w:styleId="483">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4">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485">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86">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8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8">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89">
    <w:name w:val="Char4"/>
    <w:basedOn w:val="1"/>
    <w:qFormat/>
    <w:uiPriority w:val="0"/>
    <w:pPr>
      <w:tabs>
        <w:tab w:val="left" w:pos="360"/>
      </w:tabs>
    </w:pPr>
    <w:rPr>
      <w:sz w:val="24"/>
    </w:rPr>
  </w:style>
  <w:style w:type="paragraph" w:customStyle="1" w:styleId="490">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91">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2">
    <w:name w:val="Char Char Char Char1"/>
    <w:basedOn w:val="84"/>
    <w:qFormat/>
    <w:uiPriority w:val="0"/>
    <w:pPr>
      <w:spacing w:line="360" w:lineRule="auto"/>
    </w:pPr>
    <w:rPr>
      <w:rFonts w:ascii="Tahoma" w:hAnsi="Tahoma"/>
      <w:sz w:val="24"/>
      <w:szCs w:val="24"/>
    </w:rPr>
  </w:style>
  <w:style w:type="paragraph" w:customStyle="1" w:styleId="493">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94">
    <w:name w:val="Item Step in Table"/>
    <w:qFormat/>
    <w:uiPriority w:val="0"/>
    <w:pPr>
      <w:tabs>
        <w:tab w:val="left" w:pos="397"/>
      </w:tabs>
      <w:spacing w:before="40" w:after="40"/>
      <w:ind w:left="397" w:hanging="397"/>
      <w:jc w:val="both"/>
    </w:pPr>
    <w:rPr>
      <w:rFonts w:hint="default" w:ascii="Arial" w:hAnsi="Arial" w:eastAsia="宋体" w:cs="Arial"/>
      <w:sz w:val="18"/>
      <w:szCs w:val="18"/>
      <w:lang w:val="en-US" w:eastAsia="zh-CN" w:bidi="ar-SA"/>
    </w:rPr>
  </w:style>
  <w:style w:type="paragraph" w:customStyle="1" w:styleId="495">
    <w:name w:val="标题6"/>
    <w:basedOn w:val="63"/>
    <w:qFormat/>
    <w:uiPriority w:val="0"/>
    <w:pPr>
      <w:keepNext w:val="0"/>
      <w:keepLines w:val="0"/>
      <w:numPr>
        <w:ilvl w:val="0"/>
        <w:numId w:val="0"/>
      </w:numPr>
      <w:spacing w:before="0" w:after="0" w:line="360" w:lineRule="auto"/>
    </w:pPr>
    <w:rPr>
      <w:rFonts w:eastAsia="仿宋_GB2312"/>
      <w:b w:val="0"/>
      <w:sz w:val="30"/>
    </w:rPr>
  </w:style>
  <w:style w:type="paragraph" w:customStyle="1" w:styleId="496">
    <w:name w:val="Char5 Char Char Char Char Char Char1"/>
    <w:basedOn w:val="1"/>
    <w:qFormat/>
    <w:uiPriority w:val="0"/>
    <w:rPr>
      <w:rFonts w:ascii="Tahoma" w:hAnsi="Tahoma"/>
      <w:sz w:val="24"/>
      <w:szCs w:val="20"/>
    </w:rPr>
  </w:style>
  <w:style w:type="paragraph" w:customStyle="1" w:styleId="497">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98">
    <w:name w:val="样式3"/>
    <w:basedOn w:val="98"/>
    <w:qFormat/>
    <w:uiPriority w:val="0"/>
    <w:rPr>
      <w:rFonts w:cs="宋体"/>
    </w:rPr>
  </w:style>
  <w:style w:type="paragraph" w:customStyle="1" w:styleId="499">
    <w:name w:val="列表 31"/>
    <w:basedOn w:val="1"/>
    <w:qFormat/>
    <w:uiPriority w:val="0"/>
    <w:pPr>
      <w:ind w:left="100" w:hanging="200"/>
      <w:contextualSpacing/>
    </w:pPr>
  </w:style>
  <w:style w:type="paragraph" w:customStyle="1" w:styleId="500">
    <w:name w:val="列出段落11"/>
    <w:basedOn w:val="1"/>
    <w:qFormat/>
    <w:uiPriority w:val="99"/>
    <w:pPr>
      <w:ind w:firstLine="420"/>
    </w:pPr>
  </w:style>
  <w:style w:type="paragraph" w:customStyle="1" w:styleId="501">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502">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03">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04">
    <w:name w:val="默认段落字体 Para Char Char Char Char Char Char Char Char Char1 Char Char Char Char Char Char Char"/>
    <w:basedOn w:val="84"/>
    <w:qFormat/>
    <w:uiPriority w:val="0"/>
    <w:rPr>
      <w:rFonts w:ascii="Tahoma" w:hAnsi="Tahoma" w:cs="Tahoma"/>
      <w:sz w:val="24"/>
      <w:szCs w:val="24"/>
    </w:rPr>
  </w:style>
  <w:style w:type="paragraph" w:customStyle="1" w:styleId="505">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06">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07">
    <w:name w:val="五级标题"/>
    <w:basedOn w:val="459"/>
    <w:qFormat/>
    <w:uiPriority w:val="0"/>
    <w:pPr>
      <w:numPr>
        <w:ilvl w:val="4"/>
      </w:numPr>
      <w:ind w:right="278"/>
      <w:outlineLvl w:val="4"/>
    </w:pPr>
  </w:style>
  <w:style w:type="paragraph" w:customStyle="1" w:styleId="508">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51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11">
    <w:name w:val="Char Char Char Char Char Char Char"/>
    <w:basedOn w:val="1"/>
    <w:qFormat/>
    <w:uiPriority w:val="0"/>
    <w:pPr>
      <w:tabs>
        <w:tab w:val="left" w:pos="432"/>
      </w:tabs>
      <w:ind w:left="432" w:hanging="432"/>
    </w:pPr>
    <w:rPr>
      <w:rFonts w:ascii="Tahoma" w:hAnsi="Tahoma"/>
      <w:sz w:val="24"/>
      <w:szCs w:val="20"/>
    </w:rPr>
  </w:style>
  <w:style w:type="paragraph" w:customStyle="1" w:styleId="512">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13">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514">
    <w:name w:val="标题9"/>
    <w:basedOn w:val="66"/>
    <w:qFormat/>
    <w:uiPriority w:val="0"/>
    <w:pPr>
      <w:keepNext w:val="0"/>
      <w:keepLines w:val="0"/>
      <w:numPr>
        <w:ilvl w:val="0"/>
        <w:numId w:val="0"/>
      </w:numPr>
      <w:spacing w:before="0" w:after="0" w:line="360" w:lineRule="auto"/>
    </w:pPr>
    <w:rPr>
      <w:rFonts w:eastAsia="仿宋_GB2312"/>
      <w:sz w:val="30"/>
    </w:rPr>
  </w:style>
  <w:style w:type="paragraph" w:customStyle="1" w:styleId="515">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16">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17">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18">
    <w:name w:val="Char5 Char Char Char Char Char Char3"/>
    <w:basedOn w:val="1"/>
    <w:qFormat/>
    <w:uiPriority w:val="0"/>
    <w:rPr>
      <w:rFonts w:ascii="Tahoma" w:hAnsi="Tahoma"/>
      <w:sz w:val="24"/>
      <w:szCs w:val="20"/>
    </w:rPr>
  </w:style>
  <w:style w:type="paragraph" w:customStyle="1" w:styleId="519">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20">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21">
    <w:name w:val="纯文本2"/>
    <w:basedOn w:val="1"/>
    <w:qFormat/>
    <w:uiPriority w:val="0"/>
    <w:rPr>
      <w:rFonts w:ascii="宋体" w:hAnsi="Courier New" w:eastAsia="楷体_GB2312"/>
      <w:sz w:val="26"/>
      <w:szCs w:val="20"/>
    </w:rPr>
  </w:style>
  <w:style w:type="paragraph" w:customStyle="1" w:styleId="522">
    <w:name w:val="p25"/>
    <w:basedOn w:val="1"/>
    <w:qFormat/>
    <w:uiPriority w:val="0"/>
    <w:pPr>
      <w:widowControl/>
      <w:jc w:val="left"/>
    </w:pPr>
    <w:rPr>
      <w:rFonts w:ascii="宋体" w:hAnsi="宋体" w:cs="宋体"/>
      <w:sz w:val="26"/>
      <w:szCs w:val="26"/>
    </w:rPr>
  </w:style>
  <w:style w:type="paragraph" w:customStyle="1" w:styleId="523">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24">
    <w:name w:val="Char Char Char Char Char Char Char2"/>
    <w:basedOn w:val="1"/>
    <w:qFormat/>
    <w:uiPriority w:val="0"/>
    <w:pPr>
      <w:tabs>
        <w:tab w:val="left" w:pos="432"/>
      </w:tabs>
      <w:ind w:left="432" w:hanging="432"/>
    </w:pPr>
    <w:rPr>
      <w:rFonts w:ascii="Tahoma" w:hAnsi="Tahoma"/>
      <w:sz w:val="24"/>
      <w:szCs w:val="20"/>
    </w:rPr>
  </w:style>
  <w:style w:type="paragraph" w:customStyle="1" w:styleId="525">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26">
    <w:name w:val="样式2"/>
    <w:basedOn w:val="1"/>
    <w:qFormat/>
    <w:uiPriority w:val="0"/>
    <w:pPr>
      <w:numPr>
        <w:ilvl w:val="0"/>
        <w:numId w:val="8"/>
      </w:numPr>
      <w:spacing w:line="288" w:lineRule="auto"/>
    </w:pPr>
  </w:style>
  <w:style w:type="paragraph" w:customStyle="1" w:styleId="527">
    <w:name w:val="Body Text(ch)"/>
    <w:basedOn w:val="1"/>
    <w:next w:val="91"/>
    <w:qFormat/>
    <w:uiPriority w:val="0"/>
    <w:pPr>
      <w:spacing w:after="120"/>
    </w:pPr>
    <w:rPr>
      <w:rFonts w:ascii="宋体" w:hAnsi="宋体" w:cs="宋体"/>
      <w:bCs/>
      <w:iCs/>
    </w:rPr>
  </w:style>
  <w:style w:type="paragraph" w:customStyle="1" w:styleId="528">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29">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0">
    <w:name w:val="1"/>
    <w:basedOn w:val="1"/>
    <w:next w:val="142"/>
    <w:qFormat/>
    <w:uiPriority w:val="34"/>
    <w:pPr>
      <w:ind w:firstLine="420"/>
    </w:pPr>
  </w:style>
  <w:style w:type="paragraph" w:customStyle="1" w:styleId="53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32">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3">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4">
    <w:name w:val="p0"/>
    <w:basedOn w:val="1"/>
    <w:qFormat/>
    <w:uiPriority w:val="99"/>
    <w:pPr>
      <w:widowControl/>
    </w:pPr>
    <w:rPr>
      <w:rFonts w:cs="宋体"/>
      <w:szCs w:val="21"/>
    </w:rPr>
  </w:style>
  <w:style w:type="paragraph" w:customStyle="1" w:styleId="535">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36">
    <w:name w:val="_Style 7"/>
    <w:basedOn w:val="1"/>
    <w:qFormat/>
    <w:uiPriority w:val="99"/>
    <w:pPr>
      <w:ind w:firstLine="420"/>
    </w:pPr>
    <w:rPr>
      <w:szCs w:val="20"/>
    </w:rPr>
  </w:style>
  <w:style w:type="paragraph" w:customStyle="1" w:styleId="537">
    <w:name w:val="标书内容123"/>
    <w:basedOn w:val="1"/>
    <w:qFormat/>
    <w:uiPriority w:val="99"/>
    <w:pPr>
      <w:widowControl/>
      <w:spacing w:line="360" w:lineRule="auto"/>
      <w:ind w:left="432"/>
      <w:jc w:val="left"/>
    </w:pPr>
    <w:rPr>
      <w:sz w:val="24"/>
    </w:rPr>
  </w:style>
  <w:style w:type="paragraph" w:customStyle="1" w:styleId="538">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39">
    <w:name w:val="文档正文"/>
    <w:basedOn w:val="1"/>
    <w:qFormat/>
    <w:uiPriority w:val="0"/>
    <w:pPr>
      <w:spacing w:line="480" w:lineRule="atLeast"/>
      <w:ind w:firstLine="567"/>
    </w:pPr>
    <w:rPr>
      <w:rFonts w:ascii="仿宋_GB2312" w:eastAsia="仿宋_GB2312"/>
      <w:b/>
      <w:bCs/>
      <w:sz w:val="28"/>
      <w:szCs w:val="20"/>
    </w:rPr>
  </w:style>
  <w:style w:type="paragraph" w:customStyle="1" w:styleId="540">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41">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42">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43">
    <w:name w:val="4"/>
    <w:basedOn w:val="1"/>
    <w:next w:val="117"/>
    <w:qFormat/>
    <w:uiPriority w:val="0"/>
    <w:pPr>
      <w:spacing w:line="360" w:lineRule="auto"/>
      <w:ind w:firstLine="420"/>
    </w:pPr>
    <w:rPr>
      <w:color w:val="FF0000"/>
      <w:sz w:val="24"/>
    </w:rPr>
  </w:style>
  <w:style w:type="paragraph" w:customStyle="1" w:styleId="54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45">
    <w:name w:val="列表内容"/>
    <w:basedOn w:val="1"/>
    <w:next w:val="1"/>
    <w:qFormat/>
    <w:uiPriority w:val="0"/>
    <w:pPr>
      <w:widowControl/>
      <w:tabs>
        <w:tab w:val="left" w:pos="840"/>
      </w:tabs>
      <w:ind w:left="840" w:hanging="420"/>
      <w:jc w:val="left"/>
    </w:pPr>
    <w:rPr>
      <w:sz w:val="18"/>
    </w:rPr>
  </w:style>
  <w:style w:type="paragraph" w:customStyle="1" w:styleId="546">
    <w:name w:val="Char Char Char Char Char Char Char1"/>
    <w:basedOn w:val="1"/>
    <w:qFormat/>
    <w:uiPriority w:val="0"/>
    <w:pPr>
      <w:tabs>
        <w:tab w:val="left" w:pos="432"/>
      </w:tabs>
      <w:ind w:left="432" w:hanging="432"/>
    </w:pPr>
    <w:rPr>
      <w:rFonts w:ascii="Tahoma" w:hAnsi="Tahoma"/>
      <w:sz w:val="24"/>
      <w:szCs w:val="20"/>
    </w:rPr>
  </w:style>
  <w:style w:type="paragraph" w:customStyle="1" w:styleId="547">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48">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9">
    <w:name w:val="报告正文"/>
    <w:basedOn w:val="1"/>
    <w:qFormat/>
    <w:uiPriority w:val="0"/>
    <w:pPr>
      <w:ind w:firstLine="567"/>
    </w:pPr>
    <w:rPr>
      <w:rFonts w:ascii="Arial Narrow" w:hAnsi="Arial Narrow" w:eastAsia="仿宋_GB2312"/>
      <w:sz w:val="28"/>
      <w:szCs w:val="20"/>
    </w:rPr>
  </w:style>
  <w:style w:type="paragraph" w:customStyle="1" w:styleId="550">
    <w:name w:val="标题8"/>
    <w:basedOn w:val="65"/>
    <w:qFormat/>
    <w:uiPriority w:val="0"/>
    <w:pPr>
      <w:keepNext w:val="0"/>
      <w:keepLines w:val="0"/>
      <w:numPr>
        <w:ilvl w:val="0"/>
        <w:numId w:val="0"/>
      </w:numPr>
      <w:spacing w:before="0" w:after="0" w:line="360" w:lineRule="auto"/>
    </w:pPr>
    <w:rPr>
      <w:rFonts w:eastAsia="仿宋_GB2312"/>
      <w:sz w:val="30"/>
    </w:rPr>
  </w:style>
  <w:style w:type="paragraph" w:customStyle="1" w:styleId="551">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52">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53">
    <w:name w:val="列表 21"/>
    <w:basedOn w:val="1"/>
    <w:qFormat/>
    <w:uiPriority w:val="0"/>
    <w:pPr>
      <w:ind w:left="100" w:hanging="200"/>
      <w:contextualSpacing/>
    </w:pPr>
  </w:style>
  <w:style w:type="paragraph" w:customStyle="1" w:styleId="554">
    <w:name w:val="列出段落111"/>
    <w:basedOn w:val="1"/>
    <w:qFormat/>
    <w:uiPriority w:val="72"/>
    <w:pPr>
      <w:widowControl/>
      <w:ind w:firstLine="420"/>
      <w:jc w:val="left"/>
    </w:pPr>
    <w:rPr>
      <w:sz w:val="24"/>
      <w:szCs w:val="20"/>
    </w:rPr>
  </w:style>
  <w:style w:type="paragraph" w:customStyle="1" w:styleId="555">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56">
    <w:name w:val="Char Char Char Char Char Char Char Char1"/>
    <w:basedOn w:val="1"/>
    <w:qFormat/>
    <w:uiPriority w:val="0"/>
    <w:pPr>
      <w:widowControl/>
      <w:spacing w:after="160" w:line="240" w:lineRule="exact"/>
      <w:jc w:val="left"/>
    </w:pPr>
    <w:rPr>
      <w:rFonts w:ascii="Verdana" w:hAnsi="Verdana" w:cs="宋体"/>
      <w:sz w:val="20"/>
      <w:szCs w:val="20"/>
      <w:lang w:eastAsia="en-US"/>
    </w:rPr>
  </w:style>
  <w:style w:type="paragraph" w:customStyle="1" w:styleId="557">
    <w:name w:val="Char5 Char Char Char Char Char Char4"/>
    <w:basedOn w:val="1"/>
    <w:qFormat/>
    <w:uiPriority w:val="0"/>
    <w:rPr>
      <w:rFonts w:ascii="Tahoma" w:hAnsi="Tahoma"/>
      <w:sz w:val="24"/>
      <w:szCs w:val="20"/>
    </w:rPr>
  </w:style>
  <w:style w:type="paragraph" w:customStyle="1" w:styleId="558">
    <w:name w:val="Normal_0"/>
    <w:next w:val="55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9">
    <w:name w:val="首行缩进_0"/>
    <w:basedOn w:val="558"/>
    <w:qFormat/>
    <w:uiPriority w:val="0"/>
    <w:pPr>
      <w:spacing w:line="360" w:lineRule="auto"/>
      <w:ind w:firstLine="480"/>
      <w:jc w:val="left"/>
    </w:pPr>
    <w:rPr>
      <w:rFonts w:ascii="宋体" w:hAnsi="宋体"/>
      <w:sz w:val="24"/>
    </w:rPr>
  </w:style>
  <w:style w:type="paragraph" w:customStyle="1" w:styleId="560">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561">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562">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63">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64">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65">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566">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56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8">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569">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570">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571">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572">
    <w:name w:val="Normal_13"/>
    <w:next w:val="559"/>
    <w:qFormat/>
    <w:uiPriority w:val="0"/>
    <w:rPr>
      <w:rFonts w:hint="default" w:ascii="Times New Roman" w:hAnsi="Times New Roman" w:eastAsia="Times New Roman" w:cs="Times New Roman"/>
      <w:sz w:val="24"/>
      <w:szCs w:val="24"/>
      <w:lang w:val="en-US" w:eastAsia="zh-CN" w:bidi="ar-SA"/>
    </w:rPr>
  </w:style>
  <w:style w:type="paragraph" w:customStyle="1" w:styleId="573">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574">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75">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78">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579">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580">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58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82">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583">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584">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585">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586">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87">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59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591">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592">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593">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594">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595">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596">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97">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59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599">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00">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601">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602">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3">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04">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607">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609">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610">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611">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12">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13">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614">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15">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616">
    <w:name w:val="正文_0_0"/>
    <w:next w:val="6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正文文本_0"/>
    <w:basedOn w:val="618"/>
    <w:qFormat/>
    <w:uiPriority w:val="0"/>
    <w:pPr>
      <w:spacing w:line="400" w:lineRule="exact"/>
    </w:pPr>
    <w:rPr>
      <w:sz w:val="24"/>
    </w:rPr>
  </w:style>
  <w:style w:type="paragraph" w:customStyle="1" w:styleId="618">
    <w:name w:val="正文_1"/>
    <w:next w:val="617"/>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9">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621">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622">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623">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24">
    <w:name w:val="正文_2"/>
    <w:next w:val="62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5">
    <w:name w:val="正文文本_0_0"/>
    <w:basedOn w:val="624"/>
    <w:qFormat/>
    <w:uiPriority w:val="0"/>
    <w:pPr>
      <w:spacing w:line="400" w:lineRule="exact"/>
    </w:pPr>
    <w:rPr>
      <w:sz w:val="24"/>
    </w:rPr>
  </w:style>
  <w:style w:type="paragraph" w:customStyle="1" w:styleId="626">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28">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629">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630">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631">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632">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633">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34">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35">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636">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37">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638">
    <w:name w:val="Normal_42"/>
    <w:qFormat/>
    <w:uiPriority w:val="0"/>
    <w:rPr>
      <w:rFonts w:hint="default" w:ascii="Times New Roman" w:hAnsi="Times New Roman" w:eastAsia="Times New Roman" w:cs="Times New Roman"/>
      <w:sz w:val="24"/>
      <w:szCs w:val="24"/>
      <w:lang w:val="en-US" w:eastAsia="zh-CN" w:bidi="ar-SA"/>
    </w:rPr>
  </w:style>
  <w:style w:type="paragraph" w:customStyle="1" w:styleId="639">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640">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641">
    <w:name w:val="正文文本_1"/>
    <w:qFormat/>
    <w:uiPriority w:val="0"/>
    <w:pPr>
      <w:widowControl w:val="0"/>
      <w:spacing w:line="400" w:lineRule="exact"/>
      <w:jc w:val="both"/>
    </w:pPr>
    <w:rPr>
      <w:rFonts w:hint="default" w:ascii="Times New Roman" w:hAnsi="Times New Roman" w:eastAsia="宋体" w:cs="Times New Roman"/>
      <w:sz w:val="24"/>
      <w:lang w:val="en-US" w:eastAsia="zh-CN" w:bidi="ar-SA"/>
    </w:rPr>
  </w:style>
  <w:style w:type="paragraph" w:customStyle="1" w:styleId="642">
    <w:name w:val="Normal_46"/>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644">
    <w:name w:val="Normal_0_0_1"/>
    <w:qFormat/>
    <w:uiPriority w:val="0"/>
    <w:rPr>
      <w:rFonts w:hint="default" w:ascii="Times New Roman" w:hAnsi="Times New Roman" w:eastAsia="Times New Roman" w:cs="Times New Roman"/>
      <w:sz w:val="24"/>
      <w:szCs w:val="24"/>
      <w:lang w:val="en-US" w:eastAsia="zh-CN" w:bidi="ar-SA"/>
    </w:rPr>
  </w:style>
  <w:style w:type="paragraph" w:customStyle="1" w:styleId="645">
    <w:name w:val="Normal_1_0_0"/>
    <w:qFormat/>
    <w:uiPriority w:val="0"/>
    <w:rPr>
      <w:rFonts w:hint="default" w:ascii="Times New Roman" w:hAnsi="Times New Roman" w:eastAsia="Times New Roman" w:cs="Times New Roman"/>
      <w:sz w:val="24"/>
      <w:szCs w:val="24"/>
      <w:lang w:val="en-US" w:eastAsia="zh-CN" w:bidi="ar-SA"/>
    </w:rPr>
  </w:style>
  <w:style w:type="paragraph" w:customStyle="1" w:styleId="646">
    <w:name w:val="Normal_0_0_2"/>
    <w:qFormat/>
    <w:uiPriority w:val="0"/>
    <w:rPr>
      <w:rFonts w:hint="default" w:ascii="Times New Roman" w:hAnsi="Times New Roman" w:eastAsia="Times New Roman" w:cs="Times New Roman"/>
      <w:sz w:val="24"/>
      <w:szCs w:val="24"/>
      <w:lang w:val="en-US" w:eastAsia="zh-CN" w:bidi="ar-SA"/>
    </w:rPr>
  </w:style>
  <w:style w:type="paragraph" w:customStyle="1" w:styleId="647">
    <w:name w:val="p0_0"/>
    <w:basedOn w:val="558"/>
    <w:qFormat/>
    <w:uiPriority w:val="0"/>
    <w:pPr>
      <w:widowControl/>
      <w:spacing w:line="440" w:lineRule="exact"/>
      <w:ind w:firstLine="200"/>
    </w:pPr>
    <w:rPr>
      <w:szCs w:val="21"/>
    </w:rPr>
  </w:style>
  <w:style w:type="character" w:customStyle="1" w:styleId="648">
    <w:name w:val="15"/>
    <w:link w:val="1"/>
    <w:qFormat/>
    <w:uiPriority w:val="0"/>
    <w:rPr>
      <w:rFonts w:hint="eastAsia" w:ascii="等线" w:hAnsi="等线" w:eastAsia="等线"/>
      <w:sz w:val="24"/>
      <w:szCs w:val="24"/>
    </w:rPr>
  </w:style>
  <w:style w:type="character" w:customStyle="1" w:styleId="649">
    <w:name w:val="16"/>
    <w:link w:val="1"/>
    <w:qFormat/>
    <w:uiPriority w:val="0"/>
    <w:rPr>
      <w:rFonts w:hint="eastAsia" w:ascii="等线" w:hAnsi="等线" w:eastAsia="等线"/>
      <w:sz w:val="21"/>
      <w:szCs w:val="21"/>
    </w:rPr>
  </w:style>
  <w:style w:type="paragraph" w:customStyle="1" w:styleId="650">
    <w:name w:val="修订2"/>
    <w:unhideWhenUsed/>
    <w:qFormat/>
    <w:uiPriority w:val="99"/>
    <w:rPr>
      <w:rFonts w:hint="default" w:ascii="Calibri" w:hAnsi="Calibri" w:eastAsia="宋体" w:cs="Times New Roman"/>
      <w:sz w:val="21"/>
      <w:szCs w:val="22"/>
      <w:lang w:val="en-US" w:eastAsia="zh-CN" w:bidi="ar-SA"/>
    </w:rPr>
  </w:style>
  <w:style w:type="character" w:customStyle="1" w:styleId="651">
    <w:name w:val="htd01"/>
    <w:link w:val="1"/>
    <w:qFormat/>
    <w:uiPriority w:val="0"/>
    <w:rPr>
      <w:rFonts w:cs="Times New Roman"/>
    </w:rPr>
  </w:style>
  <w:style w:type="paragraph" w:customStyle="1" w:styleId="652">
    <w:name w:val="修订3"/>
    <w:unhideWhenUsed/>
    <w:qFormat/>
    <w:uiPriority w:val="99"/>
    <w:rPr>
      <w:rFonts w:hint="default" w:ascii="Calibri" w:hAnsi="Calibri" w:eastAsia="宋体" w:cs="Times New Roman"/>
      <w:sz w:val="21"/>
      <w:szCs w:val="22"/>
      <w:lang w:val="en-US" w:eastAsia="zh-CN" w:bidi="ar-SA"/>
    </w:rPr>
  </w:style>
  <w:style w:type="character" w:customStyle="1" w:styleId="653">
    <w:name w:val="10"/>
    <w:link w:val="1"/>
    <w:qFormat/>
    <w:uiPriority w:val="0"/>
    <w:rPr>
      <w:rFonts w:ascii="Times New Roman" w:hAnsi="Times New Roman" w:cs="Times New Roman"/>
    </w:rPr>
  </w:style>
  <w:style w:type="paragraph" w:customStyle="1" w:styleId="654">
    <w:name w:val="修订4"/>
    <w:unhideWhenUsed/>
    <w:qFormat/>
    <w:uiPriority w:val="99"/>
    <w:rPr>
      <w:rFonts w:hint="default" w:ascii="Calibri" w:hAnsi="Calibri" w:eastAsia="宋体" w:cs="Times New Roman"/>
      <w:sz w:val="21"/>
      <w:szCs w:val="22"/>
      <w:lang w:val="en-US" w:eastAsia="zh-CN" w:bidi="ar-SA"/>
    </w:rPr>
  </w:style>
  <w:style w:type="character" w:customStyle="1" w:styleId="655">
    <w:name w:val="cf01"/>
    <w:link w:val="1"/>
    <w:qFormat/>
    <w:uiPriority w:val="0"/>
    <w:rPr>
      <w:rFonts w:hint="eastAsia" w:ascii="Microsoft YaHei UI" w:hAnsi="Microsoft YaHei UI" w:eastAsia="Microsoft YaHei UI"/>
      <w:sz w:val="18"/>
      <w:szCs w:val="18"/>
    </w:rPr>
  </w:style>
  <w:style w:type="paragraph" w:customStyle="1" w:styleId="656">
    <w:name w:val="修订5"/>
    <w:unhideWhenUsed/>
    <w:qFormat/>
    <w:uiPriority w:val="99"/>
    <w:rPr>
      <w:rFonts w:hint="default" w:ascii="Calibri" w:hAnsi="Calibri" w:eastAsia="宋体" w:cs="Times New Roman"/>
      <w:sz w:val="21"/>
      <w:szCs w:val="22"/>
      <w:lang w:val="en-US" w:eastAsia="zh-CN" w:bidi="ar-SA"/>
    </w:rPr>
  </w:style>
  <w:style w:type="paragraph" w:customStyle="1" w:styleId="657">
    <w:name w:val="修订6"/>
    <w:semiHidden/>
    <w:qFormat/>
    <w:uiPriority w:val="99"/>
    <w:rPr>
      <w:rFonts w:hint="default" w:ascii="Calibri" w:hAnsi="Calibri" w:eastAsia="宋体" w:cs="Times New Roman"/>
      <w:sz w:val="21"/>
      <w:szCs w:val="22"/>
      <w:lang w:val="en-US" w:eastAsia="zh-CN" w:bidi="ar-SA"/>
    </w:rPr>
  </w:style>
  <w:style w:type="character" w:customStyle="1" w:styleId="658">
    <w:name w:val="明显强调1"/>
    <w:link w:val="1"/>
    <w:qFormat/>
    <w:uiPriority w:val="21"/>
    <w:rPr>
      <w:i/>
      <w:iCs/>
      <w:color w:val="366091"/>
    </w:rPr>
  </w:style>
  <w:style w:type="character" w:customStyle="1" w:styleId="659">
    <w:name w:val="明显参考1"/>
    <w:link w:val="1"/>
    <w:qFormat/>
    <w:uiPriority w:val="32"/>
    <w:rPr>
      <w:b/>
      <w:bCs/>
      <w:smallCaps/>
      <w:color w:val="366091"/>
      <w:spacing w:val="5"/>
    </w:rPr>
  </w:style>
  <w:style w:type="paragraph" w:customStyle="1" w:styleId="660">
    <w:name w:val="修订7"/>
    <w:unhideWhenUsed/>
    <w:qFormat/>
    <w:uiPriority w:val="99"/>
    <w:rPr>
      <w:rFonts w:hint="default" w:ascii="Calibri" w:hAnsi="Calibri" w:eastAsia="宋体" w:cs="Times New Roman"/>
      <w:sz w:val="21"/>
      <w:szCs w:val="22"/>
      <w:lang w:val="en-US" w:eastAsia="zh-CN" w:bidi="ar-SA"/>
    </w:rPr>
  </w:style>
  <w:style w:type="character" w:customStyle="1" w:styleId="661">
    <w:name w:val="未处理的提及1"/>
    <w:link w:val="1"/>
    <w:unhideWhenUsed/>
    <w:qFormat/>
    <w:uiPriority w:val="99"/>
    <w:rPr>
      <w:color w:val="605E5C"/>
      <w:shd w:val="clear" w:color="auto" w:fill="E1DFDD"/>
    </w:rPr>
  </w:style>
  <w:style w:type="paragraph" w:customStyle="1" w:styleId="662">
    <w:name w:val="修订8"/>
    <w:unhideWhenUsed/>
    <w:qFormat/>
    <w:uiPriority w:val="99"/>
    <w:rPr>
      <w:rFonts w:hint="default" w:ascii="Calibri" w:hAnsi="Calibri" w:eastAsia="宋体" w:cs="Times New Roman"/>
      <w:sz w:val="21"/>
      <w:szCs w:val="22"/>
      <w:lang w:val="en-US" w:eastAsia="zh-CN" w:bidi="ar-SA"/>
    </w:rPr>
  </w:style>
  <w:style w:type="character" w:customStyle="1" w:styleId="663">
    <w:name w:val="Unresolved Mention"/>
    <w:link w:val="1"/>
    <w:unhideWhenUsed/>
    <w:qFormat/>
    <w:uiPriority w:val="99"/>
    <w:rPr>
      <w:color w:val="605E5C"/>
      <w:shd w:val="clear" w:color="auto" w:fill="E1DFDD"/>
    </w:rPr>
  </w:style>
  <w:style w:type="character" w:customStyle="1" w:styleId="664">
    <w:name w:val="未处理的提及"/>
    <w:link w:val="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73</Pages>
  <Words>14354</Words>
  <Characters>15599</Characters>
  <TotalTime>119</TotalTime>
  <ScaleCrop>false</ScaleCrop>
  <LinksUpToDate>false</LinksUpToDate>
  <CharactersWithSpaces>16226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2025-07-14T01:06:00Z</dcterms:created>
  <dc:creator>qi</dc:creator>
  <cp:lastModifiedBy>Administrator</cp:lastModifiedBy>
  <dcterms:modified xsi:type="dcterms:W3CDTF">2026-08-24T05:19:21Z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eyJoZGlkIjoiYjRkZGZkMzk1NTEzMmViYTg2MTNhMWM4YTY5MjlkM2YiLCJ1c2VySWQiOiIzNzIxMDM3NDgifQ==</vt:lpwstr>
  </property>
  <property fmtid="{D5CDD505-2E9C-101B-9397-08002B2CF9AE}" pid="3" name="KSOProductBuildVer">
    <vt:lpwstr>2052-12.1.0.28043</vt:lpwstr>
  </property>
  <property fmtid="{D5CDD505-2E9C-101B-9397-08002B2CF9AE}" pid="4" name="ICV">
    <vt:lpwstr>1F75592453C446998A509EFD7830C475_13</vt:lpwstr>
  </property>
</Properties>
</file>