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240" w:after="24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highlight w:val="none"/>
        </w:rPr>
        <w:t xml:space="preserve"> </w:t>
      </w:r>
      <w:r/>
    </w:p>
    <w:p>
      <w:pPr>
        <w:jc w:val="center"/>
        <w:spacing w:before="240" w:after="24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highlight w:val="none"/>
        </w:rPr>
        <w:t xml:space="preserve">招　标　文　件</w:t>
      </w:r>
      <w:r/>
    </w:p>
    <w:p>
      <w:pPr>
        <w:jc w:val="center"/>
        <w:spacing w:before="240" w:after="240"/>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p>
      <w:pPr>
        <w:jc w:val="center"/>
        <w:spacing w:before="240" w:after="240"/>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p>
      <w:pPr>
        <w:jc w:val="center"/>
        <w:spacing w:before="240" w:after="240"/>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p>
      <w:pPr>
        <w:jc w:val="center"/>
        <w:spacing w:before="240" w:after="240"/>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p>
      <w:pPr>
        <w:jc w:val="center"/>
        <w:spacing w:before="240" w:after="240"/>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p>
      <w:pPr>
        <w:jc w:val="center"/>
        <w:spacing w:before="240" w:after="240"/>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p>
      <w:pPr>
        <w:jc w:val="center"/>
        <w:spacing w:before="240" w:after="240"/>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p>
      <w:pPr>
        <w:jc w:val="center"/>
        <w:spacing w:before="240" w:after="240"/>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p>
      <w:pPr>
        <w:jc w:val="center"/>
        <w:spacing w:before="240" w:after="240"/>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p>
      <w:pPr>
        <w:ind w:firstLine="1285"/>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项目名称：</w:t>
      </w:r>
      <w:r>
        <w:rPr>
          <w:rFonts w:hint="eastAsia" w:ascii="宋体" w:hAnsi="宋体" w:cs="宋体"/>
          <w:b/>
          <w:color w:val="000000"/>
          <w:sz w:val="32"/>
          <w:highlight w:val="none"/>
        </w:rPr>
        <w:t xml:space="preserve">扬州市公共资源交易中心</w:t>
      </w:r>
      <w:r>
        <w:rPr>
          <w:rFonts w:ascii="宋体" w:hAnsi="宋体" w:cs="宋体"/>
          <w:b/>
          <w:color w:val="000000"/>
          <w:sz w:val="32"/>
          <w:highlight w:val="none"/>
        </w:rPr>
        <w:t xml:space="preserve">“扬小易”AI+服务项目</w:t>
      </w:r>
      <w:r/>
    </w:p>
    <w:p>
      <w:pPr>
        <w:ind w:firstLine="1285"/>
        <w:rPr>
          <w:rFonts w:hint="eastAsia" w:eastAsia="宋体"/>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项目编号：</w:t>
      </w:r>
      <w:r>
        <w:rPr>
          <w:rFonts w:hint="eastAsia" w:ascii="宋体" w:hAnsi="宋体" w:cs="宋体"/>
          <w:b/>
          <w:color w:val="000000"/>
          <w:sz w:val="32"/>
          <w:highlight w:val="none"/>
        </w:rPr>
        <w:t xml:space="preserve">JSZC-321000-JZCG-G2026-010</w:t>
      </w:r>
      <w:r>
        <w:rPr>
          <w:rFonts w:hint="eastAsia" w:ascii="宋体" w:hAnsi="宋体" w:cs="宋体"/>
          <w:b/>
          <w:color w:val="000000"/>
          <w:sz w:val="32"/>
          <w:highlight w:val="none"/>
          <w:lang w:val="en-US" w:eastAsia="zh-CN"/>
        </w:rPr>
        <w:t xml:space="preserve">1</w:t>
      </w:r>
      <w:r/>
    </w:p>
    <w:p>
      <w:pPr>
        <w:ind w:firstLine="1285"/>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ind w:firstLine="1285"/>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ind w:firstLine="1285"/>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rFonts w:ascii="宋体" w:hAnsi="宋体" w:cs="宋体"/>
          <w:color w:val="000000"/>
          <w:highlight w:val="none"/>
        </w:rPr>
        <w:t xml:space="preserve">     </w:t>
      </w:r>
      <w:r>
        <w:rPr>
          <w:rFonts w:ascii="宋体" w:hAnsi="宋体" w:cs="宋体"/>
          <w:b/>
          <w:color w:val="000000"/>
          <w:sz w:val="30"/>
          <w:highlight w:val="none"/>
        </w:rPr>
        <w:t xml:space="preserve">   </w:t>
      </w:r>
      <w:r>
        <w:rPr>
          <w:rFonts w:eastAsia="Times New Roman"/>
          <w:color w:val="000000"/>
          <w:highlight w:val="none"/>
        </w:rPr>
        <w:t xml:space="preserve">  </w:t>
      </w:r>
      <w:r>
        <w:rPr>
          <w:rFonts w:eastAsia="Times New Roman"/>
          <w:b/>
          <w:color w:val="000000"/>
          <w:sz w:val="30"/>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tabs>
          <w:tab w:val="left" w:pos="5803"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tab/>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jc w:val="cente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扬州市公共资源交易中心</w:t>
      </w:r>
      <w:r/>
    </w:p>
    <w:p>
      <w:pPr>
        <w:jc w:val="cente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u w:val="single"/>
        </w:rPr>
        <w:t xml:space="preserve">   </w:t>
      </w:r>
      <w:r>
        <w:rPr>
          <w:rFonts w:hint="eastAsia" w:ascii="宋体" w:hAnsi="宋体" w:cs="宋体"/>
          <w:b/>
          <w:color w:val="000000"/>
          <w:sz w:val="32"/>
          <w:highlight w:val="none"/>
          <w:u w:val="single"/>
          <w:lang w:val="en-US" w:eastAsia="zh-CN"/>
        </w:rPr>
        <w:t xml:space="preserve">2026</w:t>
      </w:r>
      <w:r>
        <w:rPr>
          <w:rFonts w:ascii="宋体" w:hAnsi="宋体" w:cs="宋体"/>
          <w:b/>
          <w:color w:val="000000"/>
          <w:sz w:val="32"/>
          <w:highlight w:val="none"/>
          <w:u w:val="single"/>
        </w:rPr>
        <w:t xml:space="preserve">   </w:t>
      </w:r>
      <w:r>
        <w:rPr>
          <w:rFonts w:ascii="宋体" w:hAnsi="宋体" w:cs="宋体"/>
          <w:b/>
          <w:color w:val="000000"/>
          <w:sz w:val="32"/>
          <w:highlight w:val="none"/>
        </w:rPr>
        <w:t xml:space="preserve">年</w:t>
      </w:r>
      <w:r>
        <w:rPr>
          <w:rFonts w:ascii="宋体" w:hAnsi="宋体" w:cs="宋体"/>
          <w:b/>
          <w:color w:val="000000"/>
          <w:sz w:val="32"/>
          <w:highlight w:val="none"/>
          <w:u w:val="single"/>
        </w:rPr>
        <w:t xml:space="preserve">  </w:t>
      </w:r>
      <w:r>
        <w:rPr>
          <w:rFonts w:hint="eastAsia" w:ascii="宋体" w:hAnsi="宋体" w:cs="宋体"/>
          <w:b/>
          <w:color w:val="000000"/>
          <w:sz w:val="32"/>
          <w:highlight w:val="none"/>
          <w:u w:val="single"/>
          <w:lang w:val="en-US" w:eastAsia="zh-CN"/>
        </w:rPr>
        <w:t xml:space="preserve">9</w:t>
      </w:r>
      <w:r>
        <w:rPr>
          <w:rFonts w:ascii="宋体" w:hAnsi="宋体" w:cs="宋体"/>
          <w:b/>
          <w:color w:val="000000"/>
          <w:sz w:val="32"/>
          <w:highlight w:val="none"/>
          <w:u w:val="single"/>
        </w:rPr>
        <w:t xml:space="preserve">  </w:t>
      </w:r>
      <w:r>
        <w:rPr>
          <w:rFonts w:ascii="宋体" w:hAnsi="宋体" w:cs="宋体"/>
          <w:b/>
          <w:color w:val="000000"/>
          <w:sz w:val="32"/>
          <w:highlight w:val="none"/>
        </w:rPr>
        <w:t xml:space="preserve">月</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1"/>
          <w:cols w:num="1" w:sep="0" w:space="1701" w:equalWidth="1"/>
          <w:docGrid w:linePitch="360"/>
          <w:titlePg/>
        </w:sectPr>
      </w:pPr>
      <w:r>
        <w:rPr>
          <w:highlight w:val="none"/>
        </w:rPr>
      </w:r>
      <w:r/>
    </w:p>
    <w:p>
      <w:pPr>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highlight w:val="none"/>
        </w:rPr>
        <w:t xml:space="preserve">总目录</w:t>
      </w:r>
      <w:r/>
    </w:p>
    <w:p>
      <w:pP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highlight w:val="none"/>
        </w:rPr>
        <w:t xml:space="preserve"> </w:t>
      </w:r>
      <w:r/>
    </w:p>
    <w:p>
      <w:pPr>
        <w:numPr>
          <w:ilvl w:val="0"/>
          <w:numId w:val="2"/>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投标邀请……………………………………</w:t>
      </w:r>
      <w:r>
        <w:rPr>
          <w:rFonts w:hint="eastAsia" w:ascii="黑体" w:hAnsi="黑体" w:eastAsia="黑体" w:cs="黑体"/>
          <w:color w:val="000000"/>
          <w:sz w:val="36"/>
          <w:highlight w:val="none"/>
          <w:lang w:val="en-US" w:eastAsia="zh-CN"/>
        </w:rPr>
        <w:t xml:space="preserve">2</w:t>
      </w:r>
      <w:r/>
    </w:p>
    <w:p>
      <w:pPr>
        <w:numPr>
          <w:ilvl w:val="0"/>
          <w:numId w:val="2"/>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投标人须知…………………………………</w:t>
      </w:r>
      <w:r>
        <w:rPr>
          <w:rFonts w:hint="eastAsia" w:ascii="黑体" w:hAnsi="黑体" w:eastAsia="黑体" w:cs="黑体"/>
          <w:color w:val="000000"/>
          <w:sz w:val="36"/>
          <w:highlight w:val="none"/>
          <w:lang w:val="en-US" w:eastAsia="zh-CN"/>
        </w:rPr>
        <w:t xml:space="preserve">5</w:t>
      </w:r>
      <w:r/>
    </w:p>
    <w:p>
      <w:pPr>
        <w:numPr>
          <w:ilvl w:val="0"/>
          <w:numId w:val="2"/>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合同文本……………………………………15</w:t>
      </w:r>
      <w:r/>
    </w:p>
    <w:p>
      <w:pPr>
        <w:numPr>
          <w:ilvl w:val="0"/>
          <w:numId w:val="2"/>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采购需求……………………………………19</w:t>
      </w:r>
      <w:r/>
    </w:p>
    <w:p>
      <w:pPr>
        <w:numPr>
          <w:ilvl w:val="0"/>
          <w:numId w:val="2"/>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评标方法与评标标准………………………</w:t>
      </w:r>
      <w:r>
        <w:rPr>
          <w:rFonts w:hint="eastAsia" w:ascii="黑体" w:hAnsi="黑体" w:eastAsia="黑体" w:cs="黑体"/>
          <w:color w:val="000000"/>
          <w:sz w:val="36"/>
          <w:highlight w:val="none"/>
          <w:lang w:val="en-US" w:eastAsia="zh-CN"/>
        </w:rPr>
        <w:t xml:space="preserve">78</w:t>
      </w:r>
      <w:r/>
    </w:p>
    <w:p>
      <w:pPr>
        <w:numPr>
          <w:ilvl w:val="0"/>
          <w:numId w:val="2"/>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投标文件格式………………………………</w:t>
      </w:r>
      <w:r>
        <w:rPr>
          <w:rFonts w:hint="eastAsia" w:ascii="黑体" w:hAnsi="黑体" w:eastAsia="黑体" w:cs="黑体"/>
          <w:color w:val="000000"/>
          <w:sz w:val="36"/>
          <w:highlight w:val="none"/>
          <w:lang w:val="en-US" w:eastAsia="zh-CN"/>
        </w:rPr>
        <w:t xml:space="preserve">86</w:t>
      </w:r>
      <w:r/>
    </w:p>
    <w:p>
      <w:pPr>
        <w:spacing w:before="210" w:after="57"/>
        <w:rPr>
          <w:highlight w:val="none"/>
        </w:rPr>
        <w:pBdr>
          <w:top w:val="none" w:color="000000" w:sz="0" w:space="0"/>
          <w:left w:val="none" w:color="000000" w:sz="0" w:space="0"/>
          <w:bottom w:val="none" w:color="000000" w:sz="0" w:space="0"/>
          <w:right w:val="none" w:color="000000" w:sz="0" w:space="0"/>
        </w:pBdr>
      </w:pPr>
      <w:r>
        <w:rPr>
          <w:highlight w:val="none"/>
        </w:rPr>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spacing w:before="240" w:after="240"/>
        <w:tabs>
          <w:tab w:val="center" w:pos="4476" w:leader="none"/>
        </w:tabs>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rPr>
          <w:highlight w:val="none"/>
        </w:rPr>
        <w:tab/>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highlight w:val="none"/>
        </w:rPr>
        <w:t xml:space="preserve"> </w:t>
      </w:r>
      <w:r/>
    </w:p>
    <w:p>
      <w:pPr>
        <w:pStyle w:val="998"/>
        <w:rPr>
          <w:highlight w:val="none"/>
        </w:rPr>
      </w:pPr>
      <w:r>
        <w:rPr>
          <w:rStyle w:val="999"/>
          <w:rFonts w:ascii="黑体" w:hAnsi="黑体" w:cs="黑体"/>
          <w:highlight w:val="none"/>
        </w:rPr>
        <w:t xml:space="preserve">第一章 投标邀请</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受[</w:t>
      </w:r>
      <w:r>
        <w:rPr>
          <w:rFonts w:hint="eastAsia" w:ascii="宋体" w:hAnsi="宋体" w:cs="宋体"/>
          <w:color w:val="000000"/>
          <w:sz w:val="24"/>
          <w:highlight w:val="none"/>
        </w:rPr>
        <w:t xml:space="preserve">扬州市公共资源交易中心</w:t>
      </w:r>
      <w:r>
        <w:rPr>
          <w:rFonts w:ascii="宋体" w:hAnsi="宋体" w:cs="宋体"/>
          <w:color w:val="000000"/>
          <w:sz w:val="24"/>
          <w:highlight w:val="none"/>
        </w:rPr>
        <w:t xml:space="preserve">]的委托，扬州市公共资源交易中心就[</w:t>
      </w:r>
      <w:r>
        <w:rPr>
          <w:rFonts w:hint="eastAsia" w:ascii="宋体" w:hAnsi="宋体" w:cs="宋体"/>
          <w:color w:val="000000"/>
          <w:sz w:val="24"/>
          <w:highlight w:val="none"/>
        </w:rPr>
        <w:t xml:space="preserve">扬州市公共资源交易中心“扬小易”AI+服务项目</w:t>
      </w:r>
      <w:r>
        <w:rPr>
          <w:rFonts w:ascii="宋体" w:hAnsi="宋体" w:cs="宋体"/>
          <w:color w:val="000000"/>
          <w:sz w:val="24"/>
          <w:highlight w:val="none"/>
        </w:rPr>
        <w:t xml:space="preserve">](</w:t>
      </w:r>
      <w:r>
        <w:rPr>
          <w:rFonts w:hint="eastAsia" w:ascii="宋体" w:hAnsi="宋体" w:cs="宋体"/>
          <w:color w:val="000000"/>
          <w:sz w:val="24"/>
          <w:highlight w:val="none"/>
        </w:rPr>
        <w:t xml:space="preserve">JSZC-321000-JZCG-G2026-010</w:t>
      </w:r>
      <w:r>
        <w:rPr>
          <w:rFonts w:hint="eastAsia" w:ascii="宋体" w:hAnsi="宋体" w:cs="宋体"/>
          <w:color w:val="000000"/>
          <w:sz w:val="24"/>
          <w:highlight w:val="none"/>
          <w:lang w:val="en-US" w:eastAsia="zh-CN"/>
        </w:rPr>
        <w:t xml:space="preserve">1</w:t>
      </w:r>
      <w:r>
        <w:rPr>
          <w:rFonts w:ascii="宋体" w:hAnsi="宋体" w:cs="宋体"/>
          <w:color w:val="000000"/>
          <w:sz w:val="24"/>
          <w:highlight w:val="none"/>
        </w:rPr>
        <w:t xml:space="preserve">)项目进行公开招标采购，欢迎符合条件的供应商投标。</w:t>
      </w:r>
      <w:r/>
    </w:p>
    <w:p>
      <w:pPr>
        <w:ind w:firstLine="480"/>
        <w:spacing w:line="400" w:lineRule="atLeast"/>
        <w:rPr>
          <w:highlight w:val="none"/>
        </w:rPr>
        <w:pBdr>
          <w:top w:val="single" w:color="000000" w:sz="4" w:space="0"/>
          <w:left w:val="single" w:color="000000" w:sz="4" w:space="0"/>
          <w:bottom w:val="single" w:color="000000" w:sz="4" w:space="0"/>
          <w:right w:val="single" w:color="000000" w:sz="4" w:space="0"/>
        </w:pBdr>
      </w:pPr>
      <w:r>
        <w:rPr>
          <w:rFonts w:ascii="宋体" w:hAnsi="宋体" w:cs="宋体"/>
          <w:color w:val="000000"/>
          <w:sz w:val="24"/>
          <w:highlight w:val="none"/>
        </w:rPr>
        <w:t xml:space="preserve">项目概况</w:t>
      </w:r>
      <w:r/>
    </w:p>
    <w:p>
      <w:pPr>
        <w:ind w:firstLine="480"/>
        <w:spacing w:line="400" w:lineRule="atLeast"/>
        <w:rPr>
          <w:highlight w:val="none"/>
        </w:rPr>
        <w:pBdr>
          <w:top w:val="single" w:color="000000" w:sz="4" w:space="0"/>
          <w:left w:val="single" w:color="000000" w:sz="4" w:space="0"/>
          <w:bottom w:val="single" w:color="000000" w:sz="4" w:space="0"/>
          <w:right w:val="single" w:color="000000" w:sz="4" w:space="0"/>
        </w:pBdr>
      </w:pPr>
      <w:r>
        <w:rPr>
          <w:rFonts w:ascii="宋体" w:hAnsi="宋体" w:cs="宋体"/>
          <w:color w:val="000000"/>
          <w:sz w:val="24"/>
          <w:highlight w:val="none"/>
          <w:u w:val="single"/>
        </w:rPr>
        <w:t xml:space="preserve">（</w:t>
      </w:r>
      <w:r>
        <w:rPr>
          <w:rFonts w:hint="eastAsia" w:ascii="宋体" w:hAnsi="宋体" w:cs="宋体"/>
          <w:color w:val="000000"/>
          <w:sz w:val="24"/>
          <w:highlight w:val="none"/>
          <w:u w:val="single"/>
        </w:rPr>
        <w:t xml:space="preserve">扬州市公共资源交易中心“扬小易”AI+服务项目</w:t>
      </w:r>
      <w:r>
        <w:rPr>
          <w:rFonts w:ascii="宋体" w:hAnsi="宋体" w:cs="宋体"/>
          <w:color w:val="000000"/>
          <w:sz w:val="24"/>
          <w:highlight w:val="none"/>
          <w:u w:val="single"/>
        </w:rPr>
        <w:t xml:space="preserve">）</w:t>
      </w:r>
      <w:r>
        <w:rPr>
          <w:rFonts w:ascii="宋体" w:hAnsi="宋体" w:cs="宋体"/>
          <w:color w:val="000000"/>
          <w:sz w:val="24"/>
          <w:highlight w:val="none"/>
        </w:rPr>
        <w:t xml:space="preserve">招标项目的潜在投标人可在</w:t>
      </w:r>
      <w:r>
        <w:rPr>
          <w:rFonts w:ascii="宋体" w:hAnsi="宋体" w:cs="宋体"/>
          <w:color w:val="000000"/>
          <w:sz w:val="24"/>
          <w:highlight w:val="none"/>
          <w:u w:val="single"/>
        </w:rPr>
        <w:t xml:space="preserve">“江苏政府采购网”“扬州市政府采购网”</w:t>
      </w:r>
      <w:r>
        <w:rPr>
          <w:rFonts w:ascii="宋体" w:hAnsi="宋体" w:cs="宋体"/>
          <w:color w:val="000000"/>
          <w:sz w:val="24"/>
          <w:highlight w:val="none"/>
        </w:rPr>
        <w:t xml:space="preserve">自行免费下载招标文件，并于</w:t>
      </w:r>
      <w:r>
        <w:rPr>
          <w:rFonts w:ascii="宋体" w:hAnsi="宋体" w:cs="宋体"/>
          <w:color w:val="ff0000"/>
          <w:sz w:val="24"/>
          <w:highlight w:val="none"/>
          <w:u w:val="single"/>
        </w:rPr>
        <w:t xml:space="preserve">   </w:t>
      </w:r>
      <w:r>
        <w:rPr>
          <w:rFonts w:hint="eastAsia" w:ascii="宋体" w:hAnsi="宋体" w:cs="宋体"/>
          <w:color w:val="ff0000"/>
          <w:sz w:val="24"/>
          <w:highlight w:val="none"/>
          <w:u w:val="single"/>
        </w:rPr>
        <w:t xml:space="preserve">2026</w:t>
      </w:r>
      <w:r>
        <w:rPr>
          <w:rFonts w:ascii="宋体" w:hAnsi="宋体" w:cs="宋体"/>
          <w:color w:val="ff0000"/>
          <w:sz w:val="24"/>
          <w:highlight w:val="none"/>
          <w:u w:val="single"/>
        </w:rPr>
        <w:t xml:space="preserve">  年   9 月  23  日9点30分</w:t>
      </w:r>
      <w:r>
        <w:rPr>
          <w:rFonts w:ascii="宋体" w:hAnsi="宋体" w:cs="宋体"/>
          <w:color w:val="000000"/>
          <w:sz w:val="24"/>
          <w:highlight w:val="none"/>
          <w:u w:val="single"/>
        </w:rPr>
        <w:t xml:space="preserve">（</w:t>
      </w:r>
      <w:r>
        <w:rPr>
          <w:rFonts w:ascii="宋体" w:hAnsi="宋体" w:cs="宋体"/>
          <w:color w:val="000000"/>
          <w:sz w:val="24"/>
          <w:highlight w:val="none"/>
        </w:rPr>
        <w:t xml:space="preserve">北京时间）前递交投标文件。</w:t>
      </w:r>
      <w:r/>
    </w:p>
    <w:p>
      <w:pPr>
        <w:ind w:firstLine="498"/>
        <w:spacing w:before="145" w:after="145"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一、项目基本情况</w:t>
      </w:r>
      <w:r/>
    </w:p>
    <w:p>
      <w:pPr>
        <w:ind w:firstLine="480"/>
        <w:spacing w:line="400" w:lineRule="atLeast"/>
        <w:rPr>
          <w:rFonts w:hint="eastAsia" w:eastAsia="宋体"/>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1.项目编号：</w:t>
      </w:r>
      <w:r>
        <w:rPr>
          <w:rFonts w:hint="eastAsia" w:ascii="宋体" w:hAnsi="宋体" w:cs="宋体"/>
          <w:color w:val="000000"/>
          <w:sz w:val="24"/>
          <w:highlight w:val="none"/>
        </w:rPr>
        <w:t xml:space="preserve">JSZC-321000-JZCG-G2026-010</w:t>
      </w:r>
      <w:r>
        <w:rPr>
          <w:rFonts w:hint="eastAsia" w:ascii="宋体" w:hAnsi="宋体" w:cs="宋体"/>
          <w:color w:val="000000"/>
          <w:sz w:val="24"/>
          <w:highlight w:val="none"/>
          <w:lang w:val="en-US" w:eastAsia="zh-CN"/>
        </w:rPr>
        <w:t xml:space="preserve">1</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2.项目名称：</w:t>
      </w:r>
      <w:r>
        <w:rPr>
          <w:rFonts w:hint="eastAsia" w:ascii="宋体" w:hAnsi="宋体" w:cs="宋体"/>
          <w:color w:val="000000"/>
          <w:sz w:val="24"/>
          <w:highlight w:val="none"/>
        </w:rPr>
        <w:t xml:space="preserve">扬州市公共资源交易中心</w:t>
      </w:r>
      <w:r>
        <w:rPr>
          <w:rFonts w:ascii="宋体" w:hAnsi="宋体" w:cs="宋体"/>
          <w:color w:val="000000"/>
          <w:sz w:val="24"/>
          <w:highlight w:val="none"/>
        </w:rPr>
        <w:t xml:space="preserve">“扬小易”AI+服务项目</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3.预算金额：</w:t>
      </w:r>
      <w:r/>
    </w:p>
    <w:tbl>
      <w:tblPr>
        <w:tblStyle w:val="996"/>
        <w:tblW w:w="892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6"/>
        <w:gridCol w:w="765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55"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预算金额（人民币：万元）</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5"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320.74</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55" w:type="dxa"/>
            <w:textDirection w:val="lrTb"/>
            <w:noWrap w:val="false"/>
          </w:tcPr>
          <w:p>
            <w:pPr>
              <w:jc w:val="center"/>
              <w:spacing w:line="400"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2.93</w:t>
            </w:r>
            <w:r/>
          </w:p>
        </w:tc>
      </w:tr>
    </w:tbl>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4.最高限价：</w:t>
      </w:r>
      <w:r/>
    </w:p>
    <w:tbl>
      <w:tblPr>
        <w:tblStyle w:val="996"/>
        <w:tblW w:w="8921"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266"/>
        <w:gridCol w:w="3260"/>
        <w:gridCol w:w="4395"/>
      </w:tblGrid>
      <w:tr>
        <w:trPr/>
        <w:tc>
          <w:tcPr>
            <w:tcMar>
              <w:left w:w="108" w:type="dxa"/>
              <w:top w:w="0" w:type="dxa"/>
              <w:right w:w="108" w:type="dxa"/>
              <w:bottom w:w="0" w:type="dxa"/>
            </w:tcMar>
            <w:tcW w:w="1266"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采购包号</w:t>
            </w:r>
            <w:r/>
          </w:p>
        </w:tc>
        <w:tc>
          <w:tcPr>
            <w:tcMar>
              <w:left w:w="108" w:type="dxa"/>
              <w:top w:w="0" w:type="dxa"/>
              <w:right w:w="108" w:type="dxa"/>
              <w:bottom w:w="0" w:type="dxa"/>
            </w:tcMar>
            <w:tcW w:w="3260"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是否设定最高限价（是/否）</w:t>
            </w:r>
            <w:r/>
          </w:p>
        </w:tc>
        <w:tc>
          <w:tcPr>
            <w:tcMar>
              <w:left w:w="108" w:type="dxa"/>
              <w:top w:w="0" w:type="dxa"/>
              <w:right w:w="108" w:type="dxa"/>
              <w:bottom w:w="0" w:type="dxa"/>
            </w:tcMar>
            <w:tcW w:w="4395"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最高限价（人民币：万元）</w:t>
            </w:r>
            <w:r/>
          </w:p>
        </w:tc>
      </w:tr>
      <w:tr>
        <w:trPr/>
        <w:tc>
          <w:tcPr>
            <w:tcMar>
              <w:left w:w="108" w:type="dxa"/>
              <w:top w:w="0" w:type="dxa"/>
              <w:right w:w="108" w:type="dxa"/>
              <w:bottom w:w="0" w:type="dxa"/>
            </w:tcMar>
            <w:tcW w:w="1266"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p>
        </w:tc>
        <w:tc>
          <w:tcPr>
            <w:tcMar>
              <w:left w:w="108" w:type="dxa"/>
              <w:top w:w="0" w:type="dxa"/>
              <w:right w:w="108" w:type="dxa"/>
              <w:bottom w:w="0" w:type="dxa"/>
            </w:tcMar>
            <w:tcW w:w="3260"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是</w:t>
            </w:r>
            <w:r/>
          </w:p>
        </w:tc>
        <w:tc>
          <w:tcPr>
            <w:tcMar>
              <w:left w:w="108" w:type="dxa"/>
              <w:top w:w="0" w:type="dxa"/>
              <w:right w:w="108" w:type="dxa"/>
              <w:bottom w:w="0" w:type="dxa"/>
            </w:tcMar>
            <w:tcW w:w="4395"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320.74</w:t>
            </w:r>
            <w:r/>
          </w:p>
        </w:tc>
      </w:tr>
      <w:tr>
        <w:trPr/>
        <w:tc>
          <w:tcPr>
            <w:tcMar>
              <w:left w:w="108" w:type="dxa"/>
              <w:top w:w="0" w:type="dxa"/>
              <w:right w:w="108" w:type="dxa"/>
              <w:bottom w:w="0" w:type="dxa"/>
            </w:tcMar>
            <w:tcW w:w="1266" w:type="dxa"/>
            <w:textDirection w:val="lrTb"/>
            <w:noWrap w:val="false"/>
          </w:tcPr>
          <w:p>
            <w:pPr>
              <w:jc w:val="center"/>
              <w:spacing w:line="400"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p>
        </w:tc>
        <w:tc>
          <w:tcPr>
            <w:tcMar>
              <w:left w:w="108" w:type="dxa"/>
              <w:top w:w="0" w:type="dxa"/>
              <w:right w:w="108" w:type="dxa"/>
              <w:bottom w:w="0" w:type="dxa"/>
            </w:tcMar>
            <w:tcW w:w="3260" w:type="dxa"/>
            <w:textDirection w:val="lrTb"/>
            <w:noWrap w:val="false"/>
          </w:tcPr>
          <w:p>
            <w:pPr>
              <w:jc w:val="center"/>
              <w:spacing w:line="400"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是</w:t>
            </w:r>
            <w:r/>
          </w:p>
        </w:tc>
        <w:tc>
          <w:tcPr>
            <w:tcMar>
              <w:left w:w="108" w:type="dxa"/>
              <w:top w:w="0" w:type="dxa"/>
              <w:right w:w="108" w:type="dxa"/>
              <w:bottom w:w="0" w:type="dxa"/>
            </w:tcMar>
            <w:tcW w:w="4395" w:type="dxa"/>
            <w:textDirection w:val="lrTb"/>
            <w:noWrap w:val="false"/>
          </w:tcPr>
          <w:p>
            <w:pPr>
              <w:jc w:val="center"/>
              <w:spacing w:line="400"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2.93</w:t>
            </w:r>
            <w:r/>
          </w:p>
        </w:tc>
      </w:tr>
    </w:tbl>
    <w:p>
      <w:pPr>
        <w:ind w:firstLine="480"/>
        <w:spacing w:line="400"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5.采购需求（简介）：为贯彻落实国务院办公厅《关于创新完善</w:t>
      </w:r>
      <w:r>
        <w:rPr>
          <w:rFonts w:ascii="宋体" w:hAnsi="宋体" w:cs="宋体"/>
          <w:color w:val="000000"/>
          <w:sz w:val="24"/>
          <w:highlight w:val="none"/>
        </w:rPr>
        <w:t xml:space="preserve">体制机制推动招标投标市场规范健康发展的意见》（国办发〔2024〕21号）、《江苏省招标投标条例》等政策文件精神，深入推进公共资源交易与人工智能融合发展，综合应用大模型、机器视觉、物联网、云计算、数字人等前沿技术赋能中心交易核心业务，通过人机协同服务、人机协同监管，全方位增强智能监管和智慧服务能力，为各方市场主体提供规范、便捷、高效的数智化服务。</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本项目分为两个包，包1：“扬小易”AI+服务项目；包2：“扬小易”AI+服务项目监理服务。投标人不可兼投。（详细内容见本招标文件第四章）</w:t>
      </w:r>
      <w:r/>
    </w:p>
    <w:p>
      <w:pPr>
        <w:ind w:firstLine="48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6.合同履行期限：自合同签订之日起12个月内完成。</w:t>
      </w:r>
      <w:r/>
    </w:p>
    <w:p>
      <w:pPr>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98"/>
        <w:spacing w:before="145" w:after="145"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二、申请人的资格要求：</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（一）通用资格要求</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1.满足《中华人民共和国政府采购法》第二十二条规定，并提供下列材料：</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 法人或者其他组织的营业执照等证明文件，自然人的身份证明；</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1.2 上一年度的财务状况报告（成立不满一年无需提供）；</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1.4具备履行合同所必需的设备和专业技术能力的书面声明；</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1.5参加政府采购活动前3年内在经营活动中没有重大违法记录的书面声明。</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 供应商信用承诺函。</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落实政府采购政策需满足的资格要求：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4.联合体投标</w:t>
      </w:r>
      <w:r/>
    </w:p>
    <w:tbl>
      <w:tblPr>
        <w:tblStyle w:val="996"/>
        <w:tblW w:w="8921"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266"/>
        <w:gridCol w:w="3544"/>
        <w:gridCol w:w="4111"/>
      </w:tblGrid>
      <w:tr>
        <w:trPr/>
        <w:tc>
          <w:tcPr>
            <w:tcMar>
              <w:left w:w="108" w:type="dxa"/>
              <w:top w:w="0" w:type="dxa"/>
              <w:right w:w="108" w:type="dxa"/>
              <w:bottom w:w="0" w:type="dxa"/>
            </w:tcMar>
            <w:tcW w:w="1266"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采购包号</w:t>
            </w:r>
            <w:r/>
          </w:p>
        </w:tc>
        <w:tc>
          <w:tcPr>
            <w:tcMar>
              <w:left w:w="108" w:type="dxa"/>
              <w:top w:w="0" w:type="dxa"/>
              <w:right w:w="108" w:type="dxa"/>
              <w:bottom w:w="0" w:type="dxa"/>
            </w:tcMar>
            <w:tcW w:w="3544"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是否接受联合体投标（是/否）</w:t>
            </w:r>
            <w:r/>
          </w:p>
        </w:tc>
        <w:tc>
          <w:tcPr>
            <w:tcMar>
              <w:left w:w="108" w:type="dxa"/>
              <w:top w:w="0" w:type="dxa"/>
              <w:right w:w="108" w:type="dxa"/>
              <w:bottom w:w="0" w:type="dxa"/>
            </w:tcMar>
            <w:tcW w:w="4111"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该采购包中联合体成员数量上限</w:t>
            </w:r>
            <w:r/>
          </w:p>
        </w:tc>
      </w:tr>
      <w:tr>
        <w:trPr/>
        <w:tc>
          <w:tcPr>
            <w:tcMar>
              <w:left w:w="108" w:type="dxa"/>
              <w:top w:w="0" w:type="dxa"/>
              <w:right w:w="108" w:type="dxa"/>
              <w:bottom w:w="0" w:type="dxa"/>
            </w:tcMar>
            <w:tcW w:w="1266"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p>
        </w:tc>
        <w:tc>
          <w:tcPr>
            <w:tcMar>
              <w:left w:w="108" w:type="dxa"/>
              <w:top w:w="0" w:type="dxa"/>
              <w:right w:w="108" w:type="dxa"/>
              <w:bottom w:w="0" w:type="dxa"/>
            </w:tcMar>
            <w:tcW w:w="3544"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否</w:t>
            </w:r>
            <w:r/>
          </w:p>
        </w:tc>
        <w:tc>
          <w:tcPr>
            <w:tcMar>
              <w:left w:w="108" w:type="dxa"/>
              <w:top w:w="0" w:type="dxa"/>
              <w:right w:w="108" w:type="dxa"/>
              <w:bottom w:w="0" w:type="dxa"/>
            </w:tcMar>
            <w:tcW w:w="4111"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w:t>
            </w:r>
            <w:r/>
          </w:p>
        </w:tc>
      </w:tr>
      <w:tr>
        <w:trPr/>
        <w:tc>
          <w:tcPr>
            <w:tcMar>
              <w:left w:w="108" w:type="dxa"/>
              <w:top w:w="0" w:type="dxa"/>
              <w:right w:w="108" w:type="dxa"/>
              <w:bottom w:w="0" w:type="dxa"/>
            </w:tcMar>
            <w:tcW w:w="1266" w:type="dxa"/>
            <w:textDirection w:val="lrTb"/>
            <w:noWrap w:val="false"/>
          </w:tcPr>
          <w:p>
            <w:pPr>
              <w:jc w:val="center"/>
              <w:spacing w:line="400"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p>
        </w:tc>
        <w:tc>
          <w:tcPr>
            <w:tcMar>
              <w:left w:w="108" w:type="dxa"/>
              <w:top w:w="0" w:type="dxa"/>
              <w:right w:w="108" w:type="dxa"/>
              <w:bottom w:w="0" w:type="dxa"/>
            </w:tcMar>
            <w:tcW w:w="3544" w:type="dxa"/>
            <w:textDirection w:val="lrTb"/>
            <w:noWrap w:val="false"/>
          </w:tcPr>
          <w:p>
            <w:pPr>
              <w:jc w:val="center"/>
              <w:spacing w:line="400"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否</w:t>
            </w:r>
            <w:r/>
          </w:p>
        </w:tc>
        <w:tc>
          <w:tcPr>
            <w:tcMar>
              <w:left w:w="108" w:type="dxa"/>
              <w:top w:w="0" w:type="dxa"/>
              <w:right w:w="108" w:type="dxa"/>
              <w:bottom w:w="0" w:type="dxa"/>
            </w:tcMar>
            <w:tcW w:w="4111" w:type="dxa"/>
            <w:textDirection w:val="lrTb"/>
            <w:noWrap w:val="false"/>
          </w:tcPr>
          <w:p>
            <w:pPr>
              <w:jc w:val="center"/>
              <w:spacing w:line="400"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w:t>
            </w:r>
            <w:r/>
          </w:p>
        </w:tc>
      </w:tr>
    </w:tbl>
    <w:p>
      <w:pPr>
        <w:ind w:left="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5.进口产品投标</w:t>
      </w:r>
      <w:r/>
    </w:p>
    <w:tbl>
      <w:tblPr>
        <w:tblStyle w:val="996"/>
        <w:tblW w:w="8921"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266"/>
        <w:gridCol w:w="7655"/>
      </w:tblGrid>
      <w:tr>
        <w:trPr>
          <w:trHeight w:val="372"/>
        </w:trPr>
        <w:tc>
          <w:tcPr>
            <w:tcMar>
              <w:left w:w="108" w:type="dxa"/>
              <w:top w:w="0" w:type="dxa"/>
              <w:right w:w="108" w:type="dxa"/>
              <w:bottom w:w="0" w:type="dxa"/>
            </w:tcMar>
            <w:tcW w:w="1266"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采购包号</w:t>
            </w:r>
            <w:r/>
          </w:p>
        </w:tc>
        <w:tc>
          <w:tcPr>
            <w:tcMar>
              <w:left w:w="108" w:type="dxa"/>
              <w:top w:w="0" w:type="dxa"/>
              <w:right w:w="108" w:type="dxa"/>
              <w:bottom w:w="0" w:type="dxa"/>
            </w:tcMar>
            <w:tcW w:w="7655"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是否接受进口产品投标（是/否）</w:t>
            </w:r>
            <w:r/>
          </w:p>
        </w:tc>
      </w:tr>
      <w:tr>
        <w:trPr/>
        <w:tc>
          <w:tcPr>
            <w:tcMar>
              <w:left w:w="108" w:type="dxa"/>
              <w:top w:w="0" w:type="dxa"/>
              <w:right w:w="108" w:type="dxa"/>
              <w:bottom w:w="0" w:type="dxa"/>
            </w:tcMar>
            <w:tcW w:w="1266"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p>
        </w:tc>
        <w:tc>
          <w:tcPr>
            <w:tcMar>
              <w:left w:w="108" w:type="dxa"/>
              <w:top w:w="0" w:type="dxa"/>
              <w:right w:w="108" w:type="dxa"/>
              <w:bottom w:w="0" w:type="dxa"/>
            </w:tcMar>
            <w:tcW w:w="7655"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否</w:t>
            </w:r>
            <w:r/>
          </w:p>
        </w:tc>
      </w:tr>
      <w:tr>
        <w:trPr/>
        <w:tc>
          <w:tcPr>
            <w:tcMar>
              <w:left w:w="108" w:type="dxa"/>
              <w:top w:w="0" w:type="dxa"/>
              <w:right w:w="108" w:type="dxa"/>
              <w:bottom w:w="0" w:type="dxa"/>
            </w:tcMar>
            <w:tcW w:w="1266" w:type="dxa"/>
            <w:textDirection w:val="lrTb"/>
            <w:noWrap w:val="false"/>
          </w:tcPr>
          <w:p>
            <w:pPr>
              <w:jc w:val="center"/>
              <w:spacing w:line="400"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p>
        </w:tc>
        <w:tc>
          <w:tcPr>
            <w:tcMar>
              <w:left w:w="108" w:type="dxa"/>
              <w:top w:w="0" w:type="dxa"/>
              <w:right w:w="108" w:type="dxa"/>
              <w:bottom w:w="0" w:type="dxa"/>
            </w:tcMar>
            <w:tcW w:w="7655" w:type="dxa"/>
            <w:textDirection w:val="lrTb"/>
            <w:noWrap w:val="false"/>
          </w:tcPr>
          <w:p>
            <w:pPr>
              <w:jc w:val="center"/>
              <w:spacing w:line="400"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否</w:t>
            </w:r>
            <w:r/>
          </w:p>
        </w:tc>
      </w:tr>
    </w:tbl>
    <w:p>
      <w:pPr>
        <w:ind w:firstLine="24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（二）本项目的特定资格要求</w:t>
      </w:r>
      <w:r/>
    </w:p>
    <w:tbl>
      <w:tblPr>
        <w:tblStyle w:val="996"/>
        <w:tblW w:w="8921"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408"/>
        <w:gridCol w:w="7513"/>
      </w:tblGrid>
      <w:tr>
        <w:trPr/>
        <w:tc>
          <w:tcPr>
            <w:tcMar>
              <w:left w:w="108" w:type="dxa"/>
              <w:top w:w="0" w:type="dxa"/>
              <w:right w:w="108" w:type="dxa"/>
              <w:bottom w:w="0" w:type="dxa"/>
            </w:tcMar>
            <w:tcW w:w="1408"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采购包号</w:t>
            </w:r>
            <w:r/>
          </w:p>
        </w:tc>
        <w:tc>
          <w:tcPr>
            <w:tcMar>
              <w:left w:w="108" w:type="dxa"/>
              <w:top w:w="0" w:type="dxa"/>
              <w:right w:w="108" w:type="dxa"/>
              <w:bottom w:w="0" w:type="dxa"/>
            </w:tcMar>
            <w:tcW w:w="7513"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特定资格要求</w:t>
            </w:r>
            <w:r/>
          </w:p>
        </w:tc>
      </w:tr>
      <w:tr>
        <w:trPr/>
        <w:tc>
          <w:tcPr>
            <w:tcMar>
              <w:left w:w="108" w:type="dxa"/>
              <w:top w:w="0" w:type="dxa"/>
              <w:right w:w="108" w:type="dxa"/>
              <w:bottom w:w="0" w:type="dxa"/>
            </w:tcMar>
            <w:tcW w:w="1408"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p>
        </w:tc>
        <w:tc>
          <w:tcPr>
            <w:tcMar>
              <w:left w:w="108" w:type="dxa"/>
              <w:top w:w="0" w:type="dxa"/>
              <w:right w:w="108" w:type="dxa"/>
              <w:bottom w:w="0" w:type="dxa"/>
            </w:tcMar>
            <w:tcW w:w="7513"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无</w:t>
            </w:r>
            <w:r/>
          </w:p>
        </w:tc>
      </w:tr>
      <w:tr>
        <w:trPr/>
        <w:tc>
          <w:tcPr>
            <w:tcMar>
              <w:left w:w="108" w:type="dxa"/>
              <w:top w:w="0" w:type="dxa"/>
              <w:right w:w="108" w:type="dxa"/>
              <w:bottom w:w="0" w:type="dxa"/>
            </w:tcMar>
            <w:tcW w:w="1408" w:type="dxa"/>
            <w:textDirection w:val="lrTb"/>
            <w:noWrap w:val="false"/>
          </w:tcPr>
          <w:p>
            <w:pPr>
              <w:jc w:val="center"/>
              <w:spacing w:line="400"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p>
        </w:tc>
        <w:tc>
          <w:tcPr>
            <w:tcMar>
              <w:left w:w="108" w:type="dxa"/>
              <w:top w:w="0" w:type="dxa"/>
              <w:right w:w="108" w:type="dxa"/>
              <w:bottom w:w="0" w:type="dxa"/>
            </w:tcMar>
            <w:tcW w:w="7513" w:type="dxa"/>
            <w:textDirection w:val="lrTb"/>
            <w:noWrap w:val="false"/>
          </w:tcPr>
          <w:p>
            <w:pPr>
              <w:jc w:val="center"/>
              <w:spacing w:line="400"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无</w:t>
            </w:r>
            <w:r/>
          </w:p>
        </w:tc>
      </w:tr>
    </w:tbl>
    <w:p>
      <w:pPr>
        <w:ind w:firstLine="498"/>
        <w:spacing w:before="145" w:after="145"/>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三、获取招标文件</w:t>
      </w:r>
      <w:r/>
    </w:p>
    <w:p>
      <w:pPr>
        <w:ind w:firstLine="54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1.时间：自招标文件公告发布之日起5个工作日。</w:t>
      </w:r>
      <w:r/>
    </w:p>
    <w:p>
      <w:pPr>
        <w:ind w:firstLine="54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2.方式：在“江苏政府采购网、扬州市政府采购网”自行免费下载招标文件。</w:t>
      </w:r>
      <w:r/>
    </w:p>
    <w:p>
      <w:pPr>
        <w:ind w:firstLine="498"/>
        <w:spacing w:before="145" w:after="145"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四、提交投标文件截止时间、开标时间和地点</w:t>
      </w:r>
      <w:r/>
    </w:p>
    <w:p>
      <w:pPr>
        <w:ind w:firstLine="480"/>
        <w:spacing w:line="400"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ascii="宋体" w:hAnsi="宋体" w:cs="宋体"/>
          <w:color w:val="000000"/>
          <w:sz w:val="24"/>
          <w:highlight w:val="none"/>
          <w:u w:val="single"/>
        </w:rPr>
        <w:t xml:space="preserve"> </w:t>
      </w:r>
      <w:r>
        <w:rPr>
          <w:rFonts w:ascii="宋体" w:hAnsi="宋体" w:cs="宋体"/>
          <w:color w:val="ff0000"/>
          <w:sz w:val="24"/>
          <w:highlight w:val="none"/>
          <w:u w:val="single"/>
        </w:rPr>
        <w:t xml:space="preserve">202</w:t>
      </w:r>
      <w:r>
        <w:rPr>
          <w:rFonts w:hint="eastAsia" w:ascii="宋体" w:hAnsi="宋体" w:cs="宋体"/>
          <w:color w:val="ff0000"/>
          <w:sz w:val="24"/>
          <w:highlight w:val="none"/>
          <w:u w:val="single"/>
        </w:rPr>
        <w:t xml:space="preserve">6</w:t>
      </w:r>
      <w:r>
        <w:rPr>
          <w:rFonts w:ascii="宋体" w:hAnsi="宋体" w:cs="宋体"/>
          <w:color w:val="ff0000"/>
          <w:sz w:val="24"/>
          <w:highlight w:val="none"/>
          <w:u w:val="single"/>
        </w:rPr>
        <w:t xml:space="preserve">年 9 月 23 日 </w:t>
      </w:r>
      <w:r>
        <w:rPr>
          <w:rFonts w:hint="eastAsia" w:ascii="宋体" w:hAnsi="宋体" w:cs="宋体"/>
          <w:color w:val="ff0000"/>
          <w:sz w:val="24"/>
          <w:highlight w:val="none"/>
          <w:u w:val="single"/>
        </w:rPr>
        <w:t xml:space="preserve">9</w:t>
      </w:r>
      <w:r>
        <w:rPr>
          <w:rFonts w:ascii="宋体" w:hAnsi="宋体" w:cs="宋体"/>
          <w:color w:val="ff0000"/>
          <w:sz w:val="24"/>
          <w:highlight w:val="none"/>
          <w:u w:val="single"/>
        </w:rPr>
        <w:t xml:space="preserve">点 </w:t>
      </w:r>
      <w:r>
        <w:rPr>
          <w:rFonts w:hint="eastAsia" w:ascii="宋体" w:hAnsi="宋体" w:cs="宋体"/>
          <w:color w:val="ff0000"/>
          <w:sz w:val="24"/>
          <w:highlight w:val="none"/>
          <w:u w:val="single"/>
        </w:rPr>
        <w:t xml:space="preserve">30</w:t>
      </w:r>
      <w:r>
        <w:rPr>
          <w:rFonts w:ascii="宋体" w:hAnsi="宋体" w:cs="宋体"/>
          <w:color w:val="ff0000"/>
          <w:sz w:val="24"/>
          <w:highlight w:val="none"/>
          <w:u w:val="single"/>
        </w:rPr>
        <w:t xml:space="preserve">分</w:t>
      </w:r>
      <w:r>
        <w:rPr>
          <w:rFonts w:ascii="宋体" w:hAnsi="宋体" w:cs="宋体"/>
          <w:color w:val="000000"/>
          <w:sz w:val="24"/>
          <w:highlight w:val="none"/>
        </w:rPr>
        <w:t xml:space="preserve">（北京时间）</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2.地点：“苏采云”政府采购交易系统。</w:t>
      </w:r>
      <w:r/>
    </w:p>
    <w:p>
      <w:pPr>
        <w:ind w:firstLine="498"/>
        <w:spacing w:before="145" w:after="145"/>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五、公告期限</w:t>
      </w:r>
      <w:r/>
    </w:p>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自本公告发布之日起5个工作日。</w:t>
      </w:r>
      <w:r/>
    </w:p>
    <w:p>
      <w:pPr>
        <w:ind w:firstLine="498"/>
        <w:spacing w:before="145" w:after="145"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六、其他补充事宜</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无</w:t>
      </w:r>
      <w:r/>
    </w:p>
    <w:p>
      <w:pPr>
        <w:ind w:firstLine="498"/>
        <w:spacing w:before="145" w:after="145"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七、本次招标联系方式</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1.采购人信息</w:t>
      </w:r>
      <w:r/>
    </w:p>
    <w:p>
      <w:pPr>
        <w:ind w:left="709"/>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名 称：</w:t>
      </w:r>
      <w:r>
        <w:rPr>
          <w:rFonts w:ascii="宋体" w:hAnsi="宋体" w:cs="宋体"/>
          <w:color w:val="000000"/>
          <w:sz w:val="24"/>
          <w:highlight w:val="none"/>
          <w:u w:val="single"/>
        </w:rPr>
        <w:t xml:space="preserve"> 扬州市公共资源交易中心</w:t>
      </w:r>
      <w:r/>
    </w:p>
    <w:p>
      <w:pPr>
        <w:ind w:left="709"/>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地 址：</w:t>
      </w:r>
      <w:r>
        <w:rPr>
          <w:rFonts w:ascii="宋体" w:hAnsi="宋体" w:cs="宋体"/>
          <w:color w:val="000000"/>
          <w:sz w:val="24"/>
          <w:highlight w:val="none"/>
          <w:u w:val="single"/>
        </w:rPr>
        <w:t xml:space="preserve"> 扬州市文昌东路9号 </w:t>
      </w:r>
      <w:r/>
    </w:p>
    <w:p>
      <w:pPr>
        <w:ind w:left="709"/>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联系人：</w:t>
      </w:r>
      <w:r>
        <w:rPr>
          <w:rFonts w:ascii="宋体" w:hAnsi="宋体" w:cs="宋体"/>
          <w:color w:val="000000"/>
          <w:sz w:val="24"/>
          <w:highlight w:val="none"/>
          <w:u w:val="single"/>
        </w:rPr>
        <w:t xml:space="preserve"> 马</w:t>
      </w:r>
      <w:r>
        <w:rPr>
          <w:rFonts w:hint="eastAsia" w:ascii="宋体" w:hAnsi="宋体" w:cs="宋体"/>
          <w:color w:val="000000"/>
          <w:sz w:val="24"/>
          <w:highlight w:val="none"/>
          <w:u w:val="single"/>
        </w:rPr>
        <w:t xml:space="preserve">雪洁</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 </w:t>
      </w:r>
      <w:r/>
    </w:p>
    <w:p>
      <w:pPr>
        <w:ind w:left="709"/>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联系方式：</w:t>
      </w:r>
      <w:r>
        <w:rPr>
          <w:rFonts w:ascii="宋体" w:hAnsi="宋体" w:cs="宋体"/>
          <w:color w:val="000000"/>
          <w:sz w:val="24"/>
          <w:highlight w:val="none"/>
          <w:u w:val="single"/>
        </w:rPr>
        <w:t xml:space="preserve">0514</w:t>
      </w:r>
      <w:r>
        <w:rPr>
          <w:rFonts w:hint="eastAsia" w:ascii="宋体" w:hAnsi="宋体" w:cs="宋体"/>
          <w:color w:val="000000"/>
          <w:sz w:val="24"/>
          <w:highlight w:val="none"/>
          <w:u w:val="single"/>
        </w:rPr>
        <w:t xml:space="preserve">-</w:t>
      </w:r>
      <w:r>
        <w:rPr>
          <w:rFonts w:ascii="宋体" w:hAnsi="宋体" w:cs="宋体"/>
          <w:color w:val="000000"/>
          <w:sz w:val="24"/>
          <w:highlight w:val="none"/>
          <w:u w:val="single"/>
        </w:rPr>
        <w:t xml:space="preserve">82087123   </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2.扬州市公共资源交易中心</w:t>
      </w:r>
      <w:r/>
    </w:p>
    <w:p>
      <w:pPr>
        <w:ind w:left="709"/>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地　址：</w:t>
      </w:r>
      <w:r>
        <w:rPr>
          <w:rFonts w:ascii="宋体" w:hAnsi="宋体" w:cs="宋体"/>
          <w:color w:val="000000"/>
          <w:sz w:val="24"/>
          <w:highlight w:val="none"/>
          <w:u w:val="single"/>
        </w:rPr>
        <w:t xml:space="preserve">扬州市文昌东路9号广陵新城市民中心1号楼5楼1530室</w:t>
      </w:r>
      <w:r/>
    </w:p>
    <w:p>
      <w:pPr>
        <w:ind w:left="709"/>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联系人：</w:t>
      </w:r>
      <w:r>
        <w:rPr>
          <w:rFonts w:ascii="宋体" w:hAnsi="宋体" w:cs="宋体"/>
          <w:color w:val="000000"/>
          <w:sz w:val="24"/>
          <w:highlight w:val="none"/>
          <w:u w:val="single"/>
        </w:rPr>
        <w:t xml:space="preserve"> 李想          </w:t>
      </w:r>
      <w:r/>
    </w:p>
    <w:p>
      <w:pPr>
        <w:ind w:left="709"/>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联系方式：</w:t>
      </w:r>
      <w:r>
        <w:rPr>
          <w:rFonts w:ascii="宋体" w:hAnsi="宋体" w:cs="宋体"/>
          <w:color w:val="000000"/>
          <w:sz w:val="24"/>
          <w:highlight w:val="none"/>
          <w:u w:val="single"/>
        </w:rPr>
        <w:t xml:space="preserve">0514-82087118  </w:t>
      </w:r>
      <w:r/>
    </w:p>
    <w:p>
      <w:pPr>
        <w:ind w:firstLine="498"/>
        <w:spacing w:before="145" w:after="145"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八、其他</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cs="宋体"/>
          <w:b/>
          <w:color w:val="000000"/>
          <w:sz w:val="24"/>
          <w:highlight w:val="none"/>
        </w:rPr>
        <w:t xml:space="preserve">具体办理指南和操作手册见链接：http://zfcg.yangzhou.gov.cn/xzzx/art/2023/art_4d7de1f7865f4a2894fc22bc452f94d8.html，请按《操作手册》要求制作、上传电子投标文件。</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领取CA和办理电子签章（请至扬州市文昌东路9号广陵新城市民中心1号楼5楼办理，具体联系方式：18952716110）。</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 有关本次招标的事项若存在变动或修改，敬请及时关注扬州市公共资源交易中心在“江苏政府采购网”、“扬州市政府采购网”发布的更正公告。</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 本次招标不收取投标保证金。</w:t>
      </w:r>
      <w:r/>
    </w:p>
    <w:p>
      <w:pPr>
        <w:ind w:right="84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983"/>
        <w:spacing w:before="480" w:after="200"/>
        <w:rPr>
          <w:highlight w:val="none"/>
        </w:rPr>
        <w:pBdr>
          <w:top w:val="none" w:color="000000" w:sz="0" w:space="0"/>
          <w:left w:val="none" w:color="000000" w:sz="0" w:space="0"/>
          <w:bottom w:val="none" w:color="000000" w:sz="0" w:space="0"/>
          <w:right w:val="none" w:color="000000" w:sz="0" w:space="0"/>
        </w:pBdr>
      </w:pPr>
      <w:r>
        <w:rPr>
          <w:rFonts w:ascii="黑体" w:hAnsi="黑体" w:cs="黑体"/>
          <w:b/>
          <w:color w:val="000000"/>
          <w:highlight w:val="none"/>
        </w:rPr>
        <w:t xml:space="preserve">第二章 投标人须知</w:t>
      </w:r>
      <w:r/>
    </w:p>
    <w:p>
      <w:pPr>
        <w:ind w:firstLine="498"/>
        <w:spacing w:before="145" w:after="145"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一、总则</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none"/>
        </w:rPr>
        <w:t xml:space="preserve">1、招标方式</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 本次招标采取公开招标方式，本招标文件仅适用于招标公告中所述项目。</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none"/>
        </w:rPr>
        <w:t xml:space="preserve">2、合格的投标人</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2.1满足招标公告中供应商的资格要求的规定。</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2.2 满足本文件实质性要求的规定。</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none"/>
        </w:rPr>
        <w:t xml:space="preserve">3、适用法律</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3.1 本次招标及由此产生的合同受中华人民共和国有关的法律法规制约和保护。</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none"/>
        </w:rPr>
        <w:t xml:space="preserve">4、投标费用</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4.1 投标人应自行承担所有与参加投标有关的费用，无论投标过程中的做法和结果如何，扬州市公共资源交易中心（以下简称交易中心）在任何情况下均无义务和责任承担这些费用。</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4.2本次招标交易中心和采购人不收取标书工本费与中标服务费。</w:t>
      </w:r>
      <w:r/>
    </w:p>
    <w:p>
      <w:pPr>
        <w:ind w:firstLine="602"/>
        <w:spacing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highlight w:val="none"/>
        </w:rPr>
        <w:t xml:space="preserve">5、</w:t>
      </w:r>
      <w:r>
        <w:rPr>
          <w:rFonts w:ascii="黑体" w:hAnsi="黑体" w:eastAsia="黑体" w:cs="黑体"/>
          <w:color w:val="000000"/>
          <w:sz w:val="28"/>
          <w:highlight w:val="none"/>
        </w:rPr>
        <w:t xml:space="preserve">招标文件的约束力</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5.1 投标人一旦参加本项目采购活动，即被认为接受了本招标文件的规定和约束。</w:t>
      </w:r>
      <w:r/>
    </w:p>
    <w:p>
      <w:pPr>
        <w:ind w:firstLine="321"/>
        <w:spacing w:before="145" w:after="145"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二、招标文件</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none"/>
        </w:rPr>
        <w:t xml:space="preserve">6、招标文件构成</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6.1 招标文件由以下部分组成：</w:t>
      </w:r>
      <w:r/>
    </w:p>
    <w:p>
      <w:pPr>
        <w:ind w:firstLine="36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（1）投标邀请</w:t>
      </w:r>
      <w:r/>
    </w:p>
    <w:p>
      <w:pPr>
        <w:ind w:firstLine="36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（2）投标人须知</w:t>
      </w:r>
      <w:r/>
    </w:p>
    <w:p>
      <w:pPr>
        <w:ind w:firstLine="36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（3）合同文本</w:t>
      </w:r>
      <w:r/>
    </w:p>
    <w:p>
      <w:pPr>
        <w:ind w:firstLine="36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（4）采购需求</w:t>
      </w:r>
      <w:r/>
    </w:p>
    <w:p>
      <w:pPr>
        <w:ind w:firstLine="36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（5）评标方法与评标标准</w:t>
      </w:r>
      <w:r/>
    </w:p>
    <w:p>
      <w:pPr>
        <w:ind w:firstLine="36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（6）投标文件格式</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请仔细检查招标文件是否齐全，如有缺漏请立即与交易中心联系解决。</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8"/>
          <w:highlight w:val="none"/>
        </w:rPr>
        <w:t xml:space="preserve">7</w:t>
      </w:r>
      <w:r>
        <w:rPr>
          <w:rFonts w:ascii="黑体" w:hAnsi="黑体" w:eastAsia="黑体" w:cs="黑体"/>
          <w:color w:val="000000"/>
          <w:sz w:val="28"/>
          <w:highlight w:val="none"/>
        </w:rPr>
        <w:t xml:space="preserve">、招标文件的修改</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7.1 在投标截止时间前，交易中心可以对招标文件进行修改。</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7.2 交易中心有权按照法定的要求推迟投标截止日期和开标日期。</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7.3 招标文件的修改将在江苏政府采购网、扬州市政府采购网公布，补充文件将作为招标文件的组成部分，并对投标人具有约束力。</w:t>
      </w:r>
      <w:r/>
    </w:p>
    <w:p>
      <w:pPr>
        <w:ind w:firstLine="482"/>
        <w:spacing w:before="145" w:after="145"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三、投标文件的编制</w:t>
      </w:r>
      <w:r/>
    </w:p>
    <w:p>
      <w:pPr>
        <w:ind w:firstLine="560"/>
        <w:spacing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8"/>
          <w:highlight w:val="none"/>
        </w:rPr>
        <w:t xml:space="preserve">8</w:t>
      </w:r>
      <w:r>
        <w:rPr>
          <w:rFonts w:ascii="黑体" w:hAnsi="黑体" w:eastAsia="黑体" w:cs="黑体"/>
          <w:color w:val="000000"/>
          <w:sz w:val="28"/>
          <w:highlight w:val="none"/>
        </w:rPr>
        <w:t xml:space="preserve">、投标文件的语言及度量衡单位</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8.1 投标人提交的投标文件以及投标人与交易中心就有关投标的所有来往通知、函件和文件均应使用</w:t>
      </w:r>
      <w:r>
        <w:rPr>
          <w:rFonts w:ascii="宋体" w:hAnsi="宋体" w:cs="宋体"/>
          <w:b/>
          <w:color w:val="000000"/>
          <w:sz w:val="24"/>
          <w:highlight w:val="none"/>
        </w:rPr>
        <w:t xml:space="preserve">简体中文</w:t>
      </w:r>
      <w:r>
        <w:rPr>
          <w:rFonts w:ascii="宋体" w:hAnsi="宋体" w:cs="宋体"/>
          <w:color w:val="000000"/>
          <w:sz w:val="24"/>
          <w:highlight w:val="none"/>
        </w:rPr>
        <w:t xml:space="preserve">。</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8.2 除技术性能另有规定外，投标文件所使用的度量衡单位，均须采用国家法定计量单位。</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8"/>
          <w:highlight w:val="none"/>
        </w:rPr>
        <w:t xml:space="preserve">9</w:t>
      </w:r>
      <w:r>
        <w:rPr>
          <w:rFonts w:ascii="黑体" w:hAnsi="黑体" w:eastAsia="黑体" w:cs="黑体"/>
          <w:color w:val="000000"/>
          <w:sz w:val="28"/>
          <w:highlight w:val="none"/>
        </w:rPr>
        <w:t xml:space="preserve">、投标文件构成</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9.1 投标人编写的投标文件应包括基本目录、资格审查内容、符合性审查内容、价格扣除证明文件等部分。</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ff0000"/>
          <w:sz w:val="24"/>
          <w:highlight w:val="none"/>
        </w:rPr>
        <w:t xml:space="preserve">9.2 如标书制作工具中格式和内容与“江苏政府采购网、扬州市政府采购网”发布的招标文件不一致，请以“江苏政府采购网、扬州市政府采购网”发布的招标文件为准。</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none"/>
        </w:rPr>
        <w:t xml:space="preserve">1</w:t>
      </w:r>
      <w:r>
        <w:rPr>
          <w:rFonts w:ascii="Arial" w:hAnsi="Arial" w:eastAsia="Arial" w:cs="Arial"/>
          <w:color w:val="000000"/>
          <w:sz w:val="28"/>
          <w:highlight w:val="none"/>
        </w:rPr>
        <w:t xml:space="preserve">0</w:t>
      </w:r>
      <w:r>
        <w:rPr>
          <w:rFonts w:ascii="黑体" w:hAnsi="黑体" w:eastAsia="黑体" w:cs="黑体"/>
          <w:color w:val="000000"/>
          <w:sz w:val="28"/>
          <w:highlight w:val="none"/>
        </w:rPr>
        <w:t xml:space="preserve">、证明投标人及投标标的符合招标文件规定的文件</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10.1 投标人应按照招标文件要求提交证明文件，证明其投标标的符合招标文件规定。</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10.2招标文件对证明文件无明确形式要求的，证明文件可以以文字资料、图纸和数据等形式提交。</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none"/>
        </w:rPr>
        <w:t xml:space="preserve">1</w:t>
      </w:r>
      <w:r>
        <w:rPr>
          <w:rFonts w:ascii="Arial" w:hAnsi="Arial" w:eastAsia="Arial" w:cs="Arial"/>
          <w:color w:val="000000"/>
          <w:sz w:val="28"/>
          <w:highlight w:val="none"/>
        </w:rPr>
        <w:t xml:space="preserve">1</w:t>
      </w:r>
      <w:r>
        <w:rPr>
          <w:rFonts w:ascii="黑体" w:hAnsi="黑体" w:eastAsia="黑体" w:cs="黑体"/>
          <w:color w:val="000000"/>
          <w:sz w:val="28"/>
          <w:highlight w:val="none"/>
        </w:rPr>
        <w:t xml:space="preserve">、投标分项报价表</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11.1 投标人按照招标文件规定格式填报投标分项报价表。</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11.2投标货币。投标文件中的单价和总价无特殊规定的采用人民币报价，以元为单位标注。招标文件中另有规定的按规定执行。</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none"/>
        </w:rPr>
        <w:t xml:space="preserve">1</w:t>
      </w:r>
      <w:r>
        <w:rPr>
          <w:rFonts w:ascii="Arial" w:hAnsi="Arial" w:eastAsia="Arial" w:cs="Arial"/>
          <w:color w:val="000000"/>
          <w:sz w:val="28"/>
          <w:highlight w:val="none"/>
        </w:rPr>
        <w:t xml:space="preserve">2</w:t>
      </w:r>
      <w:r>
        <w:rPr>
          <w:rFonts w:ascii="黑体" w:hAnsi="黑体" w:eastAsia="黑体" w:cs="黑体"/>
          <w:color w:val="000000"/>
          <w:sz w:val="28"/>
          <w:highlight w:val="none"/>
        </w:rPr>
        <w:t xml:space="preserve">、技术要求响应及偏离表、商务要求响应及偏离表</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12.1 投标人需对招标文件中的技术要求与商务要求逐项作出响应或偏离，并说明原因。</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12.2 投标人需按照招标文件要求，在投标文件中提供与技术要求和商务要求相关的证明材料。</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none"/>
        </w:rPr>
        <w:t xml:space="preserve">1</w:t>
      </w:r>
      <w:r>
        <w:rPr>
          <w:rFonts w:ascii="Arial" w:hAnsi="Arial" w:eastAsia="Arial" w:cs="Arial"/>
          <w:color w:val="000000"/>
          <w:sz w:val="28"/>
          <w:highlight w:val="none"/>
        </w:rPr>
        <w:t xml:space="preserve">3</w:t>
      </w:r>
      <w:r>
        <w:rPr>
          <w:rFonts w:ascii="黑体" w:hAnsi="黑体" w:eastAsia="黑体" w:cs="黑体"/>
          <w:color w:val="000000"/>
          <w:sz w:val="28"/>
          <w:highlight w:val="none"/>
        </w:rPr>
        <w:t xml:space="preserve">、投标函和开标一览表</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13.1 投标人应按照招标文件中提供的格式完整、正确填写投标函、开标一览表。</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13.2 对于采用货币报价的项目，开标一览表中的投标总报价应与投标分项报价表中的投标总报价一致，如不一致，不作为无效投标处理，但评标时按开标一览表中价格为准</w:t>
      </w:r>
      <w:r>
        <w:rPr>
          <w:rFonts w:ascii="宋体" w:hAnsi="宋体" w:cs="宋体"/>
          <w:b/>
          <w:color w:val="000000"/>
          <w:sz w:val="24"/>
          <w:highlight w:val="none"/>
        </w:rPr>
        <w:t xml:space="preserve">。</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none"/>
        </w:rPr>
        <w:t xml:space="preserve">1</w:t>
      </w:r>
      <w:r>
        <w:rPr>
          <w:rFonts w:ascii="Arial" w:hAnsi="Arial" w:eastAsia="Arial" w:cs="Arial"/>
          <w:color w:val="000000"/>
          <w:sz w:val="28"/>
          <w:highlight w:val="none"/>
        </w:rPr>
        <w:t xml:space="preserve">4</w:t>
      </w:r>
      <w:r>
        <w:rPr>
          <w:rFonts w:ascii="黑体" w:hAnsi="黑体" w:eastAsia="黑体" w:cs="黑体"/>
          <w:color w:val="000000"/>
          <w:sz w:val="28"/>
          <w:highlight w:val="none"/>
        </w:rPr>
        <w:t xml:space="preserve">、投标有效期</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14.1 投标有效期为交易中心规定的开标之日后</w:t>
      </w:r>
      <w:r>
        <w:rPr>
          <w:rFonts w:ascii="宋体" w:hAnsi="宋体" w:cs="宋体"/>
          <w:b/>
          <w:color w:val="000000"/>
          <w:sz w:val="24"/>
          <w:highlight w:val="none"/>
          <w:u w:val="single"/>
        </w:rPr>
        <w:t xml:space="preserve">六十（60）天</w:t>
      </w:r>
      <w:r>
        <w:rPr>
          <w:rFonts w:ascii="宋体" w:hAnsi="宋体" w:cs="宋体"/>
          <w:color w:val="000000"/>
          <w:sz w:val="24"/>
          <w:highlight w:val="none"/>
        </w:rPr>
        <w:t xml:space="preserve">。投标有效期比规定短的将被视为未实质性响应招标文件而予以拒绝。</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none"/>
        </w:rPr>
        <w:t xml:space="preserve">1</w:t>
      </w:r>
      <w:r>
        <w:rPr>
          <w:rFonts w:ascii="Arial" w:hAnsi="Arial" w:eastAsia="Arial" w:cs="Arial"/>
          <w:color w:val="000000"/>
          <w:sz w:val="28"/>
          <w:highlight w:val="none"/>
        </w:rPr>
        <w:t xml:space="preserve">5</w:t>
      </w:r>
      <w:r>
        <w:rPr>
          <w:rFonts w:ascii="黑体" w:hAnsi="黑体" w:eastAsia="黑体" w:cs="黑体"/>
          <w:color w:val="000000"/>
          <w:sz w:val="28"/>
          <w:highlight w:val="none"/>
        </w:rPr>
        <w:t xml:space="preserve">、投标有效期的延长</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firstLine="482"/>
        <w:spacing w:before="145" w:after="145"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四、投标文件的递交</w:t>
      </w:r>
      <w:r/>
    </w:p>
    <w:p>
      <w:pPr>
        <w:ind w:firstLine="560"/>
        <w:spacing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none"/>
        </w:rPr>
        <w:t xml:space="preserve">1</w:t>
      </w:r>
      <w:r>
        <w:rPr>
          <w:rFonts w:ascii="Arial" w:hAnsi="Arial" w:eastAsia="Arial" w:cs="Arial"/>
          <w:color w:val="000000"/>
          <w:sz w:val="28"/>
          <w:highlight w:val="none"/>
        </w:rPr>
        <w:t xml:space="preserve">6</w:t>
      </w:r>
      <w:r>
        <w:rPr>
          <w:rFonts w:ascii="黑体" w:hAnsi="黑体" w:eastAsia="黑体" w:cs="黑体"/>
          <w:color w:val="000000"/>
          <w:sz w:val="28"/>
          <w:highlight w:val="none"/>
        </w:rPr>
        <w:t xml:space="preserve">、电子投标文件的递交</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 投标人应当按照《操作手册》规定，在投标截止时间前制作并上传电子投标文件。</w:t>
      </w:r>
      <w:r/>
    </w:p>
    <w:p>
      <w:pPr>
        <w:ind w:firstLine="42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none"/>
        </w:rPr>
        <w:t xml:space="preserve">1</w:t>
      </w:r>
      <w:r>
        <w:rPr>
          <w:rFonts w:ascii="Arial" w:hAnsi="Arial" w:eastAsia="Arial" w:cs="Arial"/>
          <w:color w:val="000000"/>
          <w:sz w:val="28"/>
          <w:highlight w:val="none"/>
        </w:rPr>
        <w:t xml:space="preserve">7</w:t>
      </w:r>
      <w:r>
        <w:rPr>
          <w:rFonts w:ascii="黑体" w:hAnsi="黑体" w:eastAsia="黑体" w:cs="黑体"/>
          <w:color w:val="000000"/>
          <w:sz w:val="28"/>
          <w:highlight w:val="none"/>
        </w:rPr>
        <w:t xml:space="preserve">、投标截止时间</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17.1 投标人上传电子投标文件的时间不得迟于招标公告中规定的投标截止时间。</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17.2 交易中心可以按照规定，通过修改招标文件酌情延长投标截止时间，在此情况下，投标人的所有权利和义务以及投标人受制的截止时间均应以延长后新的截止时间为准。</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none"/>
        </w:rPr>
        <w:t xml:space="preserve">1</w:t>
      </w:r>
      <w:r>
        <w:rPr>
          <w:rFonts w:ascii="Arial" w:hAnsi="Arial" w:eastAsia="Arial" w:cs="Arial"/>
          <w:color w:val="000000"/>
          <w:sz w:val="28"/>
          <w:highlight w:val="none"/>
        </w:rPr>
        <w:t xml:space="preserve">8</w:t>
      </w:r>
      <w:r>
        <w:rPr>
          <w:rFonts w:ascii="黑体" w:hAnsi="黑体" w:eastAsia="黑体" w:cs="黑体"/>
          <w:color w:val="000000"/>
          <w:sz w:val="28"/>
          <w:highlight w:val="none"/>
        </w:rPr>
        <w:t xml:space="preserve">、投标文件的拒收</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18.1交易中心拒绝接收在其规定的投标截止时间后上传的任何投标文件。</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8"/>
          <w:highlight w:val="none"/>
        </w:rPr>
        <w:t xml:space="preserve">19</w:t>
      </w:r>
      <w:r>
        <w:rPr>
          <w:rFonts w:ascii="黑体" w:hAnsi="黑体" w:eastAsia="黑体" w:cs="黑体"/>
          <w:color w:val="000000"/>
          <w:sz w:val="28"/>
          <w:highlight w:val="none"/>
        </w:rPr>
        <w:t xml:space="preserve">、投标文件的撤回和修改</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19.1 投标文件的撤回</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19.1.1 电子投标文件的撤回</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投标人可在投标截止时间前，撤回其电子投标文件，具体操作方法见《操作手册》。</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19.1.2 投标人撤回电子投标文件，则认为其不再参与本项目投标活动。</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19.2 投标文件的修改</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19.2.1投标人可在投标截止时间前，对其电子投标文件进行修改，具体操作方法见《操作手册》。</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19.2.2 在投标截止时间之后，投标人不得对其电子投标文件作任何修改。</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19.3 在投标截止时间至招标文件中规定的投标有效期满之间的这段时间内，投标人不得撤回其投标。</w:t>
      </w:r>
      <w:r/>
    </w:p>
    <w:p>
      <w:pPr>
        <w:ind w:firstLine="482"/>
        <w:spacing w:before="145" w:after="145"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五、开标与评标</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none"/>
        </w:rPr>
        <w:t xml:space="preserve">2</w:t>
      </w:r>
      <w:r>
        <w:rPr>
          <w:rFonts w:ascii="Arial" w:hAnsi="Arial" w:eastAsia="Arial" w:cs="Arial"/>
          <w:color w:val="000000"/>
          <w:sz w:val="28"/>
          <w:highlight w:val="none"/>
        </w:rPr>
        <w:t xml:space="preserve">0</w:t>
      </w:r>
      <w:r>
        <w:rPr>
          <w:rFonts w:ascii="黑体" w:hAnsi="黑体" w:eastAsia="黑体" w:cs="黑体"/>
          <w:color w:val="000000"/>
          <w:sz w:val="28"/>
          <w:highlight w:val="none"/>
        </w:rPr>
        <w:t xml:space="preserve">、开标</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20.1 交易中心将在招标公告中规定的时间和地点组织公开开标。投标人应当按照《操作手册》规定，参加开标活动和在苏采云系统规定的时间内对投标文件进行解密。</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20.2开标仪式由交易中心组织。苏采云系统将自动对项目进行开标，并展示各投标人名称和投标价格。</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20.3投标人在开标过程中涉及到的投标文件解密、开标结果确认等工作，应按照《操作手册》规定执行。</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20.4投标人如果对开标过程和开标记录有疑义，应当根据《操作手册》规定提出，如苏采云系统中《开标记录表》宣布后5分钟内未提出的，视同认可开标结果。</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none"/>
        </w:rPr>
        <w:t xml:space="preserve">2</w:t>
      </w:r>
      <w:r>
        <w:rPr>
          <w:rFonts w:ascii="Arial" w:hAnsi="Arial" w:eastAsia="Arial" w:cs="Arial"/>
          <w:color w:val="000000"/>
          <w:sz w:val="28"/>
          <w:highlight w:val="none"/>
        </w:rPr>
        <w:t xml:space="preserve">1</w:t>
      </w:r>
      <w:r>
        <w:rPr>
          <w:rFonts w:ascii="黑体" w:hAnsi="黑体" w:eastAsia="黑体" w:cs="黑体"/>
          <w:color w:val="000000"/>
          <w:sz w:val="28"/>
          <w:highlight w:val="none"/>
        </w:rPr>
        <w:t xml:space="preserve">、评标委员会</w:t>
      </w:r>
      <w:r/>
    </w:p>
    <w:p>
      <w:pPr>
        <w:spacing w:line="400"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21.1开标后，交易中心将立即组织评标委员会（以下简称评委会）进行评标。</w:t>
      </w:r>
      <w:r/>
    </w:p>
    <w:p>
      <w:pPr>
        <w:spacing w:line="400"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21.2评委会由采购人代表和有关技术、经济等方面的专家组成，且人员构成符合政府采购有关规定。</w:t>
      </w:r>
      <w:r/>
    </w:p>
    <w:p>
      <w:pPr>
        <w:ind w:firstLine="480"/>
        <w:spacing w:line="400"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21.3评委会独立工作，负责评审所有投标文件并确定中标候选人。</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none"/>
        </w:rPr>
        <w:t xml:space="preserve">22、评标过程的保密与公正</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22.1凡是与审查、澄清、评价和比较投标的有关资料以及授标建议等，采购人、评委、交易中心均不得向投标人或与评标无关的其他人员透露。</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22.2在评标过程中，投标人不得以任何行为影响评标过程，否则其投标文件将被作为无效投标文件。</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22.3 交易中心和评委会不向未中标的投标人解释未中标原因，也不公布评标过程中的相关细节。</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22.4 采用综合评分法的项目，未中标的投标人可于中标结果公告期限届满之日起通过苏采云系统查看自己的评审得分及排序情况。</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none"/>
        </w:rPr>
        <w:t xml:space="preserve">2</w:t>
      </w:r>
      <w:r>
        <w:rPr>
          <w:rFonts w:ascii="Arial" w:hAnsi="Arial" w:eastAsia="Arial" w:cs="Arial"/>
          <w:color w:val="000000"/>
          <w:sz w:val="28"/>
          <w:highlight w:val="none"/>
        </w:rPr>
        <w:t xml:space="preserve">3</w:t>
      </w:r>
      <w:r>
        <w:rPr>
          <w:rFonts w:ascii="黑体" w:hAnsi="黑体" w:eastAsia="黑体" w:cs="黑体"/>
          <w:color w:val="000000"/>
          <w:sz w:val="28"/>
          <w:highlight w:val="none"/>
        </w:rPr>
        <w:t xml:space="preserve">、投标文件的澄清</w:t>
      </w:r>
      <w:r/>
    </w:p>
    <w:p>
      <w:pPr>
        <w:ind w:firstLine="480"/>
        <w:spacing w:line="400"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23.1评标期间，评委会对投标文件中含义不明确、同类问题表述不一致或者有明显文字和计算错误的内容，有权要求投标人作出必要的澄清、说明或者补正。</w:t>
      </w:r>
      <w:r/>
    </w:p>
    <w:p>
      <w:pPr>
        <w:ind w:firstLine="480"/>
        <w:spacing w:line="400"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投标人的澄清、说明或者补正不得超出投标文件的范围或者改变投标文件的实质性内容。</w:t>
      </w:r>
      <w:r/>
    </w:p>
    <w:p>
      <w:pPr>
        <w:ind w:firstLine="480"/>
        <w:spacing w:line="400"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评委会并非对每个投标人都做澄清要求。</w:t>
      </w:r>
      <w:r/>
    </w:p>
    <w:p>
      <w:pPr>
        <w:ind w:firstLine="480"/>
        <w:spacing w:line="400"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23.3接到评委会澄清、说明和补正要求的投标人如未按规定做出澄清、说明和补正，其风险由投标人自行承担。</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none"/>
        </w:rPr>
        <w:t xml:space="preserve">2</w:t>
      </w:r>
      <w:r>
        <w:rPr>
          <w:rFonts w:ascii="Arial" w:hAnsi="Arial" w:eastAsia="Arial" w:cs="Arial"/>
          <w:color w:val="000000"/>
          <w:sz w:val="28"/>
          <w:highlight w:val="none"/>
        </w:rPr>
        <w:t xml:space="preserve">4</w:t>
      </w:r>
      <w:r>
        <w:rPr>
          <w:rFonts w:ascii="黑体" w:hAnsi="黑体" w:eastAsia="黑体" w:cs="黑体"/>
          <w:color w:val="000000"/>
          <w:sz w:val="28"/>
          <w:highlight w:val="none"/>
        </w:rPr>
        <w:t xml:space="preserve">、对投标文件的初审</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24.1投标文件初审分为资格审查和符合性审查。</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24.1.3 未通过资格审查或符合性审查的投标人，交易中心将在苏采云系统中告知未通过资格审查或符合性审查的原因，评审结束后，交易中心将不再告知未通过资格审查或符合性审查的原因。</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24.4评委会将对确定为实质性响应的投标进行进一步审核，是否有计算上或累加上的算术错误，修正错误的原则如下：</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（1）投标文件中开标一览表内容与投标文件中相应内容不一致的，以开标一览表为准。</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（2）大写金额和小写金额不一致的，以大写金额为准。</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（3）单价金额小数点或者百分比有明显错位的，以开标一览表的总价为准，并修改单价。</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（4）总价金额与按单价汇总金额不一致的，以单价金额计算结果为准。</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同时出现两种以上错误的，按照前款规定的顺序修正。</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24.6投标人在开、评标全过程中应保持通讯畅通，及时登录苏采云系统查阅、答复相关信息，并安排专人与交易中心及评委会联系。</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none"/>
        </w:rPr>
        <w:t xml:space="preserve">2</w:t>
      </w:r>
      <w:r>
        <w:rPr>
          <w:rFonts w:ascii="Arial" w:hAnsi="Arial" w:eastAsia="Arial" w:cs="Arial"/>
          <w:color w:val="000000"/>
          <w:sz w:val="28"/>
          <w:highlight w:val="none"/>
        </w:rPr>
        <w:t xml:space="preserve">5</w:t>
      </w:r>
      <w:r>
        <w:rPr>
          <w:rFonts w:ascii="黑体" w:hAnsi="黑体" w:eastAsia="黑体" w:cs="黑体"/>
          <w:color w:val="000000"/>
          <w:sz w:val="28"/>
          <w:highlight w:val="none"/>
        </w:rPr>
        <w:t xml:space="preserve">、无效投标条款和废标条款</w:t>
      </w:r>
      <w:r/>
    </w:p>
    <w:p>
      <w:pPr>
        <w:ind w:left="479"/>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25.1无效投标条款</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25.1.1 投标人在苏采云系统规定的时间内未成功解密电子投标文件的。</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25.1.2 投标人未按照招标文件要求上传电子投标文件的。</w:t>
      </w:r>
      <w:r/>
    </w:p>
    <w:p>
      <w:pPr>
        <w:ind w:left="479"/>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25.1.3 投标人同一采购包提交两个（含两个）以上不同的投标报价的。</w:t>
      </w:r>
      <w:r/>
    </w:p>
    <w:p>
      <w:pPr>
        <w:ind w:left="479"/>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25.1.4投标人不具备招标文件中规定资格要求的。</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25.1.5投标人的报价超过了采购预算或最高限价的。</w:t>
      </w:r>
      <w:r/>
    </w:p>
    <w:p>
      <w:pPr>
        <w:ind w:firstLine="480"/>
        <w:spacing w:line="400"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25.1.6未通过符合性审查的。</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25.1.7不符合招标文件中规定的实质性要求的（本招标文件中斜体且有下划线部分为实质性要求）</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25.1.9 投标文件含有采购人不能接受的附加条件的。</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25.1.10 异常低价投标（响应）</w:t>
      </w:r>
      <w:r/>
    </w:p>
    <w:p>
      <w:pPr>
        <w:ind w:firstLine="480"/>
        <w:spacing w:line="479"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25.1.10.1</w:t>
      </w:r>
      <w:r>
        <w:rPr>
          <w:rFonts w:ascii="宋体" w:hAnsi="宋体" w:cs="宋体"/>
          <w:color w:val="383838"/>
          <w:sz w:val="24"/>
          <w:highlight w:val="none"/>
        </w:rPr>
        <w:t xml:space="preserve">投标（响应）报价低于全部通过符合性审查供应商投标（响应）报价平均值50%的，即投标（响应）报价&lt;全部通过符合性审查供应商投标（响应）报价平均值×50%；</w:t>
      </w:r>
      <w:r/>
    </w:p>
    <w:p>
      <w:pPr>
        <w:ind w:firstLine="480"/>
        <w:spacing w:line="479"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25.1.10.2</w:t>
      </w:r>
      <w:r>
        <w:rPr>
          <w:rFonts w:ascii="宋体" w:hAnsi="宋体" w:cs="宋体"/>
          <w:color w:val="383838"/>
          <w:sz w:val="24"/>
          <w:highlight w:val="none"/>
        </w:rPr>
        <w:t xml:space="preserve">投标（响应）报价低于通过符合性审查的次低报价供应商投标（响应）报价50%的，即投标（响应）报价&lt;通过符合性审查的次低报价供应商投标（响应）报价×50%；</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25.1.10.3投标（响应）报价低于采购项目最高限价 45% 的，即投标（响应）报价&lt;采购项目最高限价×45% ；</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25.1.10.4评审委员会认定的供应商报价过低、有可能影响产品质量或者不能诚信履约的其他情形。</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25.1.10.5</w:t>
      </w:r>
      <w:r>
        <w:rPr>
          <w:rFonts w:ascii="宋体" w:hAnsi="宋体" w:cs="宋体"/>
          <w:color w:val="383838"/>
          <w:sz w:val="24"/>
          <w:highlight w:val="none"/>
        </w:rPr>
        <w:t xml:space="preserve">评审委员会启动异常低价投标（响应）审查后，属于前述第1项至第4项情形的，应当要求相关供应商在评审现场合理的时间内</w:t>
      </w:r>
      <w:r>
        <w:rPr>
          <w:rFonts w:ascii="宋体" w:hAnsi="宋体" w:cs="宋体"/>
          <w:color w:val="ff0000"/>
          <w:sz w:val="24"/>
          <w:highlight w:val="none"/>
        </w:rPr>
        <w:t xml:space="preserve">对投标（响应）价格作出解释，提供项目具体成本测算等与报价合理性相关的书面说明及必要的证明材料，包括但不限于原材料成本、人工成本、制造费用等，</w:t>
      </w:r>
      <w:r>
        <w:rPr>
          <w:rFonts w:ascii="宋体" w:hAnsi="宋体" w:cs="宋体"/>
          <w:color w:val="383838"/>
          <w:sz w:val="24"/>
          <w:highlight w:val="none"/>
        </w:rPr>
        <w:t xml:space="preserve">给予相关供应商的合理时间一般</w:t>
      </w:r>
      <w:r>
        <w:rPr>
          <w:rFonts w:ascii="宋体" w:hAnsi="宋体" w:cs="宋体"/>
          <w:color w:val="ff0000"/>
          <w:sz w:val="24"/>
          <w:highlight w:val="none"/>
        </w:rPr>
        <w:t xml:space="preserve">不少于30分钟</w:t>
      </w:r>
      <w:r>
        <w:rPr>
          <w:rFonts w:ascii="宋体" w:hAnsi="宋体" w:cs="宋体"/>
          <w:color w:val="383838"/>
          <w:sz w:val="24"/>
          <w:highlight w:val="none"/>
        </w:rPr>
        <w:t xml:space="preserve">。其中，属于第3项情形，供应商已随投标（响应）文件一并提交相关书面说明及必要的证明材料的，在评审现场可不再重复提交。</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383838"/>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ff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25.1.11 投标文件未按照招标文件要求加盖CA电子公章的。</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25.1.12其他法律、法规及本招标文件规定的属无效投标的情形。</w:t>
      </w:r>
      <w:r/>
    </w:p>
    <w:p>
      <w:pPr>
        <w:ind w:left="479"/>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25.2废标条款</w:t>
      </w:r>
      <w:r/>
    </w:p>
    <w:p>
      <w:pPr>
        <w:ind w:left="479"/>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25.2.1符合专业条件的供应商或者对招标文件作实质响应的供应商不足三家的。</w:t>
      </w:r>
      <w:r/>
    </w:p>
    <w:p>
      <w:pPr>
        <w:ind w:left="479"/>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25.2.2出现影响采购公正的违法、违规行为的。</w:t>
      </w:r>
      <w:r/>
    </w:p>
    <w:p>
      <w:pPr>
        <w:ind w:left="479"/>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25.2.3因重大变故，采购任务取消的。</w:t>
      </w:r>
      <w:r/>
    </w:p>
    <w:p>
      <w:pPr>
        <w:ind w:left="479"/>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25.2.4评委会认定招标文件存在歧义、重大缺陷导致评审工作无法进行。</w:t>
      </w:r>
      <w:r/>
    </w:p>
    <w:p>
      <w:pPr>
        <w:ind w:left="479"/>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25.2.5 因苏采云系统系统故障原因造成开标不成功的。</w:t>
      </w:r>
      <w:r/>
    </w:p>
    <w:p>
      <w:pPr>
        <w:ind w:left="479"/>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25.3 投标截止时间结束后参加投标的供应商不足三家的处理：</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25.3.1如出现投标截止时间结束后参加投标的供应商或者在评标期间对招标文件做出实质响应的供应商不足三家情况，按政府采购相关规定执行。</w:t>
      </w:r>
      <w:r/>
    </w:p>
    <w:p>
      <w:pPr>
        <w:ind w:firstLine="482"/>
        <w:spacing w:before="145" w:after="145"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六、定标</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highlight w:val="none"/>
        </w:rPr>
        <w:t xml:space="preserve">   26、确定中标单位</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26.1中标候选人的选取原则和数量见招标文件第五章规定。 </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26.2 采购人应根据评委会推荐的中标候选人确定中标供应商。</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26.3 交易中心将在“江苏政府采购网、扬州市政府采购网”发布中标公告，公告期限为1个工作日。</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26.4  若有充分证据证明，中标供应商出现下列情况之一的，一经查实，将被取消中标资格：</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26.4.1提供虚假材料谋取中标的。</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26.4.2向采购人、交易中心行贿或者提供其他不正当利益的。</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26.4.3属于本文件规定的无效条件，但在评标过程中又未被评委会发现的。</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26.4.4与采购人或者其他供应商恶意串通的。</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26.4.5采取不正当手段诋毁、排挤其他供应商的。</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26.5 有下列情形之一的，视为投标人串通投标，投标无效：</w:t>
      </w:r>
      <w:r/>
    </w:p>
    <w:p>
      <w:pPr>
        <w:ind w:firstLine="480"/>
        <w:spacing w:line="400"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26.5.1不同投标人的投标文件由同一单位或者个人编制。</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ff0000"/>
          <w:sz w:val="24"/>
          <w:highlight w:val="none"/>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26.5.2不同投标人委托同一单位或者个人办理投标事宜。</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26.5.3 不同投标人的投标文件载明的项目管理成员或者联系人员为同一人。</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26.5.4不同投标人的投标文件异常一致或者投标报价呈规律性差异。</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highlight w:val="none"/>
        </w:rPr>
        <w:t xml:space="preserve">   27、质疑处理</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27.1 提出质疑的供应商应当是参与所质疑项目采购活动的供应商。潜在供应商依法获取其可质疑的采购文件的，可以对采购文件提出质疑。</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27.2.1对可以质疑的采购文件提出质疑的，为收到采购文件之日或者采购文件公告期限届满之日；</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27.2.2对采购过程提出质疑的，为各采购程序环节结束之日；</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27.2.3对中标或者成交结果提出质疑的，为中标或者成交结果公告期限届满之日。</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采购人及交易中心只接收以纸质原件形式送达的质疑,建议供应商尽量通过邮寄方式提交质疑（采购人和交易中心不接受无快递运单号的快递）。</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质疑接收人及联系方式见招标文件第一章。</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27.5 以下情形的质疑不予受理</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27.5.1 内容不符合《政府采购质疑和投诉办法》第十二条规定的质疑。</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27.5.2 超出政府采购法定期限的质疑。</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27.5.3 以传真、电子邮件等方式递交的非原件形式的质疑。</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27.5.4未参加投标活动的供应商或在投标活动中自身权益未受到损害的供应商所提出的质疑。</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27.5.5供应商组成联合体参加投标，联合体中任何一方或多方未按要求签字、盖章、加盖公章的质疑。</w:t>
      </w:r>
      <w:r/>
    </w:p>
    <w:p>
      <w:pPr>
        <w:ind w:firstLine="468"/>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spacing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highlight w:val="none"/>
        </w:rPr>
        <w:t xml:space="preserve">28、中标通知书</w:t>
      </w:r>
      <w:r/>
    </w:p>
    <w:p>
      <w:pPr>
        <w:ind w:firstLine="60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28.2中标通知书将是合同的一个组成部分。对采购人和中标供应商均具有法律效力。中标通知书发出后，采购人改变中标结果的，或者中标供应商放弃中标项目的，应当依法承担法律责任。</w:t>
      </w:r>
      <w:r/>
    </w:p>
    <w:p>
      <w:pPr>
        <w:spacing w:before="145" w:after="145"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七、授予合同</w:t>
      </w:r>
      <w:r/>
    </w:p>
    <w:p>
      <w:pPr>
        <w:ind w:firstLine="600"/>
        <w:spacing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highlight w:val="none"/>
        </w:rPr>
        <w:t xml:space="preserve">29、签订合同</w:t>
      </w:r>
      <w:r/>
    </w:p>
    <w:p>
      <w:pPr>
        <w:ind w:firstLine="60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29.l中标供应商应当在中标通知书发出之日起三十日内，按照招标文件确定的事项与采购人签订政府采购合同。</w:t>
      </w:r>
      <w:r/>
    </w:p>
    <w:p>
      <w:pPr>
        <w:ind w:firstLine="60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29.2招标文件、中标供应商的投标文件及招标过程中有关澄清、承诺文件均应作为合同附件。</w:t>
      </w:r>
      <w:r/>
    </w:p>
    <w:p>
      <w:pPr>
        <w:ind w:firstLine="60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spacing w:line="400" w:lineRule="atLeast"/>
        <w:rPr>
          <w:rFonts w:ascii="黑体" w:hAnsi="黑体" w:eastAsia="黑体" w:cs="黑体"/>
          <w:color w:val="000000"/>
          <w:sz w:val="30"/>
          <w:szCs w:val="3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highlight w:val="none"/>
        </w:rPr>
        <w:t xml:space="preserve">30、政府采购履约资金扶持政策</w:t>
      </w:r>
      <w:r/>
    </w:p>
    <w:p>
      <w:pPr>
        <w:ind w:firstLine="60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中标供应商可凭政府采购合同办理融资贷款，详情请见江苏政府采购网“政采贷”专栏。</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jc w:val="left"/>
        <w:widowControl/>
        <w:rPr>
          <w:highlight w:val="none"/>
        </w:rPr>
      </w:pPr>
      <w:r>
        <w:rPr>
          <w:highlight w:val="none"/>
        </w:rPr>
        <w:br w:type="page" w:clear="all"/>
      </w:r>
      <w:r/>
    </w:p>
    <w:p>
      <w:pPr>
        <w:rPr>
          <w:highlight w:val="none"/>
        </w:rPr>
        <w:pBdr>
          <w:top w:val="none" w:color="000000" w:sz="0" w:space="0"/>
          <w:left w:val="none" w:color="000000" w:sz="0" w:space="0"/>
          <w:bottom w:val="none" w:color="000000" w:sz="0" w:space="0"/>
          <w:right w:val="none" w:color="000000" w:sz="0" w:space="0"/>
        </w:pBdr>
      </w:pPr>
      <w:r>
        <w:rPr>
          <w:highlight w:val="none"/>
        </w:rPr>
      </w:r>
      <w:r/>
    </w:p>
    <w:p>
      <w:pPr>
        <w:pStyle w:val="983"/>
        <w:spacing w:before="480" w:after="200"/>
        <w:rPr>
          <w:highlight w:val="none"/>
        </w:rPr>
        <w:pBdr>
          <w:top w:val="none" w:color="000000" w:sz="0" w:space="0"/>
          <w:left w:val="none" w:color="000000" w:sz="0" w:space="0"/>
          <w:bottom w:val="none" w:color="000000" w:sz="0" w:space="0"/>
          <w:right w:val="none" w:color="000000" w:sz="0" w:space="0"/>
        </w:pBdr>
      </w:pPr>
      <w:r>
        <w:rPr>
          <w:rFonts w:ascii="黑体" w:hAnsi="黑体" w:cs="黑体"/>
          <w:b/>
          <w:color w:val="000000"/>
          <w:highlight w:val="none"/>
        </w:rPr>
        <w:t xml:space="preserve">第三章 合同文本</w:t>
      </w:r>
      <w:r/>
    </w:p>
    <w:p>
      <w:pPr>
        <w:jc w:val="center"/>
        <w:spacing w:before="145" w:after="145"/>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0"/>
          <w:highlight w:val="none"/>
        </w:rPr>
        <w:t xml:space="preserve">江苏省政府采购合同（服务）（合同编号）</w:t>
      </w:r>
      <w:r/>
    </w:p>
    <w:p>
      <w:pPr>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项目名称：*****                   </w:t>
      </w:r>
      <w:r/>
    </w:p>
    <w:p>
      <w:pPr>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项目编号：*****             </w:t>
      </w:r>
      <w:r/>
    </w:p>
    <w:p>
      <w:pPr>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采购包号：*****</w:t>
      </w:r>
      <w:r/>
    </w:p>
    <w:p>
      <w:pPr>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甲方：（买方/采购人）_________</w:t>
      </w:r>
      <w:r/>
    </w:p>
    <w:p>
      <w:pPr>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乙方：（卖方/中标供应商）_________</w:t>
      </w:r>
      <w:r/>
    </w:p>
    <w:p>
      <w:pPr>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rFonts w:ascii="宋体" w:hAnsi="宋体" w:cs="宋体"/>
          <w:color w:val="000000"/>
          <w:sz w:val="24"/>
          <w:highlight w:val="none"/>
        </w:rPr>
        <w:t xml:space="preserve">甲、乙双方根据扬州市公共资源交易中心</w:t>
      </w:r>
      <w:r>
        <w:rPr>
          <w:rFonts w:ascii="宋体" w:hAnsi="宋体" w:cs="宋体"/>
          <w:color w:val="000000"/>
          <w:sz w:val="24"/>
          <w:highlight w:val="none"/>
          <w:u w:val="single"/>
        </w:rPr>
        <w:t xml:space="preserve">         </w:t>
      </w:r>
      <w:r>
        <w:rPr>
          <w:rFonts w:ascii="宋体" w:hAnsi="宋体" w:cs="宋体"/>
          <w:color w:val="000000"/>
          <w:sz w:val="24"/>
          <w:highlight w:val="none"/>
        </w:rPr>
        <w:t xml:space="preserve">项目公开招标的结果，签署本合同。</w:t>
      </w:r>
      <w:r/>
    </w:p>
    <w:p>
      <w:pPr>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一、合同内容</w:t>
      </w:r>
      <w:r/>
    </w:p>
    <w:p>
      <w:pPr>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 标的名称：</w:t>
      </w:r>
      <w:r/>
    </w:p>
    <w:p>
      <w:pPr>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1.2标的质量：</w:t>
      </w:r>
      <w:r/>
    </w:p>
    <w:p>
      <w:pPr>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1.3 标的数量（规模）：</w:t>
      </w:r>
      <w:r/>
    </w:p>
    <w:p>
      <w:pPr>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 履行时间（期限）：</w:t>
      </w:r>
      <w:r/>
    </w:p>
    <w:p>
      <w:pPr>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 履行地点：</w:t>
      </w:r>
      <w:r/>
    </w:p>
    <w:p>
      <w:pPr>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 履行方式：</w:t>
      </w:r>
      <w:r/>
    </w:p>
    <w:p>
      <w:pPr>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二、合同金额</w:t>
      </w:r>
      <w:r/>
    </w:p>
    <w:p>
      <w:pPr>
        <w:ind w:left="410" w:hanging="41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 本合同金额为（大写）：________圆（________元）人民币或其他币种。</w:t>
      </w:r>
      <w:r/>
    </w:p>
    <w:p>
      <w:pPr>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三、技术资料</w:t>
      </w:r>
      <w:r/>
    </w:p>
    <w:p>
      <w:pPr>
        <w:ind w:left="410" w:hanging="41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3.1乙方应按招标文件规定的时间向甲方提供服务（包含与服务相关的货物）的有关技术资料。</w:t>
      </w:r>
      <w:r/>
    </w:p>
    <w:p>
      <w:pPr>
        <w:ind w:left="410" w:hanging="41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四、知识产权</w:t>
      </w:r>
      <w:r/>
    </w:p>
    <w:p>
      <w:pPr>
        <w:ind w:left="408" w:hanging="408"/>
        <w:spacing w:before="120" w:after="120"/>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408" w:hanging="408"/>
        <w:spacing w:before="120" w:after="120"/>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4.2甲方在中华人民共和国境内使用乙方提供的服务时免受第三方提出的侵犯其专利权或其他知识产权的起诉。如果第三方提出侵权指控，乙方应承担由此而引起的一切法律责任和费用。</w:t>
      </w:r>
      <w:r/>
    </w:p>
    <w:p>
      <w:pPr>
        <w:ind w:left="408" w:hanging="408"/>
        <w:spacing w:before="120" w:after="120"/>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4.3本项目所产生的知识产权由项目甲方和乙方共有，且项目乙方必须提供完整的程序源代码。除乙方具有独立自主知识产权的产品外，本项目因二次开发产生的所有功能、技术文档、源代码等，未经甲方书面同意，不得泄露，不得用于商业用途，并在项目验收时向甲方提交。</w:t>
      </w:r>
      <w:r/>
    </w:p>
    <w:p>
      <w:pPr>
        <w:ind w:left="408" w:hanging="408"/>
        <w:spacing w:before="120" w:after="120"/>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4.4本项目所产生的数据资源(人工智能大模型数据训练所产生的数据集、知识库等)产权由甲方所有，未经许可，不得用于商业用途。</w:t>
      </w:r>
      <w:r/>
    </w:p>
    <w:p>
      <w:pPr>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五、产权担保</w:t>
      </w:r>
      <w:r/>
    </w:p>
    <w:p>
      <w:pPr>
        <w:ind w:left="408" w:hanging="408"/>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5.1 乙方保证所交付的服务（包含与服务相关的货物）的所有权完全属于乙方且无任何抵押、查封等产权瑕疵。</w:t>
      </w:r>
      <w:r/>
    </w:p>
    <w:p>
      <w:pPr>
        <w:ind w:left="410" w:hanging="41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六、履约保证金</w:t>
      </w:r>
      <w:r/>
    </w:p>
    <w:p>
      <w:pPr>
        <w:ind w:left="408" w:hanging="408"/>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6.1 乙方交纳人民币___</w:t>
      </w:r>
      <w:r>
        <w:rPr>
          <w:rFonts w:ascii="宋体" w:hAnsi="宋体" w:cs="宋体"/>
          <w:color w:val="0000ff"/>
          <w:sz w:val="24"/>
          <w:highlight w:val="none"/>
          <w:u w:val="single"/>
        </w:rPr>
        <w:t xml:space="preserve">零</w:t>
      </w:r>
      <w:r>
        <w:rPr>
          <w:rFonts w:ascii="宋体" w:hAnsi="宋体" w:cs="宋体"/>
          <w:color w:val="000000"/>
          <w:sz w:val="24"/>
          <w:highlight w:val="none"/>
        </w:rPr>
        <w:t xml:space="preserve">______元作为本合同的履约保证金。</w:t>
      </w:r>
      <w:r/>
    </w:p>
    <w:p>
      <w:pPr>
        <w:ind w:left="408" w:hanging="408"/>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6.2合同履行结束后，甲方应及时退还交纳的履约保证金。</w:t>
      </w:r>
      <w:r/>
    </w:p>
    <w:p>
      <w:pPr>
        <w:ind w:left="408" w:hanging="408"/>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6.2.1履约保证金退还方式：</w:t>
      </w:r>
      <w:r>
        <w:rPr>
          <w:rFonts w:ascii="宋体" w:hAnsi="宋体" w:cs="宋体"/>
          <w:color w:val="0000ff"/>
          <w:sz w:val="24"/>
          <w:highlight w:val="none"/>
        </w:rPr>
        <w:t xml:space="preserve">无</w:t>
      </w:r>
      <w:r/>
    </w:p>
    <w:p>
      <w:pPr>
        <w:ind w:left="408" w:hanging="408"/>
        <w:spacing w:before="120" w:after="120"/>
        <w:rPr>
          <w:rFonts w:ascii="宋体" w:hAnsi="宋体" w:cs="宋体"/>
          <w:color w:val="0000ff"/>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6.2.2履约保证金退还时间：</w:t>
      </w:r>
      <w:r>
        <w:rPr>
          <w:rFonts w:ascii="宋体" w:hAnsi="宋体" w:cs="宋体"/>
          <w:color w:val="0000ff"/>
          <w:sz w:val="24"/>
          <w:highlight w:val="none"/>
        </w:rPr>
        <w:t xml:space="preserve">无</w:t>
      </w:r>
      <w:r/>
    </w:p>
    <w:p>
      <w:pPr>
        <w:ind w:left="408" w:hanging="408"/>
        <w:spacing w:before="120" w:after="120"/>
        <w:rPr>
          <w:rFonts w:ascii="宋体" w:hAnsi="宋体" w:cs="宋体"/>
          <w:color w:val="0000ff"/>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6.2.3履约保证金退还条件：</w:t>
      </w:r>
      <w:r>
        <w:rPr>
          <w:rFonts w:ascii="宋体" w:hAnsi="宋体" w:cs="宋体"/>
          <w:color w:val="0000ff"/>
          <w:sz w:val="24"/>
          <w:highlight w:val="none"/>
        </w:rPr>
        <w:t xml:space="preserve">无</w:t>
      </w:r>
      <w:r/>
    </w:p>
    <w:p>
      <w:pPr>
        <w:ind w:left="408" w:hanging="408"/>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6.2.4履约保证金不予退还的情形：</w:t>
      </w:r>
      <w:r>
        <w:rPr>
          <w:rFonts w:ascii="宋体" w:hAnsi="宋体" w:cs="宋体"/>
          <w:color w:val="0000ff"/>
          <w:sz w:val="24"/>
          <w:highlight w:val="none"/>
        </w:rPr>
        <w:t xml:space="preserve">无</w:t>
      </w:r>
      <w:r/>
    </w:p>
    <w:p>
      <w:pPr>
        <w:ind w:left="408" w:hanging="408"/>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6.2.5履约保证金逾期退还的违约责任：</w:t>
      </w:r>
      <w:r>
        <w:rPr>
          <w:rFonts w:ascii="宋体" w:hAnsi="宋体" w:cs="宋体"/>
          <w:color w:val="0000ff"/>
          <w:sz w:val="24"/>
          <w:highlight w:val="none"/>
        </w:rPr>
        <w:t xml:space="preserve">无</w:t>
      </w:r>
      <w:r/>
    </w:p>
    <w:p>
      <w:pPr>
        <w:spacing w:before="145" w:after="145"/>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七、合同转包或分包</w:t>
      </w:r>
      <w:r/>
    </w:p>
    <w:p>
      <w:pPr>
        <w:spacing w:before="145" w:after="145"/>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7.1乙方不得将合同标的转包给他人履行。</w:t>
      </w:r>
      <w:r/>
    </w:p>
    <w:p>
      <w:pPr>
        <w:spacing w:before="145" w:after="145"/>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7.2乙方不得将合同标的分包给他人履行。</w:t>
      </w:r>
      <w:r/>
    </w:p>
    <w:p>
      <w:pPr>
        <w:spacing w:before="145" w:after="145"/>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7.3乙方如有转包或未经甲方同意的分包行为，甲方有权解除合同。</w:t>
      </w:r>
      <w:r/>
    </w:p>
    <w:p>
      <w:pPr>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八、合同款项支付</w:t>
      </w:r>
      <w:r/>
    </w:p>
    <w:p>
      <w:pPr>
        <w:spacing w:before="145" w:after="145"/>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8.1合同款项的支付方式及进度安排</w:t>
      </w:r>
      <w:r/>
    </w:p>
    <w:p>
      <w:pPr>
        <w:spacing w:before="120" w:after="120"/>
        <w:rPr>
          <w:rFonts w:ascii="宋体" w:hAnsi="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8.1.1合同签订后，乙方向甲方开具发票，甲方自收到发票后10个工作日内，支付合同总价30%的预付款；</w:t>
      </w:r>
      <w:r/>
    </w:p>
    <w:p>
      <w:pPr>
        <w:spacing w:before="120" w:after="120"/>
        <w:rPr>
          <w:rFonts w:hint="eastAsia" w:ascii="宋体" w:hAnsi="宋体" w:eastAsia="宋体" w:cs="宋体"/>
          <w:color w:val="000000"/>
          <w:sz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8.1.2完成项目所需运行环境的搭建与调试，并经甲方确认满足软件部署要求后，甲方自收到发票后10个工作日内支付合同总价的30%</w:t>
      </w:r>
      <w:r>
        <w:rPr>
          <w:rFonts w:hint="eastAsia" w:ascii="宋体" w:hAnsi="宋体" w:cs="宋体"/>
          <w:color w:val="000000"/>
          <w:sz w:val="24"/>
          <w:highlight w:val="none"/>
          <w:u w:val="single"/>
          <w:lang w:eastAsia="zh-CN"/>
        </w:rPr>
        <w:t xml:space="preserve">；</w:t>
      </w:r>
      <w:r/>
    </w:p>
    <w:p>
      <w:pPr>
        <w:spacing w:before="120" w:after="120"/>
        <w:rPr>
          <w:rFonts w:ascii="宋体" w:hAnsi="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8.1.3项目验收合格后，乙方向甲方开具发票，甲方自收到发票后10个工作日内支付合同总价的40%。</w:t>
      </w:r>
      <w:r/>
    </w:p>
    <w:p>
      <w:pPr>
        <w:spacing w:before="120" w:after="120"/>
        <w:rPr>
          <w:rFonts w:ascii="宋体" w:hAnsi="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u w:val="single"/>
        </w:rPr>
      </w:r>
      <w:r/>
    </w:p>
    <w:p>
      <w:pPr>
        <w:spacing w:before="145" w:after="145"/>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九、税费</w:t>
      </w:r>
      <w:r/>
    </w:p>
    <w:p>
      <w:pPr>
        <w:spacing w:before="145" w:after="145"/>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9.1本合同执行中相关的一切税费均由乙方负担。</w:t>
      </w:r>
      <w:r/>
    </w:p>
    <w:p>
      <w:pPr>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十、项目验收</w:t>
      </w:r>
      <w:r/>
    </w:p>
    <w:p>
      <w:pPr>
        <w:ind w:left="480" w:hanging="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10.1甲方依法组织履约验收工作。</w:t>
      </w:r>
      <w:r/>
    </w:p>
    <w:p>
      <w:pPr>
        <w:ind w:left="480" w:hanging="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10.3对于实际使用人和甲方分离的项目，甲方邀请实际使用人参与验收。</w:t>
      </w:r>
      <w:r/>
    </w:p>
    <w:p>
      <w:pPr>
        <w:ind w:left="480" w:hanging="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10.4如有必要，甲方邀请参加本项目的其他供应商或第三方专业机构及专家参与验收，相关意见将作为验收书的参考资料。</w:t>
      </w:r>
      <w:r/>
    </w:p>
    <w:p>
      <w:pPr>
        <w:ind w:left="480" w:hanging="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十一、违约责任</w:t>
      </w:r>
      <w:r/>
    </w:p>
    <w:p>
      <w:pPr>
        <w:ind w:left="410" w:hanging="41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11.1甲方无正当理由拒绝接受乙方提供服务的，甲方向乙方偿付拒绝接受服务合同价款总值</w:t>
      </w:r>
      <w:r>
        <w:rPr>
          <w:rFonts w:ascii="宋体" w:hAnsi="宋体" w:cs="宋体"/>
          <w:color w:val="000000"/>
          <w:sz w:val="24"/>
          <w:highlight w:val="none"/>
          <w:u w:val="single"/>
        </w:rPr>
        <w:t xml:space="preserve">    </w:t>
      </w:r>
      <w:r>
        <w:rPr>
          <w:rFonts w:ascii="宋体" w:hAnsi="宋体" w:cs="宋体"/>
          <w:color w:val="000000"/>
          <w:sz w:val="24"/>
          <w:highlight w:val="none"/>
        </w:rPr>
        <w:t xml:space="preserve">的违约金。</w:t>
      </w:r>
      <w:r/>
    </w:p>
    <w:p>
      <w:pPr>
        <w:ind w:left="410" w:hanging="41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11.2甲方无故逾期验收和办理合同款项支付手续的,甲方应按逾期付款总额</w:t>
      </w:r>
      <w:r>
        <w:rPr>
          <w:rFonts w:ascii="宋体" w:hAnsi="宋体" w:cs="宋体"/>
          <w:color w:val="000000"/>
          <w:sz w:val="24"/>
          <w:highlight w:val="none"/>
          <w:u w:val="single"/>
        </w:rPr>
        <w:t xml:space="preserve">    </w:t>
      </w:r>
      <w:r>
        <w:rPr>
          <w:rFonts w:ascii="宋体" w:hAnsi="宋体" w:cs="宋体"/>
          <w:color w:val="000000"/>
          <w:sz w:val="24"/>
          <w:highlight w:val="none"/>
        </w:rPr>
        <w:t xml:space="preserve">每日向乙方支付违约金。</w:t>
      </w:r>
      <w:r/>
    </w:p>
    <w:p>
      <w:pPr>
        <w:ind w:left="410" w:hanging="41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cs="宋体"/>
          <w:color w:val="000000"/>
          <w:sz w:val="24"/>
          <w:highlight w:val="none"/>
          <w:u w:val="single"/>
        </w:rPr>
        <w:t xml:space="preserve">     </w:t>
      </w:r>
      <w:r>
        <w:rPr>
          <w:rFonts w:ascii="宋体" w:hAnsi="宋体" w:cs="宋体"/>
          <w:color w:val="000000"/>
          <w:sz w:val="24"/>
          <w:highlight w:val="none"/>
        </w:rPr>
        <w:t xml:space="preserve">的违约金，如造成甲方损失超过违约金的，超出部分由乙方继续承担赔偿责任。 </w:t>
      </w:r>
      <w:r/>
    </w:p>
    <w:p>
      <w:pPr>
        <w:ind w:left="410" w:hanging="41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11.4 乙方所提供服务的标准不符合合同规定及招标文件规定标准的，甲方有权拒绝接受服务，并可单方面解除合同。</w:t>
      </w:r>
      <w:r/>
    </w:p>
    <w:p>
      <w:pPr>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十二、不可抗力事件处理</w:t>
      </w:r>
      <w:r/>
    </w:p>
    <w:p>
      <w:pPr>
        <w:ind w:left="480" w:hanging="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12.1在合同有效期内，任何一方因不可抗力事件导致不能履行合同，则合同履行期可延长，其延长期与不可抗力影响期相同。</w:t>
      </w:r>
      <w:r/>
    </w:p>
    <w:p>
      <w:pPr>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12.2不可抗力事件发生后，应立即通知对方，并寄送有关权威机构出具的证明。</w:t>
      </w:r>
      <w:r/>
    </w:p>
    <w:p>
      <w:pPr>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12.3不可抗力事件延续120天以上，双方应通过友好协商，确定是否继续履行合同。</w:t>
      </w:r>
      <w:r/>
    </w:p>
    <w:p>
      <w:pPr>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十三、解决争议的方法</w:t>
      </w:r>
      <w:r/>
    </w:p>
    <w:p>
      <w:pPr>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13.1双方在签订、履行合同中所发生的一切争议，应通过友好协商解决。如协商不成，由甲方住所地人民法院管辖。</w:t>
      </w:r>
      <w:r/>
    </w:p>
    <w:p>
      <w:pPr>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十四、合同生效及其它</w:t>
      </w:r>
      <w:r/>
    </w:p>
    <w:p>
      <w:pPr>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14.1合同经双方法定代表人或授权委托代表人签字并加盖单位公章后生效。</w:t>
      </w:r>
      <w:r/>
    </w:p>
    <w:p>
      <w:pPr>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14.2本合同未尽事宜，遵照中华人民共和国现行法律法规有关条文执行。</w:t>
      </w:r>
      <w:r/>
    </w:p>
    <w:p>
      <w:pPr>
        <w:ind w:left="480" w:hanging="480"/>
        <w:spacing w:before="120" w:after="120"/>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14.3本合同正本一式两份，具有同等法律效力，甲方、乙方各执一份。</w:t>
      </w:r>
      <w:r/>
    </w:p>
    <w:p>
      <w:pPr>
        <w:spacing w:before="120" w:after="120"/>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r>
      <w:r/>
    </w:p>
    <w:p>
      <w:pPr>
        <w:spacing w:before="120" w:after="120"/>
        <w:rPr>
          <w:highlight w:val="none"/>
        </w:rPr>
        <w:pBdr>
          <w:top w:val="none" w:color="000000" w:sz="0" w:space="0"/>
          <w:left w:val="none" w:color="000000" w:sz="0" w:space="0"/>
          <w:bottom w:val="none" w:color="000000" w:sz="0" w:space="0"/>
          <w:right w:val="none" w:color="000000" w:sz="0" w:space="0"/>
        </w:pBdr>
      </w:pPr>
      <w:r>
        <w:rPr>
          <w:highlight w:val="none"/>
        </w:rPr>
      </w:r>
      <w:r/>
    </w:p>
    <w:tbl>
      <w:tblPr>
        <w:tblStyle w:val="996"/>
        <w:tblW w:w="9168" w:type="dxa"/>
        <w:jc w:val="center"/>
        <w:tblLayout w:type="fixed"/>
        <w:tblCellMar>
          <w:left w:w="108" w:type="dxa"/>
          <w:top w:w="0" w:type="dxa"/>
          <w:right w:w="108" w:type="dxa"/>
          <w:bottom w:w="0" w:type="dxa"/>
        </w:tblCellMar>
        <w:tblLook w:val="04A0" w:firstRow="1" w:lastRow="0" w:firstColumn="1" w:lastColumn="0" w:noHBand="0" w:noVBand="1"/>
      </w:tblPr>
      <w:tblGrid>
        <w:gridCol w:w="4584"/>
        <w:gridCol w:w="4584"/>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联系电话：</w:t>
            </w:r>
            <w:r/>
          </w:p>
        </w:tc>
      </w:tr>
    </w:tbl>
    <w:p>
      <w:pPr>
        <w:jc w:val="center"/>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jc w:val="right"/>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jc w:val="center"/>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签订日期：年  月 日</w:t>
      </w:r>
      <w:r>
        <w:rPr>
          <w:rFonts w:ascii="宋体" w:hAnsi="宋体" w:cs="宋体"/>
          <w:color w:val="000000"/>
          <w:sz w:val="24"/>
          <w:highlight w:val="none"/>
        </w:rPr>
        <w:br w:type="page" w:clear="all"/>
      </w:r>
      <w:r/>
    </w:p>
    <w:p>
      <w:pPr>
        <w:pStyle w:val="983"/>
        <w:spacing w:before="480" w:after="200"/>
        <w:rPr>
          <w:highlight w:val="none"/>
        </w:rPr>
        <w:pBdr>
          <w:top w:val="none" w:color="000000" w:sz="0" w:space="0"/>
          <w:left w:val="none" w:color="000000" w:sz="0" w:space="0"/>
          <w:bottom w:val="none" w:color="000000" w:sz="0" w:space="0"/>
          <w:right w:val="none" w:color="000000" w:sz="0" w:space="0"/>
        </w:pBdr>
      </w:pPr>
      <w:r>
        <w:rPr>
          <w:rFonts w:ascii="黑体" w:hAnsi="黑体" w:cs="黑体"/>
          <w:b/>
          <w:color w:val="000000"/>
          <w:highlight w:val="none"/>
        </w:rPr>
        <w:t xml:space="preserve">第四章 采购需求</w:t>
      </w:r>
      <w:r/>
    </w:p>
    <w:p>
      <w:pPr>
        <w:ind w:left="495" w:hanging="495"/>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项目属性:服务类项目</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 如本项目采购产品被财政部、国家发改委、生态环境部等列入“节能产品政府采购品目清单”强制采购范围，投标文件中必须提供国家确定的认证机构出具的、处于有效期之内的该节能产品认证证书。本项目强制节能产品有：无。</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 供应商对于投标产品的包装应按照“财办库〔2020〕123号《关于印发《商品包装政府采购需求标准（试行）》、《快递包装政府采购需求标准（试行）》的通知》”执行。</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采购需求中斜体且有下划线部分为实质性要求，投标人需要填写实质性要求响应及偏离表，投标人必须对技术要求和商务要求中的实质性要求（斜体且有下划线部分）逐条做出明确响应。如果招标文件要求提供证明材料，投标人必须将证明材料列于该表之下。</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4.投标人需对技术要求（未加斜体下划线的非实质性要求）逐条做出明确响应。如果招标文件要求提供证明材料，投标人需将证明材料列于技术要求响应及偏离表之下。</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 投标人需对商务要求（未加斜体下划线的非实质性要求）逐条做出明确响应。如果招标文件要求提供证明材料，投标人需将证明材料列于商务要求响应及偏离表之下。</w:t>
      </w:r>
      <w:r/>
    </w:p>
    <w:p>
      <w:pPr>
        <w:ind w:firstLine="480"/>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6</w:t>
      </w:r>
      <w:r>
        <w:rPr>
          <w:rFonts w:ascii="宋体" w:hAnsi="宋体" w:cs="宋体"/>
          <w:color w:val="000000"/>
          <w:sz w:val="24"/>
          <w:highlight w:val="none"/>
        </w:rPr>
        <w:t xml:space="preserve">.采购标的清单</w:t>
      </w:r>
      <w:r/>
    </w:p>
    <w:tbl>
      <w:tblPr>
        <w:tblStyle w:val="996"/>
        <w:tblW w:w="892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0"/>
        <w:gridCol w:w="2055"/>
        <w:gridCol w:w="53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0"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55"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16"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0"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5"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“扬小易”AI+服务项目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16"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rFonts w:hint="eastAsia" w:ascii="宋体" w:hAnsi="宋体" w:cs="宋体"/>
                <w:color w:val="000000"/>
                <w:sz w:val="24"/>
                <w:highlight w:val="none"/>
              </w:rPr>
              <w:t xml:space="preserve">软件和信息技术服务业 </w:t>
            </w:r>
            <w:r>
              <w:rPr>
                <w:rFonts w:ascii="宋体" w:hAnsi="宋体" w:cs="宋体"/>
                <w:color w:val="000000"/>
                <w:sz w:val="24"/>
                <w:highlight w:val="none"/>
              </w:rPr>
              <w:t xml:space="preserve"> </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0"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5"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“扬小易”AI+服务项目</w:t>
            </w:r>
            <w:r>
              <w:rPr>
                <w:rFonts w:hint="eastAsia" w:ascii="宋体" w:hAnsi="宋体" w:cs="宋体"/>
                <w:color w:val="000000"/>
                <w:sz w:val="24"/>
                <w:highlight w:val="none"/>
              </w:rPr>
              <w:t xml:space="preserve">监理服务</w:t>
            </w: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16"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软件和信息技术服务业 </w:t>
            </w:r>
            <w:r>
              <w:rPr>
                <w:rFonts w:ascii="宋体" w:hAnsi="宋体" w:cs="宋体"/>
                <w:color w:val="000000"/>
                <w:sz w:val="24"/>
                <w:highlight w:val="none"/>
              </w:rPr>
              <w:t xml:space="preserve">  </w:t>
            </w:r>
            <w:r/>
          </w:p>
        </w:tc>
      </w:tr>
    </w:tbl>
    <w:p>
      <w:pPr>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p>
      <w:pPr>
        <w:spacing w:before="120" w:after="1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政府采购中实施本国产品标准及相关政策</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1.政策依据《国务院办公厅关于在政府采购中实施本国产品标准及相关政策的通知》（国办发〔2025〕34号）。</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rPr>
          <w:highlight w:val="none"/>
        </w:rPr>
        <w:pBdr>
          <w:top w:val="none" w:color="000000" w:sz="0" w:space="0"/>
          <w:left w:val="none" w:color="000000" w:sz="0" w:space="0"/>
          <w:bottom w:val="none" w:color="000000" w:sz="0" w:space="0"/>
          <w:right w:val="none" w:color="000000" w:sz="0" w:space="0"/>
        </w:pBdr>
      </w:pPr>
      <w:r>
        <w:rPr>
          <w:highlight w:val="none"/>
        </w:rPr>
      </w:r>
      <w:r/>
    </w:p>
    <w:p>
      <w:pPr>
        <w:rPr>
          <w:rFonts w:ascii="宋体" w:hAnsi="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技术要求</w:t>
      </w:r>
      <w:r/>
    </w:p>
    <w:p>
      <w:pPr>
        <w:rPr>
          <w:rFonts w:ascii="宋体" w:hAnsi="宋体" w:cs="宋体"/>
          <w:b/>
          <w:color w:val="ff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技术要求是指对采购标的功能和质量要求，包括性能、材料、结构、外观、安全，或者服务内容和标准等。</w:t>
      </w:r>
      <w:r/>
    </w:p>
    <w:p>
      <w:pPr>
        <w:pStyle w:val="1000"/>
        <w:spacing w:before="100" w:after="100"/>
        <w:rPr>
          <w:rFonts w:ascii="宋体" w:hAnsi="宋体" w:eastAsia="宋体" w:cs="宋体"/>
          <w:b/>
          <w:bCs/>
          <w:color w:val="000000"/>
          <w:spacing w:val="-1"/>
          <w:sz w:val="24"/>
          <w:szCs w:val="24"/>
          <w:highlight w:val="none"/>
        </w:rPr>
        <w:outlineLvl w:val="0"/>
      </w:pPr>
      <w:r>
        <w:rPr>
          <w:rFonts w:ascii="宋体" w:hAnsi="宋体" w:eastAsia="宋体" w:cs="宋体"/>
          <w:b/>
          <w:bCs/>
          <w:color w:val="000000"/>
          <w:spacing w:val="-1"/>
          <w:sz w:val="24"/>
          <w:szCs w:val="24"/>
          <w:highlight w:val="none"/>
        </w:rPr>
        <w:t xml:space="preserve">包1：“扬小易”AI+服务项目</w:t>
      </w:r>
      <w:r/>
    </w:p>
    <w:p>
      <w:pPr>
        <w:pStyle w:val="984"/>
        <w:jc w:val="left"/>
        <w:spacing w:before="0" w:after="0" w:line="440" w:lineRule="exact"/>
        <w:rPr>
          <w:rFonts w:ascii="宋体" w:hAnsi="宋体" w:cs="宋体"/>
          <w:b w:val="0"/>
          <w:bCs w:val="0"/>
          <w:color w:val="000000"/>
          <w:spacing w:val="-1"/>
          <w:sz w:val="24"/>
          <w:szCs w:val="24"/>
          <w:highlight w:val="none"/>
        </w:rPr>
      </w:pPr>
      <w:r>
        <w:rPr>
          <w:rFonts w:hint="eastAsia" w:ascii="宋体" w:hAnsi="宋体" w:eastAsia="宋体" w:cs="宋体"/>
          <w:color w:val="000000"/>
          <w:spacing w:val="-1"/>
          <w:sz w:val="24"/>
          <w:szCs w:val="24"/>
          <w:highlight w:val="none"/>
        </w:rPr>
        <w:t xml:space="preserve">一</w:t>
      </w:r>
      <w:r>
        <w:rPr>
          <w:rFonts w:hint="eastAsia" w:ascii="宋体" w:hAnsi="宋体" w:cs="宋体"/>
          <w:color w:val="000000"/>
          <w:spacing w:val="-1"/>
          <w:sz w:val="24"/>
          <w:szCs w:val="24"/>
          <w:highlight w:val="none"/>
        </w:rPr>
        <w:t xml:space="preserve">、项目基本情况</w:t>
      </w:r>
      <w:r/>
    </w:p>
    <w:p>
      <w:pPr>
        <w:pStyle w:val="985"/>
        <w:spacing w:before="0" w:after="0" w:line="440" w:lineRule="exact"/>
        <w:rPr>
          <w:rFonts w:ascii="宋体" w:hAnsi="宋体" w:cs="宋体"/>
          <w:b w:val="0"/>
          <w:bCs w:val="0"/>
          <w:sz w:val="24"/>
          <w:szCs w:val="24"/>
          <w:highlight w:val="none"/>
        </w:rPr>
      </w:pPr>
      <w:r>
        <w:rPr>
          <w:sz w:val="24"/>
          <w:szCs w:val="24"/>
          <w:highlight w:val="none"/>
        </w:rPr>
        <w:t xml:space="preserve">1.1</w:t>
      </w:r>
      <w:r>
        <w:rPr>
          <w:rFonts w:hint="eastAsia" w:ascii="宋体" w:hAnsi="宋体" w:cs="宋体"/>
          <w:sz w:val="24"/>
          <w:szCs w:val="24"/>
          <w:highlight w:val="none"/>
        </w:rPr>
        <w:t xml:space="preserve">建设背景</w:t>
      </w:r>
      <w:r/>
    </w:p>
    <w:p>
      <w:pPr>
        <w:ind w:firstLine="480"/>
        <w:jc w:val="left"/>
        <w:spacing w:line="440" w:lineRule="exact"/>
        <w:rPr>
          <w:rFonts w:ascii="宋体" w:hAnsi="宋体" w:cs="宋体"/>
          <w:sz w:val="24"/>
          <w:szCs w:val="24"/>
          <w:highlight w:val="none"/>
        </w:rPr>
      </w:pPr>
      <w:r>
        <w:rPr>
          <w:rFonts w:hint="eastAsia" w:ascii="宋体" w:hAnsi="宋体" w:cs="宋体"/>
          <w:sz w:val="24"/>
          <w:szCs w:val="24"/>
          <w:highlight w:val="none"/>
        </w:rPr>
        <w:t xml:space="preserve">公共资源交易市场是全国统一大市场和高标准市场体系的重要组成部分，对提高资源配</w:t>
      </w:r>
      <w:r>
        <w:rPr>
          <w:rFonts w:hint="eastAsia" w:ascii="宋体" w:hAnsi="宋体" w:cs="宋体"/>
          <w:sz w:val="24"/>
          <w:szCs w:val="24"/>
          <w:highlight w:val="none"/>
        </w:rPr>
        <w:t xml:space="preserve">置效率效益、持续优化营商环境具有重要作用。近年来，公共资源交易整合共享持续向纵深推进，但权力寻租、串标围标等一些问题却依然突出，尤其在专家评审方面。扬州市公共资源交易中心自成立以来，按照全省“一市一平台、一行业一系统”的公共资源交易信息化平台建设要求，建成了全市公共资源交易综合管理云平台即“扬州市公共资源交易平台”，实现所有进场交易项目全流程不见面电子化交易。目前，正积极响应国家“推动招标投标与大数据、云计算、人工智能、区块链等新技术融合发展”要求，全面推进平台数智化转型升级，全方位提升平台智慧化服务能力。</w:t>
      </w:r>
      <w:r/>
    </w:p>
    <w:p>
      <w:pPr>
        <w:ind w:firstLine="482"/>
        <w:jc w:val="left"/>
        <w:spacing w:line="440" w:lineRule="exact"/>
        <w:rPr>
          <w:b/>
          <w:bCs/>
          <w:sz w:val="24"/>
          <w:szCs w:val="24"/>
          <w:highlight w:val="none"/>
        </w:rPr>
      </w:pPr>
      <w:r>
        <w:rPr>
          <w:b/>
          <w:bCs/>
          <w:sz w:val="24"/>
          <w:szCs w:val="24"/>
          <w:highlight w:val="none"/>
        </w:rPr>
      </w:r>
      <w:r/>
    </w:p>
    <w:p>
      <w:pPr>
        <w:pStyle w:val="985"/>
        <w:spacing w:before="0" w:after="0" w:line="440" w:lineRule="exact"/>
        <w:rPr>
          <w:b w:val="0"/>
          <w:bCs w:val="0"/>
          <w:sz w:val="24"/>
          <w:szCs w:val="24"/>
          <w:highlight w:val="none"/>
        </w:rPr>
      </w:pPr>
      <w:r>
        <w:rPr>
          <w:rFonts w:eastAsia="Arial"/>
          <w:sz w:val="24"/>
          <w:szCs w:val="24"/>
          <w:highlight w:val="none"/>
        </w:rPr>
        <w:t xml:space="preserve">1</w:t>
      </w:r>
      <w:r>
        <w:rPr>
          <w:rFonts w:hint="eastAsia" w:ascii="Arial" w:hAnsi="Arial" w:eastAsia="Arial" w:cs="Arial"/>
          <w:sz w:val="24"/>
          <w:szCs w:val="24"/>
          <w:highlight w:val="none"/>
        </w:rPr>
        <w:t xml:space="preserve">.2建设目标</w:t>
      </w:r>
      <w:r/>
    </w:p>
    <w:p>
      <w:pPr>
        <w:ind w:firstLine="480"/>
        <w:jc w:val="left"/>
        <w:spacing w:line="440" w:lineRule="exact"/>
        <w:rPr>
          <w:rFonts w:ascii="宋体" w:hAnsi="宋体" w:cs="宋体"/>
          <w:sz w:val="24"/>
          <w:szCs w:val="24"/>
          <w:highlight w:val="none"/>
        </w:rPr>
      </w:pPr>
      <w:r>
        <w:rPr>
          <w:rFonts w:hint="eastAsia" w:ascii="宋体" w:hAnsi="宋体" w:cs="宋体"/>
          <w:sz w:val="24"/>
          <w:szCs w:val="24"/>
          <w:highlight w:val="none"/>
        </w:rPr>
        <w:t xml:space="preserve">深入推进公共资源交易+AI数智化融合，探索应用人工智能赋能中心核心业务。结合大模型推理、机器视觉、物联网、数字人等前沿技术，打造评标智能管控、开标智能主持、数智协同见证、虚拟评标空间、服务智能引导五大核心应用场景，重点强化评标现场不良言行智能管控，全方位提升现场管理能力、增强平台智慧化服务能力。通过人机协同服务、人机协同监管，为各方市场主体提供规范、高效、便捷的数智化服务，大幅提升公共资源交易服务水平，提升监管效能，打造“AI+公共资源智慧交易中心”。</w:t>
      </w:r>
      <w:r/>
    </w:p>
    <w:p>
      <w:pPr>
        <w:ind w:firstLine="480"/>
        <w:jc w:val="left"/>
        <w:spacing w:line="440" w:lineRule="exact"/>
        <w:tabs>
          <w:tab w:val="left" w:pos="2730" w:leader="none"/>
        </w:tabs>
        <w:rPr>
          <w:rFonts w:ascii="宋体" w:hAnsi="宋体" w:cs="宋体"/>
          <w:sz w:val="24"/>
          <w:szCs w:val="24"/>
          <w:highlight w:val="none"/>
        </w:rPr>
      </w:pPr>
      <w:r>
        <w:rPr>
          <w:rFonts w:ascii="宋体" w:hAnsi="宋体" w:cs="宋体"/>
          <w:sz w:val="24"/>
          <w:szCs w:val="24"/>
          <w:highlight w:val="none"/>
        </w:rPr>
      </w:r>
      <w:r/>
    </w:p>
    <w:p>
      <w:pPr>
        <w:pStyle w:val="985"/>
        <w:jc w:val="left"/>
        <w:spacing w:before="0" w:after="0" w:line="440" w:lineRule="exact"/>
        <w:rPr>
          <w:b w:val="0"/>
          <w:bCs w:val="0"/>
          <w:sz w:val="24"/>
          <w:szCs w:val="24"/>
          <w:highlight w:val="none"/>
        </w:rPr>
      </w:pPr>
      <w:r>
        <w:rPr>
          <w:rFonts w:ascii="Arial" w:hAnsi="Arial" w:cs="Arial"/>
          <w:sz w:val="24"/>
          <w:szCs w:val="24"/>
          <w:highlight w:val="none"/>
        </w:rPr>
        <w:t xml:space="preserve">1.3总体要求</w:t>
      </w:r>
      <w:r/>
    </w:p>
    <w:p>
      <w:pPr>
        <w:pStyle w:val="986"/>
        <w:rPr>
          <w:rFonts w:ascii="宋体" w:hAnsi="宋体" w:cs="宋体"/>
          <w:sz w:val="24"/>
          <w:szCs w:val="24"/>
          <w:highlight w:val="none"/>
        </w:rPr>
      </w:pPr>
      <w:r>
        <w:rPr>
          <w:rFonts w:hint="eastAsia" w:ascii="宋体" w:hAnsi="宋体" w:cs="宋体"/>
          <w:sz w:val="24"/>
          <w:szCs w:val="24"/>
          <w:highlight w:val="none"/>
        </w:rPr>
        <w:t xml:space="preserve">1.3.1总体架构要求</w:t>
      </w:r>
      <w:r/>
    </w:p>
    <w:p>
      <w:pPr>
        <w:ind w:firstLine="480"/>
        <w:jc w:val="left"/>
        <w:spacing w:line="440" w:lineRule="exact"/>
        <w:tabs>
          <w:tab w:val="left" w:pos="2730" w:leader="none"/>
        </w:tabs>
        <w:rPr>
          <w:sz w:val="24"/>
          <w:szCs w:val="24"/>
          <w:highlight w:val="none"/>
        </w:rPr>
      </w:pPr>
      <w:r>
        <w:rPr>
          <w:rFonts w:hint="eastAsia" w:ascii="宋体" w:hAnsi="宋体" w:cs="宋体"/>
          <w:sz w:val="24"/>
          <w:szCs w:val="24"/>
          <w:highlight w:val="none"/>
        </w:rPr>
        <w:t xml:space="preserve">本项目以“扬州市公共资源交易平台系统重构项目”的总体设计方案为上层设计。“扬小易AI+服务”项目建设完成后将以功能模块的形式嵌入“扬州市公共资源交易平台系统”的子系统“监管服务平台”中提供监管服务，其下级功能设计、权限设计、安全策略、资源策略等方面的设计需确保按照上一级平台系统统筹兼顾。</w:t>
      </w:r>
      <w:r/>
    </w:p>
    <w:p>
      <w:pPr>
        <w:ind w:firstLine="480"/>
        <w:jc w:val="left"/>
        <w:spacing w:line="440" w:lineRule="exact"/>
        <w:widowControl/>
        <w:tabs>
          <w:tab w:val="left" w:pos="2730" w:leader="none"/>
        </w:tabs>
        <w:rPr>
          <w:sz w:val="24"/>
          <w:szCs w:val="24"/>
          <w:highlight w:val="none"/>
        </w:rPr>
      </w:pPr>
      <w:r>
        <w:rPr>
          <w:rFonts w:hint="eastAsia" w:ascii="宋体" w:hAnsi="宋体" w:cs="宋体"/>
          <w:sz w:val="24"/>
          <w:szCs w:val="24"/>
          <w:highlight w:val="none"/>
          <w:lang w:bidi="ar"/>
        </w:rPr>
        <w:t xml:space="preserve">本项目依据国家、省级相关政策标准，依托扬州市大数据管理中心及建设单位现有资源，采用五层架构体系并配套完整支撑保障体系。架构包含基础设施层、数据资源层、基础支撑层、业务应用层、门户层。基础设施层提供网络、算力、存储及安全基础支撑；数据资源层依托现有政务数据库开展数据建</w:t>
      </w:r>
      <w:r>
        <w:rPr>
          <w:rFonts w:hint="eastAsia" w:ascii="宋体" w:hAnsi="宋体" w:cs="宋体"/>
          <w:sz w:val="24"/>
          <w:szCs w:val="24"/>
          <w:highlight w:val="none"/>
          <w:lang w:bidi="ar"/>
        </w:rPr>
        <w:t xml:space="preserve">设与处理服务；基础支撑层通过统一用户、工作流、消息、表单、日志管理等能力保障系统平稳运行。业务应用层部署“扬小易AI+服务”、智能体开发、虚拟评标空间、虚拟数字人、语音监测、视频分析、身份识别、国产化云桌面八大系统，运用AI、大数据及虚拟化技术，实现智能咨询、身份核验、行为预警、远程分散评标、全过程智能监管等功能，保障评标规范安全。门户层面向监管人员、交易人员及招投标、评标各类主体，提供智能服务与监管见证能力。项目配套标准规范、安全及运维保障体系，可实现省市系统对接集成，全方位保障平台合规、安全、稳定运行。</w:t>
      </w:r>
      <w:r/>
    </w:p>
    <w:p>
      <w:pPr>
        <w:pStyle w:val="986"/>
        <w:ind w:firstLine="482"/>
        <w:jc w:val="left"/>
        <w:spacing w:before="0" w:after="0"/>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1.3.2网络部署要求</w:t>
      </w:r>
      <w:r/>
    </w:p>
    <w:p>
      <w:pPr>
        <w:numPr>
          <w:ilvl w:val="255"/>
          <w:numId w:val="0"/>
        </w:numPr>
        <w:ind w:firstLine="480"/>
        <w:jc w:val="left"/>
        <w:spacing w:line="440" w:lineRule="exact"/>
        <w:widowControl/>
        <w:tabs>
          <w:tab w:val="left" w:pos="2730" w:leader="none"/>
        </w:tabs>
        <w:rPr>
          <w:sz w:val="24"/>
          <w:szCs w:val="24"/>
          <w:highlight w:val="none"/>
        </w:rPr>
      </w:pPr>
      <w:r>
        <w:rPr>
          <w:rFonts w:ascii="宋体" w:hAnsi="宋体" w:cs="宋体"/>
          <w:sz w:val="24"/>
          <w:szCs w:val="24"/>
          <w:highlight w:val="none"/>
          <w:lang w:bidi="ar"/>
        </w:rPr>
        <w:t xml:space="preserve">本项目采用公共资源交易中心本地网络与政务外网双网络分区部署架构，科学拆分业务模块，优化资源利用率并提升系统整体性能。本地网络部署视频分析、身份识别、本地存储、云桌面、虚拟评标及虚拟数字人终端等本地监管应用，实现视频数据本地化处理，有效降低带宽消耗、提升系统响应速度，同时满足场所安全管控、本地数据存储及智能交互服务需求。政务外网部署统一管理、语音实时监测、智能体应用等业务模块。通过双网分区、内外协同的部署模式，在保障数据安全的前提下，实现资源灵活调度与跨网高效协作，兼顾对内安全监管与对外智能服务能力。</w:t>
      </w:r>
      <w:r>
        <w:rPr>
          <w:rFonts w:hint="eastAsia" w:ascii="宋体" w:hAnsi="宋体" w:cs="宋体"/>
          <w:sz w:val="24"/>
          <w:szCs w:val="24"/>
          <w:highlight w:val="none"/>
          <w:lang w:bidi="ar"/>
        </w:rPr>
        <w:t xml:space="preserve">按此要求规划整体网路部署。</w:t>
      </w:r>
      <w:r/>
    </w:p>
    <w:p>
      <w:pPr>
        <w:pStyle w:val="986"/>
        <w:ind w:firstLine="482"/>
        <w:jc w:val="left"/>
        <w:spacing w:before="0" w:after="0"/>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1.3.3数据资源要求</w:t>
      </w:r>
      <w:r/>
    </w:p>
    <w:p>
      <w:pPr>
        <w:ind w:firstLine="480"/>
        <w:jc w:val="left"/>
        <w:spacing w:line="440" w:lineRule="exact"/>
        <w:widowControl/>
        <w:tabs>
          <w:tab w:val="left" w:pos="2730" w:leader="none"/>
        </w:tabs>
        <w:rPr>
          <w:rFonts w:ascii="宋体" w:hAnsi="宋体" w:cs="宋体"/>
          <w:sz w:val="24"/>
          <w:szCs w:val="24"/>
          <w:highlight w:val="none"/>
          <w:lang w:bidi="ar"/>
        </w:rPr>
      </w:pPr>
      <w:r>
        <w:rPr>
          <w:rFonts w:ascii="宋体" w:hAnsi="宋体" w:cs="宋体"/>
          <w:sz w:val="24"/>
          <w:szCs w:val="24"/>
          <w:highlight w:val="none"/>
          <w:lang w:bidi="ar"/>
        </w:rPr>
        <w:t xml:space="preserve">本项目需建立完整的数据采集、分析处理及智能输出的数据资源运行体系。系统依托36</w:t>
      </w:r>
      <w:r>
        <w:rPr>
          <w:rFonts w:ascii="宋体" w:hAnsi="宋体" w:cs="宋体"/>
          <w:sz w:val="24"/>
          <w:szCs w:val="24"/>
          <w:highlight w:val="none"/>
          <w:lang w:bidi="ar"/>
        </w:rPr>
        <w:t xml:space="preserve">0°摄像头、定向摄像头、桌面摄像头及吸顶麦克风、桌面麦克风、耳麦、人脸识别、检测门禁等设备，在开评标区域及线上评标空间，全面采集语音、视频、环境及动态场景数据，并对原始采集数据进行留存备份。采集数据经语音识别、视频分析等引擎完成解析、筛选与初步处理，形成结构化数据结果，由适配招投标场景、具备违规言论识别、知识问答、风险预警强化学习能力的智能体开展二次研判，精准区分数据场景类型并输出标准化分析结果。最终通过语音合成及动作驱动引擎，联动数字人“扬小易”完成智能监测播报，实现全流程数据闭环、智能分析与可视化输出。</w:t>
      </w:r>
      <w:r>
        <w:rPr>
          <w:rFonts w:hint="eastAsia" w:ascii="宋体" w:hAnsi="宋体" w:cs="宋体"/>
          <w:sz w:val="24"/>
          <w:szCs w:val="24"/>
          <w:highlight w:val="none"/>
          <w:lang w:bidi="ar"/>
        </w:rPr>
        <w:t xml:space="preserve">按此要求规划数据资源。</w:t>
      </w:r>
      <w:r/>
    </w:p>
    <w:p>
      <w:pPr>
        <w:pStyle w:val="986"/>
        <w:spacing w:before="0" w:after="0"/>
        <w:rPr>
          <w:rFonts w:ascii="宋体" w:hAnsi="宋体" w:cs="宋体"/>
          <w:sz w:val="24"/>
          <w:szCs w:val="24"/>
          <w:highlight w:val="none"/>
          <w:lang w:bidi="ar"/>
        </w:rPr>
      </w:pPr>
      <w:r>
        <w:rPr>
          <w:rFonts w:hint="eastAsia" w:ascii="宋体" w:hAnsi="宋体" w:cs="宋体"/>
          <w:sz w:val="24"/>
          <w:szCs w:val="24"/>
          <w:highlight w:val="none"/>
          <w:lang w:bidi="ar"/>
        </w:rPr>
        <w:t xml:space="preserve">1.3.4运行环境要求</w:t>
      </w:r>
      <w:r/>
    </w:p>
    <w:p>
      <w:pPr>
        <w:ind w:firstLine="480"/>
        <w:jc w:val="left"/>
        <w:spacing w:line="440" w:lineRule="exact"/>
        <w:tabs>
          <w:tab w:val="left" w:pos="2730" w:leader="none"/>
        </w:tabs>
        <w:rPr>
          <w:rFonts w:ascii="宋体" w:hAnsi="宋体" w:cs="宋体"/>
          <w:sz w:val="24"/>
          <w:szCs w:val="24"/>
          <w:highlight w:val="none"/>
        </w:rPr>
      </w:pPr>
      <w:r>
        <w:rPr>
          <w:rFonts w:hint="eastAsia" w:ascii="宋体" w:hAnsi="宋体" w:cs="宋体"/>
          <w:sz w:val="24"/>
          <w:szCs w:val="24"/>
          <w:highlight w:val="none"/>
        </w:rPr>
        <w:t xml:space="preserve">（1）</w:t>
      </w:r>
      <w:r>
        <w:rPr>
          <w:rFonts w:ascii="宋体" w:hAnsi="宋体" w:cs="宋体"/>
          <w:sz w:val="24"/>
          <w:szCs w:val="24"/>
          <w:highlight w:val="none"/>
        </w:rPr>
        <w:t xml:space="preserve">网络环境需求</w:t>
      </w:r>
      <w:r/>
    </w:p>
    <w:p>
      <w:pPr>
        <w:ind w:firstLine="480"/>
        <w:jc w:val="left"/>
        <w:spacing w:line="440" w:lineRule="exact"/>
        <w:tabs>
          <w:tab w:val="left" w:pos="2730" w:leader="none"/>
        </w:tabs>
        <w:rPr>
          <w:rFonts w:ascii="宋体" w:hAnsi="宋体" w:cs="宋体"/>
          <w:sz w:val="24"/>
          <w:szCs w:val="24"/>
          <w:highlight w:val="none"/>
        </w:rPr>
      </w:pPr>
      <w:r>
        <w:rPr>
          <w:rFonts w:ascii="宋体" w:hAnsi="宋体" w:cs="宋体"/>
          <w:sz w:val="24"/>
          <w:szCs w:val="24"/>
          <w:highlight w:val="none"/>
        </w:rPr>
        <w:t xml:space="preserve">本项目统一管理系统、语音实时监测系统、统一管理系统的日志监控系统部署在电子政务外网及政务云环境。视频监控设备等由于需要消耗大量带宽将部署在交易中心本地局域网。需要保证视频监控设备告警数据等能够提交至政务外网本系统统一管理系统中。</w:t>
      </w:r>
      <w:r/>
    </w:p>
    <w:p>
      <w:pPr>
        <w:ind w:firstLine="480"/>
        <w:jc w:val="left"/>
        <w:spacing w:line="440" w:lineRule="exact"/>
        <w:tabs>
          <w:tab w:val="left" w:pos="2730" w:leader="none"/>
        </w:tabs>
        <w:rPr>
          <w:rFonts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系统服务器</w:t>
      </w:r>
      <w:r>
        <w:rPr>
          <w:rFonts w:hint="eastAsia" w:ascii="宋体" w:hAnsi="宋体" w:cs="宋体"/>
          <w:sz w:val="24"/>
          <w:szCs w:val="24"/>
          <w:highlight w:val="none"/>
        </w:rPr>
        <w:t xml:space="preserve">设备及存储</w:t>
      </w:r>
      <w:r>
        <w:rPr>
          <w:rFonts w:ascii="宋体" w:hAnsi="宋体" w:cs="宋体"/>
          <w:sz w:val="24"/>
          <w:szCs w:val="24"/>
          <w:highlight w:val="none"/>
        </w:rPr>
        <w:t xml:space="preserve">需求</w:t>
      </w:r>
      <w:r/>
    </w:p>
    <w:p>
      <w:pPr>
        <w:ind w:firstLine="480"/>
        <w:jc w:val="left"/>
        <w:spacing w:line="440" w:lineRule="exact"/>
        <w:tabs>
          <w:tab w:val="left" w:pos="2730" w:leader="none"/>
        </w:tabs>
        <w:rPr>
          <w:rFonts w:ascii="宋体" w:hAnsi="宋体" w:cs="宋体"/>
          <w:sz w:val="24"/>
          <w:szCs w:val="24"/>
          <w:highlight w:val="none"/>
          <w:lang w:bidi="ar"/>
        </w:rPr>
      </w:pPr>
      <w:r>
        <w:rPr>
          <w:rFonts w:ascii="宋体" w:hAnsi="宋体" w:cs="宋体"/>
          <w:sz w:val="24"/>
          <w:szCs w:val="24"/>
          <w:highlight w:val="none"/>
        </w:rPr>
        <w:t xml:space="preserve">统一管理系统</w:t>
      </w:r>
      <w:r>
        <w:rPr>
          <w:rFonts w:hint="eastAsia" w:ascii="宋体" w:hAnsi="宋体" w:cs="宋体"/>
          <w:sz w:val="24"/>
          <w:szCs w:val="24"/>
          <w:highlight w:val="none"/>
        </w:rPr>
        <w:t xml:space="preserve">、</w:t>
      </w:r>
      <w:r>
        <w:rPr>
          <w:rFonts w:ascii="宋体" w:hAnsi="宋体" w:cs="宋体"/>
          <w:sz w:val="24"/>
          <w:szCs w:val="24"/>
          <w:highlight w:val="none"/>
        </w:rPr>
        <w:t xml:space="preserve">语音实时监测系统</w:t>
      </w:r>
      <w:r>
        <w:rPr>
          <w:rFonts w:hint="eastAsia" w:ascii="宋体" w:hAnsi="宋体" w:cs="宋体"/>
          <w:sz w:val="24"/>
          <w:szCs w:val="24"/>
          <w:highlight w:val="none"/>
        </w:rPr>
        <w:t xml:space="preserve">、</w:t>
      </w:r>
      <w:r>
        <w:rPr>
          <w:rFonts w:ascii="宋体" w:hAnsi="宋体" w:cs="宋体"/>
          <w:sz w:val="24"/>
          <w:szCs w:val="24"/>
          <w:highlight w:val="none"/>
        </w:rPr>
        <w:t xml:space="preserve">统一管理系统</w:t>
      </w:r>
      <w:r>
        <w:rPr>
          <w:rFonts w:hint="eastAsia" w:ascii="宋体" w:hAnsi="宋体" w:cs="宋体"/>
          <w:sz w:val="24"/>
          <w:szCs w:val="24"/>
          <w:highlight w:val="none"/>
        </w:rPr>
        <w:t xml:space="preserve">的</w:t>
      </w:r>
      <w:r>
        <w:rPr>
          <w:rFonts w:ascii="宋体" w:hAnsi="宋体" w:cs="宋体"/>
          <w:sz w:val="24"/>
          <w:szCs w:val="24"/>
          <w:highlight w:val="none"/>
        </w:rPr>
        <w:t xml:space="preserve">日志监控系统</w:t>
      </w:r>
      <w:r>
        <w:rPr>
          <w:rFonts w:hint="eastAsia" w:ascii="宋体" w:hAnsi="宋体" w:cs="宋体"/>
          <w:sz w:val="24"/>
          <w:szCs w:val="24"/>
          <w:highlight w:val="none"/>
        </w:rPr>
        <w:t xml:space="preserve">服务器由政务云统一提供。智能体开发、虚拟数字人系统、视频分析系统、身份识别管理系统、虚拟评标空间系统、云桌面系统服务器详细需求见2.2章节。</w:t>
      </w:r>
      <w:r/>
    </w:p>
    <w:p>
      <w:pPr>
        <w:pStyle w:val="984"/>
        <w:jc w:val="left"/>
        <w:spacing w:before="0" w:after="0" w:line="440" w:lineRule="exact"/>
        <w:rPr>
          <w:rFonts w:ascii="宋体" w:hAnsi="宋体" w:cs="宋体"/>
          <w:sz w:val="24"/>
          <w:szCs w:val="24"/>
          <w:highlight w:val="none"/>
        </w:rPr>
      </w:pPr>
      <w:r>
        <w:rPr>
          <w:rFonts w:hint="eastAsia" w:ascii="宋体" w:hAnsi="宋体" w:eastAsia="宋体" w:cs="宋体"/>
          <w:color w:val="000000"/>
          <w:spacing w:val="-1"/>
          <w:sz w:val="24"/>
          <w:szCs w:val="24"/>
          <w:highlight w:val="none"/>
        </w:rPr>
        <w:t xml:space="preserve">二</w:t>
      </w:r>
      <w:r>
        <w:rPr>
          <w:rFonts w:hint="eastAsia" w:ascii="宋体" w:hAnsi="宋体" w:cs="宋体"/>
          <w:color w:val="000000"/>
          <w:spacing w:val="-1"/>
          <w:sz w:val="24"/>
          <w:szCs w:val="24"/>
          <w:highlight w:val="none"/>
        </w:rPr>
        <w:t xml:space="preserve">、项目建设</w:t>
      </w:r>
      <w:r>
        <w:rPr>
          <w:rFonts w:hint="eastAsia" w:ascii="宋体" w:hAnsi="宋体" w:eastAsia="宋体" w:cs="宋体"/>
          <w:color w:val="000000"/>
          <w:spacing w:val="-1"/>
          <w:sz w:val="24"/>
          <w:szCs w:val="24"/>
          <w:highlight w:val="none"/>
        </w:rPr>
        <w:t xml:space="preserve">内容</w:t>
      </w:r>
      <w:r/>
    </w:p>
    <w:p>
      <w:pPr>
        <w:pStyle w:val="986"/>
        <w:rPr>
          <w:rFonts w:eastAsia="宋体"/>
          <w:sz w:val="24"/>
          <w:szCs w:val="24"/>
          <w:highlight w:val="none"/>
        </w:rPr>
      </w:pPr>
      <w:r>
        <w:rPr>
          <w:rFonts w:eastAsia="Arial"/>
          <w:sz w:val="24"/>
          <w:szCs w:val="24"/>
          <w:highlight w:val="none"/>
        </w:rPr>
        <w:t xml:space="preserve">2</w:t>
      </w:r>
      <w:r>
        <w:rPr>
          <w:rFonts w:hint="eastAsia" w:eastAsia="Arial"/>
          <w:sz w:val="24"/>
          <w:szCs w:val="24"/>
          <w:highlight w:val="none"/>
        </w:rPr>
        <w:t xml:space="preserve">.1软件建设</w:t>
      </w:r>
      <w:r>
        <w:rPr>
          <w:rFonts w:hint="eastAsia" w:eastAsia="宋体"/>
          <w:sz w:val="24"/>
          <w:szCs w:val="24"/>
          <w:highlight w:val="none"/>
        </w:rPr>
        <w:t xml:space="preserve">要求</w:t>
      </w:r>
      <w:r/>
    </w:p>
    <w:p>
      <w:pPr>
        <w:ind w:firstLine="480"/>
        <w:jc w:val="left"/>
        <w:spacing w:line="440" w:lineRule="exact"/>
        <w:tabs>
          <w:tab w:val="left" w:pos="2730" w:leader="none"/>
        </w:tabs>
        <w:rPr>
          <w:rFonts w:ascii="Arial" w:hAnsi="Arial" w:eastAsia="Arial" w:cs="Arial"/>
          <w:b/>
          <w:bCs/>
          <w:sz w:val="24"/>
          <w:szCs w:val="24"/>
          <w:highlight w:val="none"/>
        </w:rPr>
      </w:pPr>
      <w:r>
        <w:rPr>
          <w:rFonts w:hint="eastAsia" w:cs="Arial"/>
          <w:b/>
          <w:bCs/>
          <w:sz w:val="24"/>
          <w:szCs w:val="24"/>
          <w:highlight w:val="none"/>
        </w:rPr>
        <w:t xml:space="preserve">软件建设清单如下：</w:t>
      </w:r>
      <w:r/>
    </w:p>
    <w:tbl>
      <w:tblPr>
        <w:tblStyle w:val="996"/>
        <w:tblW w:w="83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5"/>
        <w:gridCol w:w="1566"/>
        <w:gridCol w:w="3260"/>
        <w:gridCol w:w="740"/>
        <w:gridCol w:w="740"/>
        <w:gridCol w:w="1124"/>
      </w:tblGrid>
      <w:tr>
        <w:trPr/>
        <w:tc>
          <w:tcPr>
            <w:tcW w:w="895" w:type="dxa"/>
            <w:vAlign w:val="center"/>
            <w:textDirection w:val="lrTb"/>
            <w:noWrap w:val="false"/>
          </w:tcPr>
          <w:p>
            <w:pPr>
              <w:jc w:val="center"/>
              <w:rPr>
                <w:rFonts w:ascii="黑体" w:hAnsi="黑体" w:eastAsia="黑体" w:cs="黑体"/>
                <w:sz w:val="24"/>
                <w:szCs w:val="24"/>
                <w:highlight w:val="none"/>
              </w:rPr>
            </w:pPr>
            <w:r>
              <w:rPr>
                <w:rFonts w:hint="eastAsia" w:ascii="黑体" w:hAnsi="黑体" w:eastAsia="黑体" w:cs="黑体"/>
                <w:sz w:val="24"/>
                <w:szCs w:val="24"/>
                <w:highlight w:val="none"/>
              </w:rPr>
              <w:t xml:space="preserve">序号</w:t>
            </w:r>
            <w:r/>
          </w:p>
        </w:tc>
        <w:tc>
          <w:tcPr>
            <w:tcW w:w="1566" w:type="dxa"/>
            <w:vAlign w:val="center"/>
            <w:textDirection w:val="lrTb"/>
            <w:noWrap w:val="false"/>
          </w:tcPr>
          <w:p>
            <w:pPr>
              <w:jc w:val="center"/>
              <w:rPr>
                <w:rFonts w:ascii="黑体" w:hAnsi="黑体" w:eastAsia="黑体" w:cs="黑体"/>
                <w:sz w:val="24"/>
                <w:szCs w:val="24"/>
                <w:highlight w:val="none"/>
              </w:rPr>
            </w:pPr>
            <w:r>
              <w:rPr>
                <w:rFonts w:hint="eastAsia" w:ascii="黑体" w:hAnsi="黑体" w:eastAsia="黑体" w:cs="黑体"/>
                <w:sz w:val="24"/>
                <w:szCs w:val="24"/>
                <w:highlight w:val="none"/>
              </w:rPr>
              <w:t xml:space="preserve">名称</w:t>
            </w:r>
            <w:r/>
          </w:p>
        </w:tc>
        <w:tc>
          <w:tcPr>
            <w:tcW w:w="3260" w:type="dxa"/>
            <w:vAlign w:val="center"/>
            <w:textDirection w:val="lrTb"/>
            <w:noWrap w:val="false"/>
          </w:tcPr>
          <w:p>
            <w:pPr>
              <w:jc w:val="center"/>
              <w:rPr>
                <w:rFonts w:ascii="黑体" w:hAnsi="黑体" w:eastAsia="黑体" w:cs="黑体"/>
                <w:sz w:val="24"/>
                <w:szCs w:val="24"/>
                <w:highlight w:val="none"/>
              </w:rPr>
            </w:pPr>
            <w:r>
              <w:rPr>
                <w:rFonts w:hint="eastAsia" w:ascii="黑体" w:hAnsi="黑体" w:eastAsia="黑体" w:cs="黑体"/>
                <w:sz w:val="24"/>
                <w:szCs w:val="24"/>
                <w:highlight w:val="none"/>
              </w:rPr>
              <w:t xml:space="preserve">说明</w:t>
            </w:r>
            <w:r/>
          </w:p>
        </w:tc>
        <w:tc>
          <w:tcPr>
            <w:tcW w:w="740" w:type="dxa"/>
            <w:vAlign w:val="center"/>
            <w:textDirection w:val="lrTb"/>
            <w:noWrap w:val="false"/>
          </w:tcPr>
          <w:p>
            <w:pPr>
              <w:jc w:val="center"/>
              <w:rPr>
                <w:rFonts w:ascii="黑体" w:hAnsi="黑体" w:eastAsia="黑体" w:cs="黑体"/>
                <w:sz w:val="24"/>
                <w:szCs w:val="24"/>
                <w:highlight w:val="none"/>
              </w:rPr>
            </w:pPr>
            <w:r>
              <w:rPr>
                <w:rFonts w:hint="eastAsia" w:ascii="黑体" w:hAnsi="黑体" w:eastAsia="黑体" w:cs="黑体"/>
                <w:sz w:val="24"/>
                <w:szCs w:val="24"/>
                <w:highlight w:val="none"/>
              </w:rPr>
              <w:t xml:space="preserve">数量</w:t>
            </w:r>
            <w:r/>
          </w:p>
        </w:tc>
        <w:tc>
          <w:tcPr>
            <w:tcW w:w="740" w:type="dxa"/>
            <w:vAlign w:val="center"/>
            <w:textDirection w:val="lrTb"/>
            <w:noWrap w:val="false"/>
          </w:tcPr>
          <w:p>
            <w:pPr>
              <w:jc w:val="center"/>
              <w:rPr>
                <w:rFonts w:ascii="黑体" w:hAnsi="黑体" w:eastAsia="黑体" w:cs="黑体"/>
                <w:sz w:val="24"/>
                <w:szCs w:val="24"/>
                <w:highlight w:val="none"/>
              </w:rPr>
            </w:pPr>
            <w:r>
              <w:rPr>
                <w:rFonts w:hint="eastAsia" w:ascii="黑体" w:hAnsi="黑体" w:eastAsia="黑体" w:cs="黑体"/>
                <w:sz w:val="24"/>
                <w:szCs w:val="24"/>
                <w:highlight w:val="none"/>
              </w:rPr>
              <w:t xml:space="preserve">单位</w:t>
            </w:r>
            <w:r/>
          </w:p>
        </w:tc>
        <w:tc>
          <w:tcPr>
            <w:tcW w:w="1124" w:type="dxa"/>
            <w:vAlign w:val="center"/>
            <w:textDirection w:val="lrTb"/>
            <w:noWrap w:val="false"/>
          </w:tcPr>
          <w:p>
            <w:pPr>
              <w:jc w:val="center"/>
              <w:rPr>
                <w:rFonts w:ascii="黑体" w:hAnsi="黑体" w:eastAsia="黑体" w:cs="黑体"/>
                <w:sz w:val="24"/>
                <w:szCs w:val="24"/>
                <w:highlight w:val="none"/>
              </w:rPr>
            </w:pPr>
            <w:r>
              <w:rPr>
                <w:rFonts w:hint="eastAsia" w:ascii="黑体" w:hAnsi="黑体" w:eastAsia="黑体" w:cs="黑体"/>
                <w:sz w:val="24"/>
                <w:szCs w:val="24"/>
                <w:highlight w:val="none"/>
              </w:rPr>
              <w:t xml:space="preserve">详细要求</w:t>
            </w:r>
            <w:r/>
          </w:p>
        </w:tc>
      </w:tr>
      <w:tr>
        <w:trPr/>
        <w:tc>
          <w:tcPr>
            <w:tcW w:w="895" w:type="dxa"/>
            <w:vAlign w:val="center"/>
            <w:textDirection w:val="lrTb"/>
            <w:noWrap w:val="false"/>
          </w:tcPr>
          <w:p>
            <w:pPr>
              <w:jc w:val="center"/>
              <w:rPr>
                <w:sz w:val="24"/>
                <w:szCs w:val="24"/>
                <w:highlight w:val="none"/>
              </w:rPr>
            </w:pPr>
            <w:r>
              <w:rPr>
                <w:sz w:val="24"/>
                <w:szCs w:val="24"/>
                <w:highlight w:val="none"/>
              </w:rPr>
              <w:t xml:space="preserve">1</w:t>
            </w:r>
            <w:r/>
          </w:p>
        </w:tc>
        <w:tc>
          <w:tcPr>
            <w:tcW w:w="1566"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“公共资源交易AI+服务"统一管理系统</w:t>
            </w:r>
            <w:r/>
          </w:p>
        </w:tc>
        <w:tc>
          <w:tcPr>
            <w:tcW w:w="3260" w:type="dxa"/>
            <w:vAlign w:val="center"/>
            <w:textDirection w:val="lrTb"/>
            <w:noWrap w:val="false"/>
          </w:tcPr>
          <w:p>
            <w:pPr>
              <w:jc w:val="left"/>
              <w:rPr>
                <w:sz w:val="24"/>
                <w:szCs w:val="24"/>
                <w:highlight w:val="none"/>
              </w:rPr>
            </w:pPr>
            <w:r>
              <w:rPr>
                <w:rFonts w:hint="eastAsia"/>
                <w:sz w:val="24"/>
                <w:szCs w:val="24"/>
                <w:highlight w:val="none"/>
              </w:rPr>
              <w:t xml:space="preserve">对接语音实时监测、视频分析、行为分析、虚拟评标、身份识别等子系统，实现全场景功能可视化配置与统一管理。</w:t>
            </w:r>
            <w:r/>
          </w:p>
        </w:tc>
        <w:tc>
          <w:tcPr>
            <w:tcW w:w="740" w:type="dxa"/>
            <w:vAlign w:val="center"/>
            <w:textDirection w:val="lrTb"/>
            <w:noWrap w:val="false"/>
          </w:tcPr>
          <w:p>
            <w:pPr>
              <w:jc w:val="center"/>
              <w:rPr>
                <w:sz w:val="24"/>
                <w:szCs w:val="24"/>
                <w:highlight w:val="none"/>
              </w:rPr>
            </w:pPr>
            <w:r>
              <w:rPr>
                <w:sz w:val="24"/>
                <w:szCs w:val="24"/>
                <w:highlight w:val="none"/>
              </w:rPr>
              <w:t xml:space="preserve">1</w:t>
            </w:r>
            <w:r/>
          </w:p>
        </w:tc>
        <w:tc>
          <w:tcPr>
            <w:tcW w:w="740" w:type="dxa"/>
            <w:vAlign w:val="center"/>
            <w:textDirection w:val="lrTb"/>
            <w:noWrap w:val="false"/>
          </w:tcPr>
          <w:p>
            <w:pPr>
              <w:jc w:val="center"/>
              <w:rPr>
                <w:sz w:val="24"/>
                <w:szCs w:val="24"/>
                <w:highlight w:val="none"/>
              </w:rPr>
            </w:pPr>
            <w:r>
              <w:rPr>
                <w:rFonts w:hint="eastAsia"/>
                <w:sz w:val="24"/>
                <w:szCs w:val="24"/>
                <w:highlight w:val="none"/>
              </w:rPr>
              <w:t xml:space="preserve">项</w:t>
            </w:r>
            <w:r/>
          </w:p>
        </w:tc>
        <w:tc>
          <w:tcPr>
            <w:tcW w:w="1124" w:type="dxa"/>
            <w:vAlign w:val="center"/>
            <w:textDirection w:val="lrTb"/>
            <w:noWrap w:val="false"/>
          </w:tcPr>
          <w:p>
            <w:pPr>
              <w:jc w:val="center"/>
              <w:rPr>
                <w:sz w:val="24"/>
                <w:szCs w:val="24"/>
                <w:highlight w:val="none"/>
              </w:rPr>
            </w:pPr>
            <w:r>
              <w:rPr>
                <w:rFonts w:hint="eastAsia"/>
                <w:sz w:val="24"/>
                <w:szCs w:val="24"/>
                <w:highlight w:val="none"/>
              </w:rPr>
              <w:t xml:space="preserve">详见2.1.1</w:t>
            </w:r>
            <w:r/>
          </w:p>
        </w:tc>
      </w:tr>
      <w:tr>
        <w:trPr/>
        <w:tc>
          <w:tcPr>
            <w:tcW w:w="895" w:type="dxa"/>
            <w:vAlign w:val="center"/>
            <w:textDirection w:val="lrTb"/>
            <w:noWrap w:val="false"/>
          </w:tcPr>
          <w:p>
            <w:pPr>
              <w:jc w:val="center"/>
              <w:rPr>
                <w:sz w:val="24"/>
                <w:szCs w:val="24"/>
                <w:highlight w:val="none"/>
              </w:rPr>
            </w:pPr>
            <w:r>
              <w:rPr>
                <w:sz w:val="24"/>
                <w:szCs w:val="24"/>
                <w:highlight w:val="none"/>
              </w:rPr>
              <w:t xml:space="preserve">2</w:t>
            </w:r>
            <w:r/>
          </w:p>
        </w:tc>
        <w:tc>
          <w:tcPr>
            <w:tcW w:w="1566" w:type="dxa"/>
            <w:vAlign w:val="center"/>
            <w:textDirection w:val="lrTb"/>
            <w:noWrap w:val="false"/>
          </w:tcPr>
          <w:p>
            <w:pPr>
              <w:jc w:val="center"/>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智能体开发</w:t>
            </w:r>
            <w:r/>
          </w:p>
        </w:tc>
        <w:tc>
          <w:tcPr>
            <w:tcW w:w="3260" w:type="dxa"/>
            <w:vAlign w:val="center"/>
            <w:textDirection w:val="lrTb"/>
            <w:noWrap w:val="false"/>
          </w:tcPr>
          <w:p>
            <w:pPr>
              <w:jc w:val="left"/>
              <w:rPr>
                <w:sz w:val="24"/>
                <w:szCs w:val="24"/>
                <w:highlight w:val="none"/>
              </w:rPr>
            </w:pPr>
            <w:r>
              <w:rPr>
                <w:rFonts w:hint="eastAsia" w:ascii="宋体" w:hAnsi="宋体" w:cs="宋体"/>
                <w:sz w:val="24"/>
                <w:szCs w:val="24"/>
                <w:highlight w:val="none"/>
              </w:rPr>
              <w:t xml:space="preserve">基于扬州市政务云已部署大模型能力构建智能体应用，实现评标全流程智能化管控（语音合规性筛查）与咨询交互等服务。</w:t>
            </w:r>
            <w:r/>
          </w:p>
        </w:tc>
        <w:tc>
          <w:tcPr>
            <w:tcW w:w="740" w:type="dxa"/>
            <w:vAlign w:val="center"/>
            <w:textDirection w:val="lrTb"/>
            <w:noWrap w:val="false"/>
          </w:tcPr>
          <w:p>
            <w:pPr>
              <w:jc w:val="center"/>
              <w:rPr>
                <w:sz w:val="24"/>
                <w:szCs w:val="24"/>
                <w:highlight w:val="none"/>
              </w:rPr>
            </w:pPr>
            <w:r>
              <w:rPr>
                <w:sz w:val="24"/>
                <w:szCs w:val="24"/>
                <w:highlight w:val="none"/>
              </w:rPr>
              <w:t xml:space="preserve">1</w:t>
            </w:r>
            <w:r/>
          </w:p>
        </w:tc>
        <w:tc>
          <w:tcPr>
            <w:tcW w:w="740" w:type="dxa"/>
            <w:vAlign w:val="center"/>
            <w:textDirection w:val="lrTb"/>
            <w:noWrap w:val="false"/>
          </w:tcPr>
          <w:p>
            <w:pPr>
              <w:jc w:val="center"/>
              <w:rPr>
                <w:sz w:val="24"/>
                <w:szCs w:val="24"/>
                <w:highlight w:val="none"/>
              </w:rPr>
            </w:pPr>
            <w:r>
              <w:rPr>
                <w:rFonts w:hint="eastAsia"/>
                <w:sz w:val="24"/>
                <w:szCs w:val="24"/>
                <w:highlight w:val="none"/>
              </w:rPr>
              <w:t xml:space="preserve">项</w:t>
            </w:r>
            <w:r/>
          </w:p>
        </w:tc>
        <w:tc>
          <w:tcPr>
            <w:tcW w:w="1124" w:type="dxa"/>
            <w:vAlign w:val="center"/>
            <w:textDirection w:val="lrTb"/>
            <w:noWrap w:val="false"/>
          </w:tcPr>
          <w:p>
            <w:pPr>
              <w:jc w:val="center"/>
              <w:rPr>
                <w:sz w:val="24"/>
                <w:szCs w:val="24"/>
                <w:highlight w:val="none"/>
              </w:rPr>
            </w:pPr>
            <w:r>
              <w:rPr>
                <w:rFonts w:hint="eastAsia"/>
                <w:sz w:val="24"/>
                <w:szCs w:val="24"/>
                <w:highlight w:val="none"/>
              </w:rPr>
              <w:t xml:space="preserve">详见2.1.2</w:t>
            </w:r>
            <w:r/>
          </w:p>
        </w:tc>
      </w:tr>
      <w:tr>
        <w:trPr/>
        <w:tc>
          <w:tcPr>
            <w:tcW w:w="895" w:type="dxa"/>
            <w:vAlign w:val="center"/>
            <w:textDirection w:val="lrTb"/>
            <w:noWrap w:val="false"/>
          </w:tcPr>
          <w:p>
            <w:pPr>
              <w:jc w:val="center"/>
              <w:rPr>
                <w:sz w:val="24"/>
                <w:szCs w:val="24"/>
                <w:highlight w:val="none"/>
              </w:rPr>
            </w:pPr>
            <w:r>
              <w:rPr>
                <w:sz w:val="24"/>
                <w:szCs w:val="24"/>
                <w:highlight w:val="none"/>
              </w:rPr>
              <w:t xml:space="preserve">3</w:t>
            </w:r>
            <w:r/>
          </w:p>
        </w:tc>
        <w:tc>
          <w:tcPr>
            <w:tcW w:w="1566"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虚拟数字人系统</w:t>
            </w:r>
            <w:r/>
          </w:p>
        </w:tc>
        <w:tc>
          <w:tcPr>
            <w:tcW w:w="3260" w:type="dxa"/>
            <w:vAlign w:val="center"/>
            <w:textDirection w:val="lrTb"/>
            <w:noWrap w:val="false"/>
          </w:tcPr>
          <w:p>
            <w:pPr>
              <w:jc w:val="left"/>
              <w:rPr>
                <w:sz w:val="24"/>
                <w:szCs w:val="24"/>
                <w:highlight w:val="none"/>
              </w:rPr>
            </w:pPr>
            <w:r>
              <w:rPr>
                <w:rFonts w:hint="eastAsia"/>
                <w:sz w:val="24"/>
                <w:szCs w:val="24"/>
                <w:highlight w:val="none"/>
              </w:rPr>
              <w:t xml:space="preserve">利用虚拟数字人驱动技术，结合对话引擎与大模型能力，打造个性化人工智能应用，通过多终端接入提供语音交互及数字人场景应用服务。</w:t>
            </w:r>
            <w:r/>
          </w:p>
        </w:tc>
        <w:tc>
          <w:tcPr>
            <w:tcW w:w="740" w:type="dxa"/>
            <w:vAlign w:val="center"/>
            <w:textDirection w:val="lrTb"/>
            <w:noWrap w:val="false"/>
          </w:tcPr>
          <w:p>
            <w:pPr>
              <w:jc w:val="center"/>
              <w:rPr>
                <w:sz w:val="24"/>
                <w:szCs w:val="24"/>
                <w:highlight w:val="none"/>
              </w:rPr>
            </w:pPr>
            <w:r>
              <w:rPr>
                <w:sz w:val="24"/>
                <w:szCs w:val="24"/>
                <w:highlight w:val="none"/>
              </w:rPr>
              <w:t xml:space="preserve">1</w:t>
            </w:r>
            <w:r/>
          </w:p>
        </w:tc>
        <w:tc>
          <w:tcPr>
            <w:tcW w:w="740" w:type="dxa"/>
            <w:vAlign w:val="center"/>
            <w:textDirection w:val="lrTb"/>
            <w:noWrap w:val="false"/>
          </w:tcPr>
          <w:p>
            <w:pPr>
              <w:jc w:val="center"/>
              <w:rPr>
                <w:sz w:val="24"/>
                <w:szCs w:val="24"/>
                <w:highlight w:val="none"/>
              </w:rPr>
            </w:pPr>
            <w:r>
              <w:rPr>
                <w:rFonts w:hint="eastAsia"/>
                <w:sz w:val="24"/>
                <w:szCs w:val="24"/>
                <w:highlight w:val="none"/>
              </w:rPr>
              <w:t xml:space="preserve">项</w:t>
            </w:r>
            <w:r/>
          </w:p>
        </w:tc>
        <w:tc>
          <w:tcPr>
            <w:tcW w:w="1124" w:type="dxa"/>
            <w:vAlign w:val="center"/>
            <w:textDirection w:val="lrTb"/>
            <w:noWrap w:val="false"/>
          </w:tcPr>
          <w:p>
            <w:pPr>
              <w:jc w:val="center"/>
              <w:rPr>
                <w:sz w:val="24"/>
                <w:szCs w:val="24"/>
                <w:highlight w:val="none"/>
              </w:rPr>
            </w:pPr>
            <w:r>
              <w:rPr>
                <w:rFonts w:hint="eastAsia"/>
                <w:sz w:val="24"/>
                <w:szCs w:val="24"/>
                <w:highlight w:val="none"/>
              </w:rPr>
              <w:t xml:space="preserve">详见2.1.3</w:t>
            </w:r>
            <w:r/>
          </w:p>
        </w:tc>
      </w:tr>
      <w:tr>
        <w:trPr/>
        <w:tc>
          <w:tcPr>
            <w:tcW w:w="895" w:type="dxa"/>
            <w:vAlign w:val="center"/>
            <w:textDirection w:val="lrTb"/>
            <w:noWrap w:val="false"/>
          </w:tcPr>
          <w:p>
            <w:pPr>
              <w:jc w:val="center"/>
              <w:rPr>
                <w:sz w:val="24"/>
                <w:szCs w:val="24"/>
                <w:highlight w:val="none"/>
              </w:rPr>
            </w:pPr>
            <w:r>
              <w:rPr>
                <w:sz w:val="24"/>
                <w:szCs w:val="24"/>
                <w:highlight w:val="none"/>
              </w:rPr>
              <w:t xml:space="preserve">4</w:t>
            </w:r>
            <w:r/>
          </w:p>
        </w:tc>
        <w:tc>
          <w:tcPr>
            <w:tcW w:w="1566"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语音实时监测系统</w:t>
            </w:r>
            <w:r/>
          </w:p>
        </w:tc>
        <w:tc>
          <w:tcPr>
            <w:tcW w:w="3260" w:type="dxa"/>
            <w:vAlign w:val="center"/>
            <w:textDirection w:val="lrTb"/>
            <w:noWrap w:val="false"/>
          </w:tcPr>
          <w:p>
            <w:pPr>
              <w:jc w:val="left"/>
              <w:rPr>
                <w:sz w:val="24"/>
                <w:szCs w:val="24"/>
                <w:highlight w:val="none"/>
              </w:rPr>
            </w:pPr>
            <w:r>
              <w:rPr>
                <w:rFonts w:hint="eastAsia" w:ascii="宋体" w:hAnsi="宋体" w:cs="宋体"/>
                <w:sz w:val="24"/>
                <w:szCs w:val="24"/>
                <w:highlight w:val="none"/>
              </w:rPr>
              <w:t xml:space="preserve">实时拾取评标现场音频，利用大模型推理进行实时预警分析，精准识别专家及人员的倾向性、诱导性等违规言论，并通过自动化预警机制及时响应。</w:t>
            </w:r>
            <w:r/>
          </w:p>
        </w:tc>
        <w:tc>
          <w:tcPr>
            <w:tcW w:w="740" w:type="dxa"/>
            <w:vAlign w:val="center"/>
            <w:textDirection w:val="lrTb"/>
            <w:noWrap w:val="false"/>
          </w:tcPr>
          <w:p>
            <w:pPr>
              <w:jc w:val="center"/>
              <w:rPr>
                <w:sz w:val="24"/>
                <w:szCs w:val="24"/>
                <w:highlight w:val="none"/>
              </w:rPr>
            </w:pPr>
            <w:r>
              <w:rPr>
                <w:sz w:val="24"/>
                <w:szCs w:val="24"/>
                <w:highlight w:val="none"/>
              </w:rPr>
              <w:t xml:space="preserve">1</w:t>
            </w:r>
            <w:r/>
          </w:p>
        </w:tc>
        <w:tc>
          <w:tcPr>
            <w:tcW w:w="740" w:type="dxa"/>
            <w:vAlign w:val="center"/>
            <w:textDirection w:val="lrTb"/>
            <w:noWrap w:val="false"/>
          </w:tcPr>
          <w:p>
            <w:pPr>
              <w:jc w:val="center"/>
              <w:rPr>
                <w:sz w:val="24"/>
                <w:szCs w:val="24"/>
                <w:highlight w:val="none"/>
              </w:rPr>
            </w:pPr>
            <w:r>
              <w:rPr>
                <w:rFonts w:hint="eastAsia"/>
                <w:sz w:val="24"/>
                <w:szCs w:val="24"/>
                <w:highlight w:val="none"/>
              </w:rPr>
              <w:t xml:space="preserve">项</w:t>
            </w:r>
            <w:r/>
          </w:p>
        </w:tc>
        <w:tc>
          <w:tcPr>
            <w:tcW w:w="1124" w:type="dxa"/>
            <w:vAlign w:val="center"/>
            <w:textDirection w:val="lrTb"/>
            <w:noWrap w:val="false"/>
          </w:tcPr>
          <w:p>
            <w:pPr>
              <w:jc w:val="center"/>
              <w:rPr>
                <w:sz w:val="24"/>
                <w:szCs w:val="24"/>
                <w:highlight w:val="none"/>
              </w:rPr>
            </w:pPr>
            <w:r>
              <w:rPr>
                <w:rFonts w:hint="eastAsia"/>
                <w:sz w:val="24"/>
                <w:szCs w:val="24"/>
                <w:highlight w:val="none"/>
              </w:rPr>
              <w:t xml:space="preserve">详见2.1.4</w:t>
            </w:r>
            <w:r/>
          </w:p>
        </w:tc>
      </w:tr>
      <w:tr>
        <w:trPr/>
        <w:tc>
          <w:tcPr>
            <w:tcW w:w="895" w:type="dxa"/>
            <w:vAlign w:val="center"/>
            <w:textDirection w:val="lrTb"/>
            <w:noWrap w:val="false"/>
          </w:tcPr>
          <w:p>
            <w:pPr>
              <w:jc w:val="center"/>
              <w:rPr>
                <w:sz w:val="24"/>
                <w:szCs w:val="24"/>
                <w:highlight w:val="none"/>
              </w:rPr>
            </w:pPr>
            <w:r>
              <w:rPr>
                <w:sz w:val="24"/>
                <w:szCs w:val="24"/>
                <w:highlight w:val="none"/>
              </w:rPr>
              <w:t xml:space="preserve">5</w:t>
            </w:r>
            <w:r/>
          </w:p>
        </w:tc>
        <w:tc>
          <w:tcPr>
            <w:tcW w:w="1566"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视频分析系统</w:t>
            </w:r>
            <w:r/>
          </w:p>
        </w:tc>
        <w:tc>
          <w:tcPr>
            <w:tcW w:w="3260" w:type="dxa"/>
            <w:vAlign w:val="center"/>
            <w:textDirection w:val="lrTb"/>
            <w:noWrap w:val="false"/>
          </w:tcPr>
          <w:p>
            <w:pPr>
              <w:jc w:val="left"/>
              <w:rPr>
                <w:sz w:val="24"/>
                <w:szCs w:val="24"/>
                <w:highlight w:val="none"/>
              </w:rPr>
            </w:pPr>
            <w:r>
              <w:rPr>
                <w:rFonts w:hint="eastAsia" w:ascii="Segoe UI" w:hAnsi="Segoe UI" w:eastAsia="Segoe UI" w:cs="Segoe UI"/>
                <w:color w:val="0f1115"/>
                <w:sz w:val="24"/>
                <w:szCs w:val="24"/>
                <w:highlight w:val="none"/>
                <w:shd w:val="clear" w:color="auto" w:fill="ffffff"/>
              </w:rPr>
              <w:t xml:space="preserve">实时监控评标区域，对各类违规及异常行为进行分析、监测、预警、取证，支持视频预览、录像回放、全景监控及人员轨迹追踪</w:t>
            </w:r>
            <w:r>
              <w:rPr>
                <w:rFonts w:hint="eastAsia" w:ascii="Segoe UI" w:hAnsi="Segoe UI" w:cs="Segoe UI"/>
                <w:color w:val="0f1115"/>
                <w:sz w:val="24"/>
                <w:szCs w:val="24"/>
                <w:highlight w:val="none"/>
                <w:shd w:val="clear" w:color="auto" w:fill="ffffff"/>
              </w:rPr>
              <w:t xml:space="preserve">。</w:t>
            </w:r>
            <w:r/>
          </w:p>
        </w:tc>
        <w:tc>
          <w:tcPr>
            <w:tcW w:w="740" w:type="dxa"/>
            <w:vAlign w:val="center"/>
            <w:textDirection w:val="lrTb"/>
            <w:noWrap w:val="false"/>
          </w:tcPr>
          <w:p>
            <w:pPr>
              <w:jc w:val="center"/>
              <w:rPr>
                <w:sz w:val="24"/>
                <w:szCs w:val="24"/>
                <w:highlight w:val="none"/>
              </w:rPr>
            </w:pPr>
            <w:r>
              <w:rPr>
                <w:sz w:val="24"/>
                <w:szCs w:val="24"/>
                <w:highlight w:val="none"/>
              </w:rPr>
              <w:t xml:space="preserve">1</w:t>
            </w:r>
            <w:r/>
          </w:p>
        </w:tc>
        <w:tc>
          <w:tcPr>
            <w:tcW w:w="740" w:type="dxa"/>
            <w:vAlign w:val="center"/>
            <w:textDirection w:val="lrTb"/>
            <w:noWrap w:val="false"/>
          </w:tcPr>
          <w:p>
            <w:pPr>
              <w:jc w:val="center"/>
              <w:rPr>
                <w:sz w:val="24"/>
                <w:szCs w:val="24"/>
                <w:highlight w:val="none"/>
              </w:rPr>
            </w:pPr>
            <w:r>
              <w:rPr>
                <w:rFonts w:hint="eastAsia"/>
                <w:sz w:val="24"/>
                <w:szCs w:val="24"/>
                <w:highlight w:val="none"/>
              </w:rPr>
              <w:t xml:space="preserve">项</w:t>
            </w:r>
            <w:r/>
          </w:p>
        </w:tc>
        <w:tc>
          <w:tcPr>
            <w:tcW w:w="1124" w:type="dxa"/>
            <w:vAlign w:val="center"/>
            <w:textDirection w:val="lrTb"/>
            <w:noWrap w:val="false"/>
          </w:tcPr>
          <w:p>
            <w:pPr>
              <w:jc w:val="center"/>
              <w:rPr>
                <w:sz w:val="24"/>
                <w:szCs w:val="24"/>
                <w:highlight w:val="none"/>
              </w:rPr>
            </w:pPr>
            <w:r>
              <w:rPr>
                <w:rFonts w:hint="eastAsia"/>
                <w:sz w:val="24"/>
                <w:szCs w:val="24"/>
                <w:highlight w:val="none"/>
              </w:rPr>
              <w:t xml:space="preserve">详见2.1.5</w:t>
            </w:r>
            <w:r/>
          </w:p>
        </w:tc>
      </w:tr>
      <w:tr>
        <w:trPr/>
        <w:tc>
          <w:tcPr>
            <w:tcW w:w="895" w:type="dxa"/>
            <w:vAlign w:val="center"/>
            <w:textDirection w:val="lrTb"/>
            <w:noWrap w:val="false"/>
          </w:tcPr>
          <w:p>
            <w:pPr>
              <w:jc w:val="center"/>
              <w:rPr>
                <w:sz w:val="24"/>
                <w:szCs w:val="24"/>
                <w:highlight w:val="none"/>
              </w:rPr>
            </w:pPr>
            <w:r>
              <w:rPr>
                <w:sz w:val="24"/>
                <w:szCs w:val="24"/>
                <w:highlight w:val="none"/>
              </w:rPr>
              <w:t xml:space="preserve">6</w:t>
            </w:r>
            <w:r/>
          </w:p>
        </w:tc>
        <w:tc>
          <w:tcPr>
            <w:tcW w:w="1566"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身份识别管理系统</w:t>
            </w:r>
            <w:r/>
          </w:p>
        </w:tc>
        <w:tc>
          <w:tcPr>
            <w:tcW w:w="3260" w:type="dxa"/>
            <w:vAlign w:val="center"/>
            <w:textDirection w:val="lrTb"/>
            <w:noWrap w:val="false"/>
          </w:tcPr>
          <w:p>
            <w:pPr>
              <w:jc w:val="left"/>
              <w:rPr>
                <w:sz w:val="24"/>
                <w:szCs w:val="24"/>
                <w:highlight w:val="none"/>
              </w:rPr>
            </w:pPr>
            <w:r>
              <w:rPr>
                <w:rFonts w:hint="eastAsia" w:ascii="Segoe UI" w:hAnsi="Segoe UI" w:cs="Segoe UI"/>
                <w:color w:val="0f1115"/>
                <w:sz w:val="24"/>
                <w:szCs w:val="24"/>
                <w:highlight w:val="none"/>
                <w:shd w:val="clear" w:color="auto" w:fill="ffffff"/>
              </w:rPr>
              <w:t xml:space="preserve">通过</w:t>
            </w:r>
            <w:r>
              <w:rPr>
                <w:rFonts w:hint="eastAsia" w:ascii="Segoe UI" w:hAnsi="Segoe UI" w:eastAsia="Segoe UI" w:cs="Segoe UI"/>
                <w:color w:val="0f1115"/>
                <w:sz w:val="24"/>
                <w:szCs w:val="24"/>
                <w:highlight w:val="none"/>
                <w:shd w:val="clear" w:color="auto" w:fill="ffffff"/>
              </w:rPr>
              <w:t xml:space="preserve">采集人员人脸、穿戴等生物特征信息，实现进出身份核验与记录，支持与视频分析系统协同开展行为、轨迹分析监测及预警管控</w:t>
            </w:r>
            <w:r>
              <w:rPr>
                <w:rFonts w:hint="eastAsia" w:ascii="Segoe UI" w:hAnsi="Segoe UI" w:cs="Segoe UI"/>
                <w:color w:val="0f1115"/>
                <w:sz w:val="24"/>
                <w:szCs w:val="24"/>
                <w:highlight w:val="none"/>
                <w:shd w:val="clear" w:color="auto" w:fill="ffffff"/>
              </w:rPr>
              <w:t xml:space="preserve">。</w:t>
            </w:r>
            <w:r/>
          </w:p>
        </w:tc>
        <w:tc>
          <w:tcPr>
            <w:tcW w:w="740" w:type="dxa"/>
            <w:vAlign w:val="center"/>
            <w:textDirection w:val="lrTb"/>
            <w:noWrap w:val="false"/>
          </w:tcPr>
          <w:p>
            <w:pPr>
              <w:jc w:val="center"/>
              <w:rPr>
                <w:sz w:val="24"/>
                <w:szCs w:val="24"/>
                <w:highlight w:val="none"/>
              </w:rPr>
            </w:pPr>
            <w:r>
              <w:rPr>
                <w:sz w:val="24"/>
                <w:szCs w:val="24"/>
                <w:highlight w:val="none"/>
              </w:rPr>
              <w:t xml:space="preserve">1</w:t>
            </w:r>
            <w:r/>
          </w:p>
        </w:tc>
        <w:tc>
          <w:tcPr>
            <w:tcW w:w="740" w:type="dxa"/>
            <w:vAlign w:val="center"/>
            <w:textDirection w:val="lrTb"/>
            <w:noWrap w:val="false"/>
          </w:tcPr>
          <w:p>
            <w:pPr>
              <w:jc w:val="center"/>
              <w:rPr>
                <w:sz w:val="24"/>
                <w:szCs w:val="24"/>
                <w:highlight w:val="none"/>
              </w:rPr>
            </w:pPr>
            <w:r>
              <w:rPr>
                <w:rFonts w:hint="eastAsia"/>
                <w:sz w:val="24"/>
                <w:szCs w:val="24"/>
                <w:highlight w:val="none"/>
              </w:rPr>
              <w:t xml:space="preserve">项</w:t>
            </w:r>
            <w:r/>
          </w:p>
        </w:tc>
        <w:tc>
          <w:tcPr>
            <w:tcW w:w="1124" w:type="dxa"/>
            <w:vAlign w:val="center"/>
            <w:textDirection w:val="lrTb"/>
            <w:noWrap w:val="false"/>
          </w:tcPr>
          <w:p>
            <w:pPr>
              <w:jc w:val="center"/>
              <w:rPr>
                <w:sz w:val="24"/>
                <w:szCs w:val="24"/>
                <w:highlight w:val="none"/>
              </w:rPr>
            </w:pPr>
            <w:r>
              <w:rPr>
                <w:rFonts w:hint="eastAsia"/>
                <w:sz w:val="24"/>
                <w:szCs w:val="24"/>
                <w:highlight w:val="none"/>
              </w:rPr>
              <w:t xml:space="preserve">详见2.1.6</w:t>
            </w:r>
            <w:r/>
          </w:p>
        </w:tc>
      </w:tr>
      <w:tr>
        <w:trPr/>
        <w:tc>
          <w:tcPr>
            <w:tcW w:w="895" w:type="dxa"/>
            <w:vAlign w:val="center"/>
            <w:textDirection w:val="lrTb"/>
            <w:noWrap w:val="false"/>
          </w:tcPr>
          <w:p>
            <w:pPr>
              <w:jc w:val="center"/>
              <w:rPr>
                <w:sz w:val="24"/>
                <w:szCs w:val="24"/>
                <w:highlight w:val="none"/>
              </w:rPr>
            </w:pPr>
            <w:r>
              <w:rPr>
                <w:sz w:val="24"/>
                <w:szCs w:val="24"/>
                <w:highlight w:val="none"/>
              </w:rPr>
              <w:t xml:space="preserve">7</w:t>
            </w:r>
            <w:r/>
          </w:p>
        </w:tc>
        <w:tc>
          <w:tcPr>
            <w:tcW w:w="1566"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虚拟评标空间系统</w:t>
            </w:r>
            <w:r/>
          </w:p>
        </w:tc>
        <w:tc>
          <w:tcPr>
            <w:tcW w:w="3260" w:type="dxa"/>
            <w:vAlign w:val="center"/>
            <w:textDirection w:val="lrTb"/>
            <w:noWrap w:val="false"/>
          </w:tcPr>
          <w:p>
            <w:pPr>
              <w:jc w:val="left"/>
              <w:rPr>
                <w:sz w:val="24"/>
                <w:szCs w:val="24"/>
                <w:highlight w:val="none"/>
              </w:rPr>
            </w:pPr>
            <w:r>
              <w:rPr>
                <w:rFonts w:hint="eastAsia" w:ascii="Segoe UI" w:hAnsi="Segoe UI" w:eastAsia="Segoe UI" w:cs="Segoe UI"/>
                <w:color w:val="0f1115"/>
                <w:sz w:val="24"/>
                <w:szCs w:val="24"/>
                <w:highlight w:val="none"/>
                <w:shd w:val="clear" w:color="auto" w:fill="ffffff"/>
              </w:rPr>
              <w:t xml:space="preserve">建设工位制分散评标环境，包含云桌面与音视频交互系统，实现专家物理隔离、席位随机分配、虚拟评标室组建及全过程音视频存档</w:t>
            </w:r>
            <w:r>
              <w:rPr>
                <w:rFonts w:hint="eastAsia" w:ascii="Segoe UI" w:hAnsi="Segoe UI" w:cs="Segoe UI"/>
                <w:color w:val="0f1115"/>
                <w:sz w:val="24"/>
                <w:szCs w:val="24"/>
                <w:highlight w:val="none"/>
                <w:shd w:val="clear" w:color="auto" w:fill="ffffff"/>
              </w:rPr>
              <w:t xml:space="preserve">。</w:t>
            </w:r>
            <w:r/>
          </w:p>
        </w:tc>
        <w:tc>
          <w:tcPr>
            <w:tcW w:w="740" w:type="dxa"/>
            <w:vAlign w:val="center"/>
            <w:textDirection w:val="lrTb"/>
            <w:noWrap w:val="false"/>
          </w:tcPr>
          <w:p>
            <w:pPr>
              <w:jc w:val="center"/>
              <w:rPr>
                <w:sz w:val="24"/>
                <w:szCs w:val="24"/>
                <w:highlight w:val="none"/>
              </w:rPr>
            </w:pPr>
            <w:r>
              <w:rPr>
                <w:sz w:val="24"/>
                <w:szCs w:val="24"/>
                <w:highlight w:val="none"/>
              </w:rPr>
              <w:t xml:space="preserve">1</w:t>
            </w:r>
            <w:r/>
          </w:p>
        </w:tc>
        <w:tc>
          <w:tcPr>
            <w:tcW w:w="740" w:type="dxa"/>
            <w:vAlign w:val="center"/>
            <w:textDirection w:val="lrTb"/>
            <w:noWrap w:val="false"/>
          </w:tcPr>
          <w:p>
            <w:pPr>
              <w:jc w:val="center"/>
              <w:rPr>
                <w:sz w:val="24"/>
                <w:szCs w:val="24"/>
                <w:highlight w:val="none"/>
              </w:rPr>
            </w:pPr>
            <w:r>
              <w:rPr>
                <w:rFonts w:hint="eastAsia"/>
                <w:sz w:val="24"/>
                <w:szCs w:val="24"/>
                <w:highlight w:val="none"/>
              </w:rPr>
              <w:t xml:space="preserve">项</w:t>
            </w:r>
            <w:r/>
          </w:p>
        </w:tc>
        <w:tc>
          <w:tcPr>
            <w:tcW w:w="1124" w:type="dxa"/>
            <w:vAlign w:val="center"/>
            <w:textDirection w:val="lrTb"/>
            <w:noWrap w:val="false"/>
          </w:tcPr>
          <w:p>
            <w:pPr>
              <w:jc w:val="center"/>
              <w:rPr>
                <w:sz w:val="24"/>
                <w:szCs w:val="24"/>
                <w:highlight w:val="none"/>
              </w:rPr>
            </w:pPr>
            <w:r>
              <w:rPr>
                <w:rFonts w:hint="eastAsia"/>
                <w:sz w:val="24"/>
                <w:szCs w:val="24"/>
                <w:highlight w:val="none"/>
              </w:rPr>
              <w:t xml:space="preserve">详见2.1.7</w:t>
            </w:r>
            <w:r/>
          </w:p>
        </w:tc>
      </w:tr>
      <w:tr>
        <w:trPr/>
        <w:tc>
          <w:tcPr>
            <w:tcW w:w="895" w:type="dxa"/>
            <w:vAlign w:val="center"/>
            <w:textDirection w:val="lrTb"/>
            <w:noWrap w:val="false"/>
          </w:tcPr>
          <w:p>
            <w:pPr>
              <w:jc w:val="center"/>
              <w:rPr>
                <w:sz w:val="24"/>
                <w:szCs w:val="24"/>
                <w:highlight w:val="none"/>
              </w:rPr>
            </w:pPr>
            <w:r>
              <w:rPr>
                <w:sz w:val="24"/>
                <w:szCs w:val="24"/>
                <w:highlight w:val="none"/>
              </w:rPr>
              <w:t xml:space="preserve">8</w:t>
            </w:r>
            <w:r/>
          </w:p>
        </w:tc>
        <w:tc>
          <w:tcPr>
            <w:tcW w:w="1566"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系统对接与功能适配</w:t>
            </w:r>
            <w:r/>
          </w:p>
        </w:tc>
        <w:tc>
          <w:tcPr>
            <w:tcW w:w="3260" w:type="dxa"/>
            <w:vAlign w:val="center"/>
            <w:textDirection w:val="lrTb"/>
            <w:noWrap w:val="false"/>
          </w:tcPr>
          <w:p>
            <w:pPr>
              <w:jc w:val="left"/>
              <w:rPr>
                <w:sz w:val="24"/>
                <w:szCs w:val="24"/>
                <w:highlight w:val="none"/>
              </w:rPr>
            </w:pPr>
            <w:r>
              <w:rPr>
                <w:rFonts w:hint="eastAsia" w:ascii="Segoe UI" w:hAnsi="Segoe UI" w:eastAsia="Segoe UI" w:cs="Segoe UI"/>
                <w:color w:val="0f1115"/>
                <w:sz w:val="24"/>
                <w:szCs w:val="24"/>
                <w:highlight w:val="none"/>
                <w:shd w:val="clear" w:color="auto" w:fill="ffffff"/>
              </w:rPr>
              <w:t xml:space="preserve">按照标准接口规范，完成与扬州市公共资源交易平台、电子开评标系统、不见面开标系统、“莲动扬州”监管平台等的高效集成，实现数据实时传输</w:t>
            </w:r>
            <w:r>
              <w:rPr>
                <w:rFonts w:hint="eastAsia" w:ascii="Segoe UI" w:hAnsi="Segoe UI" w:cs="Segoe UI"/>
                <w:color w:val="0f1115"/>
                <w:sz w:val="24"/>
                <w:szCs w:val="24"/>
                <w:highlight w:val="none"/>
                <w:shd w:val="clear" w:color="auto" w:fill="ffffff"/>
              </w:rPr>
              <w:t xml:space="preserve">，</w:t>
            </w:r>
            <w:r>
              <w:rPr>
                <w:rFonts w:hint="eastAsia"/>
                <w:sz w:val="24"/>
                <w:szCs w:val="24"/>
                <w:highlight w:val="none"/>
              </w:rPr>
              <w:t xml:space="preserve">满足业务开展和监管服务的需要。</w:t>
            </w:r>
            <w:r/>
          </w:p>
        </w:tc>
        <w:tc>
          <w:tcPr>
            <w:tcW w:w="740" w:type="dxa"/>
            <w:vAlign w:val="center"/>
            <w:textDirection w:val="lrTb"/>
            <w:noWrap w:val="false"/>
          </w:tcPr>
          <w:p>
            <w:pPr>
              <w:jc w:val="center"/>
              <w:rPr>
                <w:sz w:val="24"/>
                <w:szCs w:val="24"/>
                <w:highlight w:val="none"/>
              </w:rPr>
            </w:pPr>
            <w:r>
              <w:rPr>
                <w:sz w:val="24"/>
                <w:szCs w:val="24"/>
                <w:highlight w:val="none"/>
              </w:rPr>
              <w:t xml:space="preserve">1</w:t>
            </w:r>
            <w:r/>
          </w:p>
        </w:tc>
        <w:tc>
          <w:tcPr>
            <w:tcW w:w="740" w:type="dxa"/>
            <w:vAlign w:val="center"/>
            <w:textDirection w:val="lrTb"/>
            <w:noWrap w:val="false"/>
          </w:tcPr>
          <w:p>
            <w:pPr>
              <w:jc w:val="center"/>
              <w:rPr>
                <w:sz w:val="24"/>
                <w:szCs w:val="24"/>
                <w:highlight w:val="none"/>
              </w:rPr>
            </w:pPr>
            <w:r>
              <w:rPr>
                <w:rFonts w:hint="eastAsia"/>
                <w:sz w:val="24"/>
                <w:szCs w:val="24"/>
                <w:highlight w:val="none"/>
              </w:rPr>
              <w:t xml:space="preserve">项</w:t>
            </w:r>
            <w:r/>
          </w:p>
        </w:tc>
        <w:tc>
          <w:tcPr>
            <w:tcW w:w="1124" w:type="dxa"/>
            <w:vAlign w:val="center"/>
            <w:textDirection w:val="lrTb"/>
            <w:noWrap w:val="false"/>
          </w:tcPr>
          <w:p>
            <w:pPr>
              <w:jc w:val="center"/>
              <w:rPr>
                <w:sz w:val="24"/>
                <w:szCs w:val="24"/>
                <w:highlight w:val="none"/>
              </w:rPr>
            </w:pPr>
            <w:r>
              <w:rPr>
                <w:rFonts w:hint="eastAsia"/>
                <w:sz w:val="24"/>
                <w:szCs w:val="24"/>
                <w:highlight w:val="none"/>
              </w:rPr>
              <w:t xml:space="preserve">详见2.1.8</w:t>
            </w:r>
            <w:r/>
          </w:p>
        </w:tc>
      </w:tr>
    </w:tbl>
    <w:p>
      <w:pPr>
        <w:pStyle w:val="991"/>
        <w:ind w:firstLine="0"/>
        <w:rPr>
          <w:rFonts w:ascii="Arial" w:hAnsi="Arial" w:eastAsia="Arial" w:cs="Arial"/>
          <w:b/>
          <w:bCs/>
          <w:sz w:val="24"/>
          <w:szCs w:val="24"/>
          <w:highlight w:val="none"/>
        </w:rPr>
      </w:pPr>
      <w:r>
        <w:rPr>
          <w:rFonts w:ascii="Arial" w:hAnsi="Arial" w:eastAsia="Arial" w:cs="Arial"/>
          <w:b/>
          <w:bCs/>
          <w:sz w:val="24"/>
          <w:szCs w:val="24"/>
          <w:highlight w:val="none"/>
        </w:rPr>
      </w:r>
      <w:r/>
    </w:p>
    <w:p>
      <w:pPr>
        <w:pStyle w:val="987"/>
        <w:rPr>
          <w:highlight w:val="none"/>
        </w:rPr>
      </w:pPr>
      <w:r>
        <w:rPr>
          <w:b/>
          <w:bCs/>
          <w:sz w:val="24"/>
          <w:szCs w:val="24"/>
          <w:highlight w:val="none"/>
        </w:rPr>
        <w:t xml:space="preserve">2.1.1</w:t>
      </w:r>
      <w:r>
        <w:rPr>
          <w:rFonts w:hint="eastAsia"/>
          <w:b/>
          <w:bCs/>
          <w:sz w:val="24"/>
          <w:szCs w:val="24"/>
          <w:highlight w:val="none"/>
        </w:rPr>
        <w:t xml:space="preserve">“公共资源交易AI+服务"统一管理系统功能开发方案</w:t>
      </w:r>
      <w:r/>
    </w:p>
    <w:p>
      <w:pPr>
        <w:ind w:right="105"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对接语音实时监测系</w:t>
      </w:r>
      <w:r>
        <w:rPr>
          <w:rFonts w:hint="eastAsia" w:ascii="宋体" w:hAnsi="宋体" w:cs="宋体"/>
          <w:sz w:val="24"/>
          <w:szCs w:val="24"/>
          <w:highlight w:val="none"/>
        </w:rPr>
        <w:t xml:space="preserve">统、视频分析系统、行为分析系统、虚拟评标系统、身份识别系统等相关子系统，实现全场景功能可视化配置与管理（服务状态可视化、参数配置可视化、系统控制可视化、数据检索分类归集可视化等）。平台能够实时获取专家预警结果，监控视频中的行为轨迹和异常场景，并从身份识别管理系统采集人员身份及出入信息。结合统一管理系统，统一处理和调用这些信息，生成运行状态与告警数据，通过异常数据归集与可视化分析，为交易活动提供全流程的智能化监控和高效的预警响应。同时，实现与“莲动扬州”立体监管系统预警数据交互能力，形成跨系统的联动监管能力。</w:t>
      </w:r>
      <w:r/>
    </w:p>
    <w:p>
      <w:pPr>
        <w:pStyle w:val="988"/>
        <w:rPr>
          <w:rFonts w:ascii="宋体" w:hAnsi="宋体" w:eastAsia="宋体" w:cs="宋体"/>
          <w:highlight w:val="none"/>
        </w:rPr>
      </w:pPr>
      <w:r>
        <w:rPr>
          <w:rFonts w:hint="eastAsia" w:ascii="宋体" w:hAnsi="宋体" w:eastAsia="宋体" w:cs="宋体"/>
          <w:highlight w:val="none"/>
        </w:rPr>
        <w:t xml:space="preserve">2.1.1.1统一登录跳转模块</w:t>
      </w:r>
      <w:r/>
    </w:p>
    <w:p>
      <w:pPr>
        <w:ind w:right="105"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平台提供统一登录入口，用户一次认证即可无缝访问语音分析系统、视频分析系统、行为分析系统、虚拟评标系统、身份识别系统等所有本平台子系统。用户可以根据个人化需求定制自己的个性化工作面板。支持多角色权限管理、集中身份验证、操作审计和日志管理、任务调度管理。</w:t>
      </w:r>
      <w:r/>
    </w:p>
    <w:p>
      <w:pPr>
        <w:ind w:right="105"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聚合子系统入口包含‌：聚合各系统快捷入口、配置子系统入口权限校验规则、拦截越权访问子系统请求、查看子系统入口聚合配置列表、编辑子系统入口聚合配置、删除子系统入口聚合配置、新增子系统入口聚合配置。</w:t>
      </w:r>
      <w:r/>
    </w:p>
    <w:p>
      <w:pPr>
        <w:ind w:right="105"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单点登录集成包含：改造语音实时监测系统登录功能、改造视频分析系统登录功能、改造行为分析系统登录功能、改造虚拟评标系统登录功能、改造身份识别系统登录功能、集成单点登录认证接口、查看单点登录改造状态、创建用户登录会话、销毁用户登录会话、查询用户登录会话列表、配置登录会话超时时间。</w:t>
      </w:r>
      <w:r/>
    </w:p>
    <w:p>
      <w:pPr>
        <w:ind w:right="105"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快捷访问面板配置包含：创建个性化快捷工作台、编辑工作台快捷方式排序、新增高频系统快捷方式到工作台、删除工作台快捷方式、配置岗位关联工作台模板、查看个性化工作台配置。</w:t>
      </w:r>
      <w:r/>
    </w:p>
    <w:p>
      <w:pPr>
        <w:ind w:right="105"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用户管理包含：新增系统用户、编辑系统用户信息、删除系统用户、查询系统用户列表、新增用户角色、编辑用户角色信息、删除用户角色、查询用户角色列表、分配用户至角色、分配角色权限、记录权限校验日志。</w:t>
      </w:r>
      <w:r/>
    </w:p>
    <w:p>
      <w:pPr>
        <w:ind w:right="105"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角色管理包含：创建自定义角色、编辑已有角色权限、删除无用角色、查看所有角色列表及权限配置、存储角色权限配置信息。</w:t>
      </w:r>
      <w:r/>
    </w:p>
    <w:p>
      <w:pPr>
        <w:ind w:right="105"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权限分配包含：为用户分配多个角色、设置用户权限生效时间段、临时回收用户特定权限、查看用户权限分配历史记录、存储用户权限分配记录。</w:t>
      </w:r>
      <w:r/>
    </w:p>
    <w:p>
      <w:pPr>
        <w:ind w:right="105"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权限审计包含：生成用户权限使用审计日志、查询特定用户权限操作记录、导出权限审计报表、存储权限审计历史数据。</w:t>
      </w:r>
      <w:r/>
    </w:p>
    <w:p>
      <w:pPr>
        <w:ind w:right="105"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登录日志管理包含：登录日志库管理、记录用户登录成功日志、记录用户登录失败日志、按用户查询登录日志、按时间查询登录日志、导出登录日志数据、清理过期登录日志、配置日志保留期限、登录异常检测规则配置、登录异常告警阈值设置。</w:t>
      </w:r>
      <w:r/>
    </w:p>
    <w:p>
      <w:pPr>
        <w:ind w:right="105"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安全策略配置包含：密码复杂度设置、密码有效期设置、账号锁定阈值设置、账号解锁配置、双因素认证开关配置、双因素认证方式选择。</w:t>
      </w:r>
      <w:r/>
    </w:p>
    <w:p>
      <w:pPr>
        <w:pStyle w:val="988"/>
        <w:rPr>
          <w:highlight w:val="none"/>
        </w:rPr>
      </w:pPr>
      <w:r>
        <w:rPr>
          <w:rFonts w:hint="eastAsia" w:eastAsia="宋体"/>
          <w:highlight w:val="none"/>
        </w:rPr>
        <w:t xml:space="preserve">2</w:t>
      </w:r>
      <w:r>
        <w:rPr>
          <w:rFonts w:hint="eastAsia"/>
          <w:highlight w:val="none"/>
        </w:rPr>
        <w:t xml:space="preserve">.1.1.2数据归集与管理模块</w:t>
      </w:r>
      <w:r/>
    </w:p>
    <w:p>
      <w:pPr>
        <w:numPr>
          <w:ilvl w:val="255"/>
          <w:numId w:val="0"/>
        </w:numPr>
        <w:ind w:right="105"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平台归集并管理各子系统（语音分析系统、视频采集系统、虚拟评标系统、行为分析、身份识别系统）的音频、视频、日志、告警数据，提供数据查询管理功能,支撑数据统一分析和挖掘，实现全面智能化监管。系统对告警数据提供二次审核功能，审核后系统会推送消息给数字人完成告警播报，同时与外部监管系统共享数据，需支持与其他系统对接。</w:t>
      </w:r>
      <w:r/>
    </w:p>
    <w:p>
      <w:pPr>
        <w:numPr>
          <w:ilvl w:val="255"/>
          <w:numId w:val="0"/>
        </w:numPr>
        <w:ind w:right="105"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子系统数据采集包含：采集语音监测系统音频数据、日志数据、告警数据、采集视频分析系统视频数据、日志数据、告警数据、采集身份识别系统身份数据、出入记录数据、日志数据、采集虚拟评标系统音视频数据、日志数据、告警数据、配置子系统数据采集频率、查看子系统数据采集状态、重试失败的子系统数据采集任务。</w:t>
      </w:r>
      <w:r/>
    </w:p>
    <w:p>
      <w:pPr>
        <w:numPr>
          <w:ilvl w:val="255"/>
          <w:numId w:val="0"/>
        </w:numPr>
        <w:ind w:right="105"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归集数据查询包含：查询归集的各系统数据、按数据类型筛选归集数据、按时间范围筛选归集数据、按子系统名称筛选归集数据、按关键字筛选归集数据、分页查看归集数据查询结果、刷新归集数据查询结果。</w:t>
      </w:r>
      <w:r/>
    </w:p>
    <w:p>
      <w:pPr>
        <w:numPr>
          <w:ilvl w:val="255"/>
          <w:numId w:val="0"/>
        </w:numPr>
        <w:ind w:right="105"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语音系统对接包含：对接大模型语音转写接口、对接大模型偏向性检测接口</w:t>
      </w:r>
      <w:r/>
    </w:p>
    <w:p>
      <w:pPr>
        <w:numPr>
          <w:ilvl w:val="255"/>
          <w:numId w:val="0"/>
        </w:numPr>
        <w:ind w:right="105"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视频系统对接包含：对接视频监控系统行为分析接口、对接视频监控系统场景识别接口、对接视频监控系统异常行为检测接口。</w:t>
      </w:r>
      <w:r/>
    </w:p>
    <w:p>
      <w:pPr>
        <w:numPr>
          <w:ilvl w:val="255"/>
          <w:numId w:val="0"/>
        </w:numPr>
        <w:ind w:right="105"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身份系统对接包含：对接身份识别系统人员身份接口、对接身份识别系统出入记录接口、对接身份识别系统活动轨迹接口。</w:t>
      </w:r>
      <w:r/>
    </w:p>
    <w:p>
      <w:pPr>
        <w:numPr>
          <w:ilvl w:val="255"/>
          <w:numId w:val="0"/>
        </w:numPr>
        <w:ind w:right="105"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数据标准化管理包含：统一日期格式标准、数据编码规则、音频数据格式、日志数据格式、告警数据格式、查看数据标准化规则、编辑数据标准化规则、新增数据标准化规则、删除数据标准化规则、校验数据标准化效果、处理未通过标准化的数据。</w:t>
      </w:r>
      <w:r/>
    </w:p>
    <w:p>
      <w:pPr>
        <w:numPr>
          <w:ilvl w:val="255"/>
          <w:numId w:val="0"/>
        </w:numPr>
        <w:ind w:right="105"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预警二次审核包含：查看系统识别的预警数据、分配预警数据审核任务、审核预警数据、通过审核、驳回、填写预警数据审核意见、标记预警数据审核状态、查询已审核预警数据、查询待审核预警数据、查询驳回的预警数据、导出预警数据审核记录、配置预警数据审核流转规则、提醒未完成的审核任务、批量审核同类预警数据。</w:t>
      </w:r>
      <w:r/>
    </w:p>
    <w:p>
      <w:pPr>
        <w:numPr>
          <w:ilvl w:val="255"/>
          <w:numId w:val="0"/>
        </w:numPr>
        <w:ind w:right="105"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监管系统交互包含：向“莲动扬州”立体监管系统推送预警数据、从“莲动扬州”立体监管系统获取监管指令、接收“莲动扬州”立体监管系统数据反馈、同步跨系统预警处置结果、配置数据交互接口参数、查看数据交互状态、记录监管系统数据交互日志、导出数据交互记录。</w:t>
      </w:r>
      <w:r/>
    </w:p>
    <w:p>
      <w:pPr>
        <w:numPr>
          <w:ilvl w:val="255"/>
          <w:numId w:val="0"/>
        </w:numPr>
        <w:ind w:right="105"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操作日志包含：记录查询操作日志、记录导出操作日志、记录配置操作日志、记录模板管理操作日志、按操作人筛选日志、按操作时间筛选日志、按操作类型筛选日志、分页查看操作日志、导出操作日志、删除过期操作日志、查询操作日志详情、配置日志保留周期。</w:t>
      </w:r>
      <w:r/>
    </w:p>
    <w:p>
      <w:pPr>
        <w:numPr>
          <w:ilvl w:val="255"/>
          <w:numId w:val="0"/>
        </w:numPr>
        <w:ind w:right="105" w:firstLine="480"/>
        <w:jc w:val="left"/>
        <w:spacing w:line="360" w:lineRule="auto"/>
        <w:rPr>
          <w:sz w:val="24"/>
          <w:szCs w:val="24"/>
          <w:highlight w:val="none"/>
        </w:rPr>
      </w:pPr>
      <w:r>
        <w:rPr>
          <w:rFonts w:hint="eastAsia" w:ascii="宋体" w:hAnsi="宋体" w:cs="宋体"/>
          <w:sz w:val="24"/>
          <w:szCs w:val="24"/>
          <w:highlight w:val="none"/>
        </w:rPr>
        <w:t xml:space="preserve">告警联动包含：配置自动告警触发数字人播报内容、选择联动通知对象、查询告警联动列表、编辑联动规则、新增联动规则、删除联动规则、启用/禁用联动规则、记录告警联动触发日志。</w:t>
      </w:r>
      <w:r/>
    </w:p>
    <w:p>
      <w:pPr>
        <w:numPr>
          <w:ilvl w:val="255"/>
          <w:numId w:val="0"/>
        </w:numPr>
        <w:ind w:right="105"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数据存储管理包含：配置数据存储路径、配置数据存储周期、查询存储资源使用情况、存储容量告警设置、数据分片存储配置、数据备份策略配置、执行手动数据备份、查询数据备份记录、数据恢复操作、数据恢复日志记录等功能。</w:t>
      </w:r>
      <w:r/>
    </w:p>
    <w:p>
      <w:pPr>
        <w:numPr>
          <w:ilvl w:val="255"/>
          <w:numId w:val="0"/>
        </w:numPr>
        <w:ind w:right="105"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数据清洗管理包含：配置数据清洗规则、执行自动数据清洗、执行手动数据清洗、查询数据清洗记录、清洗异常数据处理、数据完整性校验配置、数据一致性校验配置、校验异常告警配置、导出清洗报告、清洗规则模板管理等功能。</w:t>
      </w:r>
      <w:r/>
    </w:p>
    <w:p>
      <w:pPr>
        <w:numPr>
          <w:ilvl w:val="255"/>
          <w:numId w:val="0"/>
        </w:numPr>
        <w:ind w:right="105"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数据加密管理包含：配置数据加密算法、生成数据加密密钥、备份数据加密密钥、密钥轮换配置、敏感数据标识配置、敏感数据脱敏规则配置、数据解密操作、加密操作日志记录、查询加密操作日志、加密状态监控等功能。</w:t>
      </w:r>
      <w:r/>
    </w:p>
    <w:p>
      <w:pPr>
        <w:numPr>
          <w:ilvl w:val="255"/>
          <w:numId w:val="0"/>
        </w:numPr>
        <w:ind w:right="105"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消息推送包含：配置发布屏消息自动推送内容、查看发布屏消息推送状态、手动触发发布屏消息更新、记录发布屏消息推送日志、处理内容更新失败、处理内容更新失败、新增发布屏消息推送类型等功能。</w:t>
      </w:r>
      <w:r/>
    </w:p>
    <w:p>
      <w:pPr>
        <w:pStyle w:val="988"/>
        <w:rPr>
          <w:highlight w:val="none"/>
        </w:rPr>
      </w:pPr>
      <w:r>
        <w:rPr>
          <w:rFonts w:hint="eastAsia" w:eastAsia="宋体"/>
          <w:highlight w:val="none"/>
        </w:rPr>
        <w:t xml:space="preserve">2</w:t>
      </w:r>
      <w:r>
        <w:rPr>
          <w:rFonts w:hint="eastAsia"/>
          <w:highlight w:val="none"/>
        </w:rPr>
        <w:t xml:space="preserve">.1.1.3数据可视化</w:t>
      </w:r>
      <w:r/>
    </w:p>
    <w:p>
      <w:pPr>
        <w:numPr>
          <w:ilvl w:val="255"/>
          <w:numId w:val="0"/>
        </w:numPr>
        <w:ind w:right="105"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平台应实现服务状态、参数配置、系统控制、数据检索分类的可视化管理。支持自动生成报表和数据分类统计，并通过图表和仪表盘展示关键运营指标，支持异常分析和历史追溯。</w:t>
      </w:r>
      <w:r/>
    </w:p>
    <w:p>
      <w:pPr>
        <w:numPr>
          <w:ilvl w:val="255"/>
          <w:numId w:val="0"/>
        </w:numPr>
        <w:ind w:right="105"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运行报表生成包含：统计系统运行时长、系统在线情况、设备在线情况、告警总数量等内容、生成系统运行状态日报表、生成系统运行状态周报表、生成系统运行状态月报表、统计专家发言频次、专家偏向性言论次数、专家离席次数、违规行为次数等数据、生成专家行为分析日报表、生成专家行为分析周报表、生成专家行为分析月报表、配置报表生成时间、查看运行报表详情、按专家姓名筛选报表数据、按项目名称筛选报表数据、按时间范围筛选报表数据、导出运行报表（Excel/PDF）、打印运行报表、保存报表模板。</w:t>
      </w:r>
      <w:r/>
    </w:p>
    <w:p>
      <w:pPr>
        <w:numPr>
          <w:ilvl w:val="255"/>
          <w:numId w:val="0"/>
        </w:numPr>
        <w:ind w:right="105"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大屏设计与交互包含：大屏可视化拖拽设计、自由画布 、图层管理、数据筛选、图表交互、动态效果、自定义颜色、字体、边框、背景等、保存自定义模板、编辑自定义模板、查询自定义模板、预览自定义模板、删除自定义模板、应用图表配置到大屏、表单数据导入、接入API数据、调整图表数据来源、关键数据修改。</w:t>
      </w:r>
      <w:r/>
    </w:p>
    <w:p>
      <w:pPr>
        <w:numPr>
          <w:ilvl w:val="255"/>
          <w:numId w:val="0"/>
        </w:numPr>
        <w:ind w:right="105"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实时监控（实时追踪）包含：展示评标室人员实时状态、设备运行实时状态、设备运行实时状态、告警触发实时数据、专家行为实时数据、项目评审实时进度、筛选实时监管数据类型、配置实时数据展示字段。</w:t>
      </w:r>
      <w:r/>
    </w:p>
    <w:p>
      <w:pPr>
        <w:numPr>
          <w:ilvl w:val="255"/>
          <w:numId w:val="0"/>
        </w:numPr>
        <w:ind w:right="105"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报表模板管理包含：创建自定义报表模板、修改报表模板配置、删除报表模板、查询报表模板列表、报表模板导出、报表模板导入、报表权限分配、报表字段配置、报表样式配置、报表模板版本管理。</w:t>
      </w:r>
      <w:r/>
    </w:p>
    <w:p>
      <w:pPr>
        <w:numPr>
          <w:ilvl w:val="255"/>
          <w:numId w:val="0"/>
        </w:numPr>
        <w:ind w:right="105"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可视化配置包含：创建仪表盘配置、修改仪表盘布局、添加图表组件、配置图表数据源、配置图表样式、配置数据刷新频率、保存可视化配置、删除可视化配置、查询可视化配置列表、导出可视化配置。</w:t>
      </w:r>
      <w:r/>
    </w:p>
    <w:p>
      <w:pPr>
        <w:numPr>
          <w:ilvl w:val="255"/>
          <w:numId w:val="0"/>
        </w:numPr>
        <w:ind w:right="105"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数据钻取分析包含：配置数据钻取路径、执行数据钻取操作、保存钻取分析结果、导出钻取分析报告、配置钻取权限、查询钻取操作记录、钻取异常处理、钻取结果分享、钻取模板管理、钻取性能优化配置。</w:t>
      </w:r>
      <w:r/>
    </w:p>
    <w:p>
      <w:pPr>
        <w:numPr>
          <w:ilvl w:val="255"/>
          <w:numId w:val="0"/>
        </w:numPr>
        <w:ind w:right="105"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异常追溯包含：查询异常事件发生时间、查询异常事件发生地点、查询异常事件关联人员、查询异常事件关联数据、按异常类型筛选追溯结果、按时间范围筛选追溯结果、按人员姓名筛选追溯结果、查看异常事件追溯详情、导出追溯报告、保存追溯查询条件、刷新追溯结果、生成异常事件追溯报表。</w:t>
      </w:r>
      <w:r/>
    </w:p>
    <w:p>
      <w:pPr>
        <w:pStyle w:val="987"/>
        <w:rPr>
          <w:highlight w:val="none"/>
        </w:rPr>
      </w:pPr>
      <w:r>
        <w:rPr>
          <w:sz w:val="24"/>
          <w:szCs w:val="24"/>
          <w:highlight w:val="none"/>
        </w:rPr>
        <w:t xml:space="preserve">2.1.2</w:t>
      </w:r>
      <w:r>
        <w:rPr>
          <w:rFonts w:hint="eastAsia"/>
          <w:b/>
          <w:sz w:val="24"/>
          <w:szCs w:val="24"/>
          <w:highlight w:val="none"/>
        </w:rPr>
        <w:t xml:space="preserve">智能体开发功能</w:t>
      </w:r>
      <w:r>
        <w:rPr>
          <w:rFonts w:hint="eastAsia"/>
          <w:b/>
          <w:bCs/>
          <w:sz w:val="24"/>
          <w:szCs w:val="24"/>
          <w:highlight w:val="none"/>
        </w:rPr>
        <w:t xml:space="preserve">开发</w:t>
      </w:r>
      <w:r>
        <w:rPr>
          <w:rFonts w:hint="eastAsia"/>
          <w:b/>
          <w:sz w:val="24"/>
          <w:szCs w:val="24"/>
          <w:highlight w:val="none"/>
        </w:rPr>
        <w:t xml:space="preserve">方案</w:t>
      </w:r>
      <w:r/>
    </w:p>
    <w:p>
      <w:pPr>
        <w:ind w:right="105"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基于扬州市政务云已部署大模型能力构建智能体应用，实现评标全流程智能化管控（语音合规性筛查）与咨询交互等服务。包括语音合规性筛查功能、知识问答功能等，旨在提升语音识别的精准度、强化评标过程的智能监管能力，并通过深度知识建模和高效信息检索，构建全方位的智能化评标支撑体系。语音倾向性分析检出率≥90%，误报率≤20%。</w:t>
      </w:r>
      <w:r/>
    </w:p>
    <w:p>
      <w:pPr>
        <w:pStyle w:val="988"/>
        <w:rPr>
          <w:rFonts w:ascii="宋体" w:hAnsi="宋体" w:eastAsia="宋体" w:cs="宋体"/>
          <w:highlight w:val="none"/>
        </w:rPr>
      </w:pPr>
      <w:r>
        <w:rPr>
          <w:rFonts w:hint="eastAsia" w:ascii="宋体" w:hAnsi="宋体" w:eastAsia="宋体" w:cs="宋体"/>
          <w:highlight w:val="none"/>
        </w:rPr>
        <w:t xml:space="preserve">2.1.2.1合规性筛查</w:t>
      </w:r>
      <w:r/>
    </w:p>
    <w:p>
      <w:pPr>
        <w:ind w:right="105"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主要是利用语音识别模型将抓取的语音实时转写为文本，在此基础上，基于大模型的语义理解算法构建智能体，融合违规特征库，对转写文本进行多维度语音合规性筛查，实时推理分析、检测评标过程中专家等相关人员发表倾向性、诱导性言论等违规情形，确保评标工作的公平、公正、透明。需支持复杂语境的多维度分析。</w:t>
      </w:r>
      <w:r/>
    </w:p>
    <w:p>
      <w:pPr>
        <w:ind w:right="105"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违规特征匹配：依托构建的违规特征库，支撑智能体分析推理，对评标过程中的语音转写文本进行精准判断，检测违规话术。</w:t>
      </w:r>
      <w:r/>
    </w:p>
    <w:p>
      <w:pPr>
        <w:ind w:right="105"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意图识别与风险分级：通过自然语言处理技术，对专家评语进行语义解析，精准识别表达内容的偏向性（如正偏向、负偏向、无偏向），并结合风险等级评估机制，对潜在违规行为进行预警。</w:t>
      </w:r>
      <w:r/>
    </w:p>
    <w:p>
      <w:pPr>
        <w:ind w:right="105"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技术选型依据：知识增强优先，因其支持实时更新特征库，适应动态变化的倾向性言论。</w:t>
      </w:r>
      <w:r/>
    </w:p>
    <w:p>
      <w:pPr>
        <w:ind w:right="105"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暂缓微调训练：因缺乏历史数据集支撑模型训练。其次微调需重复训练，知识更新效率低。</w:t>
      </w:r>
      <w:r/>
    </w:p>
    <w:p>
      <w:pPr>
        <w:ind w:right="105"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实施路径建议：短期以知识增强模式为主，持续积累评标数据。长期计划是待数据量达标后，结合微调训练提升模型泛化能力。</w:t>
      </w:r>
      <w:r/>
    </w:p>
    <w:p>
      <w:pPr>
        <w:ind w:right="105"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特征库管理应包含：新增倾向性表述违规特征、编辑已有违规特征、删除无用违规特征、关联违规特征语义标签、查询违规特征库列表、筛选违规特征类型、导出违规特征库、导入违规特征库、处理风险评估异常、批量维护违规特征、匹配倾向性表述违规特征、匹配暗语违规特征、违规特征词分类管理、违规特征词权重配置、特征库备份、特征库恢复、特征库版本管理、特征库更新日志。</w:t>
      </w:r>
      <w:r/>
    </w:p>
    <w:p>
      <w:pPr>
        <w:pStyle w:val="988"/>
        <w:rPr>
          <w:rFonts w:ascii="宋体" w:hAnsi="宋体" w:eastAsia="宋体" w:cs="宋体"/>
          <w:highlight w:val="none"/>
        </w:rPr>
      </w:pPr>
      <w:r>
        <w:rPr>
          <w:rFonts w:hint="eastAsia" w:ascii="宋体" w:hAnsi="宋体" w:eastAsia="宋体" w:cs="宋体"/>
          <w:highlight w:val="none"/>
        </w:rPr>
        <w:t xml:space="preserve">2.1.2.2倾向性分析</w:t>
      </w:r>
      <w:r/>
    </w:p>
    <w:p>
      <w:pPr>
        <w:ind w:right="105" w:firstLine="420"/>
        <w:jc w:val="left"/>
        <w:spacing w:line="360" w:lineRule="auto"/>
        <w:rPr>
          <w:rStyle w:val="1002"/>
          <w:rFonts w:ascii="宋体" w:hAnsi="宋体" w:cs="宋体"/>
          <w:spacing w:val="1"/>
          <w:sz w:val="24"/>
          <w:szCs w:val="24"/>
          <w:highlight w:val="none"/>
        </w:rPr>
      </w:pPr>
      <w:r>
        <w:rPr>
          <w:rStyle w:val="1002"/>
          <w:rFonts w:hint="eastAsia" w:ascii="宋体" w:hAnsi="宋体" w:cs="宋体"/>
          <w:spacing w:val="1"/>
          <w:sz w:val="24"/>
          <w:szCs w:val="24"/>
          <w:highlight w:val="none"/>
        </w:rPr>
        <w:t xml:space="preserve">倾向性分析。演示检测到的倾向性言论告警提示，并演示数字人接收到告警提示后进行告警播报。</w:t>
      </w:r>
      <w:r>
        <w:rPr>
          <w:rFonts w:hint="eastAsia" w:ascii="宋体" w:hAnsi="宋体" w:cs="宋体"/>
          <w:sz w:val="24"/>
          <w:szCs w:val="24"/>
          <w:highlight w:val="none"/>
        </w:rPr>
        <w:t xml:space="preserve">（演示内容1）</w:t>
      </w:r>
      <w:r/>
    </w:p>
    <w:p>
      <w:pPr>
        <w:ind w:right="105" w:firstLine="42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对接大模型并基于大模型推理分析专家言论、配置/优化倾向性分析提示词、配置/优化设定风险等级标准、查看倾向性分析结果、导出倾向性分析记录、筛选倾向性言论数据。</w:t>
      </w:r>
      <w:r/>
    </w:p>
    <w:p>
      <w:pPr>
        <w:ind w:right="105"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自主预测预警应包含：配置自主预警策略、触发疑似违规预警、查看预测预警结果。</w:t>
      </w:r>
      <w:r/>
    </w:p>
    <w:p>
      <w:pPr>
        <w:ind w:right="105"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风险分级管理应包含：评估轻微违规风险等级、评估中度违规风险等级、评估严重违规风险等级、设置风险等级评估标准、查看风险等级评估结果、标记风险等级状态、导出风险评估记录、筛选不同风险等级数据、调整风险评估参数、处理风险评估异常、记录风险评估日志。</w:t>
      </w:r>
      <w:r/>
    </w:p>
    <w:p>
      <w:pPr>
        <w:ind w:right="105"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筛查结果输出应包含：推送筛查结果至监管平台、查看筛查结果输出状态、导出筛查结果文件、配置输出数据格式、记录筛查结果输出日志、筛选输出记录、验证输出数据准确性、批量输出筛查结果。</w:t>
      </w:r>
      <w:r/>
    </w:p>
    <w:p>
      <w:pPr>
        <w:ind w:right="105"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监测规则管理应包含：创建监测规则、修改监测规则、删除监测规则、启用/禁用监测规则、查询监测规则列表、监测规则优先级配置、监测规则适用范围配置、规则匹配阈值设置、规则测试验证、规则测试报告生成。</w:t>
      </w:r>
      <w:r/>
    </w:p>
    <w:p>
      <w:pPr>
        <w:ind w:right="105"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筛查日志应包含：记录筛查时间、记录筛查项目名称、记录涉及专家姓名、记录筛查结果、查询筛查日志列表、按时间筛选筛查日志、按项目筛选日志、按专家筛选日志、导出筛查日志、删除过期筛查日志、查看筛查日志详情。</w:t>
      </w:r>
      <w:r/>
    </w:p>
    <w:p>
      <w:pPr>
        <w:pStyle w:val="988"/>
        <w:rPr>
          <w:rFonts w:ascii="宋体" w:hAnsi="宋体" w:eastAsia="宋体" w:cs="宋体"/>
          <w:highlight w:val="none"/>
        </w:rPr>
      </w:pPr>
      <w:r>
        <w:rPr>
          <w:rFonts w:hint="eastAsia" w:ascii="宋体" w:hAnsi="宋体" w:eastAsia="宋体" w:cs="宋体"/>
          <w:highlight w:val="none"/>
        </w:rPr>
        <w:t xml:space="preserve">2.1.2.3知识问答</w:t>
      </w:r>
      <w:r/>
    </w:p>
    <w:p>
      <w:pPr>
        <w:ind w:right="105"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以业务方整理并提供的招投标领域的知识库材料为基准，回答来自招标人、投标人、代理机构、评标专家等市场主体的提问，为其提供政策解答、办事引导等服务。该功能基于知识增强型大模型架构，结合招投标政策法规库、历史案例库及业务知识图谱，实现语义精准关联，为投标流程提供智能咨询与辅助决策支持。该智能体通过多轮对话交互模式，为用户提供高质量的投标咨询服务，并确保咨询内容符合监管要求。</w:t>
      </w:r>
      <w:r/>
    </w:p>
    <w:p>
      <w:pPr>
        <w:ind w:right="105"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政策知识库应包含：构建结构化政策知识库、新增政策法规条目、编辑政策法规内容、删除过时政策法规、查询管理政策知识库、筛选政策法规类型、导出政策知识库、配置优化政策法规数据、更新政策知识库、校验政策法规准确性。</w:t>
      </w:r>
      <w:r/>
    </w:p>
    <w:p>
      <w:pPr>
        <w:ind w:right="105"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术语知识库应包含：新增专业术语条目、删除无用术语、查询术语知识库、筛选术语类型、导出结构化术语知识库、导入术语数据、更新术语解释、校验术语准确性。</w:t>
      </w:r>
      <w:r/>
    </w:p>
    <w:p>
      <w:pPr>
        <w:ind w:right="105"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问答配置管理应包含：配置问答匹配规则、配置多轮对话流程、配置意图澄清策略、配置回答合规检查、配置问答超时时间、配置问答优先级、测试问答效果、查看问答统计数据、导出问答日志、配置问答渠道参数。系统能够自动解析用户的咨询意图，识别模糊或不完整的问题，并通过多轮对话交互引导用户提供更清晰的咨询内容，以提高回答的精准度。</w:t>
      </w:r>
      <w:r/>
    </w:p>
    <w:p>
      <w:pPr>
        <w:ind w:right="105"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合规审核应包含：审核问答内容合规性、确保回复符合政策法规、拦截违规引导内容、标记审核通过问答、标记审核不通过问答、查询问答审核记录、按时间筛选审核记录、按用户筛选审核记录、导出审核记录、配置审核规则、手动审核问答、处理审核异常、自动审核常规问答、记录审核日志。所有问答内容都会经过系统的实时合规性审核，确保提供的答案符合政策法规，并在必要时向用户提供风险提示，以避免违规行为的发生。</w:t>
      </w:r>
      <w:r/>
    </w:p>
    <w:p>
      <w:pPr>
        <w:ind w:right="105" w:firstLine="420"/>
        <w:jc w:val="left"/>
        <w:spacing w:line="360" w:lineRule="auto"/>
        <w:rPr>
          <w:rFonts w:ascii="宋体" w:hAnsi="宋体" w:cs="宋体"/>
          <w:sz w:val="24"/>
          <w:szCs w:val="24"/>
          <w:highlight w:val="none"/>
        </w:rPr>
      </w:pPr>
      <w:r>
        <w:rPr>
          <w:rStyle w:val="1002"/>
          <w:rFonts w:hint="eastAsia" w:ascii="宋体" w:hAnsi="宋体" w:cs="宋体"/>
          <w:spacing w:val="1"/>
          <w:sz w:val="24"/>
          <w:szCs w:val="24"/>
          <w:highlight w:val="none"/>
        </w:rPr>
        <w:t xml:space="preserve">知识问答。演示招投标领域相关知识问答。</w:t>
      </w:r>
      <w:r>
        <w:rPr>
          <w:rFonts w:hint="eastAsia" w:ascii="宋体" w:hAnsi="宋体" w:cs="宋体"/>
          <w:sz w:val="24"/>
          <w:szCs w:val="24"/>
          <w:highlight w:val="none"/>
        </w:rPr>
        <w:t xml:space="preserve">（演示内容2）</w:t>
      </w:r>
      <w:r/>
    </w:p>
    <w:p>
      <w:pPr>
        <w:pStyle w:val="987"/>
        <w:rPr>
          <w:rFonts w:hAnsi="宋体" w:cs="宋体"/>
          <w:b/>
          <w:highlight w:val="none"/>
        </w:rPr>
      </w:pPr>
      <w:r>
        <w:rPr>
          <w:rFonts w:hint="eastAsia" w:hAnsi="宋体" w:cs="宋体"/>
          <w:b/>
          <w:sz w:val="24"/>
          <w:szCs w:val="24"/>
          <w:highlight w:val="none"/>
        </w:rPr>
        <w:t xml:space="preserve">2.1.3虚拟数字人系统功能</w:t>
      </w:r>
      <w:r>
        <w:rPr>
          <w:rFonts w:hint="eastAsia"/>
          <w:b/>
          <w:bCs/>
          <w:sz w:val="24"/>
          <w:szCs w:val="24"/>
          <w:highlight w:val="none"/>
        </w:rPr>
        <w:t xml:space="preserve">开发</w:t>
      </w:r>
      <w:r>
        <w:rPr>
          <w:rFonts w:hint="eastAsia" w:hAnsi="宋体" w:cs="宋体"/>
          <w:b/>
          <w:sz w:val="24"/>
          <w:szCs w:val="24"/>
          <w:highlight w:val="none"/>
        </w:rPr>
        <w:t xml:space="preserve">方案</w:t>
      </w:r>
      <w:r/>
    </w:p>
    <w:p>
      <w:pPr>
        <w:ind w:right="105" w:firstLine="480"/>
        <w:jc w:val="left"/>
        <w:spacing w:line="360" w:lineRule="auto"/>
        <w:rPr>
          <w:rFonts w:asciiTheme="majorEastAsia" w:hAnsiTheme="majorEastAsia" w:eastAsiaTheme="majorEastAsia" w:cstheme="majorEastAsia"/>
          <w:sz w:val="24"/>
          <w:szCs w:val="24"/>
          <w:highlight w:val="none"/>
        </w:rPr>
      </w:pPr>
      <w:r>
        <w:rPr>
          <w:rFonts w:hint="eastAsia" w:ascii="宋体" w:hAnsi="宋体" w:cs="宋体"/>
          <w:sz w:val="24"/>
          <w:szCs w:val="24"/>
          <w:highlight w:val="none"/>
        </w:rPr>
        <w:t xml:space="preserve">利用虚拟数字人驱动技术，结合对话全链路引擎和大模型能力，打造适配不同场景的个性化人工智能应用，最终通过接入不同的终端提供语音和数字人场景应用服务。</w:t>
      </w:r>
      <w:r/>
    </w:p>
    <w:tbl>
      <w:tblPr>
        <w:tblStyle w:val="990"/>
        <w:tblW w:w="7938" w:type="dxa"/>
        <w:tblInd w:w="5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70"/>
        <w:gridCol w:w="6268"/>
      </w:tblGrid>
      <w:tr>
        <w:trPr/>
        <w:tc>
          <w:tcPr>
            <w:tcW w:w="1670" w:type="dxa"/>
            <w:vAlign w:val="center"/>
            <w:textDirection w:val="lrTb"/>
            <w:noWrap w:val="false"/>
          </w:tcPr>
          <w:p>
            <w:pPr>
              <w:jc w:val="left"/>
              <w:widowControl/>
              <w:rPr>
                <w:rFonts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能力</w:t>
            </w:r>
            <w:r/>
          </w:p>
        </w:tc>
        <w:tc>
          <w:tcPr>
            <w:tcW w:w="6268" w:type="dxa"/>
            <w:vAlign w:val="bottom"/>
            <w:textDirection w:val="lrTb"/>
            <w:noWrap w:val="false"/>
          </w:tcPr>
          <w:p>
            <w:pPr>
              <w:jc w:val="left"/>
              <w:widowControl/>
              <w:rPr>
                <w:rFonts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描述</w:t>
            </w:r>
            <w:r/>
          </w:p>
        </w:tc>
      </w:tr>
      <w:tr>
        <w:trPr/>
        <w:tc>
          <w:tcPr>
            <w:tcW w:w="1670" w:type="dxa"/>
            <w:vAlign w:val="center"/>
            <w:textDirection w:val="lrTb"/>
            <w:noWrap w:val="false"/>
          </w:tcPr>
          <w:p>
            <w:pPr>
              <w:jc w:val="lef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表情自然</w:t>
            </w:r>
            <w:r/>
          </w:p>
        </w:tc>
        <w:tc>
          <w:tcPr>
            <w:tcW w:w="6268" w:type="dxa"/>
            <w:vAlign w:val="bottom"/>
            <w:textDirection w:val="lrTb"/>
            <w:noWrap w:val="false"/>
          </w:tcPr>
          <w:p>
            <w:pPr>
              <w:jc w:val="lef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人像声音与唇形同步，且表情真实、自然丰富、面带微笑。</w:t>
            </w:r>
            <w:r/>
          </w:p>
        </w:tc>
      </w:tr>
      <w:tr>
        <w:trPr/>
        <w:tc>
          <w:tcPr>
            <w:tcW w:w="1670" w:type="dxa"/>
            <w:vAlign w:val="center"/>
            <w:textDirection w:val="lrTb"/>
            <w:noWrap w:val="false"/>
          </w:tcPr>
          <w:p>
            <w:pPr>
              <w:jc w:val="lef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人物动作</w:t>
            </w:r>
            <w:r/>
          </w:p>
        </w:tc>
        <w:tc>
          <w:tcPr>
            <w:tcW w:w="6268" w:type="dxa"/>
            <w:vAlign w:val="bottom"/>
            <w:textDirection w:val="lrTb"/>
            <w:noWrap w:val="false"/>
          </w:tcPr>
          <w:p>
            <w:pPr>
              <w:jc w:val="lef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要求提供不少于8个虚拟数字人配套动作，且动作与声音播报融合自然。</w:t>
            </w:r>
            <w:r/>
          </w:p>
        </w:tc>
      </w:tr>
      <w:tr>
        <w:trPr/>
        <w:tc>
          <w:tcPr>
            <w:tcW w:w="1670" w:type="dxa"/>
            <w:vAlign w:val="center"/>
            <w:textDirection w:val="lrTb"/>
            <w:noWrap w:val="false"/>
          </w:tcPr>
          <w:p>
            <w:pPr>
              <w:jc w:val="lef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机器对话</w:t>
            </w:r>
            <w:r/>
          </w:p>
        </w:tc>
        <w:tc>
          <w:tcPr>
            <w:tcW w:w="6268" w:type="dxa"/>
            <w:vAlign w:val="bottom"/>
            <w:textDirection w:val="lrTb"/>
            <w:noWrap w:val="false"/>
          </w:tcPr>
          <w:p>
            <w:pPr>
              <w:jc w:val="lef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能独立应答话术，可转录为虚拟数字人视频播报内容。</w:t>
            </w:r>
            <w:r/>
          </w:p>
        </w:tc>
      </w:tr>
      <w:tr>
        <w:trPr>
          <w:trHeight w:val="90"/>
        </w:trPr>
        <w:tc>
          <w:tcPr>
            <w:tcW w:w="1670" w:type="dxa"/>
            <w:vAlign w:val="center"/>
            <w:textDirection w:val="lrTb"/>
            <w:noWrap w:val="false"/>
          </w:tcPr>
          <w:p>
            <w:pPr>
              <w:jc w:val="lef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终端渲染</w:t>
            </w:r>
            <w:r/>
          </w:p>
        </w:tc>
        <w:tc>
          <w:tcPr>
            <w:tcW w:w="6268" w:type="dxa"/>
            <w:vAlign w:val="bottom"/>
            <w:textDirection w:val="lrTb"/>
            <w:noWrap w:val="false"/>
          </w:tcPr>
          <w:p>
            <w:pPr>
              <w:jc w:val="lef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需支持终端渲染、多分身等能力。</w:t>
            </w:r>
            <w:r/>
          </w:p>
        </w:tc>
      </w:tr>
      <w:tr>
        <w:trPr>
          <w:trHeight w:val="495"/>
        </w:trPr>
        <w:tc>
          <w:tcPr>
            <w:tcW w:w="1670" w:type="dxa"/>
            <w:vAlign w:val="center"/>
            <w:textDirection w:val="lrTb"/>
            <w:noWrap w:val="false"/>
          </w:tcPr>
          <w:p>
            <w:pPr>
              <w:jc w:val="lef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对接支持</w:t>
            </w:r>
            <w:r/>
          </w:p>
        </w:tc>
        <w:tc>
          <w:tcPr>
            <w:tcW w:w="6268" w:type="dxa"/>
            <w:vAlign w:val="bottom"/>
            <w:textDirection w:val="lrTb"/>
            <w:noWrap w:val="false"/>
          </w:tcPr>
          <w:p>
            <w:pPr>
              <w:jc w:val="lef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需通过系统对接，实现“功能需求”所列各类预警信息实时播报、开评标主持引导、招投标知识问答等服务。</w:t>
            </w:r>
            <w:r/>
          </w:p>
        </w:tc>
      </w:tr>
      <w:tr>
        <w:trPr>
          <w:trHeight w:val="495"/>
        </w:trPr>
        <w:tc>
          <w:tcPr>
            <w:tcW w:w="1670" w:type="dxa"/>
            <w:vAlign w:val="center"/>
            <w:textDirection w:val="lrTb"/>
            <w:noWrap w:val="false"/>
          </w:tcPr>
          <w:p>
            <w:pPr>
              <w:jc w:val="left"/>
              <w:widowControl/>
              <w:rPr>
                <w:rFonts w:ascii="宋体" w:hAnsi="宋体" w:cs="宋体"/>
                <w:color w:val="000000"/>
                <w:sz w:val="24"/>
                <w:szCs w:val="24"/>
                <w:highlight w:val="none"/>
                <w:lang w:bidi="ar"/>
              </w:rPr>
            </w:pPr>
            <w:r>
              <w:rPr>
                <w:rFonts w:ascii="宋体" w:hAnsi="宋体" w:cs="宋体"/>
                <w:color w:val="000000"/>
                <w:sz w:val="24"/>
                <w:szCs w:val="24"/>
                <w:highlight w:val="none"/>
                <w:lang w:bidi="ar"/>
              </w:rPr>
              <w:t xml:space="preserve">多模态唤醒</w:t>
            </w:r>
            <w:r/>
          </w:p>
        </w:tc>
        <w:tc>
          <w:tcPr>
            <w:tcW w:w="6268" w:type="dxa"/>
            <w:vAlign w:val="center"/>
            <w:textDirection w:val="lrTb"/>
            <w:noWrap w:val="false"/>
          </w:tcPr>
          <w:p>
            <w:pPr>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数字人需要支持语音和人脸唤醒能力。</w:t>
            </w:r>
            <w:r/>
          </w:p>
        </w:tc>
      </w:tr>
    </w:tbl>
    <w:p>
      <w:pPr>
        <w:pStyle w:val="991"/>
        <w:ind w:firstLine="0"/>
        <w:rPr>
          <w:highlight w:val="none"/>
        </w:rPr>
      </w:pPr>
      <w:r>
        <w:rPr>
          <w:highlight w:val="none"/>
        </w:rPr>
      </w:r>
      <w:r/>
    </w:p>
    <w:p>
      <w:pPr>
        <w:pStyle w:val="988"/>
        <w:rPr>
          <w:rFonts w:ascii="宋体" w:hAnsi="宋体" w:eastAsia="宋体" w:cs="宋体"/>
          <w:highlight w:val="none"/>
        </w:rPr>
      </w:pPr>
      <w:r>
        <w:rPr>
          <w:rFonts w:hint="eastAsia" w:ascii="宋体" w:hAnsi="宋体" w:eastAsia="宋体" w:cs="宋体"/>
          <w:highlight w:val="none"/>
        </w:rPr>
        <w:t xml:space="preserve">2.1.3.1数字资产模块</w:t>
      </w:r>
      <w:r/>
    </w:p>
    <w:p>
      <w:pPr>
        <w:pStyle w:val="1003"/>
        <w:ind w:left="0" w:right="105"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D建模配置应包含：导入模型、查看建模参数配置、编辑建模参数、保存建模参数、删除无用建模参数方案、保存建模参数、编辑模型特征、查询模型列表、预览模型效果、导出模型文件、模型版本管理、模型权限控制、模型使用统计、模型操作日志、导出建模参数配置。</w:t>
      </w:r>
      <w:r/>
    </w:p>
    <w:p>
      <w:pPr>
        <w:pStyle w:val="1003"/>
        <w:ind w:left="0" w:right="105"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建模渲染应包含：设置渲染分辨率、调整渲染色彩效果、查看渲染进度、暂停渲染任务、继续渲染任务、取消渲染任务、导出渲染后的 2D 模型、记录渲染日志、配置渲染帧率、配置光照效果、配置表情捕捉、配置姿态捕捉、优化渲染性能、查看渲染日志、导出渲染配置、渲染异常处理、批量渲染多个模型。</w:t>
      </w:r>
      <w:r/>
    </w:p>
    <w:p>
      <w:pPr>
        <w:pStyle w:val="1003"/>
        <w:ind w:left="0" w:right="105"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公版模型管理应包含：编辑公版模型属性、删除无用公版模型、查询公版模型列表、筛选公版模型风格、筛选公版模型外貌、备份公版模型库、恢复公版模型库、导出公版模型、导入公版模型。</w:t>
      </w:r>
      <w:r/>
    </w:p>
    <w:p>
      <w:pPr>
        <w:pStyle w:val="1003"/>
        <w:ind w:left="0" w:right="105"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音色调整应包含：配置声音音色参数、编辑音色参数、删除无用音色、查看音色配置、保存音色配置、导出音色参数、导入音色参数。</w:t>
      </w:r>
      <w:r/>
    </w:p>
    <w:p>
      <w:pPr>
        <w:pStyle w:val="1003"/>
        <w:ind w:left="0" w:right="105"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音唇同步应包含：外部语音文件接入解析、预处理音频结果导出、音素 - 唇型映射规则配置、映射关系查询与预览、渲染参数（帧率、画质）配置、实时唇型渲染画面。</w:t>
      </w:r>
      <w:r/>
    </w:p>
    <w:p>
      <w:pPr>
        <w:pStyle w:val="1003"/>
        <w:ind w:left="0" w:right="105"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动作同步应包含：基础肢体动作查看、基础肢体动作选择、基础肢体动作列表检索查看、单动作预览播放查看、动作参数（速度、循环）设置、离线同步任务、离线同步效果预览查询。</w:t>
      </w:r>
      <w:r/>
    </w:p>
    <w:p>
      <w:pPr>
        <w:pStyle w:val="988"/>
        <w:rPr>
          <w:highlight w:val="none"/>
        </w:rPr>
      </w:pPr>
      <w:r>
        <w:rPr>
          <w:rFonts w:hint="eastAsia" w:eastAsia="宋体"/>
          <w:highlight w:val="none"/>
        </w:rPr>
        <w:t xml:space="preserve">2</w:t>
      </w:r>
      <w:r>
        <w:rPr>
          <w:rFonts w:hint="eastAsia"/>
          <w:highlight w:val="none"/>
        </w:rPr>
        <w:t xml:space="preserve">.1.3.2智能应答模块</w:t>
      </w:r>
      <w:r/>
    </w:p>
    <w:p>
      <w:pPr>
        <w:pStyle w:val="1003"/>
        <w:ind w:left="0" w:right="105"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渠道配置管理应包含：添加应答渠道、编辑渠道参数、删除无效渠道、启用/禁用渠道、配置渠道权限、监控渠道状态、查看渠道日志、导出渠道配置、渠道使用统计。</w:t>
      </w:r>
      <w:r/>
    </w:p>
    <w:p>
      <w:pPr>
        <w:pStyle w:val="1003"/>
        <w:ind w:left="0" w:right="105"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终端接入配置应包含：设置接入规则参数、设置接入规则参数、查看接入状态、记录接入日志、新增接入渠道、编辑接入配置、删除无用接入渠道、批量配置接入参数、接入配置报表。问答智能体通过数字人交互界面、交易系统（含开评标系统）、网站端等多渠道提供智能应答服务，实现用户入口全覆盖。</w:t>
      </w:r>
      <w:r/>
    </w:p>
    <w:p>
      <w:pPr>
        <w:pStyle w:val="1003"/>
        <w:ind w:left="0" w:right="105"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咨询知识库应包含：接入智能体投标政策解读内容、接入智能体流程指引咨询内容、增加咨询知识库条目。</w:t>
      </w:r>
      <w:r/>
    </w:p>
    <w:p>
      <w:pPr>
        <w:pStyle w:val="1003"/>
        <w:ind w:left="0" w:right="105"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咨询响应应包含：接收用户 24 小时咨询请求、自动解答流程类问题、查看咨询响应记录、筛选咨询时间、筛选咨询类型、导出咨询响应日志、配置自动应答规则、统计咨询响应率。系统全天候提供投标政策解读、流程指引等咨询服务，突破时间限制，降低人工咨询压力，提升服务响应效率。</w:t>
      </w:r>
      <w:r/>
    </w:p>
    <w:p>
      <w:pPr>
        <w:pStyle w:val="1003"/>
        <w:ind w:left="0" w:right="105"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应答统计分析应包含：按渠道统计应答、按时间统计应答、按类型统计应答、应答成功率统计、用户满意度统计、生成统计报表、导出统计数据、统计数据备份、统计权限控制、统计查询日志。</w:t>
      </w:r>
      <w:r/>
    </w:p>
    <w:p>
      <w:pPr>
        <w:pStyle w:val="1003"/>
        <w:ind w:left="0" w:right="105"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咨询记录应包含：存储咨询交互文本记录、存储咨询交互语音记录、查询咨询交互记录、按时间筛选记录、按用户筛选记录、按咨询类型筛选记录、分页查看记录、导出交互记录、删除过期交互记录、查看记录详情、配置记录存储周期、备份交互记录、恢复交互记录。</w:t>
      </w:r>
      <w:r/>
    </w:p>
    <w:p>
      <w:pPr>
        <w:pStyle w:val="987"/>
        <w:rPr>
          <w:highlight w:val="none"/>
        </w:rPr>
      </w:pPr>
      <w:r>
        <w:rPr>
          <w:b/>
          <w:bCs/>
          <w:sz w:val="24"/>
          <w:szCs w:val="24"/>
          <w:highlight w:val="none"/>
        </w:rPr>
        <w:t xml:space="preserve">2.1.</w:t>
      </w:r>
      <w:r>
        <w:rPr>
          <w:rFonts w:hint="eastAsia"/>
          <w:b/>
          <w:bCs/>
          <w:sz w:val="24"/>
          <w:szCs w:val="24"/>
          <w:highlight w:val="none"/>
        </w:rPr>
        <w:t xml:space="preserve">4语音实时监测系统功能开发方案</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语音实时监测系统通过实时拾取音频，利用大模型推理技术进行实时预警和分析，监控评标过程中的所有言语，实时分析评标专家及相关人员的发言，精准识别潜在的偏见和诱导性、倾向性等表述，并能够通过自动化违规预警机制及时响应异常行为。系统需支持实时预警录音回听功能，确保数据安全和便捷的访问，保障评标过程的公正性、透明度和合规性。</w:t>
      </w:r>
      <w:r/>
    </w:p>
    <w:p>
      <w:pPr>
        <w:pStyle w:val="988"/>
        <w:rPr>
          <w:highlight w:val="none"/>
        </w:rPr>
      </w:pPr>
      <w:r>
        <w:rPr>
          <w:rFonts w:hint="eastAsia" w:eastAsia="宋体"/>
          <w:highlight w:val="none"/>
        </w:rPr>
        <w:t xml:space="preserve">2</w:t>
      </w:r>
      <w:r>
        <w:rPr>
          <w:rFonts w:hint="eastAsia"/>
          <w:highlight w:val="none"/>
        </w:rPr>
        <w:t xml:space="preserve">.1.4.1质检配置</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质检配置。</w:t>
      </w:r>
      <w:r>
        <w:rPr>
          <w:rStyle w:val="1002"/>
          <w:rFonts w:hint="eastAsia" w:ascii="宋体" w:hAnsi="宋体" w:cs="宋体"/>
          <w:spacing w:val="1"/>
          <w:sz w:val="24"/>
          <w:szCs w:val="24"/>
          <w:highlight w:val="none"/>
        </w:rPr>
        <w:t xml:space="preserve">演示平台对音频采集设备的接入进行配置，演示对专家评估引导性言论的指标配置。</w:t>
      </w:r>
      <w:r>
        <w:rPr>
          <w:rFonts w:hint="eastAsia" w:ascii="宋体" w:hAnsi="宋体" w:cs="宋体"/>
          <w:sz w:val="24"/>
          <w:szCs w:val="24"/>
          <w:highlight w:val="none"/>
        </w:rPr>
        <w:t xml:space="preserve">（演示内容3）</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系统需具备质检内容配置功能，一方面需要对语音分析设备的频道进行配置，以便支持违规预警进行质检功能，另一方面需要配置质检的检测指标，能够根据不同的应用要求，接入不同的智能体应用，并对智能体模型进行个性化配置。</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频道配置应包含：配置音频采集主频道、配置音频采集备用频道、设置频道切换规则、查看频道配置列表、编辑频道配置、新增频道配置、删除无用频道、监控频道运行状态、添加质检设备、编辑设备信息、删除无效设备、配置设备频道、监控设备状态、设备故障告警、设备分组管理、导出设备配置、导入设备配置、记录频道配置日志。</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Tokens管控应包含：设置单次推理 Token 上限、调整上下文保留时长、编辑管控参数、新增管控规则、配置Tokens上限、配置Tokens分配、监控Tokens使用、Tokens不足告警、Tokens使用统计、重置Tokens计数、Tokens使用日志、按用户分配Tokens、按功能分配Tokens、导出Tokens统计、删除无用管控规则。</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检测指标配置应包含：添加检测指标、编辑检测指标、删除检测指标、配置指标权重、配置指标阈值、检测指标分类、配置检测频率、查看指标配置日志、导出指标配置。</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对话管理应包含：配置上下文保留时长、设置异常对话处理机制（如重置 / 提示）、查看上下文管理配置、编辑对话管理配置参数、新增管理规则、监控对话状态、记录管理日志、配置对话、批量配置多个智能体对话管理。</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质检日志应包含：记录新增配置操作、记录修改配置操作、记录删除配置操作、记录配置启用 / 禁用操作、查询操作日志、按时间筛选质检日志、按操作类型筛选质检日志、按操作人员筛选日志、分页查看质检日志、查看质检日志详情。</w:t>
      </w:r>
      <w:r/>
    </w:p>
    <w:p>
      <w:pPr>
        <w:pStyle w:val="988"/>
        <w:rPr>
          <w:highlight w:val="none"/>
        </w:rPr>
      </w:pPr>
      <w:r>
        <w:rPr>
          <w:rFonts w:hint="eastAsia" w:eastAsia="宋体"/>
          <w:highlight w:val="none"/>
        </w:rPr>
        <w:t xml:space="preserve">2</w:t>
      </w:r>
      <w:r>
        <w:rPr>
          <w:rFonts w:hint="eastAsia"/>
          <w:highlight w:val="none"/>
        </w:rPr>
        <w:t xml:space="preserve">.1.4.2违规预警</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系统具备违规预警功能，当系统检测到异常发言或违规行为时，触发自动化警报机制，数字人实时提醒纠正，并将相关取证记录及时推送相关人员。系统应具备对违规行为的分类功能，能够将不同类型的违规行为进行归类。系统需定期生成综合分析报告，汇总违规行为的频率和类型，为管理决策提供重要的数据支持。</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预警规则配置应包含：配置语义异常触发规则、配置情绪波动触发规则、配置其他复合触发规则、设置规则触发条件、查看预警规则列表、编辑预警规则、新增预警规则、删除规则、启用/禁用规则、记录规则配置日志、配置预警级别、配置预警方式、配置预警接收人、配置预警时限、测试预警功能、查看预警配置日志、导出预警配置、导入预警配置。</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预警查询应包含：按违规类型查询预警、按专家姓名查询预警（如有）、分页查看预警记录、筛选预警状态、导出预警查询结果、保存预警查询条件、刷新预警查询结果、查看预警详情、关联查看预警取证数据</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预警推送应包含：配置数字人播报推送方式、配置短信推送方式、选择推送管理人员列表、设置推送触发时机、查看推送配置列表、编辑推送配置、新增推送方式、删除无用推送方式、监控推送状态、记录预警推送日志、导出预警推送记录。</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数字人提醒配置应包含：配置数字人形象、配置提醒语音、配置提醒内容、配置提醒时机、测试数字人提醒、记录预警提醒日志、统计提醒效果、调整提醒音量、调整提醒频率、紧急提醒优先配置。</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取证记录应包含：保存违规言论音频片段、保存文字转写数据、保存相关视频片段（如有）、查询取证记录、按项目筛选取证记录、按时间筛选取证记录、按违规类型筛选记录、分页查看取证记录、导出取证记录、删除过期取证记录、查看取证记录详情、备份取证记录、恢复取证记录。</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预警处置应包含：标记预警待处理状态、标记预警已处理状态、标记预警已驳回状态、记录处置人员信息、记录处置时间、记录处置措施、记录处置结果、查询处置跟踪列表、按状态筛选跟踪记录、按时间筛选跟踪记录、处置跟踪报表、查看处置详情、配置处置流程节点、提醒未处置预警。</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分析报告应包含：根据违规发生时间、违规类型分布等制作分析报告、生成日报表、生成周报表、生成月报表、查看报告详情、打印报告、重新生成报告、配置报告生成时间。</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报告导出应包含：选择导出报告类型（日 / 周 / 月）、设置导出报告名称、选择导出报告存储路径、查看导出报告进度、记录报告导出日志。</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数字人播报应包含：配置播报语音模板、设置播报音量参数、设置播报语速参数、触发预警时自动播报、查看播报记录、筛选播报时间、导出播报日志、调整播报优先级。</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播报记录应包含：记录播报时间、记录播报内容、记录播报预警等级、查询播报记录列表、按预警等级筛选记录、分页查看播报记录、删除过期播报记录、查看播报记录详情。</w:t>
      </w:r>
      <w:r/>
    </w:p>
    <w:p>
      <w:pPr>
        <w:pStyle w:val="988"/>
        <w:rPr>
          <w:highlight w:val="none"/>
        </w:rPr>
      </w:pPr>
      <w:r>
        <w:rPr>
          <w:rFonts w:hint="eastAsia" w:eastAsia="宋体"/>
          <w:highlight w:val="none"/>
        </w:rPr>
        <w:t xml:space="preserve">2</w:t>
      </w:r>
      <w:r>
        <w:rPr>
          <w:rFonts w:hint="eastAsia"/>
          <w:highlight w:val="none"/>
        </w:rPr>
        <w:t xml:space="preserve">.1.4.3告警历史</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录音检索应包含：按日期筛选录音、按项目名称筛选录音、按专家姓名筛选录音、按违规类型筛选录音、输入关键字检索录音、分页查看检索结果、预览录音片段、导出检索到的录音、保存检索条件、刷新检索结果、查看检索日志。</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告警历史管理应包含：按告警类型筛选、按告警级别筛选、按处置状态筛选、导出告警历史数据、批量处理告警记录、标记告警处理结果、添加告警处理备注、配置告警保留期限、自动清理过期告警、告警统计报表生成。</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录音回放应包含：暂停录音、录音快进操作、录音倒退、调整回放速度、查看录音回放进度、暂停后继续回放、停止录音回放、导出回放片段、记录回放日志、批量回放多个录音。</w:t>
      </w:r>
      <w:r/>
    </w:p>
    <w:p>
      <w:pPr>
        <w:pStyle w:val="987"/>
        <w:rPr>
          <w:b/>
          <w:highlight w:val="none"/>
        </w:rPr>
      </w:pPr>
      <w:r>
        <w:rPr>
          <w:b/>
          <w:sz w:val="24"/>
          <w:szCs w:val="24"/>
          <w:highlight w:val="none"/>
        </w:rPr>
        <w:t xml:space="preserve">2.1.5</w:t>
      </w:r>
      <w:r>
        <w:rPr>
          <w:rFonts w:hint="eastAsia"/>
          <w:b/>
          <w:sz w:val="24"/>
          <w:szCs w:val="24"/>
          <w:highlight w:val="none"/>
        </w:rPr>
        <w:t xml:space="preserve">视频分析系统功能</w:t>
      </w:r>
      <w:r>
        <w:rPr>
          <w:rFonts w:hint="eastAsia"/>
          <w:b/>
          <w:bCs/>
          <w:sz w:val="24"/>
          <w:szCs w:val="24"/>
          <w:highlight w:val="none"/>
        </w:rPr>
        <w:t xml:space="preserve">开发</w:t>
      </w:r>
      <w:r>
        <w:rPr>
          <w:rFonts w:hint="eastAsia"/>
          <w:b/>
          <w:sz w:val="24"/>
          <w:szCs w:val="24"/>
          <w:highlight w:val="none"/>
        </w:rPr>
        <w:t xml:space="preserve">方案</w:t>
      </w:r>
      <w:r/>
    </w:p>
    <w:p>
      <w:pPr>
        <w:ind w:firstLine="480"/>
        <w:jc w:val="left"/>
        <w:spacing w:line="360" w:lineRule="auto"/>
        <w:rPr>
          <w:highlight w:val="none"/>
        </w:rPr>
      </w:pPr>
      <w:r>
        <w:rPr>
          <w:rFonts w:hint="eastAsia" w:ascii="宋体" w:hAnsi="宋体" w:cs="宋体"/>
          <w:sz w:val="24"/>
          <w:szCs w:val="24"/>
          <w:highlight w:val="none"/>
        </w:rPr>
        <w:t xml:space="preserve">视频分析系统通过实时监控和智能分析，提供多种功能，包括视频预览、录像回放、全景监控、图片查询和电视墙展示。系统具备“功能需求”所列各类违规及异常行为的分析、监测、预警、取证功能，确保评标过程的合规性与安全。结合专家及相关人员身份识别、活动路线追踪与视频追溯功能，系统支持全程追踪专家及相关人员行为，提供高效的历史查询与记录下载，提升评标过程的透明度和公正性。异常行为分析检出率≥90%，误报率≤20%。</w:t>
      </w:r>
      <w:r/>
    </w:p>
    <w:p>
      <w:pPr>
        <w:ind w:firstLine="480"/>
        <w:jc w:val="left"/>
        <w:spacing w:line="360" w:lineRule="auto"/>
        <w:rPr>
          <w:highlight w:val="none"/>
        </w:rPr>
      </w:pPr>
      <w:r>
        <w:rPr>
          <w:rFonts w:hint="eastAsia" w:ascii="宋体" w:hAnsi="宋体" w:cs="宋体"/>
          <w:sz w:val="24"/>
          <w:szCs w:val="24"/>
          <w:highlight w:val="none"/>
        </w:rPr>
        <w:t xml:space="preserve">视频分析系统具备对公共资源交易中心非法进入评标区人员的识别与告警功能。系统采用了先进的图像识别技术和深度学习算法，通过高分辨率摄像头实时监控评标区的入口和周边区域。当非授权人员进入评标区时，系统能够快速分析视频流，并利用人脸识别和行为分析技术自动识别可疑人员，实时生成警报并通知相关管理人员。</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在评标区内，系统利用视频分析技术实时监测评标专家的健康状况，以应对可能出现的健康问题，如晕倒或摔跤等突发事件。系统能够持续观察专家的行为和姿态，一旦识别到异常情况，例如专家突然失去平衡或倒地，便会立即触发警报。</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实时追踪：在评标专家信息解密后，可选择当日参与项目评标的专家进行实时追踪，直观掌握评标专家在交易中心的行进路线和分布情况。</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视频追踪：通过从招投标项目评标专家名单、人脸库或预警事件中选择评标专家进行追踪，实时显示专家最近出现位置和时间，并自动播放该路线的预览画面，当专家出现在新的位置时，预览画面自动切换显示。</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在追踪过程中，可以在今日活动列表中选择历史活动回放录像。</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对于重点关注的评标专家，可以进行锁定追踪，自动追踪播放专家最近出现位置的实时视频，监管专家行为及与其他人员接触情况</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历史追溯：对于评标结束后需要调阅专家活动路线的情况，从招投标项目评标专家名单、专家及其评标项目名单或人脸库中选择评标专家以及确定日期查询历史活动记录，并可选择按时间先后顺序播放各位置点录像片段的视频模式，或按时间先后顺序在三维地图上绘制活动路线的地图模式进行路线展示。</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对于暂未采集人脸的评标专家，可通过上传专家人脸图或从抓拍人脸库中查找选定专家人脸图的方式确定目标查询历史活动路线记录。</w:t>
      </w:r>
      <w:r/>
    </w:p>
    <w:p>
      <w:pPr>
        <w:ind w:firstLine="480"/>
        <w:jc w:val="left"/>
        <w:spacing w:line="360" w:lineRule="auto"/>
        <w:rPr>
          <w:highlight w:val="none"/>
        </w:rPr>
      </w:pPr>
      <w:r>
        <w:rPr>
          <w:rFonts w:hint="eastAsia" w:ascii="宋体" w:hAnsi="宋体" w:cs="宋体"/>
          <w:sz w:val="24"/>
          <w:szCs w:val="24"/>
          <w:highlight w:val="none"/>
        </w:rPr>
        <w:t xml:space="preserve">下载中心:对追踪或追溯的专家活动路线记录，可选择录像进行下载，系统自动将选择的活动记录点录像片段，按照时间先后顺序合成为一个录像文件。在下载中心可选择合并后的活动录像进行下载。</w:t>
      </w:r>
      <w:r/>
    </w:p>
    <w:p>
      <w:pPr>
        <w:pStyle w:val="988"/>
        <w:rPr>
          <w:highlight w:val="none"/>
        </w:rPr>
      </w:pPr>
      <w:r>
        <w:rPr>
          <w:rFonts w:hint="eastAsia" w:eastAsia="宋体"/>
          <w:highlight w:val="none"/>
        </w:rPr>
        <w:t xml:space="preserve">2</w:t>
      </w:r>
      <w:r>
        <w:rPr>
          <w:rFonts w:hint="eastAsia"/>
          <w:highlight w:val="none"/>
        </w:rPr>
        <w:t xml:space="preserve">.1.5.1视频基础应用</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需提供全面的视频监控功能，包括实时视频预览、录像回放、全景监控、图片查询等。系统支持高清画面展示，能够进行云台控制、对讲、广播等操作，并能对历史录像进行查询、播放和下载，满足多样化的视频监控需求。</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视频预览应包含：展示基础监控画面、依据监控点组织预览、位置预览、组织和监控点收藏、资源视图管理、暂停预览、继续预览、停止预览、轮询预览、全屏预览、退出视频预览全屏、查看预览设备信息、配置预览默认参数。</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预览查询应包含：按监控点名称查询、输入关键字查询、分页查看预览查询结果、切换查询到的监控点、刷新预览查询结果、保存预览查询条件、导出查询列表、删除查询记录、查看查询日志。</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对讲功能应包含：发起平台与单个监控点对讲、发起平台与多个监控点批量广播、调节对讲音量、暂停对讲、继续对讲、结束对讲、切换对讲监控点、查看对讲状态、记录对讲日志、配置对讲功能。</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云台控制应包含：控制云台水平旋转、控制云台垂直旋转、控制云台变焦、控制云台聚焦、复位云台位置、保存云台预设位置、调用云台预设位置、调节云台旋转速度、查看云台控制状态、记录云台控制日志。</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录像回放应包含：按时间范围查询录像、按监控点查询录像、播放历史录像、暂停播放、快进播放、倒退播放、调节播放速度、下载录像片段、选择下载画质、查看录像回放进度、停止录像回放、导出回放日志、批量回放多个录像。</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全景监控应包含：切换全景模式、切换普通模式、调节全景视角、放大全景局部、缩小全景画面、查看全景监控点信息、全屏预览全景画面、退出全景监控全屏、刷新全景画面、记录预览日志、配置全景默认参数。</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视图窗口应包含：展示球机特写画面、拖动窗口位置、调整视图窗口大小、隐藏窗口、显示窗口、切换窗口球机、调节特写画面参数、关闭窗口、查看窗口状态、记录窗口操作日志。</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图片查询应包含：按时间范围查询图片、按监控点查询、按抓图计划查询、分页查看图片、按时间排序图片、按监控点排序图片、查看图片详情、放大图片、缩小图片、下载单张图片、批量下载图片、图片导入、记录查询图片日志。</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图片播放应包含：配置播放速度、开始自动播放、暂停自动播放、继续自动播放、停止自动播放、循环播放图片、顺序播放图片、倒序播放图片、查看播放进度、切换播放图片组、处理播放异常、记录播放日志。</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图片下载应包含：选择下载图片范围、设置下载文件名称、选择下载存储路径、、查看下载进度、暂停下载任务、继续下载任务、取消下载任务、验证下载文件完整性、处理下载失败、记录下载日志、批量下载多个监控点图片、压缩下载文件。</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电视墙配置应包含：配置解码资源分配、设置电视墙布局（行列数）、添加监控点到电视墙窗口、删除电视墙窗口监控点、调整窗口大小、移动窗口位置、保存电视墙配置、调用已保存配置、删除无用配置、查看配置列表、记录配置日志。</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内容上墙应包含：调度解码资源、选择上墙监控点、切换上墙视频、暂停上墙播放、继续上墙播放、停止上墙播放、调节上墙音量、全屏上墙单个窗口、退出全屏、查看上墙状态、记录上墙日志、批量切换多个窗口视频。</w:t>
      </w:r>
      <w:r/>
    </w:p>
    <w:p>
      <w:pPr>
        <w:pStyle w:val="988"/>
        <w:rPr>
          <w:highlight w:val="none"/>
        </w:rPr>
      </w:pPr>
      <w:r>
        <w:rPr>
          <w:rFonts w:hint="eastAsia" w:eastAsia="宋体"/>
          <w:highlight w:val="none"/>
        </w:rPr>
        <w:t xml:space="preserve">2</w:t>
      </w:r>
      <w:r>
        <w:rPr>
          <w:rFonts w:hint="eastAsia"/>
          <w:highlight w:val="none"/>
        </w:rPr>
        <w:t xml:space="preserve">.1.5.2主体违规行为管控</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系统需具备异常、违规行为分析能力，能够实时预警评标区内的各类人员行为，如违规进出、人员聚集、长时间离席、异常会面、近距离私下交流，以及违规使用通讯设备、晕倒摔跤、抽烟等。</w:t>
      </w:r>
      <w:r/>
    </w:p>
    <w:p>
      <w:pPr>
        <w:ind w:firstLine="484"/>
        <w:jc w:val="left"/>
        <w:spacing w:line="360" w:lineRule="auto"/>
        <w:rPr>
          <w:rFonts w:ascii="宋体" w:hAnsi="宋体" w:cs="宋体"/>
          <w:sz w:val="24"/>
          <w:szCs w:val="24"/>
          <w:highlight w:val="none"/>
        </w:rPr>
      </w:pPr>
      <w:r>
        <w:rPr>
          <w:rStyle w:val="1002"/>
          <w:rFonts w:hint="eastAsia" w:ascii="宋体" w:hAnsi="宋体" w:cs="宋体"/>
          <w:spacing w:val="1"/>
          <w:sz w:val="24"/>
          <w:szCs w:val="24"/>
          <w:highlight w:val="none"/>
        </w:rPr>
        <w:t xml:space="preserve">主体违规行为管控。</w:t>
      </w:r>
      <w:r>
        <w:rPr>
          <w:rFonts w:hint="eastAsia" w:ascii="宋体" w:hAnsi="宋体" w:cs="宋体"/>
          <w:sz w:val="24"/>
          <w:szCs w:val="24"/>
          <w:highlight w:val="none"/>
        </w:rPr>
        <w:t xml:space="preserve">演示评标室违规使用手机行为（演示内容4）</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专家出入预警应包含：识别专家中途离开行为、识别专家再次进入行为、触发离开预警通知、触发进入预警通知、记录违规出入日志、查询专家出入预警记录、按专家筛选预警、按时间筛选专家出入预警、导出专家出入预警记录、标记专家出入预警状态、配置预警触发延迟。</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闸机违规预警应包含：识别翻越闸机行为、识别贴身尾随行为、触发违规预警、记录违规行为日志、查询闸机违规预警记录、按时间筛选闸机违规预警、按闸机位置筛选预警、导出闸机违规预警记录、标记闸机违规预警状态、配置预警灵敏度。</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需结合身份识别管理系统各类生物特征信息，准确锁定具体违规人员。</w:t>
      </w:r>
      <w:r/>
    </w:p>
    <w:p>
      <w:pPr>
        <w:pStyle w:val="988"/>
        <w:rPr>
          <w:rFonts w:ascii="宋体" w:hAnsi="宋体" w:eastAsia="宋体" w:cs="宋体"/>
          <w:highlight w:val="none"/>
        </w:rPr>
      </w:pPr>
      <w:r>
        <w:rPr>
          <w:rFonts w:hint="eastAsia" w:ascii="宋体" w:hAnsi="宋体" w:eastAsia="宋体" w:cs="宋体"/>
          <w:highlight w:val="none"/>
        </w:rPr>
        <w:t xml:space="preserve">2.1.5.3专家等人员活动路线追溯</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系统还需提供专家活动的实时轨迹追踪与历史追溯功能。通过人脸识别、穿戴等特征分析与多目标追踪等技术，系统能够精准记录专家的活动路径与行为，支持根据时间和专家信息进行追溯和视频回放。</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人员聚集分析应包含：实时监测人员聚集情况、统计聚集人数、计算聚集时长、触发聚集预警、记录聚集日志、查询聚集记录、按区域筛选记录、按时间筛选人员聚集分析记录、导出聚集记录、标记事件状态、配置聚集预警时长。</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聚集预警推送应包含：推送预警至管理人员 APP、推送预警至管理人员短信、推送预警至系统消息、记录推送日志、查询推送记录、按管理人员筛选记录、按时间筛选聚集预警记录、导出推送记录、配置推送方式、调整推送优先级。</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近距离监测应包含：监测专家间距离、识别过近互动行为、识别进入其他工位隔间行为、触发近距离预警、事件类型筛选、报警点筛选、预警时间记录查询。</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不良行为检测应包含：监测违规使用手机、监测抽烟行为、监测吵闹行为、监测肢体冲突、触发不良行为预警、记录不良行为检测预警日志、查询不良行为检测预警记录、按不良行为类型筛选、按时间筛选不良行为检测记录、导出不良行为检测预警记录、标记不良行为检测预警状态、配置检测灵敏度。</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抽烟提醒应包含：检测到抽烟触发提醒、配置提醒话术、调节提醒音量、记录提醒日志、查询提醒记录、按时间筛选抽烟提醒记录、导出提醒记录、调整提醒频次、配置提醒触发延迟。</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离席监测应包含：监测专家工位状态、判断长时间离席、触发离席预警、记录离席日志、查询预警记录、按时间筛选预警、导出预警记录、标记预警状态、配置离席时长阈值。</w:t>
      </w:r>
      <w:r/>
    </w:p>
    <w:p>
      <w:pPr>
        <w:pStyle w:val="988"/>
        <w:rPr>
          <w:highlight w:val="none"/>
        </w:rPr>
      </w:pPr>
      <w:r>
        <w:rPr>
          <w:rFonts w:hint="eastAsia" w:eastAsia="宋体"/>
          <w:highlight w:val="none"/>
        </w:rPr>
        <w:t xml:space="preserve">2</w:t>
      </w:r>
      <w:r>
        <w:rPr>
          <w:rFonts w:hint="eastAsia"/>
          <w:highlight w:val="none"/>
        </w:rPr>
        <w:t xml:space="preserve">.1.5.4视频数据存储</w:t>
      </w:r>
      <w:r>
        <w:rPr>
          <w:rFonts w:hint="eastAsia" w:eastAsia="宋体"/>
          <w:highlight w:val="none"/>
        </w:rPr>
        <w:t xml:space="preserve">覆盖</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预警部分视频文件需要保存1年。全量视频保存不少于1年。</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存储配置应包含：配置存储路径、设置存储时长、选择存储格式、查看存储占用、监控存储状态、记录存储日志、备份异常录像、恢复异常录像、覆盖过期录像、批量迁移视频、视频存储。</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存储查询应包含：查询异常视频存储占用、查询剩余存储空间、查询存储设备状态、按存储路径查询、按存储时长查询、查看查询结果、导出查询报表、刷新查询结果、记录查询日志、配置查询频率、批量查询多个存储设备。</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录像覆盖规则配置应包含：配置普通视频自动覆盖规则、设置覆盖时间（如超过 1 年）、选择覆盖方式、查看规则列表、编辑规则、新增规则、删除无用规则、启用/禁用规则、记录录像覆盖日志、导出规则配置。</w:t>
      </w:r>
      <w:r/>
    </w:p>
    <w:p>
      <w:pPr>
        <w:pStyle w:val="987"/>
        <w:rPr>
          <w:b/>
          <w:highlight w:val="none"/>
        </w:rPr>
      </w:pPr>
      <w:r>
        <w:rPr>
          <w:b/>
          <w:sz w:val="24"/>
          <w:szCs w:val="24"/>
          <w:highlight w:val="none"/>
        </w:rPr>
        <w:t xml:space="preserve">2.1.6</w:t>
      </w:r>
      <w:r>
        <w:rPr>
          <w:rFonts w:hint="eastAsia"/>
          <w:b/>
          <w:sz w:val="24"/>
          <w:szCs w:val="24"/>
          <w:highlight w:val="none"/>
        </w:rPr>
        <w:t xml:space="preserve">身份识别管理系统功能</w:t>
      </w:r>
      <w:r>
        <w:rPr>
          <w:rFonts w:hint="eastAsia"/>
          <w:b/>
          <w:bCs/>
          <w:sz w:val="24"/>
          <w:szCs w:val="24"/>
          <w:highlight w:val="none"/>
        </w:rPr>
        <w:t xml:space="preserve">开发</w:t>
      </w:r>
      <w:r>
        <w:rPr>
          <w:rFonts w:hint="eastAsia"/>
          <w:b/>
          <w:sz w:val="24"/>
          <w:szCs w:val="24"/>
          <w:highlight w:val="none"/>
        </w:rPr>
        <w:t xml:space="preserve">方案</w:t>
      </w:r>
      <w:r/>
    </w:p>
    <w:p>
      <w:pPr>
        <w:ind w:firstLine="480"/>
        <w:jc w:val="left"/>
        <w:spacing w:line="360" w:lineRule="auto"/>
        <w:rPr>
          <w:rFonts w:ascii="宋体" w:hAnsi="宋体" w:cs="宋体"/>
          <w:sz w:val="24"/>
          <w:szCs w:val="24"/>
          <w:highlight w:val="none"/>
        </w:rPr>
      </w:pPr>
      <w:r>
        <w:rPr>
          <w:rFonts w:hint="eastAsia" w:ascii="Segoe UI" w:hAnsi="Segoe UI" w:cs="Segoe UI"/>
          <w:color w:val="0f1115"/>
          <w:sz w:val="24"/>
          <w:szCs w:val="24"/>
          <w:highlight w:val="none"/>
          <w:shd w:val="clear" w:color="auto" w:fill="ffffff"/>
        </w:rPr>
        <w:t xml:space="preserve">通过</w:t>
      </w:r>
      <w:r>
        <w:rPr>
          <w:rFonts w:ascii="Segoe UI" w:hAnsi="Segoe UI" w:eastAsia="Segoe UI" w:cs="Segoe UI"/>
          <w:color w:val="0f1115"/>
          <w:sz w:val="24"/>
          <w:szCs w:val="24"/>
          <w:highlight w:val="none"/>
          <w:shd w:val="clear" w:color="auto" w:fill="ffffff"/>
        </w:rPr>
        <w:t xml:space="preserve">采集人员人脸、穿戴等生物特征信息，实现进出身份核验与记录</w:t>
      </w:r>
      <w:r>
        <w:rPr>
          <w:rFonts w:hint="eastAsia" w:ascii="Segoe UI" w:hAnsi="Segoe UI" w:cs="Segoe UI"/>
          <w:color w:val="0f1115"/>
          <w:sz w:val="24"/>
          <w:szCs w:val="24"/>
          <w:highlight w:val="none"/>
          <w:shd w:val="clear" w:color="auto" w:fill="ffffff"/>
        </w:rPr>
        <w:t xml:space="preserve">。</w:t>
      </w:r>
      <w:r>
        <w:rPr>
          <w:rFonts w:hint="eastAsia" w:ascii="宋体" w:hAnsi="宋体" w:cs="宋体"/>
          <w:sz w:val="24"/>
          <w:szCs w:val="24"/>
          <w:highlight w:val="none"/>
        </w:rPr>
        <w:t xml:space="preserve">系统支持人脸识别等算法，确保比对过程迅速且准确。如验证失败，系统将立即发出警报并记录事件，同时识别系统中人脸等隐私数据将在当天自动删除，不留存本地，确保数据安全与隐私保护。对于未能识别身份的人员，系统应同步编号记录，并协同视频分析系统开展行为、轨迹等分析监测、预警管控。</w:t>
      </w:r>
      <w:r/>
    </w:p>
    <w:p>
      <w:pPr>
        <w:pStyle w:val="988"/>
        <w:rPr>
          <w:highlight w:val="none"/>
        </w:rPr>
      </w:pPr>
      <w:r>
        <w:rPr>
          <w:rFonts w:hint="eastAsia" w:eastAsia="宋体"/>
          <w:highlight w:val="none"/>
        </w:rPr>
        <w:t xml:space="preserve">2</w:t>
      </w:r>
      <w:r>
        <w:rPr>
          <w:rFonts w:hint="eastAsia"/>
          <w:highlight w:val="none"/>
        </w:rPr>
        <w:t xml:space="preserve">.1.6.1主体生物特征数据</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生物特征采集应包含：配置人脸采集参数、采集人脸图像、优化人脸图像质量、提取人脸特征值、穿戴等特征信息、验证特征有效性、采集失败重试配置、采集操作日志、采集设备管理、采集进度显示、采集异常告警。</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特征存储应包含：存储生物特征数据、查询特征数据、更新特征数据、删除特征数据、备份特征数据、恢复特征数据、特征数据加密、特征数据权限控制、特征数据统计、导出特征数据日志、监控特征存储状态、记录特征存储日志。</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人员分类管理应包含：创建人员类别、编辑人员类别、删除人员类别、配置类别权限、配置类别通行规则、查询人员分类列表、统计各类别人数、人员类别变更日志、批量调整人员类别、导出人员分类数据。</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定时删除应包含：配置当天自动删除规则、设置删除执行时间、选择删除数据类型、查看删除规则列表、编辑删除规则、新增删除规则、记录删除日志。</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未识别记录应包含：为未识别人员分配唯一编号、记录人员进入时间、位置、关联视频分析数据、查询人员列表、按编号筛选人员、按时间筛选人员、导出人员记录、查看记录详情。</w:t>
      </w:r>
      <w:r/>
    </w:p>
    <w:p>
      <w:pPr>
        <w:pStyle w:val="988"/>
        <w:rPr>
          <w:highlight w:val="none"/>
        </w:rPr>
      </w:pPr>
      <w:r>
        <w:rPr>
          <w:rFonts w:hint="eastAsia" w:eastAsia="宋体"/>
          <w:highlight w:val="none"/>
        </w:rPr>
        <w:t xml:space="preserve">2</w:t>
      </w:r>
      <w:r>
        <w:rPr>
          <w:rFonts w:hint="eastAsia"/>
          <w:highlight w:val="none"/>
        </w:rPr>
        <w:t xml:space="preserve">.1.6.2身份核验</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人脸比对应包含：捕捉面部图像、提取人脸特征、与身份证照片比对、返回比对结果、记录比对日志、查询比对记录、按人员筛选人脸比对记录、按时间筛选人脸比对记录、导出比对记录、批量比对人员身份。</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状态检查应包含：结合人脸、穿戴等特征信息，查询专家合格状态、验证人员资格有效性、拦截不合格人员、记录状态检查日志、查询检查记录、按人员筛选记录、按状态筛选记录、导出检查记录、配置检查规则。</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核验日志应包含：记录核验通过结果、记录核验失败结果、记录核验时间、记录核验人员信息、记录核验设备信息、查询核验日志、按时间筛选核验日志、按结果筛选日志、分页查看核验日志、导出核验日志、删除过期核验日志、查看核验日志详情。</w:t>
      </w:r>
      <w:r/>
    </w:p>
    <w:p>
      <w:pPr>
        <w:pStyle w:val="987"/>
        <w:rPr>
          <w:b/>
          <w:highlight w:val="none"/>
        </w:rPr>
      </w:pPr>
      <w:r>
        <w:rPr>
          <w:rFonts w:hint="eastAsia"/>
          <w:b/>
          <w:sz w:val="24"/>
          <w:szCs w:val="24"/>
          <w:highlight w:val="none"/>
        </w:rPr>
        <w:t xml:space="preserve">2.1.7虚拟评标空间系统功能</w:t>
      </w:r>
      <w:r>
        <w:rPr>
          <w:rFonts w:hint="eastAsia"/>
          <w:b/>
          <w:bCs/>
          <w:sz w:val="24"/>
          <w:szCs w:val="24"/>
          <w:highlight w:val="none"/>
        </w:rPr>
        <w:t xml:space="preserve">开发</w:t>
      </w:r>
      <w:r>
        <w:rPr>
          <w:rFonts w:hint="eastAsia"/>
          <w:b/>
          <w:sz w:val="24"/>
          <w:szCs w:val="24"/>
          <w:highlight w:val="none"/>
        </w:rPr>
        <w:t xml:space="preserve">方案</w:t>
      </w:r>
      <w:r/>
    </w:p>
    <w:p>
      <w:pPr>
        <w:ind w:firstLine="480"/>
        <w:jc w:val="left"/>
        <w:spacing w:line="360" w:lineRule="auto"/>
        <w:tabs>
          <w:tab w:val="left" w:pos="2730" w:leader="none"/>
        </w:tabs>
        <w:rPr>
          <w:rFonts w:ascii="宋体" w:hAnsi="宋体" w:cs="宋体"/>
          <w:sz w:val="24"/>
          <w:szCs w:val="24"/>
          <w:highlight w:val="none"/>
          <w:lang w:bidi="ar"/>
        </w:rPr>
      </w:pPr>
      <w:r>
        <w:rPr>
          <w:rFonts w:hint="eastAsia" w:ascii="宋体" w:hAnsi="宋体" w:cs="宋体"/>
          <w:sz w:val="24"/>
          <w:szCs w:val="24"/>
          <w:highlight w:val="none"/>
        </w:rPr>
        <w:t xml:space="preserve">应用于交易中心工位制分散评标、远程异地评标场景，满足会议系统评标功能、投标人答疑、视频会议见证监督等能力。</w:t>
      </w:r>
      <w:r>
        <w:rPr>
          <w:rFonts w:hint="eastAsia" w:ascii="宋体" w:hAnsi="宋体" w:cs="宋体"/>
          <w:sz w:val="24"/>
          <w:szCs w:val="24"/>
          <w:highlight w:val="none"/>
          <w:lang w:bidi="ar"/>
        </w:rPr>
        <w:t xml:space="preserve">虚拟评标空间与交易系统对接，自动获取项目基本信息，并随机分配专家席位，按项目构建一个虚拟评标室。专家通过“云桌面”系统登录不同行业评标系统开展评标，同步在虚拟评标室内利用耳麦或桌面级拾音摄像头进行语音、文字交流；中心、监管人员在虚拟评标室内对所有评委进行音视频监控，并协同数字员工引导、发布管控指令等，其中数字员工需对接评标系统，按评标系统反馈的进程指令语音引导评委开展评审，</w:t>
      </w:r>
      <w:r>
        <w:rPr>
          <w:rFonts w:hint="eastAsia" w:ascii="宋体" w:hAnsi="宋体" w:cs="宋体"/>
          <w:sz w:val="24"/>
          <w:szCs w:val="24"/>
          <w:highlight w:val="none"/>
          <w:lang w:bidi="ar"/>
        </w:rPr>
        <w:t xml:space="preserve">同时支持人工编辑预设指令组语音发布指令信息。</w:t>
      </w:r>
      <w:r>
        <w:rPr>
          <w:rFonts w:hint="eastAsia" w:ascii="宋体" w:hAnsi="宋体" w:cs="宋体"/>
          <w:sz w:val="24"/>
          <w:szCs w:val="24"/>
          <w:highlight w:val="none"/>
          <w:lang w:bidi="ar"/>
        </w:rPr>
        <w:t xml:space="preserve">工位内专家言行，实时开展不良言行智能分析监测、预警。虚拟评标室内交互音视频及相关信息按项目及时存档备查。系统应支持不少于90路并发（含工作人员及评委）</w:t>
      </w:r>
      <w:r/>
    </w:p>
    <w:p>
      <w:pPr>
        <w:ind w:firstLine="480"/>
        <w:jc w:val="left"/>
        <w:spacing w:line="360" w:lineRule="auto"/>
        <w:tabs>
          <w:tab w:val="left" w:pos="2730" w:leader="none"/>
        </w:tabs>
        <w:rPr>
          <w:rFonts w:ascii="宋体" w:hAnsi="宋体" w:cs="宋体"/>
          <w:sz w:val="24"/>
          <w:szCs w:val="24"/>
          <w:highlight w:val="none"/>
          <w:lang w:bidi="ar"/>
        </w:rPr>
      </w:pPr>
      <w:r>
        <w:rPr>
          <w:rFonts w:hint="eastAsia" w:ascii="宋体" w:hAnsi="宋体" w:cs="宋体"/>
          <w:sz w:val="24"/>
          <w:szCs w:val="24"/>
          <w:highlight w:val="none"/>
          <w:lang w:bidi="ar"/>
        </w:rPr>
        <w:t xml:space="preserve">桌面云系统。</w:t>
      </w:r>
      <w:r>
        <w:rPr>
          <w:rFonts w:hint="eastAsia" w:ascii="宋体" w:hAnsi="宋体" w:cs="宋体"/>
          <w:sz w:val="24"/>
          <w:szCs w:val="24"/>
          <w:highlight w:val="none"/>
        </w:rPr>
        <w:t xml:space="preserve">提供服务器虚拟化和存储虚拟化授权，服务器虚拟化授权要求满足本项目性能需求，存储虚拟化授权要求无容量限制，便于后续存储扩容，支持配备存储虚拟化软件模块，并不限制存储容量，提供低成</w:t>
      </w:r>
      <w:r>
        <w:rPr>
          <w:rFonts w:hint="eastAsia" w:ascii="宋体" w:hAnsi="宋体" w:cs="宋体"/>
          <w:sz w:val="24"/>
          <w:szCs w:val="24"/>
          <w:highlight w:val="none"/>
        </w:rPr>
        <w:t xml:space="preserve">本、高可靠的存储方案，根据实际需求支持两副本及三副本技术。用户认证策略管理：支持多种用户认证策略，本地用户认证、域用户认证、管理员认证等，支持云桌面账户、域账户访问权限绑定。数据安全策略管理：包含数据多副本备份，数据外发管控、打印管控、水印控制、截屏控制等多种策略控制。日志管理功能：支持管理员操作、普通用户操作操作进日志记录。健康运维平台：配套单独的桌面云使用情况的健康运维平台，可在平台上关注虚拟机使用情况、卡满情况，并以知识图谱的形式定位故障问题，且需提供可供参考的优化建议。应支持至少100个节点同时登录</w:t>
      </w:r>
      <w:r>
        <w:rPr>
          <w:rFonts w:hint="eastAsia"/>
          <w:sz w:val="24"/>
          <w:szCs w:val="24"/>
          <w:highlight w:val="none"/>
        </w:rPr>
        <w:t xml:space="preserve">。</w:t>
      </w:r>
      <w:r/>
    </w:p>
    <w:p>
      <w:pPr>
        <w:pStyle w:val="988"/>
        <w:rPr>
          <w:highlight w:val="none"/>
        </w:rPr>
      </w:pPr>
      <w:r>
        <w:rPr>
          <w:rFonts w:hint="eastAsia" w:eastAsia="宋体"/>
          <w:highlight w:val="none"/>
        </w:rPr>
        <w:t xml:space="preserve">2</w:t>
      </w:r>
      <w:r>
        <w:rPr>
          <w:rFonts w:hint="eastAsia"/>
          <w:highlight w:val="none"/>
        </w:rPr>
        <w:t xml:space="preserve">.1.7.1专家坐席分配</w:t>
      </w:r>
      <w:r/>
    </w:p>
    <w:p>
      <w:pPr>
        <w:ind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与业务系统对接将专家分散到不同的评标仓，支持按照指定规则随机分配专家坐席。</w:t>
      </w:r>
      <w:r/>
    </w:p>
    <w:p>
      <w:pPr>
        <w:ind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分配规则应包含：配置按项目类型分配规则、配置随机分配算法、设置坐席分配优先级、查看分配规则列表、编辑分配规则、新增分配规则、删除无用分配规则、记录分配日志、处理分配异常、导出分配规则配置、导入规则配置、配置回避规则、查看分配日志、手动调整坐席、坐席分配异常处理、坐席使用统计、批量配置多个项目规则。</w:t>
      </w:r>
      <w:r/>
    </w:p>
    <w:p>
      <w:pPr>
        <w:ind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结果查询应包含：按项目名称查询分配结果、按专家姓名查询、按时间查询、分页查看查询分配结果、导出分配结果、筛选分配状态、查看分配详情、保存分配查询条件、刷新分配查询结果、记录分配查询日志、批量查询多个项目分配结果。</w:t>
      </w:r>
      <w:r/>
    </w:p>
    <w:p>
      <w:pPr>
        <w:ind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分配记录应包含：存储分配历史记录、查询分配记录、按项目筛选分配记录、按专家筛选分配记录、按时间筛选分配记录、分页查看分配记录、导出分配记录、删除过期分配记录、查看分配记录详情、备份分配记录、恢复分配记录、统计分配情况。</w:t>
      </w:r>
      <w:r/>
    </w:p>
    <w:p>
      <w:pPr>
        <w:pStyle w:val="988"/>
        <w:rPr>
          <w:highlight w:val="none"/>
        </w:rPr>
      </w:pPr>
      <w:r>
        <w:rPr>
          <w:rFonts w:hint="eastAsia" w:eastAsia="宋体"/>
          <w:highlight w:val="none"/>
        </w:rPr>
        <w:t xml:space="preserve">2</w:t>
      </w:r>
      <w:r>
        <w:rPr>
          <w:rFonts w:hint="eastAsia"/>
          <w:highlight w:val="none"/>
        </w:rPr>
        <w:t xml:space="preserve">.1.7.2评标会议管理</w:t>
      </w:r>
      <w:r/>
    </w:p>
    <w:p>
      <w:pPr>
        <w:ind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与交易平台对接，同步评标项目信息，包括评标项目名称、评标时间、评标场地信息等，自动获取项目评标专家分配的席位场地信息，自动组建线上虚拟评标室。</w:t>
      </w:r>
      <w:r/>
    </w:p>
    <w:p>
      <w:pPr>
        <w:ind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虚拟室组建应包含：按项目自动创建虚拟室、配置虚拟室容量、添加专家至虚拟室、移除专家从虚拟室、查看虚拟室列表、按项目筛选虚拟室、按状态筛选虚拟室、导出虚拟室信息、删除过期虚拟室、查看虚拟室详情、配置虚拟室参数、记录组建日志。</w:t>
      </w:r>
      <w:r/>
    </w:p>
    <w:p>
      <w:pPr>
        <w:ind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交易场地管理应包含：交易大楼基础信息新增、大楼区域信息修改、交易大楼基础信息查询、交易场地新增、交易场地信息修改、交易场地注销/禁用、交易场地预约申请、交易场地使用登记、场地异常上报、交易场地清单报表、场地预约结果报表、场地使用统计报表、场地异常处理报表、场地异常告警、交易场地基础信息查询、场地预约情况查询、场地实时状态查询、场地使用历史查询。</w:t>
      </w:r>
      <w:r/>
    </w:p>
    <w:p>
      <w:pPr>
        <w:ind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归档配置应包含：归档文件目录管理、项目计划生成配置、归档通知人员。</w:t>
      </w:r>
      <w:r/>
    </w:p>
    <w:p>
      <w:pPr>
        <w:ind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监督配置应包含：监管部门管理、代理机构管理、见证权限分配。</w:t>
      </w:r>
      <w:r/>
    </w:p>
    <w:p>
      <w:pPr>
        <w:ind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项目信息同步应包含：业务数据对接‌、招投标项目活动管理、当日活动调控、交易员活动管理、同步项目名称、同步评标时间、同步评标场地信息、同步其他项目基础信息、查看同步状态、触发手动同步、配置自动同步频率、记录同步日志、处理同步异常、导出同步数据、验证同步完整性、批量同步多个项目信息、对比同步前后数据。</w:t>
      </w:r>
      <w:r/>
    </w:p>
    <w:p>
      <w:pPr>
        <w:ind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项目档案管理应包含：项目档案管理。</w:t>
      </w:r>
      <w:r/>
    </w:p>
    <w:p>
      <w:pPr>
        <w:ind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运行日志应包含：磁带库状态显示、权限下发日志。</w:t>
      </w:r>
      <w:r/>
    </w:p>
    <w:p>
      <w:pPr>
        <w:ind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评标会议管理应包含：‌会议自动创建与作废、‌会议调整。</w:t>
      </w:r>
      <w:r/>
    </w:p>
    <w:p>
      <w:pPr>
        <w:ind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会议监控应包含：监控专家在线率、监控音视频连接状态、监控会议时长、查看监控数据、按项目筛选监控、按时间筛选监控、导出监控报表、处理监控异常、配置监控频率、记录监控日志、设置监控告警阈值、批量监控多个会议。</w:t>
      </w:r>
      <w:r/>
    </w:p>
    <w:p>
      <w:pPr>
        <w:ind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评标区封闭管控应包含：评委签到配置、评委现场签到、评委远程签到、评委补签申请、评委补签审核、评委签到异常处理、评委签到状态手动修改、评委签到结果报表、评委签到明细报表、评委签到异常报表、签到完成通知、签到超时提醒、评委签到状态查询、评委签到记录查询、项目签到情况查询、评委签到异常查询。</w:t>
      </w:r>
      <w:r/>
    </w:p>
    <w:p>
      <w:pPr>
        <w:ind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交易员签到应包含：交易员签到配置、交易员现场签到、交易员远程签到、交易员补签申请、交易员补签审核、交易员签到异常处理、交易员签到状态手动修改、交易员签到结果报表、交易员签到明细报表、交易员签到异常报表、签到完成通知、签到超时提醒、交易员签到状态查询、交易员签到记录查询、项目签到情况查询、交易员签到异常查询。</w:t>
      </w:r>
      <w:r/>
    </w:p>
    <w:p>
      <w:pPr>
        <w:ind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评标区临时授权应包含：评标区临时授权。</w:t>
      </w:r>
      <w:r/>
    </w:p>
    <w:p>
      <w:pPr>
        <w:ind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交易活动监督应包含：见证监督、行业监标、业主监标。</w:t>
      </w:r>
      <w:r/>
    </w:p>
    <w:p>
      <w:pPr>
        <w:pStyle w:val="988"/>
        <w:rPr>
          <w:highlight w:val="none"/>
        </w:rPr>
      </w:pPr>
      <w:r>
        <w:rPr>
          <w:rFonts w:hint="eastAsia" w:eastAsia="宋体"/>
          <w:highlight w:val="none"/>
        </w:rPr>
        <w:t xml:space="preserve">2</w:t>
      </w:r>
      <w:r>
        <w:rPr>
          <w:rFonts w:hint="eastAsia"/>
          <w:highlight w:val="none"/>
        </w:rPr>
        <w:t xml:space="preserve">.1.7.3专家评标端</w:t>
      </w:r>
      <w:r/>
    </w:p>
    <w:p>
      <w:pPr>
        <w:ind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满足评标专家及工作人员通过虚拟评标室进行音视频、文字等评标交流的需求，实现场地席位管理、支持变声、项目图文消息发送等功能。</w:t>
      </w:r>
      <w:r/>
    </w:p>
    <w:p>
      <w:pPr>
        <w:ind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音视频交互应包含：发起音频通话、发起视频通话、发送文字消息、接收音频通话、接收视频通话、接收文字消息、挂断通话、关闭视频、静音操作、取消静音、查看通话状态、切换通话对象、处理通话异常、记录交互日志。</w:t>
      </w:r>
      <w:r/>
    </w:p>
    <w:p>
      <w:pPr>
        <w:ind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图文发送应包含：发送项目相关文字、发送项目相关图片、编辑图文消息、预览图文消息、删除未发送消息、查看发送记录、按专家筛选记录、按时间筛选记录、导出发送记录、处理发送异常、配置消息发送权限、批量发送同类消息。</w:t>
      </w:r>
      <w:r/>
    </w:p>
    <w:p>
      <w:pPr>
        <w:ind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交互记录应包含：存储音频通话记录、存储视频通话记录、存储文字消息记录、查询交互记录、按专家筛选交互记录、按时间筛选交互记录、按消息类型筛选记录、分页查看记录、导出交互记录、删除过期记录、查看交互记录详情、备份交互记录、恢复交互记录。</w:t>
      </w:r>
      <w:r/>
    </w:p>
    <w:p>
      <w:pPr>
        <w:ind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专家席位管理应包含：新增专家席位、修改专家席位、删除/注销专家席位、专家与席位绑定、专家与席位解绑、席位状态手动调整、专家席位清单、专家分配结果、专家席位查询、专家席位绑定关系查询、席位使用记录查询、专家席位使用日志。</w:t>
      </w:r>
      <w:r/>
    </w:p>
    <w:p>
      <w:pPr>
        <w:ind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专家信息管理应包含：专家信息新增、专家信息修改、专家信息删除、专家专业、专家回避信息维护、专家信用、专家信息批量导入、专家基础信息查询、专家专业、专家回避状态查询、专家信用记录查询、专家评标业绩查询、专家在线状态查询。</w:t>
      </w:r>
      <w:r/>
    </w:p>
    <w:p>
      <w:pPr>
        <w:ind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变声通话应包含：实时音频处理‌、‌变声参数调节‌、‌通话质量保障。</w:t>
      </w:r>
      <w:r/>
    </w:p>
    <w:p>
      <w:pPr>
        <w:ind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在线交互应包含：文字沟通。</w:t>
      </w:r>
      <w:r/>
    </w:p>
    <w:p>
      <w:pPr>
        <w:pStyle w:val="988"/>
        <w:rPr>
          <w:highlight w:val="none"/>
        </w:rPr>
      </w:pPr>
      <w:r>
        <w:rPr>
          <w:rFonts w:hint="eastAsia" w:eastAsia="宋体"/>
          <w:highlight w:val="none"/>
        </w:rPr>
        <w:t xml:space="preserve">2</w:t>
      </w:r>
      <w:r>
        <w:rPr>
          <w:rFonts w:hint="eastAsia"/>
          <w:highlight w:val="none"/>
        </w:rPr>
        <w:t xml:space="preserve">.1.7.4数字见证端</w:t>
      </w:r>
      <w:r/>
    </w:p>
    <w:p>
      <w:pPr>
        <w:ind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满足行业监管、中心见证服务、招标人及代理等监标的见证监督需求，实现评标项目音视频、沟通内容监督。数字员工对接评标系统，根据评标系统反馈的评审进程指令协助引导评审流程，并具备公告能力，常用语编辑。（常用语支持分类）。</w:t>
      </w:r>
      <w:r/>
    </w:p>
    <w:p>
      <w:pPr>
        <w:ind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过程回看应包含：查询历史监督记录、按项目筛选回看记录、按时间筛选回看记录、播放回看视频、暂停回看、快进回看、倒退回看、调节回看速度、下载回看片段、查看回看详情、处理回看异常、记录回看日志、批量回看多个项目。</w:t>
      </w:r>
      <w:r/>
    </w:p>
    <w:p>
      <w:pPr>
        <w:ind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流程引导应包含：接收评标系统纪律发布指令、接收分步引导指令、接收重点提醒指令、接收异常处置指令、生成引导话术、数字人播报引导内容、记录引导日志、查询引导记录、按项目筛选引导记录、按指令类型筛选记录、处理引导异常、导出引导记录。</w:t>
      </w:r>
      <w:r/>
    </w:p>
    <w:p>
      <w:pPr>
        <w:ind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公告发布应包含：编辑常用发布指令组、创建新公告内容、编辑已有公告、删除无用公告、发布公告至虚拟评标室、查询公告发布记录、按项目筛选公告发布记录、按时间筛选公告发布记录、导出公告记录、处理发布异常、配置公告显示样式、批量发布多个公告。</w:t>
      </w:r>
      <w:r/>
    </w:p>
    <w:p>
      <w:pPr>
        <w:ind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监管画面投屏应包含：多画面监看‌、‌监督内容录制‌、‌见证报告生成。</w:t>
      </w:r>
      <w:r/>
    </w:p>
    <w:p>
      <w:pPr>
        <w:ind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人工接管应包含：人工接管虚拟评标室操作权限。</w:t>
      </w:r>
      <w:r/>
    </w:p>
    <w:p>
      <w:pPr>
        <w:pStyle w:val="988"/>
        <w:rPr>
          <w:highlight w:val="none"/>
        </w:rPr>
      </w:pPr>
      <w:r>
        <w:rPr>
          <w:highlight w:val="none"/>
        </w:rPr>
        <w:t xml:space="preserve">2.1.7.5</w:t>
      </w:r>
      <w:r>
        <w:rPr>
          <w:highlight w:val="none"/>
          <w:lang w:bidi="ar"/>
        </w:rPr>
        <w:t xml:space="preserve">会议音视频合成</w:t>
      </w:r>
      <w:r/>
    </w:p>
    <w:p>
      <w:pPr>
        <w:ind w:firstLine="420"/>
        <w:jc w:val="left"/>
        <w:spacing w:line="360" w:lineRule="auto"/>
        <w:rPr>
          <w:rStyle w:val="1002"/>
          <w:rFonts w:ascii="宋体" w:hAnsi="宋体" w:cs="宋体"/>
          <w:spacing w:val="1"/>
          <w:sz w:val="24"/>
          <w:szCs w:val="24"/>
          <w:highlight w:val="none"/>
        </w:rPr>
      </w:pPr>
      <w:r>
        <w:rPr>
          <w:rStyle w:val="1002"/>
          <w:rFonts w:hint="eastAsia" w:ascii="宋体" w:hAnsi="宋体" w:cs="宋体"/>
          <w:spacing w:val="1"/>
          <w:sz w:val="24"/>
          <w:szCs w:val="24"/>
          <w:highlight w:val="none"/>
        </w:rPr>
        <w:t xml:space="preserve">评标过程信息合成归档。演示虚拟评标空间评标结束后按项目将与本项目有关的音视频归档、电子文件归档、专家出入记录归档、见证记录进行归档（3分）（演示内容5）</w:t>
      </w:r>
      <w:r/>
    </w:p>
    <w:p>
      <w:pPr>
        <w:ind w:firstLine="420"/>
        <w:jc w:val="left"/>
        <w:spacing w:line="360" w:lineRule="auto"/>
        <w:rPr>
          <w:rFonts w:ascii="宋体" w:hAnsi="宋体" w:cs="宋体"/>
          <w:sz w:val="24"/>
          <w:szCs w:val="24"/>
          <w:highlight w:val="none"/>
        </w:rPr>
      </w:pPr>
      <w:r>
        <w:rPr>
          <w:rStyle w:val="1002"/>
          <w:rFonts w:hint="eastAsia" w:ascii="宋体" w:hAnsi="宋体" w:cs="宋体"/>
          <w:spacing w:val="1"/>
          <w:sz w:val="24"/>
          <w:szCs w:val="24"/>
          <w:highlight w:val="none"/>
        </w:rPr>
        <w:t xml:space="preserve">将</w:t>
      </w:r>
      <w:r>
        <w:rPr>
          <w:rFonts w:hint="eastAsia" w:ascii="宋体" w:hAnsi="宋体" w:cs="宋体"/>
          <w:sz w:val="24"/>
          <w:szCs w:val="24"/>
          <w:highlight w:val="none"/>
        </w:rPr>
        <w:t xml:space="preserve">评标过程中的虚拟评标室合成音频、画面、席位摄像机和专家桌面操作录像，并存储在同一项目记录里面，实现评标全过程交互信息记录归档，其中会议合成画面为原声原视频。</w:t>
      </w:r>
      <w:r/>
    </w:p>
    <w:p>
      <w:pPr>
        <w:ind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合成配置应包含：配置合成分辨率、配置合成码率、设置音频采样率、调整合成帧率、查看合成配置、编辑配置参数、新增合成配置方案、删除无用方案、对比不同配置效果、导出合成配置、导入合成配置、批量配置多个项目合成。</w:t>
      </w:r>
      <w:r/>
    </w:p>
    <w:p>
      <w:pPr>
        <w:ind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合成查询应包含：按项目名称查询、按时间范围查询、按文件类型查询（音频 / 视频）、分页查看查询结果、预览合成文件、下载合成文件、删除无用合成文件、查看文件详情、保存合成查询条件、刷新合成查询结果、处理合成查询异常、记录合成查询日志、批量查询多个项目文件。</w:t>
      </w:r>
      <w:r/>
    </w:p>
    <w:p>
      <w:pPr>
        <w:ind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合成存储应包含：配置合成存储路径、设置存储周期、选择合成存储格式、查看存储占用空间、监控合成存储状态、处理合成存储异常、记录合成存储日志、备份合成文件、恢复合成文件、清理过期文件、批量迁移合成文件、保存合成存储配置、验证存储完整性。</w:t>
      </w:r>
      <w:r/>
    </w:p>
    <w:p>
      <w:pPr>
        <w:ind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全程录证应包含：音视频同步录制‌、‌多源数据合成‌、‌归档文件管理。</w:t>
      </w:r>
      <w:r/>
    </w:p>
    <w:p>
      <w:pPr>
        <w:pStyle w:val="987"/>
        <w:rPr>
          <w:highlight w:val="none"/>
        </w:rPr>
      </w:pPr>
      <w:r>
        <w:rPr>
          <w:rFonts w:hint="eastAsia" w:ascii="Arial" w:hAnsi="Arial" w:cs="Arial"/>
          <w:sz w:val="24"/>
          <w:szCs w:val="24"/>
          <w:highlight w:val="none"/>
        </w:rPr>
        <w:t xml:space="preserve">2.1.8系统对接与功能适配</w:t>
      </w:r>
      <w:r/>
    </w:p>
    <w:p>
      <w:pPr>
        <w:ind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系统具备标准开放的对接接口，并完成与扬州市公共资源交易平台、电子开评标系统、不见面开标系统、交易系统等相关业务系统、“莲动扬州”立体监管等平台的高效集成，实现数据实时传输，满足业务开展和监管服务的需要。</w:t>
      </w:r>
      <w:r/>
    </w:p>
    <w:p>
      <w:pPr>
        <w:pStyle w:val="988"/>
        <w:rPr>
          <w:rFonts w:ascii="宋体" w:hAnsi="宋体" w:eastAsia="宋体" w:cs="宋体"/>
          <w:highlight w:val="none"/>
        </w:rPr>
      </w:pPr>
      <w:r>
        <w:rPr>
          <w:rFonts w:hint="eastAsia" w:ascii="宋体" w:hAnsi="宋体" w:eastAsia="宋体" w:cs="宋体"/>
          <w:highlight w:val="none"/>
          <w:lang w:bidi="ar"/>
        </w:rPr>
        <w:t xml:space="preserve">2.1.8.1网上不见面开标大厅系统对接与功能适配</w:t>
      </w:r>
      <w:r/>
    </w:p>
    <w:p>
      <w:pPr>
        <w:ind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解密提醒接口包含：对接解密提醒接口、记录接口配置日志、配置接口响应格式、设置接口调用频率、查看接口配置、编辑配置参数、记录接口配置日志、导出接口配置、导入接口配置</w:t>
      </w:r>
      <w:r/>
    </w:p>
    <w:p>
      <w:pPr>
        <w:ind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开标对接配置包含：配置不见面开标接口、开标信息数据库表（传输数据）、配置开标数据同步、配置开标状态推送、监控开标对接状态、查看开标对接日志、导出开标对接统计、配置开标异常处理、配置开标权限控制</w:t>
      </w:r>
      <w:r/>
    </w:p>
    <w:p>
      <w:pPr>
        <w:ind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外呼接口包含：对接外呼系统电话接口、对接外呼系统短信接口、配置接口认证参数、设置接口超时时间、查看对接配置、编辑配置参数、电话和短信推送数据存储库表、记录对接日志、导出对接配置</w:t>
      </w:r>
      <w:r/>
    </w:p>
    <w:p>
      <w:pPr>
        <w:ind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智能应答包含：在开标平台增设应答入口、新增网上不见面开标大厅交互功能、调整网上不见面开标大厅界面布局、集成智能应答组件、配置应答显示位置、配置应答触发条件、配置开标政策知识库、查看应答交互日志、导出应答统计数据、配置应答权限控制、配置应答超时处理、优化应答界面样式</w:t>
      </w:r>
      <w:r/>
    </w:p>
    <w:p>
      <w:pPr>
        <w:pStyle w:val="988"/>
        <w:rPr>
          <w:rFonts w:ascii="宋体" w:hAnsi="宋体" w:eastAsia="宋体" w:cs="宋体"/>
          <w:highlight w:val="none"/>
          <w:lang w:bidi="ar"/>
        </w:rPr>
      </w:pPr>
      <w:r>
        <w:rPr>
          <w:rFonts w:hint="eastAsia" w:ascii="宋体" w:hAnsi="宋体" w:eastAsia="宋体" w:cs="宋体"/>
          <w:highlight w:val="none"/>
          <w:lang w:bidi="ar"/>
        </w:rPr>
        <w:t xml:space="preserve">2.1.8.2电子开评标系统对接与功能适配</w:t>
      </w:r>
      <w:r/>
    </w:p>
    <w:p>
      <w:pPr>
        <w:ind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对接配置包含：对接开评标系统智能引导评标流程接口、配置评标系统接口、配置数据交换格式、配置评标流程节点、监控评标数据流向、配置评标异常处理、查看评标对接日志、导出评标对接统计、配置评标权限控制、接入引导数据存储库表、记录对接日志</w:t>
      </w:r>
      <w:r/>
    </w:p>
    <w:p>
      <w:pPr>
        <w:ind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平台功能改造包含：在开评标系统增设智能应答入口、输出违规记录至开评标系统、记录评标应答日志</w:t>
      </w:r>
      <w:r/>
    </w:p>
    <w:p>
      <w:pPr>
        <w:ind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智能引导配置包含：配置评标步骤引导、配置评标注意事项、配置评标异常提醒、配置评标时间提醒、修改引导内容、查看引导功能日志、导出引导统计数据、配置引导渠道参数、配置引导权限控制</w:t>
      </w:r>
      <w:r/>
    </w:p>
    <w:p>
      <w:pPr>
        <w:ind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数据输出包含：输出异常数据至统一管理系统、输出违规记录至统一管理系统、配置数据输出格式、设置输出频率、查看输出状态、记录输出日志、对接输出数据、验证输出数据准确性、批量输出多个项目数据、调整输出字段、配置输出失败重试</w:t>
      </w:r>
      <w:r/>
    </w:p>
    <w:p>
      <w:pPr>
        <w:pStyle w:val="988"/>
        <w:rPr>
          <w:rFonts w:ascii="宋体" w:hAnsi="宋体" w:eastAsia="宋体" w:cs="宋体"/>
          <w:highlight w:val="none"/>
          <w:lang w:bidi="ar"/>
        </w:rPr>
      </w:pPr>
      <w:r>
        <w:rPr>
          <w:rFonts w:hint="eastAsia" w:ascii="宋体" w:hAnsi="宋体" w:eastAsia="宋体" w:cs="宋体"/>
          <w:highlight w:val="none"/>
          <w:lang w:bidi="ar"/>
        </w:rPr>
        <w:t xml:space="preserve">2.1.8.3全流程电子交易系统对接与功能适配</w:t>
      </w:r>
      <w:r/>
    </w:p>
    <w:p>
      <w:pPr>
        <w:ind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对接配置包含：配置交易系统接口参数、统一数据交互格式、设置数据字段映射规则、配置对接权限认证机制、制定数据同步策略、定义接口异常处理规则、查看接口调用日志、导出接口调用统计、配置对接操作日志记录规则</w:t>
      </w:r>
      <w:r/>
    </w:p>
    <w:p>
      <w:pPr>
        <w:ind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交易功能适配包含：改造交易咨询入口、集成智能问答组件、适配交易业务流程、配置交易权限映射、记录适配改造日志、监控交易适配状态、处理交易适配异常、交易数据存储库表、配置交易数据备份</w:t>
      </w:r>
      <w:r/>
    </w:p>
    <w:p>
      <w:pPr>
        <w:ind w:firstLine="420"/>
        <w:jc w:val="left"/>
        <w:spacing w:line="360" w:lineRule="auto"/>
        <w:rPr>
          <w:rFonts w:ascii="宋体" w:hAnsi="宋体" w:cs="宋体"/>
          <w:sz w:val="24"/>
          <w:szCs w:val="24"/>
          <w:highlight w:val="none"/>
          <w:lang w:bidi="ar"/>
        </w:rPr>
      </w:pPr>
      <w:r>
        <w:rPr>
          <w:rFonts w:hint="eastAsia" w:ascii="宋体" w:hAnsi="宋体" w:cs="宋体"/>
          <w:sz w:val="24"/>
          <w:szCs w:val="24"/>
          <w:highlight w:val="none"/>
        </w:rPr>
        <w:t xml:space="preserve">客服输出包含：对接智能客服咨询结果、同步至全流程电子交易系统、关联用户身份信息、存储咨询结果数据、支撑用户查询历史记录、配置结果输出格式、控制数据同步时效、管控查询权限范围</w:t>
      </w:r>
      <w:r/>
    </w:p>
    <w:p>
      <w:pPr>
        <w:pStyle w:val="988"/>
        <w:rPr>
          <w:rFonts w:ascii="宋体" w:hAnsi="宋体" w:eastAsia="宋体" w:cs="宋体"/>
          <w:highlight w:val="none"/>
          <w:lang w:bidi="ar"/>
        </w:rPr>
      </w:pPr>
      <w:r>
        <w:rPr>
          <w:rFonts w:hint="eastAsia" w:ascii="宋体" w:hAnsi="宋体" w:eastAsia="宋体" w:cs="宋体"/>
          <w:highlight w:val="none"/>
          <w:lang w:bidi="ar"/>
        </w:rPr>
        <w:t xml:space="preserve">2.1.8.4“莲动扬州”交易监管平台对接与功能适配</w:t>
      </w:r>
      <w:r/>
    </w:p>
    <w:p>
      <w:pPr>
        <w:ind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监管对接配置包含：配置监管平台接口、配置告警推送规则、配置数据推送格式、监控监管对接状态、配置推送重试机制、查看监管推送日志、导出监管推送统计、配置推送异常告警、配置推送权限控制</w:t>
      </w:r>
      <w:r/>
    </w:p>
    <w:p>
      <w:pPr>
        <w:ind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异常推送包含：配置接口通信参数、定义违规数据推送范围、设置自动推送触发条件、规范推送数据格式、配置传输加密规则、设置推送失败重试机制、配置异常告警通知、记录数据推送日志</w:t>
      </w:r>
      <w:r/>
    </w:p>
    <w:p>
      <w:pPr>
        <w:ind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监管交互包含：接收监管平台处置指令、反馈异常处理进度、同步监管跟踪数据、建立双向交互机制、支撑监管闭环管理、配置数据交互格式、设置交互时效规则、记录数据交互日志</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合规输出包含：对接智能客服咨询结果、关联用户身份信息、存储咨询结果数据、支撑用户查询历史记录、配置结果输出格式、控制数据同步时效、管控查询权限范围</w:t>
      </w:r>
      <w:r/>
    </w:p>
    <w:p>
      <w:pPr>
        <w:ind w:firstLine="480"/>
        <w:jc w:val="left"/>
        <w:spacing w:line="360" w:lineRule="auto"/>
        <w:rPr>
          <w:rFonts w:ascii="宋体" w:hAnsi="宋体" w:cs="宋体"/>
          <w:sz w:val="24"/>
          <w:szCs w:val="24"/>
          <w:highlight w:val="none"/>
          <w:lang w:bidi="ar"/>
        </w:rPr>
      </w:pPr>
      <w:r>
        <w:rPr>
          <w:rFonts w:hint="eastAsia" w:ascii="宋体" w:hAnsi="宋体" w:cs="宋体"/>
          <w:sz w:val="24"/>
          <w:szCs w:val="24"/>
          <w:highlight w:val="none"/>
        </w:rPr>
        <w:t xml:space="preserve">交互存储包含：存储交互数据、分类存储数据类型、规范存储格式、配置存储周期、设置数据备份规则、管控数据访问权限、记录存储操作日志</w:t>
      </w:r>
      <w:r/>
    </w:p>
    <w:p>
      <w:pPr>
        <w:pStyle w:val="986"/>
        <w:rPr>
          <w:highlight w:val="none"/>
        </w:rPr>
      </w:pPr>
      <w:r>
        <w:rPr>
          <w:rFonts w:eastAsia="宋体"/>
          <w:sz w:val="24"/>
          <w:szCs w:val="24"/>
          <w:highlight w:val="none"/>
        </w:rPr>
        <w:t xml:space="preserve">2.2</w:t>
      </w:r>
      <w:r>
        <w:rPr>
          <w:rFonts w:hint="eastAsia" w:eastAsia="宋体"/>
          <w:sz w:val="24"/>
          <w:szCs w:val="24"/>
          <w:highlight w:val="none"/>
        </w:rPr>
        <w:t xml:space="preserve">专用设备技术要求</w:t>
      </w:r>
      <w:r/>
    </w:p>
    <w:p>
      <w:pPr>
        <w:pStyle w:val="991"/>
        <w:ind w:firstLine="480"/>
        <w:rPr>
          <w:rFonts w:ascii="宋体" w:hAnsi="宋体" w:cs="宋体"/>
          <w:sz w:val="24"/>
          <w:szCs w:val="24"/>
          <w:highlight w:val="none"/>
        </w:rPr>
      </w:pPr>
      <w:r>
        <w:rPr>
          <w:rFonts w:hint="eastAsia" w:ascii="宋体" w:hAnsi="宋体" w:cs="宋体"/>
          <w:sz w:val="24"/>
          <w:szCs w:val="24"/>
          <w:highlight w:val="none"/>
        </w:rPr>
        <w:t xml:space="preserve">专用设备采购清单如下：</w:t>
      </w:r>
      <w:r/>
    </w:p>
    <w:p>
      <w:pPr>
        <w:pStyle w:val="991"/>
        <w:rPr>
          <w:highlight w:val="none"/>
        </w:rPr>
      </w:pPr>
      <w:r>
        <w:rPr>
          <w:highlight w:val="none"/>
        </w:rPr>
      </w:r>
      <w:r/>
    </w:p>
    <w:tbl>
      <w:tblPr>
        <w:tblStyle w:val="996"/>
        <w:tblW w:w="89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0"/>
        <w:gridCol w:w="3695"/>
        <w:gridCol w:w="1232"/>
        <w:gridCol w:w="1338"/>
        <w:gridCol w:w="1688"/>
      </w:tblGrid>
      <w:tr>
        <w:trPr/>
        <w:tc>
          <w:tcPr>
            <w:tcW w:w="990" w:type="dxa"/>
            <w:vAlign w:val="center"/>
            <w:textDirection w:val="lrTb"/>
            <w:noWrap w:val="false"/>
          </w:tcPr>
          <w:p>
            <w:pPr>
              <w:jc w:val="center"/>
              <w:widowControl/>
              <w:rPr>
                <w:b/>
                <w:bCs/>
                <w:sz w:val="24"/>
                <w:szCs w:val="24"/>
                <w:highlight w:val="none"/>
              </w:rPr>
            </w:pPr>
            <w:r>
              <w:rPr>
                <w:rFonts w:hint="eastAsia" w:ascii="宋体" w:hAnsi="宋体" w:cs="宋体"/>
                <w:b/>
                <w:bCs/>
                <w:color w:val="000000"/>
                <w:sz w:val="24"/>
                <w:szCs w:val="24"/>
                <w:highlight w:val="none"/>
                <w:lang w:bidi="ar"/>
              </w:rPr>
              <w:t xml:space="preserve">序号</w:t>
            </w:r>
            <w:r/>
          </w:p>
        </w:tc>
        <w:tc>
          <w:tcPr>
            <w:tcW w:w="3695" w:type="dxa"/>
            <w:vAlign w:val="center"/>
            <w:textDirection w:val="lrTb"/>
            <w:noWrap w:val="false"/>
          </w:tcPr>
          <w:p>
            <w:pPr>
              <w:jc w:val="center"/>
              <w:widowControl/>
              <w:rPr>
                <w:b/>
                <w:bCs/>
                <w:sz w:val="24"/>
                <w:szCs w:val="24"/>
                <w:highlight w:val="none"/>
              </w:rPr>
            </w:pPr>
            <w:r>
              <w:rPr>
                <w:rFonts w:hint="eastAsia" w:ascii="宋体" w:hAnsi="宋体" w:cs="宋体"/>
                <w:b/>
                <w:bCs/>
                <w:color w:val="000000"/>
                <w:sz w:val="24"/>
                <w:szCs w:val="24"/>
                <w:highlight w:val="none"/>
                <w:lang w:bidi="ar"/>
              </w:rPr>
              <w:t xml:space="preserve">名称</w:t>
            </w:r>
            <w:r/>
          </w:p>
        </w:tc>
        <w:tc>
          <w:tcPr>
            <w:tcW w:w="1232" w:type="dxa"/>
            <w:vAlign w:val="center"/>
            <w:textDirection w:val="lrTb"/>
            <w:noWrap w:val="false"/>
          </w:tcPr>
          <w:p>
            <w:pPr>
              <w:jc w:val="center"/>
              <w:widowControl/>
              <w:rPr>
                <w:b/>
                <w:bCs/>
                <w:sz w:val="24"/>
                <w:szCs w:val="24"/>
                <w:highlight w:val="none"/>
              </w:rPr>
            </w:pPr>
            <w:r>
              <w:rPr>
                <w:rFonts w:hint="eastAsia" w:ascii="宋体" w:hAnsi="宋体" w:cs="宋体"/>
                <w:b/>
                <w:bCs/>
                <w:color w:val="000000"/>
                <w:sz w:val="24"/>
                <w:szCs w:val="24"/>
                <w:highlight w:val="none"/>
                <w:lang w:bidi="ar"/>
              </w:rPr>
              <w:t xml:space="preserve">采购数量</w:t>
            </w:r>
            <w:r/>
          </w:p>
        </w:tc>
        <w:tc>
          <w:tcPr>
            <w:tcW w:w="1338" w:type="dxa"/>
            <w:vAlign w:val="center"/>
            <w:textDirection w:val="lrTb"/>
            <w:noWrap w:val="false"/>
          </w:tcPr>
          <w:p>
            <w:pPr>
              <w:jc w:val="center"/>
              <w:widowControl/>
              <w:rPr>
                <w:b/>
                <w:bCs/>
                <w:sz w:val="24"/>
                <w:szCs w:val="24"/>
                <w:highlight w:val="none"/>
              </w:rPr>
            </w:pPr>
            <w:r>
              <w:rPr>
                <w:rFonts w:hint="eastAsia" w:ascii="宋体" w:hAnsi="宋体" w:cs="宋体"/>
                <w:b/>
                <w:bCs/>
                <w:color w:val="000000"/>
                <w:sz w:val="24"/>
                <w:szCs w:val="24"/>
                <w:highlight w:val="none"/>
                <w:lang w:bidi="ar"/>
              </w:rPr>
              <w:t xml:space="preserve">单位</w:t>
            </w:r>
            <w:r/>
          </w:p>
        </w:tc>
        <w:tc>
          <w:tcPr>
            <w:tcW w:w="1688" w:type="dxa"/>
            <w:vAlign w:val="center"/>
            <w:textDirection w:val="lrTb"/>
            <w:noWrap w:val="false"/>
          </w:tcPr>
          <w:p>
            <w:pPr>
              <w:jc w:val="center"/>
              <w:widowControl/>
              <w:rPr>
                <w:b/>
                <w:bCs/>
                <w:sz w:val="24"/>
                <w:szCs w:val="24"/>
                <w:highlight w:val="none"/>
              </w:rPr>
            </w:pPr>
            <w:r>
              <w:rPr>
                <w:rFonts w:hint="eastAsia" w:ascii="宋体" w:hAnsi="宋体" w:cs="宋体"/>
                <w:b/>
                <w:bCs/>
                <w:color w:val="000000"/>
                <w:sz w:val="24"/>
                <w:szCs w:val="24"/>
                <w:highlight w:val="none"/>
                <w:lang w:bidi="ar"/>
              </w:rPr>
              <w:t xml:space="preserve">技术指标要求</w:t>
            </w:r>
            <w:r/>
          </w:p>
        </w:tc>
      </w:tr>
      <w:tr>
        <w:trPr/>
        <w:tc>
          <w:tcPr>
            <w:tcW w:w="990"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1</w:t>
            </w:r>
            <w:r/>
          </w:p>
        </w:tc>
        <w:tc>
          <w:tcPr>
            <w:tcW w:w="3695"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桌面云一体机（含授权）</w:t>
            </w:r>
            <w:r/>
          </w:p>
        </w:tc>
        <w:tc>
          <w:tcPr>
            <w:tcW w:w="1232"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4</w:t>
            </w:r>
            <w:r/>
          </w:p>
        </w:tc>
        <w:tc>
          <w:tcPr>
            <w:tcW w:w="1338"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台</w:t>
            </w:r>
            <w:r/>
          </w:p>
        </w:tc>
        <w:tc>
          <w:tcPr>
            <w:tcW w:w="1688"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详见2.2.1</w:t>
            </w:r>
            <w:r/>
          </w:p>
        </w:tc>
      </w:tr>
      <w:tr>
        <w:trPr/>
        <w:tc>
          <w:tcPr>
            <w:tcW w:w="990"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2</w:t>
            </w:r>
            <w:r/>
          </w:p>
        </w:tc>
        <w:tc>
          <w:tcPr>
            <w:tcW w:w="3695"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桌面云交换机</w:t>
            </w:r>
            <w:r/>
          </w:p>
        </w:tc>
        <w:tc>
          <w:tcPr>
            <w:tcW w:w="1232"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2</w:t>
            </w:r>
            <w:r/>
          </w:p>
        </w:tc>
        <w:tc>
          <w:tcPr>
            <w:tcW w:w="1338"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台</w:t>
            </w:r>
            <w:r/>
          </w:p>
        </w:tc>
        <w:tc>
          <w:tcPr>
            <w:tcW w:w="1688"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详见2.2.2</w:t>
            </w:r>
            <w:r/>
          </w:p>
        </w:tc>
      </w:tr>
      <w:tr>
        <w:trPr/>
        <w:tc>
          <w:tcPr>
            <w:tcW w:w="990"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3</w:t>
            </w:r>
            <w:r/>
          </w:p>
        </w:tc>
        <w:tc>
          <w:tcPr>
            <w:tcW w:w="3695"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桌面云防火墙一体机</w:t>
            </w:r>
            <w:r/>
          </w:p>
        </w:tc>
        <w:tc>
          <w:tcPr>
            <w:tcW w:w="1232"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1</w:t>
            </w:r>
            <w:r/>
          </w:p>
        </w:tc>
        <w:tc>
          <w:tcPr>
            <w:tcW w:w="1338"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台</w:t>
            </w:r>
            <w:r/>
          </w:p>
        </w:tc>
        <w:tc>
          <w:tcPr>
            <w:tcW w:w="1688"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详见2.2.3</w:t>
            </w:r>
            <w:r/>
          </w:p>
        </w:tc>
      </w:tr>
      <w:tr>
        <w:trPr/>
        <w:tc>
          <w:tcPr>
            <w:tcW w:w="990"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4</w:t>
            </w:r>
            <w:r/>
          </w:p>
        </w:tc>
        <w:tc>
          <w:tcPr>
            <w:tcW w:w="3695"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评标室公用全向麦克风</w:t>
            </w:r>
            <w:r/>
          </w:p>
        </w:tc>
        <w:tc>
          <w:tcPr>
            <w:tcW w:w="1232"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8</w:t>
            </w:r>
            <w:r/>
          </w:p>
        </w:tc>
        <w:tc>
          <w:tcPr>
            <w:tcW w:w="1338"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台</w:t>
            </w:r>
            <w:r/>
          </w:p>
        </w:tc>
        <w:tc>
          <w:tcPr>
            <w:tcW w:w="1688"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详见2.2.4</w:t>
            </w:r>
            <w:r/>
          </w:p>
        </w:tc>
      </w:tr>
      <w:tr>
        <w:trPr/>
        <w:tc>
          <w:tcPr>
            <w:tcW w:w="990"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5</w:t>
            </w:r>
            <w:r/>
          </w:p>
        </w:tc>
        <w:tc>
          <w:tcPr>
            <w:tcW w:w="3695"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吸顶会议麦克风</w:t>
            </w:r>
            <w:r/>
          </w:p>
        </w:tc>
        <w:tc>
          <w:tcPr>
            <w:tcW w:w="1232"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9</w:t>
            </w:r>
            <w:r/>
          </w:p>
        </w:tc>
        <w:tc>
          <w:tcPr>
            <w:tcW w:w="1338"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个</w:t>
            </w:r>
            <w:r/>
          </w:p>
        </w:tc>
        <w:tc>
          <w:tcPr>
            <w:tcW w:w="1688"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详见2.2.5</w:t>
            </w:r>
            <w:r/>
          </w:p>
        </w:tc>
      </w:tr>
      <w:tr>
        <w:trPr/>
        <w:tc>
          <w:tcPr>
            <w:tcW w:w="990"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6</w:t>
            </w:r>
            <w:r/>
          </w:p>
        </w:tc>
        <w:tc>
          <w:tcPr>
            <w:tcW w:w="3695"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交换机（音频接入）</w:t>
            </w:r>
            <w:r/>
          </w:p>
        </w:tc>
        <w:tc>
          <w:tcPr>
            <w:tcW w:w="1232"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1</w:t>
            </w:r>
            <w:r/>
          </w:p>
        </w:tc>
        <w:tc>
          <w:tcPr>
            <w:tcW w:w="1338"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个</w:t>
            </w:r>
            <w:r/>
          </w:p>
        </w:tc>
        <w:tc>
          <w:tcPr>
            <w:tcW w:w="1688"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详见2.2.6</w:t>
            </w:r>
            <w:r/>
          </w:p>
        </w:tc>
      </w:tr>
      <w:tr>
        <w:trPr/>
        <w:tc>
          <w:tcPr>
            <w:tcW w:w="990"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7</w:t>
            </w:r>
            <w:r/>
          </w:p>
        </w:tc>
        <w:tc>
          <w:tcPr>
            <w:tcW w:w="3695"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数字人交互终端-壁挂</w:t>
            </w:r>
            <w:r/>
          </w:p>
        </w:tc>
        <w:tc>
          <w:tcPr>
            <w:tcW w:w="1232"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8</w:t>
            </w:r>
            <w:r/>
          </w:p>
        </w:tc>
        <w:tc>
          <w:tcPr>
            <w:tcW w:w="1338"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个</w:t>
            </w:r>
            <w:r/>
          </w:p>
        </w:tc>
        <w:tc>
          <w:tcPr>
            <w:tcW w:w="1688"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详见2.2.7</w:t>
            </w:r>
            <w:r/>
          </w:p>
        </w:tc>
      </w:tr>
      <w:tr>
        <w:trPr/>
        <w:tc>
          <w:tcPr>
            <w:tcW w:w="990"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8</w:t>
            </w:r>
            <w:r/>
          </w:p>
        </w:tc>
        <w:tc>
          <w:tcPr>
            <w:tcW w:w="3695" w:type="dxa"/>
            <w:vAlign w:val="center"/>
            <w:textDirection w:val="lrTb"/>
            <w:noWrap w:val="false"/>
          </w:tcPr>
          <w:p>
            <w:pPr>
              <w:jc w:val="center"/>
              <w:widowControl/>
              <w:rPr>
                <w:rFonts w:hint="eastAsia" w:eastAsia="宋体"/>
                <w:b/>
                <w:bCs/>
                <w:sz w:val="24"/>
                <w:szCs w:val="24"/>
                <w:highlight w:val="none"/>
                <w:lang w:eastAsia="zh-CN"/>
              </w:rPr>
            </w:pPr>
            <w:r>
              <w:rPr>
                <w:rFonts w:hint="eastAsia" w:ascii="宋体" w:hAnsi="宋体" w:cs="宋体"/>
                <w:color w:val="000000"/>
                <w:sz w:val="24"/>
                <w:szCs w:val="24"/>
                <w:highlight w:val="none"/>
                <w:lang w:bidi="ar"/>
              </w:rPr>
              <w:t xml:space="preserve">行为分析设备</w:t>
            </w: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szCs w:val="24"/>
                <w:highlight w:val="none"/>
                <w:lang w:val="en-US" w:eastAsia="zh-CN" w:bidi="ar"/>
              </w:rPr>
              <w:t xml:space="preserve">一</w:t>
            </w:r>
            <w:r>
              <w:rPr>
                <w:rFonts w:hint="eastAsia" w:ascii="宋体" w:hAnsi="宋体" w:cs="宋体"/>
                <w:color w:val="000000"/>
                <w:sz w:val="24"/>
                <w:szCs w:val="24"/>
                <w:highlight w:val="none"/>
                <w:lang w:eastAsia="zh-CN" w:bidi="ar"/>
              </w:rPr>
              <w:t xml:space="preserve">）</w:t>
            </w:r>
            <w:r/>
          </w:p>
        </w:tc>
        <w:tc>
          <w:tcPr>
            <w:tcW w:w="1232"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2</w:t>
            </w:r>
            <w:r/>
          </w:p>
        </w:tc>
        <w:tc>
          <w:tcPr>
            <w:tcW w:w="1338"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台</w:t>
            </w:r>
            <w:r/>
          </w:p>
        </w:tc>
        <w:tc>
          <w:tcPr>
            <w:tcW w:w="1688"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详见2.2.8</w:t>
            </w:r>
            <w:r/>
          </w:p>
        </w:tc>
      </w:tr>
      <w:tr>
        <w:trPr/>
        <w:tc>
          <w:tcPr>
            <w:tcW w:w="990"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9</w:t>
            </w:r>
            <w:r/>
          </w:p>
        </w:tc>
        <w:tc>
          <w:tcPr>
            <w:tcW w:w="3695" w:type="dxa"/>
            <w:vAlign w:val="center"/>
            <w:textDirection w:val="lrTb"/>
            <w:noWrap w:val="false"/>
          </w:tcPr>
          <w:p>
            <w:pPr>
              <w:jc w:val="center"/>
              <w:widowControl/>
              <w:rPr>
                <w:rFonts w:hint="eastAsia" w:eastAsia="宋体"/>
                <w:b/>
                <w:bCs/>
                <w:sz w:val="24"/>
                <w:szCs w:val="24"/>
                <w:highlight w:val="none"/>
                <w:lang w:eastAsia="zh-CN"/>
              </w:rPr>
            </w:pPr>
            <w:r>
              <w:rPr>
                <w:rFonts w:hint="eastAsia" w:ascii="宋体" w:hAnsi="宋体" w:cs="宋体"/>
                <w:color w:val="000000"/>
                <w:sz w:val="24"/>
                <w:szCs w:val="24"/>
                <w:highlight w:val="none"/>
                <w:lang w:bidi="ar"/>
              </w:rPr>
              <w:t xml:space="preserve">行为分析设备</w:t>
            </w: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szCs w:val="24"/>
                <w:highlight w:val="none"/>
                <w:lang w:val="en-US" w:eastAsia="zh-CN" w:bidi="ar"/>
              </w:rPr>
              <w:t xml:space="preserve">二</w:t>
            </w:r>
            <w:r>
              <w:rPr>
                <w:rFonts w:hint="eastAsia" w:ascii="宋体" w:hAnsi="宋体" w:cs="宋体"/>
                <w:color w:val="000000"/>
                <w:sz w:val="24"/>
                <w:szCs w:val="24"/>
                <w:highlight w:val="none"/>
                <w:lang w:eastAsia="zh-CN" w:bidi="ar"/>
              </w:rPr>
              <w:t xml:space="preserve">）</w:t>
            </w:r>
            <w:r/>
          </w:p>
        </w:tc>
        <w:tc>
          <w:tcPr>
            <w:tcW w:w="1232"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1</w:t>
            </w:r>
            <w:r/>
          </w:p>
        </w:tc>
        <w:tc>
          <w:tcPr>
            <w:tcW w:w="1338"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台</w:t>
            </w:r>
            <w:r/>
          </w:p>
        </w:tc>
        <w:tc>
          <w:tcPr>
            <w:tcW w:w="1688"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详见2.2.9</w:t>
            </w:r>
            <w:r/>
          </w:p>
        </w:tc>
      </w:tr>
      <w:tr>
        <w:trPr/>
        <w:tc>
          <w:tcPr>
            <w:tcW w:w="990"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10</w:t>
            </w:r>
            <w:r/>
          </w:p>
        </w:tc>
        <w:tc>
          <w:tcPr>
            <w:tcW w:w="3695"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身份信息识别产品</w:t>
            </w:r>
            <w:r/>
          </w:p>
        </w:tc>
        <w:tc>
          <w:tcPr>
            <w:tcW w:w="1232"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1</w:t>
            </w:r>
            <w:r/>
          </w:p>
        </w:tc>
        <w:tc>
          <w:tcPr>
            <w:tcW w:w="1338"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台</w:t>
            </w:r>
            <w:r/>
          </w:p>
        </w:tc>
        <w:tc>
          <w:tcPr>
            <w:tcW w:w="1688"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详见2.2.10</w:t>
            </w:r>
            <w:r/>
          </w:p>
        </w:tc>
      </w:tr>
      <w:tr>
        <w:trPr/>
        <w:tc>
          <w:tcPr>
            <w:tcW w:w="990"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11</w:t>
            </w:r>
            <w:r/>
          </w:p>
        </w:tc>
        <w:tc>
          <w:tcPr>
            <w:tcW w:w="3695"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立式专家签到系统</w:t>
            </w:r>
            <w:r/>
          </w:p>
        </w:tc>
        <w:tc>
          <w:tcPr>
            <w:tcW w:w="1232"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1</w:t>
            </w:r>
            <w:r/>
          </w:p>
        </w:tc>
        <w:tc>
          <w:tcPr>
            <w:tcW w:w="1338"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台</w:t>
            </w:r>
            <w:r/>
          </w:p>
        </w:tc>
        <w:tc>
          <w:tcPr>
            <w:tcW w:w="1688"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详见2.2.11</w:t>
            </w:r>
            <w:r/>
          </w:p>
        </w:tc>
      </w:tr>
      <w:tr>
        <w:trPr/>
        <w:tc>
          <w:tcPr>
            <w:tcW w:w="990"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12</w:t>
            </w:r>
            <w:r/>
          </w:p>
        </w:tc>
        <w:tc>
          <w:tcPr>
            <w:tcW w:w="3695"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服务器（视频分析）</w:t>
            </w:r>
            <w:r/>
          </w:p>
        </w:tc>
        <w:tc>
          <w:tcPr>
            <w:tcW w:w="1232"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1</w:t>
            </w:r>
            <w:r/>
          </w:p>
        </w:tc>
        <w:tc>
          <w:tcPr>
            <w:tcW w:w="1338"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台</w:t>
            </w:r>
            <w:r/>
          </w:p>
        </w:tc>
        <w:tc>
          <w:tcPr>
            <w:tcW w:w="1688"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详见2.2.12</w:t>
            </w:r>
            <w:r/>
          </w:p>
        </w:tc>
      </w:tr>
      <w:tr>
        <w:trPr/>
        <w:tc>
          <w:tcPr>
            <w:tcW w:w="990"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13</w:t>
            </w:r>
            <w:r/>
          </w:p>
        </w:tc>
        <w:tc>
          <w:tcPr>
            <w:tcW w:w="3695"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全息速通门</w:t>
            </w:r>
            <w:r/>
          </w:p>
        </w:tc>
        <w:tc>
          <w:tcPr>
            <w:tcW w:w="1232"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1</w:t>
            </w:r>
            <w:r/>
          </w:p>
        </w:tc>
        <w:tc>
          <w:tcPr>
            <w:tcW w:w="1338"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台</w:t>
            </w:r>
            <w:r/>
          </w:p>
        </w:tc>
        <w:tc>
          <w:tcPr>
            <w:tcW w:w="1688"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详见2.2.13</w:t>
            </w:r>
            <w:r/>
          </w:p>
        </w:tc>
      </w:tr>
      <w:tr>
        <w:trPr/>
        <w:tc>
          <w:tcPr>
            <w:tcW w:w="990"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14</w:t>
            </w:r>
            <w:r/>
          </w:p>
        </w:tc>
        <w:tc>
          <w:tcPr>
            <w:tcW w:w="3695"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交换机（视频接入）</w:t>
            </w:r>
            <w:r/>
          </w:p>
        </w:tc>
        <w:tc>
          <w:tcPr>
            <w:tcW w:w="1232"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2</w:t>
            </w:r>
            <w:r/>
          </w:p>
        </w:tc>
        <w:tc>
          <w:tcPr>
            <w:tcW w:w="1338"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台</w:t>
            </w:r>
            <w:r/>
          </w:p>
        </w:tc>
        <w:tc>
          <w:tcPr>
            <w:tcW w:w="1688"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详见2.2.14</w:t>
            </w:r>
            <w:r/>
          </w:p>
        </w:tc>
      </w:tr>
      <w:tr>
        <w:trPr/>
        <w:tc>
          <w:tcPr>
            <w:tcW w:w="990"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15</w:t>
            </w:r>
            <w:r/>
          </w:p>
        </w:tc>
        <w:tc>
          <w:tcPr>
            <w:tcW w:w="3695"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视频采集设备</w:t>
            </w:r>
            <w:r/>
          </w:p>
        </w:tc>
        <w:tc>
          <w:tcPr>
            <w:tcW w:w="1232"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63</w:t>
            </w:r>
            <w:r/>
          </w:p>
        </w:tc>
        <w:tc>
          <w:tcPr>
            <w:tcW w:w="1338"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台</w:t>
            </w:r>
            <w:r/>
          </w:p>
        </w:tc>
        <w:tc>
          <w:tcPr>
            <w:tcW w:w="1688"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详见2.2.15</w:t>
            </w:r>
            <w:r/>
          </w:p>
        </w:tc>
      </w:tr>
      <w:tr>
        <w:trPr/>
        <w:tc>
          <w:tcPr>
            <w:tcW w:w="990"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16</w:t>
            </w:r>
            <w:r/>
          </w:p>
        </w:tc>
        <w:tc>
          <w:tcPr>
            <w:tcW w:w="3695"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高性能存储服务器（含硬盘）</w:t>
            </w:r>
            <w:r/>
          </w:p>
        </w:tc>
        <w:tc>
          <w:tcPr>
            <w:tcW w:w="1232"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1</w:t>
            </w:r>
            <w:r/>
          </w:p>
        </w:tc>
        <w:tc>
          <w:tcPr>
            <w:tcW w:w="1338"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台</w:t>
            </w:r>
            <w:r/>
          </w:p>
        </w:tc>
        <w:tc>
          <w:tcPr>
            <w:tcW w:w="1688"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详见2.2.16</w:t>
            </w:r>
            <w:r/>
          </w:p>
        </w:tc>
      </w:tr>
      <w:tr>
        <w:trPr/>
        <w:tc>
          <w:tcPr>
            <w:tcW w:w="990"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17</w:t>
            </w:r>
            <w:r/>
          </w:p>
        </w:tc>
        <w:tc>
          <w:tcPr>
            <w:tcW w:w="3695"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AI引擎文搜一体机（含硬盘）</w:t>
            </w:r>
            <w:r/>
          </w:p>
        </w:tc>
        <w:tc>
          <w:tcPr>
            <w:tcW w:w="1232"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1</w:t>
            </w:r>
            <w:r/>
          </w:p>
        </w:tc>
        <w:tc>
          <w:tcPr>
            <w:tcW w:w="1338"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台</w:t>
            </w:r>
            <w:r/>
          </w:p>
        </w:tc>
        <w:tc>
          <w:tcPr>
            <w:tcW w:w="1688"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详见2.2.17</w:t>
            </w:r>
            <w:r/>
          </w:p>
        </w:tc>
      </w:tr>
      <w:tr>
        <w:trPr/>
        <w:tc>
          <w:tcPr>
            <w:tcW w:w="990"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18</w:t>
            </w:r>
            <w:r/>
          </w:p>
        </w:tc>
        <w:tc>
          <w:tcPr>
            <w:tcW w:w="3695"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虚拟评标空间平台部署服务器（含授权）</w:t>
            </w:r>
            <w:r/>
          </w:p>
        </w:tc>
        <w:tc>
          <w:tcPr>
            <w:tcW w:w="1232"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1</w:t>
            </w:r>
            <w:r/>
          </w:p>
        </w:tc>
        <w:tc>
          <w:tcPr>
            <w:tcW w:w="1338"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个</w:t>
            </w:r>
            <w:r/>
          </w:p>
        </w:tc>
        <w:tc>
          <w:tcPr>
            <w:tcW w:w="1688"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详见2.2.18</w:t>
            </w:r>
            <w:r/>
          </w:p>
        </w:tc>
      </w:tr>
      <w:tr>
        <w:trPr/>
        <w:tc>
          <w:tcPr>
            <w:tcW w:w="990"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19</w:t>
            </w:r>
            <w:r/>
          </w:p>
        </w:tc>
        <w:tc>
          <w:tcPr>
            <w:tcW w:w="3695"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录播一体机（含授权）</w:t>
            </w:r>
            <w:r/>
          </w:p>
        </w:tc>
        <w:tc>
          <w:tcPr>
            <w:tcW w:w="1232"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1</w:t>
            </w:r>
            <w:r/>
          </w:p>
        </w:tc>
        <w:tc>
          <w:tcPr>
            <w:tcW w:w="1338"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个</w:t>
            </w:r>
            <w:r/>
          </w:p>
        </w:tc>
        <w:tc>
          <w:tcPr>
            <w:tcW w:w="1688"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详见2.2.19</w:t>
            </w:r>
            <w:r/>
          </w:p>
        </w:tc>
      </w:tr>
      <w:tr>
        <w:trPr/>
        <w:tc>
          <w:tcPr>
            <w:tcW w:w="990"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20</w:t>
            </w:r>
            <w:r/>
          </w:p>
        </w:tc>
        <w:tc>
          <w:tcPr>
            <w:tcW w:w="3695"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光盘刻录机（含光盘）</w:t>
            </w:r>
            <w:r/>
          </w:p>
        </w:tc>
        <w:tc>
          <w:tcPr>
            <w:tcW w:w="1232"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1</w:t>
            </w:r>
            <w:r/>
          </w:p>
        </w:tc>
        <w:tc>
          <w:tcPr>
            <w:tcW w:w="1338"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个</w:t>
            </w:r>
            <w:r/>
          </w:p>
        </w:tc>
        <w:tc>
          <w:tcPr>
            <w:tcW w:w="1688"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详见2.2.20</w:t>
            </w:r>
            <w:r/>
          </w:p>
        </w:tc>
      </w:tr>
      <w:tr>
        <w:trPr/>
        <w:tc>
          <w:tcPr>
            <w:tcW w:w="990"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21</w:t>
            </w:r>
            <w:r/>
          </w:p>
        </w:tc>
        <w:tc>
          <w:tcPr>
            <w:tcW w:w="3695"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空机柜</w:t>
            </w:r>
            <w:r/>
          </w:p>
        </w:tc>
        <w:tc>
          <w:tcPr>
            <w:tcW w:w="1232"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1</w:t>
            </w:r>
            <w:r/>
          </w:p>
        </w:tc>
        <w:tc>
          <w:tcPr>
            <w:tcW w:w="1338"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台</w:t>
            </w:r>
            <w:r/>
          </w:p>
        </w:tc>
        <w:tc>
          <w:tcPr>
            <w:tcW w:w="1688"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详见2.2.21</w:t>
            </w:r>
            <w:r/>
          </w:p>
        </w:tc>
      </w:tr>
      <w:tr>
        <w:trPr/>
        <w:tc>
          <w:tcPr>
            <w:tcW w:w="990"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22</w:t>
            </w:r>
            <w:r/>
          </w:p>
        </w:tc>
        <w:tc>
          <w:tcPr>
            <w:tcW w:w="3695"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桌面视频摄像头</w:t>
            </w:r>
            <w:r/>
          </w:p>
        </w:tc>
        <w:tc>
          <w:tcPr>
            <w:tcW w:w="1232"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90</w:t>
            </w:r>
            <w:r/>
          </w:p>
        </w:tc>
        <w:tc>
          <w:tcPr>
            <w:tcW w:w="1338"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个</w:t>
            </w:r>
            <w:r/>
          </w:p>
        </w:tc>
        <w:tc>
          <w:tcPr>
            <w:tcW w:w="1688"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详见2.2.22</w:t>
            </w:r>
            <w:r/>
          </w:p>
        </w:tc>
      </w:tr>
      <w:tr>
        <w:trPr/>
        <w:tc>
          <w:tcPr>
            <w:tcW w:w="990"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23</w:t>
            </w:r>
            <w:r/>
          </w:p>
        </w:tc>
        <w:tc>
          <w:tcPr>
            <w:tcW w:w="3695"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耳麦</w:t>
            </w:r>
            <w:r/>
          </w:p>
        </w:tc>
        <w:tc>
          <w:tcPr>
            <w:tcW w:w="1232"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90</w:t>
            </w:r>
            <w:r/>
          </w:p>
        </w:tc>
        <w:tc>
          <w:tcPr>
            <w:tcW w:w="1338"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个</w:t>
            </w:r>
            <w:r/>
          </w:p>
        </w:tc>
        <w:tc>
          <w:tcPr>
            <w:tcW w:w="1688" w:type="dxa"/>
            <w:vAlign w:val="center"/>
            <w:textDirection w:val="lrTb"/>
            <w:noWrap w:val="false"/>
          </w:tcPr>
          <w:p>
            <w:pPr>
              <w:jc w:val="center"/>
              <w:widowControl/>
              <w:rPr>
                <w:b/>
                <w:bCs/>
                <w:sz w:val="24"/>
                <w:szCs w:val="24"/>
                <w:highlight w:val="none"/>
              </w:rPr>
            </w:pPr>
            <w:r>
              <w:rPr>
                <w:rFonts w:hint="eastAsia" w:ascii="宋体" w:hAnsi="宋体" w:cs="宋体"/>
                <w:color w:val="000000"/>
                <w:sz w:val="24"/>
                <w:szCs w:val="24"/>
                <w:highlight w:val="none"/>
                <w:lang w:bidi="ar"/>
              </w:rPr>
              <w:t xml:space="preserve">详见2.2.23</w:t>
            </w:r>
            <w:r/>
          </w:p>
        </w:tc>
      </w:tr>
    </w:tbl>
    <w:p>
      <w:pPr>
        <w:ind w:firstLine="480"/>
        <w:jc w:val="left"/>
        <w:spacing w:line="360" w:lineRule="auto"/>
        <w:rPr>
          <w:sz w:val="24"/>
          <w:szCs w:val="24"/>
          <w:highlight w:val="none"/>
        </w:rPr>
      </w:pPr>
      <w:r>
        <w:rPr>
          <w:sz w:val="24"/>
          <w:szCs w:val="24"/>
          <w:highlight w:val="none"/>
        </w:rPr>
      </w:r>
      <w:r/>
    </w:p>
    <w:p>
      <w:pPr>
        <w:ind w:firstLine="420"/>
        <w:rPr>
          <w:rFonts w:hint="eastAsia" w:ascii="宋体" w:hAnsi="宋体" w:cs="宋体"/>
          <w:i/>
          <w:iCs/>
          <w:color w:val="000000" w:themeColor="text1"/>
          <w:sz w:val="24"/>
          <w:szCs w:val="24"/>
          <w:highlight w:val="none"/>
          <w:u w:val="single"/>
          <w14:textFill>
            <w14:solidFill>
              <w14:schemeClr w14:val="tx1"/>
            </w14:solidFill>
          </w14:textFill>
        </w:rPr>
      </w:pPr>
      <w:r>
        <w:rPr>
          <w:rFonts w:hint="eastAsia" w:ascii="宋体" w:hAnsi="宋体" w:cs="宋体"/>
          <w:i/>
          <w:iCs/>
          <w:color w:val="000000" w:themeColor="text1"/>
          <w:sz w:val="24"/>
          <w:szCs w:val="24"/>
          <w:highlight w:val="none"/>
          <w:u w:val="single"/>
          <w14:textFill>
            <w14:solidFill>
              <w14:schemeClr w14:val="tx1"/>
            </w14:solidFill>
          </w14:textFill>
        </w:rPr>
        <w:t xml:space="preserve">桌面云交换机必须满足《绿色数据中心政府采购需求标准（试行）》（财库〔2023〕7号）关于以太网交换机采购需求标准。</w:t>
      </w:r>
      <w:r/>
    </w:p>
    <w:p>
      <w:pPr>
        <w:ind w:firstLine="420"/>
        <w:jc w:val="left"/>
        <w:spacing w:line="240" w:lineRule="auto"/>
        <w:rPr>
          <w:rFonts w:ascii="宋体" w:hAnsi="宋体" w:cs="宋体"/>
          <w:sz w:val="24"/>
          <w:szCs w:val="24"/>
          <w:highlight w:val="none"/>
        </w:rPr>
      </w:pPr>
      <w:r>
        <w:rPr>
          <w:rFonts w:hint="eastAsia" w:ascii="宋体" w:hAnsi="宋体" w:cs="宋体"/>
          <w:i w:val="0"/>
          <w:iCs w:val="0"/>
          <w:color w:val="000000" w:themeColor="text1"/>
          <w:sz w:val="24"/>
          <w:szCs w:val="24"/>
          <w:highlight w:val="none"/>
          <w:u w:val="none"/>
          <w14:textFill>
            <w14:solidFill>
              <w14:schemeClr w14:val="tx1"/>
            </w14:solidFill>
          </w14:textFill>
        </w:rPr>
        <w:t xml:space="preserve">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0"/>
        <w:rPr>
          <w:rFonts w:ascii="宋体" w:hAnsi="宋体" w:cs="宋体"/>
          <w:sz w:val="24"/>
          <w:szCs w:val="24"/>
          <w:highlight w:val="none"/>
        </w:rPr>
      </w:pPr>
      <w:r>
        <w:rPr>
          <w:rFonts w:hint="eastAsia" w:ascii="宋体" w:hAnsi="宋体" w:cs="宋体"/>
          <w:i/>
          <w:iCs/>
          <w:color w:val="000000" w:themeColor="text1"/>
          <w:sz w:val="24"/>
          <w:szCs w:val="24"/>
          <w:highlight w:val="none"/>
          <w:u w:val="single"/>
          <w14:textFill>
            <w14:solidFill>
              <w14:schemeClr w14:val="tx1"/>
            </w14:solidFill>
          </w14:textFill>
        </w:rPr>
        <w:t xml:space="preserve">桌面云交换机绿色数据中心需求标准</w:t>
      </w:r>
      <w:r>
        <w:rPr>
          <w:rFonts w:hint="eastAsia" w:ascii="宋体" w:hAnsi="宋体" w:cs="宋体"/>
          <w:b/>
          <w:bCs/>
          <w:i/>
          <w:iCs/>
          <w:color w:val="000000" w:themeColor="text1"/>
          <w:sz w:val="24"/>
          <w:szCs w:val="24"/>
          <w:highlight w:val="none"/>
          <w:u w:val="single"/>
          <w14:textFill>
            <w14:solidFill>
              <w14:schemeClr w14:val="tx1"/>
            </w14:solidFill>
          </w14:textFill>
        </w:rPr>
        <w:t xml:space="preserve">：（以太网交换机）</w:t>
      </w:r>
      <w:r/>
    </w:p>
    <w:tbl>
      <w:tblPr>
        <w:tblStyle w:val="990"/>
        <w:tblW w:w="83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9"/>
        <w:gridCol w:w="2190"/>
        <w:gridCol w:w="18"/>
        <w:gridCol w:w="1684"/>
        <w:gridCol w:w="1266"/>
        <w:gridCol w:w="2672"/>
      </w:tblGrid>
      <w:tr>
        <w:trPr/>
        <w:tc>
          <w:tcPr>
            <w:tcW w:w="489" w:type="dxa"/>
            <w:vAlign w:val="center"/>
            <w:textDirection w:val="lrTb"/>
            <w:noWrap w:val="false"/>
          </w:tcPr>
          <w:p>
            <w:pPr>
              <w:pStyle w:val="1003"/>
              <w:ind w:left="0" w:right="153"/>
              <w:spacing w:line="276" w:lineRule="auto"/>
              <w:rPr>
                <w:rFonts w:ascii="宋体" w:hAnsi="宋体" w:cs="宋体"/>
                <w:color w:val="auto"/>
                <w:sz w:val="24"/>
                <w:szCs w:val="24"/>
                <w:highlight w:val="none"/>
              </w:rPr>
            </w:pPr>
            <w:r>
              <w:rPr>
                <w:rFonts w:ascii="宋体" w:hAnsi="宋体" w:cs="宋体"/>
                <w:color w:val="auto"/>
                <w:sz w:val="24"/>
                <w:szCs w:val="24"/>
                <w:highlight w:val="none"/>
              </w:rPr>
            </w:r>
            <w:r/>
          </w:p>
        </w:tc>
        <w:tc>
          <w:tcPr>
            <w:gridSpan w:val="3"/>
            <w:shd w:val="clear" w:color="auto" w:fill="d8d8d8"/>
            <w:tcW w:w="3892" w:type="dxa"/>
            <w:vAlign w:val="center"/>
            <w:textDirection w:val="lrTb"/>
            <w:noWrap w:val="false"/>
          </w:tcPr>
          <w:p>
            <w:pPr>
              <w:pStyle w:val="1003"/>
              <w:ind w:left="0" w:right="153"/>
              <w:jc w:val="center"/>
              <w:spacing w:line="27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指标</w:t>
            </w:r>
            <w:r/>
          </w:p>
        </w:tc>
        <w:tc>
          <w:tcPr>
            <w:shd w:val="clear" w:color="auto" w:fill="d8d8d8"/>
            <w:tcW w:w="1266" w:type="dxa"/>
            <w:vAlign w:val="center"/>
            <w:textDirection w:val="lrTb"/>
            <w:noWrap w:val="false"/>
          </w:tcPr>
          <w:p>
            <w:pPr>
              <w:pStyle w:val="1003"/>
              <w:ind w:left="0" w:right="153"/>
              <w:jc w:val="center"/>
              <w:spacing w:line="27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限制值</w:t>
            </w:r>
            <w:r/>
          </w:p>
        </w:tc>
        <w:tc>
          <w:tcPr>
            <w:shd w:val="clear" w:color="auto" w:fill="d8d8d8"/>
            <w:tcW w:w="2672" w:type="dxa"/>
            <w:vAlign w:val="center"/>
            <w:textDirection w:val="lrTb"/>
            <w:noWrap w:val="false"/>
          </w:tcPr>
          <w:p>
            <w:pPr>
              <w:pStyle w:val="1003"/>
              <w:ind w:left="0" w:right="153"/>
              <w:jc w:val="center"/>
              <w:spacing w:line="27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判定依据/方法</w:t>
            </w:r>
            <w:r/>
          </w:p>
        </w:tc>
      </w:tr>
      <w:tr>
        <w:trPr/>
        <w:tc>
          <w:tcPr>
            <w:tcW w:w="489" w:type="dxa"/>
            <w:vAlign w:val="center"/>
            <w:textDirection w:val="lrTb"/>
            <w:noWrap w:val="false"/>
          </w:tcPr>
          <w:p>
            <w:pPr>
              <w:pStyle w:val="1003"/>
              <w:ind w:left="0" w:right="153"/>
              <w:spacing w:line="27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gridSpan w:val="3"/>
            <w:tcW w:w="3892" w:type="dxa"/>
            <w:vAlign w:val="center"/>
            <w:textDirection w:val="lrTb"/>
            <w:noWrap w:val="false"/>
          </w:tcPr>
          <w:p>
            <w:pPr>
              <w:pStyle w:val="1003"/>
              <w:ind w:left="0" w:right="153"/>
              <w:spacing w:line="27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固定端口以太网交换机能效比值（TEER）</w:t>
            </w:r>
            <w:r/>
          </w:p>
        </w:tc>
        <w:tc>
          <w:tcPr>
            <w:tcW w:w="1266" w:type="dxa"/>
            <w:vAlign w:val="center"/>
            <w:textDirection w:val="lrTb"/>
            <w:noWrap w:val="false"/>
          </w:tcPr>
          <w:p>
            <w:pPr>
              <w:pStyle w:val="1003"/>
              <w:ind w:left="0" w:right="153"/>
              <w:jc w:val="center"/>
              <w:spacing w:line="27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≥300</w:t>
            </w:r>
            <w:r/>
          </w:p>
        </w:tc>
        <w:tc>
          <w:tcPr>
            <w:tcW w:w="2672" w:type="dxa"/>
            <w:vAlign w:val="center"/>
            <w:textDirection w:val="lrTb"/>
            <w:noWrap w:val="false"/>
          </w:tcPr>
          <w:p>
            <w:pPr>
              <w:spacing w:line="27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检测方法依据附录E中要求</w:t>
            </w:r>
            <w:r/>
          </w:p>
        </w:tc>
      </w:tr>
      <w:tr>
        <w:trPr/>
        <w:tc>
          <w:tcPr>
            <w:tcW w:w="489" w:type="dxa"/>
            <w:vAlign w:val="center"/>
            <w:vMerge w:val="restart"/>
            <w:textDirection w:val="lrTb"/>
            <w:noWrap w:val="false"/>
          </w:tcPr>
          <w:p>
            <w:pPr>
              <w:pStyle w:val="1003"/>
              <w:ind w:left="0" w:right="153"/>
              <w:spacing w:line="27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gridSpan w:val="2"/>
            <w:tcW w:w="2208" w:type="dxa"/>
            <w:vAlign w:val="center"/>
            <w:vMerge w:val="restart"/>
            <w:textDirection w:val="lrTb"/>
            <w:noWrap w:val="false"/>
          </w:tcPr>
          <w:p>
            <w:pPr>
              <w:pStyle w:val="1003"/>
              <w:ind w:left="0" w:right="153"/>
              <w:spacing w:line="27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单路电源输出效率</w:t>
            </w:r>
            <w:r/>
          </w:p>
        </w:tc>
        <w:tc>
          <w:tcPr>
            <w:tcW w:w="1684" w:type="dxa"/>
            <w:vAlign w:val="center"/>
            <w:textDirection w:val="lrTb"/>
            <w:noWrap w:val="false"/>
          </w:tcPr>
          <w:p>
            <w:pPr>
              <w:pStyle w:val="1003"/>
              <w:ind w:left="0" w:right="153"/>
              <w:spacing w:line="27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20%负载</w:t>
            </w:r>
            <w:r/>
          </w:p>
        </w:tc>
        <w:tc>
          <w:tcPr>
            <w:tcW w:w="1266" w:type="dxa"/>
            <w:vAlign w:val="center"/>
            <w:textDirection w:val="lrTb"/>
            <w:noWrap w:val="false"/>
          </w:tcPr>
          <w:p>
            <w:pPr>
              <w:pStyle w:val="1003"/>
              <w:ind w:left="0" w:right="153"/>
              <w:jc w:val="center"/>
              <w:spacing w:line="27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≥88%</w:t>
            </w:r>
            <w:r/>
          </w:p>
        </w:tc>
        <w:tc>
          <w:tcPr>
            <w:tcW w:w="2672" w:type="dxa"/>
            <w:vAlign w:val="center"/>
            <w:vMerge w:val="restart"/>
            <w:textDirection w:val="lrTb"/>
            <w:noWrap w:val="false"/>
          </w:tcPr>
          <w:p>
            <w:pPr>
              <w:spacing w:line="27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检测方法依据HJ 2507附录B要求</w:t>
            </w:r>
            <w:r/>
          </w:p>
        </w:tc>
      </w:tr>
      <w:tr>
        <w:trPr>
          <w:trHeight w:val="544"/>
        </w:trPr>
        <w:tc>
          <w:tcPr>
            <w:tcW w:w="489" w:type="dxa"/>
            <w:vAlign w:val="center"/>
            <w:vMerge w:val="continue"/>
            <w:textDirection w:val="lrTb"/>
            <w:noWrap w:val="false"/>
          </w:tcPr>
          <w:p>
            <w:pPr>
              <w:pStyle w:val="1003"/>
              <w:ind w:left="0" w:right="153"/>
              <w:spacing w:line="276" w:lineRule="auto"/>
              <w:rPr>
                <w:rFonts w:ascii="宋体" w:hAnsi="宋体" w:cs="宋体"/>
                <w:color w:val="auto"/>
                <w:sz w:val="24"/>
                <w:szCs w:val="24"/>
                <w:highlight w:val="none"/>
              </w:rPr>
            </w:pPr>
            <w:r>
              <w:rPr>
                <w:rFonts w:ascii="宋体" w:hAnsi="宋体" w:cs="宋体"/>
                <w:color w:val="auto"/>
                <w:sz w:val="24"/>
                <w:szCs w:val="24"/>
                <w:highlight w:val="none"/>
              </w:rPr>
            </w:r>
            <w:r/>
          </w:p>
        </w:tc>
        <w:tc>
          <w:tcPr>
            <w:gridSpan w:val="2"/>
            <w:tcW w:w="2208" w:type="dxa"/>
            <w:vAlign w:val="center"/>
            <w:vMerge w:val="continue"/>
            <w:textDirection w:val="lrTb"/>
            <w:noWrap w:val="false"/>
          </w:tcPr>
          <w:p>
            <w:pPr>
              <w:pStyle w:val="1003"/>
              <w:ind w:left="0" w:right="153"/>
              <w:spacing w:line="276"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684" w:type="dxa"/>
            <w:vAlign w:val="center"/>
            <w:textDirection w:val="lrTb"/>
            <w:noWrap w:val="false"/>
          </w:tcPr>
          <w:p>
            <w:pPr>
              <w:pStyle w:val="1003"/>
              <w:ind w:left="0" w:right="153"/>
              <w:spacing w:line="27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50%负载</w:t>
            </w:r>
            <w:r/>
          </w:p>
        </w:tc>
        <w:tc>
          <w:tcPr>
            <w:tcW w:w="1266" w:type="dxa"/>
            <w:vAlign w:val="center"/>
            <w:textDirection w:val="lrTb"/>
            <w:noWrap w:val="false"/>
          </w:tcPr>
          <w:p>
            <w:pPr>
              <w:pStyle w:val="1003"/>
              <w:ind w:left="0" w:right="153"/>
              <w:jc w:val="center"/>
              <w:spacing w:line="27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≥92%</w:t>
            </w:r>
            <w:r/>
          </w:p>
        </w:tc>
        <w:tc>
          <w:tcPr>
            <w:tcW w:w="2672" w:type="dxa"/>
            <w:vAlign w:val="center"/>
            <w:vMerge w:val="continue"/>
            <w:textDirection w:val="lrTb"/>
            <w:noWrap w:val="false"/>
          </w:tcPr>
          <w:p>
            <w:pPr>
              <w:pStyle w:val="1003"/>
              <w:ind w:left="0" w:right="153"/>
              <w:spacing w:line="276"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c>
          <w:tcPr>
            <w:tcW w:w="489" w:type="dxa"/>
            <w:vAlign w:val="center"/>
            <w:vMerge w:val="continue"/>
            <w:textDirection w:val="lrTb"/>
            <w:noWrap w:val="false"/>
          </w:tcPr>
          <w:p>
            <w:pPr>
              <w:pStyle w:val="1003"/>
              <w:ind w:left="0" w:right="153"/>
              <w:spacing w:line="276" w:lineRule="auto"/>
              <w:rPr>
                <w:rFonts w:ascii="宋体" w:hAnsi="宋体" w:cs="宋体"/>
                <w:color w:val="auto"/>
                <w:sz w:val="24"/>
                <w:szCs w:val="24"/>
                <w:highlight w:val="none"/>
              </w:rPr>
            </w:pPr>
            <w:r>
              <w:rPr>
                <w:rFonts w:ascii="宋体" w:hAnsi="宋体" w:cs="宋体"/>
                <w:color w:val="auto"/>
                <w:sz w:val="24"/>
                <w:szCs w:val="24"/>
                <w:highlight w:val="none"/>
              </w:rPr>
            </w:r>
            <w:r/>
          </w:p>
        </w:tc>
        <w:tc>
          <w:tcPr>
            <w:gridSpan w:val="2"/>
            <w:tcW w:w="2208" w:type="dxa"/>
            <w:vAlign w:val="center"/>
            <w:vMerge w:val="continue"/>
            <w:textDirection w:val="lrTb"/>
            <w:noWrap w:val="false"/>
          </w:tcPr>
          <w:p>
            <w:pPr>
              <w:pStyle w:val="1003"/>
              <w:ind w:left="0" w:right="153"/>
              <w:spacing w:line="276"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684" w:type="dxa"/>
            <w:vAlign w:val="center"/>
            <w:textDirection w:val="lrTb"/>
            <w:noWrap w:val="false"/>
          </w:tcPr>
          <w:p>
            <w:pPr>
              <w:pStyle w:val="1003"/>
              <w:ind w:left="0" w:right="153"/>
              <w:spacing w:line="27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100%负载</w:t>
            </w:r>
            <w:r/>
          </w:p>
        </w:tc>
        <w:tc>
          <w:tcPr>
            <w:tcW w:w="1266" w:type="dxa"/>
            <w:vAlign w:val="center"/>
            <w:textDirection w:val="lrTb"/>
            <w:noWrap w:val="false"/>
          </w:tcPr>
          <w:p>
            <w:pPr>
              <w:pStyle w:val="1003"/>
              <w:ind w:left="0" w:right="153"/>
              <w:jc w:val="center"/>
              <w:spacing w:line="27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≥88%</w:t>
            </w:r>
            <w:r/>
          </w:p>
        </w:tc>
        <w:tc>
          <w:tcPr>
            <w:tcW w:w="2672" w:type="dxa"/>
            <w:vAlign w:val="center"/>
            <w:vMerge w:val="continue"/>
            <w:textDirection w:val="lrTb"/>
            <w:noWrap w:val="false"/>
          </w:tcPr>
          <w:p>
            <w:pPr>
              <w:pStyle w:val="1003"/>
              <w:ind w:left="0" w:right="153"/>
              <w:spacing w:line="276"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c>
          <w:tcPr>
            <w:tcW w:w="489" w:type="dxa"/>
            <w:vAlign w:val="center"/>
            <w:textDirection w:val="lrTb"/>
            <w:noWrap w:val="false"/>
          </w:tcPr>
          <w:p>
            <w:pPr>
              <w:pStyle w:val="1003"/>
              <w:ind w:left="0" w:right="153"/>
              <w:spacing w:line="27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gridSpan w:val="3"/>
            <w:tcW w:w="3892" w:type="dxa"/>
            <w:vAlign w:val="center"/>
            <w:textDirection w:val="lrTb"/>
            <w:noWrap w:val="false"/>
          </w:tcPr>
          <w:p>
            <w:pPr>
              <w:pStyle w:val="1003"/>
              <w:ind w:left="0" w:right="153"/>
              <w:spacing w:line="27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单路电源最低功率因数(50%负载下的)     </w:t>
            </w:r>
            <w:r/>
          </w:p>
        </w:tc>
        <w:tc>
          <w:tcPr>
            <w:tcW w:w="1266" w:type="dxa"/>
            <w:vAlign w:val="center"/>
            <w:textDirection w:val="lrTb"/>
            <w:noWrap w:val="false"/>
          </w:tcPr>
          <w:p>
            <w:pPr>
              <w:pStyle w:val="1003"/>
              <w:ind w:left="0" w:right="153"/>
              <w:jc w:val="center"/>
              <w:spacing w:line="27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≥0.90</w:t>
            </w:r>
            <w:r/>
          </w:p>
        </w:tc>
        <w:tc>
          <w:tcPr>
            <w:tcW w:w="2672" w:type="dxa"/>
            <w:vAlign w:val="center"/>
            <w:vMerge w:val="continue"/>
            <w:textDirection w:val="lrTb"/>
            <w:noWrap w:val="false"/>
          </w:tcPr>
          <w:p>
            <w:pPr>
              <w:pStyle w:val="1003"/>
              <w:ind w:left="0" w:right="153"/>
              <w:spacing w:line="276"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c>
          <w:tcPr>
            <w:tcW w:w="489" w:type="dxa"/>
            <w:vAlign w:val="center"/>
            <w:vMerge w:val="restart"/>
            <w:textDirection w:val="lrTb"/>
            <w:noWrap w:val="false"/>
          </w:tcPr>
          <w:p>
            <w:pPr>
              <w:pStyle w:val="1003"/>
              <w:ind w:left="0" w:right="153"/>
              <w:spacing w:line="27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gridSpan w:val="2"/>
            <w:tcW w:w="2208" w:type="dxa"/>
            <w:vAlign w:val="center"/>
            <w:vMerge w:val="restart"/>
            <w:textDirection w:val="lrTb"/>
            <w:noWrap w:val="false"/>
          </w:tcPr>
          <w:p>
            <w:pPr>
              <w:pStyle w:val="1003"/>
              <w:ind w:left="0" w:right="153"/>
              <w:spacing w:line="27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多路电源输出效率</w:t>
            </w:r>
            <w:r/>
          </w:p>
        </w:tc>
        <w:tc>
          <w:tcPr>
            <w:tcW w:w="1684" w:type="dxa"/>
            <w:vAlign w:val="center"/>
            <w:textDirection w:val="lrTb"/>
            <w:noWrap w:val="false"/>
          </w:tcPr>
          <w:p>
            <w:pPr>
              <w:pStyle w:val="1003"/>
              <w:ind w:left="0" w:right="153"/>
              <w:spacing w:line="27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20%负载</w:t>
            </w:r>
            <w:r/>
          </w:p>
        </w:tc>
        <w:tc>
          <w:tcPr>
            <w:tcW w:w="1266" w:type="dxa"/>
            <w:vAlign w:val="center"/>
            <w:textDirection w:val="lrTb"/>
            <w:noWrap w:val="false"/>
          </w:tcPr>
          <w:p>
            <w:pPr>
              <w:pStyle w:val="1003"/>
              <w:ind w:left="0" w:right="153"/>
              <w:jc w:val="center"/>
              <w:spacing w:line="27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≥85%</w:t>
            </w:r>
            <w:r/>
          </w:p>
        </w:tc>
        <w:tc>
          <w:tcPr>
            <w:tcW w:w="2672" w:type="dxa"/>
            <w:vAlign w:val="center"/>
            <w:vMerge w:val="continue"/>
            <w:textDirection w:val="lrTb"/>
            <w:noWrap w:val="false"/>
          </w:tcPr>
          <w:p>
            <w:pPr>
              <w:pStyle w:val="1003"/>
              <w:ind w:left="0" w:right="153"/>
              <w:spacing w:line="276"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c>
          <w:tcPr>
            <w:tcW w:w="489" w:type="dxa"/>
            <w:vAlign w:val="center"/>
            <w:vMerge w:val="continue"/>
            <w:textDirection w:val="lrTb"/>
            <w:noWrap w:val="false"/>
          </w:tcPr>
          <w:p>
            <w:pPr>
              <w:pStyle w:val="1003"/>
              <w:ind w:left="0" w:right="153"/>
              <w:spacing w:line="276" w:lineRule="auto"/>
              <w:rPr>
                <w:rFonts w:ascii="宋体" w:hAnsi="宋体" w:cs="宋体"/>
                <w:color w:val="auto"/>
                <w:sz w:val="24"/>
                <w:szCs w:val="24"/>
                <w:highlight w:val="none"/>
              </w:rPr>
            </w:pPr>
            <w:r>
              <w:rPr>
                <w:rFonts w:ascii="宋体" w:hAnsi="宋体" w:cs="宋体"/>
                <w:color w:val="auto"/>
                <w:sz w:val="24"/>
                <w:szCs w:val="24"/>
                <w:highlight w:val="none"/>
              </w:rPr>
            </w:r>
            <w:r/>
          </w:p>
        </w:tc>
        <w:tc>
          <w:tcPr>
            <w:gridSpan w:val="2"/>
            <w:tcW w:w="2208" w:type="dxa"/>
            <w:vAlign w:val="center"/>
            <w:vMerge w:val="continue"/>
            <w:textDirection w:val="lrTb"/>
            <w:noWrap w:val="false"/>
          </w:tcPr>
          <w:p>
            <w:pPr>
              <w:pStyle w:val="1003"/>
              <w:ind w:left="0" w:right="153"/>
              <w:spacing w:line="276"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684" w:type="dxa"/>
            <w:vAlign w:val="center"/>
            <w:textDirection w:val="lrTb"/>
            <w:noWrap w:val="false"/>
          </w:tcPr>
          <w:p>
            <w:pPr>
              <w:pStyle w:val="1003"/>
              <w:ind w:left="0" w:right="153"/>
              <w:spacing w:line="27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50%负载</w:t>
            </w:r>
            <w:r/>
          </w:p>
        </w:tc>
        <w:tc>
          <w:tcPr>
            <w:tcW w:w="1266" w:type="dxa"/>
            <w:vAlign w:val="center"/>
            <w:textDirection w:val="lrTb"/>
            <w:noWrap w:val="false"/>
          </w:tcPr>
          <w:p>
            <w:pPr>
              <w:pStyle w:val="1003"/>
              <w:ind w:left="0" w:right="153"/>
              <w:jc w:val="center"/>
              <w:spacing w:line="27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≥89%</w:t>
            </w:r>
            <w:r/>
          </w:p>
        </w:tc>
        <w:tc>
          <w:tcPr>
            <w:tcW w:w="2672" w:type="dxa"/>
            <w:vAlign w:val="center"/>
            <w:vMerge w:val="continue"/>
            <w:textDirection w:val="lrTb"/>
            <w:noWrap w:val="false"/>
          </w:tcPr>
          <w:p>
            <w:pPr>
              <w:pStyle w:val="1003"/>
              <w:ind w:left="0" w:right="153"/>
              <w:spacing w:line="276"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c>
          <w:tcPr>
            <w:tcW w:w="489" w:type="dxa"/>
            <w:vAlign w:val="center"/>
            <w:vMerge w:val="continue"/>
            <w:textDirection w:val="lrTb"/>
            <w:noWrap w:val="false"/>
          </w:tcPr>
          <w:p>
            <w:pPr>
              <w:pStyle w:val="1003"/>
              <w:ind w:left="0" w:right="153"/>
              <w:spacing w:line="276" w:lineRule="auto"/>
              <w:rPr>
                <w:rFonts w:ascii="宋体" w:hAnsi="宋体" w:cs="宋体"/>
                <w:color w:val="auto"/>
                <w:sz w:val="24"/>
                <w:szCs w:val="24"/>
                <w:highlight w:val="none"/>
              </w:rPr>
            </w:pPr>
            <w:r>
              <w:rPr>
                <w:rFonts w:ascii="宋体" w:hAnsi="宋体" w:cs="宋体"/>
                <w:color w:val="auto"/>
                <w:sz w:val="24"/>
                <w:szCs w:val="24"/>
                <w:highlight w:val="none"/>
              </w:rPr>
            </w:r>
            <w:r/>
          </w:p>
        </w:tc>
        <w:tc>
          <w:tcPr>
            <w:gridSpan w:val="2"/>
            <w:tcW w:w="2208" w:type="dxa"/>
            <w:vAlign w:val="center"/>
            <w:vMerge w:val="continue"/>
            <w:textDirection w:val="lrTb"/>
            <w:noWrap w:val="false"/>
          </w:tcPr>
          <w:p>
            <w:pPr>
              <w:pStyle w:val="1003"/>
              <w:ind w:left="0" w:right="153"/>
              <w:spacing w:line="276"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684" w:type="dxa"/>
            <w:vAlign w:val="center"/>
            <w:textDirection w:val="lrTb"/>
            <w:noWrap w:val="false"/>
          </w:tcPr>
          <w:p>
            <w:pPr>
              <w:pStyle w:val="1003"/>
              <w:ind w:left="0" w:right="153"/>
              <w:spacing w:line="27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100%负载</w:t>
            </w:r>
            <w:r/>
          </w:p>
        </w:tc>
        <w:tc>
          <w:tcPr>
            <w:tcW w:w="1266" w:type="dxa"/>
            <w:vAlign w:val="center"/>
            <w:textDirection w:val="lrTb"/>
            <w:noWrap w:val="false"/>
          </w:tcPr>
          <w:p>
            <w:pPr>
              <w:pStyle w:val="1003"/>
              <w:ind w:left="0" w:right="153"/>
              <w:jc w:val="center"/>
              <w:spacing w:line="27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≥85%</w:t>
            </w:r>
            <w:r/>
          </w:p>
        </w:tc>
        <w:tc>
          <w:tcPr>
            <w:tcW w:w="2672" w:type="dxa"/>
            <w:vAlign w:val="center"/>
            <w:vMerge w:val="continue"/>
            <w:textDirection w:val="lrTb"/>
            <w:noWrap w:val="false"/>
          </w:tcPr>
          <w:p>
            <w:pPr>
              <w:pStyle w:val="1003"/>
              <w:ind w:left="0" w:right="153"/>
              <w:spacing w:line="276"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c>
          <w:tcPr>
            <w:tcW w:w="489" w:type="dxa"/>
            <w:vAlign w:val="center"/>
            <w:textDirection w:val="lrTb"/>
            <w:noWrap w:val="false"/>
          </w:tcPr>
          <w:p>
            <w:pPr>
              <w:pStyle w:val="1003"/>
              <w:ind w:left="0" w:right="153"/>
              <w:spacing w:line="27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gridSpan w:val="3"/>
            <w:tcW w:w="3892" w:type="dxa"/>
            <w:vAlign w:val="center"/>
            <w:textDirection w:val="lrTb"/>
            <w:noWrap w:val="false"/>
          </w:tcPr>
          <w:p>
            <w:pPr>
              <w:pStyle w:val="1003"/>
              <w:ind w:left="0" w:right="153"/>
              <w:spacing w:line="27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多路电源最低功率因数(50%负载下的)</w:t>
            </w:r>
            <w:r/>
          </w:p>
        </w:tc>
        <w:tc>
          <w:tcPr>
            <w:tcW w:w="1266" w:type="dxa"/>
            <w:vAlign w:val="center"/>
            <w:textDirection w:val="lrTb"/>
            <w:noWrap w:val="false"/>
          </w:tcPr>
          <w:p>
            <w:pPr>
              <w:pStyle w:val="1003"/>
              <w:ind w:left="0" w:right="153"/>
              <w:jc w:val="center"/>
              <w:spacing w:line="27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≥0.90</w:t>
            </w:r>
            <w:r/>
          </w:p>
        </w:tc>
        <w:tc>
          <w:tcPr>
            <w:tcW w:w="2672" w:type="dxa"/>
            <w:vAlign w:val="center"/>
            <w:vMerge w:val="continue"/>
            <w:textDirection w:val="lrTb"/>
            <w:noWrap w:val="false"/>
          </w:tcPr>
          <w:p>
            <w:pPr>
              <w:pStyle w:val="1003"/>
              <w:ind w:left="0" w:right="153"/>
              <w:spacing w:line="276"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c>
          <w:tcPr>
            <w:tcW w:w="489" w:type="dxa"/>
            <w:vAlign w:val="center"/>
            <w:vMerge w:val="restart"/>
            <w:textDirection w:val="lrTb"/>
            <w:noWrap w:val="false"/>
          </w:tcPr>
          <w:p>
            <w:pPr>
              <w:pStyle w:val="1003"/>
              <w:ind w:left="0" w:right="153"/>
              <w:spacing w:line="27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190" w:type="dxa"/>
            <w:vAlign w:val="center"/>
            <w:vMerge w:val="restart"/>
            <w:textDirection w:val="lrTb"/>
            <w:noWrap w:val="false"/>
          </w:tcPr>
          <w:p>
            <w:pPr>
              <w:pStyle w:val="1003"/>
              <w:ind w:left="0" w:right="153"/>
              <w:spacing w:line="27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噪声发射</w:t>
            </w:r>
            <w:r/>
          </w:p>
        </w:tc>
        <w:tc>
          <w:tcPr>
            <w:gridSpan w:val="2"/>
            <w:tcW w:w="1702" w:type="dxa"/>
            <w:vAlign w:val="center"/>
            <w:textDirection w:val="lrTb"/>
            <w:noWrap w:val="false"/>
          </w:tcPr>
          <w:p>
            <w:pPr>
              <w:pStyle w:val="1003"/>
              <w:ind w:left="0" w:right="153"/>
              <w:spacing w:line="27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有人值守</w:t>
            </w:r>
            <w:r/>
          </w:p>
        </w:tc>
        <w:tc>
          <w:tcPr>
            <w:tcW w:w="1266" w:type="dxa"/>
            <w:vAlign w:val="center"/>
            <w:textDirection w:val="lrTb"/>
            <w:noWrap w:val="false"/>
          </w:tcPr>
          <w:p>
            <w:pPr>
              <w:pStyle w:val="1003"/>
              <w:ind w:left="0" w:right="153"/>
              <w:jc w:val="center"/>
              <w:spacing w:line="27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≤7.6 Bels</w:t>
            </w:r>
            <w:r/>
          </w:p>
        </w:tc>
        <w:tc>
          <w:tcPr>
            <w:tcW w:w="2672" w:type="dxa"/>
            <w:vAlign w:val="center"/>
            <w:vMerge w:val="restart"/>
            <w:textDirection w:val="lrTb"/>
            <w:noWrap w:val="false"/>
          </w:tcPr>
          <w:p>
            <w:pPr>
              <w:pStyle w:val="1003"/>
              <w:ind w:left="0" w:right="153"/>
              <w:spacing w:line="27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检测方法依据YD/T 1816要求</w:t>
            </w:r>
            <w:r/>
          </w:p>
        </w:tc>
      </w:tr>
      <w:tr>
        <w:trPr/>
        <w:tc>
          <w:tcPr>
            <w:tcW w:w="489" w:type="dxa"/>
            <w:vAlign w:val="center"/>
            <w:vMerge w:val="continue"/>
            <w:textDirection w:val="lrTb"/>
            <w:noWrap w:val="false"/>
          </w:tcPr>
          <w:p>
            <w:pPr>
              <w:pStyle w:val="1003"/>
              <w:ind w:left="0" w:right="153"/>
              <w:spacing w:line="276"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190" w:type="dxa"/>
            <w:vAlign w:val="center"/>
            <w:vMerge w:val="continue"/>
            <w:textDirection w:val="lrTb"/>
            <w:noWrap w:val="false"/>
          </w:tcPr>
          <w:p>
            <w:pPr>
              <w:pStyle w:val="1003"/>
              <w:ind w:left="0" w:right="153"/>
              <w:spacing w:line="276" w:lineRule="auto"/>
              <w:rPr>
                <w:rFonts w:ascii="宋体" w:hAnsi="宋体" w:cs="宋体"/>
                <w:color w:val="auto"/>
                <w:sz w:val="24"/>
                <w:szCs w:val="24"/>
                <w:highlight w:val="none"/>
              </w:rPr>
            </w:pPr>
            <w:r>
              <w:rPr>
                <w:rFonts w:ascii="宋体" w:hAnsi="宋体" w:cs="宋体"/>
                <w:color w:val="auto"/>
                <w:sz w:val="24"/>
                <w:szCs w:val="24"/>
                <w:highlight w:val="none"/>
              </w:rPr>
            </w:r>
            <w:r/>
          </w:p>
        </w:tc>
        <w:tc>
          <w:tcPr>
            <w:gridSpan w:val="2"/>
            <w:tcW w:w="1702" w:type="dxa"/>
            <w:vAlign w:val="center"/>
            <w:textDirection w:val="lrTb"/>
            <w:noWrap w:val="false"/>
          </w:tcPr>
          <w:p>
            <w:pPr>
              <w:pStyle w:val="1003"/>
              <w:ind w:left="0" w:right="153"/>
              <w:spacing w:line="27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无人值守</w:t>
            </w:r>
            <w:r/>
          </w:p>
        </w:tc>
        <w:tc>
          <w:tcPr>
            <w:tcW w:w="1266" w:type="dxa"/>
            <w:vAlign w:val="center"/>
            <w:textDirection w:val="lrTb"/>
            <w:noWrap w:val="false"/>
          </w:tcPr>
          <w:p>
            <w:pPr>
              <w:pStyle w:val="1003"/>
              <w:ind w:left="0" w:right="153"/>
              <w:jc w:val="center"/>
              <w:spacing w:line="27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≤8.1 Bels</w:t>
            </w:r>
            <w:r/>
          </w:p>
        </w:tc>
        <w:tc>
          <w:tcPr>
            <w:tcW w:w="2672" w:type="dxa"/>
            <w:vAlign w:val="center"/>
            <w:vMerge w:val="continue"/>
            <w:textDirection w:val="lrTb"/>
            <w:noWrap w:val="false"/>
          </w:tcPr>
          <w:p>
            <w:pPr>
              <w:pStyle w:val="1003"/>
              <w:ind w:left="0" w:right="153"/>
              <w:spacing w:line="276" w:lineRule="auto"/>
              <w:rPr>
                <w:rFonts w:ascii="宋体" w:hAnsi="宋体" w:cs="宋体"/>
                <w:color w:val="auto"/>
                <w:sz w:val="24"/>
                <w:szCs w:val="24"/>
                <w:highlight w:val="none"/>
              </w:rPr>
            </w:pPr>
            <w:r>
              <w:rPr>
                <w:rFonts w:ascii="宋体" w:hAnsi="宋体" w:cs="宋体"/>
                <w:color w:val="auto"/>
                <w:sz w:val="24"/>
                <w:szCs w:val="24"/>
                <w:highlight w:val="none"/>
              </w:rPr>
            </w:r>
            <w:r/>
          </w:p>
        </w:tc>
      </w:tr>
    </w:tbl>
    <w:p>
      <w:pPr>
        <w:jc w:val="left"/>
        <w:spacing w:line="360" w:lineRule="auto"/>
        <w:rPr>
          <w:rFonts w:ascii="宋体" w:hAnsi="宋体" w:cs="宋体"/>
          <w:sz w:val="24"/>
          <w:szCs w:val="24"/>
          <w:highlight w:val="none"/>
        </w:rPr>
      </w:pPr>
      <w:r>
        <w:rPr>
          <w:rFonts w:ascii="宋体" w:hAnsi="宋体" w:cs="宋体"/>
          <w:sz w:val="24"/>
          <w:szCs w:val="24"/>
          <w:highlight w:val="none"/>
        </w:rPr>
      </w:r>
      <w:r/>
    </w:p>
    <w:p>
      <w:pPr>
        <w:ind w:firstLine="420"/>
        <w:rPr>
          <w:rFonts w:hint="eastAsia" w:ascii="宋体" w:hAnsi="宋体" w:cs="宋体"/>
          <w:i/>
          <w:iCs/>
          <w:color w:val="000000" w:themeColor="text1"/>
          <w:sz w:val="24"/>
          <w:szCs w:val="24"/>
          <w:highlight w:val="none"/>
          <w:u w:val="single"/>
          <w14:textFill>
            <w14:solidFill>
              <w14:schemeClr w14:val="tx1"/>
            </w14:solidFill>
          </w14:textFill>
        </w:rPr>
      </w:pPr>
      <w:r>
        <w:rPr>
          <w:rFonts w:hint="eastAsia" w:ascii="宋体" w:hAnsi="宋体" w:cs="宋体"/>
          <w:i/>
          <w:iCs/>
          <w:color w:val="000000" w:themeColor="text1"/>
          <w:sz w:val="24"/>
          <w:szCs w:val="24"/>
          <w:highlight w:val="none"/>
          <w:u w:val="single"/>
          <w14:textFill>
            <w14:solidFill>
              <w14:schemeClr w14:val="tx1"/>
            </w14:solidFill>
          </w14:textFill>
        </w:rPr>
        <w:t xml:space="preserve">桌面云一体机（含授权）、行为分析设备</w:t>
      </w:r>
      <w:r>
        <w:rPr>
          <w:rFonts w:hint="eastAsia" w:ascii="宋体" w:hAnsi="宋体" w:cs="宋体"/>
          <w:i/>
          <w:iCs/>
          <w:color w:val="000000" w:themeColor="text1"/>
          <w:sz w:val="24"/>
          <w:szCs w:val="24"/>
          <w:highlight w:val="none"/>
          <w:u w:val="single"/>
          <w:lang w:eastAsia="zh-CN"/>
          <w14:textFill>
            <w14:solidFill>
              <w14:schemeClr w14:val="tx1"/>
            </w14:solidFill>
          </w14:textFill>
        </w:rPr>
        <w:t xml:space="preserve">（</w:t>
      </w:r>
      <w:r>
        <w:rPr>
          <w:rFonts w:hint="eastAsia" w:ascii="宋体" w:hAnsi="宋体" w:cs="宋体"/>
          <w:i/>
          <w:iCs/>
          <w:color w:val="000000" w:themeColor="text1"/>
          <w:sz w:val="24"/>
          <w:szCs w:val="24"/>
          <w:highlight w:val="none"/>
          <w:u w:val="single"/>
          <w:lang w:val="en-US" w:eastAsia="zh-CN"/>
          <w14:textFill>
            <w14:solidFill>
              <w14:schemeClr w14:val="tx1"/>
            </w14:solidFill>
          </w14:textFill>
        </w:rPr>
        <w:t xml:space="preserve">一</w:t>
      </w:r>
      <w:r>
        <w:rPr>
          <w:rFonts w:hint="eastAsia" w:ascii="宋体" w:hAnsi="宋体" w:cs="宋体"/>
          <w:i/>
          <w:iCs/>
          <w:color w:val="000000" w:themeColor="text1"/>
          <w:sz w:val="24"/>
          <w:szCs w:val="24"/>
          <w:highlight w:val="none"/>
          <w:u w:val="single"/>
          <w:lang w:eastAsia="zh-CN"/>
          <w14:textFill>
            <w14:solidFill>
              <w14:schemeClr w14:val="tx1"/>
            </w14:solidFill>
          </w14:textFill>
        </w:rPr>
        <w:t xml:space="preserve">）</w:t>
      </w:r>
      <w:r>
        <w:rPr>
          <w:rFonts w:hint="eastAsia" w:ascii="宋体" w:hAnsi="宋体" w:cs="宋体"/>
          <w:i/>
          <w:iCs/>
          <w:color w:val="000000" w:themeColor="text1"/>
          <w:sz w:val="24"/>
          <w:szCs w:val="24"/>
          <w:highlight w:val="none"/>
          <w:u w:val="single"/>
          <w14:textFill>
            <w14:solidFill>
              <w14:schemeClr w14:val="tx1"/>
            </w14:solidFill>
          </w14:textFill>
        </w:rPr>
        <w:t xml:space="preserve">、行为分析设备</w:t>
      </w:r>
      <w:r>
        <w:rPr>
          <w:rFonts w:hint="eastAsia" w:ascii="宋体" w:hAnsi="宋体" w:cs="宋体"/>
          <w:i/>
          <w:iCs/>
          <w:color w:val="000000" w:themeColor="text1"/>
          <w:sz w:val="24"/>
          <w:szCs w:val="24"/>
          <w:highlight w:val="none"/>
          <w:u w:val="single"/>
          <w:lang w:eastAsia="zh-CN"/>
          <w14:textFill>
            <w14:solidFill>
              <w14:schemeClr w14:val="tx1"/>
            </w14:solidFill>
          </w14:textFill>
        </w:rPr>
        <w:t xml:space="preserve">（</w:t>
      </w:r>
      <w:r>
        <w:rPr>
          <w:rFonts w:hint="eastAsia" w:ascii="宋体" w:hAnsi="宋体" w:cs="宋体"/>
          <w:i/>
          <w:iCs/>
          <w:color w:val="000000" w:themeColor="text1"/>
          <w:sz w:val="24"/>
          <w:szCs w:val="24"/>
          <w:highlight w:val="none"/>
          <w:u w:val="single"/>
          <w:lang w:val="en-US" w:eastAsia="zh-CN"/>
          <w14:textFill>
            <w14:solidFill>
              <w14:schemeClr w14:val="tx1"/>
            </w14:solidFill>
          </w14:textFill>
        </w:rPr>
        <w:t xml:space="preserve">二</w:t>
      </w:r>
      <w:r>
        <w:rPr>
          <w:rFonts w:hint="eastAsia" w:ascii="宋体" w:hAnsi="宋体" w:cs="宋体"/>
          <w:i/>
          <w:iCs/>
          <w:color w:val="000000" w:themeColor="text1"/>
          <w:sz w:val="24"/>
          <w:szCs w:val="24"/>
          <w:highlight w:val="none"/>
          <w:u w:val="single"/>
          <w:lang w:eastAsia="zh-CN"/>
          <w14:textFill>
            <w14:solidFill>
              <w14:schemeClr w14:val="tx1"/>
            </w14:solidFill>
          </w14:textFill>
        </w:rPr>
        <w:t xml:space="preserve">）</w:t>
      </w:r>
      <w:r>
        <w:rPr>
          <w:rFonts w:hint="eastAsia" w:ascii="宋体" w:hAnsi="宋体" w:cs="宋体"/>
          <w:i/>
          <w:iCs/>
          <w:color w:val="000000" w:themeColor="text1"/>
          <w:sz w:val="24"/>
          <w:szCs w:val="24"/>
          <w:highlight w:val="none"/>
          <w:u w:val="single"/>
          <w14:textFill>
            <w14:solidFill>
              <w14:schemeClr w14:val="tx1"/>
            </w14:solidFill>
          </w14:textFill>
        </w:rPr>
        <w:t xml:space="preserve">、服务器（视频分析）、高性能存储服务器（含硬盘）、AI引擎文搜一体机（含硬盘）、虚拟评标空间平台部署服务器（含授权）、录播一体机（含授权）必须满足《绿色数据中心政府采购需求标准（试行）》（财库〔2023〕7号）关于</w:t>
      </w:r>
      <w:r>
        <w:rPr>
          <w:rFonts w:hint="eastAsia" w:ascii="宋体" w:hAnsi="宋体" w:cs="宋体"/>
          <w:b w:val="0"/>
          <w:bCs w:val="0"/>
          <w:i/>
          <w:iCs/>
          <w:color w:val="000000" w:themeColor="text1"/>
          <w:sz w:val="24"/>
          <w:szCs w:val="24"/>
          <w:highlight w:val="none"/>
          <w:u w:val="single"/>
          <w14:textFill>
            <w14:solidFill>
              <w14:schemeClr w14:val="tx1"/>
            </w14:solidFill>
          </w14:textFill>
        </w:rPr>
        <w:t xml:space="preserve">服务器及存储设备</w:t>
      </w:r>
      <w:r>
        <w:rPr>
          <w:rFonts w:hint="eastAsia" w:ascii="宋体" w:hAnsi="宋体" w:cs="宋体"/>
          <w:i/>
          <w:iCs/>
          <w:color w:val="000000" w:themeColor="text1"/>
          <w:sz w:val="24"/>
          <w:szCs w:val="24"/>
          <w:highlight w:val="none"/>
          <w:u w:val="single"/>
          <w14:textFill>
            <w14:solidFill>
              <w14:schemeClr w14:val="tx1"/>
            </w14:solidFill>
          </w14:textFill>
        </w:rPr>
        <w:t xml:space="preserve">采购需求标准。</w:t>
      </w:r>
      <w:r/>
    </w:p>
    <w:p>
      <w:pPr>
        <w:ind w:firstLine="420"/>
        <w:rPr>
          <w:rFonts w:hint="eastAsia" w:ascii="宋体" w:hAnsi="宋体" w:cs="宋体"/>
          <w:i/>
          <w:iCs/>
          <w:color w:val="000000" w:themeColor="text1"/>
          <w:sz w:val="24"/>
          <w:szCs w:val="24"/>
          <w:highlight w:val="none"/>
          <w:u w:val="single"/>
          <w14:textFill>
            <w14:solidFill>
              <w14:schemeClr w14:val="tx1"/>
            </w14:solidFill>
          </w14:textFill>
        </w:rPr>
      </w:pPr>
      <w:r>
        <w:rPr>
          <w:rFonts w:hint="eastAsia" w:ascii="宋体" w:hAnsi="宋体" w:cs="宋体"/>
          <w:i w:val="0"/>
          <w:iCs w:val="0"/>
          <w:color w:val="000000" w:themeColor="text1"/>
          <w:sz w:val="24"/>
          <w:szCs w:val="24"/>
          <w:highlight w:val="none"/>
          <w:u w:val="none"/>
          <w14:textFill>
            <w14:solidFill>
              <w14:schemeClr w14:val="tx1"/>
            </w14:solidFill>
          </w14:textFill>
        </w:rPr>
        <w:t xml:space="preserve">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0"/>
        <w:rPr>
          <w:rFonts w:ascii="宋体" w:hAnsi="宋体" w:cs="宋体"/>
          <w:b/>
          <w:bCs/>
          <w:i/>
          <w:iCs/>
          <w:color w:val="000000" w:themeColor="text1"/>
          <w:sz w:val="24"/>
          <w:szCs w:val="24"/>
          <w:highlight w:val="none"/>
          <w:u w:val="single"/>
          <w14:textFill>
            <w14:solidFill>
              <w14:schemeClr w14:val="tx1"/>
            </w14:solidFill>
          </w14:textFill>
        </w:rPr>
      </w:pPr>
      <w:r>
        <w:rPr>
          <w:rFonts w:hint="eastAsia" w:ascii="宋体" w:hAnsi="宋体" w:cs="宋体"/>
          <w:i/>
          <w:iCs/>
          <w:color w:val="000000" w:themeColor="text1"/>
          <w:sz w:val="24"/>
          <w:szCs w:val="24"/>
          <w:highlight w:val="none"/>
          <w:u w:val="single"/>
          <w14:textFill>
            <w14:solidFill>
              <w14:schemeClr w14:val="tx1"/>
            </w14:solidFill>
          </w14:textFill>
        </w:rPr>
        <w:t xml:space="preserve">桌面云一体机（含授权）、行为分析设备</w:t>
      </w:r>
      <w:r>
        <w:rPr>
          <w:rFonts w:hint="eastAsia" w:ascii="宋体" w:hAnsi="宋体" w:cs="宋体"/>
          <w:i/>
          <w:iCs/>
          <w:color w:val="000000" w:themeColor="text1"/>
          <w:sz w:val="24"/>
          <w:szCs w:val="24"/>
          <w:highlight w:val="none"/>
          <w:u w:val="single"/>
          <w:lang w:eastAsia="zh-CN"/>
          <w14:textFill>
            <w14:solidFill>
              <w14:schemeClr w14:val="tx1"/>
            </w14:solidFill>
          </w14:textFill>
        </w:rPr>
        <w:t xml:space="preserve">（</w:t>
      </w:r>
      <w:r>
        <w:rPr>
          <w:rFonts w:hint="eastAsia" w:ascii="宋体" w:hAnsi="宋体" w:cs="宋体"/>
          <w:i/>
          <w:iCs/>
          <w:color w:val="000000" w:themeColor="text1"/>
          <w:sz w:val="24"/>
          <w:szCs w:val="24"/>
          <w:highlight w:val="none"/>
          <w:u w:val="single"/>
          <w:lang w:val="en-US" w:eastAsia="zh-CN"/>
          <w14:textFill>
            <w14:solidFill>
              <w14:schemeClr w14:val="tx1"/>
            </w14:solidFill>
          </w14:textFill>
        </w:rPr>
        <w:t xml:space="preserve">一</w:t>
      </w:r>
      <w:r>
        <w:rPr>
          <w:rFonts w:hint="eastAsia" w:ascii="宋体" w:hAnsi="宋体" w:cs="宋体"/>
          <w:i/>
          <w:iCs/>
          <w:color w:val="000000" w:themeColor="text1"/>
          <w:sz w:val="24"/>
          <w:szCs w:val="24"/>
          <w:highlight w:val="none"/>
          <w:u w:val="single"/>
          <w:lang w:eastAsia="zh-CN"/>
          <w14:textFill>
            <w14:solidFill>
              <w14:schemeClr w14:val="tx1"/>
            </w14:solidFill>
          </w14:textFill>
        </w:rPr>
        <w:t xml:space="preserve">）</w:t>
      </w:r>
      <w:r>
        <w:rPr>
          <w:rFonts w:hint="eastAsia" w:ascii="宋体" w:hAnsi="宋体" w:cs="宋体"/>
          <w:i/>
          <w:iCs/>
          <w:color w:val="000000" w:themeColor="text1"/>
          <w:sz w:val="24"/>
          <w:szCs w:val="24"/>
          <w:highlight w:val="none"/>
          <w:u w:val="single"/>
          <w14:textFill>
            <w14:solidFill>
              <w14:schemeClr w14:val="tx1"/>
            </w14:solidFill>
          </w14:textFill>
        </w:rPr>
        <w:t xml:space="preserve">、行为分析设备</w:t>
      </w:r>
      <w:r>
        <w:rPr>
          <w:rFonts w:hint="eastAsia" w:ascii="宋体" w:hAnsi="宋体" w:cs="宋体"/>
          <w:i/>
          <w:iCs/>
          <w:color w:val="000000" w:themeColor="text1"/>
          <w:sz w:val="24"/>
          <w:szCs w:val="24"/>
          <w:highlight w:val="none"/>
          <w:u w:val="single"/>
          <w:lang w:eastAsia="zh-CN"/>
          <w14:textFill>
            <w14:solidFill>
              <w14:schemeClr w14:val="tx1"/>
            </w14:solidFill>
          </w14:textFill>
        </w:rPr>
        <w:t xml:space="preserve">（</w:t>
      </w:r>
      <w:r>
        <w:rPr>
          <w:rFonts w:hint="eastAsia" w:ascii="宋体" w:hAnsi="宋体" w:cs="宋体"/>
          <w:i/>
          <w:iCs/>
          <w:color w:val="000000" w:themeColor="text1"/>
          <w:sz w:val="24"/>
          <w:szCs w:val="24"/>
          <w:highlight w:val="none"/>
          <w:u w:val="single"/>
          <w:lang w:val="en-US" w:eastAsia="zh-CN"/>
          <w14:textFill>
            <w14:solidFill>
              <w14:schemeClr w14:val="tx1"/>
            </w14:solidFill>
          </w14:textFill>
        </w:rPr>
        <w:t xml:space="preserve">二</w:t>
      </w:r>
      <w:r>
        <w:rPr>
          <w:rFonts w:hint="eastAsia" w:ascii="宋体" w:hAnsi="宋体" w:cs="宋体"/>
          <w:i/>
          <w:iCs/>
          <w:color w:val="000000" w:themeColor="text1"/>
          <w:sz w:val="24"/>
          <w:szCs w:val="24"/>
          <w:highlight w:val="none"/>
          <w:u w:val="single"/>
          <w:lang w:eastAsia="zh-CN"/>
          <w14:textFill>
            <w14:solidFill>
              <w14:schemeClr w14:val="tx1"/>
            </w14:solidFill>
          </w14:textFill>
        </w:rPr>
        <w:t xml:space="preserve">）</w:t>
      </w:r>
      <w:r>
        <w:rPr>
          <w:rFonts w:hint="eastAsia" w:ascii="宋体" w:hAnsi="宋体" w:cs="宋体"/>
          <w:i/>
          <w:iCs/>
          <w:color w:val="000000" w:themeColor="text1"/>
          <w:sz w:val="24"/>
          <w:szCs w:val="24"/>
          <w:highlight w:val="none"/>
          <w:u w:val="single"/>
          <w14:textFill>
            <w14:solidFill>
              <w14:schemeClr w14:val="tx1"/>
            </w14:solidFill>
          </w14:textFill>
        </w:rPr>
        <w:t xml:space="preserve">、服务器（视频分析）、高性能存储服务器（含硬盘）、AI引擎文搜一体机（含硬盘）、虚拟评标空间平台部署服务器（含授权）、录播一体机（含授权）绿色数据中心需求标准</w:t>
      </w:r>
      <w:r>
        <w:rPr>
          <w:rFonts w:hint="eastAsia" w:ascii="宋体" w:hAnsi="宋体" w:cs="宋体"/>
          <w:b/>
          <w:bCs/>
          <w:i/>
          <w:iCs/>
          <w:color w:val="000000" w:themeColor="text1"/>
          <w:sz w:val="24"/>
          <w:szCs w:val="24"/>
          <w:highlight w:val="none"/>
          <w:u w:val="single"/>
          <w14:textFill>
            <w14:solidFill>
              <w14:schemeClr w14:val="tx1"/>
            </w14:solidFill>
          </w14:textFill>
        </w:rPr>
        <w:t xml:space="preserve">（服务器及存储设备）：</w:t>
      </w:r>
      <w:r/>
    </w:p>
    <w:p>
      <w:pPr>
        <w:rPr>
          <w:rFonts w:ascii="宋体" w:hAnsi="宋体" w:cs="宋体"/>
          <w:highlight w:val="none"/>
        </w:rPr>
      </w:pPr>
      <w:r>
        <w:rPr>
          <w:rFonts w:ascii="宋体" w:hAnsi="宋体" w:cs="宋体"/>
          <w:highlight w:val="none"/>
        </w:rPr>
      </w:r>
      <w:r/>
    </w:p>
    <w:tbl>
      <w:tblPr>
        <w:tblStyle w:val="990"/>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7"/>
        <w:gridCol w:w="426"/>
        <w:gridCol w:w="1689"/>
        <w:gridCol w:w="1269"/>
        <w:gridCol w:w="1687"/>
        <w:gridCol w:w="2808"/>
      </w:tblGrid>
      <w:tr>
        <w:trPr/>
        <w:tc>
          <w:tcPr>
            <w:tcW w:w="417" w:type="dxa"/>
            <w:textDirection w:val="lrTb"/>
            <w:noWrap w:val="false"/>
          </w:tcPr>
          <w:p>
            <w:pPr>
              <w:jc w:val="center"/>
              <w:spacing w:line="276" w:lineRule="auto"/>
              <w:rPr>
                <w:rFonts w:ascii="宋体" w:hAnsi="宋体" w:cs="宋体"/>
                <w:color w:val="auto"/>
                <w:highlight w:val="none"/>
              </w:rPr>
            </w:pPr>
            <w:r>
              <w:rPr>
                <w:rFonts w:ascii="宋体" w:hAnsi="宋体" w:cs="宋体"/>
                <w:color w:val="auto"/>
                <w:highlight w:val="none"/>
              </w:rPr>
            </w:r>
            <w:r/>
          </w:p>
        </w:tc>
        <w:tc>
          <w:tcPr>
            <w:gridSpan w:val="3"/>
            <w:shd w:val="clear" w:color="auto" w:fill="d8d8d8"/>
            <w:tcW w:w="3384" w:type="dxa"/>
            <w:vAlign w:val="center"/>
            <w:textDirection w:val="lrTb"/>
            <w:noWrap w:val="false"/>
          </w:tcPr>
          <w:p>
            <w:pPr>
              <w:jc w:val="center"/>
              <w:spacing w:line="276" w:lineRule="auto"/>
              <w:rPr>
                <w:rFonts w:ascii="宋体" w:hAnsi="宋体" w:cs="宋体"/>
                <w:color w:val="auto"/>
                <w:highlight w:val="none"/>
              </w:rPr>
            </w:pPr>
            <w:r>
              <w:rPr>
                <w:rFonts w:hint="eastAsia" w:ascii="宋体" w:hAnsi="宋体" w:cs="宋体"/>
                <w:color w:val="auto"/>
                <w:highlight w:val="none"/>
              </w:rPr>
              <w:t xml:space="preserve">指标</w:t>
            </w:r>
            <w:r/>
          </w:p>
        </w:tc>
        <w:tc>
          <w:tcPr>
            <w:shd w:val="clear" w:color="auto" w:fill="d8d8d8"/>
            <w:tcW w:w="1687" w:type="dxa"/>
            <w:vAlign w:val="center"/>
            <w:textDirection w:val="lrTb"/>
            <w:noWrap w:val="false"/>
          </w:tcPr>
          <w:p>
            <w:pPr>
              <w:jc w:val="center"/>
              <w:spacing w:line="276" w:lineRule="auto"/>
              <w:rPr>
                <w:rFonts w:ascii="宋体" w:hAnsi="宋体" w:cs="宋体"/>
                <w:color w:val="auto"/>
                <w:highlight w:val="none"/>
              </w:rPr>
            </w:pPr>
            <w:r>
              <w:rPr>
                <w:rFonts w:hint="eastAsia" w:ascii="宋体" w:hAnsi="宋体" w:cs="宋体"/>
                <w:color w:val="auto"/>
                <w:highlight w:val="none"/>
              </w:rPr>
              <w:t xml:space="preserve">限制值</w:t>
            </w:r>
            <w:r/>
          </w:p>
        </w:tc>
        <w:tc>
          <w:tcPr>
            <w:shd w:val="clear" w:color="auto" w:fill="d8d8d8"/>
            <w:tcW w:w="2808" w:type="dxa"/>
            <w:vAlign w:val="center"/>
            <w:textDirection w:val="lrTb"/>
            <w:noWrap w:val="false"/>
          </w:tcPr>
          <w:p>
            <w:pPr>
              <w:jc w:val="center"/>
              <w:spacing w:line="276" w:lineRule="auto"/>
              <w:rPr>
                <w:rFonts w:ascii="宋体" w:hAnsi="宋体" w:cs="宋体"/>
                <w:color w:val="auto"/>
                <w:highlight w:val="none"/>
              </w:rPr>
            </w:pPr>
            <w:r>
              <w:rPr>
                <w:rFonts w:hint="eastAsia" w:ascii="宋体" w:hAnsi="宋体" w:cs="宋体"/>
                <w:color w:val="auto"/>
                <w:highlight w:val="none"/>
              </w:rPr>
              <w:t xml:space="preserve">判定依据/方法</w:t>
            </w:r>
            <w:r/>
          </w:p>
        </w:tc>
      </w:tr>
      <w:tr>
        <w:trPr>
          <w:trHeight w:val="611"/>
        </w:trPr>
        <w:tc>
          <w:tcPr>
            <w:tcW w:w="417" w:type="dxa"/>
            <w:vAlign w:val="center"/>
            <w:textDirection w:val="lrTb"/>
            <w:noWrap w:val="false"/>
          </w:tcPr>
          <w:p>
            <w:pPr>
              <w:spacing w:line="276" w:lineRule="auto"/>
              <w:rPr>
                <w:rFonts w:ascii="宋体" w:hAnsi="宋体" w:cs="宋体"/>
                <w:color w:val="auto"/>
                <w:highlight w:val="none"/>
              </w:rPr>
            </w:pPr>
            <w:r>
              <w:rPr>
                <w:rFonts w:hint="eastAsia" w:ascii="宋体" w:hAnsi="宋体" w:cs="宋体"/>
                <w:color w:val="auto"/>
                <w:highlight w:val="none"/>
              </w:rPr>
              <w:t xml:space="preserve">1</w:t>
            </w:r>
            <w:r/>
          </w:p>
        </w:tc>
        <w:tc>
          <w:tcPr>
            <w:gridSpan w:val="3"/>
            <w:tcW w:w="3384" w:type="dxa"/>
            <w:vAlign w:val="center"/>
            <w:textDirection w:val="lrTb"/>
            <w:noWrap w:val="false"/>
          </w:tcPr>
          <w:p>
            <w:pPr>
              <w:spacing w:line="276" w:lineRule="auto"/>
              <w:rPr>
                <w:rFonts w:ascii="宋体" w:hAnsi="宋体" w:cs="宋体"/>
                <w:color w:val="auto"/>
                <w:highlight w:val="none"/>
              </w:rPr>
            </w:pPr>
            <w:r>
              <w:rPr>
                <w:rFonts w:hint="eastAsia" w:ascii="宋体" w:hAnsi="宋体" w:cs="宋体"/>
                <w:color w:val="auto"/>
                <w:highlight w:val="none"/>
              </w:rPr>
              <w:t xml:space="preserve">产品可再生利用率</w:t>
            </w:r>
            <w:r/>
          </w:p>
        </w:tc>
        <w:tc>
          <w:tcPr>
            <w:tcW w:w="1687" w:type="dxa"/>
            <w:vAlign w:val="center"/>
            <w:textDirection w:val="lrTb"/>
            <w:noWrap w:val="false"/>
          </w:tcPr>
          <w:p>
            <w:pPr>
              <w:jc w:val="center"/>
              <w:spacing w:line="276" w:lineRule="auto"/>
              <w:rPr>
                <w:rFonts w:ascii="宋体" w:hAnsi="宋体" w:cs="宋体"/>
                <w:color w:val="auto"/>
                <w:highlight w:val="none"/>
              </w:rPr>
            </w:pPr>
            <w:r>
              <w:rPr>
                <w:rFonts w:hint="eastAsia" w:ascii="宋体" w:hAnsi="宋体" w:cs="宋体"/>
                <w:color w:val="auto"/>
                <w:highlight w:val="none"/>
              </w:rPr>
              <w:t xml:space="preserve">≥80%</w:t>
            </w:r>
            <w:r/>
          </w:p>
        </w:tc>
        <w:tc>
          <w:tcPr>
            <w:tcW w:w="2808" w:type="dxa"/>
            <w:vAlign w:val="center"/>
            <w:textDirection w:val="lrTb"/>
            <w:noWrap w:val="false"/>
          </w:tcPr>
          <w:p>
            <w:pPr>
              <w:spacing w:line="276" w:lineRule="auto"/>
              <w:rPr>
                <w:rFonts w:ascii="宋体" w:hAnsi="宋体" w:cs="宋体"/>
                <w:color w:val="auto"/>
                <w:highlight w:val="none"/>
              </w:rPr>
            </w:pPr>
            <w:r>
              <w:rPr>
                <w:rFonts w:hint="eastAsia" w:ascii="宋体" w:hAnsi="宋体" w:cs="宋体"/>
                <w:color w:val="auto"/>
                <w:szCs w:val="18"/>
                <w:highlight w:val="none"/>
              </w:rPr>
              <w:t xml:space="preserve">根据GB/T 32355.2及附录C要求进行判定</w:t>
            </w:r>
            <w:r/>
          </w:p>
        </w:tc>
      </w:tr>
      <w:tr>
        <w:trPr>
          <w:trHeight w:val="85"/>
        </w:trPr>
        <w:tc>
          <w:tcPr>
            <w:tcW w:w="417" w:type="dxa"/>
            <w:vAlign w:val="center"/>
            <w:vMerge w:val="restart"/>
            <w:textDirection w:val="lrTb"/>
            <w:noWrap w:val="false"/>
          </w:tcPr>
          <w:p>
            <w:pPr>
              <w:spacing w:line="276" w:lineRule="auto"/>
              <w:rPr>
                <w:rFonts w:ascii="宋体" w:hAnsi="宋体" w:cs="宋体"/>
                <w:color w:val="auto"/>
                <w:highlight w:val="none"/>
              </w:rPr>
            </w:pPr>
            <w:r>
              <w:rPr>
                <w:rFonts w:hint="eastAsia" w:ascii="宋体" w:hAnsi="宋体" w:cs="宋体"/>
                <w:color w:val="auto"/>
                <w:highlight w:val="none"/>
              </w:rPr>
              <w:t xml:space="preserve">2</w:t>
            </w:r>
            <w:r/>
          </w:p>
        </w:tc>
        <w:tc>
          <w:tcPr>
            <w:tcW w:w="426" w:type="dxa"/>
            <w:vAlign w:val="center"/>
            <w:vMerge w:val="restart"/>
            <w:textDirection w:val="lrTb"/>
            <w:noWrap w:val="false"/>
          </w:tcPr>
          <w:p>
            <w:pPr>
              <w:spacing w:line="276" w:lineRule="auto"/>
              <w:rPr>
                <w:rFonts w:ascii="宋体" w:hAnsi="宋体" w:cs="宋体"/>
                <w:color w:val="auto"/>
                <w:highlight w:val="none"/>
              </w:rPr>
            </w:pPr>
            <w:r>
              <w:rPr>
                <w:rFonts w:hint="eastAsia" w:ascii="宋体" w:hAnsi="宋体" w:cs="宋体"/>
                <w:color w:val="auto"/>
                <w:highlight w:val="none"/>
              </w:rPr>
              <w:t xml:space="preserve">供电模块效率</w:t>
            </w:r>
            <w:r/>
          </w:p>
        </w:tc>
        <w:tc>
          <w:tcPr>
            <w:tcW w:w="1689" w:type="dxa"/>
            <w:vAlign w:val="center"/>
            <w:vMerge w:val="restart"/>
            <w:textDirection w:val="lrTb"/>
            <w:noWrap w:val="false"/>
          </w:tcPr>
          <w:p>
            <w:pPr>
              <w:spacing w:line="276" w:lineRule="auto"/>
              <w:rPr>
                <w:rFonts w:ascii="宋体" w:hAnsi="宋体" w:cs="宋体"/>
                <w:color w:val="auto"/>
                <w:highlight w:val="none"/>
              </w:rPr>
            </w:pPr>
            <w:r>
              <w:rPr>
                <w:rFonts w:hint="eastAsia" w:ascii="宋体" w:hAnsi="宋体" w:cs="宋体"/>
                <w:color w:val="auto"/>
                <w:highlight w:val="none"/>
              </w:rPr>
              <w:t xml:space="preserve">20%负载率</w:t>
            </w:r>
            <w:r/>
          </w:p>
        </w:tc>
        <w:tc>
          <w:tcPr>
            <w:tcW w:w="1269" w:type="dxa"/>
            <w:vAlign w:val="center"/>
            <w:textDirection w:val="lrTb"/>
            <w:noWrap w:val="false"/>
          </w:tcPr>
          <w:p>
            <w:pPr>
              <w:spacing w:line="276" w:lineRule="auto"/>
              <w:rPr>
                <w:rFonts w:ascii="宋体" w:hAnsi="宋体" w:cs="宋体"/>
                <w:color w:val="auto"/>
                <w:highlight w:val="none"/>
              </w:rPr>
            </w:pPr>
            <w:r>
              <w:rPr>
                <w:rFonts w:hint="eastAsia" w:ascii="宋体" w:hAnsi="宋体" w:cs="宋体"/>
                <w:color w:val="auto"/>
                <w:highlight w:val="none"/>
              </w:rPr>
              <w:t xml:space="preserve">电源效率</w:t>
            </w:r>
            <w:r/>
          </w:p>
        </w:tc>
        <w:tc>
          <w:tcPr>
            <w:tcW w:w="1687" w:type="dxa"/>
            <w:vAlign w:val="center"/>
            <w:textDirection w:val="lrTb"/>
            <w:noWrap w:val="false"/>
          </w:tcPr>
          <w:p>
            <w:pPr>
              <w:jc w:val="center"/>
              <w:spacing w:line="276" w:lineRule="auto"/>
              <w:rPr>
                <w:rFonts w:ascii="宋体" w:hAnsi="宋体" w:cs="宋体"/>
                <w:color w:val="auto"/>
                <w:highlight w:val="none"/>
              </w:rPr>
            </w:pPr>
            <w:r>
              <w:rPr>
                <w:rFonts w:hint="eastAsia" w:ascii="宋体" w:hAnsi="宋体" w:cs="宋体"/>
                <w:color w:val="auto"/>
                <w:highlight w:val="none"/>
              </w:rPr>
              <w:t xml:space="preserve">≥90%</w:t>
            </w:r>
            <w:r/>
          </w:p>
        </w:tc>
        <w:tc>
          <w:tcPr>
            <w:tcW w:w="2808" w:type="dxa"/>
            <w:vAlign w:val="center"/>
            <w:vMerge w:val="restart"/>
            <w:textDirection w:val="lrTb"/>
            <w:noWrap w:val="false"/>
          </w:tcPr>
          <w:p>
            <w:pPr>
              <w:spacing w:line="276" w:lineRule="auto"/>
              <w:rPr>
                <w:rFonts w:ascii="宋体" w:hAnsi="宋体" w:cs="宋体"/>
                <w:color w:val="auto"/>
                <w:highlight w:val="none"/>
              </w:rPr>
            </w:pPr>
            <w:r>
              <w:rPr>
                <w:rFonts w:hint="eastAsia" w:ascii="宋体" w:hAnsi="宋体" w:cs="宋体"/>
                <w:color w:val="auto"/>
                <w:szCs w:val="18"/>
                <w:highlight w:val="none"/>
              </w:rPr>
              <w:t xml:space="preserve">检测方法按照HJ 2507附录B要求执行</w:t>
            </w:r>
            <w:r/>
          </w:p>
        </w:tc>
      </w:tr>
      <w:tr>
        <w:trPr>
          <w:trHeight w:val="85"/>
        </w:trPr>
        <w:tc>
          <w:tcPr>
            <w:tcW w:w="417" w:type="dxa"/>
            <w:vAlign w:val="center"/>
            <w:vMerge w:val="continue"/>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c>
          <w:tcPr>
            <w:tcW w:w="426" w:type="dxa"/>
            <w:vAlign w:val="center"/>
            <w:vMerge w:val="continue"/>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c>
          <w:tcPr>
            <w:tcW w:w="1689" w:type="dxa"/>
            <w:vAlign w:val="center"/>
            <w:vMerge w:val="continue"/>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c>
          <w:tcPr>
            <w:tcW w:w="1269" w:type="dxa"/>
            <w:vAlign w:val="center"/>
            <w:textDirection w:val="lrTb"/>
            <w:noWrap w:val="false"/>
          </w:tcPr>
          <w:p>
            <w:pPr>
              <w:spacing w:line="276" w:lineRule="auto"/>
              <w:rPr>
                <w:rFonts w:ascii="宋体" w:hAnsi="宋体" w:cs="宋体"/>
                <w:color w:val="auto"/>
                <w:highlight w:val="none"/>
              </w:rPr>
            </w:pPr>
            <w:r>
              <w:rPr>
                <w:rFonts w:hint="eastAsia" w:ascii="宋体" w:hAnsi="宋体" w:cs="宋体"/>
                <w:color w:val="auto"/>
                <w:highlight w:val="none"/>
              </w:rPr>
              <w:t xml:space="preserve">功率因数（PF）</w:t>
            </w:r>
            <w:r/>
          </w:p>
        </w:tc>
        <w:tc>
          <w:tcPr>
            <w:tcW w:w="1687" w:type="dxa"/>
            <w:vAlign w:val="center"/>
            <w:textDirection w:val="lrTb"/>
            <w:noWrap w:val="false"/>
          </w:tcPr>
          <w:p>
            <w:pPr>
              <w:jc w:val="center"/>
              <w:spacing w:line="276" w:lineRule="auto"/>
              <w:rPr>
                <w:rFonts w:ascii="宋体" w:hAnsi="宋体" w:cs="宋体"/>
                <w:color w:val="auto"/>
                <w:highlight w:val="none"/>
              </w:rPr>
            </w:pPr>
            <w:r>
              <w:rPr>
                <w:rFonts w:hint="eastAsia" w:ascii="宋体" w:hAnsi="宋体" w:cs="宋体"/>
                <w:color w:val="auto"/>
                <w:highlight w:val="none"/>
              </w:rPr>
              <w:t xml:space="preserve">≥0.95</w:t>
            </w:r>
            <w:r/>
          </w:p>
        </w:tc>
        <w:tc>
          <w:tcPr>
            <w:tcW w:w="2808" w:type="dxa"/>
            <w:vAlign w:val="center"/>
            <w:vMerge w:val="continue"/>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r>
      <w:tr>
        <w:trPr>
          <w:trHeight w:val="85"/>
        </w:trPr>
        <w:tc>
          <w:tcPr>
            <w:tcW w:w="417" w:type="dxa"/>
            <w:vAlign w:val="center"/>
            <w:vMerge w:val="continue"/>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c>
          <w:tcPr>
            <w:tcW w:w="426" w:type="dxa"/>
            <w:vAlign w:val="center"/>
            <w:vMerge w:val="continue"/>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c>
          <w:tcPr>
            <w:tcW w:w="1689" w:type="dxa"/>
            <w:vAlign w:val="center"/>
            <w:vMerge w:val="restart"/>
            <w:textDirection w:val="lrTb"/>
            <w:noWrap w:val="false"/>
          </w:tcPr>
          <w:p>
            <w:pPr>
              <w:spacing w:line="276" w:lineRule="auto"/>
              <w:rPr>
                <w:rFonts w:ascii="宋体" w:hAnsi="宋体" w:cs="宋体"/>
                <w:color w:val="auto"/>
                <w:highlight w:val="none"/>
              </w:rPr>
            </w:pPr>
            <w:r>
              <w:rPr>
                <w:rFonts w:hint="eastAsia" w:ascii="宋体" w:hAnsi="宋体" w:cs="宋体"/>
                <w:color w:val="auto"/>
                <w:highlight w:val="none"/>
              </w:rPr>
              <w:t xml:space="preserve">50%负载率</w:t>
            </w:r>
            <w:r/>
          </w:p>
        </w:tc>
        <w:tc>
          <w:tcPr>
            <w:tcW w:w="1269" w:type="dxa"/>
            <w:vAlign w:val="center"/>
            <w:textDirection w:val="lrTb"/>
            <w:noWrap w:val="false"/>
          </w:tcPr>
          <w:p>
            <w:pPr>
              <w:spacing w:line="276" w:lineRule="auto"/>
              <w:rPr>
                <w:rFonts w:ascii="宋体" w:hAnsi="宋体" w:cs="宋体"/>
                <w:color w:val="auto"/>
                <w:highlight w:val="none"/>
              </w:rPr>
            </w:pPr>
            <w:r>
              <w:rPr>
                <w:rFonts w:hint="eastAsia" w:ascii="宋体" w:hAnsi="宋体" w:cs="宋体"/>
                <w:color w:val="auto"/>
                <w:highlight w:val="none"/>
              </w:rPr>
              <w:t xml:space="preserve">电源效率</w:t>
            </w:r>
            <w:r/>
          </w:p>
        </w:tc>
        <w:tc>
          <w:tcPr>
            <w:tcW w:w="1687" w:type="dxa"/>
            <w:vAlign w:val="center"/>
            <w:textDirection w:val="lrTb"/>
            <w:noWrap w:val="false"/>
          </w:tcPr>
          <w:p>
            <w:pPr>
              <w:jc w:val="center"/>
              <w:spacing w:line="276" w:lineRule="auto"/>
              <w:rPr>
                <w:rFonts w:ascii="宋体" w:hAnsi="宋体" w:cs="宋体"/>
                <w:color w:val="auto"/>
                <w:highlight w:val="none"/>
              </w:rPr>
            </w:pPr>
            <w:r>
              <w:rPr>
                <w:rFonts w:hint="eastAsia" w:ascii="宋体" w:hAnsi="宋体" w:cs="宋体"/>
                <w:color w:val="auto"/>
                <w:highlight w:val="none"/>
              </w:rPr>
              <w:t xml:space="preserve">≥94%</w:t>
            </w:r>
            <w:r/>
          </w:p>
        </w:tc>
        <w:tc>
          <w:tcPr>
            <w:tcW w:w="2808" w:type="dxa"/>
            <w:vAlign w:val="center"/>
            <w:vMerge w:val="continue"/>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r>
      <w:tr>
        <w:trPr>
          <w:trHeight w:val="85"/>
        </w:trPr>
        <w:tc>
          <w:tcPr>
            <w:tcW w:w="417" w:type="dxa"/>
            <w:vAlign w:val="center"/>
            <w:vMerge w:val="continue"/>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c>
          <w:tcPr>
            <w:tcW w:w="426" w:type="dxa"/>
            <w:vAlign w:val="center"/>
            <w:vMerge w:val="continue"/>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c>
          <w:tcPr>
            <w:tcW w:w="1689" w:type="dxa"/>
            <w:vAlign w:val="center"/>
            <w:vMerge w:val="continue"/>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c>
          <w:tcPr>
            <w:tcW w:w="1269" w:type="dxa"/>
            <w:vAlign w:val="center"/>
            <w:textDirection w:val="lrTb"/>
            <w:noWrap w:val="false"/>
          </w:tcPr>
          <w:p>
            <w:pPr>
              <w:spacing w:line="276" w:lineRule="auto"/>
              <w:rPr>
                <w:rFonts w:ascii="宋体" w:hAnsi="宋体" w:cs="宋体"/>
                <w:color w:val="auto"/>
                <w:highlight w:val="none"/>
              </w:rPr>
            </w:pPr>
            <w:r>
              <w:rPr>
                <w:rFonts w:hint="eastAsia" w:ascii="宋体" w:hAnsi="宋体" w:cs="宋体"/>
                <w:color w:val="auto"/>
                <w:highlight w:val="none"/>
              </w:rPr>
              <w:t xml:space="preserve">功率因数（PF）</w:t>
            </w:r>
            <w:r/>
          </w:p>
        </w:tc>
        <w:tc>
          <w:tcPr>
            <w:tcW w:w="1687" w:type="dxa"/>
            <w:vAlign w:val="center"/>
            <w:textDirection w:val="lrTb"/>
            <w:noWrap w:val="false"/>
          </w:tcPr>
          <w:p>
            <w:pPr>
              <w:jc w:val="center"/>
              <w:spacing w:line="276" w:lineRule="auto"/>
              <w:rPr>
                <w:rFonts w:ascii="宋体" w:hAnsi="宋体" w:cs="宋体"/>
                <w:color w:val="auto"/>
                <w:highlight w:val="none"/>
              </w:rPr>
            </w:pPr>
            <w:r>
              <w:rPr>
                <w:rFonts w:hint="eastAsia" w:ascii="宋体" w:hAnsi="宋体" w:cs="宋体"/>
                <w:color w:val="auto"/>
                <w:highlight w:val="none"/>
              </w:rPr>
              <w:t xml:space="preserve">≥0.95</w:t>
            </w:r>
            <w:r/>
          </w:p>
        </w:tc>
        <w:tc>
          <w:tcPr>
            <w:tcW w:w="2808" w:type="dxa"/>
            <w:vAlign w:val="center"/>
            <w:vMerge w:val="continue"/>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r>
      <w:tr>
        <w:trPr>
          <w:trHeight w:val="85"/>
        </w:trPr>
        <w:tc>
          <w:tcPr>
            <w:tcW w:w="417" w:type="dxa"/>
            <w:vAlign w:val="center"/>
            <w:vMerge w:val="continue"/>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c>
          <w:tcPr>
            <w:tcW w:w="426" w:type="dxa"/>
            <w:vAlign w:val="center"/>
            <w:vMerge w:val="continue"/>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c>
          <w:tcPr>
            <w:tcW w:w="1689" w:type="dxa"/>
            <w:vAlign w:val="center"/>
            <w:vMerge w:val="restart"/>
            <w:textDirection w:val="lrTb"/>
            <w:noWrap w:val="false"/>
          </w:tcPr>
          <w:p>
            <w:pPr>
              <w:spacing w:line="276" w:lineRule="auto"/>
              <w:rPr>
                <w:rFonts w:ascii="宋体" w:hAnsi="宋体" w:cs="宋体"/>
                <w:color w:val="auto"/>
                <w:highlight w:val="none"/>
              </w:rPr>
            </w:pPr>
            <w:r>
              <w:rPr>
                <w:rFonts w:hint="eastAsia" w:ascii="宋体" w:hAnsi="宋体" w:cs="宋体"/>
                <w:color w:val="auto"/>
                <w:highlight w:val="none"/>
              </w:rPr>
              <w:t xml:space="preserve">100%负载率</w:t>
            </w:r>
            <w:r/>
          </w:p>
        </w:tc>
        <w:tc>
          <w:tcPr>
            <w:tcW w:w="1269" w:type="dxa"/>
            <w:vAlign w:val="center"/>
            <w:textDirection w:val="lrTb"/>
            <w:noWrap w:val="false"/>
          </w:tcPr>
          <w:p>
            <w:pPr>
              <w:spacing w:line="276" w:lineRule="auto"/>
              <w:rPr>
                <w:rFonts w:ascii="宋体" w:hAnsi="宋体" w:cs="宋体"/>
                <w:color w:val="auto"/>
                <w:highlight w:val="none"/>
              </w:rPr>
            </w:pPr>
            <w:r>
              <w:rPr>
                <w:rFonts w:hint="eastAsia" w:ascii="宋体" w:hAnsi="宋体" w:cs="宋体"/>
                <w:color w:val="auto"/>
                <w:highlight w:val="none"/>
              </w:rPr>
              <w:t xml:space="preserve">电源效率</w:t>
            </w:r>
            <w:r/>
          </w:p>
        </w:tc>
        <w:tc>
          <w:tcPr>
            <w:tcW w:w="1687" w:type="dxa"/>
            <w:vAlign w:val="center"/>
            <w:textDirection w:val="lrTb"/>
            <w:noWrap w:val="false"/>
          </w:tcPr>
          <w:p>
            <w:pPr>
              <w:jc w:val="center"/>
              <w:spacing w:line="276" w:lineRule="auto"/>
              <w:rPr>
                <w:rFonts w:ascii="宋体" w:hAnsi="宋体" w:cs="宋体"/>
                <w:color w:val="auto"/>
                <w:highlight w:val="none"/>
              </w:rPr>
            </w:pPr>
            <w:r>
              <w:rPr>
                <w:rFonts w:hint="eastAsia" w:ascii="宋体" w:hAnsi="宋体" w:cs="宋体"/>
                <w:color w:val="auto"/>
                <w:highlight w:val="none"/>
              </w:rPr>
              <w:t xml:space="preserve">≥91%</w:t>
            </w:r>
            <w:r/>
          </w:p>
        </w:tc>
        <w:tc>
          <w:tcPr>
            <w:tcW w:w="2808" w:type="dxa"/>
            <w:vAlign w:val="center"/>
            <w:vMerge w:val="continue"/>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r>
      <w:tr>
        <w:trPr>
          <w:trHeight w:val="85"/>
        </w:trPr>
        <w:tc>
          <w:tcPr>
            <w:tcW w:w="417" w:type="dxa"/>
            <w:vAlign w:val="center"/>
            <w:vMerge w:val="continue"/>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c>
          <w:tcPr>
            <w:tcW w:w="426" w:type="dxa"/>
            <w:vAlign w:val="center"/>
            <w:vMerge w:val="continue"/>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c>
          <w:tcPr>
            <w:tcW w:w="1689" w:type="dxa"/>
            <w:vAlign w:val="center"/>
            <w:vMerge w:val="continue"/>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c>
          <w:tcPr>
            <w:tcW w:w="1269" w:type="dxa"/>
            <w:vAlign w:val="center"/>
            <w:textDirection w:val="lrTb"/>
            <w:noWrap w:val="false"/>
          </w:tcPr>
          <w:p>
            <w:pPr>
              <w:spacing w:line="276" w:lineRule="auto"/>
              <w:rPr>
                <w:rFonts w:ascii="宋体" w:hAnsi="宋体" w:cs="宋体"/>
                <w:color w:val="auto"/>
                <w:highlight w:val="none"/>
              </w:rPr>
            </w:pPr>
            <w:r>
              <w:rPr>
                <w:rFonts w:hint="eastAsia" w:ascii="宋体" w:hAnsi="宋体" w:cs="宋体"/>
                <w:color w:val="auto"/>
                <w:highlight w:val="none"/>
              </w:rPr>
              <w:t xml:space="preserve">功率因数（PF）</w:t>
            </w:r>
            <w:r/>
          </w:p>
        </w:tc>
        <w:tc>
          <w:tcPr>
            <w:tcW w:w="1687" w:type="dxa"/>
            <w:vAlign w:val="center"/>
            <w:textDirection w:val="lrTb"/>
            <w:noWrap w:val="false"/>
          </w:tcPr>
          <w:p>
            <w:pPr>
              <w:jc w:val="center"/>
              <w:spacing w:line="276" w:lineRule="auto"/>
              <w:rPr>
                <w:rFonts w:ascii="宋体" w:hAnsi="宋体" w:cs="宋体"/>
                <w:color w:val="auto"/>
                <w:highlight w:val="none"/>
              </w:rPr>
            </w:pPr>
            <w:r>
              <w:rPr>
                <w:rFonts w:hint="eastAsia" w:ascii="宋体" w:hAnsi="宋体" w:cs="宋体"/>
                <w:color w:val="auto"/>
                <w:highlight w:val="none"/>
              </w:rPr>
              <w:t xml:space="preserve">≥0.95</w:t>
            </w:r>
            <w:r/>
          </w:p>
        </w:tc>
        <w:tc>
          <w:tcPr>
            <w:tcW w:w="2808" w:type="dxa"/>
            <w:vAlign w:val="center"/>
            <w:vMerge w:val="continue"/>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r>
    </w:tbl>
    <w:p>
      <w:pPr>
        <w:rPr>
          <w:rFonts w:ascii="宋体" w:hAnsi="宋体" w:cs="宋体"/>
          <w:highlight w:val="none"/>
        </w:rPr>
      </w:pPr>
      <w:r>
        <w:rPr>
          <w:rFonts w:ascii="宋体" w:hAnsi="宋体" w:cs="宋体"/>
          <w:highlight w:val="none"/>
        </w:rPr>
      </w:r>
      <w:r/>
    </w:p>
    <w:p>
      <w:pPr>
        <w:ind w:firstLine="420"/>
        <w:rPr>
          <w:rFonts w:hint="eastAsia" w:ascii="宋体" w:hAnsi="宋体" w:cs="宋体"/>
          <w:i/>
          <w:iCs/>
          <w:color w:val="000000" w:themeColor="text1"/>
          <w:sz w:val="24"/>
          <w:szCs w:val="24"/>
          <w:highlight w:val="none"/>
          <w:u w:val="single"/>
          <w14:textFill>
            <w14:solidFill>
              <w14:schemeClr w14:val="tx1"/>
            </w14:solidFill>
          </w14:textFill>
        </w:rPr>
      </w:pPr>
      <w:r>
        <w:rPr>
          <w:rFonts w:hint="eastAsia" w:ascii="宋体" w:hAnsi="宋体" w:cs="宋体"/>
          <w:i/>
          <w:iCs/>
          <w:color w:val="000000" w:themeColor="text1"/>
          <w:sz w:val="24"/>
          <w:szCs w:val="24"/>
          <w:highlight w:val="none"/>
          <w:u w:val="single"/>
          <w14:textFill>
            <w14:solidFill>
              <w14:schemeClr w14:val="tx1"/>
            </w14:solidFill>
          </w14:textFill>
        </w:rPr>
        <w:t xml:space="preserve">桌面云防火墙一体机必须满足《绿色数据中心政府采购需求标准（试行）》（财库〔2023〕7号）关于网络防火墙采购需求标准。</w:t>
      </w:r>
      <w:r/>
    </w:p>
    <w:p>
      <w:pPr>
        <w:ind w:firstLine="420"/>
        <w:rPr>
          <w:rFonts w:hint="eastAsia" w:ascii="宋体" w:hAnsi="宋体" w:cs="宋体"/>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14:textFill>
            <w14:solidFill>
              <w14:schemeClr w14:val="tx1"/>
            </w14:solidFill>
          </w14:textFill>
        </w:rPr>
        <w:t xml:space="preserve">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0"/>
        <w:rPr>
          <w:rFonts w:ascii="宋体" w:hAnsi="宋体" w:cs="宋体"/>
          <w:highlight w:val="none"/>
        </w:rPr>
      </w:pPr>
      <w:r>
        <w:rPr>
          <w:rFonts w:hint="eastAsia" w:ascii="宋体" w:hAnsi="宋体" w:cs="宋体"/>
          <w:i/>
          <w:iCs/>
          <w:color w:val="000000" w:themeColor="text1"/>
          <w:sz w:val="24"/>
          <w:szCs w:val="24"/>
          <w:highlight w:val="none"/>
          <w:u w:val="single"/>
          <w14:textFill>
            <w14:solidFill>
              <w14:schemeClr w14:val="tx1"/>
            </w14:solidFill>
          </w14:textFill>
        </w:rPr>
        <w:t xml:space="preserve">桌面云防火墙一体机绿色数据中心需求标准</w:t>
      </w:r>
      <w:r>
        <w:rPr>
          <w:rFonts w:hint="eastAsia" w:ascii="宋体" w:hAnsi="宋体" w:cs="宋体"/>
          <w:b/>
          <w:bCs/>
          <w:i/>
          <w:iCs/>
          <w:color w:val="000000" w:themeColor="text1"/>
          <w:sz w:val="24"/>
          <w:szCs w:val="24"/>
          <w:highlight w:val="none"/>
          <w:u w:val="single"/>
          <w14:textFill>
            <w14:solidFill>
              <w14:schemeClr w14:val="tx1"/>
            </w14:solidFill>
          </w14:textFill>
        </w:rPr>
        <w:t xml:space="preserve">（网络防火墙设备）：</w:t>
      </w:r>
      <w:r/>
    </w:p>
    <w:tbl>
      <w:tblPr>
        <w:tblStyle w:val="990"/>
        <w:tblW w:w="85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6"/>
        <w:gridCol w:w="1220"/>
        <w:gridCol w:w="1843"/>
        <w:gridCol w:w="1418"/>
        <w:gridCol w:w="1405"/>
        <w:gridCol w:w="2138"/>
      </w:tblGrid>
      <w:tr>
        <w:trPr/>
        <w:tc>
          <w:tcPr>
            <w:tcW w:w="476" w:type="dxa"/>
            <w:vAlign w:val="center"/>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c>
          <w:tcPr>
            <w:gridSpan w:val="3"/>
            <w:shd w:val="clear" w:color="auto" w:fill="d8d8d8"/>
            <w:tcW w:w="4481" w:type="dxa"/>
            <w:vAlign w:val="center"/>
            <w:textDirection w:val="lrTb"/>
            <w:noWrap w:val="false"/>
          </w:tcPr>
          <w:p>
            <w:pPr>
              <w:jc w:val="center"/>
              <w:spacing w:line="276" w:lineRule="auto"/>
              <w:rPr>
                <w:rFonts w:ascii="宋体" w:hAnsi="宋体" w:cs="宋体"/>
                <w:color w:val="auto"/>
                <w:highlight w:val="none"/>
              </w:rPr>
            </w:pPr>
            <w:r>
              <w:rPr>
                <w:rFonts w:hint="eastAsia" w:ascii="宋体" w:hAnsi="宋体" w:cs="宋体"/>
                <w:color w:val="auto"/>
                <w:highlight w:val="none"/>
              </w:rPr>
              <w:t xml:space="preserve">指标</w:t>
            </w:r>
            <w:r/>
          </w:p>
        </w:tc>
        <w:tc>
          <w:tcPr>
            <w:shd w:val="clear" w:color="auto" w:fill="d8d8d8"/>
            <w:tcW w:w="1405" w:type="dxa"/>
            <w:vAlign w:val="center"/>
            <w:textDirection w:val="lrTb"/>
            <w:noWrap w:val="false"/>
          </w:tcPr>
          <w:p>
            <w:pPr>
              <w:jc w:val="center"/>
              <w:spacing w:line="276" w:lineRule="auto"/>
              <w:rPr>
                <w:rFonts w:ascii="宋体" w:hAnsi="宋体" w:cs="宋体"/>
                <w:color w:val="auto"/>
                <w:highlight w:val="none"/>
              </w:rPr>
            </w:pPr>
            <w:r>
              <w:rPr>
                <w:rFonts w:hint="eastAsia" w:ascii="宋体" w:hAnsi="宋体" w:cs="宋体"/>
                <w:color w:val="auto"/>
                <w:highlight w:val="none"/>
              </w:rPr>
              <w:t xml:space="preserve">限制值</w:t>
            </w:r>
            <w:r/>
          </w:p>
        </w:tc>
        <w:tc>
          <w:tcPr>
            <w:shd w:val="clear" w:color="auto" w:fill="d8d8d8"/>
            <w:tcW w:w="2138" w:type="dxa"/>
            <w:vAlign w:val="center"/>
            <w:textDirection w:val="lrTb"/>
            <w:noWrap w:val="false"/>
          </w:tcPr>
          <w:p>
            <w:pPr>
              <w:jc w:val="center"/>
              <w:spacing w:line="276" w:lineRule="auto"/>
              <w:rPr>
                <w:rFonts w:ascii="宋体" w:hAnsi="宋体" w:cs="宋体"/>
                <w:color w:val="auto"/>
                <w:highlight w:val="none"/>
              </w:rPr>
            </w:pPr>
            <w:r>
              <w:rPr>
                <w:rFonts w:hint="eastAsia" w:ascii="宋体" w:hAnsi="宋体" w:cs="宋体"/>
                <w:color w:val="auto"/>
                <w:highlight w:val="none"/>
              </w:rPr>
              <w:t xml:space="preserve">判定依据/方法</w:t>
            </w:r>
            <w:r/>
          </w:p>
        </w:tc>
      </w:tr>
      <w:tr>
        <w:trPr/>
        <w:tc>
          <w:tcPr>
            <w:tcW w:w="476" w:type="dxa"/>
            <w:vAlign w:val="center"/>
            <w:vMerge w:val="restart"/>
            <w:textDirection w:val="lrTb"/>
            <w:noWrap w:val="false"/>
          </w:tcPr>
          <w:p>
            <w:pPr>
              <w:spacing w:line="276" w:lineRule="auto"/>
              <w:rPr>
                <w:rFonts w:ascii="宋体" w:hAnsi="宋体" w:cs="宋体"/>
                <w:color w:val="auto"/>
                <w:highlight w:val="none"/>
              </w:rPr>
            </w:pPr>
            <w:r>
              <w:rPr>
                <w:rFonts w:hint="eastAsia" w:ascii="宋体" w:hAnsi="宋体" w:cs="宋体"/>
                <w:color w:val="auto"/>
                <w:highlight w:val="none"/>
              </w:rPr>
              <w:t xml:space="preserve">1</w:t>
            </w:r>
            <w:r/>
          </w:p>
        </w:tc>
        <w:tc>
          <w:tcPr>
            <w:tcW w:w="1220" w:type="dxa"/>
            <w:vAlign w:val="center"/>
            <w:vMerge w:val="restart"/>
            <w:textDirection w:val="lrTb"/>
            <w:noWrap w:val="false"/>
          </w:tcPr>
          <w:p>
            <w:pPr>
              <w:spacing w:line="276" w:lineRule="auto"/>
              <w:rPr>
                <w:rFonts w:ascii="宋体" w:hAnsi="宋体" w:cs="宋体"/>
                <w:color w:val="auto"/>
                <w:highlight w:val="none"/>
              </w:rPr>
            </w:pPr>
            <w:r>
              <w:rPr>
                <w:rFonts w:hint="eastAsia" w:ascii="宋体" w:hAnsi="宋体" w:cs="宋体"/>
                <w:color w:val="auto"/>
                <w:highlight w:val="none"/>
              </w:rPr>
              <w:t xml:space="preserve">固定端口防火墙产品轻量化指标要求</w:t>
            </w:r>
            <w:r/>
          </w:p>
        </w:tc>
        <w:tc>
          <w:tcPr>
            <w:tcW w:w="1843" w:type="dxa"/>
            <w:vAlign w:val="center"/>
            <w:vMerge w:val="restart"/>
            <w:textDirection w:val="lrTb"/>
            <w:noWrap w:val="false"/>
          </w:tcPr>
          <w:p>
            <w:pPr>
              <w:spacing w:line="276" w:lineRule="auto"/>
              <w:rPr>
                <w:rFonts w:ascii="宋体" w:hAnsi="宋体" w:cs="宋体"/>
                <w:color w:val="auto"/>
                <w:highlight w:val="none"/>
              </w:rPr>
            </w:pPr>
            <w:r>
              <w:rPr>
                <w:rFonts w:hint="eastAsia" w:ascii="宋体" w:hAnsi="宋体" w:cs="宋体"/>
                <w:color w:val="auto"/>
                <w:highlight w:val="none"/>
              </w:rPr>
              <w:t xml:space="preserve">吞吐量档位40G以上</w:t>
            </w:r>
            <w:r/>
          </w:p>
        </w:tc>
        <w:tc>
          <w:tcPr>
            <w:tcW w:w="1418" w:type="dxa"/>
            <w:vAlign w:val="center"/>
            <w:textDirection w:val="lrTb"/>
            <w:noWrap w:val="false"/>
          </w:tcPr>
          <w:p>
            <w:pPr>
              <w:spacing w:line="276" w:lineRule="auto"/>
              <w:rPr>
                <w:rFonts w:ascii="宋体" w:hAnsi="宋体" w:cs="宋体"/>
                <w:color w:val="auto"/>
                <w:highlight w:val="none"/>
              </w:rPr>
            </w:pPr>
            <w:r>
              <w:rPr>
                <w:rFonts w:hint="eastAsia" w:ascii="宋体" w:hAnsi="宋体" w:cs="宋体"/>
                <w:color w:val="auto"/>
                <w:highlight w:val="none"/>
              </w:rPr>
              <w:t xml:space="preserve">体积上限</w:t>
            </w:r>
            <w:r/>
          </w:p>
        </w:tc>
        <w:tc>
          <w:tcPr>
            <w:tcW w:w="1405" w:type="dxa"/>
            <w:vAlign w:val="center"/>
            <w:textDirection w:val="lrTb"/>
            <w:noWrap w:val="false"/>
          </w:tcPr>
          <w:p>
            <w:pPr>
              <w:jc w:val="center"/>
              <w:spacing w:line="276" w:lineRule="auto"/>
              <w:rPr>
                <w:rFonts w:ascii="宋体" w:hAnsi="宋体" w:cs="宋体"/>
                <w:color w:val="auto"/>
                <w:highlight w:val="none"/>
              </w:rPr>
            </w:pPr>
            <w:r>
              <w:rPr>
                <w:rFonts w:hint="eastAsia" w:ascii="宋体" w:hAnsi="宋体" w:cs="宋体"/>
                <w:color w:val="auto"/>
                <w:highlight w:val="none"/>
              </w:rPr>
              <w:t xml:space="preserve">36 dm</w:t>
            </w:r>
            <w:r>
              <w:rPr>
                <w:rFonts w:hint="eastAsia" w:ascii="宋体" w:hAnsi="宋体" w:cs="宋体"/>
                <w:color w:val="auto"/>
                <w:highlight w:val="none"/>
                <w:vertAlign w:val="superscript"/>
              </w:rPr>
              <w:t xml:space="preserve">3</w:t>
            </w:r>
            <w:r/>
          </w:p>
        </w:tc>
        <w:tc>
          <w:tcPr>
            <w:tcW w:w="2138" w:type="dxa"/>
            <w:vAlign w:val="center"/>
            <w:vMerge w:val="restart"/>
            <w:textDirection w:val="lrTb"/>
            <w:noWrap w:val="false"/>
          </w:tcPr>
          <w:p>
            <w:pPr>
              <w:spacing w:line="276" w:lineRule="auto"/>
              <w:rPr>
                <w:rFonts w:ascii="宋体" w:hAnsi="宋体" w:cs="宋体"/>
                <w:color w:val="auto"/>
                <w:highlight w:val="none"/>
              </w:rPr>
            </w:pPr>
            <w:r>
              <w:rPr>
                <w:rFonts w:hint="eastAsia" w:ascii="宋体" w:hAnsi="宋体" w:cs="宋体"/>
                <w:color w:val="auto"/>
                <w:highlight w:val="none"/>
              </w:rPr>
              <w:t xml:space="preserve">1．体积指产品长*高*深（不含挂耳、走线齿）</w:t>
            </w:r>
            <w:r/>
          </w:p>
          <w:p>
            <w:pPr>
              <w:spacing w:line="276" w:lineRule="auto"/>
              <w:rPr>
                <w:rFonts w:ascii="宋体" w:hAnsi="宋体" w:cs="宋体"/>
                <w:color w:val="auto"/>
                <w:highlight w:val="none"/>
              </w:rPr>
            </w:pPr>
            <w:r>
              <w:rPr>
                <w:rFonts w:hint="eastAsia" w:ascii="宋体" w:hAnsi="宋体" w:cs="宋体"/>
                <w:color w:val="auto"/>
                <w:highlight w:val="none"/>
              </w:rPr>
              <w:t xml:space="preserve">2．吞吐量采用IPV4协议类型</w:t>
            </w:r>
            <w:r/>
          </w:p>
          <w:p>
            <w:pPr>
              <w:spacing w:line="276" w:lineRule="auto"/>
              <w:rPr>
                <w:rFonts w:ascii="宋体" w:hAnsi="宋体" w:cs="宋体"/>
                <w:color w:val="auto"/>
                <w:highlight w:val="none"/>
              </w:rPr>
            </w:pPr>
            <w:r>
              <w:rPr>
                <w:rFonts w:hint="eastAsia" w:ascii="宋体" w:hAnsi="宋体" w:cs="宋体"/>
                <w:color w:val="auto"/>
                <w:highlight w:val="none"/>
              </w:rPr>
              <w:t xml:space="preserve">3. 附录F要求</w:t>
            </w:r>
            <w:r/>
          </w:p>
        </w:tc>
      </w:tr>
      <w:tr>
        <w:trPr/>
        <w:tc>
          <w:tcPr>
            <w:tcW w:w="476" w:type="dxa"/>
            <w:vAlign w:val="center"/>
            <w:vMerge w:val="continue"/>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c>
          <w:tcPr>
            <w:tcW w:w="1220" w:type="dxa"/>
            <w:vAlign w:val="center"/>
            <w:vMerge w:val="continue"/>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c>
          <w:tcPr>
            <w:tcW w:w="1843" w:type="dxa"/>
            <w:vAlign w:val="center"/>
            <w:vMerge w:val="continue"/>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c>
          <w:tcPr>
            <w:tcW w:w="1418" w:type="dxa"/>
            <w:vAlign w:val="center"/>
            <w:textDirection w:val="lrTb"/>
            <w:noWrap w:val="false"/>
          </w:tcPr>
          <w:p>
            <w:pPr>
              <w:spacing w:line="276" w:lineRule="auto"/>
              <w:rPr>
                <w:rFonts w:ascii="宋体" w:hAnsi="宋体" w:cs="宋体"/>
                <w:color w:val="auto"/>
                <w:highlight w:val="none"/>
              </w:rPr>
            </w:pPr>
            <w:r>
              <w:rPr>
                <w:rFonts w:hint="eastAsia" w:ascii="宋体" w:hAnsi="宋体" w:cs="宋体"/>
                <w:color w:val="auto"/>
                <w:highlight w:val="none"/>
              </w:rPr>
              <w:t xml:space="preserve">功耗/吞吐量</w:t>
            </w:r>
            <w:r/>
          </w:p>
        </w:tc>
        <w:tc>
          <w:tcPr>
            <w:tcW w:w="1405" w:type="dxa"/>
            <w:vAlign w:val="center"/>
            <w:textDirection w:val="lrTb"/>
            <w:noWrap w:val="false"/>
          </w:tcPr>
          <w:p>
            <w:pPr>
              <w:jc w:val="center"/>
              <w:spacing w:line="276" w:lineRule="auto"/>
              <w:rPr>
                <w:rFonts w:ascii="宋体" w:hAnsi="宋体" w:cs="宋体"/>
                <w:color w:val="auto"/>
                <w:highlight w:val="none"/>
              </w:rPr>
            </w:pPr>
            <w:r>
              <w:rPr>
                <w:rFonts w:hint="eastAsia" w:ascii="宋体" w:hAnsi="宋体" w:cs="宋体"/>
                <w:color w:val="auto"/>
                <w:highlight w:val="none"/>
              </w:rPr>
              <w:t xml:space="preserve">≤5 W/Gbps</w:t>
            </w:r>
            <w:r/>
          </w:p>
        </w:tc>
        <w:tc>
          <w:tcPr>
            <w:tcW w:w="2138" w:type="dxa"/>
            <w:vAlign w:val="center"/>
            <w:vMerge w:val="continue"/>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r>
      <w:tr>
        <w:trPr/>
        <w:tc>
          <w:tcPr>
            <w:tcW w:w="476" w:type="dxa"/>
            <w:vAlign w:val="center"/>
            <w:vMerge w:val="continue"/>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c>
          <w:tcPr>
            <w:tcW w:w="1220" w:type="dxa"/>
            <w:vAlign w:val="center"/>
            <w:vMerge w:val="continue"/>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c>
          <w:tcPr>
            <w:tcW w:w="1843" w:type="dxa"/>
            <w:vAlign w:val="center"/>
            <w:vMerge w:val="restart"/>
            <w:textDirection w:val="lrTb"/>
            <w:noWrap w:val="false"/>
          </w:tcPr>
          <w:p>
            <w:pPr>
              <w:spacing w:line="276" w:lineRule="auto"/>
              <w:rPr>
                <w:rFonts w:ascii="宋体" w:hAnsi="宋体" w:cs="宋体"/>
                <w:color w:val="auto"/>
                <w:highlight w:val="none"/>
              </w:rPr>
            </w:pPr>
            <w:r>
              <w:rPr>
                <w:rFonts w:hint="eastAsia" w:ascii="宋体" w:hAnsi="宋体" w:cs="宋体"/>
                <w:color w:val="auto"/>
                <w:highlight w:val="none"/>
              </w:rPr>
              <w:t xml:space="preserve">吞吐量档位30G以上~40G</w:t>
            </w:r>
            <w:r/>
          </w:p>
        </w:tc>
        <w:tc>
          <w:tcPr>
            <w:tcW w:w="1418" w:type="dxa"/>
            <w:vAlign w:val="center"/>
            <w:textDirection w:val="lrTb"/>
            <w:noWrap w:val="false"/>
          </w:tcPr>
          <w:p>
            <w:pPr>
              <w:spacing w:line="276" w:lineRule="auto"/>
              <w:rPr>
                <w:rFonts w:ascii="宋体" w:hAnsi="宋体" w:cs="宋体"/>
                <w:color w:val="auto"/>
                <w:highlight w:val="none"/>
              </w:rPr>
            </w:pPr>
            <w:r>
              <w:rPr>
                <w:rFonts w:hint="eastAsia" w:ascii="宋体" w:hAnsi="宋体" w:cs="宋体"/>
                <w:color w:val="auto"/>
                <w:highlight w:val="none"/>
              </w:rPr>
              <w:t xml:space="preserve">体积上限</w:t>
            </w:r>
            <w:r/>
          </w:p>
        </w:tc>
        <w:tc>
          <w:tcPr>
            <w:tcW w:w="1405" w:type="dxa"/>
            <w:vAlign w:val="center"/>
            <w:textDirection w:val="lrTb"/>
            <w:noWrap w:val="false"/>
          </w:tcPr>
          <w:p>
            <w:pPr>
              <w:jc w:val="center"/>
              <w:spacing w:line="276" w:lineRule="auto"/>
              <w:rPr>
                <w:rFonts w:ascii="宋体" w:hAnsi="宋体" w:cs="宋体"/>
                <w:color w:val="auto"/>
                <w:highlight w:val="none"/>
              </w:rPr>
            </w:pPr>
            <w:r>
              <w:rPr>
                <w:rFonts w:hint="eastAsia" w:ascii="宋体" w:hAnsi="宋体" w:cs="宋体"/>
                <w:color w:val="auto"/>
                <w:highlight w:val="none"/>
              </w:rPr>
              <w:t xml:space="preserve">18 dm</w:t>
            </w:r>
            <w:r>
              <w:rPr>
                <w:rFonts w:hint="eastAsia" w:ascii="宋体" w:hAnsi="宋体" w:cs="宋体"/>
                <w:color w:val="auto"/>
                <w:highlight w:val="none"/>
                <w:vertAlign w:val="superscript"/>
              </w:rPr>
              <w:t xml:space="preserve">3</w:t>
            </w:r>
            <w:r/>
          </w:p>
        </w:tc>
        <w:tc>
          <w:tcPr>
            <w:tcW w:w="2138" w:type="dxa"/>
            <w:vAlign w:val="center"/>
            <w:vMerge w:val="continue"/>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r>
      <w:tr>
        <w:trPr/>
        <w:tc>
          <w:tcPr>
            <w:tcW w:w="476" w:type="dxa"/>
            <w:vAlign w:val="center"/>
            <w:vMerge w:val="continue"/>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c>
          <w:tcPr>
            <w:tcW w:w="1220" w:type="dxa"/>
            <w:vAlign w:val="center"/>
            <w:vMerge w:val="continue"/>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c>
          <w:tcPr>
            <w:tcW w:w="1843" w:type="dxa"/>
            <w:vAlign w:val="center"/>
            <w:vMerge w:val="continue"/>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c>
          <w:tcPr>
            <w:tcW w:w="1418" w:type="dxa"/>
            <w:vAlign w:val="center"/>
            <w:textDirection w:val="lrTb"/>
            <w:noWrap w:val="false"/>
          </w:tcPr>
          <w:p>
            <w:pPr>
              <w:spacing w:line="276" w:lineRule="auto"/>
              <w:rPr>
                <w:rFonts w:ascii="宋体" w:hAnsi="宋体" w:cs="宋体"/>
                <w:color w:val="auto"/>
                <w:highlight w:val="none"/>
              </w:rPr>
            </w:pPr>
            <w:r>
              <w:rPr>
                <w:rFonts w:hint="eastAsia" w:ascii="宋体" w:hAnsi="宋体" w:cs="宋体"/>
                <w:color w:val="auto"/>
                <w:highlight w:val="none"/>
              </w:rPr>
              <w:t xml:space="preserve">功耗/吞吐量</w:t>
            </w:r>
            <w:r/>
          </w:p>
        </w:tc>
        <w:tc>
          <w:tcPr>
            <w:tcW w:w="1405" w:type="dxa"/>
            <w:vAlign w:val="center"/>
            <w:textDirection w:val="lrTb"/>
            <w:noWrap w:val="false"/>
          </w:tcPr>
          <w:p>
            <w:pPr>
              <w:jc w:val="center"/>
              <w:spacing w:line="276" w:lineRule="auto"/>
              <w:rPr>
                <w:rFonts w:ascii="宋体" w:hAnsi="宋体" w:cs="宋体"/>
                <w:color w:val="auto"/>
                <w:highlight w:val="none"/>
              </w:rPr>
            </w:pPr>
            <w:r>
              <w:rPr>
                <w:rFonts w:hint="eastAsia" w:ascii="宋体" w:hAnsi="宋体" w:cs="宋体"/>
                <w:color w:val="auto"/>
                <w:highlight w:val="none"/>
              </w:rPr>
              <w:t xml:space="preserve">≤6 W/Gbps</w:t>
            </w:r>
            <w:r/>
          </w:p>
        </w:tc>
        <w:tc>
          <w:tcPr>
            <w:tcW w:w="2138" w:type="dxa"/>
            <w:vAlign w:val="center"/>
            <w:vMerge w:val="continue"/>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r>
      <w:tr>
        <w:trPr/>
        <w:tc>
          <w:tcPr>
            <w:tcW w:w="476" w:type="dxa"/>
            <w:vAlign w:val="center"/>
            <w:vMerge w:val="continue"/>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c>
          <w:tcPr>
            <w:tcW w:w="1220" w:type="dxa"/>
            <w:vAlign w:val="center"/>
            <w:vMerge w:val="continue"/>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c>
          <w:tcPr>
            <w:tcW w:w="1843" w:type="dxa"/>
            <w:vAlign w:val="center"/>
            <w:vMerge w:val="restart"/>
            <w:textDirection w:val="lrTb"/>
            <w:noWrap w:val="false"/>
          </w:tcPr>
          <w:p>
            <w:pPr>
              <w:spacing w:line="276" w:lineRule="auto"/>
              <w:rPr>
                <w:rFonts w:ascii="宋体" w:hAnsi="宋体" w:cs="宋体"/>
                <w:color w:val="auto"/>
                <w:highlight w:val="none"/>
              </w:rPr>
            </w:pPr>
            <w:r>
              <w:rPr>
                <w:rFonts w:hint="eastAsia" w:ascii="宋体" w:hAnsi="宋体" w:cs="宋体"/>
                <w:color w:val="auto"/>
                <w:highlight w:val="none"/>
              </w:rPr>
              <w:t xml:space="preserve">吞吐量档位20G以上~30G</w:t>
            </w:r>
            <w:r/>
          </w:p>
        </w:tc>
        <w:tc>
          <w:tcPr>
            <w:tcW w:w="1418" w:type="dxa"/>
            <w:vAlign w:val="center"/>
            <w:textDirection w:val="lrTb"/>
            <w:noWrap w:val="false"/>
          </w:tcPr>
          <w:p>
            <w:pPr>
              <w:spacing w:line="276" w:lineRule="auto"/>
              <w:rPr>
                <w:rFonts w:ascii="宋体" w:hAnsi="宋体" w:cs="宋体"/>
                <w:color w:val="auto"/>
                <w:highlight w:val="none"/>
              </w:rPr>
            </w:pPr>
            <w:r>
              <w:rPr>
                <w:rFonts w:hint="eastAsia" w:ascii="宋体" w:hAnsi="宋体" w:cs="宋体"/>
                <w:color w:val="auto"/>
                <w:highlight w:val="none"/>
              </w:rPr>
              <w:t xml:space="preserve">体积上限</w:t>
            </w:r>
            <w:r/>
          </w:p>
        </w:tc>
        <w:tc>
          <w:tcPr>
            <w:tcW w:w="1405" w:type="dxa"/>
            <w:vAlign w:val="center"/>
            <w:textDirection w:val="lrTb"/>
            <w:noWrap w:val="false"/>
          </w:tcPr>
          <w:p>
            <w:pPr>
              <w:jc w:val="center"/>
              <w:spacing w:line="276" w:lineRule="auto"/>
              <w:rPr>
                <w:rFonts w:ascii="宋体" w:hAnsi="宋体" w:cs="宋体"/>
                <w:color w:val="auto"/>
                <w:highlight w:val="none"/>
              </w:rPr>
            </w:pPr>
            <w:r>
              <w:rPr>
                <w:rFonts w:hint="eastAsia" w:ascii="宋体" w:hAnsi="宋体" w:cs="宋体"/>
                <w:color w:val="auto"/>
                <w:highlight w:val="none"/>
              </w:rPr>
              <w:t xml:space="preserve">18 dm</w:t>
            </w:r>
            <w:r>
              <w:rPr>
                <w:rFonts w:hint="eastAsia" w:ascii="宋体" w:hAnsi="宋体" w:cs="宋体"/>
                <w:color w:val="auto"/>
                <w:highlight w:val="none"/>
                <w:vertAlign w:val="superscript"/>
              </w:rPr>
              <w:t xml:space="preserve">3</w:t>
            </w:r>
            <w:r/>
          </w:p>
        </w:tc>
        <w:tc>
          <w:tcPr>
            <w:tcW w:w="2138" w:type="dxa"/>
            <w:vAlign w:val="center"/>
            <w:vMerge w:val="continue"/>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r>
      <w:tr>
        <w:trPr/>
        <w:tc>
          <w:tcPr>
            <w:tcW w:w="476" w:type="dxa"/>
            <w:vAlign w:val="center"/>
            <w:vMerge w:val="continue"/>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c>
          <w:tcPr>
            <w:tcW w:w="1220" w:type="dxa"/>
            <w:vAlign w:val="center"/>
            <w:vMerge w:val="continue"/>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c>
          <w:tcPr>
            <w:tcW w:w="1843" w:type="dxa"/>
            <w:vAlign w:val="center"/>
            <w:vMerge w:val="continue"/>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c>
          <w:tcPr>
            <w:tcW w:w="1418" w:type="dxa"/>
            <w:vAlign w:val="center"/>
            <w:textDirection w:val="lrTb"/>
            <w:noWrap w:val="false"/>
          </w:tcPr>
          <w:p>
            <w:pPr>
              <w:spacing w:line="276" w:lineRule="auto"/>
              <w:rPr>
                <w:rFonts w:ascii="宋体" w:hAnsi="宋体" w:cs="宋体"/>
                <w:color w:val="auto"/>
                <w:highlight w:val="none"/>
              </w:rPr>
            </w:pPr>
            <w:r>
              <w:rPr>
                <w:rFonts w:hint="eastAsia" w:ascii="宋体" w:hAnsi="宋体" w:cs="宋体"/>
                <w:color w:val="auto"/>
                <w:highlight w:val="none"/>
              </w:rPr>
              <w:t xml:space="preserve">功耗/吞吐量</w:t>
            </w:r>
            <w:r/>
          </w:p>
        </w:tc>
        <w:tc>
          <w:tcPr>
            <w:tcW w:w="1405" w:type="dxa"/>
            <w:vAlign w:val="center"/>
            <w:textDirection w:val="lrTb"/>
            <w:noWrap w:val="false"/>
          </w:tcPr>
          <w:p>
            <w:pPr>
              <w:jc w:val="center"/>
              <w:spacing w:line="276" w:lineRule="auto"/>
              <w:rPr>
                <w:rFonts w:ascii="宋体" w:hAnsi="宋体" w:cs="宋体"/>
                <w:color w:val="auto"/>
                <w:highlight w:val="none"/>
              </w:rPr>
            </w:pPr>
            <w:r>
              <w:rPr>
                <w:rFonts w:hint="eastAsia" w:ascii="宋体" w:hAnsi="宋体" w:cs="宋体"/>
                <w:color w:val="auto"/>
                <w:highlight w:val="none"/>
              </w:rPr>
              <w:t xml:space="preserve">≤16 W/Gbps</w:t>
            </w:r>
            <w:r/>
          </w:p>
        </w:tc>
        <w:tc>
          <w:tcPr>
            <w:tcW w:w="2138" w:type="dxa"/>
            <w:vAlign w:val="center"/>
            <w:vMerge w:val="continue"/>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r>
      <w:tr>
        <w:trPr/>
        <w:tc>
          <w:tcPr>
            <w:tcW w:w="476" w:type="dxa"/>
            <w:vAlign w:val="center"/>
            <w:vMerge w:val="continue"/>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c>
          <w:tcPr>
            <w:tcW w:w="1220" w:type="dxa"/>
            <w:vAlign w:val="center"/>
            <w:vMerge w:val="continue"/>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c>
          <w:tcPr>
            <w:tcW w:w="1843" w:type="dxa"/>
            <w:vAlign w:val="center"/>
            <w:vMerge w:val="restart"/>
            <w:textDirection w:val="lrTb"/>
            <w:noWrap w:val="false"/>
          </w:tcPr>
          <w:p>
            <w:pPr>
              <w:spacing w:line="276" w:lineRule="auto"/>
              <w:rPr>
                <w:rFonts w:ascii="宋体" w:hAnsi="宋体" w:cs="宋体"/>
                <w:color w:val="auto"/>
                <w:highlight w:val="none"/>
              </w:rPr>
            </w:pPr>
            <w:r>
              <w:rPr>
                <w:rFonts w:hint="eastAsia" w:ascii="宋体" w:hAnsi="宋体" w:cs="宋体"/>
                <w:color w:val="auto"/>
                <w:highlight w:val="none"/>
              </w:rPr>
              <w:t xml:space="preserve">吞吐量档位10G以上~20G</w:t>
            </w:r>
            <w:r/>
          </w:p>
        </w:tc>
        <w:tc>
          <w:tcPr>
            <w:tcW w:w="1418" w:type="dxa"/>
            <w:vAlign w:val="center"/>
            <w:textDirection w:val="lrTb"/>
            <w:noWrap w:val="false"/>
          </w:tcPr>
          <w:p>
            <w:pPr>
              <w:spacing w:line="276" w:lineRule="auto"/>
              <w:rPr>
                <w:rFonts w:ascii="宋体" w:hAnsi="宋体" w:cs="宋体"/>
                <w:color w:val="auto"/>
                <w:highlight w:val="none"/>
              </w:rPr>
            </w:pPr>
            <w:r>
              <w:rPr>
                <w:rFonts w:hint="eastAsia" w:ascii="宋体" w:hAnsi="宋体" w:cs="宋体"/>
                <w:color w:val="auto"/>
                <w:highlight w:val="none"/>
              </w:rPr>
              <w:t xml:space="preserve">体积上限</w:t>
            </w:r>
            <w:r/>
          </w:p>
        </w:tc>
        <w:tc>
          <w:tcPr>
            <w:tcW w:w="1405" w:type="dxa"/>
            <w:vAlign w:val="center"/>
            <w:textDirection w:val="lrTb"/>
            <w:noWrap w:val="false"/>
          </w:tcPr>
          <w:p>
            <w:pPr>
              <w:jc w:val="center"/>
              <w:spacing w:line="276" w:lineRule="auto"/>
              <w:rPr>
                <w:rFonts w:ascii="宋体" w:hAnsi="宋体" w:cs="宋体"/>
                <w:color w:val="auto"/>
                <w:highlight w:val="none"/>
              </w:rPr>
            </w:pPr>
            <w:r>
              <w:rPr>
                <w:rFonts w:hint="eastAsia" w:ascii="宋体" w:hAnsi="宋体" w:cs="宋体"/>
                <w:color w:val="auto"/>
                <w:highlight w:val="none"/>
              </w:rPr>
              <w:t xml:space="preserve">12 dm</w:t>
            </w:r>
            <w:r>
              <w:rPr>
                <w:rFonts w:hint="eastAsia" w:ascii="宋体" w:hAnsi="宋体" w:cs="宋体"/>
                <w:color w:val="auto"/>
                <w:highlight w:val="none"/>
                <w:vertAlign w:val="superscript"/>
              </w:rPr>
              <w:t xml:space="preserve">3</w:t>
            </w:r>
            <w:r/>
          </w:p>
        </w:tc>
        <w:tc>
          <w:tcPr>
            <w:tcW w:w="2138" w:type="dxa"/>
            <w:vAlign w:val="center"/>
            <w:vMerge w:val="continue"/>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r>
      <w:tr>
        <w:trPr>
          <w:trHeight w:val="336"/>
        </w:trPr>
        <w:tc>
          <w:tcPr>
            <w:tcW w:w="476" w:type="dxa"/>
            <w:vAlign w:val="center"/>
            <w:vMerge w:val="continue"/>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c>
          <w:tcPr>
            <w:tcW w:w="1220" w:type="dxa"/>
            <w:vAlign w:val="center"/>
            <w:vMerge w:val="continue"/>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c>
          <w:tcPr>
            <w:tcW w:w="1843" w:type="dxa"/>
            <w:vAlign w:val="center"/>
            <w:vMerge w:val="continue"/>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c>
          <w:tcPr>
            <w:tcW w:w="1418" w:type="dxa"/>
            <w:vAlign w:val="center"/>
            <w:textDirection w:val="lrTb"/>
            <w:noWrap w:val="false"/>
          </w:tcPr>
          <w:p>
            <w:pPr>
              <w:spacing w:line="276" w:lineRule="auto"/>
              <w:rPr>
                <w:rFonts w:ascii="宋体" w:hAnsi="宋体" w:cs="宋体"/>
                <w:color w:val="auto"/>
                <w:highlight w:val="none"/>
              </w:rPr>
            </w:pPr>
            <w:r>
              <w:rPr>
                <w:rFonts w:hint="eastAsia" w:ascii="宋体" w:hAnsi="宋体" w:cs="宋体"/>
                <w:color w:val="auto"/>
                <w:highlight w:val="none"/>
              </w:rPr>
              <w:t xml:space="preserve">功耗/吞吐量</w:t>
            </w:r>
            <w:r/>
          </w:p>
        </w:tc>
        <w:tc>
          <w:tcPr>
            <w:tcW w:w="1405" w:type="dxa"/>
            <w:vAlign w:val="center"/>
            <w:textDirection w:val="lrTb"/>
            <w:noWrap w:val="false"/>
          </w:tcPr>
          <w:p>
            <w:pPr>
              <w:jc w:val="center"/>
              <w:spacing w:line="276" w:lineRule="auto"/>
              <w:rPr>
                <w:rFonts w:ascii="宋体" w:hAnsi="宋体" w:cs="宋体"/>
                <w:color w:val="auto"/>
                <w:highlight w:val="none"/>
              </w:rPr>
            </w:pPr>
            <w:r>
              <w:rPr>
                <w:rFonts w:hint="eastAsia" w:ascii="宋体" w:hAnsi="宋体" w:cs="宋体"/>
                <w:color w:val="auto"/>
                <w:highlight w:val="none"/>
              </w:rPr>
              <w:t xml:space="preserve">≤23 W/Gbps</w:t>
            </w:r>
            <w:r/>
          </w:p>
        </w:tc>
        <w:tc>
          <w:tcPr>
            <w:tcW w:w="2138" w:type="dxa"/>
            <w:vAlign w:val="center"/>
            <w:vMerge w:val="continue"/>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r>
      <w:tr>
        <w:trPr/>
        <w:tc>
          <w:tcPr>
            <w:tcW w:w="476" w:type="dxa"/>
            <w:vAlign w:val="center"/>
            <w:vMerge w:val="continue"/>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c>
          <w:tcPr>
            <w:tcW w:w="1220" w:type="dxa"/>
            <w:vAlign w:val="center"/>
            <w:vMerge w:val="continue"/>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c>
          <w:tcPr>
            <w:tcW w:w="1843" w:type="dxa"/>
            <w:vAlign w:val="center"/>
            <w:vMerge w:val="restart"/>
            <w:textDirection w:val="lrTb"/>
            <w:noWrap w:val="false"/>
          </w:tcPr>
          <w:p>
            <w:pPr>
              <w:spacing w:line="276" w:lineRule="auto"/>
              <w:rPr>
                <w:rFonts w:ascii="宋体" w:hAnsi="宋体" w:cs="宋体"/>
                <w:color w:val="auto"/>
                <w:highlight w:val="none"/>
              </w:rPr>
            </w:pPr>
            <w:r>
              <w:rPr>
                <w:rFonts w:hint="eastAsia" w:ascii="宋体" w:hAnsi="宋体" w:cs="宋体"/>
                <w:color w:val="auto"/>
                <w:highlight w:val="none"/>
              </w:rPr>
              <w:t xml:space="preserve">吞吐量档位1G以上~10G</w:t>
            </w:r>
            <w:r/>
          </w:p>
        </w:tc>
        <w:tc>
          <w:tcPr>
            <w:tcW w:w="1418" w:type="dxa"/>
            <w:vAlign w:val="center"/>
            <w:textDirection w:val="lrTb"/>
            <w:noWrap w:val="false"/>
          </w:tcPr>
          <w:p>
            <w:pPr>
              <w:spacing w:line="276" w:lineRule="auto"/>
              <w:rPr>
                <w:rFonts w:ascii="宋体" w:hAnsi="宋体" w:cs="宋体"/>
                <w:color w:val="auto"/>
                <w:highlight w:val="none"/>
              </w:rPr>
            </w:pPr>
            <w:r>
              <w:rPr>
                <w:rFonts w:hint="eastAsia" w:ascii="宋体" w:hAnsi="宋体" w:cs="宋体"/>
                <w:color w:val="auto"/>
                <w:highlight w:val="none"/>
              </w:rPr>
              <w:t xml:space="preserve">体积上限</w:t>
            </w:r>
            <w:r/>
          </w:p>
        </w:tc>
        <w:tc>
          <w:tcPr>
            <w:tcW w:w="1405" w:type="dxa"/>
            <w:vAlign w:val="center"/>
            <w:textDirection w:val="lrTb"/>
            <w:noWrap w:val="false"/>
          </w:tcPr>
          <w:p>
            <w:pPr>
              <w:jc w:val="center"/>
              <w:spacing w:line="276" w:lineRule="auto"/>
              <w:rPr>
                <w:rFonts w:ascii="宋体" w:hAnsi="宋体" w:cs="宋体"/>
                <w:color w:val="auto"/>
                <w:highlight w:val="none"/>
              </w:rPr>
            </w:pPr>
            <w:r>
              <w:rPr>
                <w:rFonts w:hint="eastAsia" w:ascii="宋体" w:hAnsi="宋体" w:cs="宋体"/>
                <w:color w:val="auto"/>
                <w:highlight w:val="none"/>
              </w:rPr>
              <w:t xml:space="preserve">12 dm</w:t>
            </w:r>
            <w:r>
              <w:rPr>
                <w:rFonts w:hint="eastAsia" w:ascii="宋体" w:hAnsi="宋体" w:cs="宋体"/>
                <w:color w:val="auto"/>
                <w:highlight w:val="none"/>
                <w:vertAlign w:val="superscript"/>
              </w:rPr>
              <w:t xml:space="preserve">3</w:t>
            </w:r>
            <w:r/>
          </w:p>
        </w:tc>
        <w:tc>
          <w:tcPr>
            <w:tcW w:w="2138" w:type="dxa"/>
            <w:vAlign w:val="center"/>
            <w:vMerge w:val="continue"/>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r>
      <w:tr>
        <w:trPr/>
        <w:tc>
          <w:tcPr>
            <w:tcW w:w="476" w:type="dxa"/>
            <w:vAlign w:val="center"/>
            <w:vMerge w:val="continue"/>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c>
          <w:tcPr>
            <w:tcW w:w="1220" w:type="dxa"/>
            <w:vAlign w:val="center"/>
            <w:vMerge w:val="continue"/>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c>
          <w:tcPr>
            <w:tcW w:w="1843" w:type="dxa"/>
            <w:vAlign w:val="center"/>
            <w:vMerge w:val="continue"/>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c>
          <w:tcPr>
            <w:tcW w:w="1418" w:type="dxa"/>
            <w:vAlign w:val="center"/>
            <w:textDirection w:val="lrTb"/>
            <w:noWrap w:val="false"/>
          </w:tcPr>
          <w:p>
            <w:pPr>
              <w:spacing w:line="276" w:lineRule="auto"/>
              <w:rPr>
                <w:rFonts w:ascii="宋体" w:hAnsi="宋体" w:cs="宋体"/>
                <w:color w:val="auto"/>
                <w:highlight w:val="none"/>
              </w:rPr>
            </w:pPr>
            <w:r>
              <w:rPr>
                <w:rFonts w:hint="eastAsia" w:ascii="宋体" w:hAnsi="宋体" w:cs="宋体"/>
                <w:color w:val="auto"/>
                <w:highlight w:val="none"/>
              </w:rPr>
              <w:t xml:space="preserve">功耗/吞吐量</w:t>
            </w:r>
            <w:r/>
          </w:p>
        </w:tc>
        <w:tc>
          <w:tcPr>
            <w:tcW w:w="1405" w:type="dxa"/>
            <w:vAlign w:val="center"/>
            <w:textDirection w:val="lrTb"/>
            <w:noWrap w:val="false"/>
          </w:tcPr>
          <w:p>
            <w:pPr>
              <w:jc w:val="center"/>
              <w:spacing w:line="276" w:lineRule="auto"/>
              <w:rPr>
                <w:rFonts w:ascii="宋体" w:hAnsi="宋体" w:cs="宋体"/>
                <w:color w:val="auto"/>
                <w:highlight w:val="none"/>
              </w:rPr>
            </w:pPr>
            <w:r>
              <w:rPr>
                <w:rFonts w:hint="eastAsia" w:ascii="宋体" w:hAnsi="宋体" w:cs="宋体"/>
                <w:color w:val="auto"/>
                <w:highlight w:val="none"/>
              </w:rPr>
              <w:t xml:space="preserve">≤25 W/Gbps</w:t>
            </w:r>
            <w:r/>
          </w:p>
        </w:tc>
        <w:tc>
          <w:tcPr>
            <w:tcW w:w="2138" w:type="dxa"/>
            <w:vAlign w:val="center"/>
            <w:vMerge w:val="continue"/>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r>
      <w:tr>
        <w:trPr/>
        <w:tc>
          <w:tcPr>
            <w:tcW w:w="476" w:type="dxa"/>
            <w:vAlign w:val="center"/>
            <w:vMerge w:val="continue"/>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c>
          <w:tcPr>
            <w:tcW w:w="1220" w:type="dxa"/>
            <w:vAlign w:val="center"/>
            <w:vMerge w:val="continue"/>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c>
          <w:tcPr>
            <w:tcW w:w="1843" w:type="dxa"/>
            <w:vAlign w:val="center"/>
            <w:vMerge w:val="restart"/>
            <w:textDirection w:val="lrTb"/>
            <w:noWrap w:val="false"/>
          </w:tcPr>
          <w:p>
            <w:pPr>
              <w:spacing w:line="276" w:lineRule="auto"/>
              <w:rPr>
                <w:rFonts w:ascii="宋体" w:hAnsi="宋体" w:cs="宋体"/>
                <w:color w:val="auto"/>
                <w:highlight w:val="none"/>
              </w:rPr>
            </w:pPr>
            <w:r>
              <w:rPr>
                <w:rFonts w:hint="eastAsia" w:ascii="宋体" w:hAnsi="宋体" w:cs="宋体"/>
                <w:color w:val="auto"/>
                <w:highlight w:val="none"/>
              </w:rPr>
              <w:t xml:space="preserve">吞吐量档位1G及以下</w:t>
            </w:r>
            <w:r/>
          </w:p>
        </w:tc>
        <w:tc>
          <w:tcPr>
            <w:tcW w:w="1418" w:type="dxa"/>
            <w:vAlign w:val="center"/>
            <w:textDirection w:val="lrTb"/>
            <w:noWrap w:val="false"/>
          </w:tcPr>
          <w:p>
            <w:pPr>
              <w:spacing w:line="276" w:lineRule="auto"/>
              <w:rPr>
                <w:rFonts w:ascii="宋体" w:hAnsi="宋体" w:cs="宋体"/>
                <w:color w:val="auto"/>
                <w:highlight w:val="none"/>
              </w:rPr>
            </w:pPr>
            <w:r>
              <w:rPr>
                <w:rFonts w:hint="eastAsia" w:ascii="宋体" w:hAnsi="宋体" w:cs="宋体"/>
                <w:color w:val="auto"/>
                <w:highlight w:val="none"/>
              </w:rPr>
              <w:t xml:space="preserve">体积上限</w:t>
            </w:r>
            <w:r/>
          </w:p>
        </w:tc>
        <w:tc>
          <w:tcPr>
            <w:tcW w:w="1405" w:type="dxa"/>
            <w:vAlign w:val="center"/>
            <w:textDirection w:val="lrTb"/>
            <w:noWrap w:val="false"/>
          </w:tcPr>
          <w:p>
            <w:pPr>
              <w:jc w:val="center"/>
              <w:spacing w:line="276" w:lineRule="auto"/>
              <w:rPr>
                <w:rFonts w:ascii="宋体" w:hAnsi="宋体" w:cs="宋体"/>
                <w:color w:val="auto"/>
                <w:highlight w:val="none"/>
              </w:rPr>
            </w:pPr>
            <w:r>
              <w:rPr>
                <w:rFonts w:hint="eastAsia" w:ascii="宋体" w:hAnsi="宋体" w:cs="宋体"/>
                <w:color w:val="auto"/>
                <w:highlight w:val="none"/>
              </w:rPr>
              <w:t xml:space="preserve">10 dm</w:t>
            </w:r>
            <w:r>
              <w:rPr>
                <w:rFonts w:hint="eastAsia" w:ascii="宋体" w:hAnsi="宋体" w:cs="宋体"/>
                <w:color w:val="auto"/>
                <w:highlight w:val="none"/>
                <w:vertAlign w:val="superscript"/>
              </w:rPr>
              <w:t xml:space="preserve">3</w:t>
            </w:r>
            <w:r/>
          </w:p>
        </w:tc>
        <w:tc>
          <w:tcPr>
            <w:tcW w:w="2138" w:type="dxa"/>
            <w:vAlign w:val="center"/>
            <w:vMerge w:val="continue"/>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r>
      <w:tr>
        <w:trPr/>
        <w:tc>
          <w:tcPr>
            <w:tcW w:w="476" w:type="dxa"/>
            <w:vAlign w:val="center"/>
            <w:vMerge w:val="continue"/>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c>
          <w:tcPr>
            <w:tcW w:w="1220" w:type="dxa"/>
            <w:vAlign w:val="center"/>
            <w:vMerge w:val="continue"/>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c>
          <w:tcPr>
            <w:tcW w:w="1843" w:type="dxa"/>
            <w:vAlign w:val="center"/>
            <w:vMerge w:val="continue"/>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c>
          <w:tcPr>
            <w:tcW w:w="1418" w:type="dxa"/>
            <w:vAlign w:val="center"/>
            <w:textDirection w:val="lrTb"/>
            <w:noWrap w:val="false"/>
          </w:tcPr>
          <w:p>
            <w:pPr>
              <w:spacing w:line="276" w:lineRule="auto"/>
              <w:rPr>
                <w:rFonts w:ascii="宋体" w:hAnsi="宋体" w:cs="宋体"/>
                <w:color w:val="auto"/>
                <w:highlight w:val="none"/>
              </w:rPr>
            </w:pPr>
            <w:r>
              <w:rPr>
                <w:rFonts w:hint="eastAsia" w:ascii="宋体" w:hAnsi="宋体" w:cs="宋体"/>
                <w:color w:val="auto"/>
                <w:highlight w:val="none"/>
              </w:rPr>
              <w:t xml:space="preserve">功耗/吞吐量</w:t>
            </w:r>
            <w:r/>
          </w:p>
        </w:tc>
        <w:tc>
          <w:tcPr>
            <w:tcW w:w="1405" w:type="dxa"/>
            <w:vAlign w:val="center"/>
            <w:textDirection w:val="lrTb"/>
            <w:noWrap w:val="false"/>
          </w:tcPr>
          <w:p>
            <w:pPr>
              <w:jc w:val="center"/>
              <w:spacing w:line="276" w:lineRule="auto"/>
              <w:rPr>
                <w:rFonts w:ascii="宋体" w:hAnsi="宋体" w:cs="宋体"/>
                <w:color w:val="auto"/>
                <w:highlight w:val="none"/>
              </w:rPr>
            </w:pPr>
            <w:r>
              <w:rPr>
                <w:rFonts w:hint="eastAsia" w:ascii="宋体" w:hAnsi="宋体" w:cs="宋体"/>
                <w:color w:val="auto"/>
                <w:highlight w:val="none"/>
              </w:rPr>
              <w:t xml:space="preserve">≤65 W/Gbps</w:t>
            </w:r>
            <w:r/>
          </w:p>
        </w:tc>
        <w:tc>
          <w:tcPr>
            <w:tcW w:w="2138" w:type="dxa"/>
            <w:vAlign w:val="center"/>
            <w:vMerge w:val="continue"/>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r>
      <w:tr>
        <w:trPr/>
        <w:tc>
          <w:tcPr>
            <w:tcW w:w="476" w:type="dxa"/>
            <w:vAlign w:val="center"/>
            <w:textDirection w:val="lrTb"/>
            <w:noWrap w:val="false"/>
          </w:tcPr>
          <w:p>
            <w:pPr>
              <w:spacing w:line="276" w:lineRule="auto"/>
              <w:rPr>
                <w:rFonts w:ascii="宋体" w:hAnsi="宋体" w:cs="宋体"/>
                <w:color w:val="auto"/>
                <w:highlight w:val="none"/>
              </w:rPr>
            </w:pPr>
            <w:r>
              <w:rPr>
                <w:rFonts w:hint="eastAsia" w:ascii="宋体" w:hAnsi="宋体" w:cs="宋体"/>
                <w:color w:val="auto"/>
                <w:highlight w:val="none"/>
              </w:rPr>
              <w:t xml:space="preserve">2</w:t>
            </w:r>
            <w:r/>
          </w:p>
        </w:tc>
        <w:tc>
          <w:tcPr>
            <w:gridSpan w:val="2"/>
            <w:tcW w:w="3063" w:type="dxa"/>
            <w:vAlign w:val="center"/>
            <w:textDirection w:val="lrTb"/>
            <w:noWrap w:val="false"/>
          </w:tcPr>
          <w:p>
            <w:pPr>
              <w:spacing w:line="276" w:lineRule="auto"/>
              <w:rPr>
                <w:rFonts w:ascii="宋体" w:hAnsi="宋体" w:cs="宋体"/>
                <w:color w:val="auto"/>
                <w:highlight w:val="none"/>
              </w:rPr>
            </w:pPr>
            <w:r>
              <w:rPr>
                <w:rFonts w:hint="eastAsia" w:ascii="宋体" w:hAnsi="宋体" w:cs="宋体"/>
                <w:color w:val="auto"/>
                <w:highlight w:val="none"/>
              </w:rPr>
              <w:t xml:space="preserve">固定端口防火墙外部电源</w:t>
            </w:r>
            <w:r/>
          </w:p>
        </w:tc>
        <w:tc>
          <w:tcPr>
            <w:tcW w:w="1418" w:type="dxa"/>
            <w:vAlign w:val="center"/>
            <w:textDirection w:val="lrTb"/>
            <w:noWrap w:val="false"/>
          </w:tcPr>
          <w:p>
            <w:pPr>
              <w:spacing w:line="276" w:lineRule="auto"/>
              <w:rPr>
                <w:rFonts w:ascii="宋体" w:hAnsi="宋体" w:cs="宋体"/>
                <w:color w:val="auto"/>
                <w:highlight w:val="none"/>
              </w:rPr>
            </w:pPr>
            <w:r>
              <w:rPr>
                <w:rFonts w:hint="eastAsia" w:ascii="宋体" w:hAnsi="宋体" w:cs="宋体"/>
                <w:color w:val="auto"/>
                <w:highlight w:val="none"/>
              </w:rPr>
              <w:t xml:space="preserve">能耗</w:t>
            </w:r>
            <w:r/>
          </w:p>
        </w:tc>
        <w:tc>
          <w:tcPr>
            <w:tcW w:w="1405" w:type="dxa"/>
            <w:vAlign w:val="center"/>
            <w:textDirection w:val="lrTb"/>
            <w:noWrap w:val="false"/>
          </w:tcPr>
          <w:p>
            <w:pPr>
              <w:jc w:val="center"/>
              <w:spacing w:line="276" w:lineRule="auto"/>
              <w:rPr>
                <w:rFonts w:ascii="宋体" w:hAnsi="宋体" w:cs="宋体"/>
                <w:color w:val="auto"/>
                <w:highlight w:val="none"/>
              </w:rPr>
            </w:pPr>
            <w:r>
              <w:rPr>
                <w:rFonts w:hint="eastAsia" w:ascii="宋体" w:hAnsi="宋体" w:cs="宋体"/>
                <w:color w:val="auto"/>
                <w:highlight w:val="none"/>
              </w:rPr>
              <w:t xml:space="preserve">GB20943的节能评价值</w:t>
            </w:r>
            <w:r/>
          </w:p>
        </w:tc>
        <w:tc>
          <w:tcPr>
            <w:tcW w:w="2138" w:type="dxa"/>
            <w:vAlign w:val="center"/>
            <w:textDirection w:val="lrTb"/>
            <w:noWrap w:val="false"/>
          </w:tcPr>
          <w:p>
            <w:pPr>
              <w:spacing w:line="276" w:lineRule="auto"/>
              <w:rPr>
                <w:rFonts w:ascii="宋体" w:hAnsi="宋体" w:cs="宋体"/>
                <w:color w:val="auto"/>
                <w:highlight w:val="none"/>
              </w:rPr>
            </w:pPr>
            <w:r>
              <w:rPr>
                <w:rFonts w:hint="eastAsia" w:ascii="宋体" w:hAnsi="宋体" w:cs="宋体"/>
                <w:color w:val="auto"/>
                <w:szCs w:val="18"/>
                <w:highlight w:val="none"/>
              </w:rPr>
              <w:t xml:space="preserve">检测方法依据</w:t>
            </w:r>
            <w:r>
              <w:rPr>
                <w:rFonts w:hint="eastAsia" w:ascii="宋体" w:hAnsi="宋体" w:cs="宋体"/>
                <w:color w:val="auto"/>
                <w:highlight w:val="none"/>
              </w:rPr>
              <w:t xml:space="preserve">GB 20943</w:t>
            </w:r>
            <w:r>
              <w:rPr>
                <w:rFonts w:hint="eastAsia" w:ascii="宋体" w:hAnsi="宋体" w:cs="宋体"/>
                <w:color w:val="auto"/>
                <w:szCs w:val="18"/>
                <w:highlight w:val="none"/>
              </w:rPr>
              <w:t xml:space="preserve">要求执行</w:t>
            </w:r>
            <w:r/>
          </w:p>
        </w:tc>
      </w:tr>
      <w:tr>
        <w:trPr/>
        <w:tc>
          <w:tcPr>
            <w:tcW w:w="476" w:type="dxa"/>
            <w:vAlign w:val="center"/>
            <w:vMerge w:val="restart"/>
            <w:textDirection w:val="lrTb"/>
            <w:noWrap w:val="false"/>
          </w:tcPr>
          <w:p>
            <w:pPr>
              <w:spacing w:line="276" w:lineRule="auto"/>
              <w:rPr>
                <w:rFonts w:ascii="宋体" w:hAnsi="宋体" w:cs="宋体"/>
                <w:color w:val="auto"/>
                <w:highlight w:val="none"/>
              </w:rPr>
            </w:pPr>
            <w:r>
              <w:rPr>
                <w:rFonts w:hint="eastAsia" w:ascii="宋体" w:hAnsi="宋体" w:cs="宋体"/>
                <w:color w:val="auto"/>
                <w:highlight w:val="none"/>
              </w:rPr>
              <w:t xml:space="preserve">3</w:t>
            </w:r>
            <w:r/>
          </w:p>
        </w:tc>
        <w:tc>
          <w:tcPr>
            <w:gridSpan w:val="2"/>
            <w:tcW w:w="3063" w:type="dxa"/>
            <w:vAlign w:val="center"/>
            <w:vMerge w:val="restart"/>
            <w:textDirection w:val="lrTb"/>
            <w:noWrap w:val="false"/>
          </w:tcPr>
          <w:p>
            <w:pPr>
              <w:spacing w:line="276" w:lineRule="auto"/>
              <w:rPr>
                <w:rFonts w:ascii="宋体" w:hAnsi="宋体" w:cs="宋体"/>
                <w:color w:val="auto"/>
                <w:highlight w:val="none"/>
              </w:rPr>
            </w:pPr>
            <w:r>
              <w:rPr>
                <w:rFonts w:hint="eastAsia" w:ascii="宋体" w:hAnsi="宋体" w:cs="宋体"/>
                <w:color w:val="auto"/>
                <w:highlight w:val="none"/>
              </w:rPr>
              <w:t xml:space="preserve">内部电源输出效率</w:t>
            </w:r>
            <w:r/>
          </w:p>
        </w:tc>
        <w:tc>
          <w:tcPr>
            <w:tcW w:w="1418" w:type="dxa"/>
            <w:vAlign w:val="center"/>
            <w:textDirection w:val="lrTb"/>
            <w:noWrap w:val="false"/>
          </w:tcPr>
          <w:p>
            <w:pPr>
              <w:spacing w:line="276" w:lineRule="auto"/>
              <w:rPr>
                <w:rFonts w:ascii="宋体" w:hAnsi="宋体" w:cs="宋体"/>
                <w:color w:val="auto"/>
                <w:highlight w:val="none"/>
              </w:rPr>
            </w:pPr>
            <w:r>
              <w:rPr>
                <w:rFonts w:hint="eastAsia" w:ascii="宋体" w:hAnsi="宋体" w:cs="宋体"/>
                <w:color w:val="auto"/>
                <w:highlight w:val="none"/>
              </w:rPr>
              <w:t xml:space="preserve">20%负载</w:t>
            </w:r>
            <w:r/>
          </w:p>
        </w:tc>
        <w:tc>
          <w:tcPr>
            <w:tcW w:w="1405" w:type="dxa"/>
            <w:vAlign w:val="center"/>
            <w:textDirection w:val="lrTb"/>
            <w:noWrap w:val="false"/>
          </w:tcPr>
          <w:p>
            <w:pPr>
              <w:jc w:val="center"/>
              <w:spacing w:line="276" w:lineRule="auto"/>
              <w:rPr>
                <w:rFonts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rPr>
              <w:t xml:space="preserve">85%</w:t>
            </w:r>
            <w:r/>
          </w:p>
        </w:tc>
        <w:tc>
          <w:tcPr>
            <w:tcW w:w="2138" w:type="dxa"/>
            <w:vAlign w:val="center"/>
            <w:vMerge w:val="restart"/>
            <w:textDirection w:val="lrTb"/>
            <w:noWrap w:val="false"/>
          </w:tcPr>
          <w:p>
            <w:pPr>
              <w:spacing w:line="276" w:lineRule="auto"/>
              <w:rPr>
                <w:rFonts w:ascii="宋体" w:hAnsi="宋体" w:cs="宋体"/>
                <w:color w:val="auto"/>
                <w:highlight w:val="none"/>
              </w:rPr>
            </w:pPr>
            <w:r>
              <w:rPr>
                <w:rFonts w:hint="eastAsia" w:ascii="宋体" w:hAnsi="宋体" w:cs="宋体"/>
                <w:color w:val="auto"/>
                <w:szCs w:val="18"/>
                <w:highlight w:val="none"/>
              </w:rPr>
              <w:t xml:space="preserve">检测方法依据HJ 2507附录B要求执行</w:t>
            </w:r>
            <w:r/>
          </w:p>
        </w:tc>
      </w:tr>
      <w:tr>
        <w:trPr/>
        <w:tc>
          <w:tcPr>
            <w:tcW w:w="476" w:type="dxa"/>
            <w:vAlign w:val="center"/>
            <w:vMerge w:val="continue"/>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c>
          <w:tcPr>
            <w:gridSpan w:val="2"/>
            <w:tcW w:w="3063" w:type="dxa"/>
            <w:vAlign w:val="center"/>
            <w:vMerge w:val="continue"/>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c>
          <w:tcPr>
            <w:tcW w:w="1418" w:type="dxa"/>
            <w:vAlign w:val="center"/>
            <w:textDirection w:val="lrTb"/>
            <w:noWrap w:val="false"/>
          </w:tcPr>
          <w:p>
            <w:pPr>
              <w:spacing w:line="276" w:lineRule="auto"/>
              <w:rPr>
                <w:rFonts w:ascii="宋体" w:hAnsi="宋体" w:cs="宋体"/>
                <w:color w:val="auto"/>
                <w:highlight w:val="none"/>
              </w:rPr>
            </w:pPr>
            <w:r>
              <w:rPr>
                <w:rFonts w:hint="eastAsia" w:ascii="宋体" w:hAnsi="宋体" w:cs="宋体"/>
                <w:color w:val="auto"/>
                <w:highlight w:val="none"/>
              </w:rPr>
              <w:t xml:space="preserve">50%负载</w:t>
            </w:r>
            <w:r/>
          </w:p>
        </w:tc>
        <w:tc>
          <w:tcPr>
            <w:tcW w:w="1405" w:type="dxa"/>
            <w:vAlign w:val="center"/>
            <w:textDirection w:val="lrTb"/>
            <w:noWrap w:val="false"/>
          </w:tcPr>
          <w:p>
            <w:pPr>
              <w:jc w:val="center"/>
              <w:spacing w:line="276" w:lineRule="auto"/>
              <w:rPr>
                <w:rFonts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rPr>
              <w:t xml:space="preserve">89%</w:t>
            </w:r>
            <w:r/>
          </w:p>
        </w:tc>
        <w:tc>
          <w:tcPr>
            <w:tcW w:w="2138" w:type="dxa"/>
            <w:vAlign w:val="center"/>
            <w:vMerge w:val="continue"/>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r>
      <w:tr>
        <w:trPr/>
        <w:tc>
          <w:tcPr>
            <w:tcW w:w="476" w:type="dxa"/>
            <w:vAlign w:val="center"/>
            <w:vMerge w:val="continue"/>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c>
          <w:tcPr>
            <w:gridSpan w:val="2"/>
            <w:tcW w:w="3063" w:type="dxa"/>
            <w:vAlign w:val="center"/>
            <w:vMerge w:val="continue"/>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c>
          <w:tcPr>
            <w:tcW w:w="1418" w:type="dxa"/>
            <w:vAlign w:val="center"/>
            <w:textDirection w:val="lrTb"/>
            <w:noWrap w:val="false"/>
          </w:tcPr>
          <w:p>
            <w:pPr>
              <w:spacing w:line="276" w:lineRule="auto"/>
              <w:rPr>
                <w:rFonts w:ascii="宋体" w:hAnsi="宋体" w:cs="宋体"/>
                <w:color w:val="auto"/>
                <w:highlight w:val="none"/>
              </w:rPr>
            </w:pPr>
            <w:r>
              <w:rPr>
                <w:rFonts w:hint="eastAsia" w:ascii="宋体" w:hAnsi="宋体" w:cs="宋体"/>
                <w:color w:val="auto"/>
                <w:highlight w:val="none"/>
              </w:rPr>
              <w:t xml:space="preserve">100%负载</w:t>
            </w:r>
            <w:r/>
          </w:p>
        </w:tc>
        <w:tc>
          <w:tcPr>
            <w:tcW w:w="1405" w:type="dxa"/>
            <w:vAlign w:val="center"/>
            <w:textDirection w:val="lrTb"/>
            <w:noWrap w:val="false"/>
          </w:tcPr>
          <w:p>
            <w:pPr>
              <w:jc w:val="center"/>
              <w:spacing w:line="276" w:lineRule="auto"/>
              <w:rPr>
                <w:rFonts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rPr>
              <w:t xml:space="preserve">85%</w:t>
            </w:r>
            <w:r/>
          </w:p>
        </w:tc>
        <w:tc>
          <w:tcPr>
            <w:tcW w:w="2138" w:type="dxa"/>
            <w:vAlign w:val="center"/>
            <w:vMerge w:val="continue"/>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r>
      <w:tr>
        <w:trPr/>
        <w:tc>
          <w:tcPr>
            <w:tcW w:w="476" w:type="dxa"/>
            <w:vAlign w:val="center"/>
            <w:textDirection w:val="lrTb"/>
            <w:noWrap w:val="false"/>
          </w:tcPr>
          <w:p>
            <w:pPr>
              <w:pStyle w:val="1003"/>
              <w:ind w:left="0"/>
              <w:spacing w:line="276" w:lineRule="auto"/>
              <w:rPr>
                <w:rFonts w:ascii="宋体" w:hAnsi="宋体" w:cs="宋体"/>
                <w:color w:val="auto"/>
                <w:highlight w:val="none"/>
              </w:rPr>
            </w:pPr>
            <w:r>
              <w:rPr>
                <w:rFonts w:hint="eastAsia" w:ascii="宋体" w:hAnsi="宋体" w:cs="宋体"/>
                <w:color w:val="auto"/>
                <w:highlight w:val="none"/>
              </w:rPr>
              <w:t xml:space="preserve">4</w:t>
            </w:r>
            <w:r/>
          </w:p>
        </w:tc>
        <w:tc>
          <w:tcPr>
            <w:gridSpan w:val="3"/>
            <w:tcW w:w="4481" w:type="dxa"/>
            <w:vAlign w:val="center"/>
            <w:textDirection w:val="lrTb"/>
            <w:noWrap w:val="false"/>
          </w:tcPr>
          <w:p>
            <w:pPr>
              <w:pStyle w:val="1003"/>
              <w:ind w:left="0"/>
              <w:spacing w:line="276" w:lineRule="auto"/>
              <w:rPr>
                <w:rFonts w:ascii="宋体" w:hAnsi="宋体" w:cs="宋体"/>
                <w:color w:val="auto"/>
                <w:highlight w:val="none"/>
              </w:rPr>
            </w:pPr>
            <w:r>
              <w:rPr>
                <w:rFonts w:hint="eastAsia" w:ascii="宋体" w:hAnsi="宋体" w:cs="宋体"/>
                <w:color w:val="auto"/>
                <w:highlight w:val="none"/>
              </w:rPr>
              <w:t xml:space="preserve">单路电源最低功率因数(50%负载下的)     </w:t>
            </w:r>
            <w:r/>
          </w:p>
        </w:tc>
        <w:tc>
          <w:tcPr>
            <w:tcW w:w="1405" w:type="dxa"/>
            <w:vAlign w:val="center"/>
            <w:textDirection w:val="lrTb"/>
            <w:noWrap w:val="false"/>
          </w:tcPr>
          <w:p>
            <w:pPr>
              <w:jc w:val="center"/>
              <w:spacing w:line="276" w:lineRule="auto"/>
              <w:rPr>
                <w:rFonts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rPr>
              <w:t xml:space="preserve">0.90</w:t>
            </w:r>
            <w:r/>
          </w:p>
        </w:tc>
        <w:tc>
          <w:tcPr>
            <w:tcW w:w="2138" w:type="dxa"/>
            <w:vAlign w:val="center"/>
            <w:vMerge w:val="continue"/>
            <w:textDirection w:val="lrTb"/>
            <w:noWrap w:val="false"/>
          </w:tcPr>
          <w:p>
            <w:pPr>
              <w:spacing w:line="276" w:lineRule="auto"/>
              <w:rPr>
                <w:rFonts w:ascii="宋体" w:hAnsi="宋体" w:cs="宋体"/>
                <w:color w:val="auto"/>
                <w:highlight w:val="none"/>
              </w:rPr>
            </w:pPr>
            <w:r>
              <w:rPr>
                <w:rFonts w:ascii="宋体" w:hAnsi="宋体" w:cs="宋体"/>
                <w:color w:val="auto"/>
                <w:highlight w:val="none"/>
              </w:rPr>
            </w:r>
            <w:r/>
          </w:p>
        </w:tc>
      </w:tr>
      <w:tr>
        <w:trPr>
          <w:trHeight w:val="358"/>
        </w:trPr>
        <w:tc>
          <w:tcPr>
            <w:tcW w:w="476" w:type="dxa"/>
            <w:vAlign w:val="center"/>
            <w:textDirection w:val="lrTb"/>
            <w:noWrap w:val="false"/>
          </w:tcPr>
          <w:p>
            <w:pPr>
              <w:pStyle w:val="1003"/>
              <w:ind w:left="0"/>
              <w:spacing w:line="276" w:lineRule="auto"/>
              <w:rPr>
                <w:rFonts w:ascii="宋体" w:hAnsi="宋体" w:cs="宋体"/>
                <w:color w:val="auto"/>
                <w:highlight w:val="none"/>
              </w:rPr>
            </w:pPr>
            <w:r>
              <w:rPr>
                <w:rFonts w:hint="eastAsia" w:ascii="宋体" w:hAnsi="宋体" w:cs="宋体"/>
                <w:color w:val="auto"/>
                <w:highlight w:val="none"/>
              </w:rPr>
              <w:t xml:space="preserve">5</w:t>
            </w:r>
            <w:r/>
          </w:p>
        </w:tc>
        <w:tc>
          <w:tcPr>
            <w:gridSpan w:val="2"/>
            <w:tcW w:w="3063" w:type="dxa"/>
            <w:vAlign w:val="center"/>
            <w:textDirection w:val="lrTb"/>
            <w:noWrap w:val="false"/>
          </w:tcPr>
          <w:p>
            <w:pPr>
              <w:pStyle w:val="1003"/>
              <w:ind w:left="0"/>
              <w:spacing w:line="276" w:lineRule="auto"/>
              <w:rPr>
                <w:rFonts w:ascii="宋体" w:hAnsi="宋体" w:cs="宋体"/>
                <w:color w:val="auto"/>
                <w:highlight w:val="none"/>
              </w:rPr>
            </w:pPr>
            <w:r>
              <w:rPr>
                <w:rFonts w:hint="eastAsia" w:ascii="宋体" w:hAnsi="宋体" w:cs="宋体"/>
                <w:color w:val="auto"/>
                <w:highlight w:val="none"/>
              </w:rPr>
              <w:t xml:space="preserve">噪声发射</w:t>
            </w:r>
            <w:r/>
          </w:p>
        </w:tc>
        <w:tc>
          <w:tcPr>
            <w:tcW w:w="1418" w:type="dxa"/>
            <w:vAlign w:val="center"/>
            <w:textDirection w:val="lrTb"/>
            <w:noWrap w:val="false"/>
          </w:tcPr>
          <w:p>
            <w:pPr>
              <w:pStyle w:val="1003"/>
              <w:ind w:left="0" w:right="153"/>
              <w:spacing w:line="276" w:lineRule="auto"/>
              <w:rPr>
                <w:rFonts w:ascii="宋体" w:hAnsi="宋体" w:cs="宋体"/>
                <w:color w:val="auto"/>
                <w:highlight w:val="none"/>
              </w:rPr>
            </w:pPr>
            <w:r>
              <w:rPr>
                <w:rFonts w:hint="eastAsia" w:ascii="宋体" w:hAnsi="宋体" w:cs="宋体"/>
                <w:color w:val="auto"/>
                <w:highlight w:val="none"/>
              </w:rPr>
              <w:t xml:space="preserve">有人值守</w:t>
            </w:r>
            <w:r/>
          </w:p>
        </w:tc>
        <w:tc>
          <w:tcPr>
            <w:tcW w:w="1405" w:type="dxa"/>
            <w:vAlign w:val="center"/>
            <w:textDirection w:val="lrTb"/>
            <w:noWrap w:val="false"/>
          </w:tcPr>
          <w:p>
            <w:pPr>
              <w:pStyle w:val="1003"/>
              <w:ind w:left="0" w:right="153"/>
              <w:jc w:val="center"/>
              <w:spacing w:line="276" w:lineRule="auto"/>
              <w:rPr>
                <w:rFonts w:ascii="宋体" w:hAnsi="宋体" w:cs="宋体"/>
                <w:color w:val="auto"/>
                <w:highlight w:val="none"/>
              </w:rPr>
            </w:pPr>
            <w:r>
              <w:rPr>
                <w:rFonts w:hint="eastAsia" w:ascii="宋体" w:hAnsi="宋体" w:cs="宋体"/>
                <w:color w:val="auto"/>
                <w:highlight w:val="none"/>
              </w:rPr>
              <w:t xml:space="preserve">≤7.6 Bels</w:t>
            </w:r>
            <w:r/>
          </w:p>
        </w:tc>
        <w:tc>
          <w:tcPr>
            <w:tcW w:w="2138" w:type="dxa"/>
            <w:vAlign w:val="center"/>
            <w:textDirection w:val="lrTb"/>
            <w:noWrap w:val="false"/>
          </w:tcPr>
          <w:p>
            <w:pPr>
              <w:spacing w:line="276" w:lineRule="auto"/>
              <w:rPr>
                <w:rFonts w:ascii="宋体" w:hAnsi="宋体" w:cs="宋体"/>
                <w:color w:val="auto"/>
                <w:highlight w:val="none"/>
              </w:rPr>
            </w:pPr>
            <w:r>
              <w:rPr>
                <w:rFonts w:hint="eastAsia" w:ascii="宋体" w:hAnsi="宋体" w:cs="宋体"/>
                <w:color w:val="auto"/>
                <w:highlight w:val="none"/>
              </w:rPr>
              <w:t xml:space="preserve">检测方法依据YD/T 1816要求执行</w:t>
            </w:r>
            <w:r/>
          </w:p>
        </w:tc>
      </w:tr>
    </w:tbl>
    <w:p>
      <w:pPr>
        <w:pStyle w:val="987"/>
        <w:rPr>
          <w:rFonts w:hint="eastAsia"/>
          <w:sz w:val="24"/>
          <w:szCs w:val="24"/>
          <w:highlight w:val="none"/>
        </w:rPr>
      </w:pPr>
      <w:r>
        <w:rPr>
          <w:rFonts w:hint="eastAsia"/>
          <w:sz w:val="24"/>
          <w:szCs w:val="24"/>
          <w:highlight w:val="none"/>
        </w:rPr>
        <w:t xml:space="preserve">2.2.1桌面云一体机（含授权）技术指标要求（4台）</w:t>
      </w:r>
      <w:r/>
    </w:p>
    <w:p>
      <w:pPr>
        <w:numPr>
          <w:ilvl w:val="0"/>
          <w:numId w:val="3"/>
        </w:numPr>
        <w:ind w:firstLine="480"/>
        <w:jc w:val="left"/>
        <w:spacing w:line="440" w:lineRule="exact"/>
        <w:rPr>
          <w:rFonts w:ascii="宋体" w:hAnsi="宋体" w:cs="宋体"/>
          <w:i/>
          <w:iCs/>
          <w:color w:val="000000"/>
          <w:sz w:val="24"/>
          <w:szCs w:val="24"/>
          <w:highlight w:val="none"/>
          <w:u w:val="single"/>
          <w:lang w:bidi="ar"/>
        </w:rPr>
      </w:pPr>
      <w:r>
        <w:rPr>
          <w:rFonts w:hint="eastAsia" w:ascii="宋体" w:hAnsi="宋体" w:cs="宋体"/>
          <w:i/>
          <w:iCs/>
          <w:color w:val="000000"/>
          <w:sz w:val="24"/>
          <w:szCs w:val="24"/>
          <w:highlight w:val="none"/>
          <w:u w:val="single"/>
          <w:lang w:bidi="ar"/>
        </w:rPr>
        <w:t xml:space="preserve">提供4台服务器集群不少于100套接入授权，8套超融合软件，1套桌面运维管理平台，且投标产品需为软硬件一体机产品。</w:t>
      </w:r>
      <w:r/>
    </w:p>
    <w:p>
      <w:pPr>
        <w:numPr>
          <w:ilvl w:val="0"/>
          <w:numId w:val="3"/>
        </w:numPr>
        <w:ind w:firstLine="480"/>
        <w:jc w:val="left"/>
        <w:spacing w:line="440" w:lineRule="exact"/>
        <w:rPr>
          <w:rFonts w:ascii="宋体" w:hAnsi="宋体" w:cs="宋体"/>
          <w:i/>
          <w:iCs/>
          <w:color w:val="000000"/>
          <w:sz w:val="24"/>
          <w:szCs w:val="24"/>
          <w:highlight w:val="none"/>
          <w:u w:val="single"/>
          <w:lang w:bidi="ar"/>
        </w:rPr>
      </w:pPr>
      <w:r>
        <w:rPr>
          <w:rFonts w:hint="eastAsia" w:ascii="宋体" w:hAnsi="宋体" w:cs="宋体"/>
          <w:i/>
          <w:iCs/>
          <w:color w:val="000000"/>
          <w:sz w:val="24"/>
          <w:szCs w:val="24"/>
          <w:highlight w:val="none"/>
          <w:u w:val="single"/>
          <w:lang w:bidi="ar"/>
        </w:rPr>
        <w:t xml:space="preserve">单台硬件参数：2U，采用国产化CPU，CPU≥2颗，CPU主频≥ 2.9GHz，单颗CPU线程数≥32，内存≥8*32GB DDR5 5600，系统盘≥2*480GB SATA，缓存盘≥2* 960G SSD，数据盘≥4*6T HDD，标配盘位数≥12，冗余电源，接口≥4千兆电口+2万兆光口（配齐光模块和光纤线）。</w:t>
      </w:r>
      <w:r/>
    </w:p>
    <w:p>
      <w:pPr>
        <w:numPr>
          <w:ilvl w:val="0"/>
          <w:numId w:val="3"/>
        </w:numPr>
        <w:ind w:firstLine="480"/>
        <w:jc w:val="left"/>
        <w:spacing w:line="440" w:lineRule="exact"/>
        <w:rPr>
          <w:rFonts w:ascii="宋体" w:hAnsi="宋体" w:cs="宋体"/>
          <w:i/>
          <w:iCs/>
          <w:sz w:val="24"/>
          <w:szCs w:val="24"/>
          <w:highlight w:val="none"/>
          <w:u w:val="single"/>
          <w:lang w:bidi="ar"/>
        </w:rPr>
      </w:pPr>
      <w:r>
        <w:rPr>
          <w:rFonts w:hint="eastAsia" w:ascii="宋体" w:hAnsi="宋体" w:cs="宋体"/>
          <w:i/>
          <w:iCs/>
          <w:sz w:val="24"/>
          <w:szCs w:val="24"/>
          <w:highlight w:val="none"/>
          <w:u w:val="single"/>
          <w:lang w:bidi="ar"/>
        </w:rPr>
        <w:t xml:space="preserve">非X86架构，国产化桌面云系统的底层操作系统为符合安全可靠测评要求国产化操作系统。</w:t>
      </w:r>
      <w:r/>
    </w:p>
    <w:p>
      <w:pPr>
        <w:numPr>
          <w:ilvl w:val="0"/>
          <w:numId w:val="3"/>
        </w:numPr>
        <w:ind w:firstLine="480"/>
        <w:jc w:val="left"/>
        <w:spacing w:line="440" w:lineRule="exac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包含云计算管理平台、计算虚拟化、存储虚拟化授权的终身授权，并支持扩展同品牌网络虚拟化、安全虚拟化和持续数据保护模块。</w:t>
      </w:r>
      <w:r/>
    </w:p>
    <w:p>
      <w:pPr>
        <w:numPr>
          <w:ilvl w:val="0"/>
          <w:numId w:val="3"/>
        </w:numPr>
        <w:ind w:firstLine="480"/>
        <w:jc w:val="left"/>
        <w:spacing w:line="440" w:lineRule="exac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▲需为每个虚拟机配套微隔离系统或相关产品用于虚拟化环境内的东西向流量隔离。且可在虚拟化管理平台可配置基于用户的ACL策略访问控制。（需提供</w:t>
      </w:r>
      <w:r>
        <w:rPr>
          <w:rFonts w:hint="eastAsia" w:ascii="宋体" w:hAnsi="宋体" w:cs="宋体"/>
          <w:color w:val="auto"/>
          <w:sz w:val="24"/>
          <w:szCs w:val="24"/>
          <w:highlight w:val="none"/>
          <w:lang w:val="en-US" w:eastAsia="zh-CN" w:bidi="ar"/>
        </w:rPr>
        <w:t xml:space="preserve">产品功能截图</w:t>
      </w:r>
      <w:r>
        <w:rPr>
          <w:rFonts w:hint="eastAsia" w:ascii="宋体" w:hAnsi="宋体" w:cs="宋体"/>
          <w:color w:val="auto"/>
          <w:sz w:val="24"/>
          <w:szCs w:val="24"/>
          <w:highlight w:val="none"/>
          <w:lang w:bidi="ar"/>
        </w:rPr>
        <w:t xml:space="preserve">）</w:t>
      </w:r>
      <w:r/>
    </w:p>
    <w:p>
      <w:pPr>
        <w:numPr>
          <w:ilvl w:val="0"/>
          <w:numId w:val="3"/>
        </w:numPr>
        <w:ind w:firstLine="480"/>
        <w:jc w:val="left"/>
        <w:spacing w:line="440" w:lineRule="exac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为提升云桌面中业务软件的使用体验，可针对当下使用频率较高的软件做进程加速，管理员也可自定义需加速应用进程名，以保障应用的流畅运行。</w:t>
      </w:r>
      <w:r/>
    </w:p>
    <w:p>
      <w:pPr>
        <w:numPr>
          <w:ilvl w:val="0"/>
          <w:numId w:val="3"/>
        </w:numPr>
        <w:ind w:firstLine="480"/>
        <w:jc w:val="left"/>
        <w:spacing w:line="440" w:lineRule="exac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支持就近打印配置，可以根据客户机对象或者终端ip对象关联打印机配置，用户通过终端登录桌面，自动匹配终端管理的打印机配置，实现就近打印。</w:t>
      </w:r>
      <w:r/>
    </w:p>
    <w:p>
      <w:pPr>
        <w:numPr>
          <w:ilvl w:val="0"/>
          <w:numId w:val="3"/>
        </w:numPr>
        <w:ind w:firstLine="480"/>
        <w:jc w:val="left"/>
        <w:spacing w:line="440" w:lineRule="exac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配备独立的运维管理软件，对服务器运行状况、软件安装情况、软件资源占用统计和业务软件识别，针对软件资源（含CPU、内存、使用人、安装目录和供应商）占用进行统计分析，如果消耗较高会提供告警；同时提供业务软件标识功能，管理员可以将特定软件标记为业务软件和非业务软件，用于管理员对组织软件安装和使用情况做分析。</w:t>
      </w:r>
      <w:r/>
    </w:p>
    <w:p>
      <w:pPr>
        <w:numPr>
          <w:ilvl w:val="0"/>
          <w:numId w:val="3"/>
        </w:numPr>
        <w:ind w:firstLine="480"/>
        <w:jc w:val="left"/>
        <w:spacing w:line="440" w:lineRule="exac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支持设置首次登录强制修改密码、定时修改密码、图形校验码和软键盘等密码安全策略，以保障认证密码安全性，避免越权访问行为。</w:t>
      </w:r>
      <w:r/>
    </w:p>
    <w:p>
      <w:pPr>
        <w:numPr>
          <w:ilvl w:val="0"/>
          <w:numId w:val="3"/>
        </w:numPr>
        <w:ind w:firstLine="480"/>
        <w:jc w:val="left"/>
        <w:spacing w:line="440" w:lineRule="exac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包含云计算管理平台、计算虚拟化、存储虚拟化授权的终身授权，并支持扩展同品牌网络虚拟化、安全虚拟化和持续数据保护模块。</w:t>
      </w:r>
      <w:r/>
    </w:p>
    <w:p>
      <w:pPr>
        <w:numPr>
          <w:ilvl w:val="0"/>
          <w:numId w:val="3"/>
        </w:numPr>
        <w:ind w:firstLine="480"/>
        <w:jc w:val="left"/>
        <w:spacing w:line="440" w:lineRule="exac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▲支持自助快照恢复，当用户自己误操作导致云桌面卡慢、蓝屏、死机或者中病毒的时候，用户通过导航条按钮，可以自助进行系统盘快照还原操作，支持瘦终端、PC客户端。（需提供第三方检测报告证明</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原件扫描上传</w:t>
      </w:r>
      <w:r>
        <w:rPr>
          <w:rFonts w:hint="eastAsia" w:ascii="宋体" w:hAnsi="宋体" w:cs="宋体"/>
          <w:color w:val="auto"/>
          <w:sz w:val="24"/>
          <w:szCs w:val="24"/>
          <w:highlight w:val="none"/>
          <w:lang w:bidi="ar"/>
        </w:rPr>
        <w:t xml:space="preserve">）</w:t>
      </w:r>
      <w:r/>
    </w:p>
    <w:p>
      <w:pPr>
        <w:numPr>
          <w:ilvl w:val="0"/>
          <w:numId w:val="3"/>
        </w:numPr>
        <w:ind w:firstLine="480"/>
        <w:jc w:val="left"/>
        <w:spacing w:line="440" w:lineRule="exac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为了满足用户安全性的需求，所投产品需满足，在不使用第三方产品的情况下，在虚拟化管理平台可配置基于ip、虚拟机、用户的ACL策略访问控制，以解决网络隔离配置的复杂性以及实现虚拟机直接的隔离安全。</w:t>
      </w:r>
      <w:r/>
    </w:p>
    <w:p>
      <w:pPr>
        <w:numPr>
          <w:ilvl w:val="0"/>
          <w:numId w:val="3"/>
        </w:numPr>
        <w:ind w:firstLine="480"/>
        <w:jc w:val="left"/>
        <w:spacing w:line="440" w:lineRule="exac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支持文件导出内容审计，开启文件安全导出后，虚拟机通过剪切板、PC设备和USB设备外发文件的操作将被禁止，用户可以使用虚拟机内部的文件导出工具实现文件外发，所有外发的文件内容都可以加密备份到数据中心，以备后续审计使用，可疑的导出行为会产生告警。（需提供产品第三方检测报告证明</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原件扫描上传</w:t>
      </w:r>
      <w:r>
        <w:rPr>
          <w:rFonts w:hint="eastAsia" w:ascii="宋体" w:hAnsi="宋体" w:cs="宋体"/>
          <w:color w:val="auto"/>
          <w:sz w:val="24"/>
          <w:szCs w:val="24"/>
          <w:highlight w:val="none"/>
          <w:lang w:bidi="ar"/>
        </w:rPr>
        <w:t xml:space="preserve">）</w:t>
      </w:r>
      <w:r/>
    </w:p>
    <w:p>
      <w:pPr>
        <w:numPr>
          <w:ilvl w:val="0"/>
          <w:numId w:val="3"/>
        </w:numPr>
        <w:ind w:firstLine="480"/>
        <w:jc w:val="left"/>
        <w:spacing w:line="440" w:lineRule="exac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支持在管理组件中内置应用管控技术，实现全方位云桌面管控，在禁止名单中可以通过配置规则禁止指定应用或进程在云桌面中运行；在允许名单中通过配置规则只允许规则中的应用或进程在云桌面中运行。（需提供第三方检测报告证明</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原件扫描上传</w:t>
      </w:r>
      <w:r>
        <w:rPr>
          <w:rFonts w:hint="eastAsia" w:ascii="宋体" w:hAnsi="宋体" w:cs="宋体"/>
          <w:color w:val="auto"/>
          <w:sz w:val="24"/>
          <w:szCs w:val="24"/>
          <w:highlight w:val="none"/>
          <w:lang w:bidi="ar"/>
        </w:rPr>
        <w:t xml:space="preserve">）</w:t>
      </w:r>
      <w:r/>
    </w:p>
    <w:p>
      <w:pPr>
        <w:numPr>
          <w:ilvl w:val="0"/>
          <w:numId w:val="3"/>
        </w:numPr>
        <w:ind w:firstLine="480"/>
        <w:jc w:val="left"/>
        <w:spacing w:line="440" w:lineRule="exac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运维平台需支持虚拟机、主机、虚拟化集群、应用程序资源监控与故障分析功能，能够基于对象进行健康状态评分，分析资源使用情况，如CPU、内存、磁盘IO等，云桌面虚拟机能够支持应用进程、服务运行状态、外设连接等使用情况分析并能够支持常见的Windows、统信UOS、麒麟KylinOS操作系统。</w:t>
      </w:r>
      <w:r/>
    </w:p>
    <w:p>
      <w:pPr>
        <w:numPr>
          <w:ilvl w:val="0"/>
          <w:numId w:val="3"/>
        </w:numPr>
        <w:ind w:firstLine="480"/>
        <w:jc w:val="left"/>
        <w:spacing w:line="440" w:lineRule="exac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具备应用知识图谱分析与排查能力，可基于内置深度学习模型输出应用体验评分，快速定位影响应用体验差的根因并能够给出应用体验优化处置建议，可以批量将处置方法推送到云桌面进行精准处理。</w:t>
      </w:r>
      <w:r/>
    </w:p>
    <w:p>
      <w:pPr>
        <w:numPr>
          <w:ilvl w:val="0"/>
          <w:numId w:val="3"/>
        </w:numPr>
        <w:ind w:firstLine="480"/>
        <w:jc w:val="left"/>
        <w:spacing w:line="440" w:lineRule="exac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支持SSD缓存加速，采用SSD+HDD混合模式，SSD用于缓存热点数据，HDD用于存储个人数据，SSD缓存命中率不低于60%，确保最优用户体验。</w:t>
      </w:r>
      <w:r/>
    </w:p>
    <w:p>
      <w:pPr>
        <w:numPr>
          <w:ilvl w:val="0"/>
          <w:numId w:val="3"/>
        </w:numPr>
        <w:ind w:firstLine="480"/>
        <w:jc w:val="left"/>
        <w:spacing w:line="440" w:lineRule="exac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支持虚拟机集中备份与恢复，可按需选择多个虚拟机或全部虚拟机备份至外置服务器（NAS、FTP、CIFS等），支持设置备份策略，实现全自动化备份。</w:t>
      </w:r>
      <w:r/>
    </w:p>
    <w:p>
      <w:pPr>
        <w:numPr>
          <w:ilvl w:val="0"/>
          <w:numId w:val="3"/>
        </w:numPr>
        <w:ind w:firstLine="480"/>
        <w:jc w:val="left"/>
        <w:spacing w:line="440" w:lineRule="exac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为便于管理员分析桌面云平台使用情况，输出云桌面运行报告，管理平台应支持用户接入时长统计，通过智能监控历史会话功能列表，查询当天或指定时间段的接入数据，快速了解用户接入状态及接入时长。</w:t>
      </w:r>
      <w:r/>
    </w:p>
    <w:p>
      <w:pPr>
        <w:numPr>
          <w:ilvl w:val="0"/>
          <w:numId w:val="3"/>
        </w:numPr>
        <w:ind w:firstLine="480"/>
        <w:jc w:val="left"/>
        <w:spacing w:line="440" w:lineRule="exac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为了快速满足用户对桌面资源的诉求，所投产品需支持用户可自助申请虚拟机配置变更，由管理员审核，管理员可以选择审批通过、修改申请配置后申请通过、驳回操作，审核通过资源自动加到用户虚拟机上。并且用户申请虚拟机配置变更可以直接指定给部门资产管理员审批，既符合规定又提高效率。（需提供产品功能截图）</w:t>
      </w:r>
      <w:r/>
    </w:p>
    <w:p>
      <w:pPr>
        <w:numPr>
          <w:ilvl w:val="0"/>
          <w:numId w:val="3"/>
        </w:numPr>
        <w:ind w:firstLine="480"/>
        <w:jc w:val="left"/>
        <w:spacing w:line="440" w:lineRule="exac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支持多种类型终端登录桌面云，包括PC台式机、笔记本（含Windows操作系统和MAC笔记本）、云终端（含ARM和X86）、移动终端（手机、平板）等设备接入访问虚拟桌面，终端操作系统支持Windows7/10/11、IOS、MAC OS、Android、Linux、统信UOS、麒麟Kylin OS等。</w:t>
      </w:r>
      <w:r/>
    </w:p>
    <w:p>
      <w:pPr>
        <w:numPr>
          <w:ilvl w:val="0"/>
          <w:numId w:val="3"/>
        </w:numPr>
        <w:ind w:firstLine="480"/>
        <w:jc w:val="left"/>
        <w:spacing w:line="440" w:lineRule="exac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为保证产品自主研发，所投国产化服务器虚拟化产品需通过第三方测试机构的源代码开源评估，且代码行级开源占比不得超过10%。</w:t>
      </w:r>
      <w:r/>
    </w:p>
    <w:p>
      <w:pPr>
        <w:numPr>
          <w:ilvl w:val="0"/>
          <w:numId w:val="3"/>
        </w:numPr>
        <w:ind w:firstLine="480"/>
        <w:jc w:val="left"/>
        <w:spacing w:line="440" w:lineRule="exact"/>
        <w:rPr>
          <w:rFonts w:ascii="宋体" w:hAnsi="宋体" w:cs="宋体"/>
          <w:color w:val="000000"/>
          <w:sz w:val="24"/>
          <w:szCs w:val="24"/>
          <w:highlight w:val="none"/>
          <w:lang w:bidi="ar"/>
        </w:rPr>
      </w:pPr>
      <w:r>
        <w:rPr>
          <w:rFonts w:hint="eastAsia" w:ascii="宋体" w:hAnsi="宋体" w:cs="宋体"/>
          <w:i/>
          <w:iCs/>
          <w:color w:val="000000" w:themeColor="text1"/>
          <w:sz w:val="24"/>
          <w:szCs w:val="24"/>
          <w:highlight w:val="none"/>
          <w:u w:val="single"/>
          <w14:textFill>
            <w14:solidFill>
              <w14:schemeClr w14:val="tx1"/>
            </w14:solidFill>
          </w14:textFill>
        </w:rPr>
        <w:t xml:space="preserve">提供三年原厂质保服务。</w:t>
      </w:r>
      <w:r/>
    </w:p>
    <w:p>
      <w:pPr>
        <w:pStyle w:val="987"/>
        <w:rPr>
          <w:highlight w:val="none"/>
        </w:rPr>
      </w:pPr>
      <w:r>
        <w:rPr>
          <w:rFonts w:hint="eastAsia"/>
          <w:sz w:val="24"/>
          <w:szCs w:val="24"/>
          <w:highlight w:val="none"/>
        </w:rPr>
        <w:t xml:space="preserve">2.2.2桌面云交换机技术指标要求（2台）</w:t>
      </w:r>
      <w:r/>
    </w:p>
    <w:p>
      <w:pPr>
        <w:numPr>
          <w:ilvl w:val="0"/>
          <w:numId w:val="4"/>
        </w:numPr>
        <w:ind w:firstLine="480"/>
        <w:jc w:val="left"/>
        <w:spacing w:line="440" w:lineRule="exact"/>
        <w:widowControl/>
        <w:rPr>
          <w:rFonts w:ascii="宋体" w:hAnsi="宋体" w:cs="宋体"/>
          <w:sz w:val="24"/>
          <w:szCs w:val="24"/>
          <w:highlight w:val="none"/>
          <w:u w:val="single"/>
          <w:lang w:bidi="ar"/>
        </w:rPr>
      </w:pPr>
      <w:r>
        <w:rPr>
          <w:rFonts w:hint="eastAsia" w:ascii="宋体" w:hAnsi="宋体" w:cs="宋体"/>
          <w:i/>
          <w:iCs/>
          <w:color w:val="000000"/>
          <w:sz w:val="24"/>
          <w:szCs w:val="24"/>
          <w:highlight w:val="none"/>
          <w:u w:val="single"/>
          <w:lang w:bidi="ar"/>
        </w:rPr>
        <w:t xml:space="preserve">交换容量≥2.5Tbps/25Tbps；包转发率≥1400Mpps。</w:t>
      </w:r>
      <w:r/>
    </w:p>
    <w:p>
      <w:pPr>
        <w:numPr>
          <w:ilvl w:val="0"/>
          <w:numId w:val="4"/>
        </w:numPr>
        <w:ind w:firstLine="480"/>
        <w:jc w:val="left"/>
        <w:spacing w:line="440" w:lineRule="exact"/>
        <w:widowControl/>
        <w:rPr>
          <w:rFonts w:ascii="宋体" w:hAnsi="宋体" w:cs="宋体"/>
          <w:sz w:val="24"/>
          <w:szCs w:val="24"/>
          <w:highlight w:val="none"/>
          <w:u w:val="single"/>
          <w:lang w:bidi="ar"/>
        </w:rPr>
      </w:pPr>
      <w:r>
        <w:rPr>
          <w:rFonts w:hint="eastAsia" w:ascii="宋体" w:hAnsi="宋体" w:cs="宋体"/>
          <w:i/>
          <w:iCs/>
          <w:color w:val="000000"/>
          <w:sz w:val="24"/>
          <w:szCs w:val="24"/>
          <w:highlight w:val="none"/>
          <w:u w:val="single"/>
          <w:lang w:bidi="ar"/>
        </w:rPr>
        <w:t xml:space="preserve">千兆电口≥16个；万兆SFP+光口≥8个；25G SFP28光口≥8个；40G QSFP+光口≥2个；Console口≥1个；Manage口≥1个。</w:t>
      </w:r>
      <w:r/>
    </w:p>
    <w:p>
      <w:pPr>
        <w:numPr>
          <w:ilvl w:val="0"/>
          <w:numId w:val="4"/>
        </w:numPr>
        <w:ind w:firstLine="480"/>
        <w:jc w:val="left"/>
        <w:spacing w:line="440" w:lineRule="exact"/>
        <w:widowControl/>
        <w:rPr>
          <w:rFonts w:ascii="宋体" w:hAnsi="宋体" w:cs="宋体"/>
          <w:sz w:val="24"/>
          <w:szCs w:val="24"/>
          <w:highlight w:val="none"/>
          <w:u w:val="single"/>
          <w:lang w:bidi="ar"/>
        </w:rPr>
      </w:pPr>
      <w:r>
        <w:rPr>
          <w:rFonts w:hint="eastAsia" w:ascii="宋体" w:hAnsi="宋体" w:cs="宋体"/>
          <w:i/>
          <w:iCs/>
          <w:color w:val="000000"/>
          <w:sz w:val="24"/>
          <w:szCs w:val="24"/>
          <w:highlight w:val="none"/>
          <w:u w:val="single"/>
          <w:lang w:bidi="ar"/>
        </w:rPr>
        <w:t xml:space="preserve">为了提高设备可靠性，支持模块化可插拔双电源，且实配双电源。</w:t>
      </w:r>
      <w:r/>
    </w:p>
    <w:p>
      <w:pPr>
        <w:numPr>
          <w:ilvl w:val="0"/>
          <w:numId w:val="4"/>
        </w:numPr>
        <w:ind w:firstLine="480"/>
        <w:jc w:val="left"/>
        <w:spacing w:line="440" w:lineRule="exact"/>
        <w:widowControl/>
        <w:rPr>
          <w:rFonts w:ascii="宋体" w:hAnsi="宋体" w:cs="宋体"/>
          <w:sz w:val="24"/>
          <w:szCs w:val="24"/>
          <w:highlight w:val="none"/>
          <w:u w:val="single"/>
          <w:lang w:bidi="ar"/>
        </w:rPr>
      </w:pPr>
      <w:r>
        <w:rPr>
          <w:rFonts w:hint="eastAsia" w:ascii="宋体" w:hAnsi="宋体" w:cs="宋体"/>
          <w:i/>
          <w:iCs/>
          <w:color w:val="000000"/>
          <w:sz w:val="24"/>
          <w:szCs w:val="24"/>
          <w:highlight w:val="none"/>
          <w:u w:val="single"/>
          <w:lang w:bidi="ar"/>
        </w:rPr>
        <w:t xml:space="preserve">支持堆叠技术。</w:t>
      </w:r>
      <w:r/>
    </w:p>
    <w:p>
      <w:pPr>
        <w:numPr>
          <w:ilvl w:val="0"/>
          <w:numId w:val="4"/>
        </w:numPr>
        <w:ind w:firstLine="480"/>
        <w:jc w:val="left"/>
        <w:spacing w:line="440" w:lineRule="exact"/>
        <w:widowControl/>
        <w:rPr>
          <w:rFonts w:ascii="宋体" w:hAnsi="宋体" w:cs="宋体"/>
          <w:sz w:val="24"/>
          <w:szCs w:val="24"/>
          <w:highlight w:val="none"/>
          <w:u w:val="single"/>
          <w:lang w:bidi="ar"/>
        </w:rPr>
      </w:pPr>
      <w:r>
        <w:rPr>
          <w:rFonts w:hint="eastAsia" w:ascii="宋体" w:hAnsi="宋体" w:cs="宋体"/>
          <w:i/>
          <w:iCs/>
          <w:color w:val="000000"/>
          <w:sz w:val="24"/>
          <w:szCs w:val="24"/>
          <w:highlight w:val="none"/>
          <w:u w:val="single"/>
          <w:lang w:bidi="ar"/>
        </w:rPr>
        <w:t xml:space="preserve">支持VLAN最大数目为4094个。</w:t>
      </w:r>
      <w:r/>
    </w:p>
    <w:p>
      <w:pPr>
        <w:numPr>
          <w:ilvl w:val="0"/>
          <w:numId w:val="4"/>
        </w:numPr>
        <w:ind w:firstLine="480"/>
        <w:jc w:val="left"/>
        <w:spacing w:line="440" w:lineRule="exact"/>
        <w:widowControl/>
        <w:rPr>
          <w:rFonts w:ascii="宋体" w:hAnsi="宋体" w:cs="宋体"/>
          <w:sz w:val="24"/>
          <w:szCs w:val="24"/>
          <w:highlight w:val="none"/>
          <w:u w:val="single"/>
          <w:lang w:bidi="ar"/>
        </w:rPr>
      </w:pPr>
      <w:r>
        <w:rPr>
          <w:rFonts w:hint="eastAsia" w:ascii="宋体" w:hAnsi="宋体" w:cs="宋体"/>
          <w:color w:val="000000"/>
          <w:sz w:val="24"/>
          <w:szCs w:val="24"/>
          <w:highlight w:val="none"/>
          <w:lang w:bidi="ar"/>
        </w:rPr>
        <w:t xml:space="preserve">支持基本QinQ、灵活QinQ和VLAN Mapping，支持Default VLAN、私有VLAN、Guest VLAN、Voice VLAN，支持动态MAC地址的学习和老化，支持黑洞MAC地址，支持STP/RSTP/MSTP协议。</w:t>
      </w:r>
      <w:r/>
    </w:p>
    <w:p>
      <w:pPr>
        <w:numPr>
          <w:ilvl w:val="0"/>
          <w:numId w:val="4"/>
        </w:numPr>
        <w:ind w:firstLine="480"/>
        <w:jc w:val="left"/>
        <w:spacing w:line="440" w:lineRule="exact"/>
        <w:widowControl/>
        <w:rPr>
          <w:rFonts w:ascii="宋体" w:hAnsi="宋体" w:cs="宋体"/>
          <w:sz w:val="24"/>
          <w:szCs w:val="24"/>
          <w:highlight w:val="none"/>
          <w:u w:val="single"/>
          <w:lang w:bidi="ar"/>
        </w:rPr>
      </w:pPr>
      <w:r>
        <w:rPr>
          <w:rFonts w:hint="eastAsia" w:ascii="宋体" w:hAnsi="宋体" w:cs="宋体"/>
          <w:color w:val="000000"/>
          <w:sz w:val="24"/>
          <w:szCs w:val="24"/>
          <w:highlight w:val="none"/>
          <w:lang w:bidi="ar"/>
        </w:rPr>
        <w:t xml:space="preserve">支持ERPS，支持以太网OAM，支持BFD、VRRP、Smart-link、M-LAG。</w:t>
      </w:r>
      <w:r/>
    </w:p>
    <w:p>
      <w:pPr>
        <w:numPr>
          <w:ilvl w:val="0"/>
          <w:numId w:val="4"/>
        </w:numPr>
        <w:ind w:firstLine="480"/>
        <w:jc w:val="left"/>
        <w:spacing w:line="440" w:lineRule="exact"/>
        <w:widowControl/>
        <w:rPr>
          <w:rFonts w:ascii="宋体" w:hAnsi="宋体" w:cs="宋体"/>
          <w:sz w:val="24"/>
          <w:szCs w:val="24"/>
          <w:highlight w:val="none"/>
          <w:u w:val="single"/>
          <w:lang w:bidi="ar"/>
        </w:rPr>
      </w:pPr>
      <w:r>
        <w:rPr>
          <w:rFonts w:hint="eastAsia" w:ascii="宋体" w:hAnsi="宋体" w:cs="宋体"/>
          <w:color w:val="000000"/>
          <w:sz w:val="24"/>
          <w:szCs w:val="24"/>
          <w:highlight w:val="none"/>
          <w:lang w:bidi="ar"/>
        </w:rPr>
        <w:t xml:space="preserve">支持静态ARP，支持免费ARP，支持动态ARP表项学习和老化，支持标准ARP-Proxy和本地ARP-Proxy，支持RIPv1、RIPv2、OSPFv2、IS-IS、BGP。</w:t>
      </w:r>
      <w:r/>
    </w:p>
    <w:p>
      <w:pPr>
        <w:numPr>
          <w:ilvl w:val="0"/>
          <w:numId w:val="4"/>
        </w:numPr>
        <w:ind w:firstLine="480"/>
        <w:jc w:val="left"/>
        <w:spacing w:line="440" w:lineRule="exact"/>
        <w:widowControl/>
        <w:rPr>
          <w:rFonts w:ascii="宋体" w:hAnsi="宋体" w:cs="宋体"/>
          <w:color w:val="000000"/>
          <w:sz w:val="24"/>
          <w:szCs w:val="24"/>
          <w:highlight w:val="none"/>
          <w:lang w:bidi="ar"/>
        </w:rPr>
      </w:pPr>
      <w:r>
        <w:rPr>
          <w:rFonts w:hint="eastAsia" w:ascii="宋体" w:hAnsi="宋体" w:cs="宋体"/>
          <w:i/>
          <w:iCs/>
          <w:sz w:val="24"/>
          <w:szCs w:val="24"/>
          <w:highlight w:val="none"/>
          <w:u w:val="single"/>
          <w:lang w:bidi="ar"/>
        </w:rPr>
        <w:t xml:space="preserve">关键核心部件(如:CPU、转发芯片等)具备国产化。</w:t>
      </w:r>
      <w:r/>
    </w:p>
    <w:p>
      <w:pPr>
        <w:numPr>
          <w:ilvl w:val="0"/>
          <w:numId w:val="4"/>
        </w:numPr>
        <w:ind w:firstLine="480"/>
        <w:jc w:val="left"/>
        <w:spacing w:line="440" w:lineRule="exact"/>
        <w:widowControl/>
        <w:rPr>
          <w:rFonts w:ascii="宋体" w:hAnsi="宋体" w:cs="宋体"/>
          <w:color w:val="000000"/>
          <w:sz w:val="24"/>
          <w:szCs w:val="24"/>
          <w:highlight w:val="none"/>
          <w:lang w:bidi="ar"/>
        </w:rPr>
      </w:pPr>
      <w:r>
        <w:rPr>
          <w:rFonts w:hint="eastAsia" w:ascii="宋体" w:hAnsi="宋体" w:cs="宋体"/>
          <w:i/>
          <w:iCs/>
          <w:color w:val="000000"/>
          <w:sz w:val="24"/>
          <w:szCs w:val="24"/>
          <w:highlight w:val="none"/>
          <w:u w:val="single"/>
          <w:lang w:bidi="ar"/>
        </w:rPr>
        <w:t xml:space="preserve">每台配置8个SFP+ 万兆多模光模块，8根3m六类跳线,1根3米多模万兆lc—lc跳线，1根10米多模万兆lc—lc跳线。</w:t>
      </w:r>
      <w:r/>
    </w:p>
    <w:p>
      <w:pPr>
        <w:numPr>
          <w:ilvl w:val="0"/>
          <w:numId w:val="4"/>
        </w:numPr>
        <w:ind w:firstLine="480"/>
        <w:jc w:val="left"/>
        <w:spacing w:line="440" w:lineRule="exact"/>
        <w:widowControl/>
        <w:rPr>
          <w:rFonts w:ascii="宋体" w:hAnsi="宋体" w:cs="宋体"/>
          <w:color w:val="000000"/>
          <w:sz w:val="24"/>
          <w:szCs w:val="24"/>
          <w:highlight w:val="none"/>
          <w:lang w:bidi="ar"/>
        </w:rPr>
      </w:pPr>
      <w:r>
        <w:rPr>
          <w:rFonts w:hint="eastAsia" w:ascii="宋体" w:hAnsi="宋体" w:cs="宋体"/>
          <w:i/>
          <w:iCs/>
          <w:color w:val="000000" w:themeColor="text1"/>
          <w:sz w:val="24"/>
          <w:szCs w:val="24"/>
          <w:highlight w:val="none"/>
          <w:u w:val="single"/>
          <w14:textFill>
            <w14:solidFill>
              <w14:schemeClr w14:val="tx1"/>
            </w14:solidFill>
          </w14:textFill>
        </w:rPr>
        <w:t xml:space="preserve">提供三年原厂质保服务。</w:t>
      </w:r>
      <w:r/>
    </w:p>
    <w:p>
      <w:pPr>
        <w:pStyle w:val="987"/>
        <w:rPr>
          <w:highlight w:val="none"/>
        </w:rPr>
      </w:pPr>
      <w:r>
        <w:rPr>
          <w:rFonts w:hint="eastAsia"/>
          <w:sz w:val="24"/>
          <w:szCs w:val="24"/>
          <w:highlight w:val="none"/>
        </w:rPr>
        <w:t xml:space="preserve">2.2.3桌面云防火墙一体机技术指标要求（1台）</w:t>
      </w:r>
      <w:r/>
    </w:p>
    <w:p>
      <w:pPr>
        <w:numPr>
          <w:ilvl w:val="0"/>
          <w:numId w:val="5"/>
        </w:numPr>
        <w:ind w:firstLine="480"/>
        <w:jc w:val="left"/>
        <w:spacing w:line="440" w:lineRule="exact"/>
        <w:widowControl/>
        <w:rPr>
          <w:rFonts w:ascii="宋体" w:hAnsi="宋体" w:cs="宋体"/>
          <w:highlight w:val="none"/>
        </w:rPr>
      </w:pPr>
      <w:r>
        <w:rPr>
          <w:rFonts w:hint="eastAsia" w:ascii="宋体" w:hAnsi="宋体" w:cs="宋体"/>
          <w:i/>
          <w:iCs/>
          <w:color w:val="000000"/>
          <w:sz w:val="24"/>
          <w:szCs w:val="24"/>
          <w:highlight w:val="none"/>
          <w:u w:val="single"/>
          <w:lang w:bidi="ar"/>
        </w:rPr>
        <w:t xml:space="preserve">内存≥8G,硬盘≥128G SSD ,千兆电口≥6个。</w:t>
      </w:r>
      <w:r/>
    </w:p>
    <w:p>
      <w:pPr>
        <w:numPr>
          <w:ilvl w:val="0"/>
          <w:numId w:val="5"/>
        </w:numPr>
        <w:ind w:firstLine="480"/>
        <w:jc w:val="left"/>
        <w:spacing w:line="440" w:lineRule="exact"/>
        <w:widowControl/>
        <w:rPr>
          <w:rFonts w:ascii="宋体" w:hAnsi="宋体" w:cs="宋体"/>
          <w:i/>
          <w:iCs/>
          <w:highlight w:val="none"/>
          <w:u w:val="single"/>
        </w:rPr>
      </w:pPr>
      <w:r>
        <w:rPr>
          <w:rFonts w:hint="eastAsia" w:ascii="宋体" w:hAnsi="宋体" w:cs="宋体"/>
          <w:i/>
          <w:iCs/>
          <w:sz w:val="24"/>
          <w:szCs w:val="24"/>
          <w:highlight w:val="none"/>
          <w:u w:val="single"/>
          <w:lang w:bidi="ar"/>
        </w:rPr>
        <w:t xml:space="preserve">需开通入侵防御、防病毒特征库和云威胁情报网关，包含IPS、僵尸网络防护、实时漏洞分析识别、URL&amp;应用识别和防病毒功能模块，需配备1年7*24小时的安全托管服务。非X86架构，国产化CPU和操作系统。提供3年IPS特征库、僵尸网络防护库、实时漏洞分析识别库、URL&amp;应用识别库、威胁情报库升级服务，3年软件升级服务，3年硬件原厂质保。</w:t>
      </w:r>
      <w:r/>
    </w:p>
    <w:p>
      <w:pPr>
        <w:numPr>
          <w:ilvl w:val="0"/>
          <w:numId w:val="5"/>
        </w:numPr>
        <w:ind w:firstLine="480"/>
        <w:jc w:val="left"/>
        <w:spacing w:line="440" w:lineRule="exact"/>
        <w:widowControl/>
        <w:rPr>
          <w:rFonts w:ascii="宋体" w:hAnsi="宋体" w:cs="宋体"/>
          <w:sz w:val="24"/>
          <w:szCs w:val="24"/>
          <w:highlight w:val="none"/>
          <w:lang w:bidi="ar"/>
        </w:rPr>
      </w:pPr>
      <w:r>
        <w:rPr>
          <w:rFonts w:hint="eastAsia" w:ascii="宋体" w:hAnsi="宋体" w:cs="宋体"/>
          <w:color w:val="000000"/>
          <w:sz w:val="24"/>
          <w:szCs w:val="24"/>
          <w:highlight w:val="none"/>
          <w:lang w:bidi="ar"/>
        </w:rPr>
        <w:t xml:space="preserve">网络层吞吐量≥10G，应用层吞吐量≥4G，并发连接数≥400万，HTTP新建连接数≥10万。</w:t>
      </w:r>
      <w:r/>
    </w:p>
    <w:p>
      <w:pPr>
        <w:numPr>
          <w:ilvl w:val="0"/>
          <w:numId w:val="5"/>
        </w:numPr>
        <w:ind w:firstLine="480"/>
        <w:jc w:val="left"/>
        <w:spacing w:line="440" w:lineRule="exact"/>
        <w:widowControl/>
        <w:rPr>
          <w:rFonts w:ascii="宋体" w:hAnsi="宋体" w:cs="宋体"/>
          <w:sz w:val="24"/>
          <w:szCs w:val="24"/>
          <w:highlight w:val="none"/>
          <w:lang w:bidi="ar"/>
        </w:rPr>
      </w:pPr>
      <w:r>
        <w:rPr>
          <w:rFonts w:hint="eastAsia" w:ascii="宋体" w:hAnsi="宋体" w:cs="宋体"/>
          <w:color w:val="000000"/>
          <w:sz w:val="24"/>
          <w:szCs w:val="24"/>
          <w:highlight w:val="none"/>
          <w:lang w:bidi="ar"/>
        </w:rPr>
        <w:t xml:space="preserve">支持静态路由、策略路由和多播路由协议，并支持BGP、RIP、OSPF等动态路由协议。</w:t>
      </w:r>
      <w:r/>
    </w:p>
    <w:p>
      <w:pPr>
        <w:numPr>
          <w:ilvl w:val="0"/>
          <w:numId w:val="5"/>
        </w:numPr>
        <w:ind w:firstLine="480"/>
        <w:jc w:val="left"/>
        <w:spacing w:line="440" w:lineRule="exact"/>
        <w:widowControl/>
        <w:rPr>
          <w:rFonts w:ascii="宋体" w:hAnsi="宋体" w:cs="宋体"/>
          <w:sz w:val="24"/>
          <w:szCs w:val="24"/>
          <w:highlight w:val="none"/>
          <w:lang w:bidi="ar"/>
        </w:rPr>
      </w:pPr>
      <w:r>
        <w:rPr>
          <w:rFonts w:hint="eastAsia" w:ascii="宋体" w:hAnsi="宋体" w:cs="宋体"/>
          <w:color w:val="000000"/>
          <w:sz w:val="24"/>
          <w:szCs w:val="24"/>
          <w:highlight w:val="none"/>
          <w:lang w:bidi="ar"/>
        </w:rPr>
        <w:t xml:space="preserve">支持策略路由负载，支持基于服务、ISP地址、应用、地域等维度进行智能选路，保证关键业务流量通过优质链路转发，支持加权流量、带宽比例、线路优先等负载均衡调度算法。</w:t>
      </w:r>
      <w:r/>
    </w:p>
    <w:p>
      <w:pPr>
        <w:numPr>
          <w:ilvl w:val="0"/>
          <w:numId w:val="5"/>
        </w:numPr>
        <w:ind w:firstLine="480"/>
        <w:jc w:val="left"/>
        <w:spacing w:line="440" w:lineRule="exact"/>
        <w:widowControl/>
        <w:rPr>
          <w:rFonts w:ascii="宋体" w:hAnsi="宋体" w:cs="宋体"/>
          <w:sz w:val="24"/>
          <w:szCs w:val="24"/>
          <w:highlight w:val="none"/>
          <w:lang w:bidi="ar"/>
        </w:rPr>
      </w:pPr>
      <w:r>
        <w:rPr>
          <w:rFonts w:hint="eastAsia" w:ascii="宋体" w:hAnsi="宋体" w:cs="宋体"/>
          <w:color w:val="000000"/>
          <w:sz w:val="24"/>
          <w:szCs w:val="24"/>
          <w:highlight w:val="none"/>
          <w:lang w:bidi="ar"/>
        </w:rPr>
        <w:t xml:space="preserve">支持SYN Flood、ICMP Flood、UDP Flood、DNS Flood、ARP Flood攻击防护；支持对信任区域主机外发的异常流量进行检测，如ICMP，UPD，SYN，DNS Flood等DDoS攻击行为。支持基于地区维度设置流控策略，实现多区域流量批量快速管控功能。</w:t>
      </w:r>
      <w:r/>
    </w:p>
    <w:p>
      <w:pPr>
        <w:numPr>
          <w:ilvl w:val="0"/>
          <w:numId w:val="5"/>
        </w:numPr>
        <w:ind w:firstLine="480"/>
        <w:jc w:val="left"/>
        <w:spacing w:line="440" w:lineRule="exact"/>
        <w:widowControl/>
        <w:rPr>
          <w:rFonts w:ascii="宋体" w:hAnsi="宋体" w:cs="宋体"/>
          <w:sz w:val="24"/>
          <w:szCs w:val="24"/>
          <w:highlight w:val="none"/>
          <w:lang w:bidi="ar"/>
        </w:rPr>
      </w:pPr>
      <w:r>
        <w:rPr>
          <w:rFonts w:hint="eastAsia" w:ascii="宋体" w:hAnsi="宋体" w:cs="宋体"/>
          <w:color w:val="000000"/>
          <w:sz w:val="24"/>
          <w:szCs w:val="24"/>
          <w:highlight w:val="none"/>
          <w:lang w:bidi="ar"/>
        </w:rPr>
        <w:t xml:space="preserve">支持连接会话展示，可针对具体的IP地址进行会话详情查询，支持封锁异常会话信息，并支持设置监听具体IP的会话记录。</w:t>
      </w:r>
      <w:r/>
    </w:p>
    <w:p>
      <w:pPr>
        <w:numPr>
          <w:ilvl w:val="0"/>
          <w:numId w:val="5"/>
        </w:numPr>
        <w:ind w:firstLine="480"/>
        <w:jc w:val="left"/>
        <w:spacing w:line="440" w:lineRule="exact"/>
        <w:widowControl/>
        <w:rPr>
          <w:rFonts w:ascii="宋体" w:hAnsi="宋体" w:cs="宋体"/>
          <w:sz w:val="24"/>
          <w:szCs w:val="24"/>
          <w:highlight w:val="none"/>
          <w:lang w:bidi="ar"/>
        </w:rPr>
      </w:pPr>
      <w:r>
        <w:rPr>
          <w:rFonts w:hint="eastAsia" w:ascii="宋体" w:hAnsi="宋体" w:cs="宋体"/>
          <w:color w:val="000000"/>
          <w:sz w:val="24"/>
          <w:szCs w:val="24"/>
          <w:highlight w:val="none"/>
          <w:lang w:bidi="ar"/>
        </w:rPr>
        <w:t xml:space="preserve">产品内置不低于16000种漏洞规则，同时支持在控制台界面通过漏洞ID、漏洞名称、危险等级、漏洞CVE标识、漏洞描述等条件查询漏洞特征信息，支持用户自定义IPS规则。</w:t>
      </w:r>
      <w:r/>
    </w:p>
    <w:p>
      <w:pPr>
        <w:numPr>
          <w:ilvl w:val="0"/>
          <w:numId w:val="5"/>
        </w:numPr>
        <w:ind w:firstLine="480"/>
        <w:jc w:val="left"/>
        <w:spacing w:line="440" w:lineRule="exact"/>
        <w:widowControl/>
        <w:rPr>
          <w:rFonts w:ascii="宋体" w:hAnsi="宋体" w:cs="宋体"/>
          <w:sz w:val="24"/>
          <w:szCs w:val="24"/>
          <w:highlight w:val="none"/>
          <w:lang w:bidi="ar"/>
        </w:rPr>
      </w:pPr>
      <w:r>
        <w:rPr>
          <w:rFonts w:hint="eastAsia" w:ascii="宋体" w:hAnsi="宋体" w:cs="宋体"/>
          <w:color w:val="000000"/>
          <w:sz w:val="24"/>
          <w:szCs w:val="24"/>
          <w:highlight w:val="none"/>
          <w:lang w:bidi="ar"/>
        </w:rPr>
        <w:t xml:space="preserve">产品应具备独立的勒索病毒防护模块，非普通防病毒功能，支持对特定的业务进行勒索风险自动化评估，并依据评估结果自动生成防护策略。</w:t>
      </w:r>
      <w:r/>
    </w:p>
    <w:p>
      <w:pPr>
        <w:numPr>
          <w:ilvl w:val="0"/>
          <w:numId w:val="5"/>
        </w:numPr>
        <w:ind w:firstLine="480"/>
        <w:jc w:val="left"/>
        <w:spacing w:line="440" w:lineRule="exact"/>
        <w:widowControl/>
        <w:rPr>
          <w:rFonts w:ascii="宋体" w:hAnsi="宋体" w:cs="宋体"/>
          <w:sz w:val="24"/>
          <w:szCs w:val="24"/>
          <w:highlight w:val="none"/>
          <w:lang w:bidi="ar"/>
        </w:rPr>
      </w:pPr>
      <w:r>
        <w:rPr>
          <w:rFonts w:hint="eastAsia" w:ascii="宋体" w:hAnsi="宋体" w:cs="宋体"/>
          <w:color w:val="000000"/>
          <w:sz w:val="24"/>
          <w:szCs w:val="24"/>
          <w:highlight w:val="none"/>
          <w:lang w:bidi="ar"/>
        </w:rPr>
        <w:t xml:space="preserve">产品支持对压缩病毒文件进行检测和拦截，压缩层数支持15层及以上。</w:t>
      </w:r>
      <w:r/>
    </w:p>
    <w:p>
      <w:pPr>
        <w:numPr>
          <w:ilvl w:val="0"/>
          <w:numId w:val="5"/>
        </w:numPr>
        <w:ind w:firstLine="480"/>
        <w:jc w:val="left"/>
        <w:spacing w:line="440" w:lineRule="exact"/>
        <w:widowControl/>
        <w:rPr>
          <w:rFonts w:ascii="宋体" w:hAnsi="宋体" w:cs="宋体"/>
          <w:sz w:val="24"/>
          <w:szCs w:val="24"/>
          <w:highlight w:val="none"/>
          <w:lang w:bidi="ar"/>
        </w:rPr>
      </w:pPr>
      <w:r>
        <w:rPr>
          <w:rFonts w:hint="eastAsia" w:ascii="宋体" w:hAnsi="宋体" w:cs="宋体"/>
          <w:color w:val="000000"/>
          <w:sz w:val="24"/>
          <w:szCs w:val="24"/>
          <w:highlight w:val="none"/>
          <w:lang w:bidi="ar"/>
        </w:rPr>
        <w:t xml:space="preserve">支持僵尸主机检测功能，产品内置僵尸网络特征库超过120万种，可识别主机的异常外联行为。</w:t>
      </w:r>
      <w:r/>
    </w:p>
    <w:p>
      <w:pPr>
        <w:numPr>
          <w:ilvl w:val="0"/>
          <w:numId w:val="5"/>
        </w:numPr>
        <w:ind w:firstLine="480"/>
        <w:jc w:val="left"/>
        <w:spacing w:line="440" w:lineRule="exact"/>
        <w:widowControl/>
        <w:rPr>
          <w:rFonts w:ascii="宋体" w:hAnsi="宋体" w:cs="宋体"/>
          <w:sz w:val="24"/>
          <w:szCs w:val="24"/>
          <w:highlight w:val="none"/>
          <w:lang w:bidi="ar"/>
        </w:rPr>
      </w:pPr>
      <w:r>
        <w:rPr>
          <w:rFonts w:hint="eastAsia" w:ascii="宋体" w:hAnsi="宋体" w:cs="宋体"/>
          <w:color w:val="000000"/>
          <w:sz w:val="24"/>
          <w:szCs w:val="24"/>
          <w:highlight w:val="none"/>
          <w:lang w:bidi="ar"/>
        </w:rPr>
        <w:t xml:space="preserve">支持对终端已被种植了远控木马或者病毒等恶意软件进行检测，并且能够对检测到的恶意软件行为进行深入的分析，展示和外部命令控制服务器的交互行为和其他可疑行为。支持木马远控防护、勒索软件通信防护、恶意链接防护、异常流量检测等功能。</w:t>
      </w:r>
      <w:r/>
    </w:p>
    <w:p>
      <w:pPr>
        <w:numPr>
          <w:ilvl w:val="0"/>
          <w:numId w:val="5"/>
        </w:numPr>
        <w:ind w:firstLine="480"/>
        <w:jc w:val="left"/>
        <w:spacing w:line="44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▲产品支持云端未知威胁主动探测技术，实现5min内未知威胁情报全网设备下发。（需提供第三方检测报告</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bidi="ar"/>
        </w:rPr>
        <w:t xml:space="preserve">原件扫描上传）</w:t>
      </w:r>
      <w:r/>
    </w:p>
    <w:p>
      <w:pPr>
        <w:numPr>
          <w:ilvl w:val="0"/>
          <w:numId w:val="5"/>
        </w:numPr>
        <w:ind w:firstLine="480"/>
        <w:jc w:val="left"/>
        <w:spacing w:line="440" w:lineRule="exact"/>
        <w:widowControl/>
        <w:rPr>
          <w:rFonts w:ascii="宋体" w:hAnsi="宋体" w:cs="宋体"/>
          <w:sz w:val="24"/>
          <w:szCs w:val="24"/>
          <w:highlight w:val="none"/>
          <w:lang w:bidi="ar"/>
        </w:rPr>
      </w:pPr>
      <w:r>
        <w:rPr>
          <w:rFonts w:hint="eastAsia" w:ascii="宋体" w:hAnsi="宋体" w:cs="宋体"/>
          <w:color w:val="000000"/>
          <w:sz w:val="24"/>
          <w:szCs w:val="24"/>
          <w:highlight w:val="none"/>
          <w:lang w:bidi="ar"/>
        </w:rPr>
        <w:t xml:space="preserve">产品支持云威胁情报网关技术，通过全球超过30+pop节点，实现对威胁流量就近进行实时检测&amp;拦截，实现失陷外联实时阻断，保护资产安全。</w:t>
      </w:r>
      <w:r/>
    </w:p>
    <w:p>
      <w:pPr>
        <w:numPr>
          <w:ilvl w:val="0"/>
          <w:numId w:val="5"/>
        </w:numPr>
        <w:ind w:firstLine="480"/>
        <w:jc w:val="left"/>
        <w:spacing w:line="440" w:lineRule="exact"/>
        <w:widowControl/>
        <w:rPr>
          <w:rFonts w:ascii="宋体" w:hAnsi="宋体" w:cs="宋体"/>
          <w:sz w:val="24"/>
          <w:szCs w:val="24"/>
          <w:highlight w:val="none"/>
          <w:lang w:bidi="ar"/>
        </w:rPr>
      </w:pPr>
      <w:r>
        <w:rPr>
          <w:rFonts w:hint="eastAsia" w:ascii="宋体" w:hAnsi="宋体" w:cs="宋体"/>
          <w:color w:val="000000"/>
          <w:sz w:val="24"/>
          <w:szCs w:val="24"/>
          <w:highlight w:val="none"/>
          <w:lang w:bidi="ar"/>
        </w:rPr>
        <w:t xml:space="preserve">支持安全策略有效性分析功能，分析内容至少包括策略冗余分析、策略匹配分析、风险端口风险等内容，提供安全策略优化建议。</w:t>
      </w:r>
      <w:r/>
    </w:p>
    <w:p>
      <w:pPr>
        <w:numPr>
          <w:ilvl w:val="0"/>
          <w:numId w:val="5"/>
        </w:numPr>
        <w:ind w:firstLine="480"/>
        <w:jc w:val="left"/>
        <w:spacing w:line="440" w:lineRule="exact"/>
        <w:widowControl/>
        <w:rPr>
          <w:rFonts w:ascii="宋体" w:hAnsi="宋体" w:cs="宋体"/>
          <w:sz w:val="24"/>
          <w:szCs w:val="24"/>
          <w:highlight w:val="none"/>
          <w:lang w:bidi="ar"/>
        </w:rPr>
      </w:pPr>
      <w:r>
        <w:rPr>
          <w:rFonts w:hint="eastAsia" w:ascii="宋体" w:hAnsi="宋体" w:cs="宋体"/>
          <w:color w:val="000000"/>
          <w:sz w:val="24"/>
          <w:szCs w:val="24"/>
          <w:highlight w:val="none"/>
          <w:lang w:bidi="ar"/>
        </w:rPr>
        <w:t xml:space="preserve">投标方需配置一名安全专家作为专属服务经理，提供持续在线服务，安全专家需为投标方创建专属的服务微信群，对招标方咨询或上报的安全问题进行及时响应并给出建议。</w:t>
      </w:r>
      <w:r/>
    </w:p>
    <w:p>
      <w:pPr>
        <w:numPr>
          <w:ilvl w:val="0"/>
          <w:numId w:val="5"/>
        </w:numPr>
        <w:ind w:firstLine="480"/>
        <w:jc w:val="left"/>
        <w:spacing w:line="440" w:lineRule="exact"/>
        <w:widowControl/>
        <w:rPr>
          <w:rFonts w:ascii="宋体" w:hAnsi="宋体" w:cs="宋体"/>
          <w:sz w:val="24"/>
          <w:szCs w:val="24"/>
          <w:highlight w:val="none"/>
          <w:lang w:bidi="ar"/>
        </w:rPr>
      </w:pPr>
      <w:r>
        <w:rPr>
          <w:rFonts w:hint="eastAsia" w:ascii="宋体" w:hAnsi="宋体" w:cs="宋体"/>
          <w:color w:val="000000"/>
          <w:sz w:val="24"/>
          <w:szCs w:val="24"/>
          <w:highlight w:val="none"/>
          <w:lang w:bidi="ar"/>
        </w:rPr>
        <w:t xml:space="preserve">提供不少5个重要IP资产的7*24小时的云端安全托管服务。</w:t>
      </w:r>
      <w:r/>
    </w:p>
    <w:p>
      <w:pPr>
        <w:numPr>
          <w:ilvl w:val="0"/>
          <w:numId w:val="5"/>
        </w:numPr>
        <w:ind w:firstLine="480"/>
        <w:jc w:val="left"/>
        <w:spacing w:line="440" w:lineRule="exact"/>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云端服务平台应当支持对接招标方本次采购的下一代防火墙支持实时接收安全设备检测到的安全事件信息、安全日志数据提供托管服务。</w:t>
      </w:r>
      <w:r/>
    </w:p>
    <w:p>
      <w:pPr>
        <w:numPr>
          <w:ilvl w:val="0"/>
          <w:numId w:val="5"/>
        </w:numPr>
        <w:ind w:firstLine="480"/>
        <w:jc w:val="left"/>
        <w:spacing w:line="440" w:lineRule="exac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针对重大安全事件需有后端应急专家7*24H快速响应支撑，帮助对事件进行紧急遏制、分析事件的影响范围、针对事件发生原因进行溯源排查、提供对应的安全加固方案等，并通过服务群发送安全事件的响应情况通告。</w:t>
      </w:r>
      <w:r/>
    </w:p>
    <w:p>
      <w:pPr>
        <w:numPr>
          <w:ilvl w:val="0"/>
          <w:numId w:val="5"/>
        </w:numPr>
        <w:ind w:firstLine="480"/>
        <w:jc w:val="left"/>
        <w:spacing w:line="440" w:lineRule="exac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节假日期间有应急专家在线服务，对发生的重大安全事件进行7*24H响应，并在节假日期间每日进行值守总结，在服务群发送节假日值守总结快报。</w:t>
      </w:r>
      <w:r/>
    </w:p>
    <w:p>
      <w:pPr>
        <w:pStyle w:val="987"/>
        <w:rPr>
          <w:highlight w:val="none"/>
        </w:rPr>
      </w:pPr>
      <w:r>
        <w:rPr>
          <w:rFonts w:hint="eastAsia"/>
          <w:sz w:val="24"/>
          <w:szCs w:val="24"/>
          <w:highlight w:val="none"/>
        </w:rPr>
        <w:t xml:space="preserve">2.2.4评标室公用全向麦克风技术指标要求（8台）</w:t>
      </w:r>
      <w:r/>
    </w:p>
    <w:p>
      <w:pPr>
        <w:numPr>
          <w:ilvl w:val="0"/>
          <w:numId w:val="6"/>
        </w:numPr>
        <w:ind w:firstLine="480"/>
        <w:jc w:val="left"/>
        <w:spacing w:line="440" w:lineRule="exact"/>
        <w:rPr>
          <w:rFonts w:ascii="宋体" w:hAnsi="宋体" w:cs="宋体"/>
          <w:i/>
          <w:iCs/>
          <w:sz w:val="24"/>
          <w:szCs w:val="24"/>
          <w:highlight w:val="none"/>
          <w:u w:val="single"/>
          <w:lang w:bidi="ar"/>
        </w:rPr>
      </w:pPr>
      <w:r>
        <w:rPr>
          <w:rFonts w:hint="eastAsia" w:ascii="宋体" w:hAnsi="宋体" w:cs="宋体"/>
          <w:i/>
          <w:iCs/>
          <w:sz w:val="24"/>
          <w:szCs w:val="24"/>
          <w:highlight w:val="none"/>
          <w:u w:val="single"/>
          <w:lang w:bidi="ar"/>
        </w:rPr>
        <w:t xml:space="preserve">采用麦克风扬声器一体化设计，搭载环形阵列全向麦克风，最远8m拾音半径，360°全方位拾取远场语音，可抑制室内背景噪音与回声。</w:t>
      </w:r>
      <w:r/>
    </w:p>
    <w:p>
      <w:pPr>
        <w:numPr>
          <w:ilvl w:val="0"/>
          <w:numId w:val="6"/>
        </w:numPr>
        <w:ind w:firstLine="480"/>
        <w:jc w:val="left"/>
        <w:spacing w:line="440" w:lineRule="exact"/>
        <w:rPr>
          <w:rFonts w:ascii="宋体" w:hAnsi="宋体" w:cs="宋体"/>
          <w:sz w:val="24"/>
          <w:szCs w:val="24"/>
          <w:highlight w:val="none"/>
        </w:rPr>
      </w:pPr>
      <w:r>
        <w:rPr>
          <w:rStyle w:val="1004"/>
          <w:rFonts w:hint="default"/>
          <w:color w:val="auto"/>
          <w:sz w:val="24"/>
          <w:szCs w:val="24"/>
          <w:highlight w:val="none"/>
          <w:lang w:bidi="ar"/>
        </w:rPr>
        <w:t xml:space="preserve">内置高低音双喇叭扬声器，单喇叭额定功率5W以上，频响100Hz～20KHz，最大音量可达85db，音质清晰无失真。</w:t>
      </w:r>
      <w:r/>
    </w:p>
    <w:p>
      <w:pPr>
        <w:numPr>
          <w:ilvl w:val="0"/>
          <w:numId w:val="6"/>
        </w:numPr>
        <w:ind w:firstLine="480"/>
        <w:jc w:val="left"/>
        <w:spacing w:line="440" w:lineRule="exact"/>
        <w:rPr>
          <w:rFonts w:ascii="宋体" w:hAnsi="宋体" w:cs="宋体"/>
          <w:sz w:val="24"/>
          <w:szCs w:val="24"/>
          <w:highlight w:val="none"/>
          <w:u w:val="single"/>
        </w:rPr>
      </w:pPr>
      <w:r>
        <w:rPr>
          <w:rStyle w:val="1005"/>
          <w:rFonts w:hint="default"/>
          <w:i/>
          <w:iCs/>
          <w:color w:val="auto"/>
          <w:sz w:val="24"/>
          <w:szCs w:val="24"/>
          <w:highlight w:val="none"/>
          <w:u w:val="single"/>
          <w:lang w:bidi="ar"/>
        </w:rPr>
        <w:t xml:space="preserve">支持有线级联，最少可级联3台，最多支持5台设备扩展使用。</w:t>
      </w:r>
      <w:r/>
    </w:p>
    <w:p>
      <w:pPr>
        <w:numPr>
          <w:ilvl w:val="0"/>
          <w:numId w:val="6"/>
        </w:numPr>
        <w:ind w:firstLine="480"/>
        <w:jc w:val="left"/>
        <w:spacing w:line="440" w:lineRule="exact"/>
        <w:rPr>
          <w:rFonts w:ascii="宋体" w:hAnsi="宋体" w:cs="宋体"/>
          <w:sz w:val="24"/>
          <w:szCs w:val="24"/>
          <w:highlight w:val="none"/>
        </w:rPr>
      </w:pPr>
      <w:r>
        <w:rPr>
          <w:rStyle w:val="1005"/>
          <w:rFonts w:hint="default"/>
          <w:color w:val="auto"/>
          <w:sz w:val="24"/>
          <w:szCs w:val="24"/>
          <w:highlight w:val="none"/>
          <w:lang w:bidi="ar"/>
        </w:rPr>
        <w:t xml:space="preserve">配备触控式按键，可调节音量、控制静音，自带扩展智能按键。</w:t>
      </w:r>
      <w:r/>
    </w:p>
    <w:p>
      <w:pPr>
        <w:numPr>
          <w:ilvl w:val="0"/>
          <w:numId w:val="6"/>
        </w:numPr>
        <w:ind w:firstLine="480"/>
        <w:jc w:val="left"/>
        <w:spacing w:line="440" w:lineRule="exact"/>
        <w:rPr>
          <w:rFonts w:ascii="宋体" w:hAnsi="宋体" w:cs="宋体"/>
          <w:sz w:val="24"/>
          <w:szCs w:val="24"/>
          <w:highlight w:val="none"/>
        </w:rPr>
      </w:pPr>
      <w:r>
        <w:rPr>
          <w:rStyle w:val="1005"/>
          <w:rFonts w:hint="default"/>
          <w:color w:val="auto"/>
          <w:sz w:val="24"/>
          <w:szCs w:val="24"/>
          <w:highlight w:val="none"/>
          <w:lang w:bidi="ar"/>
        </w:rPr>
        <w:t xml:space="preserve">支持USB、蓝牙双连接，免驱即插即用。</w:t>
      </w:r>
      <w:r/>
    </w:p>
    <w:p>
      <w:pPr>
        <w:numPr>
          <w:ilvl w:val="0"/>
          <w:numId w:val="6"/>
        </w:numPr>
        <w:ind w:firstLine="480"/>
        <w:jc w:val="left"/>
        <w:spacing w:line="440" w:lineRule="exact"/>
        <w:rPr>
          <w:rFonts w:ascii="宋体" w:hAnsi="宋体" w:cs="宋体"/>
          <w:sz w:val="24"/>
          <w:szCs w:val="24"/>
          <w:highlight w:val="none"/>
        </w:rPr>
      </w:pPr>
      <w:r>
        <w:rPr>
          <w:rStyle w:val="1005"/>
          <w:rFonts w:hint="default"/>
          <w:color w:val="auto"/>
          <w:sz w:val="24"/>
          <w:szCs w:val="24"/>
          <w:highlight w:val="none"/>
          <w:lang w:bidi="ar"/>
        </w:rPr>
        <w:t xml:space="preserve">具备两种及以上供电方式，支持DC适配器、PoE、USB供电。</w:t>
      </w:r>
      <w:r/>
    </w:p>
    <w:p>
      <w:pPr>
        <w:numPr>
          <w:ilvl w:val="0"/>
          <w:numId w:val="6"/>
        </w:numPr>
        <w:ind w:firstLine="480"/>
        <w:jc w:val="left"/>
        <w:spacing w:line="440" w:lineRule="exact"/>
        <w:rPr>
          <w:rFonts w:ascii="宋体" w:hAnsi="宋体" w:cs="宋体"/>
          <w:sz w:val="24"/>
          <w:szCs w:val="24"/>
          <w:highlight w:val="none"/>
        </w:rPr>
      </w:pPr>
      <w:r>
        <w:rPr>
          <w:rStyle w:val="1004"/>
          <w:rFonts w:hint="default"/>
          <w:i/>
          <w:iCs/>
          <w:color w:val="auto"/>
          <w:sz w:val="24"/>
          <w:szCs w:val="24"/>
          <w:highlight w:val="none"/>
          <w:u w:val="single"/>
          <w:lang w:bidi="ar"/>
        </w:rPr>
        <w:t xml:space="preserve">内置不少于10路麦克风阵列。</w:t>
      </w:r>
      <w:r/>
    </w:p>
    <w:p>
      <w:pPr>
        <w:numPr>
          <w:ilvl w:val="0"/>
          <w:numId w:val="6"/>
        </w:numPr>
        <w:ind w:firstLine="480"/>
        <w:jc w:val="left"/>
        <w:spacing w:line="440" w:lineRule="exact"/>
        <w:rPr>
          <w:rFonts w:ascii="宋体" w:hAnsi="宋体" w:cs="宋体"/>
          <w:sz w:val="24"/>
          <w:szCs w:val="24"/>
          <w:highlight w:val="none"/>
        </w:rPr>
      </w:pPr>
      <w:r>
        <w:rPr>
          <w:rStyle w:val="1005"/>
          <w:rFonts w:hint="default"/>
          <w:color w:val="auto"/>
          <w:sz w:val="24"/>
          <w:szCs w:val="24"/>
          <w:highlight w:val="none"/>
          <w:lang w:bidi="ar"/>
        </w:rPr>
        <w:t xml:space="preserve">支持360°全向拾音，有效拾音距离可达5米。</w:t>
      </w:r>
      <w:r/>
    </w:p>
    <w:p>
      <w:pPr>
        <w:numPr>
          <w:ilvl w:val="0"/>
          <w:numId w:val="6"/>
        </w:numPr>
        <w:ind w:firstLine="480"/>
        <w:jc w:val="left"/>
        <w:spacing w:line="440" w:lineRule="exact"/>
        <w:rPr>
          <w:rFonts w:ascii="宋体" w:hAnsi="宋体" w:cs="宋体"/>
          <w:sz w:val="24"/>
          <w:szCs w:val="24"/>
          <w:highlight w:val="none"/>
        </w:rPr>
      </w:pPr>
      <w:r>
        <w:rPr>
          <w:rStyle w:val="1005"/>
          <w:rFonts w:hint="default"/>
          <w:color w:val="auto"/>
          <w:sz w:val="24"/>
          <w:szCs w:val="24"/>
          <w:highlight w:val="none"/>
          <w:lang w:bidi="ar"/>
        </w:rPr>
        <w:t xml:space="preserve">具备智能噪声抑制功能，可过滤各类环境杂音，最高降噪35dB。</w:t>
      </w:r>
      <w:r/>
    </w:p>
    <w:p>
      <w:pPr>
        <w:numPr>
          <w:ilvl w:val="0"/>
          <w:numId w:val="6"/>
        </w:numPr>
        <w:ind w:firstLine="480"/>
        <w:jc w:val="left"/>
        <w:spacing w:line="440" w:lineRule="exact"/>
        <w:rPr>
          <w:rFonts w:ascii="宋体" w:hAnsi="宋体" w:cs="宋体"/>
          <w:sz w:val="24"/>
          <w:szCs w:val="24"/>
          <w:highlight w:val="none"/>
        </w:rPr>
      </w:pPr>
      <w:r>
        <w:rPr>
          <w:rStyle w:val="1005"/>
          <w:rFonts w:hint="default"/>
          <w:color w:val="auto"/>
          <w:sz w:val="24"/>
          <w:szCs w:val="24"/>
          <w:highlight w:val="none"/>
          <w:lang w:bidi="ar"/>
        </w:rPr>
        <w:t xml:space="preserve">搭载智能回声消除技术，回声抑制≥45.2dB，收敛时间小于2秒。</w:t>
      </w:r>
      <w:r/>
    </w:p>
    <w:p>
      <w:pPr>
        <w:numPr>
          <w:ilvl w:val="0"/>
          <w:numId w:val="6"/>
        </w:numPr>
        <w:ind w:firstLine="480"/>
        <w:jc w:val="left"/>
        <w:spacing w:line="440" w:lineRule="exact"/>
        <w:rPr>
          <w:rFonts w:ascii="宋体" w:hAnsi="宋体" w:cs="宋体"/>
          <w:sz w:val="24"/>
          <w:szCs w:val="24"/>
          <w:highlight w:val="none"/>
        </w:rPr>
      </w:pPr>
      <w:r>
        <w:rPr>
          <w:rStyle w:val="1005"/>
          <w:rFonts w:hint="default"/>
          <w:color w:val="auto"/>
          <w:sz w:val="24"/>
          <w:szCs w:val="24"/>
          <w:highlight w:val="none"/>
          <w:lang w:bidi="ar"/>
        </w:rPr>
        <w:t xml:space="preserve">内置自动增益功能，5米范围内音量输出均衡，动态增益≤3dB。</w:t>
      </w:r>
      <w:r/>
    </w:p>
    <w:p>
      <w:pPr>
        <w:numPr>
          <w:ilvl w:val="0"/>
          <w:numId w:val="6"/>
        </w:numPr>
        <w:ind w:firstLine="480"/>
        <w:jc w:val="left"/>
        <w:spacing w:line="440" w:lineRule="exact"/>
        <w:rPr>
          <w:rFonts w:ascii="宋体" w:hAnsi="宋体" w:cs="宋体"/>
          <w:sz w:val="24"/>
          <w:szCs w:val="24"/>
          <w:highlight w:val="none"/>
        </w:rPr>
      </w:pPr>
      <w:r>
        <w:rPr>
          <w:rStyle w:val="1005"/>
          <w:rFonts w:hint="default"/>
          <w:color w:val="auto"/>
          <w:sz w:val="24"/>
          <w:szCs w:val="24"/>
          <w:highlight w:val="none"/>
          <w:lang w:bidi="ar"/>
        </w:rPr>
        <w:t xml:space="preserve">采用全双工通话技术，可随时插话交流，</w:t>
      </w:r>
      <w:r>
        <w:rPr>
          <w:rStyle w:val="1004"/>
          <w:rFonts w:hint="default"/>
          <w:color w:val="auto"/>
          <w:sz w:val="24"/>
          <w:szCs w:val="24"/>
          <w:highlight w:val="none"/>
          <w:lang w:bidi="ar"/>
        </w:rPr>
        <w:t xml:space="preserve">语音衰减≤9dB，回声泄漏低于10%。</w:t>
      </w:r>
      <w:r/>
    </w:p>
    <w:p>
      <w:pPr>
        <w:numPr>
          <w:ilvl w:val="0"/>
          <w:numId w:val="6"/>
        </w:numPr>
        <w:ind w:firstLine="480"/>
        <w:jc w:val="left"/>
        <w:spacing w:line="440" w:lineRule="exact"/>
        <w:rPr>
          <w:rFonts w:ascii="宋体" w:hAnsi="宋体" w:cs="宋体"/>
          <w:sz w:val="24"/>
          <w:szCs w:val="24"/>
          <w:highlight w:val="none"/>
        </w:rPr>
      </w:pPr>
      <w:r>
        <w:rPr>
          <w:rStyle w:val="1004"/>
          <w:rFonts w:hint="default"/>
          <w:color w:val="auto"/>
          <w:sz w:val="24"/>
          <w:szCs w:val="24"/>
          <w:highlight w:val="none"/>
          <w:lang w:bidi="ar"/>
        </w:rPr>
        <w:t xml:space="preserve">支持DOA声源定位，灯带指示发言方位，识别准确率95%以上。</w:t>
      </w:r>
      <w:r/>
    </w:p>
    <w:p>
      <w:pPr>
        <w:numPr>
          <w:ilvl w:val="0"/>
          <w:numId w:val="6"/>
        </w:numPr>
        <w:ind w:firstLine="480"/>
        <w:jc w:val="left"/>
        <w:spacing w:line="440" w:lineRule="exact"/>
        <w:rPr>
          <w:rFonts w:ascii="宋体" w:hAnsi="宋体" w:cs="宋体"/>
          <w:sz w:val="24"/>
          <w:szCs w:val="24"/>
          <w:highlight w:val="none"/>
        </w:rPr>
      </w:pPr>
      <w:r>
        <w:rPr>
          <w:rStyle w:val="1004"/>
          <w:rFonts w:hint="default"/>
          <w:color w:val="auto"/>
          <w:sz w:val="24"/>
          <w:szCs w:val="24"/>
          <w:highlight w:val="none"/>
          <w:lang w:bidi="ar"/>
        </w:rPr>
        <w:t xml:space="preserve">蓝牙、</w:t>
      </w:r>
      <w:r>
        <w:rPr>
          <w:rStyle w:val="1005"/>
          <w:rFonts w:hint="default"/>
          <w:color w:val="auto"/>
          <w:sz w:val="24"/>
          <w:szCs w:val="24"/>
          <w:highlight w:val="none"/>
          <w:lang w:bidi="ar"/>
        </w:rPr>
        <w:t xml:space="preserve">USB-C直连各类终端，免驱动。</w:t>
      </w:r>
      <w:r/>
    </w:p>
    <w:p>
      <w:pPr>
        <w:numPr>
          <w:ilvl w:val="0"/>
          <w:numId w:val="6"/>
        </w:numPr>
        <w:ind w:firstLine="480"/>
        <w:jc w:val="left"/>
        <w:spacing w:line="440" w:lineRule="exact"/>
        <w:rPr>
          <w:rFonts w:ascii="宋体" w:hAnsi="宋体" w:cs="宋体"/>
          <w:sz w:val="24"/>
          <w:szCs w:val="24"/>
          <w:highlight w:val="none"/>
        </w:rPr>
      </w:pPr>
      <w:r>
        <w:rPr>
          <w:rStyle w:val="1005"/>
          <w:rFonts w:hint="default"/>
          <w:color w:val="auto"/>
          <w:sz w:val="24"/>
          <w:szCs w:val="24"/>
          <w:highlight w:val="none"/>
          <w:lang w:bidi="ar"/>
        </w:rPr>
        <w:t xml:space="preserve">机身触控按键可直接操控音量调节、静音解除等操作。</w:t>
      </w:r>
      <w:r/>
    </w:p>
    <w:p>
      <w:pPr>
        <w:numPr>
          <w:ilvl w:val="0"/>
          <w:numId w:val="6"/>
        </w:numPr>
        <w:ind w:firstLine="480"/>
        <w:jc w:val="left"/>
        <w:spacing w:line="440" w:lineRule="exact"/>
        <w:rPr>
          <w:rFonts w:ascii="宋体" w:hAnsi="宋体" w:cs="宋体"/>
          <w:sz w:val="24"/>
          <w:szCs w:val="24"/>
          <w:highlight w:val="none"/>
        </w:rPr>
      </w:pPr>
      <w:r>
        <w:rPr>
          <w:rStyle w:val="1005"/>
          <w:rFonts w:hint="default"/>
          <w:color w:val="auto"/>
          <w:sz w:val="24"/>
          <w:szCs w:val="24"/>
          <w:highlight w:val="none"/>
          <w:lang w:bidi="ar"/>
        </w:rPr>
        <w:t xml:space="preserve">电脑端软件可实现音频转文字</w:t>
      </w:r>
      <w:r>
        <w:rPr>
          <w:rStyle w:val="1004"/>
          <w:rFonts w:hint="default"/>
          <w:color w:val="auto"/>
          <w:sz w:val="24"/>
          <w:szCs w:val="24"/>
          <w:highlight w:val="none"/>
          <w:lang w:bidi="ar"/>
        </w:rPr>
        <w:t xml:space="preserve">，支持查看音频记录。</w:t>
      </w:r>
      <w:r/>
    </w:p>
    <w:p>
      <w:pPr>
        <w:numPr>
          <w:ilvl w:val="0"/>
          <w:numId w:val="6"/>
        </w:numPr>
        <w:ind w:firstLine="480"/>
        <w:jc w:val="left"/>
        <w:spacing w:line="440" w:lineRule="exact"/>
        <w:rPr>
          <w:rFonts w:ascii="宋体" w:hAnsi="宋体" w:cs="宋体"/>
          <w:sz w:val="24"/>
          <w:szCs w:val="24"/>
          <w:highlight w:val="none"/>
        </w:rPr>
      </w:pPr>
      <w:r>
        <w:rPr>
          <w:rStyle w:val="1004"/>
          <w:rFonts w:hint="default"/>
          <w:color w:val="auto"/>
          <w:sz w:val="24"/>
          <w:szCs w:val="24"/>
          <w:highlight w:val="none"/>
          <w:lang w:bidi="ar"/>
        </w:rPr>
        <w:t xml:space="preserve">支持设备固件升级，可批量级联升级，升级失败支持版本回滚。</w:t>
      </w:r>
      <w:r/>
    </w:p>
    <w:p>
      <w:pPr>
        <w:numPr>
          <w:ilvl w:val="0"/>
          <w:numId w:val="6"/>
        </w:numPr>
        <w:ind w:firstLine="480"/>
        <w:jc w:val="left"/>
        <w:spacing w:line="440" w:lineRule="exact"/>
        <w:rPr>
          <w:rFonts w:ascii="宋体" w:hAnsi="宋体" w:cs="宋体"/>
          <w:sz w:val="24"/>
          <w:szCs w:val="24"/>
          <w:highlight w:val="none"/>
        </w:rPr>
      </w:pPr>
      <w:r>
        <w:rPr>
          <w:rStyle w:val="1004"/>
          <w:rFonts w:hint="default"/>
          <w:color w:val="auto"/>
          <w:sz w:val="24"/>
          <w:szCs w:val="24"/>
          <w:highlight w:val="none"/>
          <w:lang w:bidi="ar"/>
        </w:rPr>
        <w:t xml:space="preserve">支持音频、文档下载导出，方便会后归档查阅。</w:t>
      </w:r>
      <w:r/>
    </w:p>
    <w:p>
      <w:pPr>
        <w:numPr>
          <w:ilvl w:val="0"/>
          <w:numId w:val="6"/>
        </w:numPr>
        <w:ind w:firstLine="480"/>
        <w:jc w:val="left"/>
        <w:spacing w:line="440" w:lineRule="exact"/>
        <w:rPr>
          <w:rFonts w:ascii="宋体" w:hAnsi="宋体" w:cs="宋体"/>
          <w:sz w:val="24"/>
          <w:szCs w:val="24"/>
          <w:highlight w:val="none"/>
        </w:rPr>
      </w:pPr>
      <w:r>
        <w:rPr>
          <w:rFonts w:hint="eastAsia" w:ascii="宋体" w:hAnsi="宋体" w:cs="宋体"/>
          <w:i/>
          <w:iCs/>
          <w:color w:val="000000" w:themeColor="text1"/>
          <w:sz w:val="24"/>
          <w:szCs w:val="24"/>
          <w:highlight w:val="none"/>
          <w:u w:val="single"/>
          <w14:textFill>
            <w14:solidFill>
              <w14:schemeClr w14:val="tx1"/>
            </w14:solidFill>
          </w14:textFill>
        </w:rPr>
        <w:t xml:space="preserve">提供三年原厂质保服务。</w:t>
      </w:r>
      <w:r/>
    </w:p>
    <w:p>
      <w:pPr>
        <w:pStyle w:val="987"/>
        <w:rPr>
          <w:rFonts w:hAnsi="宋体" w:cs="宋体"/>
          <w:highlight w:val="none"/>
        </w:rPr>
      </w:pPr>
      <w:r>
        <w:rPr>
          <w:rFonts w:hint="eastAsia" w:hAnsi="宋体" w:cs="宋体"/>
          <w:sz w:val="24"/>
          <w:szCs w:val="24"/>
          <w:highlight w:val="none"/>
        </w:rPr>
        <w:t xml:space="preserve">2.2.5吸顶会议麦克风</w:t>
      </w:r>
      <w:r>
        <w:rPr>
          <w:rFonts w:hint="eastAsia"/>
          <w:sz w:val="24"/>
          <w:szCs w:val="24"/>
          <w:highlight w:val="none"/>
        </w:rPr>
        <w:t xml:space="preserve">技术指标要求</w:t>
      </w:r>
      <w:r>
        <w:rPr>
          <w:rFonts w:hint="eastAsia" w:hAnsi="宋体" w:cs="宋体"/>
          <w:sz w:val="24"/>
          <w:szCs w:val="24"/>
          <w:highlight w:val="none"/>
        </w:rPr>
        <w:t xml:space="preserve">（9个）</w:t>
      </w:r>
      <w:r/>
    </w:p>
    <w:p>
      <w:pPr>
        <w:numPr>
          <w:ilvl w:val="0"/>
          <w:numId w:val="7"/>
        </w:numPr>
        <w:ind w:firstLine="480"/>
        <w:jc w:val="left"/>
        <w:spacing w:line="440" w:lineRule="exact"/>
        <w:rPr>
          <w:rStyle w:val="1006"/>
          <w:rFonts w:hint="default"/>
          <w:color w:val="auto"/>
          <w:sz w:val="24"/>
          <w:szCs w:val="24"/>
          <w:highlight w:val="none"/>
          <w:lang w:bidi="ar"/>
        </w:rPr>
      </w:pPr>
      <w:r>
        <w:rPr>
          <w:rFonts w:hint="eastAsia" w:ascii="宋体" w:hAnsi="宋体" w:cs="宋体"/>
          <w:i/>
          <w:iCs/>
          <w:sz w:val="24"/>
          <w:szCs w:val="24"/>
          <w:highlight w:val="none"/>
          <w:u w:val="single"/>
          <w:lang w:bidi="ar"/>
        </w:rPr>
        <w:t xml:space="preserve">麦克风数量大于90个麦克风阵列，</w:t>
      </w:r>
      <w:r>
        <w:rPr>
          <w:rStyle w:val="1004"/>
          <w:rFonts w:hint="default"/>
          <w:i/>
          <w:iCs/>
          <w:color w:val="auto"/>
          <w:sz w:val="24"/>
          <w:szCs w:val="24"/>
          <w:highlight w:val="none"/>
          <w:u w:val="single"/>
          <w:lang w:bidi="ar"/>
        </w:rPr>
        <w:t xml:space="preserve">支持≥7个远程通话拾音区和7个本地扩音拾音区，总数≥14个</w:t>
      </w:r>
      <w:r>
        <w:rPr>
          <w:rStyle w:val="1006"/>
          <w:rFonts w:hint="default"/>
          <w:i/>
          <w:iCs/>
          <w:color w:val="auto"/>
          <w:sz w:val="24"/>
          <w:szCs w:val="24"/>
          <w:highlight w:val="none"/>
          <w:u w:val="single"/>
          <w:lang w:bidi="ar"/>
        </w:rPr>
        <w:t xml:space="preserve">；支持级联部署，设备数量无限制。</w:t>
      </w:r>
      <w:r/>
    </w:p>
    <w:p>
      <w:pPr>
        <w:numPr>
          <w:ilvl w:val="0"/>
          <w:numId w:val="7"/>
        </w:numPr>
        <w:ind w:firstLine="480"/>
        <w:jc w:val="left"/>
        <w:spacing w:line="440" w:lineRule="exact"/>
        <w:rPr>
          <w:rStyle w:val="1006"/>
          <w:rFonts w:hint="default"/>
          <w:color w:val="auto"/>
          <w:sz w:val="24"/>
          <w:szCs w:val="24"/>
          <w:highlight w:val="none"/>
          <w:lang w:bidi="ar"/>
        </w:rPr>
      </w:pPr>
      <w:r>
        <w:rPr>
          <w:rStyle w:val="1004"/>
          <w:rFonts w:hint="default"/>
          <w:color w:val="auto"/>
          <w:sz w:val="24"/>
          <w:szCs w:val="24"/>
          <w:highlight w:val="none"/>
          <w:lang w:bidi="ar"/>
        </w:rPr>
        <w:t xml:space="preserve">根据不同位置、距离的拾音需求，拾音区的增益需要单独配置，每一个拾音区可以不同的输出增益；同一台麦克风，独立可调输出增益的拾音区≥2个。</w:t>
      </w:r>
      <w:r/>
    </w:p>
    <w:p>
      <w:pPr>
        <w:numPr>
          <w:ilvl w:val="0"/>
          <w:numId w:val="7"/>
        </w:numPr>
        <w:ind w:firstLine="480"/>
        <w:jc w:val="left"/>
        <w:spacing w:line="440" w:lineRule="exact"/>
        <w:rPr>
          <w:rStyle w:val="1006"/>
          <w:rFonts w:hint="default"/>
          <w:color w:val="auto"/>
          <w:sz w:val="24"/>
          <w:szCs w:val="24"/>
          <w:highlight w:val="none"/>
          <w:lang w:bidi="ar"/>
        </w:rPr>
      </w:pPr>
      <w:r>
        <w:rPr>
          <w:rStyle w:val="1006"/>
          <w:rFonts w:hint="default"/>
          <w:color w:val="auto"/>
          <w:sz w:val="24"/>
          <w:szCs w:val="24"/>
          <w:highlight w:val="none"/>
          <w:lang w:bidi="ar"/>
        </w:rPr>
        <w:t xml:space="preserve">麦克风应具备内置的音频处理功能，至少包括噪声抑制(ANS)、回声消除（AEC）、自动增益控制（AGC）、反馈抑制（AFC）、AI降噪，确保扩声音质清晰。</w:t>
      </w:r>
      <w:r/>
    </w:p>
    <w:p>
      <w:pPr>
        <w:numPr>
          <w:ilvl w:val="0"/>
          <w:numId w:val="7"/>
        </w:numPr>
        <w:ind w:firstLine="480"/>
        <w:jc w:val="left"/>
        <w:spacing w:line="440" w:lineRule="exact"/>
        <w:rPr>
          <w:rStyle w:val="1006"/>
          <w:rFonts w:hint="default"/>
          <w:color w:val="auto"/>
          <w:sz w:val="24"/>
          <w:szCs w:val="24"/>
          <w:highlight w:val="none"/>
          <w:lang w:bidi="ar"/>
        </w:rPr>
      </w:pPr>
      <w:r>
        <w:rPr>
          <w:rStyle w:val="1004"/>
          <w:rFonts w:hint="default"/>
          <w:color w:val="auto"/>
          <w:sz w:val="24"/>
          <w:szCs w:val="24"/>
          <w:highlight w:val="none"/>
          <w:lang w:bidi="ar"/>
        </w:rPr>
        <w:t xml:space="preserve">整机信噪比不劣于73dB；</w:t>
      </w:r>
      <w:r>
        <w:rPr>
          <w:rStyle w:val="1006"/>
          <w:rFonts w:hint="default"/>
          <w:color w:val="auto"/>
          <w:sz w:val="24"/>
          <w:szCs w:val="24"/>
          <w:highlight w:val="none"/>
          <w:lang w:bidi="ar"/>
        </w:rPr>
        <w:t xml:space="preserve">声音采样率≥48KHz，采样深度≥24bit。</w:t>
      </w:r>
      <w:r/>
    </w:p>
    <w:p>
      <w:pPr>
        <w:numPr>
          <w:ilvl w:val="0"/>
          <w:numId w:val="7"/>
        </w:numPr>
        <w:ind w:firstLine="480"/>
        <w:jc w:val="left"/>
        <w:spacing w:line="440" w:lineRule="exact"/>
        <w:rPr>
          <w:rStyle w:val="1006"/>
          <w:rFonts w:hint="default"/>
          <w:color w:val="auto"/>
          <w:sz w:val="24"/>
          <w:szCs w:val="24"/>
          <w:highlight w:val="none"/>
          <w:lang w:bidi="ar"/>
        </w:rPr>
      </w:pPr>
      <w:r>
        <w:rPr>
          <w:rStyle w:val="1004"/>
          <w:rFonts w:hint="default"/>
          <w:color w:val="auto"/>
          <w:sz w:val="24"/>
          <w:szCs w:val="24"/>
          <w:highlight w:val="none"/>
          <w:lang w:bidi="ar"/>
        </w:rPr>
        <w:t xml:space="preserve">使用国际标准Dante协议，兼容第三方Dante设备，支持≥2路Dante输出，≥2路Dante 输入可根据不同的场景预设拾音和扩声模式，快速切换。</w:t>
      </w:r>
      <w:r/>
    </w:p>
    <w:p>
      <w:pPr>
        <w:numPr>
          <w:ilvl w:val="0"/>
          <w:numId w:val="7"/>
        </w:numPr>
        <w:ind w:firstLine="480"/>
        <w:jc w:val="left"/>
        <w:spacing w:line="440" w:lineRule="exact"/>
        <w:rPr>
          <w:rStyle w:val="1006"/>
          <w:rFonts w:hint="default"/>
          <w:color w:val="auto"/>
          <w:sz w:val="24"/>
          <w:szCs w:val="24"/>
          <w:highlight w:val="none"/>
          <w:lang w:bidi="ar"/>
        </w:rPr>
      </w:pPr>
      <w:r>
        <w:rPr>
          <w:rStyle w:val="1004"/>
          <w:rFonts w:hint="default"/>
          <w:color w:val="auto"/>
          <w:sz w:val="24"/>
          <w:szCs w:val="24"/>
          <w:highlight w:val="none"/>
          <w:lang w:bidi="ar"/>
        </w:rPr>
        <w:t xml:space="preserve">设备具有空间定位能力，能实时显示出当前发言人所处位置，进行精确地拾音区调节，并且开启该功能不影响会议进行。</w:t>
      </w:r>
      <w:r/>
    </w:p>
    <w:p>
      <w:pPr>
        <w:numPr>
          <w:ilvl w:val="0"/>
          <w:numId w:val="7"/>
        </w:numPr>
        <w:ind w:firstLine="480"/>
        <w:jc w:val="left"/>
        <w:spacing w:line="440" w:lineRule="exact"/>
        <w:rPr>
          <w:rStyle w:val="1006"/>
          <w:rFonts w:hint="default"/>
          <w:color w:val="auto"/>
          <w:sz w:val="24"/>
          <w:szCs w:val="24"/>
          <w:highlight w:val="none"/>
          <w:lang w:bidi="ar"/>
        </w:rPr>
      </w:pPr>
      <w:r>
        <w:rPr>
          <w:rStyle w:val="1006"/>
          <w:rFonts w:hint="default"/>
          <w:color w:val="auto"/>
          <w:sz w:val="24"/>
          <w:szCs w:val="24"/>
          <w:highlight w:val="none"/>
          <w:lang w:bidi="ar"/>
        </w:rPr>
        <w:t xml:space="preserve">具备状态指示灯，通过不同颜色、状态的指示灯显示，便于用户直观获取设备的工作状态信息。</w:t>
      </w:r>
      <w:r/>
    </w:p>
    <w:p>
      <w:pPr>
        <w:numPr>
          <w:ilvl w:val="0"/>
          <w:numId w:val="7"/>
        </w:numPr>
        <w:ind w:firstLine="480"/>
        <w:jc w:val="left"/>
        <w:spacing w:line="440" w:lineRule="exact"/>
        <w:rPr>
          <w:rStyle w:val="1006"/>
          <w:rFonts w:hint="default"/>
          <w:color w:val="auto"/>
          <w:sz w:val="24"/>
          <w:szCs w:val="24"/>
          <w:highlight w:val="none"/>
          <w:lang w:bidi="ar"/>
        </w:rPr>
      </w:pPr>
      <w:r>
        <w:rPr>
          <w:rStyle w:val="1006"/>
          <w:rFonts w:hint="default"/>
          <w:color w:val="auto"/>
          <w:sz w:val="24"/>
          <w:szCs w:val="24"/>
          <w:highlight w:val="none"/>
          <w:lang w:bidi="ar"/>
        </w:rPr>
        <w:t xml:space="preserve">厂家提供标准API接口和支持客户进行二次开发。</w:t>
      </w:r>
      <w:r/>
    </w:p>
    <w:p>
      <w:pPr>
        <w:numPr>
          <w:ilvl w:val="0"/>
          <w:numId w:val="7"/>
        </w:numPr>
        <w:ind w:firstLine="480"/>
        <w:jc w:val="left"/>
        <w:spacing w:line="440" w:lineRule="exact"/>
        <w:rPr>
          <w:rStyle w:val="1006"/>
          <w:rFonts w:hint="default"/>
          <w:color w:val="auto"/>
          <w:sz w:val="24"/>
          <w:szCs w:val="24"/>
          <w:highlight w:val="none"/>
          <w:lang w:bidi="ar"/>
        </w:rPr>
      </w:pPr>
      <w:r>
        <w:rPr>
          <w:rStyle w:val="1006"/>
          <w:rFonts w:hint="default"/>
          <w:color w:val="auto"/>
          <w:sz w:val="24"/>
          <w:szCs w:val="24"/>
          <w:highlight w:val="none"/>
          <w:lang w:bidi="ar"/>
        </w:rPr>
        <w:t xml:space="preserve">设备可靠性高，支持7×24小时连续工作。</w:t>
      </w:r>
      <w:r/>
    </w:p>
    <w:p>
      <w:pPr>
        <w:numPr>
          <w:ilvl w:val="0"/>
          <w:numId w:val="7"/>
        </w:numPr>
        <w:ind w:firstLine="480"/>
        <w:jc w:val="left"/>
        <w:spacing w:line="440" w:lineRule="exact"/>
        <w:rPr>
          <w:rStyle w:val="1006"/>
          <w:rFonts w:hint="default"/>
          <w:color w:val="auto"/>
          <w:sz w:val="24"/>
          <w:szCs w:val="24"/>
          <w:highlight w:val="none"/>
          <w:lang w:bidi="ar"/>
        </w:rPr>
      </w:pPr>
      <w:r>
        <w:rPr>
          <w:rStyle w:val="1006"/>
          <w:rFonts w:hint="default"/>
          <w:color w:val="auto"/>
          <w:sz w:val="24"/>
          <w:szCs w:val="24"/>
          <w:highlight w:val="none"/>
          <w:lang w:bidi="ar"/>
        </w:rPr>
        <w:t xml:space="preserve">支持802.3at POE供电，无需外置电源，简化布线和维护工作。</w:t>
      </w:r>
      <w:r/>
    </w:p>
    <w:p>
      <w:pPr>
        <w:numPr>
          <w:ilvl w:val="0"/>
          <w:numId w:val="7"/>
        </w:numPr>
        <w:ind w:firstLine="480"/>
        <w:jc w:val="left"/>
        <w:spacing w:line="440" w:lineRule="exact"/>
        <w:rPr>
          <w:rStyle w:val="1006"/>
          <w:rFonts w:hint="default"/>
          <w:color w:val="auto"/>
          <w:sz w:val="24"/>
          <w:szCs w:val="24"/>
          <w:highlight w:val="none"/>
          <w:lang w:bidi="ar"/>
        </w:rPr>
      </w:pPr>
      <w:r>
        <w:rPr>
          <w:rStyle w:val="1006"/>
          <w:rFonts w:hint="default"/>
          <w:color w:val="auto"/>
          <w:sz w:val="24"/>
          <w:szCs w:val="24"/>
          <w:highlight w:val="none"/>
          <w:lang w:bidi="ar"/>
        </w:rPr>
        <w:t xml:space="preserve">支持千兆网口、支持独立调试接口、支持在线更新设备固件。</w:t>
      </w:r>
      <w:r/>
    </w:p>
    <w:p>
      <w:pPr>
        <w:numPr>
          <w:ilvl w:val="0"/>
          <w:numId w:val="7"/>
        </w:numPr>
        <w:ind w:firstLine="480"/>
        <w:jc w:val="left"/>
        <w:spacing w:line="440" w:lineRule="exact"/>
        <w:rPr>
          <w:rStyle w:val="1006"/>
          <w:rFonts w:hint="default"/>
          <w:color w:val="auto"/>
          <w:sz w:val="24"/>
          <w:szCs w:val="24"/>
          <w:highlight w:val="none"/>
          <w:lang w:bidi="ar"/>
        </w:rPr>
      </w:pPr>
      <w:r>
        <w:rPr>
          <w:rStyle w:val="1006"/>
          <w:rFonts w:hint="default"/>
          <w:color w:val="auto"/>
          <w:sz w:val="24"/>
          <w:szCs w:val="24"/>
          <w:highlight w:val="none"/>
          <w:lang w:bidi="ar"/>
        </w:rPr>
        <w:t xml:space="preserve">支持保存、导入配置参数；支持场景预配置多个参数并且实现快速切换。</w:t>
      </w:r>
      <w:r/>
    </w:p>
    <w:p>
      <w:pPr>
        <w:numPr>
          <w:ilvl w:val="0"/>
          <w:numId w:val="7"/>
        </w:numPr>
        <w:ind w:firstLine="480"/>
        <w:jc w:val="left"/>
        <w:spacing w:line="440" w:lineRule="exact"/>
        <w:rPr>
          <w:rStyle w:val="1006"/>
          <w:rFonts w:hint="default"/>
          <w:color w:val="auto"/>
          <w:sz w:val="24"/>
          <w:szCs w:val="24"/>
          <w:highlight w:val="none"/>
          <w:lang w:bidi="ar"/>
        </w:rPr>
      </w:pPr>
      <w:r>
        <w:rPr>
          <w:rStyle w:val="1006"/>
          <w:rFonts w:hint="default"/>
          <w:color w:val="auto"/>
          <w:sz w:val="24"/>
          <w:szCs w:val="24"/>
          <w:highlight w:val="none"/>
          <w:lang w:bidi="ar"/>
        </w:rPr>
        <w:t xml:space="preserve">具备可视化图形界面操作调试工具，方便用户进行设备配置和管理。</w:t>
      </w:r>
      <w:r/>
    </w:p>
    <w:p>
      <w:pPr>
        <w:numPr>
          <w:ilvl w:val="0"/>
          <w:numId w:val="7"/>
        </w:numPr>
        <w:ind w:firstLine="480"/>
        <w:jc w:val="left"/>
        <w:spacing w:line="440" w:lineRule="exact"/>
        <w:rPr>
          <w:rStyle w:val="1006"/>
          <w:rFonts w:hint="default"/>
          <w:color w:val="auto"/>
          <w:sz w:val="24"/>
          <w:szCs w:val="24"/>
          <w:highlight w:val="none"/>
          <w:lang w:bidi="ar"/>
        </w:rPr>
      </w:pPr>
      <w:r>
        <w:rPr>
          <w:rStyle w:val="1006"/>
          <w:rFonts w:hint="default"/>
          <w:color w:val="auto"/>
          <w:sz w:val="24"/>
          <w:szCs w:val="24"/>
          <w:highlight w:val="none"/>
          <w:lang w:bidi="ar"/>
        </w:rPr>
        <w:t xml:space="preserve">支持嵌入式、吊装等多种安装方式。</w:t>
      </w:r>
      <w:r/>
    </w:p>
    <w:p>
      <w:pPr>
        <w:numPr>
          <w:ilvl w:val="0"/>
          <w:numId w:val="7"/>
        </w:numPr>
        <w:ind w:firstLine="480"/>
        <w:jc w:val="left"/>
        <w:spacing w:line="440" w:lineRule="exact"/>
        <w:rPr>
          <w:rStyle w:val="1006"/>
          <w:rFonts w:hint="default"/>
          <w:color w:val="auto"/>
          <w:sz w:val="24"/>
          <w:szCs w:val="24"/>
          <w:highlight w:val="none"/>
          <w:lang w:bidi="ar"/>
        </w:rPr>
      </w:pPr>
      <w:r>
        <w:rPr>
          <w:rFonts w:hint="eastAsia" w:ascii="宋体" w:hAnsi="宋体" w:cs="宋体"/>
          <w:i/>
          <w:iCs/>
          <w:color w:val="000000" w:themeColor="text1"/>
          <w:sz w:val="24"/>
          <w:szCs w:val="24"/>
          <w:highlight w:val="none"/>
          <w:u w:val="single"/>
          <w14:textFill>
            <w14:solidFill>
              <w14:schemeClr w14:val="tx1"/>
            </w14:solidFill>
          </w14:textFill>
        </w:rPr>
        <w:t xml:space="preserve">提供三年原厂质保服务。</w:t>
      </w:r>
      <w:r/>
    </w:p>
    <w:p>
      <w:pPr>
        <w:pStyle w:val="987"/>
        <w:rPr>
          <w:rFonts w:hAnsi="宋体" w:cs="宋体"/>
          <w:highlight w:val="none"/>
        </w:rPr>
      </w:pPr>
      <w:r>
        <w:rPr>
          <w:rFonts w:hint="eastAsia" w:hAnsi="宋体" w:cs="宋体"/>
          <w:sz w:val="24"/>
          <w:szCs w:val="24"/>
          <w:highlight w:val="none"/>
        </w:rPr>
        <w:t xml:space="preserve">2.2.6交换机（音频接入）</w:t>
      </w:r>
      <w:r>
        <w:rPr>
          <w:rFonts w:hint="eastAsia"/>
          <w:sz w:val="24"/>
          <w:szCs w:val="24"/>
          <w:highlight w:val="none"/>
        </w:rPr>
        <w:t xml:space="preserve">技术指标要求</w:t>
      </w:r>
      <w:r>
        <w:rPr>
          <w:rFonts w:hint="eastAsia" w:hAnsi="宋体" w:cs="宋体"/>
          <w:sz w:val="24"/>
          <w:szCs w:val="24"/>
          <w:highlight w:val="none"/>
        </w:rPr>
        <w:t xml:space="preserve">（1个）</w:t>
      </w:r>
      <w:r/>
    </w:p>
    <w:p>
      <w:pPr>
        <w:ind w:firstLine="480"/>
        <w:jc w:val="left"/>
        <w:spacing w:line="440" w:lineRule="exac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1、16个千兆PoE供电口，最大247W供电能力。</w:t>
      </w:r>
      <w:r/>
    </w:p>
    <w:p>
      <w:pPr>
        <w:ind w:firstLine="480"/>
        <w:jc w:val="left"/>
        <w:spacing w:line="440" w:lineRule="exac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2、1U机架安装。</w:t>
      </w:r>
      <w:r/>
    </w:p>
    <w:p>
      <w:pPr>
        <w:pStyle w:val="987"/>
        <w:rPr>
          <w:rFonts w:hAnsi="宋体" w:cs="宋体"/>
          <w:highlight w:val="none"/>
        </w:rPr>
      </w:pPr>
      <w:r>
        <w:rPr>
          <w:rFonts w:hint="eastAsia" w:hAnsi="宋体" w:cs="宋体"/>
          <w:sz w:val="24"/>
          <w:szCs w:val="24"/>
          <w:highlight w:val="none"/>
        </w:rPr>
        <w:t xml:space="preserve">2.2.7数字人交互终端-壁挂</w:t>
      </w:r>
      <w:r>
        <w:rPr>
          <w:rFonts w:hint="eastAsia"/>
          <w:sz w:val="24"/>
          <w:szCs w:val="24"/>
          <w:highlight w:val="none"/>
        </w:rPr>
        <w:t xml:space="preserve">技术指标要求</w:t>
      </w:r>
      <w:r>
        <w:rPr>
          <w:rFonts w:hint="eastAsia" w:hAnsi="宋体" w:cs="宋体"/>
          <w:sz w:val="24"/>
          <w:szCs w:val="24"/>
          <w:highlight w:val="none"/>
        </w:rPr>
        <w:t xml:space="preserve">（8个）</w:t>
      </w:r>
      <w:r/>
    </w:p>
    <w:p>
      <w:pPr>
        <w:numPr>
          <w:ilvl w:val="0"/>
          <w:numId w:val="8"/>
        </w:numPr>
        <w:ind w:firstLine="480"/>
        <w:jc w:val="left"/>
        <w:spacing w:line="440" w:lineRule="exact"/>
        <w:rPr>
          <w:rStyle w:val="1005"/>
          <w:rFonts w:hint="default"/>
          <w:color w:val="auto"/>
          <w:sz w:val="24"/>
          <w:szCs w:val="24"/>
          <w:highlight w:val="none"/>
          <w:lang w:bidi="ar"/>
        </w:rPr>
      </w:pPr>
      <w:r>
        <w:rPr>
          <w:rFonts w:hint="eastAsia" w:ascii="宋体" w:hAnsi="宋体" w:cs="宋体"/>
          <w:i/>
          <w:iCs/>
          <w:sz w:val="24"/>
          <w:szCs w:val="24"/>
          <w:highlight w:val="none"/>
          <w:u w:val="single"/>
          <w:lang w:bidi="ar"/>
        </w:rPr>
        <w:t xml:space="preserve">43寸显示屏；分辨率1920*1080；背光类型：LED。</w:t>
      </w:r>
      <w:r/>
    </w:p>
    <w:p>
      <w:pPr>
        <w:numPr>
          <w:ilvl w:val="0"/>
          <w:numId w:val="8"/>
        </w:numPr>
        <w:ind w:firstLine="480"/>
        <w:jc w:val="left"/>
        <w:spacing w:line="440" w:lineRule="exact"/>
        <w:rPr>
          <w:rStyle w:val="1005"/>
          <w:rFonts w:hint="default"/>
          <w:color w:val="auto"/>
          <w:sz w:val="24"/>
          <w:szCs w:val="24"/>
          <w:highlight w:val="none"/>
          <w:lang w:bidi="ar"/>
        </w:rPr>
      </w:pPr>
      <w:r>
        <w:rPr>
          <w:rFonts w:hint="eastAsia" w:ascii="宋体" w:hAnsi="宋体" w:cs="宋体"/>
          <w:i/>
          <w:iCs/>
          <w:sz w:val="24"/>
          <w:szCs w:val="24"/>
          <w:highlight w:val="none"/>
          <w:u w:val="single"/>
          <w:lang w:bidi="ar"/>
        </w:rPr>
        <w:t xml:space="preserve">国产八核，主频2.4GHz，内置独立NPU，算力最高6.0Tops。</w:t>
      </w:r>
      <w:r/>
    </w:p>
    <w:p>
      <w:pPr>
        <w:numPr>
          <w:ilvl w:val="0"/>
          <w:numId w:val="8"/>
        </w:numPr>
        <w:ind w:firstLine="480"/>
        <w:jc w:val="left"/>
        <w:spacing w:line="440" w:lineRule="exact"/>
        <w:rPr>
          <w:rStyle w:val="1005"/>
          <w:rFonts w:hint="default"/>
          <w:color w:val="auto"/>
          <w:sz w:val="24"/>
          <w:szCs w:val="24"/>
          <w:highlight w:val="none"/>
          <w:lang w:bidi="ar"/>
        </w:rPr>
      </w:pPr>
      <w:r>
        <w:rPr>
          <w:rFonts w:hint="eastAsia" w:ascii="宋体" w:hAnsi="宋体" w:cs="宋体"/>
          <w:i/>
          <w:iCs/>
          <w:sz w:val="24"/>
          <w:szCs w:val="24"/>
          <w:highlight w:val="none"/>
          <w:u w:val="single"/>
          <w:lang w:bidi="ar"/>
        </w:rPr>
        <w:t xml:space="preserve">内存：LPDDR4 8GB; 硬盘：EMMC 32。</w:t>
      </w:r>
      <w:r/>
    </w:p>
    <w:p>
      <w:pPr>
        <w:numPr>
          <w:ilvl w:val="0"/>
          <w:numId w:val="8"/>
        </w:numPr>
        <w:ind w:firstLine="480"/>
        <w:jc w:val="left"/>
        <w:spacing w:line="440" w:lineRule="exact"/>
        <w:rPr>
          <w:rStyle w:val="1005"/>
          <w:rFonts w:hint="default"/>
          <w:i w:val="0"/>
          <w:iCs w:val="0"/>
          <w:color w:val="auto"/>
          <w:sz w:val="24"/>
          <w:szCs w:val="24"/>
          <w:highlight w:val="none"/>
          <w:lang w:bidi="ar"/>
        </w:rPr>
      </w:pPr>
      <w:r>
        <w:rPr>
          <w:rStyle w:val="1004"/>
          <w:rFonts w:hint="default"/>
          <w:i w:val="0"/>
          <w:iCs w:val="0"/>
          <w:color w:val="auto"/>
          <w:sz w:val="24"/>
          <w:szCs w:val="24"/>
          <w:highlight w:val="none"/>
          <w:lang w:bidi="ar"/>
        </w:rPr>
        <w:t xml:space="preserve">内置人脸识别、识别降噪、定向角度拾音(Beamforming)、回声消除（AEC）、静音检测（vad）端侧算法。</w:t>
      </w:r>
      <w:r/>
    </w:p>
    <w:p>
      <w:pPr>
        <w:numPr>
          <w:ilvl w:val="0"/>
          <w:numId w:val="8"/>
        </w:numPr>
        <w:ind w:firstLine="480"/>
        <w:jc w:val="left"/>
        <w:spacing w:line="440" w:lineRule="exact"/>
        <w:rPr>
          <w:rStyle w:val="1005"/>
          <w:rFonts w:hint="default"/>
          <w:color w:val="auto"/>
          <w:sz w:val="24"/>
          <w:szCs w:val="24"/>
          <w:highlight w:val="none"/>
          <w:lang w:bidi="ar"/>
        </w:rPr>
      </w:pPr>
      <w:r>
        <w:rPr>
          <w:rStyle w:val="1005"/>
          <w:rFonts w:hint="default"/>
          <w:color w:val="auto"/>
          <w:sz w:val="24"/>
          <w:szCs w:val="24"/>
          <w:highlight w:val="none"/>
          <w:lang w:bidi="ar"/>
        </w:rPr>
        <w:t xml:space="preserve">支持网页/Flash播放，借助网页/Flash的触摸互动功能。</w:t>
      </w:r>
      <w:r/>
    </w:p>
    <w:p>
      <w:pPr>
        <w:numPr>
          <w:ilvl w:val="0"/>
          <w:numId w:val="8"/>
        </w:numPr>
        <w:ind w:firstLine="480"/>
        <w:jc w:val="left"/>
        <w:spacing w:line="440" w:lineRule="exact"/>
        <w:rPr>
          <w:rStyle w:val="1005"/>
          <w:rFonts w:hint="default"/>
          <w:color w:val="auto"/>
          <w:sz w:val="24"/>
          <w:szCs w:val="24"/>
          <w:highlight w:val="none"/>
          <w:lang w:bidi="ar"/>
        </w:rPr>
      </w:pPr>
      <w:r>
        <w:rPr>
          <w:rStyle w:val="1005"/>
          <w:rFonts w:hint="default"/>
          <w:color w:val="auto"/>
          <w:sz w:val="24"/>
          <w:szCs w:val="24"/>
          <w:highlight w:val="none"/>
          <w:lang w:bidi="ar"/>
        </w:rPr>
        <w:t xml:space="preserve">双目摄像头，设备支持人脸识别算法，用户靠近时，设备主动唤醒。</w:t>
      </w:r>
      <w:r/>
    </w:p>
    <w:p>
      <w:pPr>
        <w:numPr>
          <w:ilvl w:val="0"/>
          <w:numId w:val="8"/>
        </w:numPr>
        <w:ind w:firstLine="480"/>
        <w:jc w:val="left"/>
        <w:spacing w:line="440" w:lineRule="exact"/>
        <w:rPr>
          <w:rStyle w:val="1005"/>
          <w:rFonts w:hint="default"/>
          <w:color w:val="auto"/>
          <w:sz w:val="24"/>
          <w:szCs w:val="24"/>
          <w:highlight w:val="none"/>
          <w:lang w:bidi="ar"/>
        </w:rPr>
      </w:pPr>
      <w:r>
        <w:rPr>
          <w:rFonts w:hint="eastAsia" w:ascii="宋体" w:hAnsi="宋体" w:cs="宋体"/>
          <w:i/>
          <w:iCs/>
          <w:sz w:val="24"/>
          <w:szCs w:val="24"/>
          <w:highlight w:val="none"/>
          <w:u w:val="single"/>
          <w:lang w:bidi="ar"/>
        </w:rPr>
        <w:t xml:space="preserve">麦克风8麦阵列，设备支持8+2ref通道拾音。</w:t>
      </w:r>
      <w:r/>
    </w:p>
    <w:p>
      <w:pPr>
        <w:numPr>
          <w:ilvl w:val="0"/>
          <w:numId w:val="8"/>
        </w:numPr>
        <w:ind w:firstLine="480"/>
        <w:jc w:val="left"/>
        <w:spacing w:line="440" w:lineRule="exact"/>
        <w:rPr>
          <w:rStyle w:val="1005"/>
          <w:rFonts w:hint="default"/>
          <w:color w:val="auto"/>
          <w:sz w:val="24"/>
          <w:szCs w:val="24"/>
          <w:highlight w:val="none"/>
          <w:lang w:bidi="ar"/>
        </w:rPr>
      </w:pPr>
      <w:r>
        <w:rPr>
          <w:rStyle w:val="1005"/>
          <w:rFonts w:hint="default"/>
          <w:color w:val="auto"/>
          <w:sz w:val="24"/>
          <w:szCs w:val="24"/>
          <w:highlight w:val="none"/>
          <w:lang w:bidi="ar"/>
        </w:rPr>
        <w:t xml:space="preserve">输入功能：</w:t>
      </w:r>
      <w:r>
        <w:rPr>
          <w:rStyle w:val="1005"/>
          <w:rFonts w:hint="default"/>
          <w:color w:val="auto"/>
          <w:sz w:val="24"/>
          <w:szCs w:val="24"/>
          <w:highlight w:val="none"/>
          <w:lang w:bidi="ar"/>
        </w:rPr>
        <w:br/>
      </w:r>
      <w:r>
        <w:rPr>
          <w:rStyle w:val="1005"/>
          <w:rFonts w:hint="default"/>
          <w:color w:val="auto"/>
          <w:sz w:val="24"/>
          <w:szCs w:val="24"/>
          <w:highlight w:val="none"/>
          <w:lang w:bidi="ar"/>
        </w:rPr>
        <w:t xml:space="preserve">    1) 支持电阻、电容、红外、声波等多种触摸屏。</w:t>
      </w:r>
      <w:r>
        <w:rPr>
          <w:rStyle w:val="1005"/>
          <w:rFonts w:hint="default"/>
          <w:color w:val="auto"/>
          <w:sz w:val="24"/>
          <w:szCs w:val="24"/>
          <w:highlight w:val="none"/>
          <w:lang w:bidi="ar"/>
        </w:rPr>
        <w:br/>
      </w:r>
      <w:r>
        <w:rPr>
          <w:rStyle w:val="1005"/>
          <w:rFonts w:hint="default"/>
          <w:color w:val="auto"/>
          <w:sz w:val="24"/>
          <w:szCs w:val="24"/>
          <w:highlight w:val="none"/>
          <w:lang w:bidi="ar"/>
        </w:rPr>
        <w:t xml:space="preserve">    2) 支持遥控输入。</w:t>
      </w:r>
      <w:r>
        <w:rPr>
          <w:rStyle w:val="1005"/>
          <w:rFonts w:hint="default"/>
          <w:color w:val="auto"/>
          <w:sz w:val="24"/>
          <w:szCs w:val="24"/>
          <w:highlight w:val="none"/>
          <w:lang w:bidi="ar"/>
        </w:rPr>
        <w:br/>
      </w:r>
      <w:r>
        <w:rPr>
          <w:rStyle w:val="1005"/>
          <w:rFonts w:hint="default"/>
          <w:color w:val="auto"/>
          <w:sz w:val="24"/>
          <w:szCs w:val="24"/>
          <w:highlight w:val="none"/>
          <w:lang w:bidi="ar"/>
        </w:rPr>
        <w:t xml:space="preserve">    3）支持USB鼠标/键盘输入。</w:t>
      </w:r>
      <w:r/>
    </w:p>
    <w:p>
      <w:pPr>
        <w:numPr>
          <w:ilvl w:val="0"/>
          <w:numId w:val="8"/>
        </w:numPr>
        <w:ind w:firstLine="480"/>
        <w:jc w:val="left"/>
        <w:spacing w:line="440" w:lineRule="exact"/>
        <w:rPr>
          <w:rStyle w:val="1005"/>
          <w:rFonts w:hint="default"/>
          <w:color w:val="auto"/>
          <w:sz w:val="24"/>
          <w:szCs w:val="24"/>
          <w:highlight w:val="none"/>
          <w:lang w:bidi="ar"/>
        </w:rPr>
      </w:pPr>
      <w:r>
        <w:rPr>
          <w:rStyle w:val="1005"/>
          <w:rFonts w:hint="default"/>
          <w:color w:val="auto"/>
          <w:sz w:val="24"/>
          <w:szCs w:val="24"/>
          <w:highlight w:val="none"/>
          <w:lang w:bidi="ar"/>
        </w:rPr>
        <w:t xml:space="preserve">输出功能：</w:t>
      </w:r>
      <w:r>
        <w:rPr>
          <w:rStyle w:val="1005"/>
          <w:rFonts w:hint="default"/>
          <w:color w:val="auto"/>
          <w:sz w:val="24"/>
          <w:szCs w:val="24"/>
          <w:highlight w:val="none"/>
          <w:lang w:bidi="ar"/>
        </w:rPr>
        <w:br/>
      </w:r>
      <w:r>
        <w:rPr>
          <w:rStyle w:val="1005"/>
          <w:rFonts w:hint="default"/>
          <w:color w:val="auto"/>
          <w:sz w:val="24"/>
          <w:szCs w:val="24"/>
          <w:highlight w:val="none"/>
          <w:lang w:bidi="ar"/>
        </w:rPr>
        <w:t xml:space="preserve">    1) 支持开机横屏和竖屏两种显示模式。</w:t>
      </w:r>
      <w:r>
        <w:rPr>
          <w:rStyle w:val="1005"/>
          <w:rFonts w:hint="default"/>
          <w:color w:val="auto"/>
          <w:sz w:val="24"/>
          <w:szCs w:val="24"/>
          <w:highlight w:val="none"/>
          <w:lang w:bidi="ar"/>
        </w:rPr>
        <w:br/>
      </w:r>
      <w:r>
        <w:rPr>
          <w:rStyle w:val="1005"/>
          <w:rFonts w:hint="default"/>
          <w:color w:val="auto"/>
          <w:sz w:val="24"/>
          <w:szCs w:val="24"/>
          <w:highlight w:val="none"/>
          <w:lang w:bidi="ar"/>
        </w:rPr>
        <w:t xml:space="preserve">    2) 支持LVDS点屏输出。</w:t>
      </w:r>
      <w:r>
        <w:rPr>
          <w:rStyle w:val="1005"/>
          <w:rFonts w:hint="default"/>
          <w:color w:val="auto"/>
          <w:sz w:val="24"/>
          <w:szCs w:val="24"/>
          <w:highlight w:val="none"/>
          <w:lang w:bidi="ar"/>
        </w:rPr>
        <w:br/>
      </w:r>
      <w:r>
        <w:rPr>
          <w:rStyle w:val="1005"/>
          <w:rFonts w:hint="default"/>
          <w:color w:val="auto"/>
          <w:sz w:val="24"/>
          <w:szCs w:val="24"/>
          <w:highlight w:val="none"/>
          <w:lang w:bidi="ar"/>
        </w:rPr>
        <w:t xml:space="preserve">    3）支持HDMI/VGA/AV开机输出自由切换。</w:t>
      </w:r>
      <w:r/>
    </w:p>
    <w:p>
      <w:pPr>
        <w:numPr>
          <w:ilvl w:val="0"/>
          <w:numId w:val="8"/>
        </w:numPr>
        <w:ind w:firstLine="480"/>
        <w:jc w:val="left"/>
        <w:spacing w:line="440" w:lineRule="exact"/>
        <w:rPr>
          <w:rStyle w:val="1005"/>
          <w:rFonts w:hint="default"/>
          <w:color w:val="auto"/>
          <w:sz w:val="24"/>
          <w:szCs w:val="24"/>
          <w:highlight w:val="none"/>
          <w:lang w:bidi="ar"/>
        </w:rPr>
      </w:pPr>
      <w:r>
        <w:rPr>
          <w:rStyle w:val="1005"/>
          <w:rFonts w:hint="default"/>
          <w:color w:val="auto"/>
          <w:sz w:val="24"/>
          <w:szCs w:val="24"/>
          <w:highlight w:val="none"/>
          <w:lang w:bidi="ar"/>
        </w:rPr>
        <w:t xml:space="preserve">多存储介质支持功能：可支持SD卡，USB盘，SATA硬盘。</w:t>
      </w:r>
      <w:r/>
    </w:p>
    <w:p>
      <w:pPr>
        <w:numPr>
          <w:ilvl w:val="0"/>
          <w:numId w:val="8"/>
        </w:numPr>
        <w:ind w:firstLine="480"/>
        <w:jc w:val="left"/>
        <w:spacing w:line="440" w:lineRule="exact"/>
        <w:rPr>
          <w:rStyle w:val="1005"/>
          <w:rFonts w:hint="default"/>
          <w:color w:val="auto"/>
          <w:sz w:val="24"/>
          <w:szCs w:val="24"/>
          <w:highlight w:val="none"/>
          <w:lang w:bidi="ar"/>
        </w:rPr>
      </w:pPr>
      <w:r>
        <w:rPr>
          <w:rStyle w:val="1005"/>
          <w:rFonts w:hint="default"/>
          <w:color w:val="auto"/>
          <w:sz w:val="24"/>
          <w:szCs w:val="24"/>
          <w:highlight w:val="none"/>
          <w:lang w:bidi="ar"/>
        </w:rPr>
        <w:t xml:space="preserve">分屏播放：支持1080P视频、图片、字幕、时间、天气预报等元素自由分屏功能。</w:t>
      </w:r>
      <w:r/>
    </w:p>
    <w:p>
      <w:pPr>
        <w:numPr>
          <w:ilvl w:val="0"/>
          <w:numId w:val="8"/>
        </w:numPr>
        <w:ind w:firstLine="480"/>
        <w:jc w:val="left"/>
        <w:spacing w:line="440" w:lineRule="exact"/>
        <w:rPr>
          <w:rStyle w:val="1005"/>
          <w:rFonts w:hint="default"/>
          <w:color w:val="auto"/>
          <w:sz w:val="24"/>
          <w:szCs w:val="24"/>
          <w:highlight w:val="none"/>
          <w:lang w:bidi="ar"/>
        </w:rPr>
      </w:pPr>
      <w:r>
        <w:rPr>
          <w:rStyle w:val="1005"/>
          <w:rFonts w:hint="default"/>
          <w:color w:val="auto"/>
          <w:sz w:val="24"/>
          <w:szCs w:val="24"/>
          <w:highlight w:val="none"/>
          <w:lang w:bidi="ar"/>
        </w:rPr>
        <w:t xml:space="preserve">网络支持：支持有线/Wifi/4G接入。</w:t>
      </w:r>
      <w:r/>
    </w:p>
    <w:p>
      <w:pPr>
        <w:numPr>
          <w:ilvl w:val="0"/>
          <w:numId w:val="8"/>
        </w:numPr>
        <w:ind w:firstLine="480"/>
        <w:jc w:val="left"/>
        <w:spacing w:line="440" w:lineRule="exact"/>
        <w:rPr>
          <w:rStyle w:val="1005"/>
          <w:rFonts w:hint="default"/>
          <w:color w:val="auto"/>
          <w:sz w:val="24"/>
          <w:szCs w:val="24"/>
          <w:highlight w:val="none"/>
          <w:lang w:bidi="ar"/>
        </w:rPr>
      </w:pPr>
      <w:r>
        <w:rPr>
          <w:rFonts w:hint="eastAsia" w:ascii="宋体" w:hAnsi="宋体" w:cs="宋体"/>
          <w:i/>
          <w:iCs/>
          <w:color w:val="000000" w:themeColor="text1"/>
          <w:sz w:val="24"/>
          <w:szCs w:val="24"/>
          <w:highlight w:val="none"/>
          <w:u w:val="single"/>
          <w14:textFill>
            <w14:solidFill>
              <w14:schemeClr w14:val="tx1"/>
            </w14:solidFill>
          </w14:textFill>
        </w:rPr>
        <w:t xml:space="preserve">提供三年原厂质保服务。</w:t>
      </w:r>
      <w:r/>
    </w:p>
    <w:p>
      <w:pPr>
        <w:pStyle w:val="987"/>
        <w:rPr>
          <w:rFonts w:hAnsi="宋体" w:cs="宋体"/>
          <w:highlight w:val="none"/>
        </w:rPr>
      </w:pPr>
      <w:r>
        <w:rPr>
          <w:rFonts w:hint="eastAsia" w:hAnsi="宋体" w:cs="宋体"/>
          <w:sz w:val="24"/>
          <w:szCs w:val="24"/>
          <w:highlight w:val="none"/>
        </w:rPr>
        <w:t xml:space="preserve">2.2.8行为分析设备</w:t>
      </w:r>
      <w:r>
        <w:rPr>
          <w:rFonts w:hint="eastAsia" w:hAnsi="宋体" w:cs="宋体"/>
          <w:sz w:val="24"/>
          <w:szCs w:val="24"/>
          <w:highlight w:val="none"/>
          <w:lang w:eastAsia="zh-CN"/>
        </w:rPr>
        <w:t xml:space="preserve">（</w:t>
      </w:r>
      <w:r>
        <w:rPr>
          <w:rFonts w:hint="eastAsia" w:hAnsi="宋体" w:cs="宋体"/>
          <w:sz w:val="24"/>
          <w:szCs w:val="24"/>
          <w:highlight w:val="none"/>
          <w:lang w:val="en-US" w:eastAsia="zh-CN"/>
        </w:rPr>
        <w:t xml:space="preserve">一</w:t>
      </w:r>
      <w:r>
        <w:rPr>
          <w:rFonts w:hint="eastAsia" w:hAnsi="宋体" w:cs="宋体"/>
          <w:sz w:val="24"/>
          <w:szCs w:val="24"/>
          <w:highlight w:val="none"/>
          <w:lang w:eastAsia="zh-CN"/>
        </w:rPr>
        <w:t xml:space="preserve">）</w:t>
      </w:r>
      <w:r>
        <w:rPr>
          <w:rFonts w:hint="eastAsia"/>
          <w:sz w:val="24"/>
          <w:szCs w:val="24"/>
          <w:highlight w:val="none"/>
        </w:rPr>
        <w:t xml:space="preserve">技术指标要求</w:t>
      </w:r>
      <w:r>
        <w:rPr>
          <w:rFonts w:hint="eastAsia" w:hAnsi="宋体" w:cs="宋体"/>
          <w:sz w:val="24"/>
          <w:szCs w:val="24"/>
          <w:highlight w:val="none"/>
        </w:rPr>
        <w:t xml:space="preserve">（2台）</w:t>
      </w:r>
      <w:r/>
    </w:p>
    <w:p>
      <w:pPr>
        <w:numPr>
          <w:ilvl w:val="0"/>
          <w:numId w:val="9"/>
        </w:numPr>
        <w:ind w:firstLine="480"/>
        <w:jc w:val="left"/>
        <w:spacing w:line="440" w:lineRule="exact"/>
        <w:rPr>
          <w:rFonts w:ascii="宋体" w:hAnsi="宋体" w:cs="宋体"/>
          <w:i/>
          <w:iCs/>
          <w:sz w:val="24"/>
          <w:szCs w:val="24"/>
          <w:highlight w:val="none"/>
          <w:u w:val="single"/>
          <w:lang w:bidi="ar"/>
        </w:rPr>
      </w:pPr>
      <w:r>
        <w:rPr>
          <w:rFonts w:hint="eastAsia" w:ascii="宋体" w:hAnsi="宋体" w:cs="宋体"/>
          <w:i/>
          <w:iCs/>
          <w:sz w:val="24"/>
          <w:szCs w:val="24"/>
          <w:highlight w:val="none"/>
          <w:u w:val="single"/>
          <w:lang w:bidi="ar"/>
        </w:rPr>
        <w:t xml:space="preserve">设备需包含至少1颗8核的</w:t>
      </w:r>
      <w:r>
        <w:rPr>
          <w:rFonts w:hint="eastAsia" w:ascii="宋体" w:hAnsi="宋体" w:cs="宋体"/>
          <w:i/>
          <w:iCs/>
          <w:sz w:val="24"/>
          <w:szCs w:val="24"/>
          <w:highlight w:val="none"/>
          <w:u w:val="single"/>
          <w:lang w:val="en-US" w:eastAsia="zh-CN" w:bidi="ar"/>
        </w:rPr>
        <w:t xml:space="preserve">国产化</w:t>
      </w:r>
      <w:r>
        <w:rPr>
          <w:rFonts w:hint="eastAsia" w:ascii="宋体" w:hAnsi="宋体" w:cs="宋体"/>
          <w:i/>
          <w:iCs/>
          <w:sz w:val="24"/>
          <w:szCs w:val="24"/>
          <w:highlight w:val="none"/>
          <w:u w:val="single"/>
          <w:lang w:bidi="ar"/>
        </w:rPr>
        <w:t xml:space="preserve">CPU，且其最高主频不低于2.2GHz。</w:t>
      </w:r>
      <w:r/>
    </w:p>
    <w:p>
      <w:pPr>
        <w:numPr>
          <w:ilvl w:val="0"/>
          <w:numId w:val="9"/>
        </w:numPr>
        <w:ind w:firstLine="480"/>
        <w:jc w:val="left"/>
        <w:spacing w:line="440" w:lineRule="exact"/>
        <w:rPr>
          <w:rFonts w:ascii="宋体" w:hAnsi="宋体" w:cs="宋体"/>
          <w:sz w:val="24"/>
          <w:szCs w:val="24"/>
          <w:highlight w:val="none"/>
          <w:u w:val="single"/>
        </w:rPr>
      </w:pPr>
      <w:r>
        <w:rPr>
          <w:rFonts w:hint="eastAsia" w:ascii="宋体" w:hAnsi="宋体" w:cs="宋体"/>
          <w:i/>
          <w:iCs/>
          <w:sz w:val="24"/>
          <w:szCs w:val="24"/>
          <w:highlight w:val="none"/>
          <w:u w:val="single"/>
          <w:lang w:bidi="ar"/>
        </w:rPr>
        <w:t xml:space="preserve">设备需包含不低于4张智能卡，单卡可提供64TOPS INT8算力。</w:t>
      </w:r>
      <w:r/>
    </w:p>
    <w:p>
      <w:pPr>
        <w:numPr>
          <w:ilvl w:val="0"/>
          <w:numId w:val="9"/>
        </w:numPr>
        <w:ind w:firstLine="480"/>
        <w:jc w:val="left"/>
        <w:spacing w:line="440" w:lineRule="exact"/>
        <w:rPr>
          <w:rFonts w:ascii="宋体" w:hAnsi="宋体" w:cs="宋体"/>
          <w:sz w:val="24"/>
          <w:szCs w:val="24"/>
          <w:highlight w:val="none"/>
          <w:u w:val="single"/>
        </w:rPr>
      </w:pPr>
      <w:r>
        <w:rPr>
          <w:rFonts w:hint="eastAsia" w:ascii="宋体" w:hAnsi="宋体" w:cs="宋体"/>
          <w:i/>
          <w:iCs/>
          <w:sz w:val="24"/>
          <w:szCs w:val="24"/>
          <w:highlight w:val="none"/>
          <w:u w:val="single"/>
          <w:lang w:bidi="ar"/>
        </w:rPr>
        <w:t xml:space="preserve">系统盘：1×480GB SSD。 </w:t>
      </w:r>
      <w:r>
        <w:rPr>
          <w:rFonts w:hint="eastAsia" w:ascii="宋体" w:hAnsi="宋体" w:cs="宋体"/>
          <w:sz w:val="24"/>
          <w:szCs w:val="24"/>
          <w:highlight w:val="none"/>
          <w:u w:val="single"/>
          <w:lang w:bidi="ar"/>
        </w:rPr>
        <w:t xml:space="preserve"> </w:t>
      </w:r>
      <w:r/>
    </w:p>
    <w:p>
      <w:pPr>
        <w:numPr>
          <w:ilvl w:val="0"/>
          <w:numId w:val="9"/>
        </w:numPr>
        <w:ind w:firstLine="480"/>
        <w:jc w:val="left"/>
        <w:spacing w:line="440" w:lineRule="exact"/>
        <w:rPr>
          <w:rFonts w:ascii="宋体" w:hAnsi="宋体" w:cs="宋体"/>
          <w:sz w:val="24"/>
          <w:szCs w:val="24"/>
          <w:highlight w:val="none"/>
          <w:u w:val="single"/>
        </w:rPr>
      </w:pPr>
      <w:r>
        <w:rPr>
          <w:rFonts w:hint="eastAsia" w:ascii="宋体" w:hAnsi="宋体" w:cs="宋体"/>
          <w:i/>
          <w:iCs/>
          <w:sz w:val="24"/>
          <w:szCs w:val="24"/>
          <w:highlight w:val="none"/>
          <w:u w:val="single"/>
          <w:lang w:bidi="ar"/>
        </w:rPr>
        <w:t xml:space="preserve">网络接口，需满足至少4个千兆电口。</w:t>
      </w:r>
      <w:r/>
    </w:p>
    <w:p>
      <w:pPr>
        <w:numPr>
          <w:ilvl w:val="0"/>
          <w:numId w:val="9"/>
        </w:numPr>
        <w:ind w:firstLine="480"/>
        <w:jc w:val="left"/>
        <w:spacing w:line="440" w:lineRule="exact"/>
        <w:rPr>
          <w:rFonts w:ascii="宋体" w:hAnsi="宋体" w:cs="宋体"/>
          <w:sz w:val="24"/>
          <w:szCs w:val="24"/>
          <w:highlight w:val="none"/>
          <w:u w:val="single"/>
        </w:rPr>
      </w:pPr>
      <w:r>
        <w:rPr>
          <w:rFonts w:hint="eastAsia" w:ascii="宋体" w:hAnsi="宋体" w:cs="宋体"/>
          <w:sz w:val="24"/>
          <w:szCs w:val="24"/>
          <w:highlight w:val="none"/>
          <w:lang w:bidi="ar"/>
        </w:rPr>
        <w:t xml:space="preserve">支持算法类型：人数异常检测、超时滞留检测、岗位值守状态检测、玩手机检测、倒地检测、人员站立、静坐、剧烈运动、吸烟等。</w:t>
      </w:r>
      <w:r/>
    </w:p>
    <w:p>
      <w:pPr>
        <w:numPr>
          <w:ilvl w:val="0"/>
          <w:numId w:val="9"/>
        </w:numPr>
        <w:ind w:firstLine="480"/>
        <w:jc w:val="left"/>
        <w:spacing w:line="440" w:lineRule="exact"/>
        <w:rPr>
          <w:rFonts w:ascii="宋体" w:hAnsi="宋体" w:cs="宋体"/>
          <w:sz w:val="24"/>
          <w:szCs w:val="24"/>
          <w:highlight w:val="none"/>
          <w:u w:val="single"/>
        </w:rPr>
      </w:pPr>
      <w:r>
        <w:rPr>
          <w:rFonts w:hint="eastAsia" w:ascii="宋体" w:hAnsi="宋体" w:cs="宋体"/>
          <w:sz w:val="24"/>
          <w:szCs w:val="24"/>
          <w:highlight w:val="none"/>
          <w:lang w:bidi="ar"/>
        </w:rPr>
        <w:t xml:space="preserve">支持区域入侵检测、进入区域检测、离开区域检测、徘徊检测等算法</w:t>
      </w:r>
      <w:r>
        <w:rPr>
          <w:rStyle w:val="1004"/>
          <w:rFonts w:hint="default"/>
          <w:color w:val="auto"/>
          <w:sz w:val="24"/>
          <w:szCs w:val="24"/>
          <w:highlight w:val="none"/>
          <w:lang w:bidi="ar"/>
        </w:rPr>
        <w:t xml:space="preserve">；人体关节点识别：举手、翻越闸机、基础人体关键点算法检测。</w:t>
      </w:r>
      <w:r/>
    </w:p>
    <w:p>
      <w:pPr>
        <w:numPr>
          <w:ilvl w:val="0"/>
          <w:numId w:val="9"/>
        </w:numPr>
        <w:ind w:firstLine="480"/>
        <w:jc w:val="left"/>
        <w:spacing w:line="440" w:lineRule="exact"/>
        <w:rPr>
          <w:rFonts w:ascii="宋体" w:hAnsi="宋体" w:cs="宋体"/>
          <w:i/>
          <w:iCs/>
          <w:sz w:val="24"/>
          <w:szCs w:val="24"/>
          <w:highlight w:val="none"/>
          <w:u w:val="single"/>
        </w:rPr>
      </w:pPr>
      <w:r>
        <w:rPr>
          <w:rStyle w:val="1004"/>
          <w:rFonts w:hint="default"/>
          <w:i/>
          <w:iCs/>
          <w:color w:val="auto"/>
          <w:sz w:val="24"/>
          <w:szCs w:val="24"/>
          <w:highlight w:val="none"/>
          <w:u w:val="single"/>
          <w:lang w:bidi="ar"/>
        </w:rPr>
        <w:t xml:space="preserve">服务器需为中心端设备（非边缘端），设备支持集群部署，支持主备节点运行，支持多个GPU芯片集群调度；支持自动调度GPU资源处理下发的分析任务</w:t>
      </w:r>
      <w:r>
        <w:rPr>
          <w:rStyle w:val="1005"/>
          <w:rFonts w:hint="default"/>
          <w:i/>
          <w:iCs/>
          <w:color w:val="auto"/>
          <w:sz w:val="24"/>
          <w:szCs w:val="24"/>
          <w:highlight w:val="none"/>
          <w:u w:val="single"/>
          <w:lang w:bidi="ar"/>
        </w:rPr>
        <w:t xml:space="preserve">。</w:t>
      </w:r>
      <w:r/>
    </w:p>
    <w:p>
      <w:pPr>
        <w:numPr>
          <w:ilvl w:val="0"/>
          <w:numId w:val="9"/>
        </w:numPr>
        <w:ind w:firstLine="480"/>
        <w:jc w:val="left"/>
        <w:spacing w:line="440" w:lineRule="exact"/>
        <w:rPr>
          <w:rFonts w:ascii="宋体" w:hAnsi="宋体" w:cs="宋体"/>
          <w:color w:val="auto"/>
          <w:sz w:val="24"/>
          <w:szCs w:val="24"/>
          <w:highlight w:val="none"/>
          <w:u w:val="single"/>
        </w:rPr>
      </w:pPr>
      <w:r>
        <w:rPr>
          <w:rStyle w:val="1005"/>
          <w:rFonts w:hint="default"/>
          <w:color w:val="auto"/>
          <w:sz w:val="24"/>
          <w:szCs w:val="24"/>
          <w:highlight w:val="none"/>
          <w:lang w:bidi="ar"/>
        </w:rPr>
        <w:t xml:space="preserve">▲</w:t>
      </w:r>
      <w:r>
        <w:rPr>
          <w:rStyle w:val="1004"/>
          <w:rFonts w:hint="default"/>
          <w:color w:val="auto"/>
          <w:sz w:val="24"/>
          <w:szCs w:val="24"/>
          <w:highlight w:val="none"/>
          <w:lang w:bidi="ar"/>
        </w:rPr>
        <w:t xml:space="preserve">支持导入视觉大模型算法进行解析，支持算法高精度模式与均衡模式切换，支持对AI模型进行增加、删除、查询管理操作，支持新增上传不少于64个AI模型。（提供公安部授权检测机构或第三方检测机构出具的检验报告原件扫描上传）</w:t>
      </w:r>
      <w:r/>
    </w:p>
    <w:p>
      <w:pPr>
        <w:numPr>
          <w:ilvl w:val="0"/>
          <w:numId w:val="9"/>
        </w:numPr>
        <w:ind w:firstLine="480"/>
        <w:jc w:val="left"/>
        <w:spacing w:line="440" w:lineRule="exact"/>
        <w:rPr>
          <w:rFonts w:ascii="宋体" w:hAnsi="宋体" w:cs="宋体"/>
          <w:sz w:val="24"/>
          <w:szCs w:val="24"/>
          <w:highlight w:val="none"/>
        </w:rPr>
      </w:pPr>
      <w:r>
        <w:rPr>
          <w:rStyle w:val="1004"/>
          <w:rFonts w:hint="default"/>
          <w:i/>
          <w:iCs/>
          <w:color w:val="auto"/>
          <w:sz w:val="24"/>
          <w:szCs w:val="24"/>
          <w:highlight w:val="none"/>
          <w:u w:val="single"/>
          <w:lang w:bidi="ar"/>
        </w:rPr>
        <w:t xml:space="preserve">为保证项目整体落地的稳定性，本次项目的分析服务器需完全适配后端定制系统，包括统一管理系统、视频分析系统、智能体开发。</w:t>
      </w:r>
      <w:r/>
    </w:p>
    <w:p>
      <w:pPr>
        <w:numPr>
          <w:ilvl w:val="0"/>
          <w:numId w:val="9"/>
        </w:numPr>
        <w:ind w:firstLine="480"/>
        <w:jc w:val="left"/>
        <w:spacing w:line="440" w:lineRule="exact"/>
        <w:rPr>
          <w:rFonts w:ascii="宋体" w:hAnsi="宋体" w:cs="宋体"/>
          <w:sz w:val="24"/>
          <w:szCs w:val="24"/>
          <w:highlight w:val="none"/>
        </w:rPr>
      </w:pPr>
      <w:r>
        <w:rPr>
          <w:rFonts w:hint="eastAsia" w:ascii="宋体" w:hAnsi="宋体" w:cs="宋体"/>
          <w:i/>
          <w:iCs/>
          <w:color w:val="000000" w:themeColor="text1"/>
          <w:sz w:val="24"/>
          <w:szCs w:val="24"/>
          <w:highlight w:val="none"/>
          <w:u w:val="single"/>
          <w14:textFill>
            <w14:solidFill>
              <w14:schemeClr w14:val="tx1"/>
            </w14:solidFill>
          </w14:textFill>
        </w:rPr>
        <w:t xml:space="preserve">提供三年原厂质保服务。</w:t>
      </w:r>
      <w:r/>
    </w:p>
    <w:p>
      <w:pPr>
        <w:pStyle w:val="987"/>
        <w:rPr>
          <w:rFonts w:hAnsi="宋体" w:cs="宋体"/>
          <w:highlight w:val="none"/>
        </w:rPr>
      </w:pPr>
      <w:r>
        <w:rPr>
          <w:rFonts w:hint="eastAsia" w:hAnsi="宋体" w:cs="宋体"/>
          <w:sz w:val="24"/>
          <w:szCs w:val="24"/>
          <w:highlight w:val="none"/>
        </w:rPr>
        <w:t xml:space="preserve">2.2.9行为分析设备</w:t>
      </w:r>
      <w:r>
        <w:rPr>
          <w:rFonts w:hint="eastAsia" w:hAnsi="宋体" w:cs="宋体"/>
          <w:sz w:val="24"/>
          <w:szCs w:val="24"/>
          <w:highlight w:val="none"/>
          <w:lang w:eastAsia="zh-CN"/>
        </w:rPr>
        <w:t xml:space="preserve">（</w:t>
      </w:r>
      <w:r>
        <w:rPr>
          <w:rFonts w:hint="eastAsia" w:hAnsi="宋体" w:cs="宋体"/>
          <w:sz w:val="24"/>
          <w:szCs w:val="24"/>
          <w:highlight w:val="none"/>
          <w:lang w:val="en-US" w:eastAsia="zh-CN"/>
        </w:rPr>
        <w:t xml:space="preserve">二</w:t>
      </w:r>
      <w:r>
        <w:rPr>
          <w:rFonts w:hint="eastAsia" w:hAnsi="宋体" w:cs="宋体"/>
          <w:sz w:val="24"/>
          <w:szCs w:val="24"/>
          <w:highlight w:val="none"/>
          <w:lang w:eastAsia="zh-CN"/>
        </w:rPr>
        <w:t xml:space="preserve">）</w:t>
      </w:r>
      <w:r>
        <w:rPr>
          <w:rFonts w:hint="eastAsia"/>
          <w:sz w:val="24"/>
          <w:szCs w:val="24"/>
          <w:highlight w:val="none"/>
        </w:rPr>
        <w:t xml:space="preserve">技术指标要求</w:t>
      </w:r>
      <w:r>
        <w:rPr>
          <w:rFonts w:hint="eastAsia" w:hAnsi="宋体" w:cs="宋体"/>
          <w:sz w:val="24"/>
          <w:szCs w:val="24"/>
          <w:highlight w:val="none"/>
        </w:rPr>
        <w:t xml:space="preserve">（1台）</w:t>
      </w:r>
      <w:r/>
    </w:p>
    <w:p>
      <w:pPr>
        <w:numPr>
          <w:ilvl w:val="0"/>
          <w:numId w:val="10"/>
        </w:numPr>
        <w:ind w:firstLine="480"/>
        <w:jc w:val="left"/>
        <w:widowControl/>
        <w:rPr>
          <w:rFonts w:ascii="宋体" w:hAnsi="宋体" w:cs="宋体"/>
          <w:i/>
          <w:iCs/>
          <w:sz w:val="24"/>
          <w:szCs w:val="24"/>
          <w:highlight w:val="none"/>
          <w:u w:val="single"/>
          <w:lang w:bidi="ar"/>
        </w:rPr>
      </w:pPr>
      <w:r>
        <w:rPr>
          <w:rFonts w:hint="eastAsia" w:ascii="宋体" w:hAnsi="宋体" w:cs="宋体"/>
          <w:i/>
          <w:iCs/>
          <w:sz w:val="24"/>
          <w:szCs w:val="24"/>
          <w:highlight w:val="none"/>
          <w:u w:val="single"/>
          <w:lang w:bidi="ar"/>
        </w:rPr>
        <w:t xml:space="preserve">设备需包含至少1颗8核的</w:t>
      </w:r>
      <w:r>
        <w:rPr>
          <w:rFonts w:hint="eastAsia" w:ascii="宋体" w:hAnsi="宋体" w:cs="宋体"/>
          <w:i/>
          <w:iCs/>
          <w:sz w:val="24"/>
          <w:szCs w:val="24"/>
          <w:highlight w:val="none"/>
          <w:u w:val="single"/>
          <w:lang w:val="en-US" w:eastAsia="zh-CN" w:bidi="ar"/>
        </w:rPr>
        <w:t xml:space="preserve">国产化</w:t>
      </w:r>
      <w:r>
        <w:rPr>
          <w:rFonts w:hint="eastAsia" w:ascii="宋体" w:hAnsi="宋体" w:cs="宋体"/>
          <w:i/>
          <w:iCs/>
          <w:sz w:val="24"/>
          <w:szCs w:val="24"/>
          <w:highlight w:val="none"/>
          <w:u w:val="single"/>
          <w:lang w:bidi="ar"/>
        </w:rPr>
        <w:t xml:space="preserve">CPU，且其最高主频不低于2.2GHz。</w:t>
      </w:r>
      <w:r/>
    </w:p>
    <w:p>
      <w:pPr>
        <w:numPr>
          <w:ilvl w:val="0"/>
          <w:numId w:val="10"/>
        </w:numPr>
        <w:ind w:firstLine="480"/>
        <w:jc w:val="left"/>
        <w:widowControl/>
        <w:rPr>
          <w:rStyle w:val="1004"/>
          <w:rFonts w:hint="default"/>
          <w:color w:val="auto"/>
          <w:sz w:val="24"/>
          <w:szCs w:val="24"/>
          <w:highlight w:val="none"/>
          <w:lang w:bidi="ar"/>
        </w:rPr>
      </w:pPr>
      <w:r>
        <w:rPr>
          <w:rFonts w:hint="eastAsia" w:ascii="宋体" w:hAnsi="宋体" w:cs="宋体"/>
          <w:i/>
          <w:iCs/>
          <w:sz w:val="24"/>
          <w:szCs w:val="24"/>
          <w:highlight w:val="none"/>
          <w:u w:val="single"/>
          <w:lang w:bidi="ar"/>
        </w:rPr>
        <w:t xml:space="preserve">设备需包含不低于1张智能卡，单卡可提供64TOPS INT8算力。</w:t>
      </w:r>
      <w:r/>
    </w:p>
    <w:p>
      <w:pPr>
        <w:numPr>
          <w:ilvl w:val="0"/>
          <w:numId w:val="10"/>
        </w:numPr>
        <w:ind w:firstLine="480"/>
        <w:jc w:val="left"/>
        <w:widowControl/>
        <w:rPr>
          <w:rStyle w:val="1004"/>
          <w:rFonts w:hint="default"/>
          <w:color w:val="auto"/>
          <w:sz w:val="24"/>
          <w:szCs w:val="24"/>
          <w:highlight w:val="none"/>
          <w:lang w:bidi="ar"/>
        </w:rPr>
      </w:pPr>
      <w:r>
        <w:rPr>
          <w:rFonts w:hint="eastAsia" w:ascii="宋体" w:hAnsi="宋体" w:cs="宋体"/>
          <w:i/>
          <w:iCs/>
          <w:sz w:val="24"/>
          <w:szCs w:val="24"/>
          <w:highlight w:val="none"/>
          <w:u w:val="single"/>
          <w:lang w:bidi="ar"/>
        </w:rPr>
        <w:t xml:space="preserve">系统盘：1×480GB SSD。</w:t>
      </w:r>
      <w:r/>
    </w:p>
    <w:p>
      <w:pPr>
        <w:numPr>
          <w:ilvl w:val="0"/>
          <w:numId w:val="10"/>
        </w:numPr>
        <w:ind w:firstLine="480"/>
        <w:jc w:val="left"/>
        <w:widowControl/>
        <w:rPr>
          <w:rStyle w:val="1004"/>
          <w:rFonts w:hint="default"/>
          <w:color w:val="auto"/>
          <w:sz w:val="24"/>
          <w:szCs w:val="24"/>
          <w:highlight w:val="none"/>
          <w:lang w:bidi="ar"/>
        </w:rPr>
      </w:pPr>
      <w:r>
        <w:rPr>
          <w:rFonts w:hint="eastAsia" w:ascii="宋体" w:hAnsi="宋体" w:cs="宋体"/>
          <w:i/>
          <w:iCs/>
          <w:sz w:val="24"/>
          <w:szCs w:val="24"/>
          <w:highlight w:val="none"/>
          <w:u w:val="single"/>
          <w:lang w:bidi="ar"/>
        </w:rPr>
        <w:t xml:space="preserve">网络接口，需满足至少4个千兆电口。</w:t>
      </w:r>
      <w:r/>
    </w:p>
    <w:p>
      <w:pPr>
        <w:numPr>
          <w:ilvl w:val="0"/>
          <w:numId w:val="10"/>
        </w:numPr>
        <w:ind w:firstLine="480"/>
        <w:jc w:val="left"/>
        <w:widowControl/>
        <w:rPr>
          <w:rStyle w:val="1004"/>
          <w:rFonts w:hint="default"/>
          <w:color w:val="auto"/>
          <w:sz w:val="24"/>
          <w:szCs w:val="24"/>
          <w:highlight w:val="none"/>
          <w:lang w:bidi="ar"/>
        </w:rPr>
      </w:pPr>
      <w:r>
        <w:rPr>
          <w:rFonts w:hint="eastAsia" w:ascii="宋体" w:hAnsi="宋体" w:cs="宋体"/>
          <w:sz w:val="24"/>
          <w:szCs w:val="24"/>
          <w:highlight w:val="none"/>
          <w:lang w:bidi="ar"/>
        </w:rPr>
        <w:t xml:space="preserve">支持算法类型：人数异常检测、超时滞留检测、岗位值守状态检测、玩手机检测、倒地检测、人员站立、静坐、剧烈运动、吸烟等。</w:t>
      </w:r>
      <w:r/>
    </w:p>
    <w:p>
      <w:pPr>
        <w:numPr>
          <w:ilvl w:val="0"/>
          <w:numId w:val="10"/>
        </w:numPr>
        <w:ind w:firstLine="480"/>
        <w:jc w:val="left"/>
        <w:widowControl/>
        <w:rPr>
          <w:rStyle w:val="1004"/>
          <w:rFonts w:hint="default"/>
          <w:color w:val="auto"/>
          <w:sz w:val="24"/>
          <w:szCs w:val="24"/>
          <w:highlight w:val="none"/>
          <w:lang w:bidi="ar"/>
        </w:rPr>
      </w:pPr>
      <w:r>
        <w:rPr>
          <w:rFonts w:hint="eastAsia" w:ascii="宋体" w:hAnsi="宋体" w:cs="宋体"/>
          <w:sz w:val="24"/>
          <w:szCs w:val="24"/>
          <w:highlight w:val="none"/>
          <w:lang w:bidi="ar"/>
        </w:rPr>
        <w:t xml:space="preserve">支持区域入侵检测、进入区域检测、离开区域检测、徘徊检测等算法；</w:t>
      </w:r>
      <w:r>
        <w:rPr>
          <w:rStyle w:val="1004"/>
          <w:rFonts w:hint="default"/>
          <w:color w:val="auto"/>
          <w:sz w:val="24"/>
          <w:szCs w:val="24"/>
          <w:highlight w:val="none"/>
          <w:lang w:bidi="ar"/>
        </w:rPr>
        <w:t xml:space="preserve">人体关节点识别：举手、翻越闸机、基础人体关键点算法检测。</w:t>
      </w:r>
      <w:r/>
    </w:p>
    <w:p>
      <w:pPr>
        <w:numPr>
          <w:ilvl w:val="0"/>
          <w:numId w:val="10"/>
        </w:numPr>
        <w:ind w:firstLine="480"/>
        <w:jc w:val="left"/>
        <w:widowControl/>
        <w:rPr>
          <w:rStyle w:val="1004"/>
          <w:rFonts w:hint="default"/>
          <w:i/>
          <w:iCs/>
          <w:color w:val="auto"/>
          <w:sz w:val="24"/>
          <w:szCs w:val="24"/>
          <w:highlight w:val="none"/>
          <w:u w:val="single"/>
          <w:lang w:bidi="ar"/>
        </w:rPr>
      </w:pPr>
      <w:r>
        <w:rPr>
          <w:rStyle w:val="1004"/>
          <w:rFonts w:hint="default"/>
          <w:i/>
          <w:iCs/>
          <w:color w:val="auto"/>
          <w:sz w:val="24"/>
          <w:szCs w:val="24"/>
          <w:highlight w:val="none"/>
          <w:u w:val="single"/>
          <w:lang w:bidi="ar"/>
        </w:rPr>
        <w:t xml:space="preserve">服务器需为中心端设备（非边缘端），设备支持集群部署，支持主备节点运行，支持多个GPU芯片集群调度；支持自动调度GPU资源处理下发的分析任务。</w:t>
      </w:r>
      <w:r/>
    </w:p>
    <w:p>
      <w:pPr>
        <w:numPr>
          <w:ilvl w:val="0"/>
          <w:numId w:val="10"/>
        </w:numPr>
        <w:ind w:firstLine="480"/>
        <w:jc w:val="left"/>
        <w:widowControl/>
        <w:rPr>
          <w:rStyle w:val="1004"/>
          <w:rFonts w:hint="default"/>
          <w:i/>
          <w:iCs/>
          <w:color w:val="auto"/>
          <w:sz w:val="24"/>
          <w:szCs w:val="24"/>
          <w:highlight w:val="none"/>
          <w:u w:val="single"/>
          <w:lang w:bidi="ar"/>
        </w:rPr>
      </w:pPr>
      <w:r>
        <w:rPr>
          <w:rStyle w:val="1004"/>
          <w:rFonts w:hint="default"/>
          <w:color w:val="auto"/>
          <w:sz w:val="24"/>
          <w:szCs w:val="24"/>
          <w:highlight w:val="none"/>
          <w:lang w:bidi="ar"/>
        </w:rPr>
        <w:t xml:space="preserve">支持导入视觉大模型算法进行解析，支持算法高精度模式与均衡模式切换，支持对AI模型进行增加、删除、查询管理操作，支持新增上传不少于64个AI模型。</w:t>
      </w:r>
      <w:r/>
    </w:p>
    <w:p>
      <w:pPr>
        <w:numPr>
          <w:ilvl w:val="0"/>
          <w:numId w:val="10"/>
        </w:numPr>
        <w:ind w:firstLine="480"/>
        <w:jc w:val="left"/>
        <w:widowControl/>
        <w:rPr>
          <w:rFonts w:ascii="宋体" w:hAnsi="宋体" w:cs="宋体"/>
          <w:sz w:val="24"/>
          <w:szCs w:val="24"/>
          <w:highlight w:val="none"/>
        </w:rPr>
      </w:pPr>
      <w:r>
        <w:rPr>
          <w:rStyle w:val="1004"/>
          <w:rFonts w:hint="default"/>
          <w:i/>
          <w:iCs/>
          <w:color w:val="auto"/>
          <w:sz w:val="24"/>
          <w:szCs w:val="24"/>
          <w:highlight w:val="none"/>
          <w:u w:val="single"/>
          <w:lang w:bidi="ar"/>
        </w:rPr>
        <w:t xml:space="preserve">为保证项目整体落地的稳定性，本次项目的分析服务器需完全适配后端定制系统，包括统一管理系统、视频分析系统、智能体开发。</w:t>
      </w:r>
      <w:r/>
    </w:p>
    <w:p>
      <w:pPr>
        <w:numPr>
          <w:ilvl w:val="0"/>
          <w:numId w:val="10"/>
        </w:numPr>
        <w:ind w:firstLine="480"/>
        <w:jc w:val="left"/>
        <w:widowControl/>
        <w:rPr>
          <w:rFonts w:ascii="宋体" w:hAnsi="宋体" w:cs="宋体"/>
          <w:sz w:val="24"/>
          <w:szCs w:val="24"/>
          <w:highlight w:val="none"/>
        </w:rPr>
      </w:pPr>
      <w:r>
        <w:rPr>
          <w:rFonts w:hint="eastAsia" w:ascii="宋体" w:hAnsi="宋体" w:cs="宋体"/>
          <w:i/>
          <w:iCs/>
          <w:color w:val="000000" w:themeColor="text1"/>
          <w:sz w:val="24"/>
          <w:szCs w:val="24"/>
          <w:highlight w:val="none"/>
          <w:u w:val="single"/>
          <w14:textFill>
            <w14:solidFill>
              <w14:schemeClr w14:val="tx1"/>
            </w14:solidFill>
          </w14:textFill>
        </w:rPr>
        <w:t xml:space="preserve">提供三年原厂质保服务。</w:t>
      </w:r>
      <w:r/>
    </w:p>
    <w:p>
      <w:pPr>
        <w:pStyle w:val="987"/>
        <w:rPr>
          <w:rFonts w:hAnsi="宋体" w:cs="宋体"/>
          <w:highlight w:val="none"/>
        </w:rPr>
      </w:pPr>
      <w:r>
        <w:rPr>
          <w:rFonts w:hint="eastAsia" w:hAnsi="宋体" w:cs="宋体"/>
          <w:sz w:val="24"/>
          <w:szCs w:val="24"/>
          <w:highlight w:val="none"/>
        </w:rPr>
        <w:t xml:space="preserve">2.2.10身份信息识别产品</w:t>
      </w:r>
      <w:r>
        <w:rPr>
          <w:rFonts w:hint="eastAsia"/>
          <w:sz w:val="24"/>
          <w:szCs w:val="24"/>
          <w:highlight w:val="none"/>
        </w:rPr>
        <w:t xml:space="preserve">技术指标要求</w:t>
      </w:r>
      <w:r>
        <w:rPr>
          <w:rFonts w:hint="eastAsia" w:hAnsi="宋体" w:cs="宋体"/>
          <w:sz w:val="24"/>
          <w:szCs w:val="24"/>
          <w:highlight w:val="none"/>
        </w:rPr>
        <w:t xml:space="preserve">（1台）</w:t>
      </w:r>
      <w:r/>
    </w:p>
    <w:p>
      <w:pPr>
        <w:numPr>
          <w:ilvl w:val="0"/>
          <w:numId w:val="11"/>
        </w:numPr>
        <w:ind w:firstLine="480"/>
        <w:jc w:val="left"/>
        <w:widowControl/>
        <w:rPr>
          <w:rFonts w:ascii="宋体" w:hAnsi="宋体" w:cs="宋体"/>
          <w:i/>
          <w:iCs/>
          <w:sz w:val="24"/>
          <w:szCs w:val="24"/>
          <w:highlight w:val="none"/>
          <w:u w:val="single"/>
          <w:lang w:bidi="ar"/>
        </w:rPr>
      </w:pPr>
      <w:r>
        <w:rPr>
          <w:rFonts w:hint="eastAsia" w:ascii="宋体" w:hAnsi="宋体" w:cs="宋体"/>
          <w:i/>
          <w:iCs/>
          <w:sz w:val="24"/>
          <w:szCs w:val="24"/>
          <w:highlight w:val="none"/>
          <w:u w:val="single"/>
          <w:lang w:bidi="ar"/>
        </w:rPr>
        <w:t xml:space="preserve">7英寸触摸显示屏，linux系统；宽动态200万双目摄像头。</w:t>
      </w:r>
      <w:r/>
    </w:p>
    <w:p>
      <w:pPr>
        <w:numPr>
          <w:ilvl w:val="0"/>
          <w:numId w:val="11"/>
        </w:numPr>
        <w:ind w:firstLine="480"/>
        <w:jc w:val="left"/>
        <w:widowControl/>
        <w:rPr>
          <w:rFonts w:ascii="宋体" w:hAnsi="宋体" w:cs="宋体"/>
          <w:sz w:val="24"/>
          <w:szCs w:val="24"/>
          <w:highlight w:val="none"/>
        </w:rPr>
      </w:pPr>
      <w:r>
        <w:rPr>
          <w:rFonts w:hint="eastAsia" w:ascii="宋体" w:hAnsi="宋体" w:cs="宋体"/>
          <w:sz w:val="24"/>
          <w:szCs w:val="24"/>
          <w:highlight w:val="none"/>
        </w:rPr>
        <w:t xml:space="preserve">支持人脸、刷卡（IC卡、手机NFC卡、CPU卡序列号/内容、身份证卡序列号）、密码认证方式，可外接身份证、指纹、蓝牙、二维码功能模块。</w:t>
      </w:r>
      <w:r/>
    </w:p>
    <w:p>
      <w:pPr>
        <w:numPr>
          <w:ilvl w:val="0"/>
          <w:numId w:val="11"/>
        </w:numPr>
        <w:ind w:firstLine="480"/>
        <w:jc w:val="left"/>
        <w:widowControl/>
        <w:rPr>
          <w:rFonts w:ascii="宋体" w:hAnsi="宋体" w:cs="宋体"/>
          <w:sz w:val="24"/>
          <w:szCs w:val="24"/>
          <w:highlight w:val="none"/>
        </w:rPr>
      </w:pPr>
      <w:r>
        <w:rPr>
          <w:rFonts w:hint="eastAsia" w:ascii="宋体" w:hAnsi="宋体" w:cs="宋体"/>
          <w:sz w:val="24"/>
          <w:szCs w:val="24"/>
          <w:highlight w:val="none"/>
        </w:rPr>
        <w:t xml:space="preserve">支持单人或多人识别（最多5人同时认证）功能；支持照片、视频防假；1:N人脸验证速度≤0.2s，人脸验证准确率≥99%。</w:t>
      </w:r>
      <w:r/>
    </w:p>
    <w:p>
      <w:pPr>
        <w:numPr>
          <w:ilvl w:val="0"/>
          <w:numId w:val="11"/>
        </w:numPr>
        <w:ind w:firstLine="480"/>
        <w:jc w:val="left"/>
        <w:widowControl/>
        <w:rPr>
          <w:rFonts w:ascii="宋体" w:hAnsi="宋体" w:cs="宋体"/>
          <w:sz w:val="24"/>
          <w:szCs w:val="24"/>
          <w:highlight w:val="none"/>
        </w:rPr>
      </w:pPr>
      <w:r>
        <w:rPr>
          <w:rFonts w:hint="eastAsia" w:ascii="宋体" w:hAnsi="宋体" w:cs="宋体"/>
          <w:sz w:val="24"/>
          <w:szCs w:val="24"/>
          <w:highlight w:val="none"/>
        </w:rPr>
        <w:t xml:space="preserve">前面板防破坏能力应满足 IK07 的要求；结构后壳防破坏能力应满足 IK10 的要求；防水等级应大于IP65；应支持选择嵌入式、壁挂、桌面、立式、人员通道安装。</w:t>
      </w:r>
      <w:r/>
    </w:p>
    <w:p>
      <w:pPr>
        <w:numPr>
          <w:ilvl w:val="0"/>
          <w:numId w:val="11"/>
        </w:numPr>
        <w:ind w:firstLine="480"/>
        <w:jc w:val="left"/>
        <w:widowControl/>
        <w:rPr>
          <w:rFonts w:ascii="宋体" w:hAnsi="宋体" w:cs="宋体"/>
          <w:sz w:val="24"/>
          <w:szCs w:val="24"/>
          <w:highlight w:val="none"/>
        </w:rPr>
      </w:pPr>
      <w:r>
        <w:rPr>
          <w:rFonts w:hint="eastAsia" w:ascii="宋体" w:hAnsi="宋体" w:cs="宋体"/>
          <w:sz w:val="24"/>
          <w:szCs w:val="24"/>
          <w:highlight w:val="none"/>
        </w:rPr>
        <w:t xml:space="preserve">▲应支持在管理中心远程视频预览功能；应支持与管理平台或客户端中心、室内机、管理机、手机 APP 可视对讲功能；应支持配置一键呼叫管理机或室内机的可视对讲功能；应支持与广播主机呼叫对讲功能，实现与广播系统对讲功能；应支持中心广播主机向设备广播喊话。（提供公安部授权检测机构或第三方检测机构出具的检验报告原件扫描上传）</w:t>
      </w:r>
      <w:r/>
    </w:p>
    <w:p>
      <w:pPr>
        <w:numPr>
          <w:ilvl w:val="0"/>
          <w:numId w:val="11"/>
        </w:numPr>
        <w:ind w:firstLine="480"/>
        <w:jc w:val="left"/>
        <w:widowControl/>
        <w:rPr>
          <w:rFonts w:ascii="宋体" w:hAnsi="宋体" w:cs="宋体"/>
          <w:sz w:val="24"/>
          <w:szCs w:val="24"/>
          <w:highlight w:val="none"/>
        </w:rPr>
      </w:pPr>
      <w:r>
        <w:rPr>
          <w:rFonts w:hint="eastAsia" w:ascii="宋体" w:hAnsi="宋体" w:cs="宋体"/>
          <w:i/>
          <w:iCs/>
          <w:color w:val="000000" w:themeColor="text1"/>
          <w:sz w:val="24"/>
          <w:szCs w:val="24"/>
          <w:highlight w:val="none"/>
          <w:u w:val="single"/>
          <w14:textFill>
            <w14:solidFill>
              <w14:schemeClr w14:val="tx1"/>
            </w14:solidFill>
          </w14:textFill>
        </w:rPr>
        <w:t xml:space="preserve">提供三年原厂质保服务。</w:t>
      </w:r>
      <w:r/>
    </w:p>
    <w:p>
      <w:pPr>
        <w:pStyle w:val="987"/>
        <w:rPr>
          <w:rFonts w:hAnsi="宋体" w:cs="宋体"/>
          <w:highlight w:val="none"/>
        </w:rPr>
      </w:pPr>
      <w:r>
        <w:rPr>
          <w:rFonts w:hint="eastAsia" w:hAnsi="宋体" w:cs="宋体"/>
          <w:sz w:val="24"/>
          <w:szCs w:val="24"/>
          <w:highlight w:val="none"/>
        </w:rPr>
        <w:t xml:space="preserve">2.2.11立式专家签到系统</w:t>
      </w:r>
      <w:r>
        <w:rPr>
          <w:rFonts w:hint="eastAsia"/>
          <w:sz w:val="24"/>
          <w:szCs w:val="24"/>
          <w:highlight w:val="none"/>
        </w:rPr>
        <w:t xml:space="preserve">技术指标要求</w:t>
      </w:r>
      <w:r>
        <w:rPr>
          <w:rFonts w:hint="eastAsia" w:hAnsi="宋体" w:cs="宋体"/>
          <w:sz w:val="24"/>
          <w:szCs w:val="24"/>
          <w:highlight w:val="none"/>
        </w:rPr>
        <w:t xml:space="preserve">（1台）</w:t>
      </w:r>
      <w:r/>
    </w:p>
    <w:p>
      <w:pPr>
        <w:numPr>
          <w:ilvl w:val="0"/>
          <w:numId w:val="12"/>
        </w:numPr>
        <w:ind w:firstLine="480"/>
        <w:jc w:val="left"/>
        <w:widowControl/>
        <w:rPr>
          <w:rFonts w:ascii="宋体" w:hAnsi="宋体" w:cs="宋体"/>
          <w:sz w:val="24"/>
          <w:szCs w:val="24"/>
          <w:highlight w:val="none"/>
        </w:rPr>
      </w:pPr>
      <w:r>
        <w:rPr>
          <w:rFonts w:hint="eastAsia" w:ascii="宋体" w:hAnsi="宋体" w:cs="宋体"/>
          <w:i/>
          <w:iCs/>
          <w:sz w:val="24"/>
          <w:szCs w:val="24"/>
          <w:highlight w:val="none"/>
          <w:u w:val="single"/>
          <w:lang w:bidi="ar"/>
        </w:rPr>
        <w:t xml:space="preserve">适配主流操作系统。</w:t>
      </w:r>
      <w:r/>
    </w:p>
    <w:p>
      <w:pPr>
        <w:numPr>
          <w:ilvl w:val="0"/>
          <w:numId w:val="12"/>
        </w:numPr>
        <w:ind w:firstLine="480"/>
        <w:jc w:val="left"/>
        <w:widowControl/>
        <w:rPr>
          <w:rFonts w:ascii="宋体" w:hAnsi="宋体" w:cs="宋体"/>
          <w:sz w:val="24"/>
          <w:szCs w:val="24"/>
          <w:highlight w:val="none"/>
        </w:rPr>
      </w:pPr>
      <w:r>
        <w:rPr>
          <w:rFonts w:hint="eastAsia" w:ascii="宋体" w:hAnsi="宋体" w:cs="宋体"/>
          <w:i/>
          <w:iCs/>
          <w:sz w:val="24"/>
          <w:szCs w:val="24"/>
          <w:highlight w:val="none"/>
          <w:u w:val="single"/>
          <w:lang w:bidi="ar"/>
        </w:rPr>
        <w:t xml:space="preserve">具备六核超强CPU处理器，主频1.8GHz，内存4G，存储32G。</w:t>
      </w:r>
      <w:r/>
    </w:p>
    <w:p>
      <w:pPr>
        <w:numPr>
          <w:ilvl w:val="0"/>
          <w:numId w:val="12"/>
        </w:numPr>
        <w:ind w:firstLine="480"/>
        <w:jc w:val="left"/>
        <w:widowControl/>
        <w:rPr>
          <w:rFonts w:ascii="宋体" w:hAnsi="宋体" w:cs="宋体"/>
          <w:sz w:val="24"/>
          <w:szCs w:val="24"/>
          <w:highlight w:val="none"/>
        </w:rPr>
      </w:pPr>
      <w:r>
        <w:rPr>
          <w:rFonts w:hint="eastAsia" w:ascii="宋体" w:hAnsi="宋体" w:cs="宋体"/>
          <w:i/>
          <w:iCs/>
          <w:sz w:val="24"/>
          <w:szCs w:val="24"/>
          <w:highlight w:val="none"/>
          <w:u w:val="single"/>
          <w:lang w:bidi="ar"/>
        </w:rPr>
        <w:t xml:space="preserve">设备具有32寸高清触摸显示屏，竖屏，分辨率1080*1920。</w:t>
      </w:r>
      <w:r/>
    </w:p>
    <w:p>
      <w:pPr>
        <w:numPr>
          <w:ilvl w:val="0"/>
          <w:numId w:val="12"/>
        </w:numPr>
        <w:ind w:firstLine="480"/>
        <w:jc w:val="left"/>
        <w:widowControl/>
        <w:rPr>
          <w:rFonts w:ascii="宋体" w:hAnsi="宋体" w:cs="宋体"/>
          <w:sz w:val="24"/>
          <w:szCs w:val="24"/>
          <w:highlight w:val="none"/>
        </w:rPr>
      </w:pPr>
      <w:r>
        <w:rPr>
          <w:rFonts w:hint="eastAsia" w:ascii="宋体" w:hAnsi="宋体" w:cs="宋体"/>
          <w:i/>
          <w:iCs/>
          <w:sz w:val="24"/>
          <w:szCs w:val="24"/>
          <w:highlight w:val="none"/>
          <w:u w:val="single"/>
          <w:lang w:bidi="ar"/>
        </w:rPr>
        <w:t xml:space="preserve">具有200W像素双目摄像头；支持镜头上下15度调节。</w:t>
      </w:r>
      <w:r/>
    </w:p>
    <w:p>
      <w:pPr>
        <w:numPr>
          <w:ilvl w:val="0"/>
          <w:numId w:val="12"/>
        </w:numPr>
        <w:ind w:firstLine="480"/>
        <w:jc w:val="left"/>
        <w:widowControl/>
        <w:rPr>
          <w:rFonts w:ascii="宋体" w:hAnsi="宋体" w:cs="宋体"/>
          <w:sz w:val="24"/>
          <w:szCs w:val="24"/>
          <w:highlight w:val="none"/>
        </w:rPr>
      </w:pPr>
      <w:r>
        <w:rPr>
          <w:rFonts w:hint="eastAsia" w:ascii="宋体" w:hAnsi="宋体" w:cs="宋体"/>
          <w:sz w:val="24"/>
          <w:szCs w:val="24"/>
          <w:highlight w:val="none"/>
          <w:lang w:bidi="ar"/>
        </w:rPr>
        <w:t xml:space="preserve">需内置热敏打印机，可打印凭条，打印速度120mm/s以上。</w:t>
      </w:r>
      <w:r/>
    </w:p>
    <w:p>
      <w:pPr>
        <w:numPr>
          <w:ilvl w:val="0"/>
          <w:numId w:val="12"/>
        </w:numPr>
        <w:ind w:firstLine="480"/>
        <w:jc w:val="left"/>
        <w:widowControl/>
        <w:rPr>
          <w:rFonts w:ascii="宋体" w:hAnsi="宋体" w:cs="宋体"/>
          <w:sz w:val="24"/>
          <w:szCs w:val="24"/>
          <w:highlight w:val="none"/>
        </w:rPr>
      </w:pPr>
      <w:r>
        <w:rPr>
          <w:rFonts w:hint="eastAsia" w:ascii="宋体" w:hAnsi="宋体" w:cs="宋体"/>
          <w:sz w:val="24"/>
          <w:szCs w:val="24"/>
          <w:highlight w:val="none"/>
          <w:lang w:bidi="ar"/>
        </w:rPr>
        <w:t xml:space="preserve">支持QRCode等二维码格式，可快速识别预二维码。</w:t>
      </w:r>
      <w:r/>
    </w:p>
    <w:p>
      <w:pPr>
        <w:numPr>
          <w:ilvl w:val="0"/>
          <w:numId w:val="12"/>
        </w:numPr>
        <w:ind w:firstLine="480"/>
        <w:jc w:val="left"/>
        <w:widowControl/>
        <w:rPr>
          <w:rFonts w:ascii="宋体" w:hAnsi="宋体" w:cs="宋体"/>
          <w:sz w:val="24"/>
          <w:szCs w:val="24"/>
          <w:highlight w:val="none"/>
        </w:rPr>
      </w:pPr>
      <w:r>
        <w:rPr>
          <w:rFonts w:hint="eastAsia" w:ascii="宋体" w:hAnsi="宋体" w:cs="宋体"/>
          <w:sz w:val="24"/>
          <w:szCs w:val="24"/>
          <w:highlight w:val="none"/>
          <w:lang w:bidi="ar"/>
        </w:rPr>
        <w:t xml:space="preserve">设备接口包含RJ45*2、USB*2、电源口*1。</w:t>
      </w:r>
      <w:r/>
    </w:p>
    <w:p>
      <w:pPr>
        <w:numPr>
          <w:ilvl w:val="0"/>
          <w:numId w:val="12"/>
        </w:numPr>
        <w:ind w:firstLine="480"/>
        <w:jc w:val="left"/>
        <w:widowControl/>
        <w:rPr>
          <w:rFonts w:ascii="宋体" w:hAnsi="宋体" w:cs="宋体"/>
          <w:sz w:val="24"/>
          <w:szCs w:val="24"/>
          <w:highlight w:val="none"/>
        </w:rPr>
      </w:pPr>
      <w:r>
        <w:rPr>
          <w:rFonts w:hint="eastAsia" w:ascii="宋体" w:hAnsi="宋体" w:cs="宋体"/>
          <w:sz w:val="24"/>
          <w:szCs w:val="24"/>
          <w:highlight w:val="none"/>
          <w:lang w:bidi="ar"/>
        </w:rPr>
        <w:t xml:space="preserve">通信方式需包含TCP/IP、WiFi、蓝牙。</w:t>
      </w:r>
      <w:r/>
    </w:p>
    <w:p>
      <w:pPr>
        <w:numPr>
          <w:ilvl w:val="0"/>
          <w:numId w:val="12"/>
        </w:numPr>
        <w:ind w:firstLine="480"/>
        <w:jc w:val="left"/>
        <w:widowControl/>
        <w:rPr>
          <w:rFonts w:ascii="宋体" w:hAnsi="宋体" w:cs="宋体"/>
          <w:sz w:val="24"/>
          <w:szCs w:val="24"/>
          <w:highlight w:val="none"/>
        </w:rPr>
      </w:pPr>
      <w:r>
        <w:rPr>
          <w:rFonts w:hint="eastAsia" w:ascii="宋体" w:hAnsi="宋体" w:cs="宋体"/>
          <w:sz w:val="24"/>
          <w:szCs w:val="24"/>
          <w:highlight w:val="none"/>
          <w:lang w:bidi="ar"/>
        </w:rPr>
        <w:t xml:space="preserve">支持人证（身份证）比对功能，即将现场抓拍的人脸照片与身份证内人脸小图进行比对，验证是否为本人，核实通过后才能完成登记流程，人证比对速度≤1s。</w:t>
      </w:r>
      <w:r/>
    </w:p>
    <w:p>
      <w:pPr>
        <w:numPr>
          <w:ilvl w:val="0"/>
          <w:numId w:val="12"/>
        </w:numPr>
        <w:ind w:firstLine="480"/>
        <w:jc w:val="left"/>
        <w:widowControl/>
        <w:rPr>
          <w:rFonts w:ascii="宋体" w:hAnsi="宋体" w:cs="宋体"/>
          <w:sz w:val="24"/>
          <w:szCs w:val="24"/>
          <w:highlight w:val="none"/>
        </w:rPr>
      </w:pPr>
      <w:r>
        <w:rPr>
          <w:rFonts w:hint="eastAsia" w:ascii="宋体" w:hAnsi="宋体" w:cs="宋体"/>
          <w:sz w:val="24"/>
          <w:szCs w:val="24"/>
          <w:highlight w:val="none"/>
          <w:lang w:bidi="ar"/>
        </w:rPr>
        <w:t xml:space="preserve">可查看和搜索历史来访记录。</w:t>
      </w:r>
      <w:r/>
    </w:p>
    <w:p>
      <w:pPr>
        <w:numPr>
          <w:ilvl w:val="0"/>
          <w:numId w:val="12"/>
        </w:numPr>
        <w:ind w:firstLine="480"/>
        <w:jc w:val="left"/>
        <w:widowControl/>
        <w:rPr>
          <w:rFonts w:ascii="宋体" w:hAnsi="宋体" w:cs="宋体"/>
          <w:sz w:val="24"/>
          <w:szCs w:val="24"/>
          <w:highlight w:val="none"/>
        </w:rPr>
      </w:pPr>
      <w:r>
        <w:rPr>
          <w:rStyle w:val="1004"/>
          <w:rFonts w:hint="default"/>
          <w:i/>
          <w:iCs/>
          <w:color w:val="auto"/>
          <w:sz w:val="24"/>
          <w:szCs w:val="24"/>
          <w:highlight w:val="none"/>
          <w:u w:val="single"/>
          <w:lang w:bidi="ar"/>
        </w:rPr>
        <w:t xml:space="preserve">为保证项目整体落地的稳定性，本次项目的立式专家签到系统需完全兼容后端定制软件，包括统一管理系统、身份识别管理系统。</w:t>
      </w:r>
      <w:r/>
    </w:p>
    <w:p>
      <w:pPr>
        <w:numPr>
          <w:ilvl w:val="0"/>
          <w:numId w:val="12"/>
        </w:numPr>
        <w:ind w:firstLine="480"/>
        <w:jc w:val="left"/>
        <w:widowControl/>
        <w:rPr>
          <w:rFonts w:ascii="宋体" w:hAnsi="宋体" w:cs="宋体"/>
          <w:sz w:val="24"/>
          <w:szCs w:val="24"/>
          <w:highlight w:val="none"/>
        </w:rPr>
      </w:pPr>
      <w:r>
        <w:rPr>
          <w:rFonts w:hint="eastAsia" w:ascii="宋体" w:hAnsi="宋体" w:cs="宋体"/>
          <w:i/>
          <w:iCs/>
          <w:color w:val="000000" w:themeColor="text1"/>
          <w:sz w:val="24"/>
          <w:szCs w:val="24"/>
          <w:highlight w:val="none"/>
          <w:u w:val="single"/>
          <w14:textFill>
            <w14:solidFill>
              <w14:schemeClr w14:val="tx1"/>
            </w14:solidFill>
          </w14:textFill>
        </w:rPr>
        <w:t xml:space="preserve">提供三年原厂质保服务。</w:t>
      </w:r>
      <w:r>
        <w:rPr>
          <w:rStyle w:val="1005"/>
          <w:rFonts w:hint="default"/>
          <w:color w:val="auto"/>
          <w:sz w:val="24"/>
          <w:szCs w:val="24"/>
          <w:highlight w:val="none"/>
          <w:u w:val="single"/>
          <w:lang w:bidi="ar"/>
        </w:rPr>
        <w:br/>
      </w:r>
      <w:r/>
    </w:p>
    <w:p>
      <w:pPr>
        <w:pStyle w:val="987"/>
        <w:rPr>
          <w:rFonts w:hint="eastAsia" w:hAnsi="宋体" w:cs="宋体"/>
          <w:sz w:val="24"/>
          <w:szCs w:val="24"/>
          <w:highlight w:val="none"/>
        </w:rPr>
      </w:pPr>
      <w:r>
        <w:rPr>
          <w:rFonts w:hint="eastAsia" w:hAnsi="宋体" w:cs="宋体"/>
          <w:sz w:val="24"/>
          <w:szCs w:val="24"/>
          <w:highlight w:val="none"/>
        </w:rPr>
        <w:t xml:space="preserve">2.2.12服务器（视频分析）</w:t>
      </w:r>
      <w:r>
        <w:rPr>
          <w:rFonts w:hint="eastAsia"/>
          <w:sz w:val="24"/>
          <w:szCs w:val="24"/>
          <w:highlight w:val="none"/>
        </w:rPr>
        <w:t xml:space="preserve">技术指标要求</w:t>
      </w:r>
      <w:r>
        <w:rPr>
          <w:rFonts w:hint="eastAsia" w:hAnsi="宋体" w:cs="宋体"/>
          <w:sz w:val="24"/>
          <w:szCs w:val="24"/>
          <w:highlight w:val="none"/>
        </w:rPr>
        <w:t xml:space="preserve">（1台）</w:t>
      </w:r>
      <w:r/>
    </w:p>
    <w:p>
      <w:pPr>
        <w:pStyle w:val="991"/>
        <w:rPr>
          <w:rFonts w:hint="eastAsia" w:eastAsia="宋体"/>
          <w:sz w:val="24"/>
          <w:szCs w:val="24"/>
          <w:highlight w:val="none"/>
          <w:lang w:eastAsia="zh-CN"/>
        </w:rPr>
      </w:pPr>
      <w:r>
        <w:rPr>
          <w:rFonts w:hint="eastAsia"/>
          <w:sz w:val="24"/>
          <w:szCs w:val="24"/>
          <w:highlight w:val="none"/>
        </w:rPr>
        <w:t xml:space="preserve">应符合《通用服务器政府采购需求标准（2023年版）》（财库〔2023〕33号）</w:t>
      </w:r>
      <w:r>
        <w:rPr>
          <w:rFonts w:hint="eastAsia"/>
          <w:sz w:val="24"/>
          <w:szCs w:val="24"/>
          <w:highlight w:val="none"/>
          <w:lang w:eastAsia="zh-CN"/>
        </w:rPr>
        <w:t xml:space="preserve">：</w:t>
      </w:r>
      <w:r/>
    </w:p>
    <w:p>
      <w:pPr>
        <w:numPr>
          <w:ilvl w:val="0"/>
          <w:numId w:val="13"/>
        </w:numPr>
        <w:ind w:firstLine="480"/>
        <w:jc w:val="left"/>
        <w:widowControl/>
        <w:rPr>
          <w:rFonts w:ascii="宋体" w:hAnsi="宋体" w:cs="宋体"/>
          <w:i/>
          <w:iCs/>
          <w:color w:val="000000"/>
          <w:sz w:val="24"/>
          <w:szCs w:val="24"/>
          <w:highlight w:val="none"/>
          <w:u w:val="single"/>
          <w:lang w:bidi="ar"/>
        </w:rPr>
      </w:pPr>
      <w:r>
        <w:rPr>
          <w:rFonts w:hint="eastAsia" w:ascii="宋体" w:hAnsi="宋体" w:cs="宋体"/>
          <w:i/>
          <w:iCs/>
          <w:color w:val="000000"/>
          <w:sz w:val="24"/>
          <w:szCs w:val="24"/>
          <w:highlight w:val="none"/>
          <w:u w:val="single"/>
          <w:lang w:bidi="ar"/>
        </w:rPr>
        <w:t xml:space="preserve">配置2颗国产化 CPU 处理器，单处理器物理核心数≥8核，主频≥3.0 GHz，末级缓存容量≥16 MB，线程数≥16线程，热设计功耗≥90 W，支持内存的最高速率≥3200 MHz，通道数≥2，位宽≥64。</w:t>
      </w:r>
      <w:r/>
    </w:p>
    <w:p>
      <w:pPr>
        <w:numPr>
          <w:ilvl w:val="0"/>
          <w:numId w:val="13"/>
        </w:numPr>
        <w:ind w:firstLine="480"/>
        <w:jc w:val="left"/>
        <w:widowControl/>
        <w:rPr>
          <w:rFonts w:ascii="宋体" w:hAnsi="宋体" w:cs="宋体"/>
          <w:i/>
          <w:iCs/>
          <w:color w:val="000000"/>
          <w:sz w:val="24"/>
          <w:szCs w:val="24"/>
          <w:highlight w:val="none"/>
          <w:u w:val="single"/>
          <w:lang w:bidi="ar"/>
        </w:rPr>
      </w:pPr>
      <w:r>
        <w:rPr>
          <w:rFonts w:hint="eastAsia" w:ascii="宋体" w:hAnsi="宋体" w:cs="宋体"/>
          <w:i/>
          <w:iCs/>
          <w:color w:val="000000"/>
          <w:sz w:val="24"/>
          <w:szCs w:val="24"/>
          <w:highlight w:val="none"/>
          <w:u w:val="single"/>
          <w:lang w:bidi="ar"/>
        </w:rPr>
        <w:t xml:space="preserve">配置128G DDR4，8根内存插槽。</w:t>
      </w:r>
      <w:r/>
    </w:p>
    <w:p>
      <w:pPr>
        <w:numPr>
          <w:ilvl w:val="0"/>
          <w:numId w:val="13"/>
        </w:numPr>
        <w:ind w:firstLine="480"/>
        <w:jc w:val="left"/>
        <w:widowControl/>
        <w:rPr>
          <w:rFonts w:ascii="宋体" w:hAnsi="宋体" w:cs="宋体"/>
          <w:i/>
          <w:iCs/>
          <w:color w:val="000000"/>
          <w:sz w:val="24"/>
          <w:szCs w:val="24"/>
          <w:highlight w:val="none"/>
          <w:u w:val="single"/>
          <w:lang w:bidi="ar"/>
        </w:rPr>
      </w:pPr>
      <w:r>
        <w:rPr>
          <w:rFonts w:hint="eastAsia" w:ascii="宋体" w:hAnsi="宋体" w:cs="宋体"/>
          <w:i/>
          <w:iCs/>
          <w:color w:val="000000"/>
          <w:sz w:val="24"/>
          <w:szCs w:val="24"/>
          <w:highlight w:val="none"/>
          <w:u w:val="single"/>
          <w:lang w:bidi="ar"/>
        </w:rPr>
        <w:t xml:space="preserve">配置2块960G SATA SSD硬盘，2块16T 7.2K SATA硬盘，最大可选支持3颗2.5/3.5寸前置热插拔SATA/SAS硬盘，支持4颗2.5寸后置热插拔SATA/SAS硬盘，支持1个M.2硬盘。</w:t>
      </w:r>
      <w:r/>
    </w:p>
    <w:p>
      <w:pPr>
        <w:numPr>
          <w:ilvl w:val="0"/>
          <w:numId w:val="13"/>
        </w:numPr>
        <w:ind w:firstLine="480"/>
        <w:jc w:val="left"/>
        <w:widowControl/>
        <w:rPr>
          <w:rFonts w:ascii="宋体" w:hAnsi="宋体" w:cs="宋体"/>
          <w:i w:val="0"/>
          <w:iCs w:val="0"/>
          <w:color w:val="000000"/>
          <w:sz w:val="24"/>
          <w:szCs w:val="24"/>
          <w:highlight w:val="none"/>
          <w:u w:val="none"/>
          <w:lang w:bidi="ar"/>
        </w:rPr>
      </w:pPr>
      <w:r>
        <w:rPr>
          <w:rFonts w:hint="eastAsia" w:ascii="宋体" w:hAnsi="宋体" w:cs="宋体"/>
          <w:i w:val="0"/>
          <w:iCs w:val="0"/>
          <w:color w:val="000000"/>
          <w:sz w:val="24"/>
          <w:szCs w:val="24"/>
          <w:highlight w:val="none"/>
          <w:u w:val="none"/>
          <w:lang w:bidi="ar"/>
        </w:rPr>
        <w:t xml:space="preserve">配置SAS_HBA卡（支持RAID 0/1/10）。</w:t>
      </w:r>
      <w:r/>
    </w:p>
    <w:p>
      <w:pPr>
        <w:numPr>
          <w:ilvl w:val="0"/>
          <w:numId w:val="13"/>
        </w:numPr>
        <w:ind w:firstLine="480"/>
        <w:jc w:val="left"/>
        <w:widowControl/>
        <w:rPr>
          <w:rFonts w:ascii="宋体" w:hAnsi="宋体" w:cs="宋体"/>
          <w:i/>
          <w:iCs/>
          <w:color w:val="000000"/>
          <w:sz w:val="24"/>
          <w:szCs w:val="24"/>
          <w:highlight w:val="none"/>
          <w:u w:val="single"/>
          <w:lang w:bidi="ar"/>
        </w:rPr>
      </w:pPr>
      <w:r>
        <w:rPr>
          <w:rFonts w:hint="eastAsia" w:ascii="宋体" w:hAnsi="宋体" w:cs="宋体"/>
          <w:i/>
          <w:iCs/>
          <w:color w:val="000000"/>
          <w:sz w:val="24"/>
          <w:szCs w:val="24"/>
          <w:highlight w:val="none"/>
          <w:u w:val="single"/>
          <w:lang w:bidi="ar"/>
        </w:rPr>
        <w:t xml:space="preserve">最大支持4个标准PCIE插槽。</w:t>
      </w:r>
      <w:r/>
    </w:p>
    <w:p>
      <w:pPr>
        <w:numPr>
          <w:ilvl w:val="0"/>
          <w:numId w:val="13"/>
        </w:numPr>
        <w:ind w:firstLine="480"/>
        <w:jc w:val="left"/>
        <w:widowControl/>
        <w:rPr>
          <w:rFonts w:ascii="宋体" w:hAnsi="宋体" w:cs="宋体"/>
          <w:i w:val="0"/>
          <w:iCs w:val="0"/>
          <w:color w:val="000000"/>
          <w:sz w:val="24"/>
          <w:szCs w:val="24"/>
          <w:highlight w:val="none"/>
          <w:u w:val="none"/>
          <w:lang w:bidi="ar"/>
        </w:rPr>
      </w:pPr>
      <w:r>
        <w:rPr>
          <w:rFonts w:hint="eastAsia" w:ascii="宋体" w:hAnsi="宋体" w:cs="宋体"/>
          <w:i w:val="0"/>
          <w:iCs w:val="0"/>
          <w:color w:val="000000"/>
          <w:sz w:val="24"/>
          <w:szCs w:val="24"/>
          <w:highlight w:val="none"/>
          <w:u w:val="none"/>
          <w:lang w:bidi="ar"/>
        </w:rPr>
        <w:t xml:space="preserve">标配板载2个千兆电口，含有光口的通用服务器，支持选配10GbE SFP+等多种网络接口。</w:t>
      </w:r>
      <w:r/>
    </w:p>
    <w:p>
      <w:pPr>
        <w:numPr>
          <w:ilvl w:val="0"/>
          <w:numId w:val="13"/>
        </w:numPr>
        <w:ind w:firstLine="480"/>
        <w:jc w:val="left"/>
        <w:widowControl/>
        <w:rPr>
          <w:rFonts w:ascii="宋体" w:hAnsi="宋体" w:cs="宋体"/>
          <w:i/>
          <w:iCs/>
          <w:color w:val="000000"/>
          <w:sz w:val="24"/>
          <w:szCs w:val="24"/>
          <w:highlight w:val="none"/>
          <w:u w:val="single"/>
          <w:lang w:bidi="ar"/>
        </w:rPr>
      </w:pPr>
      <w:r>
        <w:rPr>
          <w:rFonts w:hint="eastAsia" w:ascii="宋体" w:hAnsi="宋体" w:cs="宋体"/>
          <w:i/>
          <w:iCs/>
          <w:color w:val="000000"/>
          <w:sz w:val="24"/>
          <w:szCs w:val="24"/>
          <w:highlight w:val="none"/>
          <w:u w:val="single"/>
          <w:lang w:bidi="ar"/>
        </w:rPr>
        <w:t xml:space="preserve">标配1个IPMI RJ-45管理接口；7个USB 3.0接口；2个VGA接口。</w:t>
      </w:r>
      <w:r/>
    </w:p>
    <w:p>
      <w:pPr>
        <w:numPr>
          <w:ilvl w:val="0"/>
          <w:numId w:val="13"/>
        </w:numPr>
        <w:ind w:firstLine="480"/>
        <w:jc w:val="left"/>
        <w:widowControl/>
        <w:rPr>
          <w:rFonts w:ascii="宋体" w:hAnsi="宋体" w:cs="宋体"/>
          <w:i/>
          <w:iCs/>
          <w:color w:val="000000"/>
          <w:sz w:val="24"/>
          <w:szCs w:val="24"/>
          <w:highlight w:val="none"/>
          <w:u w:val="single"/>
          <w:lang w:bidi="ar"/>
        </w:rPr>
      </w:pPr>
      <w:r>
        <w:rPr>
          <w:rFonts w:hint="eastAsia" w:ascii="宋体" w:hAnsi="宋体" w:cs="宋体"/>
          <w:i/>
          <w:iCs/>
          <w:color w:val="000000" w:themeColor="text1"/>
          <w:sz w:val="24"/>
          <w:szCs w:val="24"/>
          <w:highlight w:val="none"/>
          <w:u w:val="single"/>
          <w14:textFill>
            <w14:solidFill>
              <w14:schemeClr w14:val="tx1"/>
            </w14:solidFill>
          </w14:textFill>
        </w:rPr>
        <w:t xml:space="preserve">提供三年原厂质保服务。</w:t>
      </w:r>
      <w:r/>
    </w:p>
    <w:p>
      <w:pPr>
        <w:pStyle w:val="991"/>
        <w:ind w:left="0" w:firstLine="480"/>
        <w:rPr>
          <w:i/>
          <w:iCs/>
          <w:highlight w:val="none"/>
          <w:u w:val="single"/>
        </w:rPr>
      </w:pPr>
      <w:r>
        <w:rPr>
          <w:rFonts w:hint="eastAsia"/>
          <w:i/>
          <w:iCs/>
          <w:sz w:val="24"/>
          <w:szCs w:val="24"/>
          <w:highlight w:val="none"/>
          <w:u w:val="single"/>
          <w:lang w:val="en-US" w:eastAsia="zh-CN"/>
        </w:rPr>
        <w:t xml:space="preserve">9、</w:t>
      </w:r>
      <w:r>
        <w:rPr>
          <w:rFonts w:hint="eastAsia"/>
          <w:i/>
          <w:iCs/>
          <w:sz w:val="24"/>
          <w:szCs w:val="24"/>
          <w:highlight w:val="none"/>
          <w:u w:val="single"/>
        </w:rPr>
        <w:t xml:space="preserve">其他未列明参数满足（财库〔2023〕33号）要求</w:t>
      </w:r>
      <w:r/>
    </w:p>
    <w:p>
      <w:pPr>
        <w:jc w:val="left"/>
        <w:spacing w:line="440" w:lineRule="exact"/>
        <w:rPr>
          <w:rFonts w:ascii="宋体" w:hAnsi="宋体" w:cs="宋体"/>
          <w:color w:val="000000"/>
          <w:sz w:val="24"/>
          <w:szCs w:val="24"/>
          <w:highlight w:val="none"/>
          <w:lang w:bidi="ar"/>
        </w:rPr>
      </w:pPr>
      <w:r>
        <w:rPr>
          <w:rFonts w:ascii="宋体" w:hAnsi="宋体" w:cs="宋体"/>
          <w:color w:val="000000"/>
          <w:sz w:val="24"/>
          <w:szCs w:val="24"/>
          <w:highlight w:val="none"/>
          <w:lang w:bidi="ar"/>
        </w:rPr>
      </w:r>
      <w:r/>
    </w:p>
    <w:p>
      <w:pPr>
        <w:pStyle w:val="987"/>
        <w:rPr>
          <w:rFonts w:hAnsi="宋体" w:cs="宋体"/>
          <w:i/>
          <w:iCs/>
          <w:highlight w:val="none"/>
          <w:u w:val="single"/>
          <w:lang w:bidi="ar"/>
        </w:rPr>
      </w:pPr>
      <w:r>
        <w:rPr>
          <w:rFonts w:hint="eastAsia" w:hAnsi="宋体" w:cs="宋体"/>
          <w:sz w:val="24"/>
          <w:szCs w:val="24"/>
          <w:highlight w:val="none"/>
        </w:rPr>
        <w:t xml:space="preserve">2.2.13全息速通门</w:t>
      </w:r>
      <w:r>
        <w:rPr>
          <w:rFonts w:hint="eastAsia"/>
          <w:sz w:val="24"/>
          <w:szCs w:val="24"/>
          <w:highlight w:val="none"/>
        </w:rPr>
        <w:t xml:space="preserve">技术指标要求</w:t>
      </w:r>
      <w:r>
        <w:rPr>
          <w:rFonts w:hint="eastAsia" w:hAnsi="宋体" w:cs="宋体"/>
          <w:sz w:val="24"/>
          <w:szCs w:val="24"/>
          <w:highlight w:val="none"/>
        </w:rPr>
        <w:t xml:space="preserve">（1台）</w:t>
      </w:r>
      <w:r/>
    </w:p>
    <w:p>
      <w:pPr>
        <w:numPr>
          <w:ilvl w:val="0"/>
          <w:numId w:val="14"/>
        </w:numPr>
        <w:ind w:firstLine="480"/>
        <w:jc w:val="left"/>
        <w:widowControl/>
        <w:rPr>
          <w:rFonts w:ascii="宋体" w:hAnsi="宋体" w:cs="宋体"/>
          <w:sz w:val="24"/>
          <w:szCs w:val="24"/>
          <w:highlight w:val="none"/>
          <w:lang w:bidi="ar"/>
        </w:rPr>
      </w:pPr>
      <w:r>
        <w:rPr>
          <w:rFonts w:hint="eastAsia" w:ascii="宋体" w:hAnsi="宋体" w:cs="宋体"/>
          <w:i/>
          <w:iCs/>
          <w:color w:val="000000"/>
          <w:sz w:val="24"/>
          <w:szCs w:val="24"/>
          <w:highlight w:val="none"/>
          <w:u w:val="single"/>
          <w:lang w:bidi="ar"/>
        </w:rPr>
        <w:t xml:space="preserve">支持</w:t>
      </w:r>
      <w:r>
        <w:rPr>
          <w:rFonts w:hint="eastAsia" w:ascii="宋体" w:hAnsi="宋体" w:cs="宋体"/>
          <w:i/>
          <w:iCs/>
          <w:sz w:val="24"/>
          <w:szCs w:val="24"/>
          <w:highlight w:val="none"/>
          <w:u w:val="single"/>
          <w:lang w:bidi="ar"/>
        </w:rPr>
        <w:t xml:space="preserve">探测过检人员身上是否携带手机（智能机、老年机、开机、关机、拔除SIM卡、置于屏蔽袋内等多种状态均可），支持探测过检人员身上是否携带智能眼镜、智能手表、蓝牙耳机（单个或多个耳机在所有区位均可）等智能电子产品，并能进行声光报警，准确显示报警位置。</w:t>
      </w:r>
      <w:r/>
    </w:p>
    <w:p>
      <w:pPr>
        <w:numPr>
          <w:ilvl w:val="0"/>
          <w:numId w:val="14"/>
        </w:numPr>
        <w:ind w:firstLine="480"/>
        <w:jc w:val="left"/>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安检门应能记录有效受检人数和发生过报警的人次，并能复位清零，应支持正向反向的相加、相减和分别计数。</w:t>
      </w:r>
      <w:r/>
    </w:p>
    <w:p>
      <w:pPr>
        <w:numPr>
          <w:ilvl w:val="0"/>
          <w:numId w:val="14"/>
        </w:numPr>
        <w:ind w:firstLine="480"/>
        <w:jc w:val="left"/>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安检门2分钟内无人经过，设备可自动进入休眠状态，当有人再次通行时，设备可自动开启检测功能;休眠时间可设置。</w:t>
      </w:r>
      <w:r/>
    </w:p>
    <w:p>
      <w:pPr>
        <w:numPr>
          <w:ilvl w:val="0"/>
          <w:numId w:val="14"/>
        </w:numPr>
        <w:ind w:firstLine="480"/>
        <w:jc w:val="left"/>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安检门探测可配置多种模式：可设置探测模式为“手机检测模式”和“金属检测模式”。</w:t>
      </w:r>
      <w:r/>
    </w:p>
    <w:p>
      <w:pPr>
        <w:numPr>
          <w:ilvl w:val="0"/>
          <w:numId w:val="14"/>
        </w:numPr>
        <w:ind w:firstLine="480"/>
        <w:jc w:val="left"/>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参数存储：应具有对所设定的参数进行存储的能力，断电后再次上电启动时不应改变，可存储并查询报警信息。</w:t>
      </w:r>
      <w:r/>
    </w:p>
    <w:p>
      <w:pPr>
        <w:numPr>
          <w:ilvl w:val="0"/>
          <w:numId w:val="14"/>
        </w:numPr>
        <w:ind w:firstLine="480"/>
        <w:jc w:val="left"/>
        <w:widowControl/>
        <w:rPr>
          <w:rFonts w:ascii="宋体" w:hAnsi="宋体" w:cs="宋体"/>
          <w:sz w:val="24"/>
          <w:szCs w:val="24"/>
          <w:highlight w:val="none"/>
        </w:rPr>
      </w:pPr>
      <w:r>
        <w:rPr>
          <w:rFonts w:hint="eastAsia" w:ascii="宋体" w:hAnsi="宋体" w:cs="宋体"/>
          <w:sz w:val="24"/>
          <w:szCs w:val="24"/>
          <w:highlight w:val="none"/>
          <w:lang w:bidi="ar"/>
        </w:rPr>
        <w:t xml:space="preserve">灵敏度范围：应能从低到高方便地调节，最大支持10000级调节，且具有快速设置灵敏度功能，一键设置灵敏度。</w:t>
      </w:r>
      <w:r/>
    </w:p>
    <w:p>
      <w:pPr>
        <w:numPr>
          <w:ilvl w:val="0"/>
          <w:numId w:val="14"/>
        </w:numPr>
        <w:ind w:firstLine="480"/>
        <w:jc w:val="left"/>
        <w:widowControl/>
        <w:rPr>
          <w:rFonts w:ascii="宋体" w:hAnsi="宋体" w:cs="宋体"/>
          <w:sz w:val="24"/>
          <w:szCs w:val="24"/>
          <w:highlight w:val="none"/>
        </w:rPr>
      </w:pPr>
      <w:r>
        <w:rPr>
          <w:rFonts w:hint="eastAsia" w:ascii="宋体" w:hAnsi="宋体" w:cs="宋体"/>
          <w:i/>
          <w:iCs/>
          <w:color w:val="000000" w:themeColor="text1"/>
          <w:sz w:val="24"/>
          <w:szCs w:val="24"/>
          <w:highlight w:val="none"/>
          <w:u w:val="single"/>
          <w14:textFill>
            <w14:solidFill>
              <w14:schemeClr w14:val="tx1"/>
            </w14:solidFill>
          </w14:textFill>
        </w:rPr>
        <w:t xml:space="preserve">提供三年原厂质保服务。</w:t>
      </w:r>
      <w:r/>
    </w:p>
    <w:p>
      <w:pPr>
        <w:pStyle w:val="987"/>
        <w:rPr>
          <w:rFonts w:hAnsi="宋体" w:cs="宋体"/>
          <w:highlight w:val="none"/>
        </w:rPr>
      </w:pPr>
      <w:r>
        <w:rPr>
          <w:rFonts w:hint="eastAsia" w:hAnsi="宋体" w:cs="宋体"/>
          <w:sz w:val="24"/>
          <w:szCs w:val="24"/>
          <w:highlight w:val="none"/>
        </w:rPr>
        <w:t xml:space="preserve">2.2.14交换机（视频接入）</w:t>
      </w:r>
      <w:r>
        <w:rPr>
          <w:rFonts w:hint="eastAsia"/>
          <w:sz w:val="24"/>
          <w:szCs w:val="24"/>
          <w:highlight w:val="none"/>
        </w:rPr>
        <w:t xml:space="preserve">技术指标要求</w:t>
      </w:r>
      <w:r>
        <w:rPr>
          <w:rFonts w:hint="eastAsia" w:hAnsi="宋体" w:cs="宋体"/>
          <w:sz w:val="24"/>
          <w:szCs w:val="24"/>
          <w:highlight w:val="none"/>
        </w:rPr>
        <w:t xml:space="preserve">（2台）</w:t>
      </w:r>
      <w:r/>
    </w:p>
    <w:p>
      <w:pPr>
        <w:numPr>
          <w:ilvl w:val="0"/>
          <w:numId w:val="15"/>
        </w:numPr>
        <w:ind w:firstLine="480"/>
        <w:jc w:val="left"/>
        <w:spacing w:line="440" w:lineRule="exact"/>
        <w:rPr>
          <w:rFonts w:ascii="宋体" w:hAnsi="宋体" w:cs="宋体"/>
          <w:color w:val="000000"/>
          <w:sz w:val="24"/>
          <w:szCs w:val="24"/>
          <w:highlight w:val="none"/>
          <w:lang w:bidi="ar"/>
        </w:rPr>
      </w:pPr>
      <w:r>
        <w:rPr>
          <w:rFonts w:hint="eastAsia" w:ascii="宋体" w:hAnsi="宋体" w:cs="宋体"/>
          <w:i/>
          <w:iCs/>
          <w:color w:val="000000"/>
          <w:sz w:val="24"/>
          <w:szCs w:val="24"/>
          <w:highlight w:val="none"/>
          <w:u w:val="single"/>
          <w:lang w:bidi="ar"/>
        </w:rPr>
        <w:t xml:space="preserve">可用千兆PoE电接口数量≥48，千兆光接口数量≥4。</w:t>
      </w:r>
      <w:r/>
    </w:p>
    <w:p>
      <w:pPr>
        <w:numPr>
          <w:ilvl w:val="0"/>
          <w:numId w:val="15"/>
        </w:numPr>
        <w:ind w:firstLine="480"/>
        <w:jc w:val="left"/>
        <w:spacing w:line="440" w:lineRule="exact"/>
        <w:rPr>
          <w:rFonts w:ascii="宋体" w:hAnsi="宋体" w:cs="宋体"/>
          <w:color w:val="000000"/>
          <w:sz w:val="24"/>
          <w:szCs w:val="24"/>
          <w:highlight w:val="none"/>
          <w:lang w:bidi="ar"/>
        </w:rPr>
      </w:pPr>
      <w:r>
        <w:rPr>
          <w:rFonts w:hint="eastAsia" w:ascii="宋体" w:hAnsi="宋体" w:cs="宋体"/>
          <w:i/>
          <w:iCs/>
          <w:color w:val="000000"/>
          <w:sz w:val="24"/>
          <w:szCs w:val="24"/>
          <w:highlight w:val="none"/>
          <w:u w:val="single"/>
          <w:lang w:bidi="ar"/>
        </w:rPr>
        <w:t xml:space="preserve">支持独立的console管理串口。</w:t>
      </w:r>
      <w:r/>
    </w:p>
    <w:p>
      <w:pPr>
        <w:numPr>
          <w:ilvl w:val="0"/>
          <w:numId w:val="15"/>
        </w:numPr>
        <w:ind w:firstLine="480"/>
        <w:jc w:val="left"/>
        <w:spacing w:line="440" w:lineRule="exact"/>
        <w:rPr>
          <w:rFonts w:ascii="宋体" w:hAnsi="宋体" w:cs="宋体"/>
          <w:color w:val="000000"/>
          <w:sz w:val="24"/>
          <w:szCs w:val="24"/>
          <w:highlight w:val="none"/>
          <w:lang w:bidi="ar"/>
        </w:rPr>
      </w:pPr>
      <w:r>
        <w:rPr>
          <w:rFonts w:hint="eastAsia" w:ascii="宋体" w:hAnsi="宋体" w:cs="宋体"/>
          <w:i/>
          <w:iCs/>
          <w:color w:val="000000"/>
          <w:sz w:val="24"/>
          <w:szCs w:val="24"/>
          <w:highlight w:val="none"/>
          <w:u w:val="single"/>
          <w:lang w:bidi="ar"/>
        </w:rPr>
        <w:t xml:space="preserve">交换容量≥336Gbps/3.36Tbps。</w:t>
      </w:r>
      <w:r/>
    </w:p>
    <w:p>
      <w:pPr>
        <w:numPr>
          <w:ilvl w:val="0"/>
          <w:numId w:val="15"/>
        </w:numPr>
        <w:ind w:firstLine="480"/>
        <w:jc w:val="left"/>
        <w:spacing w:line="440" w:lineRule="exact"/>
        <w:rPr>
          <w:rFonts w:ascii="宋体" w:hAnsi="宋体" w:cs="宋体"/>
          <w:color w:val="000000"/>
          <w:sz w:val="24"/>
          <w:szCs w:val="24"/>
          <w:highlight w:val="none"/>
          <w:lang w:bidi="ar"/>
        </w:rPr>
      </w:pPr>
      <w:r>
        <w:rPr>
          <w:rFonts w:hint="eastAsia" w:ascii="宋体" w:hAnsi="宋体" w:cs="宋体"/>
          <w:i/>
          <w:iCs/>
          <w:color w:val="000000"/>
          <w:sz w:val="24"/>
          <w:szCs w:val="24"/>
          <w:highlight w:val="none"/>
          <w:u w:val="single"/>
          <w:lang w:bidi="ar"/>
        </w:rPr>
        <w:t xml:space="preserve">包转发率≥126Mpps。</w:t>
      </w:r>
      <w:r/>
    </w:p>
    <w:p>
      <w:pPr>
        <w:numPr>
          <w:ilvl w:val="0"/>
          <w:numId w:val="15"/>
        </w:numPr>
        <w:ind w:firstLine="480"/>
        <w:jc w:val="left"/>
        <w:spacing w:line="440" w:lineRule="exact"/>
        <w:rPr>
          <w:rFonts w:ascii="宋体" w:hAnsi="宋体" w:cs="宋体"/>
          <w:color w:val="000000"/>
          <w:sz w:val="24"/>
          <w:szCs w:val="24"/>
          <w:highlight w:val="none"/>
          <w:lang w:bidi="ar"/>
        </w:rPr>
      </w:pPr>
      <w:r>
        <w:rPr>
          <w:rFonts w:hint="eastAsia" w:ascii="宋体" w:hAnsi="宋体" w:cs="宋体"/>
          <w:i/>
          <w:iCs/>
          <w:color w:val="000000"/>
          <w:sz w:val="24"/>
          <w:szCs w:val="24"/>
          <w:highlight w:val="none"/>
          <w:u w:val="single"/>
          <w:lang w:bidi="ar"/>
        </w:rPr>
        <w:t xml:space="preserve">整机PoE输出功率≥370W。</w:t>
      </w:r>
      <w:r/>
    </w:p>
    <w:p>
      <w:pPr>
        <w:numPr>
          <w:ilvl w:val="0"/>
          <w:numId w:val="15"/>
        </w:numPr>
        <w:ind w:firstLine="480"/>
        <w:jc w:val="left"/>
        <w:spacing w:line="440" w:lineRule="exact"/>
        <w:rPr>
          <w:rFonts w:ascii="宋体" w:hAnsi="宋体" w:cs="宋体"/>
          <w:color w:val="000000"/>
          <w:sz w:val="24"/>
          <w:szCs w:val="24"/>
          <w:highlight w:val="none"/>
          <w:lang w:bidi="ar"/>
        </w:rPr>
      </w:pPr>
      <w:r>
        <w:rPr>
          <w:rFonts w:hint="eastAsia" w:ascii="宋体" w:hAnsi="宋体" w:cs="宋体"/>
          <w:i/>
          <w:iCs/>
          <w:color w:val="000000"/>
          <w:sz w:val="24"/>
          <w:szCs w:val="24"/>
          <w:highlight w:val="none"/>
          <w:u w:val="single"/>
          <w:lang w:bidi="ar"/>
        </w:rPr>
        <w:t xml:space="preserve">支持802.1X认证、Portal认证、Triple 认证功能。</w:t>
      </w:r>
      <w:r/>
    </w:p>
    <w:p>
      <w:pPr>
        <w:numPr>
          <w:ilvl w:val="0"/>
          <w:numId w:val="15"/>
        </w:numPr>
        <w:ind w:firstLine="480"/>
        <w:jc w:val="left"/>
        <w:spacing w:line="440" w:lineRule="exac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支持链路聚合及聚合零丢包功能。</w:t>
      </w:r>
      <w:r/>
    </w:p>
    <w:p>
      <w:pPr>
        <w:numPr>
          <w:ilvl w:val="0"/>
          <w:numId w:val="15"/>
        </w:numPr>
        <w:ind w:firstLine="480"/>
        <w:jc w:val="left"/>
        <w:spacing w:line="440" w:lineRule="exact"/>
        <w:rPr>
          <w:rFonts w:ascii="宋体" w:hAnsi="宋体" w:cs="宋体"/>
          <w:color w:val="000000"/>
          <w:sz w:val="24"/>
          <w:szCs w:val="24"/>
          <w:highlight w:val="none"/>
          <w:lang w:bidi="ar"/>
        </w:rPr>
      </w:pPr>
      <w:r>
        <w:rPr>
          <w:rFonts w:hint="eastAsia" w:ascii="宋体" w:hAnsi="宋体" w:cs="宋体"/>
          <w:i/>
          <w:iCs/>
          <w:color w:val="000000" w:themeColor="text1"/>
          <w:sz w:val="24"/>
          <w:szCs w:val="24"/>
          <w:highlight w:val="none"/>
          <w:u w:val="single"/>
          <w14:textFill>
            <w14:solidFill>
              <w14:schemeClr w14:val="tx1"/>
            </w14:solidFill>
          </w14:textFill>
        </w:rPr>
        <w:t xml:space="preserve">提供三年原厂质保服务。</w:t>
      </w:r>
      <w:r/>
    </w:p>
    <w:p>
      <w:pPr>
        <w:pStyle w:val="987"/>
        <w:rPr>
          <w:rFonts w:hAnsi="宋体" w:cs="宋体"/>
          <w:highlight w:val="none"/>
        </w:rPr>
      </w:pPr>
      <w:r>
        <w:rPr>
          <w:rFonts w:hint="eastAsia" w:hAnsi="宋体" w:cs="宋体"/>
          <w:sz w:val="24"/>
          <w:szCs w:val="24"/>
          <w:highlight w:val="none"/>
        </w:rPr>
        <w:t xml:space="preserve">2.2.15视频采集设备</w:t>
      </w:r>
      <w:r>
        <w:rPr>
          <w:rFonts w:hint="eastAsia"/>
          <w:sz w:val="24"/>
          <w:szCs w:val="24"/>
          <w:highlight w:val="none"/>
        </w:rPr>
        <w:t xml:space="preserve">技术指标要求</w:t>
      </w:r>
      <w:r>
        <w:rPr>
          <w:rFonts w:hint="eastAsia" w:hAnsi="宋体" w:cs="宋体"/>
          <w:sz w:val="24"/>
          <w:szCs w:val="24"/>
          <w:highlight w:val="none"/>
        </w:rPr>
        <w:t xml:space="preserve">（63台）</w:t>
      </w:r>
      <w:r/>
    </w:p>
    <w:p>
      <w:pPr>
        <w:numPr>
          <w:ilvl w:val="0"/>
          <w:numId w:val="16"/>
        </w:numPr>
        <w:ind w:firstLine="480"/>
        <w:jc w:val="left"/>
        <w:spacing w:line="440" w:lineRule="exact"/>
        <w:rPr>
          <w:rFonts w:ascii="宋体" w:hAnsi="宋体" w:cs="宋体"/>
          <w:i/>
          <w:iCs/>
          <w:sz w:val="24"/>
          <w:szCs w:val="24"/>
          <w:highlight w:val="none"/>
          <w:u w:val="single"/>
          <w:lang w:bidi="ar"/>
        </w:rPr>
      </w:pPr>
      <w:r>
        <w:rPr>
          <w:rFonts w:hint="eastAsia" w:ascii="宋体" w:hAnsi="宋体" w:cs="宋体"/>
          <w:i/>
          <w:iCs/>
          <w:sz w:val="24"/>
          <w:szCs w:val="24"/>
          <w:highlight w:val="none"/>
          <w:u w:val="single"/>
          <w:lang w:bidi="ar"/>
        </w:rPr>
        <w:t xml:space="preserve">支持智能资源模式切换：全抓拍、人脸抓拍、道路监控、人数统计，多种智能模式可按需切换</w:t>
      </w:r>
      <w:r/>
    </w:p>
    <w:p>
      <w:pPr>
        <w:numPr>
          <w:ilvl w:val="0"/>
          <w:numId w:val="16"/>
        </w:numPr>
        <w:ind w:firstLine="480"/>
        <w:jc w:val="left"/>
        <w:spacing w:line="440" w:lineRule="exact"/>
        <w:rPr>
          <w:rFonts w:ascii="宋体" w:hAnsi="宋体" w:cs="宋体"/>
          <w:i/>
          <w:iCs/>
          <w:color w:val="000000"/>
          <w:sz w:val="24"/>
          <w:szCs w:val="24"/>
          <w:highlight w:val="none"/>
          <w:u w:val="single"/>
          <w:lang w:bidi="ar"/>
        </w:rPr>
      </w:pPr>
      <w:r>
        <w:rPr>
          <w:rStyle w:val="1006"/>
          <w:rFonts w:hint="default"/>
          <w:i/>
          <w:iCs/>
          <w:color w:val="auto"/>
          <w:sz w:val="24"/>
          <w:szCs w:val="24"/>
          <w:highlight w:val="none"/>
          <w:u w:val="single"/>
          <w:lang w:bidi="ar"/>
        </w:rPr>
        <w:t xml:space="preserve">分辨率设置为2560×1440@25fps，分辨力不小于1400TVL。</w:t>
      </w:r>
      <w:r/>
    </w:p>
    <w:p>
      <w:pPr>
        <w:numPr>
          <w:ilvl w:val="0"/>
          <w:numId w:val="16"/>
        </w:numPr>
        <w:ind w:firstLine="480"/>
        <w:jc w:val="left"/>
        <w:spacing w:line="440" w:lineRule="exact"/>
        <w:rPr>
          <w:rFonts w:ascii="宋体" w:hAnsi="宋体" w:cs="宋体"/>
          <w:i/>
          <w:iCs/>
          <w:color w:val="000000"/>
          <w:sz w:val="24"/>
          <w:szCs w:val="24"/>
          <w:highlight w:val="none"/>
          <w:u w:val="single"/>
          <w:lang w:bidi="ar"/>
        </w:rPr>
      </w:pPr>
      <w:r>
        <w:rPr>
          <w:rStyle w:val="1006"/>
          <w:rFonts w:hint="default"/>
          <w:i/>
          <w:iCs/>
          <w:color w:val="auto"/>
          <w:sz w:val="24"/>
          <w:szCs w:val="24"/>
          <w:highlight w:val="none"/>
          <w:u w:val="single"/>
          <w:lang w:bidi="ar"/>
        </w:rPr>
        <w:t xml:space="preserve">最低照度彩色不大于0.0002 lx，黑白不大于0.0001 lx。</w:t>
      </w:r>
      <w:r/>
    </w:p>
    <w:p>
      <w:pPr>
        <w:numPr>
          <w:ilvl w:val="0"/>
          <w:numId w:val="16"/>
        </w:numPr>
        <w:ind w:firstLine="480"/>
        <w:jc w:val="left"/>
        <w:spacing w:line="440" w:lineRule="exact"/>
        <w:rPr>
          <w:rFonts w:ascii="宋体" w:hAnsi="宋体" w:cs="宋体"/>
          <w:i/>
          <w:iCs/>
          <w:color w:val="000000"/>
          <w:sz w:val="24"/>
          <w:szCs w:val="24"/>
          <w:highlight w:val="none"/>
          <w:u w:val="single"/>
          <w:lang w:bidi="ar"/>
        </w:rPr>
      </w:pPr>
      <w:r>
        <w:rPr>
          <w:rStyle w:val="1006"/>
          <w:rFonts w:hint="default"/>
          <w:i/>
          <w:iCs/>
          <w:color w:val="auto"/>
          <w:sz w:val="24"/>
          <w:szCs w:val="24"/>
          <w:highlight w:val="none"/>
          <w:u w:val="single"/>
          <w:lang w:bidi="ar"/>
        </w:rPr>
        <w:t xml:space="preserve">宽动态能力不小于120dB。</w:t>
      </w:r>
      <w:r/>
    </w:p>
    <w:p>
      <w:pPr>
        <w:numPr>
          <w:ilvl w:val="0"/>
          <w:numId w:val="16"/>
        </w:numPr>
        <w:ind w:firstLine="480"/>
        <w:jc w:val="left"/>
        <w:spacing w:line="440" w:lineRule="exact"/>
        <w:rPr>
          <w:rFonts w:ascii="宋体" w:hAnsi="宋体" w:cs="宋体"/>
          <w:i/>
          <w:iCs/>
          <w:color w:val="000000"/>
          <w:sz w:val="24"/>
          <w:szCs w:val="24"/>
          <w:highlight w:val="none"/>
          <w:u w:val="single"/>
          <w:lang w:bidi="ar"/>
        </w:rPr>
      </w:pPr>
      <w:r>
        <w:rPr>
          <w:rStyle w:val="1006"/>
          <w:rFonts w:hint="default"/>
          <w:i/>
          <w:iCs/>
          <w:color w:val="auto"/>
          <w:sz w:val="24"/>
          <w:szCs w:val="24"/>
          <w:highlight w:val="none"/>
          <w:u w:val="single"/>
          <w:lang w:bidi="ar"/>
        </w:rPr>
        <w:t xml:space="preserve">红外补光距离不小于50米。</w:t>
      </w:r>
      <w:r/>
    </w:p>
    <w:p>
      <w:pPr>
        <w:numPr>
          <w:ilvl w:val="0"/>
          <w:numId w:val="16"/>
        </w:numPr>
        <w:ind w:firstLine="480"/>
        <w:jc w:val="left"/>
        <w:spacing w:line="440" w:lineRule="exact"/>
        <w:rPr>
          <w:rFonts w:ascii="宋体" w:hAnsi="宋体" w:cs="宋体"/>
          <w:i/>
          <w:iCs/>
          <w:color w:val="000000"/>
          <w:sz w:val="24"/>
          <w:szCs w:val="24"/>
          <w:highlight w:val="none"/>
          <w:u w:val="single"/>
          <w:lang w:bidi="ar"/>
        </w:rPr>
      </w:pPr>
      <w:r>
        <w:rPr>
          <w:rStyle w:val="1006"/>
          <w:rFonts w:hint="default"/>
          <w:i/>
          <w:iCs/>
          <w:color w:val="auto"/>
          <w:sz w:val="24"/>
          <w:szCs w:val="24"/>
          <w:highlight w:val="none"/>
          <w:u w:val="single"/>
          <w:lang w:bidi="ar"/>
        </w:rPr>
        <w:t xml:space="preserve">需支持IP67防护等级。</w:t>
      </w:r>
      <w:r/>
    </w:p>
    <w:p>
      <w:pPr>
        <w:numPr>
          <w:ilvl w:val="0"/>
          <w:numId w:val="16"/>
        </w:numPr>
        <w:ind w:firstLine="480"/>
        <w:jc w:val="left"/>
        <w:spacing w:line="440" w:lineRule="exact"/>
        <w:rPr>
          <w:rFonts w:ascii="宋体" w:hAnsi="宋体" w:cs="宋体"/>
          <w:i/>
          <w:iCs/>
          <w:color w:val="000000"/>
          <w:sz w:val="24"/>
          <w:szCs w:val="24"/>
          <w:highlight w:val="none"/>
          <w:u w:val="single"/>
          <w:lang w:bidi="ar"/>
        </w:rPr>
      </w:pPr>
      <w:r>
        <w:rPr>
          <w:rFonts w:hint="eastAsia" w:ascii="宋体" w:hAnsi="宋体" w:cs="宋体"/>
          <w:i/>
          <w:iCs/>
          <w:color w:val="000000" w:themeColor="text1"/>
          <w:sz w:val="24"/>
          <w:szCs w:val="24"/>
          <w:highlight w:val="none"/>
          <w:u w:val="single"/>
          <w14:textFill>
            <w14:solidFill>
              <w14:schemeClr w14:val="tx1"/>
            </w14:solidFill>
          </w14:textFill>
        </w:rPr>
        <w:t xml:space="preserve">提供三年原厂质保服务。</w:t>
      </w:r>
      <w:r/>
    </w:p>
    <w:p>
      <w:pPr>
        <w:pStyle w:val="987"/>
        <w:rPr>
          <w:highlight w:val="none"/>
        </w:rPr>
      </w:pPr>
      <w:r>
        <w:rPr>
          <w:rFonts w:hint="eastAsia"/>
          <w:sz w:val="24"/>
          <w:szCs w:val="24"/>
          <w:highlight w:val="none"/>
        </w:rPr>
        <w:t xml:space="preserve">2.2.16高性能存储服务器（含硬盘）技术指标要求（1台）</w:t>
      </w:r>
      <w:r/>
    </w:p>
    <w:p>
      <w:pPr>
        <w:numPr>
          <w:ilvl w:val="0"/>
          <w:numId w:val="17"/>
        </w:numPr>
        <w:ind w:firstLine="480"/>
        <w:jc w:val="left"/>
        <w:spacing w:line="440" w:lineRule="exact"/>
        <w:rPr>
          <w:rFonts w:ascii="宋体" w:hAnsi="宋体" w:cs="宋体"/>
          <w:color w:val="000000"/>
          <w:sz w:val="24"/>
          <w:szCs w:val="24"/>
          <w:highlight w:val="none"/>
          <w:lang w:bidi="ar"/>
        </w:rPr>
      </w:pPr>
      <w:r>
        <w:rPr>
          <w:rFonts w:hint="eastAsia" w:ascii="宋体" w:hAnsi="宋体" w:cs="宋体"/>
          <w:i/>
          <w:iCs/>
          <w:color w:val="000000"/>
          <w:sz w:val="24"/>
          <w:szCs w:val="24"/>
          <w:highlight w:val="none"/>
          <w:u w:val="single"/>
          <w:lang w:bidi="ar"/>
        </w:rPr>
        <w:t xml:space="preserve">设备配置：≥1颗64位多核国产化CPU处理器，≥8G内存， ≥4个千兆网口、 ≥1个千兆管理网口、24块硬盘热插拔插槽；支持风扇热插拔并可冗余温控调速。</w:t>
      </w:r>
      <w:r/>
    </w:p>
    <w:p>
      <w:pPr>
        <w:numPr>
          <w:ilvl w:val="0"/>
          <w:numId w:val="17"/>
        </w:numPr>
        <w:ind w:firstLine="480"/>
        <w:jc w:val="left"/>
        <w:spacing w:line="440" w:lineRule="exac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可自动识别并显示接入的硬盘容量和状态,可显示硬盘组的容量。可在IE浏览器中查看硬盘的SMART信息,查看的硬盘指示灯应闪烁。对RAID阵列中S.M.A.R.T信息有异常的硬盘可自动进行数据拷贝及替换。支持在线获取磁盘日志,在线分析磁盘故障。</w:t>
      </w:r>
      <w:r/>
    </w:p>
    <w:p>
      <w:pPr>
        <w:numPr>
          <w:ilvl w:val="0"/>
          <w:numId w:val="17"/>
        </w:numPr>
        <w:ind w:firstLine="480"/>
        <w:jc w:val="left"/>
        <w:spacing w:line="440" w:lineRule="exac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支持运维客户端监管存储设备状态，包括系统、硬盘、环控、报警、保养灯等模块，并同步实时展示；运维客户端可展示设备的在线和离线状态，并同步统设计在线、离线设备的数量；针对在线设备，同步显示连接异常、警告等状态信息，并统计相关数量；运维客户端支持设备报告的管理和下载功能。支持手动下载及策略下载；可设置下载时间，下载数量，及周期性管理；可灵活配置下载周期，支持每天、每三天、每周、每月等模式的配置。</w:t>
      </w:r>
      <w:r/>
    </w:p>
    <w:p>
      <w:pPr>
        <w:numPr>
          <w:ilvl w:val="0"/>
          <w:numId w:val="17"/>
        </w:numPr>
        <w:ind w:firstLine="480"/>
        <w:jc w:val="left"/>
        <w:spacing w:line="440" w:lineRule="exac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云存储系统可对接入的摄像机自动分配，可在管理平台展示每个存储节点的设备接入情况；支持根据存储节点接入码流带宽、存储空间等信息，实现前端通道自动负载均衡到不同节点，保障存储节点稳定运行；支持单网卡，容错，负载均衡、链路聚合网口模式;支持磁盘故障后，具有数据自愈功能，可设置立即重构，亦可设置为不执行重构，即支持手动或系统自动恢复数据。EC纠删码为降级状态，可以正常读取视频。图片、智能流、文件业务的数据；在数据恢复过程中，业务不中断。</w:t>
      </w:r>
      <w:r/>
    </w:p>
    <w:p>
      <w:pPr>
        <w:numPr>
          <w:ilvl w:val="0"/>
          <w:numId w:val="17"/>
        </w:numPr>
        <w:ind w:firstLine="480"/>
        <w:jc w:val="left"/>
        <w:spacing w:line="440" w:lineRule="exac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支持在录像文件目录损坏时重建索引,恢复录像查询。</w:t>
      </w:r>
      <w:r/>
    </w:p>
    <w:p>
      <w:pPr>
        <w:numPr>
          <w:ilvl w:val="0"/>
          <w:numId w:val="17"/>
        </w:numPr>
        <w:ind w:firstLine="480"/>
        <w:jc w:val="left"/>
        <w:spacing w:line="440" w:lineRule="exac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支持域管理，实现存储节点的虚拟化整合及统一命名：支持一套云存储系统中在线扩展部分域的存储容量空间；支持在线弹性伸缩云存储的总容量空间或部分容量空间，不影响业务正常读写；支持一套云存储系统创建多个域，每个域有自己的存储容量空间；支持自由控制将存储设备、接入服务器加入域或退出域；支持向指定的域中添加存储设备；系统支持分域管理，当单个域中设备接入到同一个交换机时，可实现数据流分域控制管理，域内业务不受其他域影响。（提供公安部授权检测机构或第三方检测机构出具的检验报告原件扫描上传）</w:t>
      </w:r>
      <w:r/>
    </w:p>
    <w:p>
      <w:pPr>
        <w:numPr>
          <w:ilvl w:val="0"/>
          <w:numId w:val="17"/>
        </w:numPr>
        <w:ind w:firstLine="480"/>
        <w:jc w:val="left"/>
        <w:spacing w:line="440" w:lineRule="exac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支持将多台存储设备的存储资源虚拟化成一个存储资源池,支持在资源池中对多台设备进行负载均衡。</w:t>
      </w:r>
      <w:r/>
    </w:p>
    <w:p>
      <w:pPr>
        <w:numPr>
          <w:ilvl w:val="0"/>
          <w:numId w:val="17"/>
        </w:numPr>
        <w:ind w:firstLine="480"/>
        <w:jc w:val="left"/>
        <w:spacing w:line="440" w:lineRule="exac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支持通过运维软件显示管理节点IP，CPU使用率，内存使用率，在线设备数，录像设备数，在线未录像数，剩余容量/总容量；支持在线未录像数ID监控点，监控点名称详细显示。</w:t>
      </w:r>
      <w:r/>
    </w:p>
    <w:p>
      <w:pPr>
        <w:numPr>
          <w:ilvl w:val="0"/>
          <w:numId w:val="17"/>
        </w:numPr>
        <w:ind w:firstLine="480"/>
        <w:jc w:val="left"/>
        <w:spacing w:line="440" w:lineRule="exac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支持查看单台存储节点上的磁盘信息；支持系统内设置存储节点的接入数；支持根据存储卷状态（如格式化状态、维护状态、重构状态、在线状态等），快速检索存储卷。</w:t>
      </w:r>
      <w:r/>
    </w:p>
    <w:p>
      <w:pPr>
        <w:numPr>
          <w:ilvl w:val="0"/>
          <w:numId w:val="17"/>
        </w:numPr>
        <w:ind w:firstLine="480"/>
        <w:jc w:val="left"/>
        <w:spacing w:line="440" w:lineRule="exact"/>
        <w:rPr>
          <w:rFonts w:ascii="宋体" w:hAnsi="宋体" w:cs="宋体"/>
          <w:color w:val="000000"/>
          <w:sz w:val="24"/>
          <w:szCs w:val="24"/>
          <w:highlight w:val="none"/>
          <w:lang w:bidi="ar"/>
        </w:rPr>
      </w:pPr>
      <w:r>
        <w:rPr>
          <w:rFonts w:hint="eastAsia" w:ascii="宋体" w:hAnsi="宋体" w:cs="宋体"/>
          <w:i/>
          <w:iCs/>
          <w:color w:val="000000"/>
          <w:sz w:val="24"/>
          <w:szCs w:val="24"/>
          <w:highlight w:val="none"/>
          <w:u w:val="single"/>
          <w:lang w:bidi="ar"/>
        </w:rPr>
        <w:t xml:space="preserve">含24片配套硬盘：</w:t>
      </w:r>
      <w:r>
        <w:rPr>
          <w:rFonts w:hint="eastAsia" w:ascii="宋体" w:hAnsi="宋体" w:cs="宋体"/>
          <w:i/>
          <w:iCs/>
          <w:color w:val="000000"/>
          <w:sz w:val="24"/>
          <w:szCs w:val="24"/>
          <w:highlight w:val="none"/>
          <w:u w:val="single"/>
          <w:lang w:bidi="ar"/>
        </w:rPr>
        <w:br/>
      </w:r>
      <w:r>
        <w:rPr>
          <w:rFonts w:hint="eastAsia" w:ascii="宋体" w:hAnsi="宋体" w:cs="宋体"/>
          <w:i/>
          <w:iCs/>
          <w:color w:val="000000"/>
          <w:sz w:val="24"/>
          <w:szCs w:val="24"/>
          <w:highlight w:val="none"/>
          <w:lang w:bidi="ar"/>
        </w:rPr>
        <w:t xml:space="preserve">    </w:t>
      </w:r>
      <w:r>
        <w:rPr>
          <w:rFonts w:hint="eastAsia" w:ascii="宋体" w:hAnsi="宋体" w:cs="宋体"/>
          <w:i/>
          <w:iCs/>
          <w:color w:val="000000"/>
          <w:sz w:val="24"/>
          <w:szCs w:val="24"/>
          <w:highlight w:val="none"/>
          <w:u w:val="single"/>
          <w:lang w:bidi="ar"/>
        </w:rPr>
        <w:t xml:space="preserve">1）8TB容量，3.5英寸，SATA3.0接口，7200RPM。</w:t>
      </w:r>
      <w:r>
        <w:rPr>
          <w:rFonts w:hint="eastAsia" w:ascii="宋体" w:hAnsi="宋体" w:cs="宋体"/>
          <w:i/>
          <w:iCs/>
          <w:color w:val="000000"/>
          <w:sz w:val="24"/>
          <w:szCs w:val="24"/>
          <w:highlight w:val="none"/>
          <w:u w:val="single"/>
          <w:lang w:bidi="ar"/>
        </w:rPr>
        <w:br/>
      </w:r>
      <w:r>
        <w:rPr>
          <w:rFonts w:hint="eastAsia" w:ascii="宋体" w:hAnsi="宋体" w:cs="宋体"/>
          <w:i/>
          <w:iCs/>
          <w:color w:val="000000"/>
          <w:sz w:val="24"/>
          <w:szCs w:val="24"/>
          <w:highlight w:val="none"/>
          <w:lang w:bidi="ar"/>
        </w:rPr>
        <w:t xml:space="preserve">    </w:t>
      </w:r>
      <w:r>
        <w:rPr>
          <w:rFonts w:hint="eastAsia" w:ascii="宋体" w:hAnsi="宋体" w:cs="宋体"/>
          <w:i/>
          <w:iCs/>
          <w:color w:val="000000"/>
          <w:sz w:val="24"/>
          <w:szCs w:val="24"/>
          <w:highlight w:val="none"/>
          <w:u w:val="single"/>
          <w:lang w:bidi="ar"/>
        </w:rPr>
        <w:t xml:space="preserve">2）空气盘， CMR传统磁记录。</w:t>
      </w:r>
      <w:r>
        <w:rPr>
          <w:rFonts w:hint="eastAsia" w:ascii="宋体" w:hAnsi="宋体" w:cs="宋体"/>
          <w:i/>
          <w:iCs/>
          <w:color w:val="000000"/>
          <w:sz w:val="24"/>
          <w:szCs w:val="24"/>
          <w:highlight w:val="none"/>
          <w:u w:val="single"/>
          <w:lang w:bidi="ar"/>
        </w:rPr>
        <w:br/>
      </w:r>
      <w:r>
        <w:rPr>
          <w:rFonts w:hint="eastAsia" w:ascii="宋体" w:hAnsi="宋体" w:cs="宋体"/>
          <w:i/>
          <w:iCs/>
          <w:color w:val="000000"/>
          <w:sz w:val="24"/>
          <w:szCs w:val="24"/>
          <w:highlight w:val="none"/>
          <w:lang w:bidi="ar"/>
        </w:rPr>
        <w:t xml:space="preserve">    </w:t>
      </w:r>
      <w:r>
        <w:rPr>
          <w:rFonts w:hint="eastAsia" w:ascii="宋体" w:hAnsi="宋体" w:cs="宋体"/>
          <w:i/>
          <w:iCs/>
          <w:color w:val="000000"/>
          <w:sz w:val="24"/>
          <w:szCs w:val="24"/>
          <w:highlight w:val="none"/>
          <w:u w:val="single"/>
          <w:lang w:bidi="ar"/>
        </w:rPr>
        <w:t xml:space="preserve">3）传输速率267 MB/s，256MB高速缓存，流畅存储视频有效防止丢帧。</w:t>
      </w:r>
      <w:r>
        <w:rPr>
          <w:rFonts w:hint="eastAsia" w:ascii="宋体" w:hAnsi="宋体" w:cs="宋体"/>
          <w:i/>
          <w:iCs/>
          <w:color w:val="000000"/>
          <w:sz w:val="24"/>
          <w:szCs w:val="24"/>
          <w:highlight w:val="none"/>
          <w:u w:val="single"/>
          <w:lang w:bidi="ar"/>
        </w:rPr>
        <w:br/>
      </w:r>
      <w:r>
        <w:rPr>
          <w:rFonts w:hint="eastAsia" w:ascii="宋体" w:hAnsi="宋体" w:cs="宋体"/>
          <w:i/>
          <w:iCs/>
          <w:color w:val="000000"/>
          <w:sz w:val="24"/>
          <w:szCs w:val="24"/>
          <w:highlight w:val="none"/>
          <w:lang w:bidi="ar"/>
        </w:rPr>
        <w:t xml:space="preserve">    </w:t>
      </w:r>
      <w:r>
        <w:rPr>
          <w:rFonts w:hint="eastAsia" w:ascii="宋体" w:hAnsi="宋体" w:cs="宋体"/>
          <w:i/>
          <w:iCs/>
          <w:color w:val="000000"/>
          <w:sz w:val="24"/>
          <w:szCs w:val="24"/>
          <w:highlight w:val="none"/>
          <w:u w:val="single"/>
          <w:lang w:bidi="ar"/>
        </w:rPr>
        <w:t xml:space="preserve">4）MTBF可达2,000,000小时。</w:t>
      </w:r>
      <w:r>
        <w:rPr>
          <w:rFonts w:hint="eastAsia" w:ascii="宋体" w:hAnsi="宋体" w:cs="宋体"/>
          <w:i/>
          <w:iCs/>
          <w:color w:val="000000"/>
          <w:sz w:val="24"/>
          <w:szCs w:val="24"/>
          <w:highlight w:val="none"/>
          <w:u w:val="single"/>
          <w:lang w:bidi="ar"/>
        </w:rPr>
        <w:br/>
      </w:r>
      <w:r>
        <w:rPr>
          <w:rFonts w:hint="eastAsia" w:ascii="宋体" w:hAnsi="宋体" w:cs="宋体"/>
          <w:i/>
          <w:iCs/>
          <w:color w:val="000000"/>
          <w:sz w:val="24"/>
          <w:szCs w:val="24"/>
          <w:highlight w:val="none"/>
          <w:lang w:bidi="ar"/>
        </w:rPr>
        <w:t xml:space="preserve">    </w:t>
      </w:r>
      <w:r>
        <w:rPr>
          <w:rFonts w:hint="eastAsia" w:ascii="宋体" w:hAnsi="宋体" w:cs="宋体"/>
          <w:i/>
          <w:iCs/>
          <w:color w:val="000000"/>
          <w:sz w:val="24"/>
          <w:szCs w:val="24"/>
          <w:highlight w:val="none"/>
          <w:u w:val="single"/>
          <w:lang w:bidi="ar"/>
        </w:rPr>
        <w:t xml:space="preserve">5)接口类型：SATA。</w:t>
      </w:r>
      <w:r/>
    </w:p>
    <w:p>
      <w:pPr>
        <w:numPr>
          <w:ilvl w:val="0"/>
          <w:numId w:val="17"/>
        </w:numPr>
        <w:ind w:firstLine="480"/>
        <w:jc w:val="left"/>
        <w:spacing w:line="440" w:lineRule="exact"/>
        <w:rPr>
          <w:rFonts w:ascii="宋体" w:hAnsi="宋体" w:cs="宋体"/>
          <w:color w:val="000000"/>
          <w:sz w:val="24"/>
          <w:szCs w:val="24"/>
          <w:highlight w:val="none"/>
          <w:lang w:bidi="ar"/>
        </w:rPr>
      </w:pPr>
      <w:r>
        <w:rPr>
          <w:rFonts w:hint="eastAsia" w:ascii="宋体" w:hAnsi="宋体" w:cs="宋体"/>
          <w:i/>
          <w:iCs/>
          <w:color w:val="000000" w:themeColor="text1"/>
          <w:sz w:val="24"/>
          <w:szCs w:val="24"/>
          <w:highlight w:val="none"/>
          <w:u w:val="single"/>
          <w14:textFill>
            <w14:solidFill>
              <w14:schemeClr w14:val="tx1"/>
            </w14:solidFill>
          </w14:textFill>
        </w:rPr>
        <w:t xml:space="preserve">提供三年原厂质保服务。</w:t>
      </w:r>
      <w:r/>
    </w:p>
    <w:p>
      <w:pPr>
        <w:pStyle w:val="987"/>
        <w:rPr>
          <w:rFonts w:hAnsi="宋体" w:cs="宋体"/>
          <w:highlight w:val="none"/>
        </w:rPr>
      </w:pPr>
      <w:r>
        <w:rPr>
          <w:rFonts w:hint="eastAsia" w:hAnsi="宋体" w:cs="宋体"/>
          <w:sz w:val="24"/>
          <w:szCs w:val="24"/>
          <w:highlight w:val="none"/>
        </w:rPr>
        <w:t xml:space="preserve">2.2.17 AI引擎文搜一体机（含硬盘）</w:t>
      </w:r>
      <w:r>
        <w:rPr>
          <w:rFonts w:hint="eastAsia"/>
          <w:sz w:val="24"/>
          <w:szCs w:val="24"/>
          <w:highlight w:val="none"/>
        </w:rPr>
        <w:t xml:space="preserve">技术指标要求</w:t>
      </w:r>
      <w:r>
        <w:rPr>
          <w:rFonts w:hint="eastAsia" w:hAnsi="宋体" w:cs="宋体"/>
          <w:sz w:val="24"/>
          <w:szCs w:val="24"/>
          <w:highlight w:val="none"/>
        </w:rPr>
        <w:t xml:space="preserve">（1台）</w:t>
      </w:r>
      <w:r/>
    </w:p>
    <w:p>
      <w:pPr>
        <w:numPr>
          <w:ilvl w:val="0"/>
          <w:numId w:val="18"/>
        </w:numPr>
        <w:ind w:firstLine="480"/>
        <w:jc w:val="left"/>
        <w:spacing w:line="440" w:lineRule="exact"/>
        <w:rPr>
          <w:rFonts w:ascii="宋体" w:hAnsi="宋体" w:cs="宋体"/>
          <w:i/>
          <w:iCs/>
          <w:color w:val="000000"/>
          <w:sz w:val="24"/>
          <w:szCs w:val="24"/>
          <w:highlight w:val="none"/>
          <w:u w:val="single"/>
          <w:lang w:bidi="ar"/>
        </w:rPr>
      </w:pPr>
      <w:r>
        <w:rPr>
          <w:rFonts w:hint="eastAsia" w:ascii="宋体" w:hAnsi="宋体" w:cs="宋体"/>
          <w:i/>
          <w:iCs/>
          <w:color w:val="000000"/>
          <w:sz w:val="24"/>
          <w:szCs w:val="24"/>
          <w:highlight w:val="none"/>
          <w:u w:val="single"/>
          <w:lang w:val="en-US" w:eastAsia="zh-CN" w:bidi="ar"/>
        </w:rPr>
        <w:t xml:space="preserve">采用国产化CPU，</w:t>
      </w:r>
      <w:r>
        <w:rPr>
          <w:rFonts w:hint="eastAsia" w:ascii="宋体" w:hAnsi="宋体" w:cs="宋体"/>
          <w:i/>
          <w:iCs/>
          <w:color w:val="000000"/>
          <w:sz w:val="24"/>
          <w:szCs w:val="24"/>
          <w:highlight w:val="none"/>
          <w:u w:val="single"/>
          <w:lang w:bidi="ar"/>
        </w:rPr>
        <w:t xml:space="preserve">支持至少8个SATA接口，支持硬盘热插拔，可满配20TB硬盘。</w:t>
      </w:r>
      <w:r/>
    </w:p>
    <w:p>
      <w:pPr>
        <w:numPr>
          <w:ilvl w:val="0"/>
          <w:numId w:val="18"/>
        </w:numPr>
        <w:ind w:firstLine="480"/>
        <w:jc w:val="left"/>
        <w:spacing w:line="440" w:lineRule="exact"/>
        <w:rPr>
          <w:rFonts w:ascii="宋体" w:hAnsi="宋体" w:cs="宋体"/>
          <w:sz w:val="24"/>
          <w:szCs w:val="24"/>
          <w:highlight w:val="none"/>
        </w:rPr>
      </w:pPr>
      <w:r>
        <w:rPr>
          <w:rFonts w:hint="eastAsia" w:ascii="宋体" w:hAnsi="宋体" w:cs="宋体"/>
          <w:color w:val="000000"/>
          <w:sz w:val="24"/>
          <w:szCs w:val="24"/>
          <w:highlight w:val="none"/>
          <w:lang w:bidi="ar"/>
        </w:rPr>
        <w:t xml:space="preserve">视频接口支持不低于2×HDMI，2×VGA。</w:t>
      </w:r>
      <w:r/>
    </w:p>
    <w:p>
      <w:pPr>
        <w:numPr>
          <w:ilvl w:val="0"/>
          <w:numId w:val="18"/>
        </w:numPr>
        <w:ind w:firstLine="480"/>
        <w:jc w:val="left"/>
        <w:spacing w:line="440" w:lineRule="exact"/>
        <w:rPr>
          <w:rFonts w:ascii="宋体" w:hAnsi="宋体" w:cs="宋体"/>
          <w:sz w:val="24"/>
          <w:szCs w:val="24"/>
          <w:highlight w:val="none"/>
        </w:rPr>
      </w:pPr>
      <w:r>
        <w:rPr>
          <w:rFonts w:hint="eastAsia" w:ascii="宋体" w:hAnsi="宋体" w:cs="宋体"/>
          <w:color w:val="000000"/>
          <w:sz w:val="24"/>
          <w:szCs w:val="24"/>
          <w:highlight w:val="none"/>
          <w:lang w:bidi="ar"/>
        </w:rPr>
        <w:t xml:space="preserve">支持目标抓拍、比对报警；支持以图搜图、按姓名检索、按属性检索。</w:t>
      </w:r>
      <w:r/>
    </w:p>
    <w:p>
      <w:pPr>
        <w:numPr>
          <w:ilvl w:val="0"/>
          <w:numId w:val="18"/>
        </w:numPr>
        <w:ind w:firstLine="480"/>
        <w:jc w:val="left"/>
        <w:spacing w:line="440" w:lineRule="exact"/>
        <w:rPr>
          <w:rFonts w:ascii="宋体" w:hAnsi="宋体" w:cs="宋体"/>
          <w:sz w:val="24"/>
          <w:szCs w:val="24"/>
          <w:highlight w:val="none"/>
        </w:rPr>
      </w:pPr>
      <w:r>
        <w:rPr>
          <w:rFonts w:hint="eastAsia" w:ascii="宋体" w:hAnsi="宋体" w:cs="宋体"/>
          <w:color w:val="000000"/>
          <w:sz w:val="24"/>
          <w:szCs w:val="24"/>
          <w:highlight w:val="none"/>
          <w:lang w:bidi="ar"/>
        </w:rPr>
        <w:t xml:space="preserve">支持32个名单库，总库容10万张。</w:t>
      </w:r>
      <w:r/>
    </w:p>
    <w:p>
      <w:pPr>
        <w:numPr>
          <w:ilvl w:val="0"/>
          <w:numId w:val="18"/>
        </w:numPr>
        <w:ind w:firstLine="480"/>
        <w:jc w:val="left"/>
        <w:spacing w:line="440" w:lineRule="exact"/>
        <w:rPr>
          <w:rFonts w:ascii="宋体" w:hAnsi="宋体" w:cs="宋体"/>
          <w:sz w:val="24"/>
          <w:szCs w:val="24"/>
          <w:highlight w:val="none"/>
        </w:rPr>
      </w:pPr>
      <w:r>
        <w:rPr>
          <w:rFonts w:hint="eastAsia" w:ascii="宋体" w:hAnsi="宋体" w:cs="宋体"/>
          <w:color w:val="000000"/>
          <w:sz w:val="24"/>
          <w:szCs w:val="24"/>
          <w:highlight w:val="none"/>
          <w:lang w:bidi="ar"/>
        </w:rPr>
        <w:t xml:space="preserve">目标抓拍需支持至少16路视频流，目标比对需支持至少16路图片流。</w:t>
      </w:r>
      <w:r/>
    </w:p>
    <w:p>
      <w:pPr>
        <w:numPr>
          <w:ilvl w:val="0"/>
          <w:numId w:val="18"/>
        </w:numPr>
        <w:ind w:firstLine="480"/>
        <w:jc w:val="left"/>
        <w:spacing w:line="440" w:lineRule="exact"/>
        <w:rPr>
          <w:rFonts w:ascii="宋体" w:hAnsi="宋体" w:cs="宋体"/>
          <w:sz w:val="24"/>
          <w:szCs w:val="24"/>
          <w:highlight w:val="none"/>
        </w:rPr>
      </w:pPr>
      <w:r>
        <w:rPr>
          <w:rFonts w:hint="eastAsia" w:ascii="宋体" w:hAnsi="宋体" w:cs="宋体"/>
          <w:i/>
          <w:iCs/>
          <w:color w:val="000000"/>
          <w:sz w:val="24"/>
          <w:szCs w:val="24"/>
          <w:highlight w:val="none"/>
          <w:u w:val="single"/>
          <w:lang w:bidi="ar"/>
        </w:rPr>
        <w:t xml:space="preserve">含2块硬盘：</w:t>
      </w:r>
      <w:r>
        <w:rPr>
          <w:rFonts w:hint="eastAsia" w:ascii="宋体" w:hAnsi="宋体" w:cs="宋体"/>
          <w:i/>
          <w:iCs/>
          <w:color w:val="000000"/>
          <w:sz w:val="24"/>
          <w:szCs w:val="24"/>
          <w:highlight w:val="none"/>
          <w:u w:val="single"/>
          <w:lang w:bidi="ar"/>
        </w:rPr>
        <w:br/>
      </w:r>
      <w:r>
        <w:rPr>
          <w:rFonts w:hint="eastAsia" w:ascii="宋体" w:hAnsi="宋体" w:cs="宋体"/>
          <w:i/>
          <w:iCs/>
          <w:color w:val="000000"/>
          <w:sz w:val="24"/>
          <w:szCs w:val="24"/>
          <w:highlight w:val="none"/>
          <w:lang w:bidi="ar"/>
        </w:rPr>
        <w:t xml:space="preserve">    </w:t>
      </w:r>
      <w:r>
        <w:rPr>
          <w:rFonts w:hint="eastAsia" w:ascii="宋体" w:hAnsi="宋体" w:cs="宋体"/>
          <w:i/>
          <w:iCs/>
          <w:color w:val="000000"/>
          <w:sz w:val="24"/>
          <w:szCs w:val="24"/>
          <w:highlight w:val="none"/>
          <w:u w:val="single"/>
          <w:lang w:bidi="ar"/>
        </w:rPr>
        <w:t xml:space="preserve">1）8TB容量，3.5英寸，SATA3.0接口，7200RPM。</w:t>
      </w:r>
      <w:r>
        <w:rPr>
          <w:rFonts w:hint="eastAsia" w:ascii="宋体" w:hAnsi="宋体" w:cs="宋体"/>
          <w:i/>
          <w:iCs/>
          <w:color w:val="000000"/>
          <w:sz w:val="24"/>
          <w:szCs w:val="24"/>
          <w:highlight w:val="none"/>
          <w:u w:val="single"/>
          <w:lang w:bidi="ar"/>
        </w:rPr>
        <w:br/>
      </w:r>
      <w:r>
        <w:rPr>
          <w:rFonts w:hint="eastAsia" w:ascii="宋体" w:hAnsi="宋体" w:cs="宋体"/>
          <w:i/>
          <w:iCs/>
          <w:color w:val="000000"/>
          <w:sz w:val="24"/>
          <w:szCs w:val="24"/>
          <w:highlight w:val="none"/>
          <w:lang w:bidi="ar"/>
        </w:rPr>
        <w:t xml:space="preserve">    </w:t>
      </w:r>
      <w:r>
        <w:rPr>
          <w:rFonts w:hint="eastAsia" w:ascii="宋体" w:hAnsi="宋体" w:cs="宋体"/>
          <w:i/>
          <w:iCs/>
          <w:color w:val="000000"/>
          <w:sz w:val="24"/>
          <w:szCs w:val="24"/>
          <w:highlight w:val="none"/>
          <w:u w:val="single"/>
          <w:lang w:bidi="ar"/>
        </w:rPr>
        <w:t xml:space="preserve">2）空气盘， CMR传统磁记录。</w:t>
      </w:r>
      <w:r>
        <w:rPr>
          <w:rFonts w:hint="eastAsia" w:ascii="宋体" w:hAnsi="宋体" w:cs="宋体"/>
          <w:i/>
          <w:iCs/>
          <w:color w:val="000000"/>
          <w:sz w:val="24"/>
          <w:szCs w:val="24"/>
          <w:highlight w:val="none"/>
          <w:u w:val="single"/>
          <w:lang w:bidi="ar"/>
        </w:rPr>
        <w:br/>
      </w:r>
      <w:r>
        <w:rPr>
          <w:rFonts w:hint="eastAsia" w:ascii="宋体" w:hAnsi="宋体" w:cs="宋体"/>
          <w:i/>
          <w:iCs/>
          <w:color w:val="000000"/>
          <w:sz w:val="24"/>
          <w:szCs w:val="24"/>
          <w:highlight w:val="none"/>
          <w:lang w:bidi="ar"/>
        </w:rPr>
        <w:t xml:space="preserve">    </w:t>
      </w:r>
      <w:r>
        <w:rPr>
          <w:rFonts w:hint="eastAsia" w:ascii="宋体" w:hAnsi="宋体" w:cs="宋体"/>
          <w:i/>
          <w:iCs/>
          <w:color w:val="000000"/>
          <w:sz w:val="24"/>
          <w:szCs w:val="24"/>
          <w:highlight w:val="none"/>
          <w:u w:val="single"/>
          <w:lang w:bidi="ar"/>
        </w:rPr>
        <w:t xml:space="preserve">3）传输速率255 MB/s，流畅存储视频有效防止丢帧。</w:t>
      </w:r>
      <w:r>
        <w:rPr>
          <w:rFonts w:hint="eastAsia" w:ascii="宋体" w:hAnsi="宋体" w:cs="宋体"/>
          <w:i/>
          <w:iCs/>
          <w:color w:val="000000"/>
          <w:sz w:val="24"/>
          <w:szCs w:val="24"/>
          <w:highlight w:val="none"/>
          <w:u w:val="single"/>
          <w:lang w:bidi="ar"/>
        </w:rPr>
        <w:br/>
      </w:r>
      <w:r>
        <w:rPr>
          <w:rFonts w:hint="eastAsia" w:ascii="宋体" w:hAnsi="宋体" w:cs="宋体"/>
          <w:i/>
          <w:iCs/>
          <w:color w:val="000000"/>
          <w:sz w:val="24"/>
          <w:szCs w:val="24"/>
          <w:highlight w:val="none"/>
          <w:lang w:bidi="ar"/>
        </w:rPr>
        <w:t xml:space="preserve">    </w:t>
      </w:r>
      <w:r>
        <w:rPr>
          <w:rFonts w:hint="eastAsia" w:ascii="宋体" w:hAnsi="宋体" w:cs="宋体"/>
          <w:i/>
          <w:iCs/>
          <w:color w:val="000000"/>
          <w:sz w:val="24"/>
          <w:szCs w:val="24"/>
          <w:highlight w:val="none"/>
          <w:u w:val="single"/>
          <w:lang w:bidi="ar"/>
        </w:rPr>
        <w:t xml:space="preserve">4）高级格式（AF）512e扇区技术，保障硬盘扇区4K对齐。</w:t>
      </w:r>
      <w:r>
        <w:rPr>
          <w:rFonts w:hint="eastAsia" w:ascii="宋体" w:hAnsi="宋体" w:cs="宋体"/>
          <w:i/>
          <w:iCs/>
          <w:color w:val="000000"/>
          <w:sz w:val="24"/>
          <w:szCs w:val="24"/>
          <w:highlight w:val="none"/>
          <w:u w:val="single"/>
          <w:lang w:bidi="ar"/>
        </w:rPr>
        <w:br/>
      </w:r>
      <w:r>
        <w:rPr>
          <w:rFonts w:hint="eastAsia" w:ascii="宋体" w:hAnsi="宋体" w:cs="宋体"/>
          <w:i/>
          <w:iCs/>
          <w:color w:val="000000"/>
          <w:sz w:val="24"/>
          <w:szCs w:val="24"/>
          <w:highlight w:val="none"/>
          <w:lang w:bidi="ar"/>
        </w:rPr>
        <w:t xml:space="preserve">    </w:t>
      </w:r>
      <w:r>
        <w:rPr>
          <w:rFonts w:hint="eastAsia" w:ascii="宋体" w:hAnsi="宋体" w:cs="宋体"/>
          <w:i/>
          <w:iCs/>
          <w:color w:val="000000"/>
          <w:sz w:val="24"/>
          <w:szCs w:val="24"/>
          <w:highlight w:val="none"/>
          <w:u w:val="single"/>
          <w:lang w:bidi="ar"/>
        </w:rPr>
        <w:t xml:space="preserve">5）满足数据严苛的7*24小时运行可靠性、安全性的需求。</w:t>
      </w:r>
      <w:r/>
    </w:p>
    <w:p>
      <w:pPr>
        <w:numPr>
          <w:ilvl w:val="0"/>
          <w:numId w:val="18"/>
        </w:numPr>
        <w:ind w:firstLine="480"/>
        <w:jc w:val="left"/>
        <w:spacing w:line="440" w:lineRule="exact"/>
        <w:rPr>
          <w:rFonts w:ascii="宋体" w:hAnsi="宋体" w:cs="宋体"/>
          <w:sz w:val="24"/>
          <w:szCs w:val="24"/>
          <w:highlight w:val="none"/>
        </w:rPr>
      </w:pPr>
      <w:r>
        <w:rPr>
          <w:rFonts w:hint="eastAsia" w:ascii="宋体" w:hAnsi="宋体" w:cs="宋体"/>
          <w:i/>
          <w:iCs/>
          <w:color w:val="000000" w:themeColor="text1"/>
          <w:sz w:val="24"/>
          <w:szCs w:val="24"/>
          <w:highlight w:val="none"/>
          <w:u w:val="single"/>
          <w14:textFill>
            <w14:solidFill>
              <w14:schemeClr w14:val="tx1"/>
            </w14:solidFill>
          </w14:textFill>
        </w:rPr>
        <w:t xml:space="preserve">提供三年原厂质保服务。</w:t>
      </w:r>
      <w:r>
        <w:rPr>
          <w:rFonts w:hint="eastAsia" w:ascii="宋体" w:hAnsi="宋体" w:cs="宋体"/>
          <w:color w:val="000000"/>
          <w:sz w:val="24"/>
          <w:szCs w:val="24"/>
          <w:highlight w:val="none"/>
          <w:lang w:bidi="ar"/>
        </w:rPr>
        <w:br/>
      </w:r>
      <w:r/>
    </w:p>
    <w:p>
      <w:pPr>
        <w:pStyle w:val="987"/>
        <w:rPr>
          <w:rFonts w:hAnsi="宋体" w:cs="宋体"/>
          <w:highlight w:val="none"/>
        </w:rPr>
      </w:pPr>
      <w:r>
        <w:rPr>
          <w:rFonts w:hint="eastAsia" w:hAnsi="宋体" w:cs="宋体"/>
          <w:sz w:val="24"/>
          <w:szCs w:val="24"/>
          <w:highlight w:val="none"/>
        </w:rPr>
        <w:t xml:space="preserve">2.2.18虚拟评标空间平台部署服务器（含授权）</w:t>
      </w:r>
      <w:r>
        <w:rPr>
          <w:rFonts w:hint="eastAsia"/>
          <w:sz w:val="24"/>
          <w:szCs w:val="24"/>
          <w:highlight w:val="none"/>
        </w:rPr>
        <w:t xml:space="preserve">技术指标要求</w:t>
      </w:r>
      <w:r>
        <w:rPr>
          <w:rFonts w:hint="eastAsia" w:hAnsi="宋体" w:cs="宋体"/>
          <w:sz w:val="24"/>
          <w:szCs w:val="24"/>
          <w:highlight w:val="none"/>
        </w:rPr>
        <w:t xml:space="preserve">（1个）</w:t>
      </w:r>
      <w:r/>
    </w:p>
    <w:p>
      <w:pPr>
        <w:numPr>
          <w:ilvl w:val="0"/>
          <w:numId w:val="19"/>
        </w:numPr>
        <w:ind w:firstLine="480"/>
        <w:jc w:val="left"/>
        <w:spacing w:line="440" w:lineRule="exact"/>
        <w:rPr>
          <w:rStyle w:val="1005"/>
          <w:rFonts w:hint="default"/>
          <w:sz w:val="24"/>
          <w:szCs w:val="24"/>
          <w:highlight w:val="none"/>
          <w:lang w:bidi="ar"/>
        </w:rPr>
      </w:pPr>
      <w:r>
        <w:rPr>
          <w:rFonts w:hint="eastAsia" w:ascii="宋体" w:hAnsi="宋体" w:cs="宋体"/>
          <w:i/>
          <w:iCs/>
          <w:color w:val="000000"/>
          <w:sz w:val="24"/>
          <w:szCs w:val="24"/>
          <w:highlight w:val="none"/>
          <w:u w:val="single"/>
          <w:lang w:bidi="ar"/>
        </w:rPr>
        <w:t xml:space="preserve">采用国产化CPU。</w:t>
      </w:r>
      <w:r/>
    </w:p>
    <w:p>
      <w:pPr>
        <w:numPr>
          <w:ilvl w:val="0"/>
          <w:numId w:val="19"/>
        </w:numPr>
        <w:ind w:firstLine="480"/>
        <w:jc w:val="left"/>
        <w:spacing w:line="440" w:lineRule="exact"/>
        <w:rPr>
          <w:rStyle w:val="1005"/>
          <w:rFonts w:hint="default"/>
          <w:sz w:val="24"/>
          <w:szCs w:val="24"/>
          <w:highlight w:val="none"/>
          <w:lang w:bidi="ar"/>
        </w:rPr>
      </w:pPr>
      <w:r>
        <w:rPr>
          <w:rFonts w:hint="eastAsia" w:ascii="宋体" w:hAnsi="宋体" w:cs="宋体"/>
          <w:i/>
          <w:iCs/>
          <w:color w:val="000000"/>
          <w:sz w:val="24"/>
          <w:szCs w:val="24"/>
          <w:highlight w:val="none"/>
          <w:u w:val="single"/>
          <w:lang w:bidi="ar"/>
        </w:rPr>
        <w:t xml:space="preserve">多媒体通信框架，支持ITU-T H.323和IETF SIP通信标准，能够和符合国际标准的产品互联互通；支持多协议终端，支持通过H.323/SIP/RTSP协议呼叫终端。</w:t>
      </w:r>
      <w:r/>
    </w:p>
    <w:p>
      <w:pPr>
        <w:numPr>
          <w:ilvl w:val="0"/>
          <w:numId w:val="19"/>
        </w:numPr>
        <w:ind w:firstLine="480"/>
        <w:jc w:val="left"/>
        <w:spacing w:line="440" w:lineRule="exact"/>
        <w:rPr>
          <w:rStyle w:val="1005"/>
          <w:rFonts w:hint="default"/>
          <w:sz w:val="24"/>
          <w:szCs w:val="24"/>
          <w:highlight w:val="none"/>
          <w:lang w:bidi="ar"/>
        </w:rPr>
      </w:pPr>
      <w:r>
        <w:rPr>
          <w:rFonts w:hint="eastAsia" w:ascii="宋体" w:hAnsi="宋体" w:cs="宋体"/>
          <w:color w:val="000000"/>
          <w:sz w:val="24"/>
          <w:szCs w:val="24"/>
          <w:highlight w:val="none"/>
          <w:lang w:bidi="ar"/>
        </w:rPr>
        <w:t xml:space="preserve">呼叫方式支持断线重呼功能，自动重邀掉线或断电的终端再次入会；支持主叫呼集功能，自主邀请多方会场召集会议，无需后台人工调度，支持URI接入号管理和URI呼叫管理。</w:t>
      </w:r>
      <w:r/>
    </w:p>
    <w:p>
      <w:pPr>
        <w:numPr>
          <w:ilvl w:val="0"/>
          <w:numId w:val="19"/>
        </w:numPr>
        <w:ind w:firstLine="480"/>
        <w:jc w:val="left"/>
        <w:spacing w:line="440" w:lineRule="exact"/>
        <w:rPr>
          <w:rStyle w:val="1005"/>
          <w:rFonts w:hint="default"/>
          <w:sz w:val="24"/>
          <w:szCs w:val="24"/>
          <w:highlight w:val="none"/>
          <w:lang w:bidi="ar"/>
        </w:rPr>
      </w:pPr>
      <w:r>
        <w:rPr>
          <w:rFonts w:hint="eastAsia" w:ascii="宋体" w:hAnsi="宋体" w:cs="宋体"/>
          <w:color w:val="000000"/>
          <w:sz w:val="24"/>
          <w:szCs w:val="24"/>
          <w:highlight w:val="none"/>
          <w:lang w:bidi="ar"/>
        </w:rPr>
        <w:t xml:space="preserve">采用SVC柔性编码保障视频在较差网络环境下的高清流畅传输。</w:t>
      </w:r>
      <w:r/>
    </w:p>
    <w:p>
      <w:pPr>
        <w:numPr>
          <w:ilvl w:val="0"/>
          <w:numId w:val="19"/>
        </w:numPr>
        <w:ind w:firstLine="480"/>
        <w:jc w:val="left"/>
        <w:spacing w:line="440" w:lineRule="exact"/>
        <w:rPr>
          <w:rStyle w:val="1005"/>
          <w:rFonts w:hint="default"/>
          <w:sz w:val="24"/>
          <w:szCs w:val="24"/>
          <w:highlight w:val="none"/>
          <w:lang w:bidi="ar"/>
        </w:rPr>
      </w:pPr>
      <w:r>
        <w:rPr>
          <w:rFonts w:hint="eastAsia" w:ascii="宋体" w:hAnsi="宋体" w:cs="宋体"/>
          <w:color w:val="000000"/>
          <w:sz w:val="24"/>
          <w:szCs w:val="24"/>
          <w:highlight w:val="none"/>
          <w:lang w:bidi="ar"/>
        </w:rPr>
        <w:t xml:space="preserve">支持多种会议召集方式，终端自主召集会议、终端参加会议室、预约会议、会议模板一键创会。</w:t>
      </w:r>
      <w:r/>
    </w:p>
    <w:p>
      <w:pPr>
        <w:numPr>
          <w:ilvl w:val="0"/>
          <w:numId w:val="19"/>
        </w:numPr>
        <w:ind w:firstLine="480"/>
        <w:jc w:val="left"/>
        <w:spacing w:line="440" w:lineRule="exact"/>
        <w:rPr>
          <w:rStyle w:val="1005"/>
          <w:rFonts w:hint="default"/>
          <w:sz w:val="24"/>
          <w:szCs w:val="24"/>
          <w:highlight w:val="none"/>
          <w:lang w:bidi="ar"/>
        </w:rPr>
      </w:pPr>
      <w:r>
        <w:rPr>
          <w:rFonts w:hint="eastAsia" w:ascii="宋体" w:hAnsi="宋体" w:cs="宋体"/>
          <w:color w:val="000000"/>
          <w:sz w:val="24"/>
          <w:szCs w:val="24"/>
          <w:highlight w:val="none"/>
          <w:lang w:bidi="ar"/>
        </w:rPr>
        <w:t xml:space="preserve">会议控制支持预约会议、即时会议及周期会议、永久会议预定等会议类型，支持一键创会，一键入会功能，硬件终端，手机，PC都能通过服务器实现快捷创建会议，支持自动邀请功能。</w:t>
      </w:r>
      <w:r/>
    </w:p>
    <w:p>
      <w:pPr>
        <w:numPr>
          <w:ilvl w:val="0"/>
          <w:numId w:val="19"/>
        </w:numPr>
        <w:ind w:firstLine="480"/>
        <w:jc w:val="left"/>
        <w:spacing w:line="440" w:lineRule="exact"/>
        <w:rPr>
          <w:rStyle w:val="1005"/>
          <w:rFonts w:hint="default"/>
          <w:sz w:val="24"/>
          <w:szCs w:val="24"/>
          <w:highlight w:val="none"/>
          <w:lang w:bidi="ar"/>
        </w:rPr>
      </w:pPr>
      <w:r>
        <w:rPr>
          <w:rFonts w:hint="eastAsia" w:ascii="宋体" w:hAnsi="宋体" w:cs="宋体"/>
          <w:color w:val="000000"/>
          <w:sz w:val="24"/>
          <w:szCs w:val="24"/>
          <w:highlight w:val="none"/>
          <w:lang w:bidi="ar"/>
        </w:rPr>
        <w:t xml:space="preserve">支持演讲模式，支持语音激励功能，声音最大的会场自动显示在大画面，并在会议和辅流画面上显示发言会场名称。</w:t>
      </w:r>
      <w:r/>
    </w:p>
    <w:p>
      <w:pPr>
        <w:numPr>
          <w:ilvl w:val="0"/>
          <w:numId w:val="19"/>
        </w:numPr>
        <w:ind w:firstLine="480"/>
        <w:jc w:val="left"/>
        <w:spacing w:line="440" w:lineRule="exact"/>
        <w:rPr>
          <w:rStyle w:val="1005"/>
          <w:rFonts w:hint="default"/>
          <w:sz w:val="24"/>
          <w:szCs w:val="24"/>
          <w:highlight w:val="none"/>
          <w:lang w:bidi="ar"/>
        </w:rPr>
      </w:pPr>
      <w:r>
        <w:rPr>
          <w:rFonts w:hint="eastAsia" w:ascii="宋体" w:hAnsi="宋体" w:cs="宋体"/>
          <w:color w:val="000000"/>
          <w:sz w:val="24"/>
          <w:szCs w:val="24"/>
          <w:highlight w:val="none"/>
          <w:lang w:bidi="ar"/>
        </w:rPr>
        <w:t xml:space="preserve">支持同一组会议中设置多种画面合成风格，支持通过会议控制系统指定多个与会终端收看同一或不同风格图像，无需分会场通过终端控制系统或遥控器操作；支持同一组会议中每个终端都有独立的多画面，每个终端可自主设置多画面的风格和内容，每个终端可设置最大25画面。</w:t>
      </w:r>
      <w:r/>
    </w:p>
    <w:p>
      <w:pPr>
        <w:numPr>
          <w:ilvl w:val="0"/>
          <w:numId w:val="19"/>
        </w:numPr>
        <w:ind w:firstLine="480"/>
        <w:jc w:val="left"/>
        <w:spacing w:line="440" w:lineRule="exact"/>
        <w:rPr>
          <w:rStyle w:val="1005"/>
          <w:rFonts w:hint="default"/>
          <w:sz w:val="24"/>
          <w:szCs w:val="24"/>
          <w:highlight w:val="none"/>
          <w:lang w:bidi="ar"/>
        </w:rPr>
      </w:pPr>
      <w:r>
        <w:rPr>
          <w:rFonts w:hint="eastAsia" w:ascii="宋体" w:hAnsi="宋体" w:cs="宋体"/>
          <w:color w:val="000000"/>
          <w:sz w:val="24"/>
          <w:szCs w:val="24"/>
          <w:highlight w:val="none"/>
          <w:lang w:bidi="ar"/>
        </w:rPr>
        <w:t xml:space="preserve">允许成员开启麦克风，支持会议后台设置允许成员开启麦克风以及主持人可以设置允许成员开启麦克风；允许成员开启共享，支持会议后台设置允许成员开启共享以及主持人可以设置允许成员开启共享；支持开启/关闭直播或录播。</w:t>
      </w:r>
      <w:r/>
    </w:p>
    <w:p>
      <w:pPr>
        <w:numPr>
          <w:ilvl w:val="0"/>
          <w:numId w:val="19"/>
        </w:numPr>
        <w:ind w:firstLine="480"/>
        <w:jc w:val="left"/>
        <w:spacing w:line="440" w:lineRule="exact"/>
        <w:rPr>
          <w:rStyle w:val="1005"/>
          <w:rFonts w:hint="default"/>
          <w:sz w:val="24"/>
          <w:szCs w:val="24"/>
          <w:highlight w:val="none"/>
          <w:lang w:bidi="ar"/>
        </w:rPr>
      </w:pPr>
      <w:r>
        <w:rPr>
          <w:rFonts w:hint="eastAsia" w:ascii="宋体" w:hAnsi="宋体" w:cs="宋体"/>
          <w:color w:val="000000"/>
          <w:sz w:val="24"/>
          <w:szCs w:val="24"/>
          <w:highlight w:val="none"/>
          <w:lang w:bidi="ar"/>
        </w:rPr>
        <w:t xml:space="preserve">会议控制支持辅流功能，在同一组会议中，支持多个终端同时发起动态辅流，支持多组会议同时发起辅流。支持电子政务外网互联网接入区安全防护设备构建面向互联网安全防护体系，支持面向互联网视频资源的汇聚和管理。支持 4G、5G、WiFi 网络的互联互通。软件平台支持在单机服务器或虚拟化资源上进行部署，支持级联多通道功能，单台设备支持不少于 200 个级联通道。</w:t>
      </w:r>
      <w:r/>
    </w:p>
    <w:p>
      <w:pPr>
        <w:numPr>
          <w:ilvl w:val="0"/>
          <w:numId w:val="19"/>
        </w:numPr>
        <w:ind w:firstLine="480"/>
        <w:jc w:val="left"/>
        <w:spacing w:line="440" w:lineRule="exact"/>
        <w:rPr>
          <w:rStyle w:val="1005"/>
          <w:rFonts w:hint="default"/>
          <w:color w:val="auto"/>
          <w:sz w:val="24"/>
          <w:szCs w:val="24"/>
          <w:highlight w:val="none"/>
          <w:lang w:bidi="ar"/>
        </w:rPr>
      </w:pPr>
      <w:r>
        <w:rPr>
          <w:rFonts w:hint="eastAsia" w:ascii="宋体" w:hAnsi="宋体" w:cs="宋体"/>
          <w:color w:val="auto"/>
          <w:sz w:val="24"/>
          <w:szCs w:val="24"/>
          <w:highlight w:val="none"/>
          <w:lang w:bidi="ar"/>
        </w:rPr>
        <w:t xml:space="preserve">▲支持自主多画面功能，支持全交换功能，一组会议中具有权限的终端能够任意选择及组合所收看的画面。支持任意两节点之间视频会议业务延迟小于200ms，保证唇音同步。</w:t>
      </w:r>
      <w:r>
        <w:rPr>
          <w:rStyle w:val="1004"/>
          <w:rFonts w:hint="default"/>
          <w:color w:val="auto"/>
          <w:sz w:val="24"/>
          <w:szCs w:val="24"/>
          <w:highlight w:val="none"/>
          <w:lang w:bidi="ar"/>
        </w:rPr>
        <w:t xml:space="preserve">（提供公安部授权检测机构或第三方检测机构出具的检验报告原件扫描上传）</w:t>
      </w:r>
      <w:r/>
    </w:p>
    <w:p>
      <w:pPr>
        <w:numPr>
          <w:ilvl w:val="0"/>
          <w:numId w:val="19"/>
        </w:numPr>
        <w:ind w:firstLine="480"/>
        <w:jc w:val="left"/>
        <w:spacing w:line="440" w:lineRule="exact"/>
        <w:rPr>
          <w:rStyle w:val="1005"/>
          <w:rFonts w:hint="default"/>
          <w:sz w:val="24"/>
          <w:szCs w:val="24"/>
          <w:highlight w:val="none"/>
          <w:lang w:bidi="ar"/>
        </w:rPr>
      </w:pPr>
      <w:r>
        <w:rPr>
          <w:rFonts w:hint="eastAsia" w:ascii="宋体" w:hAnsi="宋体" w:cs="宋体"/>
          <w:i/>
          <w:iCs/>
          <w:color w:val="000000"/>
          <w:sz w:val="24"/>
          <w:szCs w:val="24"/>
          <w:highlight w:val="none"/>
          <w:u w:val="single"/>
          <w:lang w:bidi="ar"/>
        </w:rPr>
        <w:t xml:space="preserve">含90路私有云授权</w:t>
      </w:r>
      <w:r>
        <w:rPr>
          <w:rStyle w:val="1004"/>
          <w:rFonts w:hint="default"/>
          <w:i/>
          <w:iCs/>
          <w:color w:val="auto"/>
          <w:sz w:val="24"/>
          <w:szCs w:val="24"/>
          <w:highlight w:val="none"/>
          <w:lang w:bidi="ar"/>
        </w:rPr>
        <w:t xml:space="preserve">。</w:t>
      </w:r>
      <w:r/>
    </w:p>
    <w:p>
      <w:pPr>
        <w:numPr>
          <w:ilvl w:val="0"/>
          <w:numId w:val="19"/>
        </w:numPr>
        <w:ind w:firstLine="480"/>
        <w:jc w:val="left"/>
        <w:spacing w:line="440" w:lineRule="exact"/>
        <w:rPr>
          <w:rStyle w:val="1005"/>
          <w:rFonts w:hint="default"/>
          <w:sz w:val="24"/>
          <w:szCs w:val="24"/>
          <w:highlight w:val="none"/>
          <w:lang w:bidi="ar"/>
        </w:rPr>
      </w:pPr>
      <w:r>
        <w:rPr>
          <w:rFonts w:hint="eastAsia" w:ascii="宋体" w:hAnsi="宋体" w:cs="宋体"/>
          <w:i/>
          <w:iCs/>
          <w:color w:val="000000" w:themeColor="text1"/>
          <w:sz w:val="24"/>
          <w:szCs w:val="24"/>
          <w:highlight w:val="none"/>
          <w:u w:val="single"/>
          <w14:textFill>
            <w14:solidFill>
              <w14:schemeClr w14:val="tx1"/>
            </w14:solidFill>
          </w14:textFill>
        </w:rPr>
        <w:t xml:space="preserve">提供三年原厂质保服务。</w:t>
      </w:r>
      <w:r/>
    </w:p>
    <w:p>
      <w:pPr>
        <w:pStyle w:val="987"/>
        <w:rPr>
          <w:rFonts w:hAnsi="宋体" w:cs="宋体"/>
          <w:highlight w:val="none"/>
        </w:rPr>
      </w:pPr>
      <w:r>
        <w:rPr>
          <w:rFonts w:hint="eastAsia" w:hAnsi="宋体" w:cs="宋体"/>
          <w:sz w:val="24"/>
          <w:szCs w:val="24"/>
          <w:highlight w:val="none"/>
        </w:rPr>
        <w:t xml:space="preserve">2.2.19录播一体机（含授权）</w:t>
      </w:r>
      <w:r>
        <w:rPr>
          <w:rFonts w:hint="eastAsia"/>
          <w:sz w:val="24"/>
          <w:szCs w:val="24"/>
          <w:highlight w:val="none"/>
        </w:rPr>
        <w:t xml:space="preserve">技术指标要求</w:t>
      </w:r>
      <w:r>
        <w:rPr>
          <w:rFonts w:hint="eastAsia" w:hAnsi="宋体" w:cs="宋体"/>
          <w:sz w:val="24"/>
          <w:szCs w:val="24"/>
          <w:highlight w:val="none"/>
        </w:rPr>
        <w:t xml:space="preserve">（1个）</w:t>
      </w:r>
      <w:r/>
    </w:p>
    <w:p>
      <w:pPr>
        <w:numPr>
          <w:ilvl w:val="0"/>
          <w:numId w:val="20"/>
        </w:numPr>
        <w:ind w:firstLine="480"/>
        <w:jc w:val="left"/>
        <w:spacing w:line="440" w:lineRule="exact"/>
        <w:rPr>
          <w:rFonts w:ascii="宋体" w:hAnsi="宋体" w:cs="宋体"/>
          <w:color w:val="000000"/>
          <w:sz w:val="24"/>
          <w:szCs w:val="24"/>
          <w:highlight w:val="none"/>
          <w:lang w:bidi="ar"/>
        </w:rPr>
      </w:pPr>
      <w:r>
        <w:rPr>
          <w:rFonts w:hint="eastAsia" w:ascii="宋体" w:hAnsi="宋体" w:cs="宋体"/>
          <w:i/>
          <w:iCs/>
          <w:color w:val="000000"/>
          <w:sz w:val="24"/>
          <w:szCs w:val="24"/>
          <w:highlight w:val="none"/>
          <w:u w:val="single"/>
          <w:lang w:bidi="ar"/>
        </w:rPr>
        <w:t xml:space="preserve">CPU主频不低于2.2GHz。</w:t>
      </w:r>
      <w:r/>
    </w:p>
    <w:p>
      <w:pPr>
        <w:numPr>
          <w:ilvl w:val="0"/>
          <w:numId w:val="20"/>
        </w:numPr>
        <w:ind w:firstLine="480"/>
        <w:jc w:val="left"/>
        <w:spacing w:line="440" w:lineRule="exact"/>
        <w:rPr>
          <w:rFonts w:ascii="宋体" w:hAnsi="宋体" w:cs="宋体"/>
          <w:color w:val="000000"/>
          <w:sz w:val="24"/>
          <w:szCs w:val="24"/>
          <w:highlight w:val="none"/>
          <w:lang w:bidi="ar"/>
        </w:rPr>
      </w:pPr>
      <w:r>
        <w:rPr>
          <w:rFonts w:hint="eastAsia" w:ascii="宋体" w:hAnsi="宋体" w:cs="宋体"/>
          <w:i/>
          <w:iCs/>
          <w:color w:val="000000"/>
          <w:sz w:val="24"/>
          <w:szCs w:val="24"/>
          <w:highlight w:val="none"/>
          <w:u w:val="single"/>
          <w:lang w:bidi="ar"/>
        </w:rPr>
        <w:t xml:space="preserve">内存容量不低于64G。</w:t>
      </w:r>
      <w:r/>
    </w:p>
    <w:p>
      <w:pPr>
        <w:numPr>
          <w:ilvl w:val="0"/>
          <w:numId w:val="20"/>
        </w:numPr>
        <w:ind w:firstLine="480"/>
        <w:jc w:val="left"/>
        <w:spacing w:line="440" w:lineRule="exact"/>
        <w:rPr>
          <w:rFonts w:ascii="宋体" w:hAnsi="宋体" w:cs="宋体"/>
          <w:color w:val="000000"/>
          <w:sz w:val="24"/>
          <w:szCs w:val="24"/>
          <w:highlight w:val="none"/>
          <w:lang w:bidi="ar"/>
        </w:rPr>
      </w:pPr>
      <w:r>
        <w:rPr>
          <w:rFonts w:hint="eastAsia" w:ascii="宋体" w:hAnsi="宋体" w:cs="宋体"/>
          <w:i/>
          <w:iCs/>
          <w:color w:val="000000"/>
          <w:sz w:val="24"/>
          <w:szCs w:val="24"/>
          <w:highlight w:val="none"/>
          <w:u w:val="single"/>
          <w:lang w:bidi="ar"/>
        </w:rPr>
        <w:t xml:space="preserve">内存类型：DDR4 RDIMM</w:t>
      </w:r>
      <w:r/>
    </w:p>
    <w:p>
      <w:pPr>
        <w:numPr>
          <w:ilvl w:val="0"/>
          <w:numId w:val="20"/>
        </w:numPr>
        <w:ind w:firstLine="480"/>
        <w:jc w:val="left"/>
        <w:spacing w:line="440" w:lineRule="exact"/>
        <w:rPr>
          <w:rFonts w:ascii="宋体" w:hAnsi="宋体" w:cs="宋体"/>
          <w:color w:val="000000"/>
          <w:sz w:val="24"/>
          <w:szCs w:val="24"/>
          <w:highlight w:val="none"/>
          <w:lang w:bidi="ar"/>
        </w:rPr>
      </w:pPr>
      <w:r>
        <w:rPr>
          <w:rFonts w:hint="eastAsia" w:ascii="宋体" w:hAnsi="宋体" w:cs="宋体"/>
          <w:i/>
          <w:iCs/>
          <w:color w:val="000000"/>
          <w:sz w:val="24"/>
          <w:szCs w:val="24"/>
          <w:highlight w:val="none"/>
          <w:u w:val="single"/>
          <w:lang w:bidi="ar"/>
        </w:rPr>
        <w:t xml:space="preserve">硬盘不少于2块1.2T 硬盘，支持 RAID 0/1/10，RAID 5（软）。</w:t>
      </w:r>
      <w:r/>
    </w:p>
    <w:p>
      <w:pPr>
        <w:numPr>
          <w:ilvl w:val="0"/>
          <w:numId w:val="20"/>
        </w:numPr>
        <w:ind w:firstLine="480"/>
        <w:jc w:val="left"/>
        <w:spacing w:line="440" w:lineRule="exact"/>
        <w:rPr>
          <w:rFonts w:ascii="宋体" w:hAnsi="宋体" w:cs="宋体"/>
          <w:color w:val="000000"/>
          <w:sz w:val="24"/>
          <w:szCs w:val="24"/>
          <w:highlight w:val="none"/>
          <w:lang w:bidi="ar"/>
        </w:rPr>
      </w:pPr>
      <w:r>
        <w:rPr>
          <w:rFonts w:hint="eastAsia" w:ascii="宋体" w:hAnsi="宋体" w:cs="宋体"/>
          <w:i/>
          <w:iCs/>
          <w:color w:val="000000"/>
          <w:sz w:val="24"/>
          <w:szCs w:val="24"/>
          <w:highlight w:val="none"/>
          <w:u w:val="single"/>
          <w:lang w:bidi="ar"/>
        </w:rPr>
        <w:t xml:space="preserve">需配备2个千兆RJ45电口。</w:t>
      </w:r>
      <w:r/>
    </w:p>
    <w:p>
      <w:pPr>
        <w:numPr>
          <w:ilvl w:val="0"/>
          <w:numId w:val="20"/>
        </w:numPr>
        <w:ind w:firstLine="480"/>
        <w:jc w:val="left"/>
        <w:spacing w:line="440" w:lineRule="exact"/>
        <w:rPr>
          <w:rFonts w:ascii="宋体" w:hAnsi="宋体" w:cs="宋体"/>
          <w:color w:val="000000"/>
          <w:sz w:val="24"/>
          <w:szCs w:val="24"/>
          <w:highlight w:val="none"/>
          <w:lang w:bidi="ar"/>
        </w:rPr>
      </w:pPr>
      <w:r>
        <w:rPr>
          <w:rFonts w:hint="eastAsia" w:ascii="宋体" w:hAnsi="宋体" w:cs="宋体"/>
          <w:i/>
          <w:iCs/>
          <w:color w:val="000000"/>
          <w:sz w:val="24"/>
          <w:szCs w:val="24"/>
          <w:highlight w:val="none"/>
          <w:u w:val="single"/>
          <w:lang w:bidi="ar"/>
        </w:rPr>
        <w:t xml:space="preserve">含10路录播授权。</w:t>
      </w:r>
      <w:r/>
    </w:p>
    <w:p>
      <w:pPr>
        <w:numPr>
          <w:ilvl w:val="0"/>
          <w:numId w:val="20"/>
        </w:numPr>
        <w:ind w:firstLine="480"/>
        <w:jc w:val="left"/>
        <w:spacing w:line="440" w:lineRule="exact"/>
        <w:rPr>
          <w:rFonts w:ascii="宋体" w:hAnsi="宋体" w:cs="宋体"/>
          <w:color w:val="000000"/>
          <w:sz w:val="24"/>
          <w:szCs w:val="24"/>
          <w:highlight w:val="none"/>
          <w:lang w:bidi="ar"/>
        </w:rPr>
      </w:pPr>
      <w:r>
        <w:rPr>
          <w:rFonts w:hint="eastAsia" w:ascii="宋体" w:hAnsi="宋体" w:cs="宋体"/>
          <w:i/>
          <w:iCs/>
          <w:color w:val="000000" w:themeColor="text1"/>
          <w:sz w:val="24"/>
          <w:szCs w:val="24"/>
          <w:highlight w:val="none"/>
          <w:u w:val="single"/>
          <w14:textFill>
            <w14:solidFill>
              <w14:schemeClr w14:val="tx1"/>
            </w14:solidFill>
          </w14:textFill>
        </w:rPr>
        <w:t xml:space="preserve">提供三年原厂质保服务。</w:t>
      </w:r>
      <w:r/>
    </w:p>
    <w:p>
      <w:pPr>
        <w:pStyle w:val="987"/>
        <w:rPr>
          <w:rFonts w:hAnsi="宋体" w:cs="宋体"/>
          <w:highlight w:val="none"/>
        </w:rPr>
      </w:pPr>
      <w:r>
        <w:rPr>
          <w:rFonts w:hint="eastAsia" w:hAnsi="宋体" w:cs="宋体"/>
          <w:sz w:val="24"/>
          <w:szCs w:val="24"/>
          <w:highlight w:val="none"/>
        </w:rPr>
        <w:t xml:space="preserve">2.2.20光盘刻录机（含光盘）</w:t>
      </w:r>
      <w:r>
        <w:rPr>
          <w:rFonts w:hint="eastAsia"/>
          <w:sz w:val="24"/>
          <w:szCs w:val="24"/>
          <w:highlight w:val="none"/>
        </w:rPr>
        <w:t xml:space="preserve">技术指标要求</w:t>
      </w:r>
      <w:r>
        <w:rPr>
          <w:rFonts w:hint="eastAsia" w:hAnsi="宋体" w:cs="宋体"/>
          <w:sz w:val="24"/>
          <w:szCs w:val="24"/>
          <w:highlight w:val="none"/>
        </w:rPr>
        <w:t xml:space="preserve">（1个）</w:t>
      </w:r>
      <w:r/>
    </w:p>
    <w:p>
      <w:pPr>
        <w:numPr>
          <w:ilvl w:val="0"/>
          <w:numId w:val="21"/>
        </w:numPr>
        <w:ind w:firstLine="480"/>
        <w:jc w:val="left"/>
        <w:spacing w:line="440" w:lineRule="exac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BD/DVD/CD蓝光刻录机。</w:t>
      </w:r>
      <w:r/>
    </w:p>
    <w:p>
      <w:pPr>
        <w:numPr>
          <w:ilvl w:val="0"/>
          <w:numId w:val="21"/>
        </w:numPr>
        <w:ind w:firstLine="480"/>
        <w:jc w:val="left"/>
        <w:spacing w:line="440" w:lineRule="exact"/>
        <w:rPr>
          <w:rFonts w:ascii="宋体" w:hAnsi="宋体" w:cs="宋体"/>
          <w:sz w:val="24"/>
          <w:szCs w:val="24"/>
          <w:highlight w:val="none"/>
        </w:rPr>
      </w:pPr>
      <w:r>
        <w:rPr>
          <w:rFonts w:hint="eastAsia" w:ascii="宋体" w:hAnsi="宋体" w:cs="宋体"/>
          <w:color w:val="000000"/>
          <w:sz w:val="24"/>
          <w:szCs w:val="24"/>
          <w:highlight w:val="none"/>
          <w:lang w:bidi="ar"/>
        </w:rPr>
        <w:t xml:space="preserve">需支持存放100片光盘容量，USB 3.0接口，集成高性能控制主机。</w:t>
      </w:r>
      <w:r/>
    </w:p>
    <w:p>
      <w:pPr>
        <w:numPr>
          <w:ilvl w:val="0"/>
          <w:numId w:val="21"/>
        </w:numPr>
        <w:ind w:firstLine="480"/>
        <w:jc w:val="left"/>
        <w:spacing w:line="440" w:lineRule="exact"/>
        <w:rPr>
          <w:rFonts w:ascii="宋体" w:hAnsi="宋体" w:cs="宋体"/>
          <w:sz w:val="24"/>
          <w:szCs w:val="24"/>
          <w:highlight w:val="none"/>
        </w:rPr>
      </w:pPr>
      <w:r>
        <w:rPr>
          <w:rFonts w:hint="eastAsia" w:ascii="宋体" w:hAnsi="宋体" w:cs="宋体"/>
          <w:color w:val="000000"/>
          <w:sz w:val="24"/>
          <w:szCs w:val="24"/>
          <w:highlight w:val="none"/>
          <w:lang w:bidi="ar"/>
        </w:rPr>
        <w:t xml:space="preserve">需支持网络接口，最高4800dpi 喷墨打印。</w:t>
      </w:r>
      <w:r/>
    </w:p>
    <w:p>
      <w:pPr>
        <w:numPr>
          <w:ilvl w:val="0"/>
          <w:numId w:val="21"/>
        </w:numPr>
        <w:ind w:firstLine="480"/>
        <w:jc w:val="left"/>
        <w:spacing w:line="440" w:lineRule="exact"/>
        <w:rPr>
          <w:rFonts w:ascii="宋体" w:hAnsi="宋体" w:cs="宋体"/>
          <w:sz w:val="24"/>
          <w:szCs w:val="24"/>
          <w:highlight w:val="none"/>
        </w:rPr>
      </w:pPr>
      <w:r>
        <w:rPr>
          <w:rFonts w:hint="eastAsia" w:ascii="宋体" w:hAnsi="宋体" w:cs="宋体"/>
          <w:i/>
          <w:iCs/>
          <w:color w:val="000000"/>
          <w:sz w:val="24"/>
          <w:szCs w:val="24"/>
          <w:highlight w:val="none"/>
          <w:u w:val="single"/>
          <w:lang w:bidi="ar"/>
        </w:rPr>
        <w:t xml:space="preserve">含30桶蓝光光盘</w:t>
      </w:r>
      <w:r>
        <w:rPr>
          <w:rFonts w:hint="eastAsia" w:ascii="宋体" w:hAnsi="宋体" w:cs="宋体"/>
          <w:i/>
          <w:iCs/>
          <w:color w:val="000000"/>
          <w:sz w:val="24"/>
          <w:szCs w:val="24"/>
          <w:highlight w:val="none"/>
          <w:u w:val="single"/>
          <w:lang w:bidi="ar"/>
        </w:rPr>
        <w:br/>
      </w:r>
      <w:r>
        <w:rPr>
          <w:rFonts w:hint="eastAsia" w:ascii="宋体" w:hAnsi="宋体" w:cs="宋体"/>
          <w:i/>
          <w:iCs/>
          <w:color w:val="000000"/>
          <w:sz w:val="24"/>
          <w:szCs w:val="24"/>
          <w:highlight w:val="none"/>
          <w:lang w:bidi="ar"/>
        </w:rPr>
        <w:t xml:space="preserve">    </w:t>
      </w:r>
      <w:r>
        <w:rPr>
          <w:rFonts w:hint="eastAsia" w:ascii="宋体" w:hAnsi="宋体" w:cs="宋体"/>
          <w:i/>
          <w:iCs/>
          <w:color w:val="000000"/>
          <w:sz w:val="24"/>
          <w:szCs w:val="24"/>
          <w:highlight w:val="none"/>
          <w:u w:val="single"/>
          <w:lang w:bidi="ar"/>
        </w:rPr>
        <w:t xml:space="preserve">1）存储容量不低于50GB。</w:t>
      </w:r>
      <w:r>
        <w:rPr>
          <w:rFonts w:hint="eastAsia" w:ascii="宋体" w:hAnsi="宋体" w:cs="宋体"/>
          <w:i/>
          <w:iCs/>
          <w:color w:val="000000"/>
          <w:sz w:val="24"/>
          <w:szCs w:val="24"/>
          <w:highlight w:val="none"/>
          <w:u w:val="single"/>
          <w:lang w:bidi="ar"/>
        </w:rPr>
        <w:br/>
      </w:r>
      <w:r>
        <w:rPr>
          <w:rFonts w:hint="eastAsia" w:ascii="宋体" w:hAnsi="宋体" w:cs="宋体"/>
          <w:i/>
          <w:iCs/>
          <w:color w:val="000000"/>
          <w:sz w:val="24"/>
          <w:szCs w:val="24"/>
          <w:highlight w:val="none"/>
          <w:lang w:bidi="ar"/>
        </w:rPr>
        <w:t xml:space="preserve">    </w:t>
      </w:r>
      <w:r>
        <w:rPr>
          <w:rFonts w:hint="eastAsia" w:ascii="宋体" w:hAnsi="宋体" w:cs="宋体"/>
          <w:i/>
          <w:iCs/>
          <w:color w:val="000000"/>
          <w:sz w:val="24"/>
          <w:szCs w:val="24"/>
          <w:highlight w:val="none"/>
          <w:u w:val="single"/>
          <w:lang w:bidi="ar"/>
        </w:rPr>
        <w:t xml:space="preserve">2）专业级可打印蓝光光盘，防划耐磨。</w:t>
      </w:r>
      <w:r>
        <w:rPr>
          <w:rFonts w:hint="eastAsia" w:ascii="宋体" w:hAnsi="宋体" w:cs="宋体"/>
          <w:i/>
          <w:iCs/>
          <w:color w:val="000000"/>
          <w:sz w:val="24"/>
          <w:szCs w:val="24"/>
          <w:highlight w:val="none"/>
          <w:u w:val="single"/>
          <w:lang w:bidi="ar"/>
        </w:rPr>
        <w:br/>
      </w:r>
      <w:r>
        <w:rPr>
          <w:rFonts w:hint="eastAsia" w:ascii="宋体" w:hAnsi="宋体" w:cs="宋体"/>
          <w:i/>
          <w:iCs/>
          <w:color w:val="000000"/>
          <w:sz w:val="24"/>
          <w:szCs w:val="24"/>
          <w:highlight w:val="none"/>
          <w:lang w:bidi="ar"/>
        </w:rPr>
        <w:t xml:space="preserve">    </w:t>
      </w:r>
      <w:r>
        <w:rPr>
          <w:rFonts w:hint="eastAsia" w:ascii="宋体" w:hAnsi="宋体" w:cs="宋体"/>
          <w:i/>
          <w:iCs/>
          <w:color w:val="000000"/>
          <w:sz w:val="24"/>
          <w:szCs w:val="24"/>
          <w:highlight w:val="none"/>
          <w:u w:val="single"/>
          <w:lang w:bidi="ar"/>
        </w:rPr>
        <w:t xml:space="preserve">3）数据可完整性保存不低于20年。</w:t>
      </w:r>
      <w:r>
        <w:rPr>
          <w:rFonts w:hint="eastAsia" w:ascii="宋体" w:hAnsi="宋体" w:cs="宋体"/>
          <w:i/>
          <w:iCs/>
          <w:color w:val="000000"/>
          <w:sz w:val="24"/>
          <w:szCs w:val="24"/>
          <w:highlight w:val="none"/>
          <w:u w:val="single"/>
          <w:lang w:bidi="ar"/>
        </w:rPr>
        <w:br/>
      </w:r>
      <w:r>
        <w:rPr>
          <w:rFonts w:hint="eastAsia" w:ascii="宋体" w:hAnsi="宋体" w:cs="宋体"/>
          <w:i/>
          <w:iCs/>
          <w:color w:val="000000"/>
          <w:sz w:val="24"/>
          <w:szCs w:val="24"/>
          <w:highlight w:val="none"/>
          <w:lang w:bidi="ar"/>
        </w:rPr>
        <w:t xml:space="preserve">    </w:t>
      </w:r>
      <w:r>
        <w:rPr>
          <w:rFonts w:hint="eastAsia" w:ascii="宋体" w:hAnsi="宋体" w:cs="宋体"/>
          <w:i/>
          <w:iCs/>
          <w:color w:val="000000"/>
          <w:sz w:val="24"/>
          <w:szCs w:val="24"/>
          <w:highlight w:val="none"/>
          <w:u w:val="single"/>
          <w:lang w:bidi="ar"/>
        </w:rPr>
        <w:t xml:space="preserve">4）一桶50片。</w:t>
      </w:r>
      <w:r/>
    </w:p>
    <w:p>
      <w:pPr>
        <w:numPr>
          <w:ilvl w:val="0"/>
          <w:numId w:val="21"/>
        </w:numPr>
        <w:ind w:firstLine="480"/>
        <w:jc w:val="left"/>
        <w:spacing w:line="440" w:lineRule="exact"/>
        <w:rPr>
          <w:rFonts w:ascii="宋体" w:hAnsi="宋体" w:cs="宋体"/>
          <w:i/>
          <w:iCs/>
          <w:color w:val="000000"/>
          <w:sz w:val="24"/>
          <w:szCs w:val="24"/>
          <w:highlight w:val="none"/>
          <w:u w:val="single"/>
          <w:lang w:bidi="ar"/>
        </w:rPr>
      </w:pPr>
      <w:r>
        <w:rPr>
          <w:rFonts w:hint="eastAsia" w:ascii="宋体" w:hAnsi="宋体" w:cs="宋体"/>
          <w:i/>
          <w:iCs/>
          <w:color w:val="000000"/>
          <w:sz w:val="24"/>
          <w:szCs w:val="24"/>
          <w:highlight w:val="none"/>
          <w:u w:val="single"/>
          <w:lang w:bidi="ar"/>
        </w:rPr>
        <w:t xml:space="preserve">提供三年原厂质保服务。</w:t>
      </w:r>
      <w:r/>
    </w:p>
    <w:p>
      <w:pPr>
        <w:numPr>
          <w:ilvl w:val="255"/>
          <w:numId w:val="0"/>
        </w:numPr>
        <w:jc w:val="left"/>
        <w:spacing w:line="440" w:lineRule="exact"/>
        <w:rPr>
          <w:rFonts w:ascii="宋体" w:hAnsi="宋体" w:cs="宋体"/>
          <w:sz w:val="24"/>
          <w:szCs w:val="24"/>
          <w:highlight w:val="none"/>
        </w:rPr>
      </w:pPr>
      <w:r>
        <w:rPr>
          <w:rFonts w:ascii="宋体" w:hAnsi="宋体" w:cs="宋体"/>
          <w:sz w:val="24"/>
          <w:szCs w:val="24"/>
          <w:highlight w:val="none"/>
        </w:rPr>
      </w:r>
      <w:r/>
    </w:p>
    <w:p>
      <w:pPr>
        <w:pStyle w:val="987"/>
        <w:rPr>
          <w:rFonts w:hAnsi="宋体" w:cs="宋体"/>
          <w:highlight w:val="none"/>
        </w:rPr>
      </w:pPr>
      <w:r>
        <w:rPr>
          <w:rFonts w:hint="eastAsia" w:hAnsi="宋体" w:cs="宋体"/>
          <w:sz w:val="24"/>
          <w:szCs w:val="24"/>
          <w:highlight w:val="none"/>
        </w:rPr>
        <w:t xml:space="preserve">2.2.21空机柜</w:t>
      </w:r>
      <w:r>
        <w:rPr>
          <w:rFonts w:hint="eastAsia"/>
          <w:sz w:val="24"/>
          <w:szCs w:val="24"/>
          <w:highlight w:val="none"/>
        </w:rPr>
        <w:t xml:space="preserve">技术指标要求</w:t>
      </w:r>
      <w:r>
        <w:rPr>
          <w:rFonts w:hint="eastAsia" w:hAnsi="宋体" w:cs="宋体"/>
          <w:sz w:val="24"/>
          <w:szCs w:val="24"/>
          <w:highlight w:val="none"/>
        </w:rPr>
        <w:t xml:space="preserve">（1台）</w:t>
      </w:r>
      <w:r/>
    </w:p>
    <w:p>
      <w:pPr>
        <w:ind w:firstLine="480"/>
        <w:jc w:val="left"/>
        <w:spacing w:line="440" w:lineRule="exac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1、42U网孔门落地机柜；静态下承重1000KG。</w:t>
      </w:r>
      <w:r/>
    </w:p>
    <w:p>
      <w:pPr>
        <w:numPr>
          <w:ilvl w:val="0"/>
          <w:numId w:val="22"/>
        </w:numPr>
        <w:ind w:firstLine="480"/>
        <w:jc w:val="left"/>
        <w:spacing w:line="440" w:lineRule="exac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尺寸（宽*深*高）：600*800*2000 mm。</w:t>
      </w:r>
      <w:r/>
    </w:p>
    <w:p>
      <w:pPr>
        <w:numPr>
          <w:ilvl w:val="0"/>
          <w:numId w:val="22"/>
        </w:numPr>
        <w:ind w:firstLine="480"/>
        <w:jc w:val="left"/>
        <w:spacing w:line="440" w:lineRule="exact"/>
        <w:rPr>
          <w:rFonts w:ascii="宋体" w:hAnsi="宋体" w:cs="宋体"/>
          <w:sz w:val="24"/>
          <w:szCs w:val="24"/>
          <w:highlight w:val="none"/>
        </w:rPr>
      </w:pPr>
      <w:r>
        <w:rPr>
          <w:rFonts w:hint="eastAsia" w:ascii="宋体" w:hAnsi="宋体" w:cs="宋体"/>
          <w:i/>
          <w:iCs/>
          <w:color w:val="000000"/>
          <w:sz w:val="24"/>
          <w:szCs w:val="24"/>
          <w:highlight w:val="none"/>
          <w:u w:val="single"/>
          <w:lang w:bidi="ar"/>
        </w:rPr>
        <w:t xml:space="preserve">需配套三个机柜托盘。</w:t>
      </w:r>
      <w:r/>
    </w:p>
    <w:p>
      <w:pPr>
        <w:pStyle w:val="987"/>
        <w:rPr>
          <w:rFonts w:hAnsi="宋体" w:cs="宋体"/>
          <w:highlight w:val="none"/>
        </w:rPr>
      </w:pPr>
      <w:r>
        <w:rPr>
          <w:rFonts w:hint="eastAsia" w:hAnsi="宋体" w:cs="宋体"/>
          <w:sz w:val="24"/>
          <w:szCs w:val="24"/>
          <w:highlight w:val="none"/>
        </w:rPr>
        <w:t xml:space="preserve">2.2.22桌面视频摄像头</w:t>
      </w:r>
      <w:r>
        <w:rPr>
          <w:rFonts w:hint="eastAsia"/>
          <w:sz w:val="24"/>
          <w:szCs w:val="24"/>
          <w:highlight w:val="none"/>
        </w:rPr>
        <w:t xml:space="preserve">技术指标要求</w:t>
      </w:r>
      <w:r>
        <w:rPr>
          <w:rFonts w:hint="eastAsia" w:hAnsi="宋体" w:cs="宋体"/>
          <w:sz w:val="24"/>
          <w:szCs w:val="24"/>
          <w:highlight w:val="none"/>
        </w:rPr>
        <w:t xml:space="preserve">（90个）</w:t>
      </w:r>
      <w:r/>
    </w:p>
    <w:p>
      <w:pPr>
        <w:numPr>
          <w:ilvl w:val="0"/>
          <w:numId w:val="23"/>
        </w:numPr>
        <w:ind w:firstLine="480"/>
        <w:jc w:val="left"/>
        <w:spacing w:line="440" w:lineRule="exac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免驱动2K分辨率摄像头。</w:t>
      </w:r>
      <w:r/>
    </w:p>
    <w:p>
      <w:pPr>
        <w:numPr>
          <w:ilvl w:val="0"/>
          <w:numId w:val="23"/>
        </w:numPr>
        <w:ind w:firstLine="480"/>
        <w:jc w:val="left"/>
        <w:spacing w:line="440" w:lineRule="exact"/>
        <w:rPr>
          <w:rFonts w:ascii="宋体" w:hAnsi="宋体" w:cs="宋体"/>
          <w:sz w:val="24"/>
          <w:szCs w:val="24"/>
          <w:highlight w:val="none"/>
        </w:rPr>
      </w:pPr>
      <w:r>
        <w:rPr>
          <w:rFonts w:hint="eastAsia" w:ascii="宋体" w:hAnsi="宋体" w:cs="宋体"/>
          <w:color w:val="000000"/>
          <w:sz w:val="24"/>
          <w:szCs w:val="24"/>
          <w:highlight w:val="none"/>
          <w:lang w:bidi="ar"/>
        </w:rPr>
        <w:t xml:space="preserve">内置智能降噪麦克风支持5米拾音，自动对焦，水平场视角≥80°，手动可360°旋转</w:t>
      </w:r>
      <w:r/>
    </w:p>
    <w:p>
      <w:pPr>
        <w:pStyle w:val="987"/>
        <w:rPr>
          <w:rFonts w:hAnsi="宋体" w:cs="宋体"/>
          <w:highlight w:val="none"/>
        </w:rPr>
      </w:pPr>
      <w:r>
        <w:rPr>
          <w:rFonts w:hint="eastAsia" w:hAnsi="宋体" w:cs="宋体"/>
          <w:sz w:val="24"/>
          <w:szCs w:val="24"/>
          <w:highlight w:val="none"/>
        </w:rPr>
        <w:t xml:space="preserve">2.2.23耳麦</w:t>
      </w:r>
      <w:r>
        <w:rPr>
          <w:rFonts w:hint="eastAsia"/>
          <w:sz w:val="24"/>
          <w:szCs w:val="24"/>
          <w:highlight w:val="none"/>
        </w:rPr>
        <w:t xml:space="preserve">技术指标要求</w:t>
      </w:r>
      <w:r>
        <w:rPr>
          <w:rFonts w:hint="eastAsia" w:hAnsi="宋体" w:cs="宋体"/>
          <w:sz w:val="24"/>
          <w:szCs w:val="24"/>
          <w:highlight w:val="none"/>
        </w:rPr>
        <w:t xml:space="preserve">（90个）</w:t>
      </w:r>
      <w:r/>
    </w:p>
    <w:p>
      <w:pPr>
        <w:numPr>
          <w:ilvl w:val="0"/>
          <w:numId w:val="24"/>
        </w:numPr>
        <w:ind w:firstLine="480"/>
        <w:jc w:val="left"/>
        <w:spacing w:line="440" w:lineRule="exac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头戴话务耳机USB。</w:t>
      </w:r>
      <w:r/>
    </w:p>
    <w:p>
      <w:pPr>
        <w:numPr>
          <w:ilvl w:val="0"/>
          <w:numId w:val="24"/>
        </w:numPr>
        <w:ind w:firstLine="480"/>
        <w:jc w:val="left"/>
        <w:spacing w:line="440" w:lineRule="exact"/>
        <w:rPr>
          <w:rFonts w:ascii="宋体" w:hAnsi="宋体" w:cs="宋体"/>
          <w:sz w:val="24"/>
          <w:szCs w:val="24"/>
          <w:highlight w:val="none"/>
        </w:rPr>
      </w:pPr>
      <w:r>
        <w:rPr>
          <w:rFonts w:hint="eastAsia" w:ascii="宋体" w:hAnsi="宋体" w:cs="宋体"/>
          <w:color w:val="000000"/>
          <w:sz w:val="24"/>
          <w:szCs w:val="24"/>
          <w:highlight w:val="none"/>
          <w:lang w:bidi="ar"/>
        </w:rPr>
        <w:t xml:space="preserve">线长1.3m。</w:t>
      </w:r>
      <w:r/>
    </w:p>
    <w:p>
      <w:pPr>
        <w:numPr>
          <w:ilvl w:val="0"/>
          <w:numId w:val="24"/>
        </w:numPr>
        <w:ind w:firstLine="480"/>
        <w:jc w:val="left"/>
        <w:spacing w:line="440" w:lineRule="exact"/>
        <w:rPr>
          <w:rFonts w:ascii="宋体" w:hAnsi="宋体" w:cs="宋体"/>
          <w:sz w:val="24"/>
          <w:szCs w:val="24"/>
          <w:highlight w:val="none"/>
        </w:rPr>
      </w:pPr>
      <w:r>
        <w:rPr>
          <w:rFonts w:hint="eastAsia" w:ascii="宋体" w:hAnsi="宋体" w:cs="宋体"/>
          <w:color w:val="000000"/>
          <w:sz w:val="24"/>
          <w:szCs w:val="24"/>
          <w:highlight w:val="none"/>
          <w:lang w:bidi="ar"/>
        </w:rPr>
        <w:t xml:space="preserve">线型：单边导线。</w:t>
      </w:r>
      <w:r/>
    </w:p>
    <w:p>
      <w:pPr>
        <w:numPr>
          <w:ilvl w:val="0"/>
          <w:numId w:val="24"/>
        </w:numPr>
        <w:ind w:firstLine="480"/>
        <w:jc w:val="left"/>
        <w:spacing w:line="440" w:lineRule="exact"/>
        <w:rPr>
          <w:rFonts w:ascii="宋体" w:hAnsi="宋体" w:cs="宋体"/>
          <w:sz w:val="24"/>
          <w:szCs w:val="24"/>
          <w:highlight w:val="none"/>
        </w:rPr>
      </w:pPr>
      <w:r>
        <w:rPr>
          <w:rFonts w:hint="eastAsia" w:ascii="宋体" w:hAnsi="宋体" w:cs="宋体"/>
          <w:color w:val="000000"/>
          <w:sz w:val="24"/>
          <w:szCs w:val="24"/>
          <w:highlight w:val="none"/>
          <w:lang w:bidi="ar"/>
        </w:rPr>
        <w:t xml:space="preserve">插头接口：USB。</w:t>
      </w:r>
      <w:r/>
    </w:p>
    <w:p>
      <w:pPr>
        <w:numPr>
          <w:ilvl w:val="0"/>
          <w:numId w:val="24"/>
        </w:numPr>
        <w:ind w:firstLine="480"/>
        <w:jc w:val="left"/>
        <w:spacing w:line="440" w:lineRule="exact"/>
        <w:rPr>
          <w:rFonts w:ascii="宋体" w:hAnsi="宋体" w:cs="宋体"/>
          <w:highlight w:val="none"/>
        </w:rPr>
      </w:pPr>
      <w:r>
        <w:rPr>
          <w:rFonts w:hint="eastAsia" w:ascii="宋体" w:hAnsi="宋体" w:cs="宋体"/>
          <w:color w:val="000000"/>
          <w:sz w:val="24"/>
          <w:szCs w:val="24"/>
          <w:highlight w:val="none"/>
          <w:lang w:bidi="ar"/>
        </w:rPr>
        <w:t xml:space="preserve">有麦克风</w:t>
      </w:r>
      <w:r/>
    </w:p>
    <w:p>
      <w:pPr>
        <w:numPr>
          <w:ilvl w:val="255"/>
          <w:numId w:val="0"/>
        </w:numPr>
        <w:jc w:val="left"/>
        <w:spacing w:line="440" w:lineRule="exact"/>
        <w:rPr>
          <w:rFonts w:ascii="宋体" w:hAnsi="宋体" w:cs="宋体"/>
          <w:highlight w:val="none"/>
        </w:rPr>
      </w:pPr>
      <w:r>
        <w:rPr>
          <w:rFonts w:ascii="宋体" w:hAnsi="宋体" w:cs="宋体"/>
          <w:highlight w:val="none"/>
        </w:rPr>
      </w:r>
      <w:r/>
    </w:p>
    <w:p>
      <w:pPr>
        <w:pStyle w:val="986"/>
        <w:rPr>
          <w:rFonts w:ascii="宋体" w:hAnsi="宋体" w:eastAsia="宋体" w:cs="宋体"/>
          <w:sz w:val="24"/>
          <w:szCs w:val="24"/>
          <w:highlight w:val="none"/>
        </w:rPr>
      </w:pPr>
      <w:r>
        <w:rPr>
          <w:rFonts w:hint="eastAsia" w:ascii="宋体" w:hAnsi="宋体" w:eastAsia="宋体" w:cs="宋体"/>
          <w:b w:val="0"/>
          <w:bCs w:val="0"/>
          <w:sz w:val="24"/>
          <w:szCs w:val="24"/>
          <w:highlight w:val="none"/>
        </w:rPr>
        <w:t xml:space="preserve">2.</w:t>
      </w:r>
      <w:r>
        <w:rPr>
          <w:rFonts w:hint="eastAsia" w:eastAsia="宋体"/>
          <w:b w:val="0"/>
          <w:bCs w:val="0"/>
          <w:sz w:val="24"/>
          <w:szCs w:val="24"/>
          <w:highlight w:val="none"/>
        </w:rPr>
        <w:t xml:space="preserve">3</w:t>
      </w:r>
      <w:r>
        <w:rPr>
          <w:rFonts w:hint="eastAsia" w:ascii="宋体" w:hAnsi="宋体" w:eastAsia="宋体" w:cs="宋体"/>
          <w:b w:val="0"/>
          <w:bCs w:val="0"/>
          <w:sz w:val="24"/>
          <w:szCs w:val="24"/>
          <w:highlight w:val="none"/>
        </w:rPr>
        <w:t xml:space="preserve">虚拟评标空间</w:t>
      </w:r>
      <w:r>
        <w:rPr>
          <w:rFonts w:ascii="宋体" w:hAnsi="宋体" w:eastAsia="宋体" w:cs="宋体"/>
          <w:b w:val="0"/>
          <w:bCs w:val="0"/>
          <w:sz w:val="24"/>
          <w:szCs w:val="24"/>
          <w:highlight w:val="none"/>
        </w:rPr>
        <w:t xml:space="preserve">（项目配套环境改造）要求</w:t>
      </w:r>
      <w:r/>
    </w:p>
    <w:p>
      <w:pPr>
        <w:ind w:firstLine="480"/>
        <w:jc w:val="left"/>
        <w:spacing w:line="440" w:lineRule="exact"/>
        <w:rPr>
          <w:rFonts w:ascii="宋体" w:hAnsi="宋体" w:cs="宋体"/>
          <w:sz w:val="24"/>
          <w:szCs w:val="24"/>
          <w:highlight w:val="none"/>
        </w:rPr>
      </w:pPr>
      <w:r>
        <w:rPr>
          <w:rFonts w:hint="eastAsia" w:ascii="宋体" w:hAnsi="宋体" w:cs="宋体"/>
          <w:sz w:val="24"/>
          <w:szCs w:val="24"/>
          <w:highlight w:val="none"/>
        </w:rPr>
        <w:t xml:space="preserve">虚拟评标空间（项目配套环境改造）需求。</w:t>
      </w:r>
      <w:r>
        <w:rPr>
          <w:rFonts w:hint="eastAsia" w:ascii="宋体" w:hAnsi="宋体" w:cs="宋体"/>
          <w:sz w:val="24"/>
          <w:szCs w:val="24"/>
          <w:highlight w:val="none"/>
          <w:lang w:val="en-US" w:eastAsia="zh-CN"/>
        </w:rPr>
        <w:t xml:space="preserve">投</w:t>
      </w:r>
      <w:r>
        <w:rPr>
          <w:rFonts w:hint="eastAsia" w:ascii="宋体" w:hAnsi="宋体" w:cs="宋体"/>
          <w:sz w:val="24"/>
          <w:szCs w:val="24"/>
          <w:highlight w:val="none"/>
        </w:rPr>
        <w:t xml:space="preserve">标人需提供合理的评标场地改造方案，对评标区实施工位式分散评标改造，物理隔离所有评标专家及相关工作人员。</w:t>
      </w:r>
      <w:r/>
    </w:p>
    <w:p>
      <w:pPr>
        <w:ind w:firstLine="480"/>
        <w:jc w:val="left"/>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重点对现有评标区域实施工位式分散改造，拆除多间评标室隔断并新增门洞形成灵活动线，采用全包式（1.9米）与半高式（1.5米）复合隔断系统，既保障评标专家间的物理隔离，又保持必要视线监督。同步部署智能电路系统，采用明管布线方式配置独立电源及超六类网络链路。墙面采用环保乳胶漆翻新，结合门洞改造与空间重组，形成可动态划分的虚拟评标单元集群。具体改造方案如下：</w:t>
      </w:r>
      <w:r/>
    </w:p>
    <w:p>
      <w:pPr>
        <w:ind w:firstLine="480"/>
        <w:jc w:val="left"/>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除评标一、二、十一外，对其余11个评标室进行工位改造。其中：全包高隔断：高1.9米（玻璃0.7米），深1.75米、宽度1.7米，涉及评标三、七、八、九、十、十二、十三、十四室、就餐室，共计约62个；半包低隔断：高1.55米（玻璃0.5米），深1.7米、宽1.7米。涉及评标四、五、六，共计约33个。</w:t>
      </w:r>
      <w:r/>
    </w:p>
    <w:p>
      <w:pPr>
        <w:ind w:firstLine="480"/>
        <w:jc w:val="left"/>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平面布置图如下（图仅供参考，施工按照现场尺寸定）：</w:t>
      </w:r>
      <w:r/>
    </w:p>
    <w:p>
      <w:pPr>
        <w:ind w:firstLine="480"/>
        <w:jc w:val="left"/>
        <w:spacing w:line="440" w:lineRule="exact"/>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92710</wp:posOffset>
                </wp:positionH>
                <wp:positionV relativeFrom="paragraph">
                  <wp:posOffset>158115</wp:posOffset>
                </wp:positionV>
                <wp:extent cx="5525770" cy="3327400"/>
                <wp:effectExtent l="12700" t="12700" r="24130" b="12700"/>
                <wp:wrapTopAndBottom/>
                <wp:docPr id="3" name="图片 11" descr="de69d9c18c3b572804cf096474f49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de69d9c18c3b572804cf096474f49247"/>
                        <pic:cNvPicPr>
                          <a:picLocks noChangeAspect="1"/>
                        </pic:cNvPicPr>
                        <pic:nvPr/>
                      </pic:nvPicPr>
                      <pic:blipFill>
                        <a:blip r:embed="rId15"/>
                        <a:stretch/>
                      </pic:blipFill>
                      <pic:spPr bwMode="auto">
                        <a:xfrm>
                          <a:off x="0" y="0"/>
                          <a:ext cx="5525770" cy="3327400"/>
                        </a:xfrm>
                        <a:prstGeom prst="rect">
                          <a:avLst/>
                        </a:prstGeom>
                        <a:noFill/>
                        <a:ln w="12700" cmpd="sng">
                          <a:solidFill>
                            <a:schemeClr val="tx1">
                              <a:lumMod val="50000"/>
                              <a:lumOff val="50000"/>
                            </a:schemeClr>
                          </a:solidFill>
                          <a:prstDash val="soli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3360;o:allowoverlap:true;o:allowincell:true;mso-position-horizontal-relative:text;margin-left:7.3pt;mso-position-horizontal:absolute;mso-position-vertical-relative:text;margin-top:12.4pt;mso-position-vertical:absolute;width:435.1pt;height:262.0pt;mso-wrap-distance-left:9.0pt;mso-wrap-distance-top:0.0pt;mso-wrap-distance-right:9.0pt;mso-wrap-distance-bottom:0.0pt;" strokecolor="#7F7F7F" strokeweight="1.00pt">
                <v:path textboxrect="0,0,0,0"/>
                <w10:wrap type="topAndBottom"/>
                <v:imagedata r:id="rId15" o:title=""/>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75565</wp:posOffset>
                </wp:positionH>
                <wp:positionV relativeFrom="paragraph">
                  <wp:posOffset>3614420</wp:posOffset>
                </wp:positionV>
                <wp:extent cx="5557520" cy="3568065"/>
                <wp:effectExtent l="12700" t="12700" r="30480" b="19685"/>
                <wp:wrapTopAndBottom/>
                <wp:docPr id="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6"/>
                        <pic:cNvPicPr>
                          <a:picLocks noChangeAspect="1"/>
                        </pic:cNvPicPr>
                        <pic:nvPr/>
                      </pic:nvPicPr>
                      <pic:blipFill>
                        <a:blip r:embed="rId16"/>
                        <a:stretch/>
                      </pic:blipFill>
                      <pic:spPr bwMode="auto">
                        <a:xfrm>
                          <a:off x="0" y="0"/>
                          <a:ext cx="5557520" cy="3568065"/>
                        </a:xfrm>
                        <a:prstGeom prst="rect">
                          <a:avLst/>
                        </a:prstGeom>
                        <a:noFill/>
                        <a:ln w="12700" cmpd="sng">
                          <a:solidFill>
                            <a:schemeClr val="tx1">
                              <a:lumMod val="50000"/>
                              <a:lumOff val="50000"/>
                            </a:schemeClr>
                          </a:solidFill>
                          <a:prstDash val="soli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4384;o:allowoverlap:true;o:allowincell:true;mso-position-horizontal-relative:text;margin-left:5.9pt;mso-position-horizontal:absolute;mso-position-vertical-relative:text;margin-top:284.6pt;mso-position-vertical:absolute;width:437.6pt;height:280.9pt;mso-wrap-distance-left:9.0pt;mso-wrap-distance-top:0.0pt;mso-wrap-distance-right:9.0pt;mso-wrap-distance-bottom:0.0pt;" strokecolor="#7F7F7F" strokeweight="1.00pt">
                <v:path textboxrect="0,0,0,0"/>
                <w10:wrap type="topAndBottom"/>
                <v:imagedata r:id="rId16" o:title=""/>
              </v:shape>
            </w:pict>
          </mc:Fallback>
        </mc:AlternateContent>
      </w:r>
      <w:r/>
    </w:p>
    <w:p>
      <w:pPr>
        <w:ind w:firstLine="420"/>
        <w:jc w:val="left"/>
        <w:spacing w:line="440" w:lineRule="exact"/>
        <w:rPr>
          <w:rFonts w:asciiTheme="minorEastAsia" w:hAnsiTheme="minorEastAsia" w:eastAsiaTheme="minorEastAsia" w:cstheme="minorEastAsia"/>
          <w:sz w:val="24"/>
          <w:szCs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46355</wp:posOffset>
                </wp:positionH>
                <wp:positionV relativeFrom="paragraph">
                  <wp:posOffset>5518150</wp:posOffset>
                </wp:positionV>
                <wp:extent cx="5372735" cy="3237230"/>
                <wp:effectExtent l="12700" t="12700" r="24765" b="26670"/>
                <wp:wrapTopAndBottom/>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pic:cNvPicPr>
                          <a:picLocks noChangeAspect="1"/>
                        </pic:cNvPicPr>
                        <pic:nvPr/>
                      </pic:nvPicPr>
                      <pic:blipFill>
                        <a:blip r:embed="rId17"/>
                        <a:stretch/>
                      </pic:blipFill>
                      <pic:spPr bwMode="auto">
                        <a:xfrm>
                          <a:off x="0" y="0"/>
                          <a:ext cx="5372735" cy="3237230"/>
                        </a:xfrm>
                        <a:prstGeom prst="rect">
                          <a:avLst/>
                        </a:prstGeom>
                        <a:noFill/>
                        <a:ln w="12700" cmpd="sng">
                          <a:solidFill>
                            <a:schemeClr val="tx1">
                              <a:lumMod val="50000"/>
                              <a:lumOff val="50000"/>
                            </a:schemeClr>
                          </a:solidFill>
                          <a:prstDash val="soli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2336;o:allowoverlap:true;o:allowincell:true;mso-position-horizontal-relative:text;margin-left:3.6pt;mso-position-horizontal:absolute;mso-position-vertical-relative:text;margin-top:434.5pt;mso-position-vertical:absolute;width:423.0pt;height:254.9pt;mso-wrap-distance-left:9.0pt;mso-wrap-distance-top:0.0pt;mso-wrap-distance-right:9.0pt;mso-wrap-distance-bottom:0.0pt;" strokecolor="#7F7F7F" strokeweight="1.00pt">
                <v:path textboxrect="0,0,0,0"/>
                <w10:wrap type="topAndBottom"/>
                <v:imagedata r:id="rId17" o:title=""/>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99695</wp:posOffset>
                </wp:positionH>
                <wp:positionV relativeFrom="paragraph">
                  <wp:posOffset>2965450</wp:posOffset>
                </wp:positionV>
                <wp:extent cx="5303520" cy="2367280"/>
                <wp:effectExtent l="12700" t="12700" r="17780" b="20320"/>
                <wp:wrapTopAndBottom/>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pic:cNvPicPr>
                          <a:picLocks noChangeAspect="1"/>
                        </pic:cNvPicPr>
                        <pic:nvPr/>
                      </pic:nvPicPr>
                      <pic:blipFill>
                        <a:blip r:embed="rId18"/>
                        <a:stretch/>
                      </pic:blipFill>
                      <pic:spPr bwMode="auto">
                        <a:xfrm>
                          <a:off x="0" y="0"/>
                          <a:ext cx="5303520" cy="2367280"/>
                        </a:xfrm>
                        <a:prstGeom prst="rect">
                          <a:avLst/>
                        </a:prstGeom>
                        <a:noFill/>
                        <a:ln w="12700" cmpd="sng">
                          <a:solidFill>
                            <a:schemeClr val="tx1">
                              <a:lumMod val="50000"/>
                              <a:lumOff val="50000"/>
                            </a:schemeClr>
                          </a:solidFill>
                          <a:prstDash val="soli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1312;o:allowoverlap:true;o:allowincell:true;mso-position-horizontal-relative:text;margin-left:7.8pt;mso-position-horizontal:absolute;mso-position-vertical-relative:text;margin-top:233.5pt;mso-position-vertical:absolute;width:417.6pt;height:186.4pt;mso-wrap-distance-left:9.0pt;mso-wrap-distance-top:0.0pt;mso-wrap-distance-right:9.0pt;mso-wrap-distance-bottom:0.0pt;" strokecolor="#7F7F7F" strokeweight="1.00pt">
                <v:path textboxrect="0,0,0,0"/>
                <w10:wrap type="topAndBottom"/>
                <v:imagedata r:id="rId18" o:title=""/>
              </v:shape>
            </w:pict>
          </mc:Fallback>
        </mc:AlternateContent>
      </w:r>
      <w:r>
        <w:rPr>
          <w:rFonts w:ascii="宋体" w:hAnsi="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106680</wp:posOffset>
                </wp:positionH>
                <wp:positionV relativeFrom="paragraph">
                  <wp:posOffset>155575</wp:posOffset>
                </wp:positionV>
                <wp:extent cx="5290820" cy="2693035"/>
                <wp:effectExtent l="12700" t="12700" r="30480" b="18415"/>
                <wp:wrapTopAndBottom/>
                <wp:docPr id="7"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descr="IMG_256"/>
                        <pic:cNvPicPr>
                          <a:picLocks noChangeAspect="1"/>
                        </pic:cNvPicPr>
                        <pic:nvPr/>
                      </pic:nvPicPr>
                      <pic:blipFill>
                        <a:blip r:embed="rId19"/>
                        <a:stretch/>
                      </pic:blipFill>
                      <pic:spPr bwMode="auto">
                        <a:xfrm>
                          <a:off x="0" y="0"/>
                          <a:ext cx="5290820" cy="2693035"/>
                        </a:xfrm>
                        <a:prstGeom prst="rect">
                          <a:avLst/>
                        </a:prstGeom>
                        <a:noFill/>
                        <a:ln w="12700" cmpd="sng">
                          <a:solidFill>
                            <a:schemeClr val="tx1">
                              <a:lumMod val="50000"/>
                              <a:lumOff val="50000"/>
                            </a:schemeClr>
                          </a:solidFill>
                          <a:prstDash val="solid"/>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0288;o:allowoverlap:true;o:allowincell:true;mso-position-horizontal-relative:text;margin-left:8.4pt;mso-position-horizontal:absolute;mso-position-vertical-relative:text;margin-top:12.2pt;mso-position-vertical:absolute;width:416.6pt;height:212.0pt;mso-wrap-distance-left:9.0pt;mso-wrap-distance-top:0.0pt;mso-wrap-distance-right:9.0pt;mso-wrap-distance-bottom:0.0pt;" strokecolor="#7F7F7F" strokeweight="1.00pt">
                <v:path textboxrect="0,0,0,0"/>
                <w10:wrap type="topAndBottom"/>
                <v:imagedata r:id="rId19" o:title=""/>
              </v:shape>
            </w:pict>
          </mc:Fallback>
        </mc:AlternateContent>
      </w:r>
      <w:r/>
    </w:p>
    <w:p>
      <w:pPr>
        <w:ind w:firstLine="480"/>
        <w:jc w:val="left"/>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隔断效果图如下：</w:t>
      </w:r>
      <w:r/>
    </w:p>
    <w:p>
      <w:pPr>
        <w:ind w:firstLine="480"/>
        <w:jc w:val="left"/>
        <w:spacing w:line="440" w:lineRule="exact"/>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p>
      <w:pPr>
        <w:ind w:firstLine="480"/>
        <w:jc w:val="left"/>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装修工程量清单</w:t>
      </w: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286385</wp:posOffset>
                </wp:positionH>
                <wp:positionV relativeFrom="paragraph">
                  <wp:posOffset>226695</wp:posOffset>
                </wp:positionV>
                <wp:extent cx="5050790" cy="4316095"/>
                <wp:effectExtent l="0" t="0" r="16510" b="8255"/>
                <wp:wrapTopAndBottom/>
                <wp:docPr id="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7"/>
                        <pic:cNvPicPr>
                          <a:picLocks noChangeAspect="1"/>
                        </pic:cNvPicPr>
                        <pic:nvPr/>
                      </pic:nvPicPr>
                      <pic:blipFill>
                        <a:blip r:embed="rId20"/>
                        <a:stretch/>
                      </pic:blipFill>
                      <pic:spPr bwMode="auto">
                        <a:xfrm>
                          <a:off x="0" y="0"/>
                          <a:ext cx="5050790" cy="4316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5408;o:allowoverlap:true;o:allowincell:true;mso-position-horizontal-relative:text;margin-left:22.5pt;mso-position-horizontal:absolute;mso-position-vertical-relative:text;margin-top:17.8pt;mso-position-vertical:absolute;width:397.7pt;height:339.8pt;mso-wrap-distance-left:9.0pt;mso-wrap-distance-top:0.0pt;mso-wrap-distance-right:9.0pt;mso-wrap-distance-bottom:0.0pt;" stroked="f">
                <v:path textboxrect="0,0,0,0"/>
                <w10:wrap type="topAndBottom"/>
                <v:imagedata r:id="rId20" o:title=""/>
              </v:shape>
            </w:pict>
          </mc:Fallback>
        </mc:AlternateContent>
      </w:r>
      <w:r>
        <w:rPr>
          <w:rFonts w:hint="eastAsia" w:asciiTheme="minorEastAsia" w:hAnsiTheme="minorEastAsia" w:eastAsiaTheme="minorEastAsia" w:cstheme="minorEastAsia"/>
          <w:sz w:val="24"/>
          <w:szCs w:val="24"/>
          <w:highlight w:val="none"/>
        </w:rPr>
        <w:t xml:space="preserve">如下：</w:t>
      </w:r>
      <w:r/>
    </w:p>
    <w:tbl>
      <w:tblPr>
        <w:tblStyle w:val="990"/>
        <w:tblW w:w="8384" w:type="dxa"/>
        <w:tblInd w:w="363" w:type="dxa"/>
        <w:tblLayout w:type="fixed"/>
        <w:tblCellMar>
          <w:left w:w="108" w:type="dxa"/>
          <w:top w:w="0" w:type="dxa"/>
          <w:right w:w="108" w:type="dxa"/>
          <w:bottom w:w="0" w:type="dxa"/>
        </w:tblCellMar>
        <w:tblLook w:val="04A0" w:firstRow="1" w:lastRow="0" w:firstColumn="1" w:lastColumn="0" w:noHBand="0" w:noVBand="1"/>
      </w:tblPr>
      <w:tblGrid>
        <w:gridCol w:w="789"/>
        <w:gridCol w:w="1495"/>
        <w:gridCol w:w="4496"/>
        <w:gridCol w:w="911"/>
        <w:gridCol w:w="693"/>
      </w:tblGrid>
      <w:tr>
        <w:trPr>
          <w:trHeight w:val="739"/>
        </w:trPr>
        <w:tc>
          <w:tcPr>
            <w:shd w:val="clear" w:color="auto" w:fill="bebebe"/>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pStyle w:val="1007"/>
              <w:jc w:val="center"/>
              <w:rPr>
                <w:rFonts w:ascii="宋体" w:hAnsi="宋体" w:cs="宋体"/>
                <w:szCs w:val="24"/>
                <w:highlight w:val="none"/>
              </w:rPr>
            </w:pPr>
            <w:r>
              <w:rPr>
                <w:rFonts w:hint="eastAsia" w:ascii="宋体" w:hAnsi="宋体" w:cs="宋体"/>
                <w:szCs w:val="24"/>
                <w:highlight w:val="none"/>
              </w:rPr>
              <w:t xml:space="preserve">编号</w:t>
            </w:r>
            <w:r/>
          </w:p>
        </w:tc>
        <w:tc>
          <w:tcPr>
            <w:shd w:val="clear" w:color="auto" w:fill="bebebe"/>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pStyle w:val="1007"/>
              <w:rPr>
                <w:rFonts w:ascii="宋体" w:hAnsi="宋体" w:cs="宋体"/>
                <w:szCs w:val="24"/>
                <w:highlight w:val="none"/>
              </w:rPr>
            </w:pPr>
            <w:r>
              <w:rPr>
                <w:rFonts w:hint="eastAsia" w:ascii="宋体" w:hAnsi="宋体" w:cs="宋体"/>
                <w:szCs w:val="24"/>
                <w:highlight w:val="none"/>
              </w:rPr>
              <w:t xml:space="preserve">项目名称</w:t>
            </w:r>
            <w:r/>
          </w:p>
        </w:tc>
        <w:tc>
          <w:tcPr>
            <w:shd w:val="clear" w:color="auto" w:fill="bebebe"/>
            <w:tcBorders>
              <w:top w:val="single" w:color="000000" w:sz="4" w:space="0"/>
              <w:left w:val="single" w:color="000000" w:sz="4" w:space="0"/>
              <w:bottom w:val="single" w:color="000000" w:sz="4" w:space="0"/>
              <w:right w:val="single" w:color="000000" w:sz="4" w:space="0"/>
            </w:tcBorders>
            <w:tcW w:w="4496" w:type="dxa"/>
            <w:vAlign w:val="center"/>
            <w:textDirection w:val="lrTb"/>
            <w:noWrap w:val="false"/>
          </w:tcPr>
          <w:p>
            <w:pPr>
              <w:pStyle w:val="1007"/>
              <w:rPr>
                <w:rFonts w:ascii="宋体" w:hAnsi="宋体" w:cs="宋体"/>
                <w:szCs w:val="24"/>
                <w:highlight w:val="none"/>
              </w:rPr>
            </w:pPr>
            <w:r>
              <w:rPr>
                <w:rFonts w:hint="eastAsia" w:ascii="宋体" w:hAnsi="宋体" w:cs="宋体"/>
                <w:szCs w:val="24"/>
                <w:highlight w:val="none"/>
              </w:rPr>
              <w:t xml:space="preserve">项目描述</w:t>
            </w:r>
            <w:r/>
          </w:p>
        </w:tc>
        <w:tc>
          <w:tcPr>
            <w:shd w:val="clear" w:color="auto" w:fill="bebebe"/>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007"/>
              <w:jc w:val="center"/>
              <w:rPr>
                <w:rFonts w:ascii="宋体" w:hAnsi="宋体" w:cs="宋体"/>
                <w:szCs w:val="24"/>
                <w:highlight w:val="none"/>
              </w:rPr>
            </w:pPr>
            <w:r>
              <w:rPr>
                <w:rFonts w:hint="eastAsia" w:ascii="宋体" w:hAnsi="宋体" w:cs="宋体"/>
                <w:szCs w:val="24"/>
                <w:highlight w:val="none"/>
              </w:rPr>
              <w:t xml:space="preserve">数量</w:t>
            </w:r>
            <w:r/>
          </w:p>
        </w:tc>
        <w:tc>
          <w:tcPr>
            <w:shd w:val="clear" w:color="auto" w:fill="bebebe"/>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1007"/>
              <w:jc w:val="center"/>
              <w:rPr>
                <w:rFonts w:ascii="宋体" w:hAnsi="宋体" w:cs="宋体"/>
                <w:szCs w:val="24"/>
                <w:highlight w:val="none"/>
              </w:rPr>
            </w:pPr>
            <w:r>
              <w:rPr>
                <w:rFonts w:hint="eastAsia" w:ascii="宋体" w:hAnsi="宋体" w:cs="宋体"/>
                <w:szCs w:val="24"/>
                <w:highlight w:val="none"/>
              </w:rPr>
              <w:t xml:space="preserve">单位</w:t>
            </w:r>
            <w:r/>
          </w:p>
        </w:tc>
      </w:tr>
      <w:tr>
        <w:trPr>
          <w:trHeight w:val="1073"/>
        </w:trPr>
        <w:tc>
          <w:tcPr>
            <w:shd w:val="clear" w:color="auto" w:fill="ffffff"/>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pStyle w:val="1007"/>
              <w:jc w:val="center"/>
              <w:rPr>
                <w:rFonts w:ascii="宋体" w:hAnsi="宋体" w:cs="宋体"/>
                <w:szCs w:val="24"/>
                <w:highlight w:val="none"/>
              </w:rPr>
            </w:pPr>
            <w:r>
              <w:rPr>
                <w:rFonts w:hint="eastAsia" w:ascii="宋体" w:hAnsi="宋体" w:cs="宋体"/>
                <w:szCs w:val="24"/>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pStyle w:val="1007"/>
              <w:rPr>
                <w:rFonts w:ascii="宋体" w:hAnsi="宋体" w:cs="宋体"/>
                <w:szCs w:val="24"/>
                <w:highlight w:val="none"/>
              </w:rPr>
            </w:pPr>
            <w:r>
              <w:rPr>
                <w:rFonts w:hint="eastAsia" w:ascii="宋体" w:hAnsi="宋体" w:cs="宋体"/>
                <w:szCs w:val="24"/>
                <w:highlight w:val="none"/>
              </w:rPr>
              <w:t xml:space="preserve">设计深化</w:t>
            </w:r>
            <w:r/>
          </w:p>
        </w:tc>
        <w:tc>
          <w:tcPr>
            <w:shd w:val="clear" w:color="auto" w:fill="ffffff"/>
            <w:tcBorders>
              <w:top w:val="single" w:color="000000" w:sz="4" w:space="0"/>
              <w:left w:val="single" w:color="000000" w:sz="4" w:space="0"/>
              <w:bottom w:val="single" w:color="000000" w:sz="4" w:space="0"/>
              <w:right w:val="single" w:color="000000" w:sz="4" w:space="0"/>
            </w:tcBorders>
            <w:tcW w:w="4496" w:type="dxa"/>
            <w:vAlign w:val="center"/>
            <w:textDirection w:val="lrTb"/>
            <w:noWrap w:val="false"/>
          </w:tcPr>
          <w:p>
            <w:pPr>
              <w:pStyle w:val="1007"/>
              <w:rPr>
                <w:rFonts w:ascii="宋体" w:hAnsi="宋体" w:cs="宋体"/>
                <w:szCs w:val="24"/>
                <w:highlight w:val="none"/>
              </w:rPr>
            </w:pPr>
            <w:r>
              <w:rPr>
                <w:rFonts w:hint="eastAsia" w:ascii="宋体" w:hAnsi="宋体" w:cs="宋体"/>
                <w:szCs w:val="24"/>
                <w:highlight w:val="none"/>
              </w:rPr>
              <w:t xml:space="preserve">1、划空间效果图设计</w:t>
            </w:r>
            <w:r/>
          </w:p>
          <w:p>
            <w:pPr>
              <w:pStyle w:val="1007"/>
              <w:rPr>
                <w:rFonts w:ascii="宋体" w:hAnsi="宋体" w:cs="宋体"/>
                <w:szCs w:val="24"/>
                <w:highlight w:val="none"/>
              </w:rPr>
            </w:pPr>
            <w:r>
              <w:rPr>
                <w:rFonts w:hint="eastAsia" w:ascii="宋体" w:hAnsi="宋体" w:cs="宋体"/>
                <w:szCs w:val="24"/>
                <w:highlight w:val="none"/>
              </w:rPr>
              <w:t xml:space="preserve">2、施工图深化设计</w:t>
            </w:r>
            <w:r/>
          </w:p>
          <w:p>
            <w:pPr>
              <w:pStyle w:val="1007"/>
              <w:rPr>
                <w:rFonts w:ascii="宋体" w:hAnsi="宋体" w:cs="宋体"/>
                <w:szCs w:val="24"/>
                <w:highlight w:val="none"/>
              </w:rPr>
            </w:pPr>
            <w:r>
              <w:rPr>
                <w:rFonts w:hint="eastAsia" w:ascii="宋体" w:hAnsi="宋体" w:cs="宋体"/>
                <w:szCs w:val="24"/>
                <w:highlight w:val="none"/>
              </w:rPr>
              <w:t xml:space="preserve">3、平面图文排版设计</w:t>
            </w:r>
            <w:r/>
          </w:p>
        </w:tc>
        <w:tc>
          <w:tcPr>
            <w:shd w:val="clear" w:color="auto" w:fill="ffffff"/>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007"/>
              <w:jc w:val="center"/>
              <w:rPr>
                <w:rFonts w:ascii="宋体" w:hAnsi="宋体" w:cs="宋体"/>
                <w:szCs w:val="24"/>
                <w:highlight w:val="none"/>
              </w:rPr>
            </w:pPr>
            <w:r>
              <w:rPr>
                <w:rFonts w:hint="eastAsia" w:ascii="宋体" w:hAnsi="宋体" w:cs="宋体"/>
                <w:szCs w:val="24"/>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1007"/>
              <w:jc w:val="center"/>
              <w:rPr>
                <w:rFonts w:ascii="宋体" w:hAnsi="宋体" w:cs="宋体"/>
                <w:szCs w:val="24"/>
                <w:highlight w:val="none"/>
              </w:rPr>
            </w:pPr>
            <w:r>
              <w:rPr>
                <w:rFonts w:hint="eastAsia" w:ascii="宋体" w:hAnsi="宋体" w:cs="宋体"/>
                <w:szCs w:val="24"/>
                <w:highlight w:val="none"/>
              </w:rPr>
              <w:t xml:space="preserve">项</w:t>
            </w:r>
            <w:r/>
          </w:p>
        </w:tc>
      </w:tr>
      <w:tr>
        <w:trPr>
          <w:trHeight w:val="1020"/>
        </w:trPr>
        <w:tc>
          <w:tcPr>
            <w:shd w:val="clear" w:color="auto" w:fill="ffffff"/>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pStyle w:val="1007"/>
              <w:jc w:val="center"/>
              <w:rPr>
                <w:rFonts w:ascii="宋体" w:hAnsi="宋体" w:cs="宋体"/>
                <w:szCs w:val="24"/>
                <w:highlight w:val="none"/>
              </w:rPr>
            </w:pPr>
            <w:r>
              <w:rPr>
                <w:rFonts w:hint="eastAsia" w:ascii="宋体" w:hAnsi="宋体" w:cs="宋体"/>
                <w:szCs w:val="24"/>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pStyle w:val="1007"/>
              <w:rPr>
                <w:rFonts w:ascii="宋体" w:hAnsi="宋体" w:cs="宋体"/>
                <w:szCs w:val="24"/>
                <w:highlight w:val="none"/>
              </w:rPr>
            </w:pPr>
            <w:r>
              <w:rPr>
                <w:rFonts w:hint="eastAsia" w:ascii="宋体" w:hAnsi="宋体" w:cs="宋体"/>
                <w:szCs w:val="24"/>
                <w:highlight w:val="none"/>
              </w:rPr>
              <w:t xml:space="preserve">拆除及开门洞及清运</w:t>
            </w:r>
            <w:r/>
          </w:p>
        </w:tc>
        <w:tc>
          <w:tcPr>
            <w:shd w:val="clear" w:color="auto" w:fill="ffffff"/>
            <w:tcBorders>
              <w:top w:val="single" w:color="000000" w:sz="4" w:space="0"/>
              <w:left w:val="single" w:color="000000" w:sz="4" w:space="0"/>
              <w:bottom w:val="single" w:color="000000" w:sz="4" w:space="0"/>
              <w:right w:val="single" w:color="000000" w:sz="4" w:space="0"/>
            </w:tcBorders>
            <w:tcW w:w="4496" w:type="dxa"/>
            <w:vAlign w:val="center"/>
            <w:textDirection w:val="lrTb"/>
            <w:noWrap w:val="false"/>
          </w:tcPr>
          <w:p>
            <w:pPr>
              <w:pStyle w:val="1007"/>
              <w:rPr>
                <w:rFonts w:ascii="宋体" w:hAnsi="宋体" w:cs="宋体"/>
                <w:szCs w:val="24"/>
                <w:highlight w:val="none"/>
              </w:rPr>
            </w:pPr>
            <w:r>
              <w:rPr>
                <w:rFonts w:hint="eastAsia" w:ascii="宋体" w:hAnsi="宋体" w:cs="宋体"/>
                <w:szCs w:val="24"/>
                <w:highlight w:val="none"/>
              </w:rPr>
              <w:t xml:space="preserve">1、评标室7，8。9之间的隔断拆除及两个开门。</w:t>
            </w:r>
            <w:r/>
          </w:p>
          <w:p>
            <w:pPr>
              <w:pStyle w:val="1007"/>
              <w:rPr>
                <w:rFonts w:ascii="宋体" w:hAnsi="宋体" w:cs="宋体"/>
                <w:szCs w:val="24"/>
                <w:highlight w:val="none"/>
              </w:rPr>
            </w:pPr>
            <w:r>
              <w:rPr>
                <w:rFonts w:hint="eastAsia" w:ascii="宋体" w:hAnsi="宋体" w:cs="宋体"/>
                <w:szCs w:val="24"/>
                <w:highlight w:val="none"/>
              </w:rPr>
              <w:t xml:space="preserve">2、评标室4侧面开一个门洞。</w:t>
            </w:r>
            <w:r/>
          </w:p>
          <w:p>
            <w:pPr>
              <w:pStyle w:val="1007"/>
              <w:rPr>
                <w:rFonts w:ascii="宋体" w:hAnsi="宋体" w:cs="宋体"/>
                <w:szCs w:val="24"/>
                <w:highlight w:val="none"/>
              </w:rPr>
            </w:pPr>
            <w:r>
              <w:rPr>
                <w:rFonts w:hint="eastAsia" w:ascii="宋体" w:hAnsi="宋体" w:cs="宋体"/>
                <w:szCs w:val="24"/>
                <w:highlight w:val="none"/>
              </w:rPr>
              <w:t xml:space="preserve">3、评标室10开一个门洞</w:t>
            </w:r>
            <w:r/>
          </w:p>
        </w:tc>
        <w:tc>
          <w:tcPr>
            <w:shd w:val="clear" w:color="auto" w:fill="ffffff"/>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007"/>
              <w:jc w:val="center"/>
              <w:rPr>
                <w:rFonts w:ascii="宋体" w:hAnsi="宋体" w:cs="宋体"/>
                <w:szCs w:val="24"/>
                <w:highlight w:val="none"/>
              </w:rPr>
            </w:pPr>
            <w:r>
              <w:rPr>
                <w:rFonts w:hint="eastAsia" w:ascii="宋体" w:hAnsi="宋体" w:cs="宋体"/>
                <w:szCs w:val="24"/>
                <w:highlight w:val="none"/>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1007"/>
              <w:jc w:val="center"/>
              <w:rPr>
                <w:rFonts w:ascii="宋体" w:hAnsi="宋体" w:cs="宋体"/>
                <w:szCs w:val="24"/>
                <w:highlight w:val="none"/>
              </w:rPr>
            </w:pPr>
            <w:r>
              <w:rPr>
                <w:rFonts w:hint="eastAsia" w:ascii="宋体" w:hAnsi="宋体" w:cs="宋体"/>
                <w:szCs w:val="24"/>
                <w:highlight w:val="none"/>
              </w:rPr>
              <w:t xml:space="preserve">㎡</w:t>
            </w:r>
            <w:r/>
          </w:p>
        </w:tc>
      </w:tr>
      <w:tr>
        <w:trPr>
          <w:trHeight w:val="1020"/>
        </w:trPr>
        <w:tc>
          <w:tcPr>
            <w:shd w:val="clear" w:color="auto" w:fill="ffffff"/>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pStyle w:val="1007"/>
              <w:jc w:val="center"/>
              <w:rPr>
                <w:rFonts w:ascii="宋体" w:hAnsi="宋体" w:cs="宋体"/>
                <w:szCs w:val="24"/>
                <w:highlight w:val="none"/>
              </w:rPr>
            </w:pPr>
            <w:r>
              <w:rPr>
                <w:rFonts w:hint="eastAsia" w:ascii="宋体" w:hAnsi="宋体" w:cs="宋体"/>
                <w:szCs w:val="24"/>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pStyle w:val="1007"/>
              <w:rPr>
                <w:rFonts w:ascii="宋体" w:hAnsi="宋体" w:cs="宋体"/>
                <w:szCs w:val="24"/>
                <w:highlight w:val="none"/>
              </w:rPr>
            </w:pPr>
            <w:r>
              <w:rPr>
                <w:rFonts w:hint="eastAsia" w:ascii="宋体" w:hAnsi="宋体" w:cs="宋体"/>
                <w:szCs w:val="24"/>
                <w:highlight w:val="none"/>
              </w:rPr>
              <w:t xml:space="preserve">修补吊顶及门洞</w:t>
            </w:r>
            <w:r/>
          </w:p>
        </w:tc>
        <w:tc>
          <w:tcPr>
            <w:shd w:val="clear" w:color="auto" w:fill="ffffff"/>
            <w:tcBorders>
              <w:top w:val="single" w:color="000000" w:sz="4" w:space="0"/>
              <w:left w:val="single" w:color="000000" w:sz="4" w:space="0"/>
              <w:bottom w:val="single" w:color="000000" w:sz="4" w:space="0"/>
              <w:right w:val="single" w:color="000000" w:sz="4" w:space="0"/>
            </w:tcBorders>
            <w:tcW w:w="4496" w:type="dxa"/>
            <w:vAlign w:val="center"/>
            <w:textDirection w:val="lrTb"/>
            <w:noWrap w:val="false"/>
          </w:tcPr>
          <w:p>
            <w:pPr>
              <w:pStyle w:val="1007"/>
              <w:numPr>
                <w:ilvl w:val="0"/>
                <w:numId w:val="25"/>
              </w:numPr>
              <w:rPr>
                <w:rFonts w:ascii="宋体" w:hAnsi="宋体" w:cs="宋体"/>
                <w:szCs w:val="24"/>
                <w:highlight w:val="none"/>
              </w:rPr>
            </w:pPr>
            <w:r>
              <w:rPr>
                <w:rFonts w:hint="eastAsia" w:ascii="宋体" w:hAnsi="宋体" w:cs="宋体"/>
                <w:szCs w:val="24"/>
                <w:highlight w:val="none"/>
              </w:rPr>
              <w:t xml:space="preserve">评标室7，8，9，10原门洞修补。</w:t>
            </w:r>
            <w:r/>
          </w:p>
          <w:p>
            <w:pPr>
              <w:pStyle w:val="1007"/>
              <w:numPr>
                <w:ilvl w:val="0"/>
                <w:numId w:val="25"/>
              </w:numPr>
              <w:rPr>
                <w:rFonts w:ascii="宋体" w:hAnsi="宋体" w:cs="宋体"/>
                <w:szCs w:val="24"/>
                <w:highlight w:val="none"/>
              </w:rPr>
            </w:pPr>
            <w:r>
              <w:rPr>
                <w:rFonts w:hint="eastAsia" w:ascii="宋体" w:hAnsi="宋体" w:cs="宋体"/>
                <w:szCs w:val="24"/>
                <w:highlight w:val="none"/>
              </w:rPr>
              <w:t xml:space="preserve">隔断拆除后吊顶修补。</w:t>
            </w:r>
            <w:r/>
          </w:p>
        </w:tc>
        <w:tc>
          <w:tcPr>
            <w:shd w:val="clear" w:color="auto" w:fill="ffffff"/>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007"/>
              <w:jc w:val="center"/>
              <w:rPr>
                <w:rFonts w:ascii="宋体" w:hAnsi="宋体" w:cs="宋体"/>
                <w:szCs w:val="24"/>
                <w:highlight w:val="none"/>
              </w:rPr>
            </w:pPr>
            <w:r>
              <w:rPr>
                <w:rFonts w:hint="eastAsia" w:ascii="宋体" w:hAnsi="宋体" w:cs="宋体"/>
                <w:szCs w:val="24"/>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1007"/>
              <w:jc w:val="center"/>
              <w:rPr>
                <w:rFonts w:ascii="宋体" w:hAnsi="宋体" w:cs="宋体"/>
                <w:szCs w:val="24"/>
                <w:highlight w:val="none"/>
              </w:rPr>
            </w:pPr>
            <w:r>
              <w:rPr>
                <w:rFonts w:hint="eastAsia" w:ascii="宋体" w:hAnsi="宋体" w:cs="宋体"/>
                <w:szCs w:val="24"/>
                <w:highlight w:val="none"/>
              </w:rPr>
              <w:t xml:space="preserve">项</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pStyle w:val="1007"/>
              <w:jc w:val="center"/>
              <w:rPr>
                <w:rFonts w:ascii="宋体" w:hAnsi="宋体" w:cs="宋体"/>
                <w:szCs w:val="24"/>
                <w:highlight w:val="none"/>
              </w:rPr>
            </w:pPr>
            <w:r>
              <w:rPr>
                <w:rFonts w:hint="eastAsia" w:ascii="宋体" w:hAnsi="宋体" w:cs="宋体"/>
                <w:szCs w:val="24"/>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pStyle w:val="1007"/>
              <w:rPr>
                <w:rFonts w:ascii="宋体" w:hAnsi="宋体" w:cs="宋体"/>
                <w:szCs w:val="24"/>
                <w:highlight w:val="none"/>
              </w:rPr>
            </w:pPr>
            <w:r>
              <w:rPr>
                <w:rFonts w:hint="eastAsia" w:ascii="宋体" w:hAnsi="宋体" w:cs="宋体"/>
                <w:szCs w:val="24"/>
                <w:highlight w:val="none"/>
              </w:rPr>
              <w:t xml:space="preserve">修补地面</w:t>
            </w:r>
            <w:r/>
          </w:p>
        </w:tc>
        <w:tc>
          <w:tcPr>
            <w:shd w:val="clear" w:color="auto" w:fill="ffffff"/>
            <w:tcBorders>
              <w:top w:val="single" w:color="000000" w:sz="4" w:space="0"/>
              <w:left w:val="single" w:color="000000" w:sz="4" w:space="0"/>
              <w:bottom w:val="single" w:color="000000" w:sz="4" w:space="0"/>
              <w:right w:val="single" w:color="000000" w:sz="4" w:space="0"/>
            </w:tcBorders>
            <w:tcW w:w="4496" w:type="dxa"/>
            <w:vAlign w:val="center"/>
            <w:textDirection w:val="lrTb"/>
            <w:noWrap w:val="false"/>
          </w:tcPr>
          <w:p>
            <w:pPr>
              <w:pStyle w:val="1007"/>
              <w:rPr>
                <w:rFonts w:ascii="宋体" w:hAnsi="宋体" w:cs="宋体"/>
                <w:szCs w:val="24"/>
                <w:highlight w:val="none"/>
              </w:rPr>
            </w:pPr>
            <w:r>
              <w:rPr>
                <w:rFonts w:hint="eastAsia" w:ascii="宋体" w:hAnsi="宋体" w:cs="宋体"/>
                <w:szCs w:val="24"/>
                <w:highlight w:val="none"/>
              </w:rPr>
              <w:t xml:space="preserve">拆除隔墙后用同类地胶修补</w:t>
            </w:r>
            <w:r/>
          </w:p>
        </w:tc>
        <w:tc>
          <w:tcPr>
            <w:shd w:val="clear" w:color="auto" w:fill="ffffff"/>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007"/>
              <w:jc w:val="center"/>
              <w:rPr>
                <w:rFonts w:ascii="宋体" w:hAnsi="宋体" w:cs="宋体"/>
                <w:szCs w:val="24"/>
                <w:highlight w:val="none"/>
              </w:rPr>
            </w:pPr>
            <w:r>
              <w:rPr>
                <w:rFonts w:hint="eastAsia" w:ascii="宋体" w:hAnsi="宋体" w:cs="宋体"/>
                <w:szCs w:val="24"/>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1007"/>
              <w:jc w:val="center"/>
              <w:rPr>
                <w:rFonts w:ascii="宋体" w:hAnsi="宋体" w:cs="宋体"/>
                <w:szCs w:val="24"/>
                <w:highlight w:val="none"/>
              </w:rPr>
            </w:pPr>
            <w:r>
              <w:rPr>
                <w:rFonts w:hint="eastAsia" w:ascii="宋体" w:hAnsi="宋体" w:cs="宋体"/>
                <w:szCs w:val="24"/>
                <w:highlight w:val="none"/>
              </w:rPr>
              <w:t xml:space="preserve">项</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pStyle w:val="1007"/>
              <w:jc w:val="center"/>
              <w:rPr>
                <w:rFonts w:ascii="宋体" w:hAnsi="宋体" w:cs="宋体"/>
                <w:szCs w:val="24"/>
                <w:highlight w:val="none"/>
              </w:rPr>
            </w:pPr>
            <w:r>
              <w:rPr>
                <w:rFonts w:hint="eastAsia" w:ascii="宋体" w:hAnsi="宋体" w:cs="宋体"/>
                <w:szCs w:val="24"/>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pStyle w:val="1007"/>
              <w:rPr>
                <w:rFonts w:ascii="宋体" w:hAnsi="宋体" w:cs="宋体"/>
                <w:szCs w:val="24"/>
                <w:highlight w:val="none"/>
              </w:rPr>
            </w:pPr>
            <w:r>
              <w:rPr>
                <w:rFonts w:hint="eastAsia" w:ascii="宋体" w:hAnsi="宋体" w:cs="宋体"/>
                <w:szCs w:val="24"/>
                <w:highlight w:val="none"/>
              </w:rPr>
              <w:t xml:space="preserve">门</w:t>
            </w:r>
            <w:r/>
          </w:p>
        </w:tc>
        <w:tc>
          <w:tcPr>
            <w:shd w:val="clear" w:color="auto" w:fill="ffffff"/>
            <w:tcBorders>
              <w:top w:val="single" w:color="000000" w:sz="4" w:space="0"/>
              <w:left w:val="single" w:color="000000" w:sz="4" w:space="0"/>
              <w:bottom w:val="single" w:color="000000" w:sz="4" w:space="0"/>
              <w:right w:val="single" w:color="000000" w:sz="4" w:space="0"/>
            </w:tcBorders>
            <w:tcW w:w="4496" w:type="dxa"/>
            <w:vAlign w:val="center"/>
            <w:textDirection w:val="lrTb"/>
            <w:noWrap w:val="false"/>
          </w:tcPr>
          <w:p>
            <w:pPr>
              <w:pStyle w:val="1007"/>
              <w:rPr>
                <w:rFonts w:ascii="宋体" w:hAnsi="宋体" w:cs="宋体"/>
                <w:szCs w:val="24"/>
                <w:highlight w:val="none"/>
              </w:rPr>
            </w:pPr>
            <w:r>
              <w:rPr>
                <w:rFonts w:hint="eastAsia" w:ascii="宋体" w:hAnsi="宋体" w:cs="宋体"/>
                <w:szCs w:val="24"/>
                <w:highlight w:val="none"/>
              </w:rPr>
              <w:t xml:space="preserve">拆装原空间旧门。</w:t>
            </w:r>
            <w:r/>
          </w:p>
        </w:tc>
        <w:tc>
          <w:tcPr>
            <w:shd w:val="clear" w:color="auto" w:fill="ffffff"/>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007"/>
              <w:jc w:val="center"/>
              <w:rPr>
                <w:rFonts w:ascii="宋体" w:hAnsi="宋体" w:cs="宋体"/>
                <w:szCs w:val="24"/>
                <w:highlight w:val="none"/>
              </w:rPr>
            </w:pPr>
            <w:r>
              <w:rPr>
                <w:rFonts w:hint="eastAsia" w:ascii="宋体" w:hAnsi="宋体" w:cs="宋体"/>
                <w:szCs w:val="24"/>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1007"/>
              <w:jc w:val="center"/>
              <w:rPr>
                <w:rFonts w:ascii="宋体" w:hAnsi="宋体" w:cs="宋体"/>
                <w:szCs w:val="24"/>
                <w:highlight w:val="none"/>
              </w:rPr>
            </w:pPr>
            <w:r>
              <w:rPr>
                <w:rFonts w:hint="eastAsia" w:ascii="宋体" w:hAnsi="宋体" w:cs="宋体"/>
                <w:szCs w:val="24"/>
                <w:highlight w:val="none"/>
              </w:rPr>
              <w:t xml:space="preserve">套</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pStyle w:val="1007"/>
              <w:jc w:val="center"/>
              <w:rPr>
                <w:rFonts w:ascii="宋体" w:hAnsi="宋体" w:cs="宋体"/>
                <w:szCs w:val="24"/>
                <w:highlight w:val="none"/>
              </w:rPr>
            </w:pPr>
            <w:r>
              <w:rPr>
                <w:rFonts w:hint="eastAsia" w:ascii="宋体" w:hAnsi="宋体" w:cs="宋体"/>
                <w:szCs w:val="24"/>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pStyle w:val="1007"/>
              <w:rPr>
                <w:rFonts w:ascii="宋体" w:hAnsi="宋体" w:cs="宋体"/>
                <w:szCs w:val="24"/>
                <w:highlight w:val="none"/>
              </w:rPr>
            </w:pPr>
            <w:r>
              <w:rPr>
                <w:rFonts w:hint="eastAsia" w:ascii="宋体" w:hAnsi="宋体" w:cs="宋体"/>
                <w:szCs w:val="24"/>
                <w:highlight w:val="none"/>
              </w:rPr>
              <w:t xml:space="preserve">隔断（1.9m高度）</w:t>
            </w:r>
            <w:r/>
          </w:p>
        </w:tc>
        <w:tc>
          <w:tcPr>
            <w:shd w:val="clear" w:color="auto" w:fill="ffffff"/>
            <w:tcBorders>
              <w:top w:val="single" w:color="000000" w:sz="4" w:space="0"/>
              <w:left w:val="single" w:color="000000" w:sz="4" w:space="0"/>
              <w:bottom w:val="single" w:color="000000" w:sz="4" w:space="0"/>
              <w:right w:val="single" w:color="000000" w:sz="4" w:space="0"/>
            </w:tcBorders>
            <w:tcW w:w="4496" w:type="dxa"/>
            <w:vAlign w:val="center"/>
            <w:textDirection w:val="lrTb"/>
            <w:noWrap w:val="false"/>
          </w:tcPr>
          <w:p>
            <w:pPr>
              <w:pStyle w:val="1007"/>
              <w:rPr>
                <w:rFonts w:ascii="宋体" w:hAnsi="宋体" w:cs="宋体"/>
                <w:szCs w:val="24"/>
                <w:highlight w:val="none"/>
              </w:rPr>
            </w:pPr>
            <w:r>
              <w:rPr>
                <w:rFonts w:hint="eastAsia" w:ascii="宋体" w:hAnsi="宋体" w:cs="宋体"/>
                <w:szCs w:val="24"/>
                <w:highlight w:val="none"/>
              </w:rPr>
              <w:t xml:space="preserve">全包式隔断。高度1.9米。深度1.75宽度1.7米。下半段1.3米采用EO免漆板（胡桃木色）封面。上半段0.6米采用4+4双层磨砂玻璃面朝外口的位置是透明玻璃做隔断。隔断厚度8公分双面饰面。</w:t>
            </w:r>
            <w:r/>
          </w:p>
        </w:tc>
        <w:tc>
          <w:tcPr>
            <w:shd w:val="clear" w:color="auto" w:fill="ffffff"/>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007"/>
              <w:jc w:val="center"/>
              <w:rPr>
                <w:rFonts w:ascii="宋体" w:hAnsi="宋体" w:cs="宋体"/>
                <w:szCs w:val="24"/>
                <w:highlight w:val="none"/>
              </w:rPr>
            </w:pPr>
            <w:r>
              <w:rPr>
                <w:rFonts w:hint="eastAsia" w:ascii="宋体" w:hAnsi="宋体" w:cs="宋体"/>
                <w:szCs w:val="24"/>
                <w:highlight w:val="none"/>
              </w:rPr>
              <w:t xml:space="preserve">600</w:t>
            </w:r>
            <w:r/>
          </w:p>
        </w:tc>
        <w:tc>
          <w:tcPr>
            <w:shd w:val="clear" w:color="auto" w:fill="ffffff"/>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1007"/>
              <w:jc w:val="center"/>
              <w:rPr>
                <w:rFonts w:ascii="宋体" w:hAnsi="宋体" w:cs="宋体"/>
                <w:szCs w:val="24"/>
                <w:highlight w:val="none"/>
              </w:rPr>
            </w:pPr>
            <w:r>
              <w:rPr>
                <w:rFonts w:hint="eastAsia" w:ascii="宋体" w:hAnsi="宋体" w:cs="宋体"/>
                <w:szCs w:val="24"/>
                <w:highlight w:val="none"/>
              </w:rPr>
              <w:t xml:space="preserve">㎡</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pStyle w:val="1007"/>
              <w:jc w:val="center"/>
              <w:rPr>
                <w:rFonts w:ascii="宋体" w:hAnsi="宋体" w:cs="宋体"/>
                <w:szCs w:val="24"/>
                <w:highlight w:val="none"/>
              </w:rPr>
            </w:pPr>
            <w:r>
              <w:rPr>
                <w:rFonts w:hint="eastAsia" w:ascii="宋体" w:hAnsi="宋体" w:cs="宋体"/>
                <w:szCs w:val="24"/>
                <w:highlight w:val="none"/>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pStyle w:val="1007"/>
              <w:rPr>
                <w:rFonts w:ascii="宋体" w:hAnsi="宋体" w:cs="宋体"/>
                <w:szCs w:val="24"/>
                <w:highlight w:val="none"/>
              </w:rPr>
            </w:pPr>
            <w:r>
              <w:rPr>
                <w:rFonts w:hint="eastAsia" w:ascii="宋体" w:hAnsi="宋体" w:cs="宋体"/>
                <w:szCs w:val="24"/>
                <w:highlight w:val="none"/>
              </w:rPr>
              <w:t xml:space="preserve">隔断（1.55米高度）</w:t>
            </w:r>
            <w:r/>
          </w:p>
        </w:tc>
        <w:tc>
          <w:tcPr>
            <w:shd w:val="clear" w:color="auto" w:fill="ffffff"/>
            <w:tcBorders>
              <w:top w:val="single" w:color="000000" w:sz="4" w:space="0"/>
              <w:left w:val="single" w:color="000000" w:sz="4" w:space="0"/>
              <w:bottom w:val="single" w:color="000000" w:sz="4" w:space="0"/>
              <w:right w:val="single" w:color="000000" w:sz="4" w:space="0"/>
            </w:tcBorders>
            <w:tcW w:w="4496" w:type="dxa"/>
            <w:vAlign w:val="center"/>
            <w:textDirection w:val="lrTb"/>
            <w:noWrap w:val="false"/>
          </w:tcPr>
          <w:p>
            <w:pPr>
              <w:pStyle w:val="1007"/>
              <w:rPr>
                <w:rFonts w:ascii="宋体" w:hAnsi="宋体" w:cs="宋体"/>
                <w:szCs w:val="24"/>
                <w:highlight w:val="none"/>
              </w:rPr>
            </w:pPr>
            <w:r>
              <w:rPr>
                <w:rFonts w:hint="eastAsia" w:ascii="宋体" w:hAnsi="宋体" w:cs="宋体"/>
                <w:szCs w:val="24"/>
                <w:highlight w:val="none"/>
              </w:rPr>
              <w:t xml:space="preserve">半高式隔断。高度1.55米。深度1.7宽度1.7米。下半段1.15米采用EO免漆板（胡桃木色）封面。上半段0.4米采用5MM单层磨砂玻璃面朝外口的位置是透明玻璃做隔断。</w:t>
            </w:r>
            <w:r/>
          </w:p>
        </w:tc>
        <w:tc>
          <w:tcPr>
            <w:shd w:val="clear" w:color="auto" w:fill="ffffff"/>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007"/>
              <w:jc w:val="center"/>
              <w:rPr>
                <w:rFonts w:ascii="宋体" w:hAnsi="宋体" w:cs="宋体"/>
                <w:szCs w:val="24"/>
                <w:highlight w:val="none"/>
              </w:rPr>
            </w:pPr>
            <w:r>
              <w:rPr>
                <w:rFonts w:hint="eastAsia" w:ascii="宋体" w:hAnsi="宋体" w:cs="宋体"/>
                <w:szCs w:val="24"/>
                <w:highlight w:val="none"/>
              </w:rPr>
              <w:t xml:space="preserve">200</w:t>
            </w:r>
            <w:r/>
          </w:p>
        </w:tc>
        <w:tc>
          <w:tcPr>
            <w:shd w:val="clear" w:color="auto" w:fill="ffffff"/>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1007"/>
              <w:jc w:val="center"/>
              <w:rPr>
                <w:rFonts w:ascii="宋体" w:hAnsi="宋体" w:cs="宋体"/>
                <w:szCs w:val="24"/>
                <w:highlight w:val="none"/>
              </w:rPr>
            </w:pPr>
            <w:r>
              <w:rPr>
                <w:rFonts w:hint="eastAsia" w:ascii="宋体" w:hAnsi="宋体" w:cs="宋体"/>
                <w:szCs w:val="24"/>
                <w:highlight w:val="none"/>
              </w:rPr>
              <w:t xml:space="preserve">㎡</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pStyle w:val="1007"/>
              <w:jc w:val="center"/>
              <w:rPr>
                <w:rFonts w:ascii="宋体" w:hAnsi="宋体" w:cs="宋体"/>
                <w:szCs w:val="24"/>
                <w:highlight w:val="none"/>
              </w:rPr>
            </w:pPr>
            <w:r>
              <w:rPr>
                <w:rFonts w:hint="eastAsia" w:ascii="宋体" w:hAnsi="宋体" w:cs="宋体"/>
                <w:szCs w:val="24"/>
                <w:highlight w:val="none"/>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pStyle w:val="1007"/>
              <w:rPr>
                <w:rFonts w:ascii="宋体" w:hAnsi="宋体" w:cs="宋体"/>
                <w:szCs w:val="24"/>
                <w:highlight w:val="none"/>
              </w:rPr>
            </w:pPr>
            <w:r>
              <w:rPr>
                <w:rFonts w:hint="eastAsia" w:ascii="宋体" w:hAnsi="宋体" w:cs="宋体"/>
                <w:szCs w:val="24"/>
                <w:highlight w:val="none"/>
              </w:rPr>
              <w:t xml:space="preserve">电路改造</w:t>
            </w:r>
            <w:r/>
          </w:p>
        </w:tc>
        <w:tc>
          <w:tcPr>
            <w:shd w:val="clear" w:color="auto" w:fill="ffffff"/>
            <w:tcBorders>
              <w:top w:val="single" w:color="000000" w:sz="4" w:space="0"/>
              <w:left w:val="single" w:color="000000" w:sz="4" w:space="0"/>
              <w:bottom w:val="single" w:color="000000" w:sz="4" w:space="0"/>
              <w:right w:val="single" w:color="000000" w:sz="4" w:space="0"/>
            </w:tcBorders>
            <w:tcW w:w="4496" w:type="dxa"/>
            <w:vAlign w:val="center"/>
            <w:textDirection w:val="lrTb"/>
            <w:noWrap w:val="false"/>
          </w:tcPr>
          <w:p>
            <w:pPr>
              <w:pStyle w:val="1007"/>
              <w:rPr>
                <w:rFonts w:ascii="宋体" w:hAnsi="宋体" w:cs="宋体"/>
                <w:szCs w:val="24"/>
                <w:highlight w:val="none"/>
              </w:rPr>
            </w:pPr>
            <w:r>
              <w:rPr>
                <w:rFonts w:hint="eastAsia" w:ascii="宋体" w:hAnsi="宋体" w:cs="宋体"/>
                <w:szCs w:val="24"/>
                <w:highlight w:val="none"/>
              </w:rPr>
              <w:t xml:space="preserve">增加电源和网络线。明管增加线缆、管盒。电源采用2.5线。 网络线超六类线缆。</w:t>
            </w:r>
            <w:r/>
          </w:p>
        </w:tc>
        <w:tc>
          <w:tcPr>
            <w:shd w:val="clear" w:color="auto" w:fill="ffffff"/>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007"/>
              <w:jc w:val="center"/>
              <w:rPr>
                <w:rFonts w:ascii="宋体" w:hAnsi="宋体" w:cs="宋体"/>
                <w:szCs w:val="24"/>
                <w:highlight w:val="none"/>
              </w:rPr>
            </w:pPr>
            <w:r>
              <w:rPr>
                <w:rFonts w:hint="eastAsia" w:ascii="宋体" w:hAnsi="宋体" w:cs="宋体"/>
                <w:szCs w:val="24"/>
                <w:highlight w:val="none"/>
              </w:rPr>
              <w:t xml:space="preserve">600</w:t>
            </w:r>
            <w:r/>
          </w:p>
        </w:tc>
        <w:tc>
          <w:tcPr>
            <w:shd w:val="clear" w:color="auto" w:fill="ffffff"/>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1007"/>
              <w:jc w:val="center"/>
              <w:rPr>
                <w:rFonts w:ascii="宋体" w:hAnsi="宋体" w:cs="宋体"/>
                <w:szCs w:val="24"/>
                <w:highlight w:val="none"/>
              </w:rPr>
            </w:pPr>
            <w:r>
              <w:rPr>
                <w:rFonts w:hint="eastAsia" w:ascii="宋体" w:hAnsi="宋体" w:cs="宋体"/>
                <w:szCs w:val="24"/>
                <w:highlight w:val="none"/>
              </w:rPr>
              <w:t xml:space="preserve">㎡</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pStyle w:val="1007"/>
              <w:jc w:val="center"/>
              <w:rPr>
                <w:rFonts w:ascii="宋体" w:hAnsi="宋体" w:cs="宋体"/>
                <w:szCs w:val="24"/>
                <w:highlight w:val="none"/>
              </w:rPr>
            </w:pPr>
            <w:r>
              <w:rPr>
                <w:rFonts w:hint="eastAsia" w:ascii="宋体" w:hAnsi="宋体" w:cs="宋体"/>
                <w:szCs w:val="24"/>
                <w:highlight w:val="none"/>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pStyle w:val="1007"/>
              <w:rPr>
                <w:rFonts w:ascii="宋体" w:hAnsi="宋体" w:cs="宋体"/>
                <w:szCs w:val="24"/>
                <w:highlight w:val="none"/>
              </w:rPr>
            </w:pPr>
            <w:r>
              <w:rPr>
                <w:rFonts w:hint="eastAsia" w:ascii="宋体" w:hAnsi="宋体" w:cs="宋体"/>
                <w:szCs w:val="24"/>
                <w:highlight w:val="none"/>
              </w:rPr>
              <w:t xml:space="preserve">乳胶漆出新</w:t>
            </w:r>
            <w:r/>
          </w:p>
        </w:tc>
        <w:tc>
          <w:tcPr>
            <w:shd w:val="clear" w:color="auto" w:fill="ffffff"/>
            <w:tcBorders>
              <w:top w:val="single" w:color="000000" w:sz="4" w:space="0"/>
              <w:left w:val="single" w:color="000000" w:sz="4" w:space="0"/>
              <w:bottom w:val="single" w:color="000000" w:sz="4" w:space="0"/>
              <w:right w:val="single" w:color="000000" w:sz="4" w:space="0"/>
            </w:tcBorders>
            <w:tcW w:w="4496" w:type="dxa"/>
            <w:vAlign w:val="center"/>
            <w:textDirection w:val="lrTb"/>
            <w:noWrap w:val="false"/>
          </w:tcPr>
          <w:p>
            <w:pPr>
              <w:pStyle w:val="1007"/>
              <w:rPr>
                <w:rFonts w:ascii="宋体" w:hAnsi="宋体" w:cs="宋体"/>
                <w:szCs w:val="24"/>
                <w:highlight w:val="none"/>
              </w:rPr>
            </w:pPr>
            <w:r>
              <w:rPr>
                <w:rFonts w:hint="eastAsia" w:ascii="宋体" w:hAnsi="宋体" w:cs="宋体"/>
                <w:szCs w:val="24"/>
                <w:highlight w:val="none"/>
              </w:rPr>
              <w:t xml:space="preserve">乳胶漆粉刷</w:t>
            </w:r>
            <w:r/>
          </w:p>
        </w:tc>
        <w:tc>
          <w:tcPr>
            <w:shd w:val="clear" w:color="auto" w:fill="ffffff"/>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007"/>
              <w:jc w:val="center"/>
              <w:rPr>
                <w:rFonts w:ascii="宋体" w:hAnsi="宋体" w:cs="宋体"/>
                <w:szCs w:val="24"/>
                <w:highlight w:val="none"/>
              </w:rPr>
            </w:pPr>
            <w:r>
              <w:rPr>
                <w:rFonts w:hint="eastAsia" w:ascii="宋体" w:hAnsi="宋体" w:cs="宋体"/>
                <w:szCs w:val="24"/>
                <w:highlight w:val="none"/>
              </w:rPr>
              <w:t xml:space="preserve">200</w:t>
            </w:r>
            <w:r/>
          </w:p>
        </w:tc>
        <w:tc>
          <w:tcPr>
            <w:shd w:val="clear" w:color="auto" w:fill="ffffff"/>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1007"/>
              <w:jc w:val="center"/>
              <w:rPr>
                <w:rFonts w:ascii="宋体" w:hAnsi="宋体" w:cs="宋体"/>
                <w:szCs w:val="24"/>
                <w:highlight w:val="none"/>
              </w:rPr>
            </w:pPr>
            <w:r>
              <w:rPr>
                <w:rFonts w:hint="eastAsia" w:ascii="宋体" w:hAnsi="宋体" w:cs="宋体"/>
                <w:szCs w:val="24"/>
                <w:highlight w:val="none"/>
              </w:rPr>
              <w:t xml:space="preserve">㎡</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pStyle w:val="1007"/>
              <w:jc w:val="center"/>
              <w:rPr>
                <w:rFonts w:ascii="宋体" w:hAnsi="宋体" w:cs="宋体"/>
                <w:szCs w:val="24"/>
                <w:highlight w:val="none"/>
              </w:rPr>
            </w:pPr>
            <w:r>
              <w:rPr>
                <w:rFonts w:hint="eastAsia" w:ascii="宋体" w:hAnsi="宋体" w:cs="宋体"/>
                <w:szCs w:val="24"/>
                <w:highlight w:val="none"/>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pStyle w:val="1007"/>
              <w:rPr>
                <w:rFonts w:ascii="宋体" w:hAnsi="宋体" w:cs="宋体"/>
                <w:szCs w:val="24"/>
                <w:highlight w:val="none"/>
              </w:rPr>
            </w:pPr>
            <w:r>
              <w:rPr>
                <w:rFonts w:hint="eastAsia" w:ascii="宋体" w:hAnsi="宋体" w:cs="宋体"/>
                <w:szCs w:val="24"/>
                <w:highlight w:val="none"/>
              </w:rPr>
              <w:t xml:space="preserve">材料运费</w:t>
            </w:r>
            <w:r/>
          </w:p>
        </w:tc>
        <w:tc>
          <w:tcPr>
            <w:shd w:val="clear" w:color="auto" w:fill="ffffff"/>
            <w:tcBorders>
              <w:top w:val="single" w:color="000000" w:sz="4" w:space="0"/>
              <w:left w:val="single" w:color="000000" w:sz="4" w:space="0"/>
              <w:bottom w:val="single" w:color="000000" w:sz="4" w:space="0"/>
              <w:right w:val="single" w:color="000000" w:sz="4" w:space="0"/>
            </w:tcBorders>
            <w:tcW w:w="4496" w:type="dxa"/>
            <w:vAlign w:val="center"/>
            <w:textDirection w:val="lrTb"/>
            <w:noWrap w:val="false"/>
          </w:tcPr>
          <w:p>
            <w:pPr>
              <w:pStyle w:val="1007"/>
              <w:rPr>
                <w:rFonts w:ascii="宋体" w:hAnsi="宋体" w:cs="宋体"/>
                <w:szCs w:val="24"/>
                <w:highlight w:val="none"/>
              </w:rPr>
            </w:pPr>
            <w:r>
              <w:rPr>
                <w:rFonts w:hint="eastAsia" w:ascii="宋体" w:hAnsi="宋体" w:cs="宋体"/>
                <w:szCs w:val="24"/>
                <w:highlight w:val="none"/>
              </w:rPr>
              <w:t xml:space="preserve">改造所有材料运输</w:t>
            </w:r>
            <w:r/>
          </w:p>
        </w:tc>
        <w:tc>
          <w:tcPr>
            <w:shd w:val="clear" w:color="auto" w:fill="ffffff"/>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007"/>
              <w:jc w:val="center"/>
              <w:rPr>
                <w:rFonts w:ascii="宋体" w:hAnsi="宋体" w:cs="宋体"/>
                <w:szCs w:val="24"/>
                <w:highlight w:val="none"/>
              </w:rPr>
            </w:pPr>
            <w:r>
              <w:rPr>
                <w:rFonts w:hint="eastAsia" w:ascii="宋体" w:hAnsi="宋体" w:cs="宋体"/>
                <w:szCs w:val="24"/>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1007"/>
              <w:jc w:val="center"/>
              <w:rPr>
                <w:rFonts w:ascii="宋体" w:hAnsi="宋体" w:cs="宋体"/>
                <w:szCs w:val="24"/>
                <w:highlight w:val="none"/>
              </w:rPr>
            </w:pPr>
            <w:r>
              <w:rPr>
                <w:rFonts w:hint="eastAsia" w:ascii="宋体" w:hAnsi="宋体" w:cs="宋体"/>
                <w:szCs w:val="24"/>
                <w:highlight w:val="none"/>
              </w:rPr>
              <w:t xml:space="preserve">项</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pStyle w:val="1007"/>
              <w:jc w:val="center"/>
              <w:rPr>
                <w:rFonts w:ascii="宋体" w:hAnsi="宋体" w:cs="宋体"/>
                <w:szCs w:val="24"/>
                <w:highlight w:val="none"/>
              </w:rPr>
            </w:pPr>
            <w:r>
              <w:rPr>
                <w:rFonts w:hint="eastAsia" w:ascii="宋体" w:hAnsi="宋体" w:cs="宋体"/>
                <w:szCs w:val="24"/>
                <w:highlight w:val="none"/>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pStyle w:val="1007"/>
              <w:rPr>
                <w:rFonts w:ascii="宋体" w:hAnsi="宋体" w:cs="宋体"/>
                <w:szCs w:val="24"/>
                <w:highlight w:val="none"/>
              </w:rPr>
            </w:pPr>
            <w:r>
              <w:rPr>
                <w:rFonts w:hint="eastAsia" w:ascii="宋体" w:hAnsi="宋体" w:cs="宋体"/>
                <w:szCs w:val="24"/>
                <w:highlight w:val="none"/>
              </w:rPr>
              <w:t xml:space="preserve">垃圾清理费</w:t>
            </w:r>
            <w:r/>
          </w:p>
        </w:tc>
        <w:tc>
          <w:tcPr>
            <w:shd w:val="clear" w:color="auto" w:fill="ffffff"/>
            <w:tcBorders>
              <w:top w:val="single" w:color="000000" w:sz="4" w:space="0"/>
              <w:left w:val="single" w:color="000000" w:sz="4" w:space="0"/>
              <w:bottom w:val="single" w:color="000000" w:sz="4" w:space="0"/>
              <w:right w:val="single" w:color="000000" w:sz="4" w:space="0"/>
            </w:tcBorders>
            <w:tcW w:w="4496" w:type="dxa"/>
            <w:vAlign w:val="center"/>
            <w:textDirection w:val="lrTb"/>
            <w:noWrap w:val="false"/>
          </w:tcPr>
          <w:p>
            <w:pPr>
              <w:pStyle w:val="1007"/>
              <w:rPr>
                <w:rFonts w:ascii="宋体" w:hAnsi="宋体" w:cs="宋体"/>
                <w:szCs w:val="24"/>
                <w:highlight w:val="none"/>
              </w:rPr>
            </w:pPr>
            <w:r>
              <w:rPr>
                <w:rFonts w:hint="eastAsia" w:ascii="宋体" w:hAnsi="宋体" w:cs="宋体"/>
                <w:szCs w:val="24"/>
                <w:highlight w:val="none"/>
              </w:rPr>
              <w:t xml:space="preserve">装修垃圾清理</w:t>
            </w:r>
            <w:r/>
          </w:p>
        </w:tc>
        <w:tc>
          <w:tcPr>
            <w:shd w:val="clear" w:color="auto" w:fill="ffffff"/>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007"/>
              <w:jc w:val="center"/>
              <w:rPr>
                <w:rFonts w:ascii="宋体" w:hAnsi="宋体" w:cs="宋体"/>
                <w:szCs w:val="24"/>
                <w:highlight w:val="none"/>
              </w:rPr>
            </w:pPr>
            <w:r>
              <w:rPr>
                <w:rFonts w:hint="eastAsia" w:ascii="宋体" w:hAnsi="宋体" w:cs="宋体"/>
                <w:szCs w:val="24"/>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1007"/>
              <w:jc w:val="center"/>
              <w:rPr>
                <w:rFonts w:ascii="宋体" w:hAnsi="宋体" w:cs="宋体"/>
                <w:szCs w:val="24"/>
                <w:highlight w:val="none"/>
              </w:rPr>
            </w:pPr>
            <w:r>
              <w:rPr>
                <w:rFonts w:hint="eastAsia" w:ascii="宋体" w:hAnsi="宋体" w:cs="宋体"/>
                <w:szCs w:val="24"/>
                <w:highlight w:val="none"/>
              </w:rPr>
              <w:t xml:space="preserve">项</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pStyle w:val="1007"/>
              <w:jc w:val="center"/>
              <w:rPr>
                <w:rFonts w:ascii="宋体" w:hAnsi="宋体" w:cs="宋体"/>
                <w:szCs w:val="24"/>
                <w:highlight w:val="none"/>
              </w:rPr>
            </w:pPr>
            <w:r>
              <w:rPr>
                <w:rFonts w:hint="eastAsia" w:ascii="宋体" w:hAnsi="宋体" w:cs="宋体"/>
                <w:szCs w:val="24"/>
                <w:highlight w:val="none"/>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pStyle w:val="1007"/>
              <w:rPr>
                <w:rFonts w:ascii="宋体" w:hAnsi="宋体" w:cs="宋体"/>
                <w:szCs w:val="24"/>
                <w:highlight w:val="none"/>
              </w:rPr>
            </w:pPr>
            <w:r>
              <w:rPr>
                <w:rFonts w:hint="eastAsia" w:ascii="宋体" w:hAnsi="宋体" w:cs="宋体"/>
                <w:szCs w:val="24"/>
                <w:highlight w:val="none"/>
              </w:rPr>
              <w:t xml:space="preserve">成品保护</w:t>
            </w:r>
            <w:r/>
          </w:p>
        </w:tc>
        <w:tc>
          <w:tcPr>
            <w:shd w:val="clear" w:color="auto" w:fill="ffffff"/>
            <w:tcBorders>
              <w:top w:val="single" w:color="000000" w:sz="4" w:space="0"/>
              <w:left w:val="single" w:color="000000" w:sz="4" w:space="0"/>
              <w:bottom w:val="single" w:color="000000" w:sz="4" w:space="0"/>
              <w:right w:val="single" w:color="000000" w:sz="4" w:space="0"/>
            </w:tcBorders>
            <w:tcW w:w="4496" w:type="dxa"/>
            <w:vAlign w:val="center"/>
            <w:textDirection w:val="lrTb"/>
            <w:noWrap w:val="false"/>
          </w:tcPr>
          <w:p>
            <w:pPr>
              <w:pStyle w:val="1007"/>
              <w:rPr>
                <w:rFonts w:ascii="宋体" w:hAnsi="宋体" w:cs="宋体"/>
                <w:szCs w:val="24"/>
                <w:highlight w:val="none"/>
              </w:rPr>
            </w:pPr>
            <w:r>
              <w:rPr>
                <w:rFonts w:hint="eastAsia" w:ascii="宋体" w:hAnsi="宋体" w:cs="宋体"/>
                <w:szCs w:val="24"/>
                <w:highlight w:val="none"/>
              </w:rPr>
              <w:t xml:space="preserve">原有空间内不动物品进行成品保护。</w:t>
            </w:r>
            <w:r/>
          </w:p>
        </w:tc>
        <w:tc>
          <w:tcPr>
            <w:shd w:val="clear" w:color="auto" w:fill="ffffff"/>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1007"/>
              <w:jc w:val="center"/>
              <w:rPr>
                <w:rFonts w:ascii="宋体" w:hAnsi="宋体" w:cs="宋体"/>
                <w:szCs w:val="24"/>
                <w:highlight w:val="none"/>
              </w:rPr>
            </w:pPr>
            <w:r>
              <w:rPr>
                <w:rFonts w:hint="eastAsia" w:ascii="宋体" w:hAnsi="宋体" w:cs="宋体"/>
                <w:szCs w:val="24"/>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1007"/>
              <w:jc w:val="center"/>
              <w:rPr>
                <w:rFonts w:ascii="宋体" w:hAnsi="宋体" w:cs="宋体"/>
                <w:szCs w:val="24"/>
                <w:highlight w:val="none"/>
              </w:rPr>
            </w:pPr>
            <w:r>
              <w:rPr>
                <w:rFonts w:hint="eastAsia" w:ascii="宋体" w:hAnsi="宋体" w:cs="宋体"/>
                <w:szCs w:val="24"/>
                <w:highlight w:val="none"/>
              </w:rPr>
              <w:t xml:space="preserve">项</w:t>
            </w:r>
            <w:r/>
          </w:p>
        </w:tc>
      </w:tr>
    </w:tbl>
    <w:p>
      <w:pPr>
        <w:spacing w:line="440" w:lineRule="exact"/>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r>
      <w:r/>
    </w:p>
    <w:p>
      <w:pPr>
        <w:pStyle w:val="984"/>
        <w:numPr>
          <w:ilvl w:val="255"/>
          <w:numId w:val="0"/>
        </w:numPr>
        <w:jc w:val="left"/>
        <w:spacing w:before="0" w:after="0" w:line="440" w:lineRule="exact"/>
        <w:rPr>
          <w:rFonts w:ascii="宋体" w:hAnsi="宋体" w:eastAsia="宋体" w:cs="宋体"/>
          <w:b w:val="0"/>
          <w:bCs w:val="0"/>
          <w:color w:val="000000"/>
          <w:spacing w:val="-1"/>
          <w:sz w:val="24"/>
          <w:szCs w:val="24"/>
          <w:highlight w:val="none"/>
        </w:rPr>
      </w:pPr>
      <w:r>
        <w:rPr>
          <w:rFonts w:hint="eastAsia" w:ascii="宋体" w:hAnsi="宋体" w:eastAsia="宋体" w:cs="宋体"/>
          <w:color w:val="000000"/>
          <w:spacing w:val="-1"/>
          <w:sz w:val="24"/>
          <w:szCs w:val="24"/>
          <w:highlight w:val="none"/>
        </w:rPr>
        <w:t xml:space="preserve">三、项目实施保障要求</w:t>
      </w:r>
      <w:r/>
    </w:p>
    <w:p>
      <w:pPr>
        <w:pStyle w:val="985"/>
        <w:spacing w:before="0" w:after="0" w:line="440" w:lineRule="exact"/>
        <w:rPr>
          <w:rFonts w:ascii="宋体" w:hAnsi="宋体" w:cs="宋体"/>
          <w:b w:val="0"/>
          <w:bCs w:val="0"/>
          <w:color w:val="000000"/>
          <w:spacing w:val="11"/>
          <w:sz w:val="24"/>
          <w:szCs w:val="24"/>
          <w:highlight w:val="none"/>
        </w:rPr>
        <w:pBdr>
          <w:top w:val="none" w:color="000000" w:sz="0" w:space="0"/>
          <w:left w:val="none" w:color="000000" w:sz="0" w:space="0"/>
          <w:right w:val="none" w:color="000000" w:sz="0" w:space="0"/>
        </w:pBdr>
      </w:pPr>
      <w:r>
        <w:rPr>
          <w:rFonts w:hint="eastAsia" w:ascii="宋体" w:hAnsi="宋体" w:cs="宋体"/>
          <w:color w:val="000000"/>
          <w:spacing w:val="11"/>
          <w:sz w:val="24"/>
          <w:szCs w:val="24"/>
          <w:highlight w:val="none"/>
        </w:rPr>
        <w:t xml:space="preserve">3</w:t>
      </w:r>
      <w:r>
        <w:rPr>
          <w:rFonts w:ascii="宋体" w:hAnsi="宋体" w:cs="宋体"/>
          <w:color w:val="000000"/>
          <w:spacing w:val="11"/>
          <w:sz w:val="24"/>
          <w:szCs w:val="24"/>
          <w:highlight w:val="none"/>
        </w:rPr>
        <w:t xml:space="preserve">.1</w:t>
      </w:r>
      <w:r>
        <w:rPr>
          <w:rFonts w:hint="eastAsia" w:ascii="宋体" w:hAnsi="宋体" w:cs="宋体"/>
          <w:color w:val="000000"/>
          <w:spacing w:val="11"/>
          <w:sz w:val="24"/>
          <w:szCs w:val="24"/>
          <w:highlight w:val="none"/>
        </w:rPr>
        <w:t xml:space="preserve">实施周期要求</w:t>
      </w:r>
      <w:r/>
    </w:p>
    <w:p>
      <w:pPr>
        <w:ind w:firstLine="482"/>
        <w:spacing w:before="100" w:after="100" w:line="440" w:lineRule="exact"/>
        <w:rPr>
          <w:rFonts w:ascii="宋体" w:hAnsi="宋体" w:cs="宋体"/>
          <w:sz w:val="24"/>
          <w:szCs w:val="24"/>
          <w:highlight w:val="none"/>
        </w:rPr>
      </w:pPr>
      <w:r>
        <w:rPr>
          <w:rFonts w:ascii="宋体" w:hAnsi="宋体" w:cs="宋体"/>
          <w:b/>
          <w:bCs/>
          <w:sz w:val="24"/>
          <w:szCs w:val="24"/>
          <w:highlight w:val="none"/>
        </w:rPr>
        <w:t xml:space="preserve">1</w:t>
      </w:r>
      <w:r>
        <w:rPr>
          <w:rFonts w:hint="eastAsia" w:ascii="宋体" w:hAnsi="宋体" w:cs="宋体"/>
          <w:b/>
          <w:bCs/>
          <w:sz w:val="24"/>
          <w:szCs w:val="24"/>
          <w:highlight w:val="none"/>
        </w:rPr>
        <w:t xml:space="preserve">、交付方式：</w:t>
      </w:r>
      <w:r>
        <w:rPr>
          <w:rFonts w:ascii="宋体" w:hAnsi="宋体" w:cs="宋体"/>
          <w:sz w:val="24"/>
          <w:szCs w:val="24"/>
          <w:highlight w:val="none"/>
        </w:rPr>
        <w:t xml:space="preserve"> </w:t>
      </w:r>
      <w:r>
        <w:rPr>
          <w:rFonts w:hint="eastAsia" w:ascii="宋体" w:hAnsi="宋体" w:cs="宋体"/>
          <w:sz w:val="24"/>
          <w:szCs w:val="24"/>
          <w:highlight w:val="none"/>
        </w:rPr>
        <w:t xml:space="preserve">中标人完成全部硬件设备送货上门、安装调试，完成所有软件系统部署、联调测试及系统集成，确保软硬件协同工作、整体交付可用。</w:t>
      </w:r>
      <w:r/>
    </w:p>
    <w:p>
      <w:pPr>
        <w:ind w:firstLine="482"/>
        <w:spacing w:before="100" w:after="100" w:line="440" w:lineRule="exact"/>
        <w:rPr>
          <w:rFonts w:ascii="宋体" w:hAnsi="宋体" w:cs="宋体"/>
          <w:sz w:val="24"/>
          <w:szCs w:val="24"/>
          <w:highlight w:val="none"/>
        </w:rPr>
      </w:pPr>
      <w:r>
        <w:rPr>
          <w:rFonts w:ascii="宋体" w:hAnsi="宋体" w:cs="宋体"/>
          <w:b/>
          <w:bCs/>
          <w:sz w:val="24"/>
          <w:szCs w:val="24"/>
          <w:highlight w:val="none"/>
        </w:rPr>
        <w:t xml:space="preserve">2</w:t>
      </w:r>
      <w:r>
        <w:rPr>
          <w:rFonts w:hint="eastAsia" w:ascii="宋体" w:hAnsi="宋体" w:cs="宋体"/>
          <w:b/>
          <w:bCs/>
          <w:sz w:val="24"/>
          <w:szCs w:val="24"/>
          <w:highlight w:val="none"/>
        </w:rPr>
        <w:t xml:space="preserve">、交付地点：</w:t>
      </w:r>
      <w:r>
        <w:rPr>
          <w:rFonts w:ascii="宋体" w:hAnsi="宋体" w:cs="宋体"/>
          <w:sz w:val="24"/>
          <w:szCs w:val="24"/>
          <w:highlight w:val="none"/>
        </w:rPr>
        <w:t xml:space="preserve"> </w:t>
      </w:r>
      <w:r>
        <w:rPr>
          <w:rFonts w:hint="eastAsia" w:ascii="宋体" w:hAnsi="宋体" w:cs="宋体"/>
          <w:sz w:val="24"/>
          <w:szCs w:val="24"/>
          <w:highlight w:val="none"/>
        </w:rPr>
        <w:t xml:space="preserve">扬州市公共资源交易中心。</w:t>
      </w:r>
      <w:r/>
    </w:p>
    <w:p>
      <w:pPr>
        <w:ind w:firstLine="482"/>
        <w:spacing w:before="100" w:after="100" w:line="440" w:lineRule="exact"/>
        <w:rPr>
          <w:rFonts w:ascii="宋体" w:hAnsi="宋体" w:cs="宋体"/>
          <w:sz w:val="24"/>
          <w:szCs w:val="24"/>
          <w:highlight w:val="none"/>
        </w:rPr>
      </w:pPr>
      <w:r>
        <w:rPr>
          <w:rFonts w:ascii="宋体" w:hAnsi="宋体" w:cs="宋体"/>
          <w:b/>
          <w:bCs/>
          <w:sz w:val="24"/>
          <w:szCs w:val="24"/>
          <w:highlight w:val="none"/>
        </w:rPr>
        <w:t xml:space="preserve">3</w:t>
      </w:r>
      <w:r>
        <w:rPr>
          <w:rFonts w:hint="eastAsia" w:ascii="宋体" w:hAnsi="宋体" w:cs="宋体"/>
          <w:b/>
          <w:bCs/>
          <w:sz w:val="24"/>
          <w:szCs w:val="24"/>
          <w:highlight w:val="none"/>
        </w:rPr>
        <w:t xml:space="preserve">、实施周期：</w:t>
      </w:r>
      <w:r>
        <w:rPr>
          <w:rFonts w:ascii="宋体" w:hAnsi="宋体" w:cs="宋体"/>
          <w:sz w:val="24"/>
          <w:szCs w:val="24"/>
          <w:highlight w:val="none"/>
        </w:rPr>
        <w:t xml:space="preserve"> </w:t>
      </w:r>
      <w:r>
        <w:rPr>
          <w:rFonts w:hint="eastAsia" w:ascii="宋体" w:hAnsi="宋体" w:cs="宋体"/>
          <w:sz w:val="24"/>
          <w:szCs w:val="24"/>
          <w:highlight w:val="none"/>
        </w:rPr>
        <w:t xml:space="preserve">中标人自</w:t>
      </w:r>
      <w:r>
        <w:rPr>
          <w:rFonts w:hint="eastAsia" w:ascii="宋体" w:hAnsi="宋体" w:cs="宋体"/>
          <w:color w:val="000000"/>
          <w:sz w:val="24"/>
          <w:szCs w:val="24"/>
          <w:highlight w:val="none"/>
        </w:rPr>
        <w:t xml:space="preserve">合同签订之日起12个月内（含试运行）</w:t>
      </w:r>
      <w:r>
        <w:rPr>
          <w:rFonts w:hint="eastAsia" w:ascii="宋体" w:hAnsi="宋体" w:cs="宋体"/>
          <w:sz w:val="24"/>
          <w:szCs w:val="24"/>
          <w:highlight w:val="none"/>
        </w:rPr>
        <w:t xml:space="preserve">完成全部项目实施工作。</w:t>
      </w:r>
      <w:r/>
    </w:p>
    <w:p>
      <w:pPr>
        <w:ind w:firstLine="482"/>
        <w:spacing w:before="100" w:after="100" w:line="440" w:lineRule="exact"/>
        <w:rPr>
          <w:rFonts w:ascii="宋体" w:hAnsi="宋体" w:cs="宋体"/>
          <w:b/>
          <w:bCs/>
          <w:sz w:val="24"/>
          <w:szCs w:val="24"/>
          <w:highlight w:val="none"/>
        </w:rPr>
      </w:pPr>
      <w:r>
        <w:rPr>
          <w:rFonts w:ascii="宋体" w:hAnsi="宋体" w:cs="宋体"/>
          <w:b/>
          <w:bCs/>
          <w:sz w:val="24"/>
          <w:szCs w:val="24"/>
          <w:highlight w:val="none"/>
        </w:rPr>
        <w:t xml:space="preserve">4</w:t>
      </w:r>
      <w:r>
        <w:rPr>
          <w:rFonts w:hint="eastAsia" w:ascii="宋体" w:hAnsi="宋体" w:cs="宋体"/>
          <w:b/>
          <w:bCs/>
          <w:sz w:val="24"/>
          <w:szCs w:val="24"/>
          <w:highlight w:val="none"/>
        </w:rPr>
        <w:t xml:space="preserve">、进度安排：</w:t>
      </w:r>
      <w:r/>
    </w:p>
    <w:p>
      <w:pPr>
        <w:ind w:firstLine="482"/>
        <w:spacing w:before="100" w:after="100" w:line="440" w:lineRule="exact"/>
        <w:rPr>
          <w:rFonts w:ascii="宋体" w:hAnsi="宋体" w:cs="宋体"/>
          <w:sz w:val="24"/>
          <w:szCs w:val="24"/>
          <w:highlight w:val="none"/>
        </w:rPr>
      </w:pPr>
      <w:r>
        <w:rPr>
          <w:rFonts w:hint="eastAsia" w:ascii="宋体" w:hAnsi="宋体" w:cs="宋体"/>
          <w:b/>
          <w:bCs/>
          <w:sz w:val="24"/>
          <w:szCs w:val="24"/>
          <w:highlight w:val="none"/>
        </w:rPr>
        <w:t xml:space="preserve">（1）需求与设计阶段（合同签订后2个月内）：</w:t>
      </w:r>
      <w:r>
        <w:rPr>
          <w:rFonts w:ascii="宋体" w:hAnsi="宋体" w:cs="宋体"/>
          <w:sz w:val="24"/>
          <w:szCs w:val="24"/>
          <w:highlight w:val="none"/>
        </w:rPr>
        <w:t xml:space="preserve">完成项目现状及需求详细调研，形成需求规格说明书；完成系统总体设计，明确各子系统技术方案与接口规范；完成硬件设备采购、到货验收及上架安装；</w:t>
      </w:r>
      <w:r/>
    </w:p>
    <w:p>
      <w:pPr>
        <w:ind w:firstLine="482"/>
        <w:spacing w:before="100" w:after="100" w:line="440" w:lineRule="exact"/>
        <w:rPr>
          <w:rFonts w:ascii="宋体" w:hAnsi="宋体" w:cs="宋体"/>
          <w:sz w:val="24"/>
          <w:szCs w:val="24"/>
          <w:highlight w:val="none"/>
        </w:rPr>
      </w:pPr>
      <w:r>
        <w:rPr>
          <w:rFonts w:ascii="宋体" w:hAnsi="宋体" w:cs="宋体"/>
          <w:b/>
          <w:bCs/>
          <w:sz w:val="24"/>
          <w:szCs w:val="24"/>
          <w:highlight w:val="none"/>
        </w:rPr>
        <w:t xml:space="preserve">（2）</w:t>
      </w:r>
      <w:r>
        <w:rPr>
          <w:rFonts w:hint="eastAsia" w:ascii="宋体" w:hAnsi="宋体" w:cs="宋体"/>
          <w:b/>
          <w:bCs/>
          <w:sz w:val="24"/>
          <w:szCs w:val="24"/>
          <w:highlight w:val="none"/>
        </w:rPr>
        <w:t xml:space="preserve">开发与部署阶段（合同签订后</w:t>
      </w:r>
      <w:r>
        <w:rPr>
          <w:rFonts w:ascii="宋体" w:hAnsi="宋体" w:cs="宋体"/>
          <w:b/>
          <w:bCs/>
          <w:sz w:val="24"/>
          <w:szCs w:val="24"/>
          <w:highlight w:val="none"/>
        </w:rPr>
        <w:t xml:space="preserve">8</w:t>
      </w:r>
      <w:r>
        <w:rPr>
          <w:rFonts w:hint="eastAsia" w:ascii="宋体" w:hAnsi="宋体" w:cs="宋体"/>
          <w:b/>
          <w:bCs/>
          <w:sz w:val="24"/>
          <w:szCs w:val="24"/>
          <w:highlight w:val="none"/>
        </w:rPr>
        <w:t xml:space="preserve">个月内）</w:t>
      </w:r>
      <w:r>
        <w:rPr>
          <w:rFonts w:hint="eastAsia" w:ascii="宋体" w:hAnsi="宋体" w:cs="宋体"/>
          <w:sz w:val="24"/>
          <w:szCs w:val="24"/>
          <w:highlight w:val="none"/>
        </w:rPr>
        <w:t xml:space="preserve">：完成各子系统定制开发、软硬件集成部署、系统联调测试，配合完成等保三级测评及密评工作；</w:t>
      </w:r>
      <w:r/>
    </w:p>
    <w:p>
      <w:pPr>
        <w:ind w:firstLine="482"/>
        <w:spacing w:before="100" w:after="100" w:line="440" w:lineRule="exact"/>
        <w:rPr>
          <w:rFonts w:ascii="宋体" w:hAnsi="宋体" w:cs="宋体"/>
          <w:sz w:val="24"/>
          <w:szCs w:val="24"/>
          <w:highlight w:val="none"/>
        </w:rPr>
      </w:pPr>
      <w:r>
        <w:rPr>
          <w:rFonts w:ascii="宋体" w:hAnsi="宋体" w:cs="宋体"/>
          <w:b/>
          <w:bCs/>
          <w:sz w:val="24"/>
          <w:szCs w:val="24"/>
          <w:highlight w:val="none"/>
        </w:rPr>
        <w:t xml:space="preserve">（3）</w:t>
      </w:r>
      <w:r>
        <w:rPr>
          <w:rFonts w:hint="eastAsia" w:ascii="宋体" w:hAnsi="宋体" w:cs="宋体"/>
          <w:b/>
          <w:bCs/>
          <w:sz w:val="24"/>
          <w:szCs w:val="24"/>
          <w:highlight w:val="none"/>
        </w:rPr>
        <w:t xml:space="preserve">试运行阶段（合同签订后</w:t>
      </w:r>
      <w:r>
        <w:rPr>
          <w:rFonts w:ascii="宋体" w:hAnsi="宋体" w:cs="宋体"/>
          <w:b/>
          <w:bCs/>
          <w:sz w:val="24"/>
          <w:szCs w:val="24"/>
          <w:highlight w:val="none"/>
        </w:rPr>
        <w:t xml:space="preserve">9</w:t>
      </w:r>
      <w:r>
        <w:rPr>
          <w:rFonts w:hint="eastAsia" w:ascii="宋体" w:hAnsi="宋体" w:cs="宋体"/>
          <w:b/>
          <w:bCs/>
          <w:sz w:val="24"/>
          <w:szCs w:val="24"/>
          <w:highlight w:val="none"/>
        </w:rPr>
        <w:t xml:space="preserve">个月内）：</w:t>
      </w:r>
      <w:r>
        <w:rPr>
          <w:rFonts w:hint="eastAsia" w:ascii="宋体" w:hAnsi="宋体" w:cs="宋体"/>
          <w:sz w:val="24"/>
          <w:szCs w:val="24"/>
          <w:highlight w:val="none"/>
        </w:rPr>
        <w:t xml:space="preserve">系统投入试运行，期间完成问题修复、性能优化、分析效果及准确率调优；</w:t>
      </w:r>
      <w:r/>
    </w:p>
    <w:p>
      <w:pPr>
        <w:ind w:firstLine="482"/>
        <w:spacing w:before="100" w:after="100" w:line="440" w:lineRule="exact"/>
        <w:rPr>
          <w:rFonts w:ascii="宋体" w:hAnsi="宋体" w:cs="宋体"/>
          <w:sz w:val="24"/>
          <w:szCs w:val="24"/>
          <w:highlight w:val="none"/>
        </w:rPr>
      </w:pPr>
      <w:r>
        <w:rPr>
          <w:rFonts w:ascii="宋体" w:hAnsi="宋体" w:cs="宋体"/>
          <w:b/>
          <w:bCs/>
          <w:sz w:val="24"/>
          <w:szCs w:val="24"/>
          <w:highlight w:val="none"/>
        </w:rPr>
        <w:t xml:space="preserve">（4）</w:t>
      </w:r>
      <w:r>
        <w:rPr>
          <w:rFonts w:hint="eastAsia" w:ascii="宋体" w:hAnsi="宋体" w:cs="宋体"/>
          <w:b/>
          <w:bCs/>
          <w:sz w:val="24"/>
          <w:szCs w:val="24"/>
          <w:highlight w:val="none"/>
        </w:rPr>
        <w:t xml:space="preserve">验收阶段（合同签订后</w:t>
      </w:r>
      <w:r>
        <w:rPr>
          <w:rFonts w:ascii="宋体" w:hAnsi="宋体" w:cs="宋体"/>
          <w:b/>
          <w:bCs/>
          <w:sz w:val="24"/>
          <w:szCs w:val="24"/>
          <w:highlight w:val="none"/>
        </w:rPr>
        <w:t xml:space="preserve">12</w:t>
      </w:r>
      <w:r>
        <w:rPr>
          <w:rFonts w:hint="eastAsia" w:ascii="宋体" w:hAnsi="宋体" w:cs="宋体"/>
          <w:b/>
          <w:bCs/>
          <w:sz w:val="24"/>
          <w:szCs w:val="24"/>
          <w:highlight w:val="none"/>
        </w:rPr>
        <w:t xml:space="preserve">个月内）：</w:t>
      </w:r>
      <w:r>
        <w:rPr>
          <w:rFonts w:hint="eastAsia" w:ascii="宋体" w:hAnsi="宋体" w:cs="宋体"/>
          <w:sz w:val="24"/>
          <w:szCs w:val="24"/>
          <w:highlight w:val="none"/>
        </w:rPr>
        <w:t xml:space="preserve">整理项目成果，准备验收材料，完成最终验收。准备的验收材料包含但是不限于PPT演示、系统功能及效果演示视频等。</w:t>
      </w:r>
      <w:r/>
    </w:p>
    <w:p>
      <w:pPr>
        <w:pStyle w:val="985"/>
        <w:spacing w:before="0" w:after="0" w:line="440" w:lineRule="exact"/>
        <w:rPr>
          <w:rFonts w:ascii="宋体" w:hAnsi="宋体" w:cs="宋体"/>
          <w:color w:val="000000"/>
          <w:spacing w:val="11"/>
          <w:sz w:val="24"/>
          <w:szCs w:val="24"/>
          <w:highlight w:val="none"/>
        </w:rPr>
        <w:pBdr>
          <w:top w:val="none" w:color="000000" w:sz="0" w:space="0"/>
          <w:left w:val="none" w:color="000000" w:sz="0" w:space="0"/>
          <w:right w:val="none" w:color="000000" w:sz="0" w:space="0"/>
        </w:pBdr>
      </w:pPr>
      <w:r>
        <w:rPr>
          <w:rFonts w:hint="eastAsia" w:ascii="宋体" w:hAnsi="宋体" w:cs="宋体"/>
          <w:color w:val="000000"/>
          <w:spacing w:val="11"/>
          <w:sz w:val="24"/>
          <w:szCs w:val="24"/>
          <w:highlight w:val="none"/>
        </w:rPr>
        <w:t xml:space="preserve">3.2实施计划与团队</w:t>
      </w:r>
      <w:r/>
    </w:p>
    <w:p>
      <w:pPr>
        <w:ind w:firstLine="480"/>
        <w:spacing w:before="100" w:after="100" w:line="440" w:lineRule="exact"/>
        <w:rPr>
          <w:rFonts w:hint="eastAsia" w:ascii="宋体" w:hAnsi="宋体" w:cs="宋体"/>
          <w:sz w:val="24"/>
          <w:szCs w:val="24"/>
          <w:highlight w:val="none"/>
        </w:rPr>
      </w:pPr>
      <w:r>
        <w:rPr>
          <w:rFonts w:hint="eastAsia" w:ascii="宋体" w:hAnsi="宋体" w:cs="宋体"/>
          <w:sz w:val="24"/>
          <w:szCs w:val="24"/>
          <w:highlight w:val="none"/>
        </w:rPr>
        <w:t xml:space="preserve">中标人调研扬州市公共资源交易中心现状，按照项目要求制定详细的实施计划，明确各阶段时间安排、工期及实施条件，制定项目交付关键里程碑（含调研与需求分析、系统设计、开发测试、部署联调、试运行、验收），并提供详细的交付计划。并配备专业项目团队，保障算力、存储、网络等资源满足建设需求，支撑项目高效实施。项目实施期间，中标人项目负责人及技术人员不得更换，如因特殊原因确实要变更的必须经采购人同意。</w:t>
      </w:r>
      <w:r/>
    </w:p>
    <w:p>
      <w:pPr>
        <w:ind w:firstLine="480"/>
        <w:spacing w:before="100" w:after="100" w:line="440" w:lineRule="exact"/>
        <w:rPr>
          <w:rFonts w:hint="eastAsia" w:ascii="宋体" w:hAnsi="宋体" w:cs="宋体"/>
          <w:sz w:val="24"/>
          <w:szCs w:val="24"/>
          <w:highlight w:val="none"/>
        </w:rPr>
      </w:pPr>
      <w:r>
        <w:rPr>
          <w:rFonts w:hint="eastAsia" w:ascii="宋体" w:hAnsi="宋体" w:cs="宋体"/>
          <w:sz w:val="24"/>
          <w:szCs w:val="24"/>
          <w:highlight w:val="none"/>
        </w:rPr>
        <w:t xml:space="preserve">项目管理团队要求：</w:t>
      </w:r>
      <w:r/>
    </w:p>
    <w:p>
      <w:pPr>
        <w:ind w:firstLine="480"/>
        <w:spacing w:before="100" w:after="100" w:line="440" w:lineRule="exact"/>
        <w:rPr>
          <w:rFonts w:hint="eastAsia" w:ascii="宋体" w:hAnsi="宋体" w:cs="宋体"/>
          <w:sz w:val="24"/>
          <w:szCs w:val="24"/>
          <w:highlight w:val="none"/>
        </w:rPr>
      </w:pPr>
      <w:r>
        <w:rPr>
          <w:rFonts w:hint="eastAsia" w:ascii="宋体" w:hAnsi="宋体" w:cs="宋体"/>
          <w:sz w:val="24"/>
          <w:szCs w:val="24"/>
          <w:highlight w:val="none"/>
        </w:rPr>
        <w:t xml:space="preserve">项目经理需具备信息系统项目管理师（高级）（工信部和人社部联合颁发）、系统规划与管理师证书（高级）（工信部和人社部联合颁发）；</w:t>
      </w:r>
      <w:r/>
    </w:p>
    <w:p>
      <w:pPr>
        <w:ind w:firstLine="480"/>
        <w:spacing w:before="100" w:after="100" w:line="440" w:lineRule="exact"/>
        <w:rPr>
          <w:rFonts w:hint="eastAsia" w:ascii="宋体" w:hAnsi="宋体" w:cs="宋体"/>
          <w:sz w:val="24"/>
          <w:szCs w:val="24"/>
          <w:highlight w:val="none"/>
        </w:rPr>
      </w:pPr>
      <w:r>
        <w:rPr>
          <w:rFonts w:hint="eastAsia" w:ascii="宋体" w:hAnsi="宋体" w:cs="宋体"/>
          <w:sz w:val="24"/>
          <w:szCs w:val="24"/>
          <w:highlight w:val="none"/>
        </w:rPr>
        <w:t xml:space="preserve">技术负责人需具备系统架构设计师（高级）（工信部和人社部联合颁发）、系统分析师（高级）（工信部和人社部联合颁发）；</w:t>
      </w:r>
      <w:r/>
    </w:p>
    <w:p>
      <w:pPr>
        <w:ind w:firstLine="480"/>
        <w:spacing w:before="100" w:after="100" w:line="440" w:lineRule="exact"/>
        <w:rPr>
          <w:rFonts w:hint="eastAsia" w:ascii="宋体" w:hAnsi="宋体" w:cs="宋体"/>
          <w:sz w:val="24"/>
          <w:szCs w:val="24"/>
          <w:highlight w:val="none"/>
        </w:rPr>
      </w:pPr>
      <w:r>
        <w:rPr>
          <w:rFonts w:hint="eastAsia" w:ascii="宋体" w:hAnsi="宋体" w:cs="宋体"/>
          <w:sz w:val="24"/>
          <w:szCs w:val="24"/>
          <w:highlight w:val="none"/>
        </w:rPr>
        <w:t xml:space="preserve">安全负责人需具备注册信息安全工程师(CISE)证书、系统集成项目管理工程师（中级）（工信部和人社部联合颁发）；</w:t>
      </w:r>
      <w:r/>
    </w:p>
    <w:p>
      <w:pPr>
        <w:ind w:firstLine="480"/>
        <w:spacing w:before="100" w:after="100" w:line="440" w:lineRule="exact"/>
        <w:rPr>
          <w:rFonts w:ascii="宋体" w:hAnsi="宋体" w:cs="宋体"/>
          <w:sz w:val="24"/>
          <w:szCs w:val="24"/>
          <w:highlight w:val="none"/>
        </w:rPr>
      </w:pPr>
      <w:r>
        <w:rPr>
          <w:rFonts w:hint="eastAsia" w:ascii="宋体" w:hAnsi="宋体" w:cs="宋体"/>
          <w:sz w:val="24"/>
          <w:szCs w:val="24"/>
          <w:highlight w:val="none"/>
        </w:rPr>
        <w:t xml:space="preserve">其他技术人员（支撑服务团队成员）需具备系统架构设计师（高级）（工信部和人社部联合颁发）、软件设计师（中级）（工信部和人社部联合颁发）、IT服务项目经理证书、信息安全保障人员认证证书（安全集成）（中国网络安全审查认证和市场监管大数据中心颁发，原中国网络安全审查技术与认证中心）、信息安全保障人员认证证书（安全运维）（中国网络安全审查认证和市场监管大数据中心颁发，原中国网络安全审查技术与认证中心）。</w:t>
      </w:r>
      <w:r/>
    </w:p>
    <w:p>
      <w:pPr>
        <w:ind w:firstLine="524"/>
        <w:spacing w:before="100" w:after="100" w:line="440" w:lineRule="exact"/>
        <w:rPr>
          <w:rFonts w:ascii="宋体" w:hAnsi="宋体" w:cs="宋体"/>
          <w:color w:val="000000"/>
          <w:spacing w:val="11"/>
          <w:sz w:val="24"/>
          <w:szCs w:val="24"/>
          <w:highlight w:val="none"/>
        </w:rPr>
      </w:pPr>
      <w:r>
        <w:rPr>
          <w:rFonts w:ascii="宋体" w:hAnsi="宋体" w:cs="宋体"/>
          <w:color w:val="000000"/>
          <w:spacing w:val="11"/>
          <w:sz w:val="24"/>
          <w:szCs w:val="24"/>
          <w:highlight w:val="none"/>
        </w:rPr>
      </w:r>
      <w:r/>
    </w:p>
    <w:p>
      <w:pPr>
        <w:pStyle w:val="985"/>
        <w:spacing w:before="0" w:after="0" w:line="440" w:lineRule="exact"/>
        <w:rPr>
          <w:rFonts w:ascii="宋体" w:hAnsi="宋体" w:cs="宋体"/>
          <w:sz w:val="24"/>
          <w:szCs w:val="24"/>
          <w:highlight w:val="none"/>
        </w:rPr>
        <w:pBdr>
          <w:top w:val="none" w:color="000000" w:sz="0" w:space="0"/>
          <w:left w:val="none" w:color="000000" w:sz="0" w:space="0"/>
          <w:right w:val="none" w:color="000000" w:sz="0" w:space="0"/>
        </w:pBdr>
      </w:pPr>
      <w:r>
        <w:rPr>
          <w:rFonts w:hint="eastAsia" w:ascii="宋体" w:hAnsi="宋体" w:cs="宋体"/>
          <w:sz w:val="24"/>
          <w:szCs w:val="24"/>
          <w:highlight w:val="none"/>
        </w:rPr>
        <w:t xml:space="preserve">3.3项目过程管理</w:t>
      </w:r>
      <w:r/>
    </w:p>
    <w:p>
      <w:pPr>
        <w:ind w:firstLine="464"/>
        <w:spacing w:line="440" w:lineRule="exact"/>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在项目实施过程中，中标人要对项目人员及项目建设工作严格管理，项目负责人必须参加项目推进会，定期向采购人汇报工作进度、问题及下阶段工作计划，确保按时完成项目工作。系统调试期间，中标人要对系统运行情况进行监测，并向采购人提供软件架构、开发、安装、性能调整、维护的所有文档。系统运行期间，当系统出现故障时，工程师要迅速进行诊断，解决软硬件问题。</w:t>
      </w:r>
      <w:r/>
    </w:p>
    <w:p>
      <w:pPr>
        <w:pStyle w:val="985"/>
        <w:spacing w:before="0" w:after="0" w:line="440" w:lineRule="exact"/>
        <w:rPr>
          <w:rFonts w:ascii="宋体" w:hAnsi="宋体" w:cs="宋体"/>
          <w:b w:val="0"/>
          <w:bCs w:val="0"/>
          <w:sz w:val="24"/>
          <w:szCs w:val="24"/>
          <w:highlight w:val="none"/>
        </w:rPr>
        <w:pBdr>
          <w:top w:val="none" w:color="000000" w:sz="0" w:space="0"/>
          <w:left w:val="none" w:color="000000" w:sz="0" w:space="0"/>
          <w:right w:val="none" w:color="000000" w:sz="0" w:space="0"/>
        </w:pBdr>
      </w:pPr>
      <w:r>
        <w:rPr>
          <w:rFonts w:hint="eastAsia" w:ascii="宋体" w:hAnsi="宋体" w:cs="宋体"/>
          <w:sz w:val="24"/>
          <w:szCs w:val="24"/>
          <w:highlight w:val="none"/>
        </w:rPr>
        <w:t xml:space="preserve">3.4项目试运行及验收要求</w:t>
      </w:r>
      <w:r/>
    </w:p>
    <w:p>
      <w:pPr>
        <w:ind w:firstLine="482"/>
        <w:spacing w:line="440" w:lineRule="exact"/>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1、试运行要求</w:t>
      </w:r>
      <w:r/>
    </w:p>
    <w:p>
      <w:pPr>
        <w:ind w:firstLine="480"/>
        <w:spacing w:line="440" w:lineRule="exact"/>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制定试运行计划，确定试运行的范围、参与人员和目标，试运行结束后要进行总结，对试运行期间发现的问题及时优化调整到位。</w:t>
      </w:r>
      <w:r/>
    </w:p>
    <w:p>
      <w:pPr>
        <w:ind w:firstLine="480"/>
        <w:spacing w:line="440" w:lineRule="exact"/>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试运行时间不少于3个月，且在通过等保三级测评及密评后方可进入试运行。</w:t>
      </w:r>
      <w:r/>
    </w:p>
    <w:p>
      <w:pPr>
        <w:ind w:firstLine="482"/>
        <w:spacing w:line="440" w:lineRule="exact"/>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2、验收要求</w:t>
      </w:r>
      <w:r/>
    </w:p>
    <w:p>
      <w:pPr>
        <w:ind w:firstLine="480"/>
        <w:spacing w:line="440" w:lineRule="exact"/>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（1）实施工作全部完成且系统上线试运行满3个月未出现重大故障。</w:t>
      </w:r>
      <w:r/>
    </w:p>
    <w:p>
      <w:pPr>
        <w:ind w:firstLine="480"/>
        <w:spacing w:line="440" w:lineRule="exact"/>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（2）对照项目建设方案、采购文件及采购合同，确保软硬件系统功能全部完成，相关技术要求达标。</w:t>
      </w:r>
      <w:r/>
    </w:p>
    <w:p>
      <w:pPr>
        <w:ind w:firstLine="480"/>
        <w:spacing w:line="440" w:lineRule="exact"/>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（3）各种技术文档和验收资料齐全，符合合同要求。</w:t>
      </w:r>
      <w:r/>
    </w:p>
    <w:p>
      <w:pPr>
        <w:ind w:firstLine="480"/>
        <w:spacing w:line="440" w:lineRule="exact"/>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（4）经过相关主管部门和项目使用部门同意。</w:t>
      </w:r>
      <w:r/>
    </w:p>
    <w:p>
      <w:pPr>
        <w:pStyle w:val="985"/>
        <w:spacing w:before="0" w:after="0" w:line="440" w:lineRule="exact"/>
        <w:rPr>
          <w:rFonts w:ascii="宋体" w:hAnsi="宋体" w:cs="宋体"/>
          <w:b w:val="0"/>
          <w:bCs w:val="0"/>
          <w:sz w:val="24"/>
          <w:szCs w:val="24"/>
          <w:highlight w:val="none"/>
          <w:lang w:bidi="ar"/>
        </w:rPr>
        <w:pBdr>
          <w:top w:val="none" w:color="000000" w:sz="0" w:space="0"/>
          <w:left w:val="none" w:color="000000" w:sz="0" w:space="0"/>
          <w:right w:val="none" w:color="000000" w:sz="0" w:space="0"/>
        </w:pBdr>
      </w:pPr>
      <w:r>
        <w:rPr>
          <w:rFonts w:hint="eastAsia" w:ascii="宋体" w:hAnsi="宋体" w:cs="宋体"/>
          <w:sz w:val="24"/>
          <w:szCs w:val="24"/>
          <w:highlight w:val="none"/>
          <w:lang w:bidi="ar"/>
        </w:rPr>
        <w:t xml:space="preserve">3.5系统性能及兼容性要求</w:t>
      </w:r>
      <w:r/>
    </w:p>
    <w:p>
      <w:pPr>
        <w:pStyle w:val="986"/>
        <w:ind w:firstLine="482"/>
        <w:spacing w:before="0" w:after="0" w:line="440" w:lineRule="exact"/>
        <w:rPr>
          <w:rFonts w:ascii="宋体" w:hAnsi="宋体" w:cs="宋体"/>
          <w:sz w:val="24"/>
          <w:szCs w:val="24"/>
          <w:highlight w:val="none"/>
          <w:lang w:bidi="ar"/>
        </w:rPr>
      </w:pPr>
      <w:r>
        <w:rPr>
          <w:rFonts w:hint="eastAsia" w:ascii="宋体" w:hAnsi="宋体" w:eastAsia="宋体" w:cs="宋体"/>
          <w:sz w:val="24"/>
          <w:szCs w:val="24"/>
          <w:highlight w:val="none"/>
          <w:lang w:bidi="ar"/>
        </w:rPr>
        <w:t xml:space="preserve">1、</w:t>
      </w:r>
      <w:r>
        <w:rPr>
          <w:rFonts w:hint="eastAsia" w:ascii="宋体" w:hAnsi="宋体" w:cs="宋体"/>
          <w:sz w:val="24"/>
          <w:szCs w:val="24"/>
          <w:highlight w:val="none"/>
          <w:lang w:bidi="ar"/>
        </w:rPr>
        <w:t xml:space="preserve">并发数量要求</w:t>
      </w:r>
      <w:r/>
    </w:p>
    <w:p>
      <w:pPr>
        <w:numPr>
          <w:ilvl w:val="255"/>
          <w:numId w:val="0"/>
        </w:numPr>
        <w:ind w:firstLine="480"/>
        <w:jc w:val="left"/>
        <w:spacing w:line="440" w:lineRule="exact"/>
        <w:tabs>
          <w:tab w:val="left" w:pos="2730" w:leader="none"/>
        </w:tabs>
        <w:rPr>
          <w:rFonts w:ascii="宋体" w:hAnsi="宋体" w:cs="宋体"/>
          <w:sz w:val="24"/>
          <w:szCs w:val="24"/>
          <w:highlight w:val="none"/>
        </w:rPr>
      </w:pPr>
      <w:r>
        <w:rPr>
          <w:rFonts w:hint="eastAsia" w:ascii="宋体" w:hAnsi="宋体" w:cs="宋体"/>
          <w:sz w:val="24"/>
          <w:szCs w:val="24"/>
          <w:highlight w:val="none"/>
        </w:rPr>
        <w:t xml:space="preserve">知识问答及倾向性分析调用大模型推理服务不少于25路并发，其中虚拟评标室监测专家言论，同时考虑并行开标的项目数，预计10个并发；评标区现场及公共区域环境监听预警，预计10个并发；专家在线咨询和线上游客咨询，预计5个并发。</w:t>
      </w:r>
      <w:r/>
    </w:p>
    <w:p>
      <w:pPr>
        <w:pStyle w:val="986"/>
        <w:ind w:firstLine="482"/>
        <w:spacing w:before="0" w:after="0" w:line="440" w:lineRule="exact"/>
        <w:rPr>
          <w:rFonts w:ascii="宋体" w:hAnsi="宋体" w:cs="宋体"/>
          <w:sz w:val="24"/>
          <w:szCs w:val="24"/>
          <w:highlight w:val="none"/>
          <w:lang w:bidi="ar"/>
        </w:rPr>
      </w:pPr>
      <w:r>
        <w:rPr>
          <w:rFonts w:hint="eastAsia" w:ascii="宋体" w:hAnsi="宋体" w:eastAsia="宋体" w:cs="宋体"/>
          <w:sz w:val="24"/>
          <w:szCs w:val="24"/>
          <w:highlight w:val="none"/>
          <w:lang w:bidi="ar"/>
        </w:rPr>
        <w:t xml:space="preserve">2、</w:t>
      </w:r>
      <w:r>
        <w:rPr>
          <w:rFonts w:hint="eastAsia" w:ascii="宋体" w:hAnsi="宋体" w:cs="宋体"/>
          <w:sz w:val="24"/>
          <w:szCs w:val="24"/>
          <w:highlight w:val="none"/>
          <w:lang w:bidi="ar"/>
        </w:rPr>
        <w:t xml:space="preserve">系统响应时间要求</w:t>
      </w:r>
      <w:r/>
    </w:p>
    <w:p>
      <w:pPr>
        <w:ind w:firstLine="480"/>
        <w:jc w:val="left"/>
        <w:spacing w:line="440" w:lineRule="exact"/>
        <w:tabs>
          <w:tab w:val="left" w:pos="2730" w:leader="none"/>
        </w:tabs>
        <w:rPr>
          <w:rFonts w:ascii="宋体" w:hAnsi="宋体" w:cs="宋体"/>
          <w:sz w:val="24"/>
          <w:szCs w:val="24"/>
          <w:highlight w:val="none"/>
        </w:rPr>
      </w:pPr>
      <w:r>
        <w:rPr>
          <w:rFonts w:ascii="宋体" w:hAnsi="宋体" w:cs="宋体"/>
          <w:sz w:val="24"/>
          <w:szCs w:val="24"/>
          <w:highlight w:val="none"/>
        </w:rPr>
        <w:t xml:space="preserve">针对用户发起的简单查询</w:t>
      </w:r>
      <w:r>
        <w:rPr>
          <w:rFonts w:hint="eastAsia" w:ascii="宋体" w:hAnsi="宋体" w:cs="宋体"/>
          <w:sz w:val="24"/>
          <w:szCs w:val="24"/>
          <w:highlight w:val="none"/>
        </w:rPr>
        <w:t xml:space="preserve">系统响应时间应</w:t>
      </w:r>
      <w:r>
        <w:rPr>
          <w:rFonts w:ascii="宋体" w:hAnsi="宋体" w:cs="宋体"/>
          <w:sz w:val="24"/>
          <w:szCs w:val="24"/>
          <w:highlight w:val="none"/>
        </w:rPr>
        <w:t xml:space="preserve">在1s</w:t>
      </w:r>
      <w:r>
        <w:rPr>
          <w:rFonts w:hint="eastAsia" w:ascii="宋体" w:hAnsi="宋体" w:cs="宋体"/>
          <w:sz w:val="24"/>
          <w:szCs w:val="24"/>
          <w:highlight w:val="none"/>
        </w:rPr>
        <w:t xml:space="preserve">以</w:t>
      </w:r>
      <w:r>
        <w:rPr>
          <w:rFonts w:ascii="宋体" w:hAnsi="宋体" w:cs="宋体"/>
          <w:sz w:val="24"/>
          <w:szCs w:val="24"/>
          <w:highlight w:val="none"/>
        </w:rPr>
        <w:t xml:space="preserve">内</w:t>
      </w:r>
      <w:r>
        <w:rPr>
          <w:rFonts w:hint="eastAsia" w:ascii="宋体" w:hAnsi="宋体" w:cs="宋体"/>
          <w:sz w:val="24"/>
          <w:szCs w:val="24"/>
          <w:highlight w:val="none"/>
        </w:rPr>
        <w:t xml:space="preserve">，但是如果是远程查询和复杂的信息查询应该要在5s以内，</w:t>
      </w:r>
      <w:r>
        <w:rPr>
          <w:rFonts w:ascii="宋体" w:hAnsi="宋体" w:cs="宋体"/>
          <w:sz w:val="24"/>
          <w:szCs w:val="24"/>
          <w:highlight w:val="none"/>
        </w:rPr>
        <w:t xml:space="preserve">确保用户能够实时获取反馈信息，避免因等待造成体验损耗。</w:t>
      </w:r>
      <w:r/>
    </w:p>
    <w:p>
      <w:pPr>
        <w:pStyle w:val="986"/>
        <w:ind w:firstLine="482"/>
        <w:spacing w:before="0" w:after="0" w:line="440" w:lineRule="exact"/>
        <w:tabs>
          <w:tab w:val="left" w:pos="2730" w:leader="none"/>
        </w:tabs>
        <w:rPr>
          <w:rFonts w:ascii="宋体" w:hAnsi="宋体" w:cs="宋体"/>
          <w:sz w:val="24"/>
          <w:szCs w:val="24"/>
          <w:highlight w:val="none"/>
          <w:lang w:bidi="ar"/>
        </w:rPr>
      </w:pPr>
      <w:r>
        <w:rPr>
          <w:rFonts w:hint="eastAsia" w:ascii="宋体" w:hAnsi="宋体" w:cs="宋体"/>
          <w:sz w:val="24"/>
          <w:szCs w:val="24"/>
          <w:highlight w:val="none"/>
          <w:lang w:bidi="ar"/>
        </w:rPr>
        <w:t xml:space="preserve">3、AI识别准确率要求</w:t>
      </w:r>
      <w:r/>
    </w:p>
    <w:p>
      <w:pPr>
        <w:ind w:firstLine="480"/>
        <w:jc w:val="left"/>
        <w:spacing w:line="440" w:lineRule="exact"/>
        <w:tabs>
          <w:tab w:val="left" w:pos="2730" w:leader="none"/>
        </w:tabs>
        <w:rPr>
          <w:rFonts w:ascii="宋体" w:hAnsi="宋体" w:cs="宋体"/>
          <w:sz w:val="24"/>
          <w:szCs w:val="24"/>
          <w:highlight w:val="none"/>
        </w:rPr>
      </w:pPr>
      <w:r>
        <w:rPr>
          <w:rFonts w:ascii="宋体" w:hAnsi="宋体" w:cs="宋体"/>
          <w:sz w:val="24"/>
          <w:szCs w:val="24"/>
          <w:highlight w:val="none"/>
        </w:rPr>
        <w:t xml:space="preserve">（1）语音倾向性分析：检出率≥90%，误报率≤20%。</w:t>
      </w:r>
      <w:r/>
    </w:p>
    <w:p>
      <w:pPr>
        <w:ind w:firstLine="480"/>
        <w:jc w:val="left"/>
        <w:tabs>
          <w:tab w:val="left" w:pos="2730" w:leader="none"/>
        </w:tabs>
        <w:rPr>
          <w:rFonts w:ascii="宋体" w:hAnsi="宋体" w:cs="宋体"/>
          <w:sz w:val="24"/>
          <w:szCs w:val="24"/>
          <w:highlight w:val="none"/>
        </w:rPr>
        <w:pBdr>
          <w:top w:val="none" w:color="000000" w:sz="0" w:space="0"/>
          <w:left w:val="none" w:color="000000" w:sz="0" w:space="0"/>
          <w:right w:val="none" w:color="000000" w:sz="0" w:space="0"/>
        </w:pBdr>
      </w:pPr>
      <w:r>
        <w:rPr>
          <w:rFonts w:ascii="宋体" w:hAnsi="宋体" w:cs="宋体"/>
          <w:sz w:val="24"/>
          <w:szCs w:val="24"/>
          <w:highlight w:val="none"/>
        </w:rPr>
        <w:t xml:space="preserve">（2）异常行为分析：检出率≥90%，误报率≤20%。</w:t>
      </w:r>
      <w:r/>
    </w:p>
    <w:p>
      <w:pPr>
        <w:pStyle w:val="986"/>
        <w:ind w:firstLine="482"/>
        <w:spacing w:before="0" w:after="0" w:line="440" w:lineRule="exact"/>
        <w:tabs>
          <w:tab w:val="left" w:pos="2730" w:leader="none"/>
        </w:tabs>
        <w:rPr>
          <w:rFonts w:ascii="宋体" w:hAnsi="宋体" w:cs="宋体"/>
          <w:sz w:val="24"/>
          <w:szCs w:val="24"/>
          <w:highlight w:val="none"/>
          <w:lang w:bidi="ar"/>
        </w:rPr>
      </w:pPr>
      <w:r>
        <w:rPr>
          <w:rFonts w:hint="eastAsia" w:ascii="宋体" w:hAnsi="宋体" w:cs="宋体"/>
          <w:sz w:val="24"/>
          <w:szCs w:val="24"/>
          <w:highlight w:val="none"/>
          <w:lang w:val="en-US" w:eastAsia="zh-CN" w:bidi="ar"/>
        </w:rPr>
        <w:t xml:space="preserve">4</w:t>
      </w:r>
      <w:r>
        <w:rPr>
          <w:rFonts w:hint="eastAsia" w:ascii="宋体" w:hAnsi="宋体" w:cs="宋体"/>
          <w:sz w:val="24"/>
          <w:szCs w:val="24"/>
          <w:highlight w:val="none"/>
          <w:lang w:bidi="ar"/>
        </w:rPr>
        <w:t xml:space="preserve">、兼容性要求</w:t>
      </w:r>
      <w:r/>
    </w:p>
    <w:p>
      <w:pPr>
        <w:ind w:firstLine="480"/>
        <w:jc w:val="left"/>
        <w:tabs>
          <w:tab w:val="left" w:pos="2730" w:leader="none"/>
        </w:tabs>
        <w:rPr>
          <w:rFonts w:ascii="宋体" w:hAnsi="宋体" w:cs="宋体"/>
          <w:sz w:val="24"/>
          <w:szCs w:val="24"/>
          <w:highlight w:val="none"/>
          <w:u w:val="none"/>
        </w:rPr>
        <w:pBdr>
          <w:top w:val="none" w:color="000000" w:sz="0" w:space="0"/>
          <w:left w:val="none" w:color="000000" w:sz="0" w:space="0"/>
          <w:right w:val="none" w:color="000000" w:sz="0" w:space="0"/>
        </w:pBdr>
      </w:pPr>
      <w:r>
        <w:rPr>
          <w:rFonts w:hint="eastAsia" w:ascii="宋体" w:hAnsi="宋体" w:cs="宋体"/>
          <w:sz w:val="24"/>
          <w:szCs w:val="24"/>
          <w:highlight w:val="none"/>
          <w:u w:val="none"/>
        </w:rPr>
        <w:t xml:space="preserve">系统要全面适配PC端主流操作系统和浏览器，并通过多环境测试，确保无兼容性问题。</w:t>
      </w:r>
      <w:r/>
    </w:p>
    <w:p>
      <w:pPr>
        <w:ind w:firstLine="480"/>
        <w:jc w:val="left"/>
        <w:tabs>
          <w:tab w:val="left" w:pos="2730" w:leader="none"/>
        </w:tabs>
        <w:rPr>
          <w:rFonts w:ascii="宋体" w:hAnsi="宋体" w:cs="宋体"/>
          <w:sz w:val="24"/>
          <w:szCs w:val="24"/>
          <w:highlight w:val="none"/>
          <w:u w:val="single"/>
        </w:rPr>
        <w:pBdr>
          <w:top w:val="none" w:color="000000" w:sz="0" w:space="0"/>
          <w:left w:val="none" w:color="000000" w:sz="0" w:space="0"/>
          <w:right w:val="none" w:color="000000" w:sz="0" w:space="0"/>
        </w:pBdr>
      </w:pPr>
      <w:r>
        <w:rPr>
          <w:rFonts w:ascii="宋体" w:hAnsi="宋体" w:cs="宋体"/>
          <w:sz w:val="24"/>
          <w:szCs w:val="24"/>
          <w:highlight w:val="none"/>
          <w:u w:val="single"/>
        </w:rPr>
      </w:r>
      <w:r/>
    </w:p>
    <w:p>
      <w:pPr>
        <w:pStyle w:val="985"/>
        <w:spacing w:before="0" w:line="440" w:lineRule="exact"/>
        <w:rPr>
          <w:rFonts w:ascii="宋体" w:hAnsi="宋体" w:cs="宋体"/>
          <w:b w:val="0"/>
          <w:bCs w:val="0"/>
          <w:sz w:val="24"/>
          <w:szCs w:val="24"/>
          <w:highlight w:val="none"/>
        </w:rPr>
        <w:pBdr>
          <w:top w:val="none" w:color="000000" w:sz="0" w:space="0"/>
          <w:left w:val="none" w:color="000000" w:sz="0" w:space="0"/>
          <w:right w:val="none" w:color="000000" w:sz="0" w:space="0"/>
        </w:pBdr>
      </w:pPr>
      <w:r>
        <w:rPr>
          <w:rFonts w:hint="eastAsia" w:ascii="宋体" w:hAnsi="宋体" w:cs="宋体"/>
          <w:sz w:val="24"/>
          <w:szCs w:val="24"/>
          <w:highlight w:val="none"/>
        </w:rPr>
        <w:t xml:space="preserve">3.6安全保障要求</w:t>
      </w:r>
      <w:r/>
    </w:p>
    <w:p>
      <w:pPr>
        <w:ind w:firstLine="480"/>
        <w:spacing w:line="440" w:lineRule="exact"/>
        <w:rPr>
          <w:rFonts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highlight w:val="none"/>
        </w:rPr>
        <w:t xml:space="preserve">本项目完成后将整合至扬州市公共资源交易平台系统下公共服务平台，由扬州市公共资源交易平台系统统一开展等保测评、商用密码评估、数据安全风险评估。</w:t>
      </w:r>
      <w:r/>
    </w:p>
    <w:p>
      <w:pPr>
        <w:pStyle w:val="995"/>
        <w:ind w:firstLine="482"/>
        <w:spacing w:line="440" w:lineRule="exact"/>
        <w:shd w:val="clear" w:color="auto" w:fill="ffffff"/>
        <w:rPr>
          <w:rFonts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1、网络安全保护要求</w:t>
      </w:r>
      <w:r/>
    </w:p>
    <w:p>
      <w:pPr>
        <w:pStyle w:val="995"/>
        <w:ind w:firstLine="480"/>
        <w:spacing w:line="440" w:lineRule="exact"/>
        <w:shd w:val="clear" w:color="auto" w:fill="ffffff"/>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项目按照《信息安全等级保护管理办法》、《信息系统安全等级保护定级指南》的要求，结合本项目数据及信息系统的特点及重要程度，安全等级满足等保2.0三级要求。项目实施及运维服务期间，中标人配合采购人完成定级备案、差距分析、整改加固及测评全流程，确保取得合格报告。</w:t>
      </w:r>
      <w:r/>
    </w:p>
    <w:p>
      <w:pPr>
        <w:pStyle w:val="995"/>
        <w:ind w:firstLine="482"/>
        <w:spacing w:line="440" w:lineRule="exact"/>
        <w:shd w:val="clear" w:color="auto" w:fill="ffffff"/>
        <w:rPr>
          <w:rFonts w:asciiTheme="minorEastAsia" w:hAnsiTheme="minorEastAsia" w:eastAsiaTheme="minorEastAsia" w:cstheme="minorEastAsia"/>
          <w:b/>
          <w:bCs/>
          <w:color w:val="0f1115"/>
          <w:highlight w:val="none"/>
        </w:rPr>
      </w:pPr>
      <w:r>
        <w:rPr>
          <w:rFonts w:hint="eastAsia" w:asciiTheme="minorEastAsia" w:hAnsiTheme="minorEastAsia" w:eastAsiaTheme="minorEastAsia" w:cstheme="minorEastAsia"/>
          <w:b/>
          <w:bCs/>
          <w:color w:val="0f1115"/>
          <w:highlight w:val="none"/>
          <w:shd w:val="clear" w:color="auto" w:fill="ffffff"/>
        </w:rPr>
        <w:t xml:space="preserve">2、密码应用要求</w:t>
      </w:r>
      <w:r/>
    </w:p>
    <w:p>
      <w:pPr>
        <w:pStyle w:val="995"/>
        <w:ind w:firstLine="480"/>
        <w:spacing w:line="440" w:lineRule="exact"/>
        <w:shd w:val="clear" w:color="auto" w:fill="ffffff"/>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根据GB/T 39786-2021《信息安全技术 信息系统密码应用基本要求》，在物理和环境、网络和通信、设备和计算、应用和数据几个层面分别满足密码应用要求中对应的等保2.0三级的要求，建设一套合规适用的密钥管理体系，并建立相应的配套密码安全管理制度，做好与扬州市电子政务密码服务平台衔接，通过密码技术与安全管理相结合，确保本平台安全稳定运行。项目实施及运维服务期间，中标人配合采购人完成密码应用安全性评估全流程，确保取得合格报告。</w:t>
      </w:r>
      <w:r/>
    </w:p>
    <w:p>
      <w:pPr>
        <w:pStyle w:val="995"/>
        <w:ind w:firstLine="482"/>
        <w:spacing w:line="440" w:lineRule="exact"/>
        <w:shd w:val="clear" w:color="auto" w:fill="ffffff"/>
        <w:rPr>
          <w:rFonts w:asciiTheme="minorEastAsia" w:hAnsiTheme="minorEastAsia" w:eastAsiaTheme="minorEastAsia" w:cstheme="minorEastAsia"/>
          <w:color w:val="0f1115"/>
          <w:highlight w:val="none"/>
        </w:rPr>
      </w:pPr>
      <w:r>
        <w:rPr>
          <w:rFonts w:hint="eastAsia" w:asciiTheme="minorEastAsia" w:hAnsiTheme="minorEastAsia" w:eastAsiaTheme="minorEastAsia" w:cstheme="minorEastAsia"/>
          <w:b/>
          <w:bCs/>
          <w:color w:val="0f1115"/>
          <w:highlight w:val="none"/>
          <w:shd w:val="clear" w:color="auto" w:fill="ffffff"/>
        </w:rPr>
        <w:t xml:space="preserve">3、数据安全评估测评</w:t>
      </w:r>
      <w:r/>
    </w:p>
    <w:p>
      <w:pPr>
        <w:pStyle w:val="995"/>
        <w:ind w:firstLine="480"/>
        <w:spacing w:line="440" w:lineRule="exact"/>
        <w:shd w:val="clear" w:color="auto" w:fill="ffffff"/>
        <w:rPr>
          <w:rFonts w:asciiTheme="minorEastAsia" w:hAnsiTheme="minorEastAsia" w:eastAsiaTheme="minorEastAsia" w:cstheme="minorEastAsia"/>
          <w:highlight w:val="none"/>
        </w:rPr>
        <w:pBdr>
          <w:top w:val="none" w:color="000000" w:sz="0" w:space="0"/>
          <w:left w:val="none" w:color="000000" w:sz="0" w:space="0"/>
          <w:right w:val="none" w:color="000000" w:sz="0" w:space="0"/>
        </w:pBdr>
      </w:pPr>
      <w:r>
        <w:rPr>
          <w:rFonts w:hint="eastAsia" w:asciiTheme="minorEastAsia" w:hAnsiTheme="minorEastAsia" w:eastAsiaTheme="minorEastAsia" w:cstheme="minorEastAsia"/>
          <w:color w:val="0f1115"/>
          <w:highlight w:val="none"/>
          <w:shd w:val="clear" w:color="auto" w:fill="ffffff"/>
        </w:rPr>
        <w:t xml:space="preserve">依据《中华人民共和国数据安全法》及相关法律法规、技术标准，</w:t>
      </w:r>
      <w:r>
        <w:rPr>
          <w:rFonts w:hint="eastAsia" w:asciiTheme="minorEastAsia" w:hAnsiTheme="minorEastAsia" w:eastAsiaTheme="minorEastAsia" w:cstheme="minorEastAsia"/>
          <w:highlight w:val="none"/>
        </w:rPr>
        <w:t xml:space="preserve">项目实施及运维服务期间，</w:t>
      </w:r>
      <w:r>
        <w:rPr>
          <w:rFonts w:hint="eastAsia" w:asciiTheme="minorEastAsia" w:hAnsiTheme="minorEastAsia" w:eastAsiaTheme="minorEastAsia" w:cstheme="minorEastAsia"/>
          <w:color w:val="0f1115"/>
          <w:highlight w:val="none"/>
          <w:shd w:val="clear" w:color="auto" w:fill="ffffff"/>
        </w:rPr>
        <w:t xml:space="preserve">支持和配合采购人开展数据安全风险评估。评估涵盖数据分类分级、数据全生命周期安全保护、重要数据管理等内容。</w:t>
      </w:r>
      <w:r/>
    </w:p>
    <w:p>
      <w:pPr>
        <w:pStyle w:val="995"/>
        <w:ind w:firstLine="482"/>
        <w:spacing w:line="440" w:lineRule="exact"/>
        <w:shd w:val="clear" w:color="auto" w:fill="ffffff"/>
        <w:rPr>
          <w:rFonts w:asciiTheme="minorEastAsia" w:hAnsiTheme="minorEastAsia" w:eastAsiaTheme="minorEastAsia" w:cstheme="minorEastAsia"/>
          <w:color w:val="0f1115"/>
          <w:highlight w:val="none"/>
          <w:shd w:val="clear" w:color="auto" w:fill="ffffff"/>
        </w:rPr>
        <w:pBdr>
          <w:top w:val="none" w:color="000000" w:sz="0" w:space="0"/>
          <w:left w:val="none" w:color="000000" w:sz="0" w:space="0"/>
          <w:right w:val="none" w:color="000000" w:sz="0" w:space="0"/>
        </w:pBdr>
      </w:pPr>
      <w:r>
        <w:rPr>
          <w:rFonts w:hint="eastAsia" w:asciiTheme="minorEastAsia" w:hAnsiTheme="minorEastAsia" w:eastAsiaTheme="minorEastAsia" w:cstheme="minorEastAsia"/>
          <w:b/>
          <w:bCs/>
          <w:color w:val="0f1115"/>
          <w:highlight w:val="none"/>
          <w:shd w:val="clear" w:color="auto" w:fill="ffffff"/>
        </w:rPr>
        <w:t xml:space="preserve">4、保密与数据安全</w:t>
      </w:r>
      <w:r/>
    </w:p>
    <w:p>
      <w:pPr>
        <w:ind w:firstLine="480"/>
        <w:spacing w:line="440" w:lineRule="exact"/>
        <w:rPr>
          <w:rFonts w:asciiTheme="minorEastAsia" w:hAnsiTheme="minorEastAsia" w:eastAsiaTheme="minorEastAsia" w:cstheme="minorEastAsia"/>
          <w:i/>
          <w:iCs/>
          <w:color w:val="000000"/>
          <w:spacing w:val="11"/>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highlight w:val="none"/>
        </w:rPr>
        <w:t xml:space="preserve">在系统开发、调试、运行使用过程中，中标人严守保密规定，未经同意，不得将采购人信息数据向任何无关单位和个人提供和泄露项目数据。对评标区采集的数据，建立严格的数据保密措施。因操作不当导致泄密的，中标人承担相应法律责任。</w:t>
      </w:r>
      <w:r/>
    </w:p>
    <w:p>
      <w:pPr>
        <w:ind w:firstLine="482"/>
        <w:rPr>
          <w:rFonts w:ascii="宋体" w:hAnsi="宋体" w:cs="宋体"/>
          <w:b/>
          <w:bCs/>
          <w:i/>
          <w:iCs/>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i/>
          <w:iCs/>
          <w:sz w:val="24"/>
          <w:szCs w:val="24"/>
          <w:highlight w:val="none"/>
        </w:rPr>
      </w:r>
      <w:r/>
    </w:p>
    <w:p>
      <w:pPr>
        <w:pStyle w:val="985"/>
        <w:spacing w:before="0" w:after="0" w:line="440" w:lineRule="exact"/>
        <w:rPr>
          <w:rFonts w:ascii="宋体" w:hAnsi="宋体" w:cs="宋体"/>
          <w:b w:val="0"/>
          <w:bCs w:val="0"/>
          <w:i/>
          <w:iCs/>
          <w:sz w:val="24"/>
          <w:szCs w:val="24"/>
          <w:highlight w:val="none"/>
        </w:rPr>
        <w:pBdr>
          <w:top w:val="none" w:color="000000" w:sz="0" w:space="0"/>
          <w:left w:val="none" w:color="000000" w:sz="0" w:space="0"/>
          <w:right w:val="none" w:color="000000" w:sz="0" w:space="0"/>
        </w:pBdr>
      </w:pPr>
      <w:r>
        <w:rPr>
          <w:rFonts w:hint="eastAsia" w:ascii="宋体" w:hAnsi="宋体" w:cs="宋体"/>
          <w:i/>
          <w:iCs/>
          <w:sz w:val="24"/>
          <w:szCs w:val="24"/>
          <w:highlight w:val="none"/>
        </w:rPr>
        <w:t xml:space="preserve">3.7系统对接</w:t>
      </w:r>
      <w:r/>
    </w:p>
    <w:p>
      <w:pPr>
        <w:ind w:firstLine="464"/>
        <w:spacing w:line="440" w:lineRule="exact"/>
        <w:rPr>
          <w:rFonts w:asciiTheme="minorEastAsia" w:hAnsiTheme="minorEastAsia" w:eastAsiaTheme="minorEastAsia" w:cstheme="minorEastAsia"/>
          <w:i/>
          <w:iCs/>
          <w:color w:val="000000"/>
          <w:spacing w:val="11"/>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i/>
          <w:iCs/>
          <w:color w:val="000000"/>
          <w:spacing w:val="11"/>
          <w:sz w:val="24"/>
          <w:szCs w:val="24"/>
          <w:highlight w:val="none"/>
          <w:u w:val="single"/>
        </w:rPr>
        <w:t xml:space="preserve">中标人须承诺按照扬州市公共资源交易平台标准数据接口规范，完成与相关业务系统的对接集成。运维期内，因平台版本升级、接口规范变更或数据标准调整导致的系统适配工作，中标人须无条件配合完成系统适配对接或整合。相关费用由中标人承担。</w:t>
      </w:r>
      <w:r/>
    </w:p>
    <w:p>
      <w:pPr>
        <w:ind w:firstLine="464"/>
        <w:spacing w:line="440" w:lineRule="exact"/>
        <w:rPr>
          <w:rFonts w:ascii="宋体" w:hAnsi="宋体" w:cs="宋体"/>
          <w:i/>
          <w:iCs/>
          <w:color w:val="000000"/>
          <w:spacing w:val="11"/>
          <w:sz w:val="24"/>
          <w:szCs w:val="24"/>
          <w:highlight w:val="none"/>
          <w:u w:val="single"/>
        </w:rPr>
        <w:pBdr>
          <w:top w:val="none" w:color="000000" w:sz="0" w:space="0"/>
          <w:left w:val="none" w:color="000000" w:sz="0" w:space="0"/>
          <w:bottom w:val="none" w:color="000000" w:sz="0" w:space="0"/>
          <w:right w:val="none" w:color="000000" w:sz="0" w:space="0"/>
        </w:pBdr>
      </w:pPr>
      <w:r>
        <w:rPr>
          <w:rFonts w:ascii="宋体" w:hAnsi="宋体" w:cs="宋体"/>
          <w:i/>
          <w:iCs/>
          <w:color w:val="000000"/>
          <w:spacing w:val="11"/>
          <w:sz w:val="24"/>
          <w:szCs w:val="24"/>
          <w:highlight w:val="none"/>
          <w:u w:val="single"/>
        </w:rPr>
      </w:r>
      <w:r/>
    </w:p>
    <w:p>
      <w:pPr>
        <w:pStyle w:val="984"/>
        <w:numPr>
          <w:ilvl w:val="0"/>
          <w:numId w:val="26"/>
        </w:numPr>
        <w:jc w:val="left"/>
        <w:spacing w:before="0" w:after="0"/>
        <w:rPr>
          <w:rFonts w:ascii="宋体" w:hAnsi="宋体" w:eastAsia="宋体" w:cs="宋体"/>
          <w:b w:val="0"/>
          <w:bCs w:val="0"/>
          <w:color w:val="000000"/>
          <w:spacing w:val="-1"/>
          <w:sz w:val="24"/>
          <w:szCs w:val="24"/>
          <w:highlight w:val="none"/>
        </w:rPr>
      </w:pPr>
      <w:r>
        <w:rPr>
          <w:rFonts w:hint="eastAsia" w:ascii="宋体" w:hAnsi="宋体" w:eastAsia="宋体" w:cs="宋体"/>
          <w:color w:val="000000"/>
          <w:spacing w:val="-1"/>
          <w:sz w:val="24"/>
          <w:szCs w:val="24"/>
          <w:highlight w:val="none"/>
        </w:rPr>
        <w:t xml:space="preserve">项目售后服务要求</w:t>
      </w:r>
      <w:r/>
    </w:p>
    <w:p>
      <w:pPr>
        <w:numPr>
          <w:ilvl w:val="255"/>
          <w:numId w:val="0"/>
        </w:numPr>
        <w:rPr>
          <w:rFonts w:ascii="宋体" w:hAnsi="宋体" w:cs="宋体"/>
          <w:sz w:val="24"/>
          <w:szCs w:val="24"/>
          <w:highlight w:val="none"/>
        </w:rPr>
      </w:pPr>
      <w:r>
        <w:rPr>
          <w:rFonts w:ascii="宋体" w:hAnsi="宋体" w:cs="宋体"/>
          <w:sz w:val="24"/>
          <w:szCs w:val="24"/>
          <w:highlight w:val="none"/>
        </w:rPr>
      </w:r>
      <w:r/>
    </w:p>
    <w:p>
      <w:pPr>
        <w:pStyle w:val="985"/>
        <w:spacing w:before="0" w:after="0" w:line="440" w:lineRule="exact"/>
        <w:rPr>
          <w:rFonts w:ascii="宋体" w:hAnsi="宋体" w:cs="宋体"/>
          <w:sz w:val="24"/>
          <w:szCs w:val="24"/>
          <w:highlight w:val="none"/>
        </w:rPr>
      </w:pPr>
      <w:r>
        <w:rPr>
          <w:rFonts w:hint="eastAsia" w:ascii="宋体" w:hAnsi="宋体" w:cs="宋体"/>
          <w:b w:val="0"/>
          <w:bCs w:val="0"/>
          <w:sz w:val="24"/>
          <w:szCs w:val="24"/>
          <w:highlight w:val="none"/>
        </w:rPr>
        <w:t xml:space="preserve">4.1总体要求</w:t>
      </w:r>
      <w:r/>
    </w:p>
    <w:p>
      <w:pPr>
        <w:ind w:firstLine="464"/>
        <w:spacing w:line="440" w:lineRule="exact"/>
        <w:rPr>
          <w:rFonts w:ascii="宋体" w:hAnsi="宋体" w:cs="宋体"/>
          <w:color w:val="000000"/>
          <w:spacing w:val="1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1"/>
          <w:sz w:val="24"/>
          <w:szCs w:val="24"/>
          <w:highlight w:val="none"/>
        </w:rPr>
        <w:t xml:space="preserve">1、项目需遵循国家安全相关政策和国家标准（如《中华人民共和国网络安全法》《中华人民共和国数据安全法》《中华人民共和国个人信息保护法》等），建立完善的信息安全管理制度和运维规范。</w:t>
      </w:r>
      <w:r/>
    </w:p>
    <w:p>
      <w:pPr>
        <w:ind w:firstLine="464"/>
        <w:spacing w:line="440" w:lineRule="exact"/>
        <w:rPr>
          <w:rFonts w:ascii="宋体" w:hAnsi="宋体" w:cs="宋体"/>
          <w:color w:val="000000"/>
          <w:spacing w:val="1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1"/>
          <w:sz w:val="24"/>
          <w:szCs w:val="24"/>
          <w:highlight w:val="none"/>
        </w:rPr>
        <w:t xml:space="preserve">2、项目按照《生成式人工智能服务管理暂行办法》和网信部门有关要求，落实相关安全工作，协助采购人开展生成式人工智能服务登记工作。</w:t>
      </w:r>
      <w:r/>
    </w:p>
    <w:p>
      <w:pPr>
        <w:ind w:firstLine="464"/>
        <w:spacing w:line="440" w:lineRule="exact"/>
        <w:rPr>
          <w:rFonts w:ascii="宋体" w:hAnsi="宋体" w:cs="宋体"/>
          <w:i/>
          <w:iCs/>
          <w:color w:val="000000"/>
          <w:spacing w:val="11"/>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000000"/>
          <w:spacing w:val="11"/>
          <w:sz w:val="24"/>
          <w:szCs w:val="24"/>
          <w:highlight w:val="none"/>
          <w:u w:val="single"/>
        </w:rPr>
        <w:t xml:space="preserve">3、</w:t>
      </w:r>
      <w:r>
        <w:rPr>
          <w:rFonts w:hint="eastAsia" w:ascii="宋体" w:hAnsi="宋体" w:cs="宋体"/>
          <w:i/>
          <w:iCs/>
          <w:color w:val="000000"/>
          <w:spacing w:val="11"/>
          <w:sz w:val="24"/>
          <w:szCs w:val="24"/>
          <w:highlight w:val="none"/>
          <w:u w:val="single"/>
          <w:lang w:val="en-US" w:eastAsia="zh-CN"/>
        </w:rPr>
        <w:t xml:space="preserve">中</w:t>
      </w:r>
      <w:r>
        <w:rPr>
          <w:rFonts w:hint="eastAsia" w:ascii="宋体" w:hAnsi="宋体" w:cs="宋体"/>
          <w:i/>
          <w:iCs/>
          <w:color w:val="000000"/>
          <w:spacing w:val="11"/>
          <w:sz w:val="24"/>
          <w:szCs w:val="24"/>
          <w:highlight w:val="none"/>
          <w:u w:val="single"/>
        </w:rPr>
        <w:t xml:space="preserve">标人须提供稳定的售后技术支持团队，运维人员须经安全审查，原则上不得随意调换；确需变动的，须提前1个月向采购人报备，经采购人书面同意后方可调换，确保售后服务质量持续稳定。</w:t>
      </w:r>
      <w:r/>
    </w:p>
    <w:p>
      <w:pPr>
        <w:ind w:firstLine="464"/>
        <w:spacing w:line="440" w:lineRule="exact"/>
        <w:rPr>
          <w:rFonts w:ascii="宋体" w:hAnsi="宋体" w:cs="宋体"/>
          <w:i/>
          <w:iCs/>
          <w:color w:val="000000"/>
          <w:spacing w:val="11"/>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000000"/>
          <w:spacing w:val="11"/>
          <w:sz w:val="24"/>
          <w:szCs w:val="24"/>
          <w:highlight w:val="none"/>
          <w:u w:val="single"/>
        </w:rPr>
        <w:t xml:space="preserve">4、</w:t>
      </w:r>
      <w:r>
        <w:rPr>
          <w:rFonts w:hint="eastAsia" w:ascii="宋体" w:hAnsi="宋体" w:cs="宋体"/>
          <w:i/>
          <w:iCs/>
          <w:color w:val="000000"/>
          <w:spacing w:val="11"/>
          <w:sz w:val="24"/>
          <w:szCs w:val="24"/>
          <w:highlight w:val="none"/>
          <w:u w:val="single"/>
          <w:lang w:val="en-US" w:eastAsia="zh-CN"/>
        </w:rPr>
        <w:t xml:space="preserve">中</w:t>
      </w:r>
      <w:r>
        <w:rPr>
          <w:rFonts w:hint="eastAsia" w:ascii="宋体" w:hAnsi="宋体" w:cs="宋体"/>
          <w:i/>
          <w:iCs/>
          <w:color w:val="000000"/>
          <w:spacing w:val="11"/>
          <w:sz w:val="24"/>
          <w:szCs w:val="24"/>
          <w:highlight w:val="none"/>
          <w:u w:val="single"/>
        </w:rPr>
        <w:t xml:space="preserve">标人须提供三年免费软件升级和硬件质保服务（从项目验收通过之日起计）。产品中涉及原厂质保的，项目验收前，</w:t>
      </w:r>
      <w:r>
        <w:rPr>
          <w:rFonts w:hint="eastAsia" w:ascii="宋体" w:hAnsi="宋体" w:cs="宋体"/>
          <w:i/>
          <w:iCs/>
          <w:color w:val="000000"/>
          <w:spacing w:val="11"/>
          <w:sz w:val="24"/>
          <w:szCs w:val="24"/>
          <w:highlight w:val="none"/>
          <w:u w:val="single"/>
          <w:lang w:val="en-US" w:eastAsia="zh-CN"/>
        </w:rPr>
        <w:t xml:space="preserve">中</w:t>
      </w:r>
      <w:r>
        <w:rPr>
          <w:rFonts w:hint="eastAsia" w:ascii="宋体" w:hAnsi="宋体" w:cs="宋体"/>
          <w:i/>
          <w:iCs/>
          <w:color w:val="000000"/>
          <w:spacing w:val="11"/>
          <w:sz w:val="24"/>
          <w:szCs w:val="24"/>
          <w:highlight w:val="none"/>
          <w:u w:val="single"/>
        </w:rPr>
        <w:t xml:space="preserve">标人须提供原厂针对本项目产品售后服务承诺函原件。</w:t>
      </w:r>
      <w:r/>
    </w:p>
    <w:p>
      <w:pPr>
        <w:ind w:firstLine="464"/>
        <w:spacing w:line="440" w:lineRule="exact"/>
        <w:rPr>
          <w:rFonts w:ascii="宋体" w:hAnsi="宋体" w:cs="宋体"/>
          <w:i/>
          <w:iCs/>
          <w:color w:val="000000"/>
          <w:spacing w:val="11"/>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000000"/>
          <w:spacing w:val="11"/>
          <w:sz w:val="24"/>
          <w:szCs w:val="24"/>
          <w:highlight w:val="none"/>
          <w:u w:val="single"/>
        </w:rPr>
        <w:t xml:space="preserve">5、运维期内，采购人提出的系统功能调整需求，如属于原合同范围内已约定的功能或参数优化，投标人中标后无偿配合；原约定范围的新增需求或重大变更，双方另行协商费用并签订补充协议。</w:t>
      </w:r>
      <w:r/>
    </w:p>
    <w:p>
      <w:pPr>
        <w:ind w:firstLine="464"/>
        <w:spacing w:line="440" w:lineRule="exact"/>
        <w:rPr>
          <w:rFonts w:ascii="宋体" w:hAnsi="宋体" w:cs="宋体"/>
          <w:i/>
          <w:iCs/>
          <w:color w:val="000000"/>
          <w:spacing w:val="11"/>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000000"/>
          <w:spacing w:val="11"/>
          <w:sz w:val="24"/>
          <w:szCs w:val="24"/>
          <w:highlight w:val="none"/>
          <w:u w:val="single"/>
        </w:rPr>
        <w:t xml:space="preserve">6、投标人须提供安全责任承诺，承诺在服务期内由于</w:t>
      </w:r>
      <w:r>
        <w:rPr>
          <w:rFonts w:hint="eastAsia" w:ascii="宋体" w:hAnsi="宋体" w:cs="宋体"/>
          <w:i/>
          <w:iCs/>
          <w:color w:val="000000"/>
          <w:spacing w:val="11"/>
          <w:sz w:val="24"/>
          <w:szCs w:val="24"/>
          <w:highlight w:val="none"/>
          <w:u w:val="single"/>
          <w:lang w:eastAsia="zh-CN"/>
        </w:rPr>
        <w:t xml:space="preserve">中</w:t>
      </w:r>
      <w:r>
        <w:rPr>
          <w:rFonts w:hint="eastAsia" w:ascii="宋体" w:hAnsi="宋体" w:cs="宋体"/>
          <w:i/>
          <w:iCs/>
          <w:color w:val="000000"/>
          <w:spacing w:val="11"/>
          <w:sz w:val="24"/>
          <w:szCs w:val="24"/>
          <w:highlight w:val="none"/>
          <w:u w:val="single"/>
        </w:rPr>
        <w:t xml:space="preserve">标人的原因（如：技术缺陷、整改不到位、运维管理不到位等）导致发生安全事件，由</w:t>
      </w:r>
      <w:r>
        <w:rPr>
          <w:rFonts w:hint="eastAsia" w:ascii="宋体" w:hAnsi="宋体" w:cs="宋体"/>
          <w:i/>
          <w:iCs/>
          <w:color w:val="000000"/>
          <w:spacing w:val="11"/>
          <w:sz w:val="24"/>
          <w:szCs w:val="24"/>
          <w:highlight w:val="none"/>
          <w:u w:val="single"/>
          <w:lang w:eastAsia="zh-CN"/>
        </w:rPr>
        <w:t xml:space="preserve">中</w:t>
      </w:r>
      <w:r>
        <w:rPr>
          <w:rFonts w:hint="eastAsia" w:ascii="宋体" w:hAnsi="宋体" w:cs="宋体"/>
          <w:i/>
          <w:iCs/>
          <w:color w:val="000000"/>
          <w:spacing w:val="11"/>
          <w:sz w:val="24"/>
          <w:szCs w:val="24"/>
          <w:highlight w:val="none"/>
          <w:u w:val="single"/>
        </w:rPr>
        <w:t xml:space="preserve">标人承担相应经济责任和法律责任。</w:t>
      </w:r>
      <w:r/>
    </w:p>
    <w:p>
      <w:pPr>
        <w:spacing w:line="440" w:lineRule="exact"/>
        <w:rPr>
          <w:rFonts w:ascii="宋体" w:hAnsi="宋体" w:cs="宋体"/>
          <w:i/>
          <w:iCs/>
          <w:color w:val="000000"/>
          <w:spacing w:val="11"/>
          <w:sz w:val="24"/>
          <w:szCs w:val="24"/>
          <w:highlight w:val="none"/>
          <w:u w:val="single"/>
        </w:rPr>
        <w:pBdr>
          <w:top w:val="none" w:color="000000" w:sz="0" w:space="0"/>
          <w:left w:val="none" w:color="000000" w:sz="0" w:space="0"/>
          <w:bottom w:val="none" w:color="000000" w:sz="0" w:space="0"/>
          <w:right w:val="none" w:color="000000" w:sz="0" w:space="0"/>
        </w:pBdr>
      </w:pPr>
      <w:r>
        <w:rPr>
          <w:rFonts w:ascii="宋体" w:hAnsi="宋体" w:cs="宋体"/>
          <w:i/>
          <w:iCs/>
          <w:color w:val="000000"/>
          <w:spacing w:val="11"/>
          <w:sz w:val="24"/>
          <w:szCs w:val="24"/>
          <w:highlight w:val="none"/>
          <w:u w:val="single"/>
        </w:rPr>
      </w:r>
      <w:r/>
    </w:p>
    <w:p>
      <w:pPr>
        <w:pStyle w:val="985"/>
        <w:spacing w:before="0" w:after="0" w:line="440" w:lineRule="exact"/>
        <w:rPr>
          <w:rFonts w:ascii="宋体" w:hAnsi="宋体" w:cs="宋体"/>
          <w:sz w:val="24"/>
          <w:szCs w:val="24"/>
          <w:highlight w:val="none"/>
        </w:rPr>
      </w:pPr>
      <w:r>
        <w:rPr>
          <w:rFonts w:hint="eastAsia" w:ascii="宋体" w:hAnsi="宋体" w:cs="宋体"/>
          <w:sz w:val="24"/>
          <w:szCs w:val="24"/>
          <w:highlight w:val="none"/>
        </w:rPr>
        <w:t xml:space="preserve">4.2服务内容要求</w:t>
      </w:r>
      <w:r/>
    </w:p>
    <w:p>
      <w:pPr>
        <w:ind w:firstLine="480"/>
        <w:jc w:val="left"/>
        <w:spacing w:line="440" w:lineRule="exact"/>
        <w:rPr>
          <w:rFonts w:ascii="宋体" w:hAnsi="宋体" w:cs="宋体"/>
          <w:sz w:val="24"/>
          <w:szCs w:val="24"/>
          <w:highlight w:val="none"/>
          <w:lang w:val="zh-CN"/>
        </w:rPr>
      </w:pPr>
      <w:r>
        <w:rPr>
          <w:rFonts w:hint="eastAsia" w:ascii="宋体" w:hAnsi="宋体" w:cs="宋体"/>
          <w:color w:val="000000"/>
          <w:sz w:val="24"/>
          <w:szCs w:val="24"/>
          <w:highlight w:val="none"/>
          <w:u w:val="none"/>
          <w:lang w:bidi="ar"/>
        </w:rPr>
        <w:t xml:space="preserve">服务期内，</w:t>
      </w:r>
      <w:r>
        <w:rPr>
          <w:rFonts w:hint="eastAsia" w:ascii="宋体" w:hAnsi="宋体" w:cs="宋体"/>
          <w:sz w:val="24"/>
          <w:szCs w:val="24"/>
          <w:highlight w:val="none"/>
          <w:lang w:val="zh-CN"/>
        </w:rPr>
        <w:t xml:space="preserve">根据采购人要求提供必要的技术支持服务，服务内容包括但不限于：</w:t>
      </w:r>
      <w:r/>
    </w:p>
    <w:p>
      <w:pPr>
        <w:ind w:firstLine="480"/>
        <w:jc w:val="left"/>
        <w:spacing w:line="44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1.软件故障诊断和处理。中标人应配合采购人解决平台在运行过程中出现的故障及问题，根据采购人要求及时协调进行分析、处理。对于由相关硬件引起的系统故障，应及时通知硬件厂商，并配合硬件厂商技术人员分析和解决问题，及时恢复系统正常运行。</w:t>
      </w:r>
      <w:r/>
    </w:p>
    <w:p>
      <w:pPr>
        <w:ind w:firstLine="480"/>
        <w:jc w:val="left"/>
        <w:spacing w:line="440" w:lineRule="exact"/>
        <w:rPr>
          <w:rFonts w:ascii="宋体" w:hAnsi="宋体" w:cs="宋体"/>
          <w:sz w:val="24"/>
          <w:szCs w:val="24"/>
          <w:highlight w:val="none"/>
          <w:lang w:val="zh-CN"/>
        </w:rPr>
      </w:pPr>
      <w:r>
        <w:rPr>
          <w:rFonts w:hint="eastAsia" w:ascii="宋体" w:hAnsi="宋体" w:cs="宋体"/>
          <w:sz w:val="24"/>
          <w:szCs w:val="24"/>
          <w:highlight w:val="none"/>
        </w:rPr>
        <w:t xml:space="preserve">2</w:t>
      </w:r>
      <w:r>
        <w:rPr>
          <w:rFonts w:hint="eastAsia" w:ascii="宋体" w:hAnsi="宋体" w:cs="宋体"/>
          <w:sz w:val="24"/>
          <w:szCs w:val="24"/>
          <w:highlight w:val="none"/>
          <w:lang w:val="zh-CN"/>
        </w:rPr>
        <w:t xml:space="preserve">.数据维护。系统运行过程中因某种原因可能会产生</w:t>
      </w:r>
      <w:r>
        <w:rPr>
          <w:rFonts w:hint="eastAsia" w:ascii="宋体" w:hAnsi="宋体" w:cs="宋体"/>
          <w:sz w:val="24"/>
          <w:szCs w:val="24"/>
          <w:highlight w:val="none"/>
          <w:lang w:val="en-US" w:eastAsia="zh-CN"/>
        </w:rPr>
        <w:t xml:space="preserve">要</w:t>
      </w:r>
      <w:r>
        <w:rPr>
          <w:rFonts w:hint="eastAsia" w:ascii="宋体" w:hAnsi="宋体" w:cs="宋体"/>
          <w:sz w:val="24"/>
          <w:szCs w:val="24"/>
          <w:highlight w:val="none"/>
          <w:lang w:val="zh-CN"/>
        </w:rPr>
        <w:t xml:space="preserve">通过后台进行维护操作的数据，为保证系统数据的逻辑性、正确性和完整性，严格按照数据处理流程，经过确认后在相关人员监督下通过堡垒机进行后台数据维护相关工作。</w:t>
      </w:r>
      <w:r/>
    </w:p>
    <w:p>
      <w:pPr>
        <w:ind w:firstLine="480"/>
        <w:jc w:val="left"/>
        <w:spacing w:line="440" w:lineRule="exact"/>
        <w:rPr>
          <w:rFonts w:ascii="宋体" w:hAnsi="宋体" w:cs="宋体"/>
          <w:sz w:val="24"/>
          <w:szCs w:val="24"/>
          <w:highlight w:val="none"/>
          <w:lang w:val="zh-CN"/>
        </w:rPr>
      </w:pPr>
      <w:r>
        <w:rPr>
          <w:rFonts w:hint="eastAsia" w:ascii="宋体" w:hAnsi="宋体" w:cs="宋体"/>
          <w:sz w:val="24"/>
          <w:szCs w:val="24"/>
          <w:highlight w:val="none"/>
        </w:rPr>
        <w:t xml:space="preserve">3</w:t>
      </w:r>
      <w:r>
        <w:rPr>
          <w:rFonts w:hint="eastAsia" w:ascii="宋体" w:hAnsi="宋体" w:cs="宋体"/>
          <w:sz w:val="24"/>
          <w:szCs w:val="24"/>
          <w:highlight w:val="none"/>
          <w:lang w:val="zh-CN"/>
        </w:rPr>
        <w:t xml:space="preserve">.性能调优。中标人应根据系统监控情况，对系统软件进行性能优化。</w:t>
      </w:r>
      <w:r/>
    </w:p>
    <w:p>
      <w:pPr>
        <w:ind w:firstLine="480"/>
        <w:jc w:val="left"/>
        <w:spacing w:line="440" w:lineRule="exact"/>
        <w:rPr>
          <w:rFonts w:ascii="宋体" w:hAnsi="宋体" w:cs="宋体"/>
          <w:sz w:val="24"/>
          <w:szCs w:val="24"/>
          <w:highlight w:val="none"/>
          <w:lang w:val="zh-CN"/>
        </w:rPr>
      </w:pPr>
      <w:r>
        <w:rPr>
          <w:rFonts w:hint="eastAsia" w:ascii="宋体" w:hAnsi="宋体" w:cs="宋体"/>
          <w:sz w:val="24"/>
          <w:szCs w:val="24"/>
          <w:highlight w:val="none"/>
        </w:rPr>
        <w:t xml:space="preserve">4</w:t>
      </w:r>
      <w:r>
        <w:rPr>
          <w:rFonts w:hint="eastAsia" w:ascii="宋体" w:hAnsi="宋体" w:cs="宋体"/>
          <w:sz w:val="24"/>
          <w:szCs w:val="24"/>
          <w:highlight w:val="none"/>
          <w:lang w:val="zh-CN"/>
        </w:rPr>
        <w:t xml:space="preserve">.软件优化升级。服务期内，中标人应针对实际使用过程中出现的软件BUG问题，组织开发人员进行优化升级，形成升级补丁包，解决软件运行BUG问题。针对软件系统运行过程中发现的漏洞和安全隐患问题，中标人应及时提供对应的升级补丁包对系统进行加固，并提供升级文档。服务期内，系统应支持免费升级到最新版本的底层平台。</w:t>
      </w:r>
      <w:r/>
    </w:p>
    <w:p>
      <w:pPr>
        <w:ind w:firstLine="480"/>
        <w:jc w:val="left"/>
        <w:spacing w:line="440" w:lineRule="exact"/>
        <w:rPr>
          <w:rFonts w:ascii="宋体" w:hAnsi="宋体" w:cs="宋体"/>
          <w:sz w:val="24"/>
          <w:szCs w:val="24"/>
          <w:highlight w:val="none"/>
          <w:lang w:val="zh-CN"/>
        </w:rPr>
      </w:pPr>
      <w:r>
        <w:rPr>
          <w:rFonts w:hint="eastAsia" w:ascii="宋体" w:hAnsi="宋体" w:cs="宋体"/>
          <w:sz w:val="24"/>
          <w:szCs w:val="24"/>
          <w:highlight w:val="none"/>
        </w:rPr>
        <w:t xml:space="preserve">5</w:t>
      </w:r>
      <w:r>
        <w:rPr>
          <w:rFonts w:hint="eastAsia" w:ascii="宋体" w:hAnsi="宋体" w:cs="宋体"/>
          <w:sz w:val="24"/>
          <w:szCs w:val="24"/>
          <w:highlight w:val="none"/>
          <w:lang w:val="zh-CN"/>
        </w:rPr>
        <w:t xml:space="preserve">.系统迁移和部署。服务期内，平台如果有迁移需求，中标人要协助采购人完成平台迁移部署工作。</w:t>
      </w:r>
      <w:r/>
    </w:p>
    <w:p>
      <w:pPr>
        <w:ind w:firstLine="480"/>
        <w:jc w:val="left"/>
        <w:spacing w:line="440" w:lineRule="exact"/>
        <w:rPr>
          <w:rFonts w:ascii="宋体" w:hAnsi="宋体" w:cs="宋体"/>
          <w:sz w:val="24"/>
          <w:szCs w:val="24"/>
          <w:highlight w:val="none"/>
          <w:lang w:val="zh-CN"/>
        </w:rPr>
      </w:pPr>
      <w:r>
        <w:rPr>
          <w:rFonts w:hint="eastAsia" w:ascii="宋体" w:hAnsi="宋体" w:cs="宋体"/>
          <w:sz w:val="24"/>
          <w:szCs w:val="24"/>
          <w:highlight w:val="none"/>
        </w:rPr>
        <w:t xml:space="preserve">6</w:t>
      </w:r>
      <w:r>
        <w:rPr>
          <w:rFonts w:hint="eastAsia" w:ascii="宋体" w:hAnsi="宋体" w:cs="宋体"/>
          <w:sz w:val="24"/>
          <w:szCs w:val="24"/>
          <w:highlight w:val="none"/>
          <w:lang w:val="zh-CN"/>
        </w:rPr>
        <w:t xml:space="preserve">.备份与恢复。中标人应根据采购人要求，为备份和恢复工作提供技术支持和合理化建议。并根据采购人要求，搭建恢复测试环境，定期进行备份数据恢复测试，以确保备份数据有效性。</w:t>
      </w:r>
      <w:r/>
    </w:p>
    <w:p>
      <w:pPr>
        <w:ind w:firstLine="480"/>
        <w:jc w:val="left"/>
        <w:spacing w:line="440" w:lineRule="exact"/>
        <w:rPr>
          <w:rFonts w:ascii="宋体" w:hAnsi="宋体" w:cs="宋体"/>
          <w:sz w:val="24"/>
          <w:szCs w:val="24"/>
          <w:highlight w:val="none"/>
          <w:lang w:val="zh-CN"/>
        </w:rPr>
      </w:pPr>
      <w:r>
        <w:rPr>
          <w:rFonts w:hint="eastAsia" w:ascii="宋体" w:hAnsi="宋体" w:cs="宋体"/>
          <w:sz w:val="24"/>
          <w:szCs w:val="24"/>
          <w:highlight w:val="none"/>
        </w:rPr>
        <w:t xml:space="preserve">7</w:t>
      </w:r>
      <w:r>
        <w:rPr>
          <w:rFonts w:hint="eastAsia" w:ascii="宋体" w:hAnsi="宋体" w:cs="宋体"/>
          <w:sz w:val="24"/>
          <w:szCs w:val="24"/>
          <w:highlight w:val="none"/>
          <w:lang w:val="zh-CN"/>
        </w:rPr>
        <w:t xml:space="preserve">.应急响应。根据采购人实际要求，制定应急响应方案，中标人应在公共资源交易中心的统一组织和安排下，通过远程或者现场方式配合相关工作。</w:t>
      </w:r>
      <w:r/>
    </w:p>
    <w:p>
      <w:pPr>
        <w:ind w:firstLine="480"/>
        <w:jc w:val="left"/>
        <w:spacing w:line="440" w:lineRule="exact"/>
        <w:rPr>
          <w:rFonts w:ascii="宋体" w:hAnsi="宋体" w:cs="宋体"/>
          <w:sz w:val="24"/>
          <w:szCs w:val="24"/>
          <w:highlight w:val="none"/>
        </w:rPr>
      </w:pPr>
      <w:r>
        <w:rPr>
          <w:rFonts w:hint="eastAsia" w:ascii="宋体" w:hAnsi="宋体" w:cs="宋体"/>
          <w:sz w:val="24"/>
          <w:szCs w:val="24"/>
          <w:highlight w:val="none"/>
        </w:rPr>
        <w:t xml:space="preserve">8</w:t>
      </w:r>
      <w:r>
        <w:rPr>
          <w:rFonts w:hint="eastAsia" w:ascii="宋体" w:hAnsi="宋体" w:cs="宋体"/>
          <w:sz w:val="24"/>
          <w:szCs w:val="24"/>
          <w:highlight w:val="none"/>
          <w:lang w:val="zh-CN"/>
        </w:rPr>
        <w:t xml:space="preserve">.</w:t>
      </w:r>
      <w:r>
        <w:rPr>
          <w:rFonts w:ascii="宋体" w:hAnsi="宋体" w:cs="宋体"/>
          <w:sz w:val="24"/>
          <w:szCs w:val="24"/>
          <w:highlight w:val="none"/>
        </w:rPr>
        <w:t xml:space="preserve">现场技术支持服务</w:t>
      </w:r>
      <w:r>
        <w:rPr>
          <w:rFonts w:hint="eastAsia" w:ascii="宋体" w:hAnsi="宋体" w:cs="宋体"/>
          <w:sz w:val="24"/>
          <w:szCs w:val="24"/>
          <w:highlight w:val="none"/>
        </w:rPr>
        <w:t xml:space="preserve">。</w:t>
      </w:r>
      <w:r>
        <w:rPr>
          <w:rFonts w:ascii="宋体" w:hAnsi="宋体" w:cs="宋体"/>
          <w:sz w:val="24"/>
          <w:szCs w:val="24"/>
          <w:highlight w:val="none"/>
        </w:rPr>
        <w:t xml:space="preserve">服务期内，根据项目需求提供现场技术支撑，包含故障处置、软件系统迁移等相关工作</w:t>
      </w:r>
      <w:r>
        <w:rPr>
          <w:rFonts w:hint="eastAsia" w:ascii="宋体" w:hAnsi="宋体" w:cs="宋体"/>
          <w:sz w:val="24"/>
          <w:szCs w:val="24"/>
          <w:highlight w:val="none"/>
        </w:rPr>
        <w:t xml:space="preserve">。</w:t>
      </w:r>
      <w:r/>
    </w:p>
    <w:p>
      <w:pPr>
        <w:ind w:firstLine="480"/>
        <w:jc w:val="left"/>
        <w:spacing w:line="440" w:lineRule="exact"/>
        <w:rPr>
          <w:rFonts w:ascii="宋体" w:hAnsi="宋体" w:cs="宋体"/>
          <w:sz w:val="24"/>
          <w:szCs w:val="24"/>
          <w:highlight w:val="none"/>
        </w:rPr>
      </w:pPr>
      <w:r>
        <w:rPr>
          <w:rFonts w:hint="eastAsia" w:ascii="宋体" w:hAnsi="宋体" w:cs="宋体"/>
          <w:sz w:val="24"/>
          <w:szCs w:val="24"/>
          <w:highlight w:val="none"/>
        </w:rPr>
        <w:t xml:space="preserve">9.日常巡检服务。</w:t>
      </w:r>
      <w:r/>
    </w:p>
    <w:p>
      <w:pPr>
        <w:ind w:firstLine="480"/>
        <w:jc w:val="left"/>
        <w:spacing w:line="440" w:lineRule="exact"/>
        <w:rPr>
          <w:rFonts w:ascii="宋体" w:hAnsi="宋体" w:cs="宋体"/>
          <w:sz w:val="24"/>
          <w:szCs w:val="24"/>
          <w:highlight w:val="none"/>
        </w:rPr>
      </w:pPr>
      <w:r>
        <w:rPr>
          <w:rFonts w:hint="eastAsia" w:ascii="宋体" w:hAnsi="宋体" w:cs="宋体"/>
          <w:sz w:val="24"/>
          <w:szCs w:val="24"/>
          <w:highlight w:val="none"/>
        </w:rPr>
        <w:t xml:space="preserve">巡检采用远程与现场相结合的方式：</w:t>
      </w:r>
      <w:r/>
    </w:p>
    <w:p>
      <w:pPr>
        <w:ind w:firstLine="480"/>
        <w:jc w:val="left"/>
        <w:spacing w:line="440" w:lineRule="exact"/>
        <w:rPr>
          <w:rFonts w:ascii="宋体" w:hAnsi="宋体" w:cs="宋体"/>
          <w:sz w:val="24"/>
          <w:szCs w:val="24"/>
          <w:highlight w:val="none"/>
        </w:rPr>
      </w:pPr>
      <w:r>
        <w:rPr>
          <w:rFonts w:hint="eastAsia" w:ascii="宋体" w:hAnsi="宋体" w:cs="宋体"/>
          <w:sz w:val="24"/>
          <w:szCs w:val="24"/>
          <w:highlight w:val="none"/>
        </w:rPr>
        <w:t xml:space="preserve">（1）远程巡检：系统层面每周开展远程巡检，涵盖各业务系统功能模块、大模型推理服务、视频分析服务、云桌面服务等运行状态，以及服务器资源占用、存储空间及备份任务执行情况等。</w:t>
      </w:r>
      <w:r/>
    </w:p>
    <w:p>
      <w:pPr>
        <w:ind w:firstLine="480"/>
        <w:jc w:val="left"/>
        <w:spacing w:line="440" w:lineRule="exact"/>
        <w:rPr>
          <w:rFonts w:ascii="宋体" w:hAnsi="宋体" w:cs="宋体"/>
          <w:sz w:val="24"/>
          <w:szCs w:val="24"/>
          <w:highlight w:val="none"/>
        </w:rPr>
      </w:pPr>
      <w:r>
        <w:rPr>
          <w:rFonts w:hint="eastAsia" w:ascii="宋体" w:hAnsi="宋体" w:cs="宋体"/>
          <w:sz w:val="24"/>
          <w:szCs w:val="24"/>
          <w:highlight w:val="none"/>
        </w:rPr>
        <w:t xml:space="preserve">（2）现场巡检：硬件设备由中标人安排工程师每月至少一次抵达交易中心现场进行实地巡检，检查内容包括服务器运行状态及指示灯、硬盘健康状态、摄像头及拾音设备物理完好性、门禁及人脸识别设备灵敏度、网络设备及链路通断情况、机柜供电及散热环境等，每次现场巡检形成《硬件现场巡检记录单》，由双方签字确认。</w:t>
      </w:r>
      <w:r/>
    </w:p>
    <w:p>
      <w:pPr>
        <w:ind w:firstLine="480"/>
        <w:jc w:val="left"/>
        <w:spacing w:line="440" w:lineRule="exact"/>
        <w:rPr>
          <w:rFonts w:ascii="宋体" w:hAnsi="宋体" w:cs="宋体"/>
          <w:sz w:val="24"/>
          <w:szCs w:val="24"/>
          <w:highlight w:val="none"/>
        </w:rPr>
      </w:pPr>
      <w:r>
        <w:rPr>
          <w:rFonts w:hint="eastAsia" w:ascii="宋体" w:hAnsi="宋体" w:cs="宋体"/>
          <w:sz w:val="24"/>
          <w:szCs w:val="24"/>
          <w:highlight w:val="none"/>
        </w:rPr>
        <w:t xml:space="preserve">（3）告警处置与巡检报告：巡检中触发告警的，中标人即时响应处置，并在处置完成后向采购人反馈处理结果。中标人于每月向采购人提交加盖公章的《系统运行月度巡检报告》，包含子系统可用性统计、语音检出率/误报率统计、资源消耗趋势预测、隐患整改台账等内容；针对报告中发现的问题，中标人应提交整改方案及排期，整改完成后出具复测记录，形成闭环管理。具体响应时限及整改要求由双方在日常运维中根据实际情况另行约定。</w:t>
      </w:r>
      <w:r/>
    </w:p>
    <w:p>
      <w:pPr>
        <w:ind w:firstLine="480"/>
        <w:jc w:val="left"/>
        <w:spacing w:line="440" w:lineRule="exact"/>
        <w:rPr>
          <w:rFonts w:ascii="宋体" w:hAnsi="宋体" w:cs="宋体"/>
          <w:sz w:val="24"/>
          <w:szCs w:val="24"/>
          <w:highlight w:val="none"/>
        </w:rPr>
      </w:pPr>
      <w:r>
        <w:rPr>
          <w:rFonts w:hint="eastAsia" w:ascii="宋体" w:hAnsi="宋体" w:cs="宋体"/>
          <w:sz w:val="24"/>
          <w:szCs w:val="24"/>
          <w:highlight w:val="none"/>
        </w:rPr>
        <w:t xml:space="preserve">10.安全服务要求</w:t>
      </w:r>
      <w:r/>
    </w:p>
    <w:p>
      <w:pPr>
        <w:ind w:firstLine="480"/>
        <w:jc w:val="left"/>
        <w:spacing w:line="440" w:lineRule="exact"/>
        <w:rPr>
          <w:rFonts w:ascii="宋体" w:hAnsi="宋体" w:cs="宋体"/>
          <w:sz w:val="24"/>
          <w:szCs w:val="24"/>
          <w:highlight w:val="none"/>
        </w:rPr>
      </w:pPr>
      <w:r>
        <w:rPr>
          <w:rFonts w:hint="eastAsia" w:ascii="宋体" w:hAnsi="宋体" w:cs="宋体"/>
          <w:sz w:val="24"/>
          <w:szCs w:val="24"/>
          <w:highlight w:val="none"/>
        </w:rPr>
        <w:t xml:space="preserve">服务期内，中标人配合采购人完成以下安全工作：</w:t>
      </w:r>
      <w:r/>
    </w:p>
    <w:p>
      <w:pPr>
        <w:ind w:firstLine="480"/>
        <w:jc w:val="left"/>
        <w:spacing w:line="440" w:lineRule="exact"/>
        <w:rPr>
          <w:rFonts w:ascii="宋体" w:hAnsi="宋体" w:cs="宋体"/>
          <w:sz w:val="24"/>
          <w:szCs w:val="24"/>
          <w:highlight w:val="none"/>
        </w:rPr>
      </w:pPr>
      <w:r>
        <w:rPr>
          <w:rFonts w:hint="eastAsia" w:ascii="宋体" w:hAnsi="宋体" w:cs="宋体"/>
          <w:sz w:val="24"/>
          <w:szCs w:val="24"/>
          <w:highlight w:val="none"/>
        </w:rPr>
        <w:t xml:space="preserve">（1）安全测评配合：配合采购人完成等保三级测评、商用密码应用安全性评估、数据安全风险评估等测评工作，负责测评中发现问题的整改修复。</w:t>
      </w:r>
      <w:r/>
    </w:p>
    <w:p>
      <w:pPr>
        <w:ind w:firstLine="480"/>
        <w:jc w:val="left"/>
        <w:spacing w:line="440" w:lineRule="exact"/>
        <w:rPr>
          <w:rFonts w:ascii="宋体" w:hAnsi="宋体" w:cs="宋体"/>
          <w:sz w:val="24"/>
          <w:szCs w:val="24"/>
          <w:highlight w:val="none"/>
        </w:rPr>
      </w:pPr>
      <w:r>
        <w:rPr>
          <w:rFonts w:hint="eastAsia" w:ascii="宋体" w:hAnsi="宋体" w:cs="宋体"/>
          <w:sz w:val="24"/>
          <w:szCs w:val="24"/>
          <w:highlight w:val="none"/>
        </w:rPr>
        <w:t xml:space="preserve">（2）日常安全检查：配合采购人或其委托的第三方机构开展月度安全扫描、季度风险评估等日常安全检查工作，对发现的安全漏洞、风险隐患在规定时限内完成整改修复。</w:t>
      </w:r>
      <w:r/>
    </w:p>
    <w:p>
      <w:pPr>
        <w:ind w:firstLine="480"/>
        <w:jc w:val="left"/>
        <w:spacing w:line="440" w:lineRule="exact"/>
        <w:rPr>
          <w:rFonts w:ascii="宋体" w:hAnsi="宋体" w:cs="宋体"/>
          <w:sz w:val="24"/>
          <w:szCs w:val="24"/>
          <w:highlight w:val="none"/>
        </w:rPr>
      </w:pPr>
      <w:r>
        <w:rPr>
          <w:rFonts w:hint="eastAsia" w:ascii="宋体" w:hAnsi="宋体" w:cs="宋体"/>
          <w:sz w:val="24"/>
          <w:szCs w:val="24"/>
          <w:highlight w:val="none"/>
        </w:rPr>
        <w:t xml:space="preserve">（3）重大活动安全保障：在国家重大活动、关键时间节点及采购人指定的重点保障时期，中标人安排安全技术人员开展远程或现场值守，配合采购人完成安全监测、应急响应及信息报送工作，确保系统安全稳定运行。值守期间发现的安全问题即时响应处置。</w:t>
      </w:r>
      <w:r/>
    </w:p>
    <w:p>
      <w:pPr>
        <w:pStyle w:val="985"/>
        <w:spacing w:before="0" w:after="0" w:line="440" w:lineRule="exact"/>
        <w:rPr>
          <w:rFonts w:ascii="宋体" w:hAnsi="宋体" w:cs="宋体"/>
          <w:sz w:val="24"/>
          <w:szCs w:val="24"/>
          <w:highlight w:val="none"/>
        </w:rPr>
      </w:pPr>
      <w:r>
        <w:rPr>
          <w:rFonts w:hint="eastAsia" w:ascii="宋体" w:hAnsi="宋体" w:cs="宋体"/>
          <w:sz w:val="24"/>
          <w:szCs w:val="24"/>
          <w:highlight w:val="none"/>
        </w:rPr>
        <w:t xml:space="preserve">4.3服务方式要求</w:t>
      </w:r>
      <w:r/>
    </w:p>
    <w:p>
      <w:pPr>
        <w:ind w:firstLine="480"/>
        <w:jc w:val="left"/>
        <w:spacing w:line="44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中标人应提供多元化的服务方式，包括远程协助、电话、现场支持、会议等，来有力的支撑系统运行维护工作。</w:t>
      </w:r>
      <w:r/>
    </w:p>
    <w:p>
      <w:pPr>
        <w:ind w:firstLine="480"/>
        <w:jc w:val="left"/>
        <w:spacing w:line="44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1.远程协助</w:t>
      </w:r>
      <w:r/>
    </w:p>
    <w:p>
      <w:pPr>
        <w:ind w:firstLine="480"/>
        <w:jc w:val="left"/>
        <w:spacing w:line="44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通过项目实施单位提供的VPN和堡垒机远程排查、处理用户提出的问题。提供7×24小时远程协助服务。</w:t>
      </w:r>
      <w:r/>
    </w:p>
    <w:p>
      <w:pPr>
        <w:ind w:firstLine="480"/>
        <w:jc w:val="left"/>
        <w:spacing w:line="44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2.电话</w:t>
      </w:r>
      <w:r/>
    </w:p>
    <w:p>
      <w:pPr>
        <w:ind w:firstLine="480"/>
        <w:jc w:val="left"/>
        <w:spacing w:line="44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通过电话方式接收用户提出的各类问题，监控、诊断和解决各校区的问题和故障。电话支持，提供7×24小时电话响应服务。</w:t>
      </w:r>
      <w:r/>
    </w:p>
    <w:p>
      <w:pPr>
        <w:ind w:firstLine="480"/>
        <w:jc w:val="left"/>
        <w:spacing w:line="44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3.现场支持</w:t>
      </w:r>
      <w:r/>
    </w:p>
    <w:p>
      <w:pPr>
        <w:ind w:firstLine="480"/>
        <w:jc w:val="left"/>
        <w:spacing w:line="44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根据项目实施单位的要求配备专门的技术支持人员，用于响应事出紧急或无法通过常规方法（远程协助和电话）解决服务请求。按照采购人实际工作需求提供。</w:t>
      </w:r>
      <w:r/>
    </w:p>
    <w:p>
      <w:pPr>
        <w:pStyle w:val="985"/>
        <w:spacing w:before="0" w:after="0" w:line="440" w:lineRule="exact"/>
        <w:rPr>
          <w:rFonts w:ascii="宋体" w:hAnsi="宋体" w:cs="宋体"/>
          <w:sz w:val="24"/>
          <w:szCs w:val="24"/>
          <w:highlight w:val="none"/>
        </w:rPr>
      </w:pPr>
      <w:r>
        <w:rPr>
          <w:rFonts w:hint="eastAsia" w:ascii="宋体" w:hAnsi="宋体" w:cs="宋体"/>
          <w:sz w:val="24"/>
          <w:szCs w:val="24"/>
          <w:highlight w:val="none"/>
        </w:rPr>
        <w:t xml:space="preserve">4.4服务响应要求</w:t>
      </w:r>
      <w:r/>
    </w:p>
    <w:p>
      <w:pPr>
        <w:numPr>
          <w:ilvl w:val="0"/>
          <w:numId w:val="27"/>
        </w:numPr>
        <w:ind w:firstLine="480"/>
        <w:jc w:val="left"/>
        <w:spacing w:line="44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出现系统故障或业务功能点出现问题时，1小时内给出实质性的答复；如不能明确故障所在的，中标人应在接到招标方通知后，派出所需的相关人员，并在4小时内到现场。中标人应派出人员参与解决问题的过程直到解决问题为止。一般故障解决时间不超过</w:t>
      </w:r>
      <w:r>
        <w:rPr>
          <w:rFonts w:hint="eastAsia" w:ascii="宋体" w:hAnsi="宋体" w:cs="宋体"/>
          <w:sz w:val="24"/>
          <w:szCs w:val="24"/>
          <w:highlight w:val="none"/>
        </w:rPr>
        <w:t xml:space="preserve">2</w:t>
      </w:r>
      <w:r>
        <w:rPr>
          <w:rFonts w:hint="eastAsia" w:ascii="宋体" w:hAnsi="宋体" w:cs="宋体"/>
          <w:sz w:val="24"/>
          <w:szCs w:val="24"/>
          <w:highlight w:val="none"/>
          <w:lang w:val="zh-CN"/>
        </w:rPr>
        <w:t xml:space="preserve">小时，重大故障解决时间不超过</w:t>
      </w:r>
      <w:r>
        <w:rPr>
          <w:rFonts w:hint="eastAsia" w:ascii="宋体" w:hAnsi="宋体" w:cs="宋体"/>
          <w:sz w:val="24"/>
          <w:szCs w:val="24"/>
          <w:highlight w:val="none"/>
        </w:rPr>
        <w:t xml:space="preserve">24</w:t>
      </w:r>
      <w:r>
        <w:rPr>
          <w:rFonts w:hint="eastAsia" w:ascii="宋体" w:hAnsi="宋体" w:cs="宋体"/>
          <w:sz w:val="24"/>
          <w:szCs w:val="24"/>
          <w:highlight w:val="none"/>
          <w:lang w:val="zh-CN"/>
        </w:rPr>
        <w:t xml:space="preserve">小时。</w:t>
      </w:r>
      <w:r/>
    </w:p>
    <w:p>
      <w:pPr>
        <w:ind w:firstLine="480"/>
        <w:jc w:val="left"/>
        <w:spacing w:line="44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2.故障解决后24小时内，应向用户单位提交故障处理报告。说明故障种类、故障原因、故障解决中使用的方法及故障损失等情况，同时负责针对引发故障的原因，给出建议或维护方案，避免同类故障再次发生。</w:t>
      </w:r>
      <w:r/>
    </w:p>
    <w:p>
      <w:pPr>
        <w:pStyle w:val="985"/>
        <w:spacing w:before="0" w:after="0" w:line="440" w:lineRule="exact"/>
        <w:rPr>
          <w:rFonts w:ascii="宋体" w:hAnsi="宋体" w:cs="宋体"/>
          <w:sz w:val="24"/>
          <w:szCs w:val="24"/>
          <w:highlight w:val="none"/>
        </w:rPr>
      </w:pPr>
      <w:r>
        <w:rPr>
          <w:rFonts w:hint="eastAsia" w:ascii="宋体" w:hAnsi="宋体" w:cs="宋体"/>
          <w:sz w:val="24"/>
          <w:szCs w:val="24"/>
          <w:highlight w:val="none"/>
        </w:rPr>
        <w:t xml:space="preserve">4.5应急保障</w:t>
      </w:r>
      <w:r/>
    </w:p>
    <w:p>
      <w:pPr>
        <w:ind w:firstLine="480"/>
        <w:jc w:val="left"/>
        <w:spacing w:line="44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1.预防为主、防治结合：加强补丁测试工作，加强数据备份工作，加强日常检查和监控，达到及时发现、及时解决，防患于未然的目标。</w:t>
      </w:r>
      <w:r/>
    </w:p>
    <w:p>
      <w:pPr>
        <w:ind w:firstLine="480"/>
        <w:jc w:val="left"/>
        <w:spacing w:line="44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2.控制影响、及时处置：启动保障关键业务连续性的应急措施、技术应急保障措施，向项目实施单位及时报告，处置可能发生的危害。</w:t>
      </w:r>
      <w:r/>
    </w:p>
    <w:p>
      <w:pPr>
        <w:ind w:firstLine="480"/>
        <w:jc w:val="left"/>
        <w:spacing w:line="44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3.有效恢复、不断改进：分析问题原因调整资源配置，完善管理制度加强技术措施，加强系统健壮性建设，调整系统业务、技术应急保障措施，杜绝问题的再次发生。</w:t>
      </w:r>
      <w:r/>
    </w:p>
    <w:p>
      <w:pPr>
        <w:ind w:firstLine="480"/>
        <w:jc w:val="left"/>
        <w:rPr>
          <w:rFonts w:ascii="宋体" w:hAnsi="宋体" w:cs="宋体"/>
          <w:sz w:val="24"/>
          <w:szCs w:val="24"/>
          <w:highlight w:val="none"/>
          <w:lang w:val="zh-CN"/>
        </w:rPr>
      </w:pPr>
      <w:r>
        <w:rPr>
          <w:rFonts w:ascii="宋体" w:hAnsi="宋体" w:cs="宋体"/>
          <w:sz w:val="24"/>
          <w:szCs w:val="24"/>
          <w:highlight w:val="none"/>
          <w:lang w:val="zh-CN"/>
        </w:rPr>
      </w:r>
      <w:r/>
    </w:p>
    <w:p>
      <w:pPr>
        <w:pStyle w:val="984"/>
        <w:numPr>
          <w:ilvl w:val="0"/>
          <w:numId w:val="26"/>
        </w:numPr>
        <w:jc w:val="left"/>
        <w:spacing w:before="0" w:after="0"/>
        <w:rPr>
          <w:rFonts w:ascii="宋体" w:hAnsi="宋体" w:eastAsia="宋体" w:cs="宋体"/>
          <w:b w:val="0"/>
          <w:bCs w:val="0"/>
          <w:color w:val="000000"/>
          <w:spacing w:val="-1"/>
          <w:sz w:val="24"/>
          <w:szCs w:val="24"/>
          <w:highlight w:val="none"/>
        </w:rPr>
      </w:pPr>
      <w:r>
        <w:rPr>
          <w:rFonts w:hint="eastAsia" w:ascii="宋体" w:hAnsi="宋体" w:eastAsia="宋体" w:cs="宋体"/>
          <w:color w:val="000000"/>
          <w:spacing w:val="-1"/>
          <w:sz w:val="24"/>
          <w:szCs w:val="24"/>
          <w:highlight w:val="none"/>
        </w:rPr>
        <w:t xml:space="preserve">培训</w:t>
      </w:r>
      <w:r>
        <w:rPr>
          <w:rFonts w:ascii="宋体" w:hAnsi="宋体" w:eastAsia="宋体" w:cs="宋体"/>
          <w:color w:val="000000"/>
          <w:spacing w:val="-1"/>
          <w:sz w:val="24"/>
          <w:szCs w:val="24"/>
          <w:highlight w:val="none"/>
        </w:rPr>
        <w:t xml:space="preserve">要求</w:t>
      </w:r>
      <w:r/>
    </w:p>
    <w:p>
      <w:pPr>
        <w:numPr>
          <w:ilvl w:val="255"/>
          <w:numId w:val="0"/>
        </w:numPr>
        <w:rPr>
          <w:rFonts w:ascii="宋体" w:hAnsi="宋体" w:cs="宋体"/>
          <w:sz w:val="24"/>
          <w:szCs w:val="24"/>
          <w:highlight w:val="none"/>
        </w:rPr>
      </w:pPr>
      <w:r>
        <w:rPr>
          <w:rFonts w:ascii="宋体" w:hAnsi="宋体" w:cs="宋体"/>
          <w:sz w:val="24"/>
          <w:szCs w:val="24"/>
          <w:highlight w:val="none"/>
        </w:rPr>
      </w:r>
      <w:r/>
    </w:p>
    <w:p>
      <w:pPr>
        <w:pStyle w:val="985"/>
        <w:spacing w:before="0" w:after="0"/>
        <w:rPr>
          <w:rFonts w:ascii="宋体" w:hAnsi="宋体" w:cs="宋体"/>
          <w:sz w:val="24"/>
          <w:szCs w:val="24"/>
          <w:highlight w:val="none"/>
        </w:rPr>
      </w:pPr>
      <w:r>
        <w:rPr>
          <w:rFonts w:hint="eastAsia" w:ascii="宋体" w:hAnsi="宋体" w:cs="宋体"/>
          <w:sz w:val="24"/>
          <w:szCs w:val="24"/>
          <w:highlight w:val="none"/>
        </w:rPr>
        <w:t xml:space="preserve">5.1任务概述</w:t>
      </w:r>
      <w:r/>
    </w:p>
    <w:p>
      <w:pPr>
        <w:ind w:firstLine="480"/>
        <w:jc w:val="left"/>
        <w:spacing w:line="44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中标人协助采购人做好各任务阶段的培训工作，运维人员要能熟练掌握系统运维管理技术，</w:t>
      </w:r>
      <w:r>
        <w:rPr>
          <w:rFonts w:hint="eastAsia" w:ascii="宋体" w:hAnsi="宋体" w:cs="宋体"/>
          <w:sz w:val="24"/>
          <w:szCs w:val="24"/>
          <w:highlight w:val="none"/>
        </w:rPr>
        <w:t xml:space="preserve">交易中心人员</w:t>
      </w:r>
      <w:r>
        <w:rPr>
          <w:rFonts w:hint="eastAsia" w:ascii="宋体" w:hAnsi="宋体" w:cs="宋体"/>
          <w:sz w:val="24"/>
          <w:szCs w:val="24"/>
          <w:highlight w:val="none"/>
          <w:lang w:val="zh-CN"/>
        </w:rPr>
        <w:t xml:space="preserve">要能熟练使用系统中和自己相关的各项功能。</w:t>
      </w:r>
      <w:r/>
    </w:p>
    <w:p>
      <w:pPr>
        <w:pStyle w:val="985"/>
        <w:spacing w:before="0" w:after="0"/>
        <w:rPr>
          <w:rFonts w:ascii="宋体" w:hAnsi="宋体" w:cs="宋体"/>
          <w:sz w:val="24"/>
          <w:szCs w:val="24"/>
          <w:highlight w:val="none"/>
        </w:rPr>
      </w:pPr>
      <w:r>
        <w:rPr>
          <w:rFonts w:hint="eastAsia" w:ascii="宋体" w:hAnsi="宋体" w:cs="宋体"/>
          <w:sz w:val="24"/>
          <w:szCs w:val="24"/>
          <w:highlight w:val="none"/>
        </w:rPr>
        <w:t xml:space="preserve">5.2工作内容及要求</w:t>
      </w:r>
      <w:r/>
    </w:p>
    <w:p>
      <w:pPr>
        <w:ind w:firstLine="480"/>
        <w:jc w:val="left"/>
        <w:spacing w:line="44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1.工作内容</w:t>
      </w:r>
      <w:r/>
    </w:p>
    <w:p>
      <w:pPr>
        <w:ind w:firstLine="480"/>
        <w:jc w:val="left"/>
        <w:spacing w:line="44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根据各阶段培训对象和工作要求不同，培训内容分为管理</w:t>
      </w:r>
      <w:r>
        <w:rPr>
          <w:rFonts w:hint="eastAsia" w:ascii="宋体" w:hAnsi="宋体" w:cs="宋体"/>
          <w:sz w:val="24"/>
          <w:szCs w:val="24"/>
          <w:highlight w:val="none"/>
        </w:rPr>
        <w:t xml:space="preserve">人</w:t>
      </w:r>
      <w:r>
        <w:rPr>
          <w:rFonts w:hint="eastAsia" w:ascii="宋体" w:hAnsi="宋体" w:cs="宋体"/>
          <w:sz w:val="24"/>
          <w:szCs w:val="24"/>
          <w:highlight w:val="none"/>
          <w:lang w:val="zh-CN"/>
        </w:rPr>
        <w:t xml:space="preserve">员培训和业务人员培训。</w:t>
      </w:r>
      <w:r/>
    </w:p>
    <w:p>
      <w:pPr>
        <w:ind w:firstLine="480"/>
        <w:jc w:val="left"/>
        <w:spacing w:line="44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培训对象为</w:t>
      </w:r>
      <w:r>
        <w:rPr>
          <w:rFonts w:hint="eastAsia" w:ascii="宋体" w:hAnsi="宋体" w:cs="宋体"/>
          <w:sz w:val="24"/>
          <w:szCs w:val="24"/>
          <w:highlight w:val="none"/>
        </w:rPr>
        <w:t xml:space="preserve">扬州市公共资源交易中心</w:t>
      </w:r>
      <w:r>
        <w:rPr>
          <w:rFonts w:hint="eastAsia" w:ascii="宋体" w:hAnsi="宋体" w:cs="宋体"/>
          <w:sz w:val="24"/>
          <w:szCs w:val="24"/>
          <w:highlight w:val="none"/>
          <w:lang w:val="zh-CN"/>
        </w:rPr>
        <w:t xml:space="preserve">全部管理和使用人员。主要培训内容包括但不限于平台所涵盖的技术架构、应用架构、数据架构、部署架构、开发技术、系统操作、平台能力等内容，使</w:t>
      </w:r>
      <w:r>
        <w:rPr>
          <w:rFonts w:hint="eastAsia" w:ascii="宋体" w:hAnsi="宋体" w:cs="宋体"/>
          <w:sz w:val="24"/>
          <w:szCs w:val="24"/>
          <w:highlight w:val="none"/>
        </w:rPr>
        <w:t xml:space="preserve">中心人员</w:t>
      </w:r>
      <w:r>
        <w:rPr>
          <w:rFonts w:hint="eastAsia" w:ascii="宋体" w:hAnsi="宋体" w:cs="宋体"/>
          <w:sz w:val="24"/>
          <w:szCs w:val="24"/>
          <w:highlight w:val="none"/>
          <w:lang w:val="zh-CN"/>
        </w:rPr>
        <w:t xml:space="preserve">基本掌握平台的功能模块、展现能力、运转流程，基本掌握平台的操作方法。</w:t>
      </w:r>
      <w:r/>
    </w:p>
    <w:p>
      <w:pPr>
        <w:ind w:firstLine="480"/>
        <w:jc w:val="left"/>
        <w:spacing w:line="44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2.工作要求：</w:t>
      </w:r>
      <w:r/>
    </w:p>
    <w:p>
      <w:pPr>
        <w:ind w:firstLine="480"/>
        <w:jc w:val="left"/>
        <w:spacing w:line="44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1）中标人要组建专业的培训团队，协助采购人做好系统上线的各项培训工作，制定培训方案，并负责提供培训组织、培训讲师、培训教材、搭建培训环境等。经采购人审核同意后，方可实施。培训时间、内容、人员、期次等具体内容在具体执行过程中需根据建设单位意见进行调整。</w:t>
      </w:r>
      <w:r/>
    </w:p>
    <w:p>
      <w:pPr>
        <w:ind w:firstLine="480"/>
        <w:jc w:val="left"/>
        <w:spacing w:line="44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（2）中标人要选派能胜任培训工作、具备授课经验和能力的培训讲师。</w:t>
      </w:r>
      <w:r/>
    </w:p>
    <w:p>
      <w:pPr>
        <w:ind w:firstLine="480"/>
        <w:jc w:val="left"/>
        <w:spacing w:line="44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（3）按照采购人要求编制电子培训课件和培训教材，并根据应用程序变更对课件及时更新维护，确保电子培训教材与应用版本同步更新。采购人有权在系统内部使用这些培训资料。</w:t>
      </w:r>
      <w:r/>
    </w:p>
    <w:p>
      <w:pPr>
        <w:ind w:firstLine="480"/>
        <w:jc w:val="left"/>
        <w:spacing w:line="44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（4）中标人要负责完成培训所必需的培训环境的搭建，确保培训工作的顺利开展。</w:t>
      </w:r>
      <w:r/>
    </w:p>
    <w:p>
      <w:pPr>
        <w:pStyle w:val="985"/>
        <w:spacing w:before="0" w:after="0"/>
        <w:rPr>
          <w:rFonts w:ascii="宋体" w:hAnsi="宋体" w:cs="宋体"/>
          <w:sz w:val="24"/>
          <w:szCs w:val="24"/>
          <w:highlight w:val="none"/>
        </w:rPr>
      </w:pPr>
      <w:r>
        <w:rPr>
          <w:rFonts w:hint="eastAsia" w:ascii="宋体" w:hAnsi="宋体" w:cs="宋体"/>
          <w:b w:val="0"/>
          <w:bCs w:val="0"/>
          <w:color w:val="0f1115"/>
          <w:sz w:val="24"/>
          <w:szCs w:val="24"/>
          <w:highlight w:val="none"/>
          <w:shd w:val="clear" w:color="auto" w:fill="ffffff"/>
        </w:rPr>
        <w:t xml:space="preserve">5.3培训计划</w:t>
      </w:r>
      <w:r/>
    </w:p>
    <w:p>
      <w:pPr>
        <w:ind w:firstLine="480"/>
        <w:jc w:val="left"/>
        <w:spacing w:before="192" w:after="192" w:line="440" w:lineRule="exact"/>
        <w:shd w:val="clear" w:color="auto" w:fill="ffffff"/>
        <w:widowControl/>
        <w:rPr>
          <w:rFonts w:ascii="宋体" w:hAnsi="宋体" w:cs="宋体"/>
          <w:color w:val="0f1115"/>
          <w:sz w:val="24"/>
          <w:szCs w:val="24"/>
          <w:highlight w:val="none"/>
          <w:lang w:val="zh-CN"/>
        </w:rPr>
      </w:pPr>
      <w:r>
        <w:rPr>
          <w:rFonts w:hint="eastAsia" w:ascii="宋体" w:hAnsi="宋体" w:cs="宋体"/>
          <w:color w:val="0f1115"/>
          <w:sz w:val="24"/>
          <w:szCs w:val="24"/>
          <w:highlight w:val="none"/>
          <w:shd w:val="clear" w:color="auto" w:fill="ffffff"/>
          <w:lang w:val="zh-CN"/>
        </w:rPr>
        <w:t xml:space="preserve">（1）验收前培训：项目建设期间及验收前，中标人组织不少于3次系统性现场培训，覆盖系统上线前、试运行期间及验收前各阶段。</w:t>
      </w:r>
      <w:r/>
    </w:p>
    <w:p>
      <w:pPr>
        <w:ind w:firstLine="480"/>
        <w:jc w:val="left"/>
        <w:spacing w:before="192" w:after="192" w:line="440" w:lineRule="exact"/>
        <w:shd w:val="clear" w:color="auto" w:fill="ffffff"/>
        <w:widowControl/>
        <w:rPr>
          <w:rFonts w:ascii="宋体" w:hAnsi="宋体" w:cs="宋体"/>
          <w:color w:val="0f1115"/>
          <w:sz w:val="24"/>
          <w:szCs w:val="24"/>
          <w:highlight w:val="none"/>
          <w:lang w:val="zh-CN"/>
        </w:rPr>
      </w:pPr>
      <w:r>
        <w:rPr>
          <w:rFonts w:hint="eastAsia" w:ascii="宋体" w:hAnsi="宋体" w:cs="宋体"/>
          <w:color w:val="0f1115"/>
          <w:sz w:val="24"/>
          <w:szCs w:val="24"/>
          <w:highlight w:val="none"/>
          <w:shd w:val="clear" w:color="auto" w:fill="ffffff"/>
          <w:lang w:val="zh-CN"/>
        </w:rPr>
        <w:t xml:space="preserve">（2）验收后培训：项目验收通过后，中标人每年至少组织2次针对人工智能专班成员的专题培训，内容聚焦人工智能前沿技术、大模型应用趋势、行业创新案例等。培训方式可采用专家讲座、交流研讨等形式，具体内容、时间及方式由双方协商确定。</w:t>
      </w:r>
      <w:r/>
    </w:p>
    <w:p>
      <w:pPr>
        <w:ind w:firstLine="480"/>
        <w:jc w:val="left"/>
        <w:rPr>
          <w:rFonts w:ascii="宋体" w:hAnsi="宋体" w:cs="宋体"/>
          <w:sz w:val="24"/>
          <w:szCs w:val="24"/>
          <w:highlight w:val="none"/>
          <w:lang w:val="zh-CN"/>
        </w:rPr>
      </w:pPr>
      <w:r>
        <w:rPr>
          <w:rFonts w:ascii="宋体" w:hAnsi="宋体" w:cs="宋体"/>
          <w:sz w:val="24"/>
          <w:szCs w:val="24"/>
          <w:highlight w:val="none"/>
          <w:lang w:val="zh-CN"/>
        </w:rPr>
      </w:r>
      <w:r/>
    </w:p>
    <w:p>
      <w:pPr>
        <w:pStyle w:val="985"/>
        <w:spacing w:before="0" w:after="0"/>
        <w:rPr>
          <w:rFonts w:ascii="宋体" w:hAnsi="宋体" w:cs="宋体"/>
          <w:sz w:val="24"/>
          <w:szCs w:val="24"/>
          <w:highlight w:val="none"/>
          <w:lang w:val="zh-CN"/>
        </w:rPr>
      </w:pPr>
      <w:r>
        <w:rPr>
          <w:rFonts w:hint="eastAsia" w:ascii="宋体" w:hAnsi="宋体" w:cs="宋体"/>
          <w:sz w:val="24"/>
          <w:szCs w:val="24"/>
          <w:highlight w:val="none"/>
        </w:rPr>
        <w:t xml:space="preserve">5</w:t>
      </w: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4</w:t>
      </w:r>
      <w:r>
        <w:rPr>
          <w:rFonts w:hint="eastAsia" w:ascii="宋体" w:hAnsi="宋体" w:cs="宋体"/>
          <w:sz w:val="24"/>
          <w:szCs w:val="24"/>
          <w:highlight w:val="none"/>
          <w:lang w:val="zh-CN"/>
        </w:rPr>
        <w:t xml:space="preserve">交付物</w:t>
      </w:r>
      <w:r/>
    </w:p>
    <w:p>
      <w:pPr>
        <w:ind w:firstLine="480"/>
        <w:jc w:val="left"/>
        <w:spacing w:line="44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1.平台实施培训方案。</w:t>
      </w:r>
      <w:r/>
    </w:p>
    <w:p>
      <w:pPr>
        <w:ind w:firstLine="480"/>
        <w:jc w:val="left"/>
        <w:spacing w:line="44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2.电子培训教材及课件。</w:t>
      </w:r>
      <w:r/>
    </w:p>
    <w:p>
      <w:pPr>
        <w:ind w:firstLine="480"/>
        <w:jc w:val="left"/>
        <w:spacing w:before="100" w:after="100" w:line="44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3.中标人将本项目规划开发、部署实施、项目涉及的技术、技能、知识、经验通过培训和文档等形式转移给采购人。</w:t>
      </w:r>
      <w:r/>
    </w:p>
    <w:p>
      <w:pPr>
        <w:pStyle w:val="984"/>
        <w:jc w:val="left"/>
        <w:spacing w:before="0" w:after="0"/>
        <w:rPr>
          <w:rFonts w:ascii="宋体" w:hAnsi="宋体" w:eastAsia="宋体" w:cs="宋体"/>
          <w:b w:val="0"/>
          <w:bCs w:val="0"/>
          <w:color w:val="000000"/>
          <w:spacing w:val="-1"/>
          <w:sz w:val="24"/>
          <w:szCs w:val="24"/>
          <w:highlight w:val="none"/>
        </w:rPr>
      </w:pPr>
      <w:r>
        <w:rPr>
          <w:rFonts w:hint="eastAsia" w:ascii="宋体" w:hAnsi="宋体" w:eastAsia="宋体" w:cs="宋体"/>
          <w:color w:val="000000"/>
          <w:spacing w:val="-1"/>
          <w:sz w:val="24"/>
          <w:szCs w:val="24"/>
          <w:highlight w:val="none"/>
        </w:rPr>
        <w:t xml:space="preserve">六、其他要求</w:t>
      </w:r>
      <w:r/>
    </w:p>
    <w:p>
      <w:pPr>
        <w:ind w:firstLine="484"/>
        <w:spacing w:line="440" w:lineRule="exact"/>
        <w:rPr>
          <w:rStyle w:val="1002"/>
          <w:rFonts w:ascii="宋体" w:hAnsi="宋体" w:cs="宋体"/>
          <w:spacing w:val="1"/>
          <w:sz w:val="24"/>
          <w:szCs w:val="24"/>
          <w:highlight w:val="none"/>
        </w:rPr>
      </w:pPr>
      <w:r>
        <w:rPr>
          <w:rStyle w:val="1002"/>
          <w:rFonts w:hint="eastAsia" w:ascii="宋体" w:hAnsi="宋体" w:cs="宋体"/>
          <w:spacing w:val="1"/>
          <w:sz w:val="24"/>
          <w:szCs w:val="24"/>
          <w:highlight w:val="none"/>
        </w:rPr>
        <w:t xml:space="preserve">1、投标人报价内容完整，不得漏项。项目货物以人民币报出一次性不得更改的价格，报价包括：货物及附件费、保险费、辅材费、包装运输费、税金、服务等与本次投标相关的一切费用。报价产品与需求货物不允许有实质性负偏离，所投产品符合国家相关技术规范。</w:t>
      </w:r>
      <w:r/>
    </w:p>
    <w:p>
      <w:pPr>
        <w:ind w:firstLine="484"/>
        <w:spacing w:line="440" w:lineRule="exact"/>
        <w:rPr>
          <w:rStyle w:val="1002"/>
          <w:rFonts w:ascii="宋体" w:hAnsi="宋体" w:cs="宋体"/>
          <w:spacing w:val="1"/>
          <w:sz w:val="24"/>
          <w:szCs w:val="24"/>
          <w:highlight w:val="none"/>
        </w:rPr>
      </w:pPr>
      <w:r>
        <w:rPr>
          <w:rStyle w:val="1002"/>
          <w:rFonts w:hint="eastAsia" w:ascii="宋体" w:hAnsi="宋体" w:cs="宋体"/>
          <w:spacing w:val="1"/>
          <w:sz w:val="24"/>
          <w:szCs w:val="24"/>
          <w:highlight w:val="none"/>
        </w:rPr>
        <w:t xml:space="preserve">2、</w:t>
      </w:r>
      <w:r>
        <w:rPr>
          <w:rStyle w:val="1002"/>
          <w:rFonts w:hint="eastAsia" w:ascii="宋体" w:hAnsi="宋体" w:cs="宋体"/>
          <w:spacing w:val="3"/>
          <w:sz w:val="24"/>
          <w:szCs w:val="24"/>
          <w:highlight w:val="none"/>
        </w:rPr>
        <w:t xml:space="preserve">本次采购全部内容为“交钥匙”工程，所有的费用等均包含在报价内；请各投标投标人</w:t>
      </w:r>
      <w:r>
        <w:rPr>
          <w:rStyle w:val="1002"/>
          <w:rFonts w:hint="eastAsia" w:ascii="宋体" w:hAnsi="宋体" w:cs="宋体"/>
          <w:spacing w:val="1"/>
          <w:sz w:val="24"/>
          <w:szCs w:val="24"/>
          <w:highlight w:val="none"/>
        </w:rPr>
        <w:t xml:space="preserve">认真考虑各种风险。除合同另有规定之外，采购人不再另行支付。</w:t>
      </w:r>
      <w:r/>
    </w:p>
    <w:p>
      <w:pPr>
        <w:ind w:firstLine="484"/>
        <w:spacing w:line="440" w:lineRule="exact"/>
        <w:rPr>
          <w:rStyle w:val="1002"/>
          <w:rFonts w:ascii="宋体" w:hAnsi="宋体" w:cs="宋体"/>
          <w:i/>
          <w:spacing w:val="1"/>
          <w:sz w:val="24"/>
          <w:szCs w:val="24"/>
          <w:highlight w:val="none"/>
          <w:u w:val="single"/>
        </w:rPr>
      </w:pPr>
      <w:r>
        <w:rPr>
          <w:rStyle w:val="1002"/>
          <w:rFonts w:hint="eastAsia" w:ascii="宋体" w:hAnsi="宋体" w:cs="宋体"/>
          <w:spacing w:val="1"/>
          <w:sz w:val="24"/>
          <w:szCs w:val="24"/>
          <w:highlight w:val="none"/>
        </w:rPr>
        <w:t xml:space="preserve">3、本章硬件需求中有关设备所需的证明材料，中标人应在签订合同前，根据采购人的要求提供相关证明材料原件进行核实。</w:t>
      </w:r>
      <w:r>
        <w:rPr>
          <w:rStyle w:val="1002"/>
          <w:rFonts w:hint="eastAsia" w:ascii="宋体" w:hAnsi="宋体" w:cs="宋体"/>
          <w:i/>
          <w:spacing w:val="1"/>
          <w:sz w:val="24"/>
          <w:szCs w:val="24"/>
          <w:highlight w:val="none"/>
          <w:u w:val="single"/>
        </w:rPr>
        <w:t xml:space="preserve">投标人在投标时须承诺，所提供的证书原件扫描件与原件一致，若中标后，将根据采购人要求提供所有证明材料的原件（提供承诺书加盖投标人公章）。</w:t>
      </w:r>
      <w:r/>
    </w:p>
    <w:p>
      <w:pPr>
        <w:spacing w:line="440" w:lineRule="exact"/>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r>
      <w:r/>
    </w:p>
    <w:p>
      <w:pPr>
        <w:pStyle w:val="984"/>
        <w:jc w:val="left"/>
        <w:spacing w:before="0" w:after="0"/>
        <w:rPr>
          <w:rFonts w:ascii="宋体" w:hAnsi="宋体" w:eastAsia="宋体" w:cs="宋体"/>
          <w:b w:val="0"/>
          <w:bCs w:val="0"/>
          <w:color w:val="000000"/>
          <w:spacing w:val="-1"/>
          <w:sz w:val="24"/>
          <w:szCs w:val="24"/>
          <w:highlight w:val="none"/>
        </w:rPr>
      </w:pPr>
      <w:r>
        <w:rPr>
          <w:rFonts w:hint="eastAsia" w:ascii="宋体" w:hAnsi="宋体" w:eastAsia="宋体" w:cs="宋体"/>
          <w:color w:val="000000"/>
          <w:spacing w:val="-1"/>
          <w:sz w:val="24"/>
          <w:szCs w:val="24"/>
          <w:highlight w:val="none"/>
        </w:rPr>
        <w:t xml:space="preserve">七、视频演示</w:t>
      </w:r>
      <w:r/>
    </w:p>
    <w:p>
      <w:pPr>
        <w:ind w:firstLine="484"/>
        <w:spacing w:line="440" w:lineRule="exact"/>
        <w:rPr>
          <w:rStyle w:val="1002"/>
          <w:rFonts w:ascii="宋体" w:hAnsi="宋体" w:cs="宋体"/>
          <w:spacing w:val="1"/>
          <w:sz w:val="24"/>
          <w:szCs w:val="24"/>
          <w:highlight w:val="none"/>
        </w:rPr>
      </w:pPr>
      <w:r>
        <w:rPr>
          <w:rStyle w:val="1002"/>
          <w:rFonts w:hint="eastAsia" w:ascii="宋体" w:hAnsi="宋体" w:cs="宋体"/>
          <w:spacing w:val="1"/>
          <w:sz w:val="24"/>
          <w:szCs w:val="24"/>
          <w:highlight w:val="none"/>
        </w:rPr>
        <w:t xml:space="preserve">1.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w:t>
      </w:r>
      <w:r>
        <w:rPr>
          <w:rStyle w:val="1002"/>
          <w:rFonts w:hint="eastAsia" w:ascii="宋体" w:hAnsi="宋体" w:cs="宋体"/>
          <w:spacing w:val="1"/>
          <w:sz w:val="24"/>
          <w:szCs w:val="24"/>
          <w:highlight w:val="none"/>
          <w:u w:val="single"/>
        </w:rPr>
        <w:t xml:space="preserve"> 15 </w:t>
      </w:r>
      <w:r>
        <w:rPr>
          <w:rStyle w:val="1002"/>
          <w:rFonts w:hint="eastAsia" w:ascii="宋体" w:hAnsi="宋体" w:cs="宋体"/>
          <w:spacing w:val="1"/>
          <w:sz w:val="24"/>
          <w:szCs w:val="24"/>
          <w:highlight w:val="none"/>
        </w:rPr>
        <w:t xml:space="preserve">分钟。</w:t>
      </w:r>
      <w:r/>
    </w:p>
    <w:p>
      <w:pPr>
        <w:ind w:firstLine="484"/>
        <w:spacing w:line="440" w:lineRule="exact"/>
        <w:rPr>
          <w:rStyle w:val="1002"/>
          <w:rFonts w:ascii="宋体" w:hAnsi="宋体" w:cs="宋体"/>
          <w:spacing w:val="1"/>
          <w:sz w:val="24"/>
          <w:szCs w:val="24"/>
          <w:highlight w:val="none"/>
        </w:rPr>
      </w:pPr>
      <w:r>
        <w:rPr>
          <w:rStyle w:val="1002"/>
          <w:rFonts w:hint="eastAsia" w:ascii="宋体" w:hAnsi="宋体" w:cs="宋体"/>
          <w:spacing w:val="1"/>
          <w:sz w:val="24"/>
          <w:szCs w:val="24"/>
          <w:highlight w:val="none"/>
        </w:rPr>
        <w:t xml:space="preserve">2.演示内容如下：</w:t>
      </w:r>
      <w:r/>
    </w:p>
    <w:p>
      <w:pPr>
        <w:ind w:firstLine="484"/>
        <w:spacing w:line="440" w:lineRule="exact"/>
        <w:rPr>
          <w:rStyle w:val="1002"/>
          <w:rFonts w:ascii="宋体" w:hAnsi="宋体" w:cs="宋体"/>
          <w:spacing w:val="1"/>
          <w:sz w:val="24"/>
          <w:szCs w:val="24"/>
          <w:highlight w:val="none"/>
        </w:rPr>
      </w:pPr>
      <w:r>
        <w:rPr>
          <w:rStyle w:val="1002"/>
          <w:rFonts w:hint="eastAsia" w:ascii="宋体" w:hAnsi="宋体" w:cs="宋体"/>
          <w:spacing w:val="1"/>
          <w:sz w:val="24"/>
          <w:szCs w:val="24"/>
          <w:highlight w:val="none"/>
        </w:rPr>
        <w:t xml:space="preserve">（</w:t>
      </w:r>
      <w:r>
        <w:rPr>
          <w:rStyle w:val="1002"/>
          <w:rFonts w:hint="eastAsia" w:ascii="宋体" w:hAnsi="宋体" w:cs="宋体"/>
          <w:spacing w:val="1"/>
          <w:sz w:val="24"/>
          <w:szCs w:val="24"/>
          <w:highlight w:val="none"/>
          <w:lang w:val="en-US" w:eastAsia="zh-CN"/>
        </w:rPr>
        <w:t xml:space="preserve">1</w:t>
      </w:r>
      <w:r>
        <w:rPr>
          <w:rStyle w:val="1002"/>
          <w:rFonts w:hint="eastAsia" w:ascii="宋体" w:hAnsi="宋体" w:cs="宋体"/>
          <w:spacing w:val="1"/>
          <w:sz w:val="24"/>
          <w:szCs w:val="24"/>
          <w:highlight w:val="none"/>
        </w:rPr>
        <w:t xml:space="preserve">）倾向性分析。演示检测到的倾向性言论告警提示，并演示数字人接收到告警提示后进行告警播报。</w:t>
      </w:r>
      <w:r/>
    </w:p>
    <w:p>
      <w:pPr>
        <w:ind w:firstLine="484"/>
        <w:spacing w:line="440" w:lineRule="exact"/>
        <w:rPr>
          <w:rStyle w:val="1002"/>
          <w:rFonts w:hint="eastAsia" w:ascii="宋体" w:hAnsi="宋体" w:cs="宋体"/>
          <w:spacing w:val="1"/>
          <w:sz w:val="24"/>
          <w:szCs w:val="24"/>
          <w:highlight w:val="none"/>
        </w:rPr>
      </w:pPr>
      <w:r>
        <w:rPr>
          <w:rStyle w:val="1002"/>
          <w:rFonts w:hint="eastAsia" w:ascii="宋体" w:hAnsi="宋体" w:cs="宋体"/>
          <w:spacing w:val="1"/>
          <w:sz w:val="24"/>
          <w:szCs w:val="24"/>
          <w:highlight w:val="none"/>
        </w:rPr>
        <w:t xml:space="preserve">（</w:t>
      </w:r>
      <w:r>
        <w:rPr>
          <w:rStyle w:val="1002"/>
          <w:rFonts w:hint="eastAsia" w:ascii="宋体" w:hAnsi="宋体" w:cs="宋体"/>
          <w:spacing w:val="1"/>
          <w:sz w:val="24"/>
          <w:szCs w:val="24"/>
          <w:highlight w:val="none"/>
          <w:lang w:val="en-US" w:eastAsia="zh-CN"/>
        </w:rPr>
        <w:t xml:space="preserve">2</w:t>
      </w:r>
      <w:r>
        <w:rPr>
          <w:rStyle w:val="1002"/>
          <w:rFonts w:hint="eastAsia" w:ascii="宋体" w:hAnsi="宋体" w:cs="宋体"/>
          <w:spacing w:val="1"/>
          <w:sz w:val="24"/>
          <w:szCs w:val="24"/>
          <w:highlight w:val="none"/>
        </w:rPr>
        <w:t xml:space="preserve">）知识问答。演示招投标领域相关知识问答。</w:t>
      </w:r>
      <w:r/>
    </w:p>
    <w:p>
      <w:pPr>
        <w:ind w:firstLine="484"/>
        <w:spacing w:line="440" w:lineRule="exact"/>
        <w:rPr>
          <w:rStyle w:val="1002"/>
          <w:rFonts w:ascii="宋体" w:hAnsi="宋体" w:cs="宋体"/>
          <w:spacing w:val="1"/>
          <w:sz w:val="24"/>
          <w:szCs w:val="24"/>
          <w:highlight w:val="none"/>
        </w:rPr>
      </w:pPr>
      <w:r>
        <w:rPr>
          <w:rStyle w:val="1002"/>
          <w:rFonts w:hint="eastAsia" w:ascii="宋体" w:hAnsi="宋体" w:cs="宋体"/>
          <w:spacing w:val="1"/>
          <w:sz w:val="24"/>
          <w:szCs w:val="24"/>
          <w:highlight w:val="none"/>
        </w:rPr>
        <w:t xml:space="preserve">（</w:t>
      </w:r>
      <w:r>
        <w:rPr>
          <w:rStyle w:val="1002"/>
          <w:rFonts w:hint="eastAsia" w:ascii="宋体" w:hAnsi="宋体" w:cs="宋体"/>
          <w:spacing w:val="1"/>
          <w:sz w:val="24"/>
          <w:szCs w:val="24"/>
          <w:highlight w:val="none"/>
          <w:lang w:val="en-US" w:eastAsia="zh-CN"/>
        </w:rPr>
        <w:t xml:space="preserve">3</w:t>
      </w:r>
      <w:r>
        <w:rPr>
          <w:rStyle w:val="1002"/>
          <w:rFonts w:hint="eastAsia" w:ascii="宋体" w:hAnsi="宋体" w:cs="宋体"/>
          <w:spacing w:val="1"/>
          <w:sz w:val="24"/>
          <w:szCs w:val="24"/>
          <w:highlight w:val="none"/>
        </w:rPr>
        <w:t xml:space="preserve">）质检配置。演示平台对音频采集设备的接入进行配置，演示对专家评估引导性言论的指标配置。</w:t>
      </w:r>
      <w:r/>
    </w:p>
    <w:p>
      <w:pPr>
        <w:ind w:firstLine="484"/>
        <w:spacing w:line="440" w:lineRule="exact"/>
        <w:rPr>
          <w:rStyle w:val="1002"/>
          <w:rFonts w:ascii="宋体" w:hAnsi="宋体" w:cs="宋体"/>
          <w:spacing w:val="1"/>
          <w:sz w:val="24"/>
          <w:szCs w:val="24"/>
          <w:highlight w:val="none"/>
        </w:rPr>
      </w:pPr>
      <w:r>
        <w:rPr>
          <w:rStyle w:val="1002"/>
          <w:rFonts w:hint="eastAsia" w:ascii="宋体" w:hAnsi="宋体" w:cs="宋体"/>
          <w:spacing w:val="1"/>
          <w:sz w:val="24"/>
          <w:szCs w:val="24"/>
          <w:highlight w:val="none"/>
        </w:rPr>
        <w:t xml:space="preserve">（4）主体违规行为管控。</w:t>
      </w:r>
      <w:r>
        <w:rPr>
          <w:rFonts w:hint="eastAsia" w:ascii="宋体" w:hAnsi="宋体" w:cs="宋体"/>
          <w:sz w:val="24"/>
          <w:szCs w:val="24"/>
          <w:highlight w:val="none"/>
        </w:rPr>
        <w:t xml:space="preserve">演示评标室违规使用手机行为</w:t>
      </w:r>
      <w:r/>
    </w:p>
    <w:p>
      <w:pPr>
        <w:ind w:firstLine="484"/>
        <w:spacing w:line="440" w:lineRule="exact"/>
        <w:rPr>
          <w:rStyle w:val="1002"/>
          <w:rFonts w:ascii="宋体" w:hAnsi="宋体" w:cs="宋体"/>
          <w:spacing w:val="1"/>
          <w:sz w:val="24"/>
          <w:szCs w:val="24"/>
          <w:highlight w:val="none"/>
        </w:rPr>
      </w:pPr>
      <w:r>
        <w:rPr>
          <w:rStyle w:val="1002"/>
          <w:rFonts w:hint="eastAsia" w:ascii="宋体" w:hAnsi="宋体" w:cs="宋体"/>
          <w:spacing w:val="1"/>
          <w:sz w:val="24"/>
          <w:szCs w:val="24"/>
          <w:highlight w:val="none"/>
        </w:rPr>
        <w:t xml:space="preserve">（5）评标过程信息合成归档。演示虚拟评标空间评标结束后按项目将与本项目有关的音视频归档、电子文件归档、专家出入记录归档、见证记录进行归档</w:t>
      </w:r>
      <w:r/>
    </w:p>
    <w:p>
      <w:pPr>
        <w:pStyle w:val="1000"/>
        <w:rPr>
          <w:rFonts w:ascii="宋体" w:hAnsi="宋体" w:cs="宋体"/>
          <w:b/>
          <w:bCs/>
          <w:color w:val="ff0000"/>
          <w:sz w:val="24"/>
          <w:szCs w:val="24"/>
          <w:highlight w:val="none"/>
        </w:rPr>
        <w:pBdr>
          <w:top w:val="none" w:color="000000" w:sz="0" w:space="0"/>
          <w:left w:val="none" w:color="000000" w:sz="0" w:space="0"/>
          <w:right w:val="none" w:color="000000" w:sz="0" w:space="0"/>
        </w:pBdr>
        <w:outlineLvl w:val="0"/>
      </w:pPr>
      <w:r>
        <w:rPr>
          <w:rFonts w:hint="eastAsia" w:ascii="宋体" w:hAnsi="宋体" w:eastAsia="宋体" w:cs="宋体"/>
          <w:b/>
          <w:bCs/>
          <w:color w:val="ff0000"/>
          <w:sz w:val="24"/>
          <w:szCs w:val="24"/>
          <w:highlight w:val="none"/>
        </w:rPr>
        <w:t xml:space="preserve">包2：“扬小易”AI+服务项目监理服务</w:t>
      </w:r>
      <w:r/>
    </w:p>
    <w:p>
      <w:pPr>
        <w:pStyle w:val="984"/>
        <w:ind w:firstLine="239"/>
        <w:jc w:val="left"/>
        <w:spacing w:before="100" w:after="100" w:line="360" w:lineRule="auto"/>
        <w:rPr>
          <w:rFonts w:eastAsia="宋体"/>
          <w:b w:val="0"/>
          <w:bCs w:val="0"/>
          <w:color w:val="000000"/>
          <w:spacing w:val="-1"/>
          <w:sz w:val="24"/>
          <w:szCs w:val="24"/>
          <w:highlight w:val="none"/>
        </w:rPr>
        <w:pBdr>
          <w:top w:val="none" w:color="000000" w:sz="0" w:space="0"/>
          <w:left w:val="none" w:color="000000" w:sz="0" w:space="0"/>
          <w:right w:val="none" w:color="000000" w:sz="0" w:space="0"/>
        </w:pBdr>
      </w:pPr>
      <w:r>
        <w:rPr>
          <w:rFonts w:hint="eastAsia" w:eastAsia="宋体"/>
          <w:color w:val="000000"/>
          <w:spacing w:val="-1"/>
          <w:sz w:val="24"/>
          <w:szCs w:val="24"/>
          <w:highlight w:val="none"/>
        </w:rPr>
        <w:t xml:space="preserve">一、采购需求</w:t>
      </w:r>
      <w:r/>
    </w:p>
    <w:p>
      <w:pPr>
        <w:ind w:firstLine="484"/>
        <w:spacing w:line="360" w:lineRule="auto"/>
        <w:rPr>
          <w:rStyle w:val="1002"/>
          <w:rFonts w:ascii="宋体" w:hAnsi="宋体" w:cs="宋体"/>
          <w:spacing w:val="1"/>
          <w:sz w:val="24"/>
          <w:szCs w:val="24"/>
          <w:highlight w:val="none"/>
        </w:rPr>
      </w:pPr>
      <w:r>
        <w:rPr>
          <w:rStyle w:val="1002"/>
          <w:rFonts w:ascii="宋体" w:hAnsi="宋体" w:cs="宋体"/>
          <w:spacing w:val="1"/>
          <w:sz w:val="24"/>
          <w:szCs w:val="24"/>
          <w:highlight w:val="none"/>
        </w:rPr>
        <w:t xml:space="preserve">“扬小易”AI+服务项目监理服务</w:t>
      </w:r>
      <w:r>
        <w:rPr>
          <w:rStyle w:val="1002"/>
          <w:rFonts w:hint="eastAsia" w:ascii="宋体" w:hAnsi="宋体" w:cs="宋体"/>
          <w:spacing w:val="1"/>
          <w:sz w:val="24"/>
          <w:szCs w:val="24"/>
          <w:highlight w:val="none"/>
        </w:rPr>
        <w:t xml:space="preserve">。</w:t>
      </w:r>
      <w:r/>
    </w:p>
    <w:p>
      <w:pPr>
        <w:pStyle w:val="984"/>
        <w:ind w:firstLine="239"/>
        <w:jc w:val="left"/>
        <w:spacing w:before="100" w:after="100" w:line="360" w:lineRule="auto"/>
        <w:rPr>
          <w:rFonts w:eastAsia="宋体"/>
          <w:b w:val="0"/>
          <w:bCs w:val="0"/>
          <w:color w:val="000000"/>
          <w:spacing w:val="-1"/>
          <w:sz w:val="24"/>
          <w:szCs w:val="24"/>
          <w:highlight w:val="none"/>
        </w:rPr>
        <w:pBdr>
          <w:top w:val="none" w:color="000000" w:sz="0" w:space="0"/>
          <w:left w:val="none" w:color="000000" w:sz="0" w:space="0"/>
          <w:right w:val="none" w:color="000000" w:sz="0" w:space="0"/>
        </w:pBdr>
      </w:pPr>
      <w:r>
        <w:rPr>
          <w:rFonts w:hint="eastAsia" w:eastAsia="宋体"/>
          <w:color w:val="000000"/>
          <w:spacing w:val="-1"/>
          <w:sz w:val="24"/>
          <w:szCs w:val="24"/>
          <w:highlight w:val="none"/>
        </w:rPr>
        <w:t xml:space="preserve">二、采购清单</w:t>
      </w:r>
      <w:r/>
    </w:p>
    <w:tbl>
      <w:tblPr>
        <w:tblStyle w:val="1008"/>
        <w:tblW w:w="82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69"/>
        <w:gridCol w:w="5527"/>
      </w:tblGrid>
      <w:tr>
        <w:trPr/>
        <w:tc>
          <w:tcPr>
            <w:tcW w:w="2769" w:type="dxa"/>
            <w:textDirection w:val="lrTb"/>
            <w:noWrap w:val="false"/>
          </w:tcPr>
          <w:p>
            <w:pPr>
              <w:jc w:val="center"/>
              <w:rPr>
                <w:rFonts w:ascii="宋体" w:hAnsi="宋体" w:cs="宋体"/>
                <w:b/>
                <w:bCs/>
                <w:sz w:val="24"/>
                <w:szCs w:val="24"/>
                <w:highlight w:val="none"/>
              </w:rPr>
            </w:pPr>
            <w:r>
              <w:rPr>
                <w:rFonts w:hint="eastAsia" w:ascii="宋体" w:hAnsi="宋体" w:cs="宋体"/>
                <w:b/>
                <w:bCs/>
                <w:sz w:val="24"/>
                <w:szCs w:val="24"/>
                <w:highlight w:val="none"/>
              </w:rPr>
              <w:t xml:space="preserve">服务名称</w:t>
            </w:r>
            <w:r/>
          </w:p>
        </w:tc>
        <w:tc>
          <w:tcPr>
            <w:tcW w:w="5527" w:type="dxa"/>
            <w:textDirection w:val="lrTb"/>
            <w:noWrap w:val="false"/>
          </w:tcPr>
          <w:p>
            <w:pPr>
              <w:jc w:val="center"/>
              <w:rPr>
                <w:rFonts w:ascii="宋体" w:hAnsi="宋体" w:cs="宋体"/>
                <w:b/>
                <w:bCs/>
                <w:sz w:val="24"/>
                <w:szCs w:val="24"/>
                <w:highlight w:val="none"/>
              </w:rPr>
            </w:pPr>
            <w:r>
              <w:rPr>
                <w:rFonts w:hint="eastAsia" w:ascii="宋体" w:hAnsi="宋体" w:cs="宋体"/>
                <w:b/>
                <w:bCs/>
                <w:sz w:val="24"/>
                <w:szCs w:val="24"/>
                <w:highlight w:val="none"/>
              </w:rPr>
              <w:t xml:space="preserve">服务要求</w:t>
            </w:r>
            <w:r/>
          </w:p>
        </w:tc>
      </w:tr>
      <w:tr>
        <w:trPr/>
        <w:tc>
          <w:tcPr>
            <w:tcW w:w="2769" w:type="dxa"/>
            <w:textDirection w:val="lrTb"/>
            <w:noWrap w:val="false"/>
          </w:tcPr>
          <w:p>
            <w:pPr>
              <w:jc w:val="center"/>
              <w:rPr>
                <w:rFonts w:ascii="宋体" w:hAnsi="宋体" w:cs="宋体"/>
                <w:bCs/>
                <w:iCs/>
                <w:sz w:val="24"/>
                <w:szCs w:val="24"/>
                <w:highlight w:val="none"/>
              </w:rPr>
            </w:pPr>
            <w:r>
              <w:rPr>
                <w:rFonts w:hint="eastAsia" w:ascii="宋体" w:hAnsi="宋体" w:cs="宋体"/>
                <w:bCs/>
                <w:iCs/>
                <w:sz w:val="24"/>
                <w:szCs w:val="24"/>
                <w:highlight w:val="none"/>
              </w:rPr>
              <w:t xml:space="preserve">监理服务</w:t>
            </w:r>
            <w:r/>
          </w:p>
        </w:tc>
        <w:tc>
          <w:tcPr>
            <w:tcW w:w="5527" w:type="dxa"/>
            <w:textDirection w:val="lrTb"/>
            <w:noWrap w:val="false"/>
          </w:tcPr>
          <w:p>
            <w:pPr>
              <w:rPr>
                <w:rFonts w:ascii="宋体" w:hAnsi="宋体" w:cs="宋体"/>
                <w:bCs/>
                <w:iCs/>
                <w:sz w:val="24"/>
                <w:szCs w:val="24"/>
                <w:highlight w:val="none"/>
              </w:rPr>
            </w:pPr>
            <w:r>
              <w:rPr>
                <w:rFonts w:hint="eastAsia" w:ascii="宋体" w:hAnsi="宋体" w:cs="宋体"/>
                <w:bCs/>
                <w:iCs/>
                <w:sz w:val="24"/>
                <w:szCs w:val="24"/>
                <w:highlight w:val="none"/>
              </w:rPr>
              <w:t xml:space="preserve">详见技术参数要求包2服务内容部分</w:t>
            </w:r>
            <w:r/>
          </w:p>
        </w:tc>
      </w:tr>
    </w:tbl>
    <w:p>
      <w:pPr>
        <w:ind w:firstLine="484"/>
        <w:spacing w:line="360" w:lineRule="auto"/>
        <w:rPr>
          <w:rStyle w:val="1002"/>
          <w:rFonts w:ascii="宋体" w:hAnsi="宋体" w:cs="宋体"/>
          <w:spacing w:val="1"/>
          <w:sz w:val="24"/>
          <w:szCs w:val="24"/>
          <w:highlight w:val="none"/>
        </w:rPr>
      </w:pPr>
      <w:r>
        <w:rPr>
          <w:rFonts w:ascii="宋体" w:hAnsi="宋体" w:cs="宋体"/>
          <w:spacing w:val="1"/>
          <w:sz w:val="24"/>
          <w:szCs w:val="24"/>
          <w:highlight w:val="none"/>
        </w:rPr>
      </w:r>
      <w:r/>
    </w:p>
    <w:p>
      <w:pPr>
        <w:pStyle w:val="984"/>
        <w:ind w:firstLine="239"/>
        <w:jc w:val="left"/>
        <w:spacing w:before="100" w:after="100" w:line="360" w:lineRule="auto"/>
        <w:rPr>
          <w:rFonts w:eastAsia="宋体"/>
          <w:b w:val="0"/>
          <w:bCs w:val="0"/>
          <w:color w:val="000000"/>
          <w:spacing w:val="-1"/>
          <w:sz w:val="24"/>
          <w:szCs w:val="24"/>
          <w:highlight w:val="none"/>
        </w:rPr>
        <w:pBdr>
          <w:top w:val="none" w:color="000000" w:sz="0" w:space="0"/>
          <w:left w:val="none" w:color="000000" w:sz="0" w:space="0"/>
          <w:right w:val="none" w:color="000000" w:sz="0" w:space="0"/>
        </w:pBdr>
      </w:pPr>
      <w:r>
        <w:rPr>
          <w:rFonts w:hint="eastAsia" w:eastAsia="宋体"/>
          <w:color w:val="000000"/>
          <w:spacing w:val="-1"/>
          <w:sz w:val="24"/>
          <w:szCs w:val="24"/>
          <w:highlight w:val="none"/>
        </w:rPr>
        <w:t xml:space="preserve">三、服务期限</w:t>
      </w:r>
      <w:r/>
    </w:p>
    <w:p>
      <w:pPr>
        <w:ind w:firstLine="484"/>
        <w:spacing w:line="360" w:lineRule="auto"/>
        <w:rPr>
          <w:rStyle w:val="1002"/>
          <w:rFonts w:ascii="宋体" w:hAnsi="宋体" w:cs="宋体"/>
          <w:spacing w:val="1"/>
          <w:sz w:val="24"/>
          <w:szCs w:val="24"/>
          <w:highlight w:val="none"/>
        </w:rPr>
      </w:pPr>
      <w:r>
        <w:rPr>
          <w:rStyle w:val="1002"/>
          <w:rFonts w:hint="eastAsia" w:ascii="宋体" w:hAnsi="宋体" w:cs="宋体"/>
          <w:spacing w:val="1"/>
          <w:sz w:val="24"/>
          <w:szCs w:val="24"/>
          <w:highlight w:val="none"/>
        </w:rPr>
        <w:t xml:space="preserve">自</w:t>
      </w:r>
      <w:r>
        <w:rPr>
          <w:rStyle w:val="1002"/>
          <w:rFonts w:ascii="宋体" w:hAnsi="宋体" w:cs="宋体"/>
          <w:spacing w:val="1"/>
          <w:sz w:val="24"/>
          <w:szCs w:val="24"/>
          <w:highlight w:val="none"/>
        </w:rPr>
        <w:t xml:space="preserve">项目启动至项目最终通过验收</w:t>
      </w:r>
      <w:r>
        <w:rPr>
          <w:rStyle w:val="1002"/>
          <w:rFonts w:hint="eastAsia" w:ascii="宋体" w:hAnsi="宋体" w:cs="宋体"/>
          <w:spacing w:val="1"/>
          <w:sz w:val="24"/>
          <w:szCs w:val="24"/>
          <w:highlight w:val="none"/>
        </w:rPr>
        <w:t xml:space="preserve">。</w:t>
      </w:r>
      <w:r/>
    </w:p>
    <w:p>
      <w:pPr>
        <w:pStyle w:val="984"/>
        <w:ind w:firstLine="239"/>
        <w:jc w:val="left"/>
        <w:spacing w:before="100" w:after="100" w:line="360" w:lineRule="auto"/>
        <w:rPr>
          <w:rFonts w:eastAsia="宋体"/>
          <w:b w:val="0"/>
          <w:bCs w:val="0"/>
          <w:color w:val="000000"/>
          <w:spacing w:val="-1"/>
          <w:sz w:val="24"/>
          <w:szCs w:val="24"/>
          <w:highlight w:val="none"/>
        </w:rPr>
        <w:pBdr>
          <w:top w:val="none" w:color="000000" w:sz="0" w:space="0"/>
          <w:left w:val="none" w:color="000000" w:sz="0" w:space="0"/>
          <w:right w:val="none" w:color="000000" w:sz="0" w:space="0"/>
        </w:pBdr>
      </w:pPr>
      <w:r>
        <w:rPr>
          <w:rFonts w:hint="eastAsia" w:eastAsia="宋体"/>
          <w:color w:val="000000"/>
          <w:spacing w:val="-1"/>
          <w:sz w:val="24"/>
          <w:szCs w:val="24"/>
          <w:highlight w:val="none"/>
        </w:rPr>
        <w:t xml:space="preserve">四、服务内容</w:t>
      </w:r>
      <w:r/>
    </w:p>
    <w:p>
      <w:pPr>
        <w:pStyle w:val="985"/>
        <w:rPr>
          <w:rFonts w:eastAsiaTheme="minorEastAsia"/>
          <w:sz w:val="24"/>
          <w:szCs w:val="24"/>
          <w:highlight w:val="none"/>
        </w:rPr>
        <w:pBdr>
          <w:top w:val="none" w:color="000000" w:sz="0" w:space="0"/>
          <w:left w:val="none" w:color="000000" w:sz="0" w:space="0"/>
          <w:right w:val="none" w:color="000000" w:sz="0" w:space="0"/>
        </w:pBdr>
      </w:pPr>
      <w:r>
        <w:rPr>
          <w:rFonts w:hint="eastAsia" w:eastAsiaTheme="minorEastAsia"/>
          <w:sz w:val="24"/>
          <w:szCs w:val="24"/>
          <w:highlight w:val="none"/>
        </w:rPr>
        <w:t xml:space="preserve">（一）监理工作要求</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1、监理工作范围</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本项目对“扬小易”AI+服务项目提供监理服务，代表采购人的利益，控制质量、确保进度，依据合同及设计方案对项目的全过程进行监督管理，针对项目建设情况，向采购人提出合理化的改进改良建议，并站在第三方的立场上，协调采购人和包1中标人的关系，最终圆满完成项目建设。</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2、监理服务期限</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自项目启动至项目最终通过验收。</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3、监理服务准则</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1）维护国家的荣誉和利益，按照“守法、诚信、公正、科学”的准则执业。</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2）执行有关工程建设的法律、法规、规范、标准和制度，履行监理合同规定的义务和职责。</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3）不收受被监理单位的任何礼金。</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4）不泄漏所监理工程各方认为需要保密的事项。</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5）遵守国家的法律和政府的有关条例、规定和办法等。</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6）认真履行工程建设监理合同所承诺的义务和承担约定的责任。</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7）坚持公正的立场，公平地处理有关各方的争议。</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8）坚持科学的态度和实事求是的原则。</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4、监理服务依据</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1）国家信息系统工程监理规范；</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2）采购人与中标人签订的承包合同；</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3）采购人与监理单位签订的监理合同；</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4）有关国家和行业的技术标准；</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5）根据合同执行的具体情况，投标人应选择应用现行的有关规范、规程和技术标准进行监理工作。</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5、监理人员要求</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投标人针对本项目投入的人员至少包含总监理工程师1名、总监理工程师代表1名、技术负责人1名、拟驻场监理人员不得少于1人。</w:t>
      </w:r>
      <w:r/>
    </w:p>
    <w:p>
      <w:pPr>
        <w:pStyle w:val="985"/>
        <w:spacing w:before="240" w:after="240"/>
        <w:rPr>
          <w:rFonts w:ascii="宋体" w:hAnsi="宋体" w:cs="宋体" w:eastAsiaTheme="minorEastAsia"/>
          <w:color w:val="000000"/>
          <w:sz w:val="24"/>
          <w:szCs w:val="24"/>
          <w:highlight w:val="none"/>
        </w:rPr>
        <w:pBdr>
          <w:top w:val="none" w:color="000000" w:sz="0" w:space="0"/>
          <w:left w:val="none" w:color="000000" w:sz="0" w:space="0"/>
          <w:right w:val="none" w:color="000000" w:sz="0" w:space="0"/>
        </w:pBdr>
      </w:pPr>
      <w:r>
        <w:rPr>
          <w:rFonts w:hint="eastAsia" w:ascii="宋体" w:hAnsi="宋体" w:cs="宋体" w:eastAsiaTheme="minorEastAsia"/>
          <w:color w:val="000000"/>
          <w:sz w:val="24"/>
          <w:szCs w:val="24"/>
          <w:highlight w:val="none"/>
        </w:rPr>
        <w:t xml:space="preserve">（二）监理方案要求</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1、项目质量控制措施</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实施过程的质量控制是监理工作实施的核心，是衡量项目成功与否的主要标准。本章节要求规划整体质量控制措施、明确各阶段的质量控制任务和要求、建立质量控制方法、同时对各子系统根据建设内容与特点建立分完善、合理、科学的项质量控制体系措施。</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监理机构采用全过程的监理手段，核心工作之一就是保证和促进项目的质量达到招投标文件的要求、合同的要求、建设单位实际的业务需求，并且符合相关标准与法律与政府规定，在具体的功能应用和性能应用方面均要达到相应的指标要求。要求监理机构按照相关技术标准与规范，从项目的合同签订、需求调研、系统设计、开发实施、系统测试、培训、验收等阶段实施全过程的监理。通过文档评审、成果评测、监理测试、组织会审等技术手段从多方面对系统和相应成果进行检测与评价。</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2、项目进度控制措施</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进度控制是工期目标控制，进度控制是指在限定的工期内，以事先拟定的合理且经济的工程进度计划为依据，对整个建设过程进行监督、检查、指导和纠正的行为过程。本章节要求明确进度控制的任务和要求、建立进度控制的方法和措施、配套各阶段的进度控制措施、对整体进度控制出具对策与建议等，全面实现进度控制的完善性与合同性。</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监理的计划工期与项目工期同步，根据本项目的建设范围，依据建设合同约定的工期及建设的要求，对承建单位投入本过程的人力、机具设备等要素进行控制，采取有效措施，以强化管理，周密运筹为根本，根据各施工阶段的客观要求，按总进度控制的要求落实到各分部分项工程，制定周、月、旬计划的监督检查，确保过程在合同约定的工期内完工。在项目进度控制中要提前规划、过程把控、及时检查、督促到位、合理评估，确保项目按期完工。</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3、项目变更控制措施</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建设过程中，不可避免会遇到变更问题。项目变更不只限于对设计的技术性修改，还包括增减工程清单的内容或工程量，包括施工进度计划的变动或施工程序的变换，当然，质量标准的调整、合同条款的修改或补充等也属于项目变更。实质上，项目变更就是合同的变更。 </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变更，可以是由于业主的原因而引起，也可以因为设计方面而导致，有的来自承建单位的要求，有的来自监理工程师的建议。从施工合同的角度看，设计变更与监理工程师建议的变更均属采购人的变更。以下就有关各方提出的变更动机和监理工程师在变更控制中的角色问题作个剖析。</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要求明确变更控制的目标和范围，提出变更控制的主要任务，依据变更控制依据，制定各阶段的变更控制措施，阐述项目变更的影响及控制分析。</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4、项目合同与信息管理措施</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合同管理是建设项目管理的重要内容之一，建设项目合同的管理是一项复杂全面的系统工程，具有涉及面广、个体差异突出的特点，其管理范畴包括规划管理、投资管理、质量管理、进度管理、安全管理、人员管理等等，合同管理是贯穿整个建设工程项目的管理模式。</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信息管理是建立与建设单位的信息沟通协调机制，提供各类法律、法规、政策等信息咨询和意见建议，指导承建方编制各类项目资料，妥善保管和严格保密各阶段的项目资料（文档、视频、数据、图表等）。</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要求着重明确合同管理的总体任务，项目合同的管理措施、方法、控制流；明确信息管理的任务、配套信息管理的方法和措施、为项目建设各阶段配套专项信息管理方案与控制流程。建立完善、合理、信息化、便捷化、现代化的项目信息管理机制与模式。</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5、安全生产控制措施</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全面分析项目对安全生产的管理要求，分别从：管理目标、管理措施、明确安全控制的关键任务全面制定安全生产控制方案。同时，针对信息系统项目的特点，建立建全了信息系统安全的控制与验证手段、安全控制体系的审核、保密安全控制方法和措施等，系统为本项目配套完善、全面、适用、针对性、可操作的安全生产措施方案。</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6、监理服务电子化解决方案</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要求监理单位具有健全的信息系统项目全生命周期管理体系，可以提供监理服务的电子化解决方案，使其建设（服务）工期与过程质量得以更好的科学化管控，同时在建设过程实现的信息化资产的数字化，建设与管理的同步与一体化。</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7、现场组织协调方法及措施</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要求监理单位协助业主单位划分各方的工作范围和职责；监督项目各方履行职责，协调各方的工作关系；建立畅通的沟通渠道，采取有效措施使项目信息在有关各方之间保持顺畅流通，积极协调项目各方之间的关系，推动项目实施过程中问题的有效解决。</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8、项目建设实施建议</w:t>
      </w:r>
      <w:r/>
    </w:p>
    <w:p>
      <w:pPr>
        <w:ind w:firstLine="480"/>
        <w:spacing w:line="360" w:lineRule="auto"/>
        <w:rPr>
          <w:rFonts w:ascii="宋体" w:hAnsi="宋体" w:cs="宋体"/>
          <w:color w:val="000000"/>
          <w:sz w:val="24"/>
          <w:highlight w:val="none"/>
        </w:rPr>
      </w:pPr>
      <w:r>
        <w:rPr>
          <w:rFonts w:hint="eastAsia" w:ascii="宋体" w:hAnsi="宋体" w:cs="宋体"/>
          <w:color w:val="000000"/>
          <w:sz w:val="24"/>
          <w:szCs w:val="24"/>
          <w:highlight w:val="none"/>
        </w:rPr>
        <w:t xml:space="preserve">要求从进度控制、投资控制、质量控制、合同管理、沟通管理等基础维度开始针对关键点和阶段提出建设管理的合理化建议。并通过分析总体框架监理的应对措施，提出项目实施的总体建议，建立项目风险的应对方案。另外，围绕全面、合理、适用性强、针对性强的原则，针对应用软件研发、硬件选型配置、系统集成实施三个方面提出针对性建议。</w:t>
      </w:r>
      <w:r/>
    </w:p>
    <w:p>
      <w:pPr>
        <w:ind w:firstLine="420"/>
        <w:spacing w:line="360" w:lineRule="auto"/>
        <w:rPr>
          <w:rFonts w:ascii="黑体" w:hAnsi="黑体" w:cs="黑体"/>
          <w:color w:val="000000"/>
          <w:highlight w:val="none"/>
        </w:rPr>
      </w:pPr>
      <w:r>
        <w:rPr>
          <w:rFonts w:ascii="黑体" w:hAnsi="黑体" w:cs="黑体"/>
          <w:color w:val="000000"/>
          <w:highlight w:val="none"/>
        </w:rPr>
      </w:r>
      <w:r/>
    </w:p>
    <w:p>
      <w:pPr>
        <w:rPr>
          <w:rFonts w:ascii="宋体" w:hAnsi="宋体" w:cs="宋体"/>
          <w:b/>
          <w:color w:val="ff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ff0000"/>
          <w:sz w:val="24"/>
          <w:highlight w:val="none"/>
        </w:rPr>
      </w:r>
      <w:r/>
    </w:p>
    <w:p>
      <w:pPr>
        <w:rPr>
          <w:rFonts w:ascii="宋体" w:hAnsi="宋体" w:cs="宋体"/>
          <w:b/>
          <w:color w:val="ff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ff0000"/>
          <w:sz w:val="24"/>
          <w:highlight w:val="none"/>
        </w:rPr>
      </w:r>
      <w:r/>
    </w:p>
    <w:p>
      <w:pPr>
        <w:rPr>
          <w:rFonts w:ascii="宋体" w:hAnsi="宋体" w:cs="宋体"/>
          <w:b/>
          <w:color w:val="ff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ff0000"/>
          <w:sz w:val="24"/>
          <w:highlight w:val="none"/>
        </w:rPr>
      </w:r>
      <w:r/>
    </w:p>
    <w:p>
      <w:pPr>
        <w:rPr>
          <w:rFonts w:ascii="宋体" w:hAnsi="宋体" w:cs="宋体"/>
          <w:b/>
          <w:color w:val="ff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ff0000"/>
          <w:sz w:val="24"/>
          <w:highlight w:val="none"/>
        </w:rPr>
      </w:r>
      <w:r/>
    </w:p>
    <w:p>
      <w:pPr>
        <w:rPr>
          <w:highlight w:val="none"/>
        </w:rPr>
        <w:pBdr>
          <w:top w:val="none" w:color="000000" w:sz="0" w:space="0"/>
          <w:left w:val="none" w:color="000000" w:sz="0" w:space="0"/>
          <w:bottom w:val="none" w:color="000000" w:sz="0" w:space="0"/>
          <w:right w:val="none" w:color="000000" w:sz="0" w:space="0"/>
        </w:pBdr>
      </w:pPr>
      <w:r>
        <w:rPr>
          <w:highlight w:val="none"/>
        </w:rPr>
      </w:r>
      <w:r/>
    </w:p>
    <w:p>
      <w:pPr>
        <w:rPr>
          <w:highlight w:val="none"/>
        </w:rPr>
        <w:pBdr>
          <w:top w:val="none" w:color="000000" w:sz="0" w:space="0"/>
          <w:left w:val="none" w:color="000000" w:sz="0" w:space="0"/>
          <w:bottom w:val="none" w:color="000000" w:sz="0" w:space="0"/>
          <w:right w:val="none" w:color="000000" w:sz="0" w:space="0"/>
        </w:pBdr>
      </w:pPr>
      <w:r>
        <w:rPr>
          <w:highlight w:val="none"/>
        </w:rPr>
      </w:r>
      <w:r/>
    </w:p>
    <w:p>
      <w:pPr>
        <w:rPr>
          <w:highlight w:val="none"/>
        </w:rPr>
        <w:pBdr>
          <w:top w:val="none" w:color="000000" w:sz="0" w:space="0"/>
          <w:left w:val="none" w:color="000000" w:sz="0" w:space="0"/>
          <w:bottom w:val="none" w:color="000000" w:sz="0" w:space="0"/>
          <w:right w:val="none" w:color="000000" w:sz="0" w:space="0"/>
        </w:pBdr>
      </w:pPr>
      <w:r>
        <w:rPr>
          <w:highlight w:val="none"/>
        </w:rPr>
      </w:r>
      <w:r/>
    </w:p>
    <w:p>
      <w:pPr>
        <w:rPr>
          <w:highlight w:val="none"/>
        </w:rPr>
        <w:pBdr>
          <w:top w:val="none" w:color="000000" w:sz="0" w:space="0"/>
          <w:left w:val="none" w:color="000000" w:sz="0" w:space="0"/>
          <w:bottom w:val="none" w:color="000000" w:sz="0" w:space="0"/>
          <w:right w:val="none" w:color="000000" w:sz="0" w:space="0"/>
        </w:pBdr>
      </w:pPr>
      <w:r>
        <w:rPr>
          <w:highlight w:val="none"/>
        </w:rPr>
      </w:r>
      <w:r/>
    </w:p>
    <w:p>
      <w:pPr>
        <w:rPr>
          <w:highlight w:val="none"/>
        </w:rPr>
        <w:pBdr>
          <w:top w:val="none" w:color="000000" w:sz="0" w:space="0"/>
          <w:left w:val="none" w:color="000000" w:sz="0" w:space="0"/>
          <w:bottom w:val="none" w:color="000000" w:sz="0" w:space="0"/>
          <w:right w:val="none" w:color="000000" w:sz="0" w:space="0"/>
        </w:pBdr>
      </w:pPr>
      <w:r>
        <w:rPr>
          <w:highlight w:val="none"/>
        </w:rPr>
      </w:r>
      <w:r/>
    </w:p>
    <w:p>
      <w:pPr>
        <w:rPr>
          <w:highlight w:val="none"/>
        </w:rPr>
        <w:pBdr>
          <w:top w:val="none" w:color="000000" w:sz="0" w:space="0"/>
          <w:left w:val="none" w:color="000000" w:sz="0" w:space="0"/>
          <w:bottom w:val="none" w:color="000000" w:sz="0" w:space="0"/>
          <w:right w:val="none" w:color="000000" w:sz="0" w:space="0"/>
        </w:pBdr>
      </w:pPr>
      <w:r>
        <w:rPr>
          <w:highlight w:val="none"/>
        </w:rPr>
      </w:r>
      <w:r/>
    </w:p>
    <w:p>
      <w:pPr>
        <w:rPr>
          <w:highlight w:val="none"/>
        </w:rPr>
        <w:pBdr>
          <w:top w:val="none" w:color="000000" w:sz="0" w:space="0"/>
          <w:left w:val="none" w:color="000000" w:sz="0" w:space="0"/>
          <w:bottom w:val="none" w:color="000000" w:sz="0" w:space="0"/>
          <w:right w:val="none" w:color="000000" w:sz="0" w:space="0"/>
        </w:pBdr>
      </w:pPr>
      <w:r>
        <w:rPr>
          <w:highlight w:val="none"/>
        </w:rPr>
      </w:r>
      <w:r/>
    </w:p>
    <w:p>
      <w:pPr>
        <w:rPr>
          <w:highlight w:val="none"/>
        </w:rPr>
        <w:pBdr>
          <w:top w:val="none" w:color="000000" w:sz="0" w:space="0"/>
          <w:left w:val="none" w:color="000000" w:sz="0" w:space="0"/>
          <w:bottom w:val="none" w:color="000000" w:sz="0" w:space="0"/>
          <w:right w:val="none" w:color="000000" w:sz="0" w:space="0"/>
        </w:pBdr>
      </w:pPr>
      <w:r>
        <w:rPr>
          <w:highlight w:val="none"/>
        </w:rPr>
      </w:r>
      <w:r/>
    </w:p>
    <w:p>
      <w:pPr>
        <w:rPr>
          <w:highlight w:val="none"/>
        </w:rPr>
        <w:pBdr>
          <w:top w:val="none" w:color="000000" w:sz="0" w:space="0"/>
          <w:left w:val="none" w:color="000000" w:sz="0" w:space="0"/>
          <w:bottom w:val="none" w:color="000000" w:sz="0" w:space="0"/>
          <w:right w:val="none" w:color="000000" w:sz="0" w:space="0"/>
        </w:pBdr>
      </w:pPr>
      <w:r>
        <w:rPr>
          <w:highlight w:val="none"/>
        </w:rPr>
      </w:r>
      <w:r/>
    </w:p>
    <w:p>
      <w:pPr>
        <w:pStyle w:val="983"/>
        <w:rPr>
          <w:highlight w:val="none"/>
        </w:rPr>
      </w:pPr>
      <w:r>
        <w:rPr>
          <w:rFonts w:ascii="黑体" w:hAnsi="黑体" w:cs="黑体"/>
          <w:color w:val="000000"/>
          <w:highlight w:val="none"/>
        </w:rPr>
        <w:t xml:space="preserve"> 第五章评标方法与评标标准</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ind w:firstLine="439"/>
        <w:spacing w:before="240" w:after="240"/>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采用综合评分法的，评标结果按评审后得分由高到低顺序排列。得分相同的，按投标报价由低到高顺序排列。得分且投标报价相同的并列。</w:t>
      </w:r>
      <w:r/>
    </w:p>
    <w:tbl>
      <w:tblPr>
        <w:tblStyle w:val="996"/>
        <w:tblW w:w="807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081"/>
        <w:gridCol w:w="480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1"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09"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9" w:type="dxa"/>
            <w:textDirection w:val="lrTb"/>
            <w:noWrap w:val="false"/>
          </w:tcPr>
          <w:p>
            <w:pPr>
              <w:jc w:val="center"/>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满足招标文件全部实质性要求，且按照评审因素的量化指标评审得分最高的投标人为中标候选人。</w:t>
            </w:r>
            <w:r/>
          </w:p>
          <w:p>
            <w:pPr>
              <w:jc w:val="center"/>
              <w:rPr>
                <w:color w:val="0070c0"/>
                <w:highlight w:val="none"/>
              </w:rPr>
              <w:pBdr>
                <w:top w:val="none" w:color="000000" w:sz="0" w:space="0"/>
                <w:left w:val="none" w:color="000000" w:sz="0" w:space="0"/>
                <w:bottom w:val="none" w:color="000000" w:sz="0" w:space="0"/>
                <w:right w:val="none" w:color="000000" w:sz="0" w:space="0"/>
              </w:pBdr>
            </w:pPr>
            <w:r>
              <w:rPr>
                <w:color w:val="0070c0"/>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9" w:type="dxa"/>
            <w:textDirection w:val="lrTb"/>
            <w:noWrap w:val="false"/>
          </w:tcPr>
          <w:p>
            <w:pPr>
              <w:jc w:val="center"/>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满足招标文件全部实质性要求，且按照评审因素的量化指标评审得分最高的投标人为中标候选人。</w:t>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41"/>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政府采购政策功能落实</w:t>
      </w:r>
      <w:r/>
    </w:p>
    <w:p>
      <w:pPr>
        <w:ind w:firstLine="441"/>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ff0000"/>
          <w:sz w:val="24"/>
          <w:highlight w:val="none"/>
        </w:rPr>
        <w:t xml:space="preserve">本项目专门面向中小企业：是</w:t>
      </w:r>
      <w:r/>
    </w:p>
    <w:tbl>
      <w:tblPr>
        <w:tblStyle w:val="996"/>
        <w:tblW w:w="807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7"/>
        <w:gridCol w:w="700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7"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03"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3"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是</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3"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是</w:t>
            </w:r>
            <w:r/>
          </w:p>
        </w:tc>
      </w:tr>
    </w:tbl>
    <w:p>
      <w:pPr>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1、小微型企业价格扣除</w:t>
      </w:r>
      <w:r/>
    </w:p>
    <w:p>
      <w:pPr>
        <w:ind w:firstLine="36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（1）本项目对小型和微型企业产品给予</w:t>
      </w:r>
      <w:r>
        <w:rPr>
          <w:rFonts w:hint="eastAsia" w:ascii="宋体" w:hAnsi="宋体" w:cs="宋体"/>
          <w:color w:val="000000"/>
          <w:sz w:val="24"/>
          <w:highlight w:val="none"/>
          <w:u w:val="single"/>
        </w:rPr>
        <w:t xml:space="preserve">/</w:t>
      </w:r>
      <w:r>
        <w:rPr>
          <w:rFonts w:ascii="宋体" w:hAnsi="宋体" w:cs="宋体"/>
          <w:color w:val="000000"/>
          <w:sz w:val="24"/>
          <w:highlight w:val="none"/>
        </w:rPr>
        <w:t xml:space="preserve">的扣除价格，用扣除后的价格参与评审。</w:t>
      </w:r>
      <w:r/>
    </w:p>
    <w:p>
      <w:pPr>
        <w:ind w:firstLine="36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（2）供应商需按照采购文件的要求提供相应的《中小企业声明函》。</w:t>
      </w:r>
      <w:r/>
    </w:p>
    <w:p>
      <w:pPr>
        <w:ind w:firstLine="36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（3）企业标准请参照《关于印发中小企业划型标准规定的通知》（工信部联企业[2011]300号）文件规定自行填写。</w:t>
      </w:r>
      <w:r/>
    </w:p>
    <w:p>
      <w:pPr>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2、残疾人福利单位价格扣除</w:t>
      </w:r>
      <w:r/>
    </w:p>
    <w:p>
      <w:pPr>
        <w:ind w:left="120" w:firstLine="36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（1）本项目对残疾人福利性单位视同小型、微型企业，给予</w:t>
      </w:r>
      <w:r>
        <w:rPr>
          <w:rFonts w:hint="eastAsia" w:ascii="宋体" w:hAnsi="宋体" w:cs="宋体"/>
          <w:color w:val="000000"/>
          <w:sz w:val="24"/>
          <w:highlight w:val="none"/>
          <w:u w:val="single"/>
        </w:rPr>
        <w:t xml:space="preserve">/</w:t>
      </w:r>
      <w:r>
        <w:rPr>
          <w:rFonts w:ascii="宋体" w:hAnsi="宋体" w:cs="宋体"/>
          <w:color w:val="000000"/>
          <w:sz w:val="24"/>
          <w:highlight w:val="none"/>
        </w:rPr>
        <w:t xml:space="preserve">的价格扣除，用扣除后的价格参与评审。</w:t>
      </w:r>
      <w:r/>
    </w:p>
    <w:p>
      <w:pPr>
        <w:ind w:left="120" w:firstLine="36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（2）残疾人福利单位需按照采购文件的要求提供《残疾人福利性单位声明函》。</w:t>
      </w:r>
      <w:r/>
    </w:p>
    <w:p>
      <w:pPr>
        <w:ind w:left="120" w:firstLine="36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（3）残疾人福利单位标准请参照《关于促进残疾人就业政府采购政策的通知》（财库〔2017〕141号）。</w:t>
      </w:r>
      <w:r/>
    </w:p>
    <w:p>
      <w:pPr>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3、监狱和戒毒企业价格扣除</w:t>
      </w:r>
      <w:r/>
    </w:p>
    <w:p>
      <w:pPr>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（1）本项目对监狱和戒毒企业（简称监狱企业）视同小型、微型企业，给予</w:t>
      </w:r>
      <w:r>
        <w:rPr>
          <w:rFonts w:hint="eastAsia" w:ascii="宋体" w:hAnsi="宋体" w:cs="宋体"/>
          <w:color w:val="000000"/>
          <w:sz w:val="24"/>
          <w:highlight w:val="none"/>
          <w:u w:val="single"/>
        </w:rPr>
        <w:t xml:space="preserve">/</w:t>
      </w:r>
      <w:r>
        <w:rPr>
          <w:rFonts w:ascii="宋体" w:hAnsi="宋体" w:cs="宋体"/>
          <w:color w:val="000000"/>
          <w:sz w:val="24"/>
          <w:highlight w:val="none"/>
        </w:rPr>
        <w:t xml:space="preserve">的价格扣除，用扣除后的价格参与评审。</w:t>
      </w:r>
      <w:r/>
    </w:p>
    <w:p>
      <w:pPr>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（3）监狱企业标准请参照《关于政府采购支持监狱企业发展有关问题的通知》（财库〔2014〕68号）。</w:t>
      </w:r>
      <w:r/>
    </w:p>
    <w:p>
      <w:pPr>
        <w:ind w:firstLine="480"/>
        <w:spacing w:before="120" w:after="1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4、残疾人福利单位、监狱企业属于小型、微型企业的，不重复享受政策。</w:t>
      </w:r>
      <w:r/>
    </w:p>
    <w:p>
      <w:pPr>
        <w:ind w:firstLine="480"/>
        <w:spacing w:before="120" w:after="1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 w:val="24"/>
          <w:highlight w:val="none"/>
          <w:u w:val="single"/>
        </w:rPr>
        <w:t xml:space="preserve">/</w:t>
      </w:r>
      <w:r>
        <w:rPr>
          <w:rFonts w:ascii="宋体" w:hAnsi="宋体" w:cs="宋体"/>
          <w:color w:val="000000"/>
          <w:sz w:val="24"/>
          <w:highlight w:val="none"/>
        </w:rPr>
        <w:t xml:space="preserve">的价格扣除，用扣除后的价格参与评审。</w:t>
      </w:r>
      <w:r/>
    </w:p>
    <w:p>
      <w:pPr>
        <w:ind w:firstLine="480"/>
        <w:spacing w:before="120" w:after="120" w:line="400"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6、联合体各方均为小型、微型企业（残疾人福利单位、监狱企业）的，联合体享受</w:t>
      </w:r>
      <w:r>
        <w:rPr>
          <w:rFonts w:hint="eastAsia" w:ascii="宋体" w:hAnsi="宋体" w:cs="宋体"/>
          <w:color w:val="000000"/>
          <w:sz w:val="24"/>
          <w:highlight w:val="none"/>
          <w:u w:val="single"/>
        </w:rPr>
        <w:t xml:space="preserve">/</w:t>
      </w:r>
      <w:r>
        <w:rPr>
          <w:rFonts w:ascii="宋体" w:hAnsi="宋体" w:cs="宋体"/>
          <w:color w:val="000000"/>
          <w:sz w:val="24"/>
          <w:highlight w:val="none"/>
        </w:rPr>
        <w:t xml:space="preserve">价格扣除，用扣除后的价格参与评审。</w:t>
      </w:r>
      <w:r/>
    </w:p>
    <w:p>
      <w:pPr>
        <w:ind w:firstLine="480"/>
        <w:spacing w:before="120" w:after="1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7.采购本国产品的支持政策</w:t>
      </w:r>
      <w:r/>
    </w:p>
    <w:p>
      <w:pPr>
        <w:ind w:firstLine="480"/>
        <w:spacing w:before="120" w:after="1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7.1 当采购包中含有货物的，供应商为该采购包提供的符合本国产品标准的货物成本之和占该供应商提供的整个采购包成本之和的比例达到80%以上时（供应商需在“第六章 投标文件格式”的“附件2 投标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p>
    <w:p>
      <w:pPr>
        <w:ind w:firstLine="480"/>
        <w:spacing w:before="120" w:after="1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7.2 供应商需按照招标文件的要求提供《关于符合本国产品标准的声明函》（以下简称《声明函》），如不提供将不享受本国产品价格评审优惠。</w:t>
      </w:r>
      <w:r/>
    </w:p>
    <w:p>
      <w:pPr>
        <w:ind w:firstLine="480"/>
        <w:spacing w:before="120" w:after="1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7.3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spacing w:before="120" w:after="1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tbl>
      <w:tblPr>
        <w:tblStyle w:val="990"/>
        <w:tblpPr w:horzAnchor="page" w:tblpX="1342" w:vertAnchor="text" w:tblpY="523" w:leftFromText="180" w:topFromText="0" w:rightFromText="180" w:bottomFromText="0"/>
        <w:tblW w:w="9257" w:type="dxa"/>
        <w:tblInd w:w="0" w:type="dxa"/>
        <w:tblLayout w:type="fixed"/>
        <w:tblCellMar>
          <w:left w:w="108" w:type="dxa"/>
          <w:top w:w="0" w:type="dxa"/>
          <w:right w:w="108" w:type="dxa"/>
          <w:bottom w:w="0" w:type="dxa"/>
        </w:tblCellMar>
        <w:tblLook w:val="04A0" w:firstRow="1" w:lastRow="0" w:firstColumn="1" w:lastColumn="0" w:noHBand="0" w:noVBand="1"/>
      </w:tblPr>
      <w:tblGrid>
        <w:gridCol w:w="2087"/>
        <w:gridCol w:w="7170"/>
      </w:tblGrid>
      <w:tr>
        <w:trPr>
          <w:trHeight w:val="332"/>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7170" w:type="dxa"/>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评分标准</w:t>
            </w:r>
            <w:r/>
          </w:p>
        </w:tc>
      </w:tr>
      <w:tr>
        <w:trPr>
          <w:trHeight w:val="931"/>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报价得分</w:t>
            </w:r>
            <w:r/>
          </w:p>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（10分）</w:t>
            </w:r>
            <w:r/>
          </w:p>
        </w:tc>
        <w:tc>
          <w:tcPr>
            <w:tcBorders>
              <w:top w:val="single" w:color="000000" w:sz="4" w:space="0"/>
              <w:left w:val="single" w:color="000000" w:sz="4" w:space="0"/>
              <w:bottom w:val="single" w:color="000000" w:sz="4" w:space="0"/>
              <w:right w:val="single" w:color="000000" w:sz="4" w:space="0"/>
            </w:tcBorders>
            <w:tcW w:w="7170" w:type="dxa"/>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以满足招标文件要求的最低投标报价为评标基准价，得满分10分，其他投标报价得分＝（评标基准价/其他投标报价）×10×100%。</w:t>
            </w:r>
            <w:r/>
          </w:p>
        </w:tc>
      </w:tr>
      <w:tr>
        <w:trPr>
          <w:trHeight w:val="2168"/>
        </w:trPr>
        <w:tc>
          <w:tcPr>
            <w:tcBorders>
              <w:top w:val="single" w:color="000000" w:sz="4" w:space="0"/>
              <w:left w:val="single" w:color="000000" w:sz="4" w:space="0"/>
              <w:right w:val="single" w:color="000000" w:sz="4" w:space="0"/>
            </w:tcBorders>
            <w:tcW w:w="2087" w:type="dxa"/>
            <w:vAlign w:val="center"/>
            <w:vMerge w:val="restart"/>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服务能力</w:t>
            </w:r>
            <w:r/>
          </w:p>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（23分）</w:t>
            </w:r>
            <w:r/>
          </w:p>
        </w:tc>
        <w:tc>
          <w:tcPr>
            <w:tcBorders>
              <w:top w:val="single" w:color="000000" w:sz="4" w:space="0"/>
              <w:left w:val="single" w:color="000000" w:sz="4" w:space="0"/>
              <w:bottom w:val="single" w:color="000000" w:sz="4" w:space="0"/>
              <w:right w:val="single" w:color="000000" w:sz="4" w:space="0"/>
            </w:tcBorders>
            <w:tcW w:w="7170" w:type="dxa"/>
            <w:textDirection w:val="lrTb"/>
            <w:noWrap w:val="false"/>
          </w:tcPr>
          <w:p>
            <w:pPr>
              <w:numPr>
                <w:ilvl w:val="0"/>
                <w:numId w:val="28"/>
              </w:num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企业资质（共计2分）</w:t>
            </w:r>
            <w:r/>
          </w:p>
          <w:p>
            <w:pPr>
              <w:pStyle w:val="992"/>
              <w:ind w:firstLine="480"/>
              <w:widowControl/>
              <w:rPr>
                <w:rFonts w:asciiTheme="majorEastAsia" w:hAnsiTheme="majorEastAsia" w:eastAsiaTheme="majorEastAsia" w:cstheme="majorEastAsia"/>
                <w:color w:val="auto"/>
                <w:sz w:val="24"/>
                <w:szCs w:val="24"/>
                <w:highlight w:val="none"/>
              </w:rPr>
            </w:pPr>
            <w:r>
              <w:rPr>
                <w:rFonts w:hint="eastAsia" w:ascii="宋体" w:hAnsi="宋体" w:cs="宋体"/>
                <w:color w:val="auto"/>
                <w:sz w:val="24"/>
                <w:szCs w:val="24"/>
                <w:highlight w:val="none"/>
              </w:rPr>
              <w:t xml:space="preserve">（1）</w:t>
            </w:r>
            <w:r>
              <w:rPr>
                <w:rFonts w:hint="eastAsia" w:asciiTheme="majorEastAsia" w:hAnsiTheme="majorEastAsia" w:eastAsiaTheme="majorEastAsia" w:cstheme="majorEastAsia"/>
                <w:color w:val="auto"/>
                <w:sz w:val="24"/>
                <w:szCs w:val="24"/>
                <w:highlight w:val="none"/>
              </w:rPr>
              <w:t xml:space="preserve">具有ITSS信息技术服务标准符合性证书(运行维护)三级及以上，得1分。</w:t>
            </w:r>
            <w:r/>
          </w:p>
          <w:p>
            <w:pPr>
              <w:pStyle w:val="992"/>
              <w:ind w:firstLine="480"/>
              <w:widowControl/>
              <w:rPr>
                <w:rFonts w:asciiTheme="majorEastAsia" w:hAnsiTheme="majorEastAsia" w:eastAsiaTheme="majorEastAsia" w:cstheme="majorEastAsia"/>
                <w:color w:val="auto"/>
                <w:sz w:val="24"/>
                <w:szCs w:val="24"/>
                <w:highlight w:val="none"/>
              </w:rPr>
            </w:pPr>
            <w:r>
              <w:rPr>
                <w:rFonts w:hint="eastAsia" w:asciiTheme="majorEastAsia" w:hAnsiTheme="majorEastAsia" w:cstheme="majorEastAsia"/>
                <w:color w:val="auto"/>
                <w:sz w:val="24"/>
                <w:szCs w:val="24"/>
                <w:highlight w:val="none"/>
              </w:rPr>
              <w:t xml:space="preserve">（2）</w:t>
            </w:r>
            <w:r>
              <w:rPr>
                <w:rFonts w:hint="eastAsia" w:asciiTheme="majorEastAsia" w:hAnsiTheme="majorEastAsia" w:eastAsiaTheme="majorEastAsia" w:cstheme="majorEastAsia"/>
                <w:color w:val="auto"/>
                <w:sz w:val="24"/>
                <w:szCs w:val="24"/>
                <w:highlight w:val="none"/>
              </w:rPr>
              <w:t xml:space="preserve">具有ISO20000信息技术服务管理体系认证证书，得1分。</w:t>
            </w:r>
            <w:r/>
          </w:p>
          <w:p>
            <w:pPr>
              <w:ind w:firstLine="4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以上每提供 1 项得 1 分，最高得 2 分。</w:t>
            </w:r>
            <w:r/>
          </w:p>
          <w:p>
            <w:pPr>
              <w:ind w:firstLine="4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b/>
                <w:bCs/>
                <w:color w:val="auto"/>
                <w:sz w:val="24"/>
                <w:szCs w:val="24"/>
                <w:highlight w:val="none"/>
              </w:rPr>
              <w:t xml:space="preserve">提供有效证书原件扫描上传</w:t>
            </w:r>
            <w:r>
              <w:rPr>
                <w:rFonts w:hint="eastAsia" w:ascii="宋体" w:hAnsi="宋体" w:cs="宋体"/>
                <w:color w:val="auto"/>
                <w:sz w:val="24"/>
                <w:szCs w:val="24"/>
                <w:highlight w:val="none"/>
              </w:rPr>
              <w:t xml:space="preserve">）</w:t>
            </w:r>
            <w:r/>
          </w:p>
        </w:tc>
      </w:tr>
      <w:tr>
        <w:trPr>
          <w:trHeight w:val="1936"/>
        </w:trPr>
        <w:tc>
          <w:tcPr>
            <w:tcBorders>
              <w:left w:val="single" w:color="000000" w:sz="4" w:space="0"/>
              <w:right w:val="single" w:color="000000" w:sz="4" w:space="0"/>
            </w:tcBorders>
            <w:tcW w:w="2087" w:type="dxa"/>
            <w:vAlign w:val="center"/>
            <w:vMerge w:val="continue"/>
            <w:textDirection w:val="lrTb"/>
            <w:noWrap w:val="false"/>
          </w:tcPr>
          <w:p>
            <w:pPr>
              <w:ind w:firstLine="420"/>
              <w:jc w:val="left"/>
              <w:widowControl/>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170" w:type="dxa"/>
            <w:textDirection w:val="lrTb"/>
            <w:noWrap w:val="false"/>
          </w:tcPr>
          <w:p>
            <w:pPr>
              <w:numPr>
                <w:ilvl w:val="0"/>
                <w:numId w:val="28"/>
              </w:num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企业类似业绩（共计4分）</w:t>
            </w:r>
            <w:r/>
          </w:p>
          <w:p>
            <w:pPr>
              <w:ind w:firstLine="480"/>
              <w:jc w:val="left"/>
              <w:widowControl/>
              <w:rPr>
                <w:b/>
                <w:bCs/>
                <w:color w:val="auto"/>
                <w:sz w:val="24"/>
                <w:highlight w:val="none"/>
              </w:rPr>
            </w:pPr>
            <w:r>
              <w:rPr>
                <w:rFonts w:hint="eastAsia" w:ascii="宋体" w:hAnsi="宋体" w:cs="宋体"/>
                <w:color w:val="auto"/>
                <w:sz w:val="24"/>
                <w:szCs w:val="24"/>
                <w:highlight w:val="none"/>
              </w:rPr>
              <w:t xml:space="preserve">自2023 年1月1日以来承接的有效的类似项目业绩情况，有1个得 2分，本项最高得分为 4 分。</w:t>
            </w:r>
            <w:r>
              <w:rPr>
                <w:rFonts w:hint="eastAsia" w:ascii="宋体" w:hAnsi="宋体" w:cs="宋体"/>
                <w:b/>
                <w:bCs/>
                <w:color w:val="auto"/>
                <w:sz w:val="24"/>
                <w:szCs w:val="24"/>
                <w:highlight w:val="none"/>
              </w:rPr>
              <w:t xml:space="preserve">（投标人需提供类似项目的合同原件，扫描上传。合同中需体现合同的签约主体、项目名称及内容、合同日期等合同要素的相关内容，否则不算有效的类似项目业绩。）</w:t>
            </w:r>
            <w:r/>
          </w:p>
        </w:tc>
      </w:tr>
      <w:tr>
        <w:trPr>
          <w:trHeight w:val="7305"/>
        </w:trPr>
        <w:tc>
          <w:tcPr>
            <w:tcBorders>
              <w:left w:val="single" w:color="000000" w:sz="4" w:space="0"/>
              <w:bottom w:val="single" w:color="000000" w:sz="4" w:space="0"/>
              <w:right w:val="single" w:color="000000" w:sz="4" w:space="0"/>
            </w:tcBorders>
            <w:tcW w:w="2087" w:type="dxa"/>
            <w:vAlign w:val="center"/>
            <w:vMerge w:val="continue"/>
            <w:textDirection w:val="lrTb"/>
            <w:noWrap w:val="false"/>
          </w:tcPr>
          <w:p>
            <w:pPr>
              <w:ind w:firstLine="482"/>
              <w:jc w:val="left"/>
              <w:widowControl/>
              <w:rPr>
                <w:b/>
                <w:bCs/>
                <w:color w:val="auto"/>
                <w:sz w:val="24"/>
                <w:highlight w:val="none"/>
              </w:rPr>
            </w:pPr>
            <w:r>
              <w:rPr>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170" w:type="dxa"/>
            <w:textDirection w:val="lrTb"/>
            <w:noWrap w:val="false"/>
          </w:tcPr>
          <w:p>
            <w:pPr>
              <w:jc w:val="both"/>
              <w:rPr>
                <w:color w:val="auto"/>
                <w:sz w:val="24"/>
                <w:szCs w:val="24"/>
                <w:highlight w:val="none"/>
              </w:rPr>
            </w:pPr>
            <w:r>
              <w:rPr>
                <w:rFonts w:hint="eastAsia"/>
                <w:color w:val="auto"/>
                <w:sz w:val="24"/>
                <w:szCs w:val="24"/>
                <w:highlight w:val="none"/>
              </w:rPr>
              <w:t xml:space="preserve">3</w:t>
            </w:r>
            <w:r>
              <w:rPr>
                <w:color w:val="auto"/>
                <w:sz w:val="24"/>
                <w:szCs w:val="24"/>
                <w:highlight w:val="none"/>
              </w:rPr>
              <w:t xml:space="preserve">、拟投入项目人员应具有下列证书（共计</w:t>
            </w:r>
            <w:r>
              <w:rPr>
                <w:rFonts w:hint="eastAsia"/>
                <w:color w:val="auto"/>
                <w:sz w:val="24"/>
                <w:szCs w:val="24"/>
                <w:highlight w:val="none"/>
              </w:rPr>
              <w:t xml:space="preserve">17</w:t>
            </w:r>
            <w:r>
              <w:rPr>
                <w:color w:val="auto"/>
                <w:sz w:val="24"/>
                <w:szCs w:val="24"/>
                <w:highlight w:val="none"/>
              </w:rPr>
              <w:t xml:space="preserve">分）</w:t>
            </w:r>
            <w:r/>
          </w:p>
          <w:p>
            <w:pPr>
              <w:ind w:firstLine="480"/>
              <w:jc w:val="both"/>
              <w:rPr>
                <w:color w:val="auto"/>
                <w:sz w:val="24"/>
                <w:szCs w:val="24"/>
                <w:highlight w:val="none"/>
              </w:rPr>
            </w:pPr>
            <w:r>
              <w:rPr>
                <w:color w:val="auto"/>
                <w:sz w:val="24"/>
                <w:szCs w:val="24"/>
                <w:highlight w:val="none"/>
              </w:rPr>
              <w:t xml:space="preserve">（1）投标人指定一位项目经理，</w:t>
            </w:r>
            <w:r>
              <w:rPr>
                <w:rFonts w:hint="eastAsia"/>
                <w:color w:val="auto"/>
                <w:sz w:val="24"/>
                <w:szCs w:val="24"/>
                <w:highlight w:val="none"/>
              </w:rPr>
              <w:t xml:space="preserve">需</w:t>
            </w:r>
            <w:r>
              <w:rPr>
                <w:color w:val="auto"/>
                <w:sz w:val="24"/>
                <w:szCs w:val="24"/>
                <w:highlight w:val="none"/>
              </w:rPr>
              <w:t xml:space="preserve">具备信息系统项目管理师（高级）（工信部</w:t>
            </w:r>
            <w:r>
              <w:rPr>
                <w:rFonts w:hint="eastAsia"/>
                <w:color w:val="auto"/>
                <w:sz w:val="24"/>
                <w:szCs w:val="24"/>
                <w:highlight w:val="none"/>
              </w:rPr>
              <w:t xml:space="preserve">和人社部联合</w:t>
            </w:r>
            <w:r>
              <w:rPr>
                <w:color w:val="auto"/>
                <w:sz w:val="24"/>
                <w:szCs w:val="24"/>
                <w:highlight w:val="none"/>
              </w:rPr>
              <w:t xml:space="preserve">颁发）、系统规划与管理师证书（高级）（工信部</w:t>
            </w:r>
            <w:r>
              <w:rPr>
                <w:rFonts w:hint="eastAsia"/>
                <w:color w:val="auto"/>
                <w:sz w:val="24"/>
                <w:szCs w:val="24"/>
                <w:highlight w:val="none"/>
              </w:rPr>
              <w:t xml:space="preserve">和人社部联合</w:t>
            </w:r>
            <w:r>
              <w:rPr>
                <w:color w:val="auto"/>
                <w:sz w:val="24"/>
                <w:szCs w:val="24"/>
                <w:highlight w:val="none"/>
              </w:rPr>
              <w:t xml:space="preserve">颁发），每提供一个得2分，最高得4分；</w:t>
            </w:r>
            <w:r/>
          </w:p>
          <w:p>
            <w:pPr>
              <w:numPr>
                <w:ilvl w:val="0"/>
                <w:numId w:val="29"/>
              </w:numPr>
              <w:jc w:val="both"/>
              <w:rPr>
                <w:color w:val="auto"/>
                <w:sz w:val="24"/>
                <w:szCs w:val="24"/>
                <w:highlight w:val="none"/>
              </w:rPr>
            </w:pPr>
            <w:r>
              <w:rPr>
                <w:color w:val="auto"/>
                <w:sz w:val="24"/>
                <w:szCs w:val="24"/>
                <w:highlight w:val="none"/>
              </w:rPr>
              <w:t xml:space="preserve">投标人指定一位技术负责人，</w:t>
            </w:r>
            <w:r>
              <w:rPr>
                <w:rFonts w:hint="eastAsia"/>
                <w:color w:val="auto"/>
                <w:sz w:val="24"/>
                <w:szCs w:val="24"/>
                <w:highlight w:val="none"/>
              </w:rPr>
              <w:t xml:space="preserve">需</w:t>
            </w:r>
            <w:r>
              <w:rPr>
                <w:color w:val="auto"/>
                <w:sz w:val="24"/>
                <w:szCs w:val="24"/>
                <w:highlight w:val="none"/>
              </w:rPr>
              <w:t xml:space="preserve">具备系统架构设计师（高级）（工信部</w:t>
            </w:r>
            <w:r>
              <w:rPr>
                <w:rFonts w:hint="eastAsia"/>
                <w:color w:val="auto"/>
                <w:sz w:val="24"/>
                <w:szCs w:val="24"/>
                <w:highlight w:val="none"/>
              </w:rPr>
              <w:t xml:space="preserve">和人社部联合</w:t>
            </w:r>
            <w:r>
              <w:rPr>
                <w:color w:val="auto"/>
                <w:sz w:val="24"/>
                <w:szCs w:val="24"/>
                <w:highlight w:val="none"/>
              </w:rPr>
              <w:t xml:space="preserve">颁发）、系统分析师（高级）（工信部</w:t>
            </w:r>
            <w:r>
              <w:rPr>
                <w:rFonts w:hint="eastAsia"/>
                <w:color w:val="auto"/>
                <w:sz w:val="24"/>
                <w:szCs w:val="24"/>
                <w:highlight w:val="none"/>
              </w:rPr>
              <w:t xml:space="preserve">和人社部联合</w:t>
            </w:r>
            <w:r>
              <w:rPr>
                <w:color w:val="auto"/>
                <w:sz w:val="24"/>
                <w:szCs w:val="24"/>
                <w:highlight w:val="none"/>
              </w:rPr>
              <w:t xml:space="preserve">颁发），每提供一个得2分，最高得4分；</w:t>
            </w:r>
            <w:r/>
          </w:p>
          <w:p>
            <w:pPr>
              <w:numPr>
                <w:ilvl w:val="0"/>
                <w:numId w:val="29"/>
              </w:numPr>
              <w:jc w:val="both"/>
              <w:rPr>
                <w:color w:val="auto"/>
                <w:sz w:val="24"/>
                <w:szCs w:val="24"/>
                <w:highlight w:val="none"/>
              </w:rPr>
            </w:pPr>
            <w:r>
              <w:rPr>
                <w:color w:val="auto"/>
                <w:sz w:val="24"/>
                <w:szCs w:val="24"/>
                <w:highlight w:val="none"/>
              </w:rPr>
              <w:t xml:space="preserve">投标人指定一位安全负责人，</w:t>
            </w:r>
            <w:r>
              <w:rPr>
                <w:rFonts w:hint="eastAsia"/>
                <w:color w:val="auto"/>
                <w:sz w:val="24"/>
                <w:szCs w:val="24"/>
                <w:highlight w:val="none"/>
              </w:rPr>
              <w:t xml:space="preserve">需</w:t>
            </w:r>
            <w:r>
              <w:rPr>
                <w:color w:val="auto"/>
                <w:sz w:val="24"/>
                <w:szCs w:val="24"/>
                <w:highlight w:val="none"/>
              </w:rPr>
              <w:t xml:space="preserve">具备</w:t>
            </w:r>
            <w:r>
              <w:rPr>
                <w:rFonts w:hint="eastAsia"/>
                <w:color w:val="auto"/>
                <w:sz w:val="24"/>
                <w:szCs w:val="24"/>
                <w:highlight w:val="none"/>
              </w:rPr>
              <w:t xml:space="preserve">注册信息安全工程师(CISE)</w:t>
            </w:r>
            <w:r>
              <w:rPr>
                <w:color w:val="auto"/>
                <w:sz w:val="24"/>
                <w:szCs w:val="24"/>
                <w:highlight w:val="none"/>
              </w:rPr>
              <w:t xml:space="preserve">证书、系统集成项目管理工程师（中级）（工信部</w:t>
            </w:r>
            <w:r>
              <w:rPr>
                <w:rFonts w:hint="eastAsia"/>
                <w:color w:val="auto"/>
                <w:sz w:val="24"/>
                <w:szCs w:val="24"/>
                <w:highlight w:val="none"/>
              </w:rPr>
              <w:t xml:space="preserve">和人社部联合</w:t>
            </w:r>
            <w:r>
              <w:rPr>
                <w:color w:val="auto"/>
                <w:sz w:val="24"/>
                <w:szCs w:val="24"/>
                <w:highlight w:val="none"/>
              </w:rPr>
              <w:t xml:space="preserve">颁发），每提供一个得2分，最高得4分；</w:t>
            </w:r>
            <w:r/>
          </w:p>
          <w:p>
            <w:pPr>
              <w:numPr>
                <w:ilvl w:val="0"/>
                <w:numId w:val="30"/>
              </w:numPr>
              <w:jc w:val="both"/>
              <w:widowControl/>
              <w:rPr>
                <w:color w:val="auto"/>
                <w:sz w:val="24"/>
                <w:szCs w:val="24"/>
                <w:highlight w:val="none"/>
              </w:rPr>
            </w:pPr>
            <w:r>
              <w:rPr>
                <w:color w:val="auto"/>
                <w:sz w:val="24"/>
                <w:szCs w:val="24"/>
                <w:highlight w:val="none"/>
              </w:rPr>
              <w:t xml:space="preserve">支撑服务团队成员不可与项目经理、技术负责人、安全负责人兼任，团队成员至少具备系统架构设计师（高级）（工信部</w:t>
            </w:r>
            <w:r>
              <w:rPr>
                <w:rFonts w:hint="eastAsia"/>
                <w:color w:val="auto"/>
                <w:sz w:val="24"/>
                <w:szCs w:val="24"/>
                <w:highlight w:val="none"/>
              </w:rPr>
              <w:t xml:space="preserve">和人社部联合</w:t>
            </w:r>
            <w:r>
              <w:rPr>
                <w:color w:val="auto"/>
                <w:sz w:val="24"/>
                <w:szCs w:val="24"/>
                <w:highlight w:val="none"/>
              </w:rPr>
              <w:t xml:space="preserve">颁发）、</w:t>
            </w:r>
            <w:r>
              <w:rPr>
                <w:rFonts w:hint="eastAsia"/>
                <w:color w:val="auto"/>
                <w:sz w:val="24"/>
                <w:szCs w:val="24"/>
                <w:highlight w:val="none"/>
              </w:rPr>
              <w:t xml:space="preserve">软</w:t>
            </w:r>
            <w:r>
              <w:rPr>
                <w:color w:val="auto"/>
                <w:sz w:val="24"/>
                <w:szCs w:val="24"/>
                <w:highlight w:val="none"/>
              </w:rPr>
              <w:t xml:space="preserve">件设计师（中级）（工信部</w:t>
            </w:r>
            <w:r>
              <w:rPr>
                <w:rFonts w:hint="eastAsia"/>
                <w:color w:val="auto"/>
                <w:sz w:val="24"/>
                <w:szCs w:val="24"/>
                <w:highlight w:val="none"/>
              </w:rPr>
              <w:t xml:space="preserve">和人社部联合</w:t>
            </w:r>
            <w:r>
              <w:rPr>
                <w:color w:val="auto"/>
                <w:sz w:val="24"/>
                <w:szCs w:val="24"/>
                <w:highlight w:val="none"/>
              </w:rPr>
              <w:t xml:space="preserve">颁发）、IT服务项目经理证书、信息安全保障人员认证证书（安全集成）（中国网络安全审查认证和市场监管大数据中心颁发，原中国网络安全审查技术与认证中心）、信息安全保障人员认证证书（安全运维）（中国网络安全审查认证和市场监管大数据中心颁发，原中国网络安全审查技术与认证中心），一人多证不可兼得，每提供一个证书得</w:t>
            </w:r>
            <w:r>
              <w:rPr>
                <w:rFonts w:hint="eastAsia"/>
                <w:color w:val="auto"/>
                <w:sz w:val="24"/>
                <w:szCs w:val="24"/>
                <w:highlight w:val="none"/>
              </w:rPr>
              <w:t xml:space="preserve">1</w:t>
            </w:r>
            <w:r>
              <w:rPr>
                <w:color w:val="auto"/>
                <w:sz w:val="24"/>
                <w:szCs w:val="24"/>
                <w:highlight w:val="none"/>
              </w:rPr>
              <w:t xml:space="preserve">分，最高得</w:t>
            </w:r>
            <w:r>
              <w:rPr>
                <w:rFonts w:hint="eastAsia"/>
                <w:color w:val="auto"/>
                <w:sz w:val="24"/>
                <w:szCs w:val="24"/>
                <w:highlight w:val="none"/>
              </w:rPr>
              <w:t xml:space="preserve">5</w:t>
            </w:r>
            <w:r>
              <w:rPr>
                <w:color w:val="auto"/>
                <w:sz w:val="24"/>
                <w:szCs w:val="24"/>
                <w:highlight w:val="none"/>
              </w:rPr>
              <w:t xml:space="preserve">分。</w:t>
            </w:r>
            <w:r/>
          </w:p>
          <w:p>
            <w:pPr>
              <w:ind w:firstLine="482"/>
              <w:jc w:val="both"/>
              <w:widowControl/>
              <w:rPr>
                <w:b/>
                <w:bCs/>
                <w:color w:val="auto"/>
                <w:sz w:val="24"/>
                <w:highlight w:val="none"/>
              </w:rPr>
            </w:pPr>
            <w:r>
              <w:rPr>
                <w:b/>
                <w:bCs/>
                <w:color w:val="auto"/>
                <w:sz w:val="24"/>
                <w:highlight w:val="none"/>
              </w:rPr>
              <w:t xml:space="preserve">（提供有效的证书原件及投标人近</w:t>
            </w:r>
            <w:r>
              <w:rPr>
                <w:rFonts w:hint="eastAsia"/>
                <w:b/>
                <w:bCs/>
                <w:color w:val="auto"/>
                <w:sz w:val="24"/>
                <w:highlight w:val="none"/>
              </w:rPr>
              <w:t xml:space="preserve">3个月</w:t>
            </w:r>
            <w:r>
              <w:rPr>
                <w:b/>
                <w:bCs/>
                <w:color w:val="auto"/>
                <w:sz w:val="24"/>
                <w:highlight w:val="none"/>
              </w:rPr>
              <w:t xml:space="preserve">内任意</w:t>
            </w:r>
            <w:r>
              <w:rPr>
                <w:rFonts w:hint="eastAsia"/>
                <w:b/>
                <w:bCs/>
                <w:color w:val="auto"/>
                <w:sz w:val="24"/>
                <w:highlight w:val="none"/>
              </w:rPr>
              <w:t xml:space="preserve">1</w:t>
            </w:r>
            <w:r>
              <w:rPr>
                <w:b/>
                <w:bCs/>
                <w:color w:val="auto"/>
                <w:sz w:val="24"/>
                <w:highlight w:val="none"/>
              </w:rPr>
              <w:t xml:space="preserve">个月为其缴纳的社保证明材料原件，扫描上传。）</w:t>
            </w:r>
            <w:r/>
          </w:p>
        </w:tc>
      </w:tr>
      <w:tr>
        <w:trPr>
          <w:trHeight w:val="803"/>
        </w:trPr>
        <w:tc>
          <w:tcPr>
            <w:tcBorders>
              <w:top w:val="single" w:color="000000" w:sz="4" w:space="0"/>
              <w:left w:val="single" w:color="000000" w:sz="4" w:space="0"/>
              <w:right w:val="single" w:color="000000" w:sz="4" w:space="0"/>
            </w:tcBorders>
            <w:tcW w:w="2087" w:type="dxa"/>
            <w:vAlign w:val="center"/>
            <w:vMerge w:val="restart"/>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设计方案</w:t>
            </w:r>
            <w:r/>
          </w:p>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（27分）</w:t>
            </w:r>
            <w:r/>
          </w:p>
        </w:tc>
        <w:tc>
          <w:tcPr>
            <w:tcBorders>
              <w:top w:val="single" w:color="000000" w:sz="4" w:space="0"/>
              <w:left w:val="single" w:color="000000" w:sz="4" w:space="0"/>
              <w:bottom w:val="single" w:color="000000" w:sz="4" w:space="0"/>
              <w:right w:val="single" w:color="000000" w:sz="4" w:space="0"/>
            </w:tcBorders>
            <w:tcW w:w="7170" w:type="dxa"/>
            <w:textDirection w:val="lrTb"/>
            <w:noWrap w:val="false"/>
          </w:tcPr>
          <w:p>
            <w:pPr>
              <w:pStyle w:val="1009"/>
              <w:spacing w:line="40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color w:val="auto"/>
                <w:sz w:val="24"/>
                <w:highlight w:val="none"/>
              </w:rPr>
              <w:t xml:space="preserve">“公共资源交易AI+服务"统一管理系统</w:t>
            </w:r>
            <w:r>
              <w:rPr>
                <w:rFonts w:hint="eastAsia" w:ascii="宋体" w:hAnsi="宋体" w:cs="宋体"/>
                <w:color w:val="auto"/>
                <w:sz w:val="24"/>
                <w:highlight w:val="none"/>
              </w:rPr>
              <w:t xml:space="preserve">功能开发方案（5分）</w:t>
            </w:r>
            <w:r/>
          </w:p>
          <w:p>
            <w:pPr>
              <w:pStyle w:val="1009"/>
              <w:ind w:firstLine="240"/>
              <w:spacing w:line="400" w:lineRule="exact"/>
              <w:rPr>
                <w:rFonts w:ascii="宋体" w:hAnsi="宋体" w:cs="宋体"/>
                <w:color w:val="auto"/>
                <w:sz w:val="24"/>
                <w:highlight w:val="none"/>
              </w:rPr>
            </w:pPr>
            <w:r>
              <w:rPr>
                <w:rFonts w:hint="eastAsia"/>
                <w:color w:val="auto"/>
                <w:sz w:val="24"/>
                <w:highlight w:val="none"/>
              </w:rPr>
              <w:t xml:space="preserve">请投标人提供</w:t>
            </w:r>
            <w:r>
              <w:rPr>
                <w:rFonts w:hint="eastAsia" w:ascii="宋体" w:hAnsi="宋体" w:cs="宋体"/>
                <w:color w:val="auto"/>
                <w:sz w:val="24"/>
                <w:highlight w:val="none"/>
              </w:rPr>
              <w:t xml:space="preserve">“扬小易”AI+服务项目统一管理系统功能开发方案。</w:t>
            </w:r>
            <w:r>
              <w:rPr>
                <w:color w:val="auto"/>
                <w:sz w:val="24"/>
                <w:highlight w:val="none"/>
              </w:rPr>
              <w:t xml:space="preserve">方案优于招标要求的得</w:t>
            </w:r>
            <w:r>
              <w:rPr>
                <w:rFonts w:hint="eastAsia"/>
                <w:color w:val="auto"/>
                <w:sz w:val="24"/>
                <w:highlight w:val="none"/>
              </w:rPr>
              <w:t xml:space="preserve">5</w:t>
            </w:r>
            <w:r>
              <w:rPr>
                <w:color w:val="auto"/>
                <w:sz w:val="24"/>
                <w:highlight w:val="none"/>
              </w:rPr>
              <w:t xml:space="preserve">分；方案符合招标要求的得</w:t>
            </w:r>
            <w:r>
              <w:rPr>
                <w:rFonts w:hint="eastAsia"/>
                <w:color w:val="auto"/>
                <w:sz w:val="24"/>
                <w:highlight w:val="none"/>
              </w:rPr>
              <w:t xml:space="preserve">3</w:t>
            </w:r>
            <w:r>
              <w:rPr>
                <w:color w:val="auto"/>
                <w:sz w:val="24"/>
                <w:highlight w:val="none"/>
              </w:rPr>
              <w:t xml:space="preserve">分；不符合招标要求或未提供的不得分。</w:t>
            </w:r>
            <w:r/>
          </w:p>
        </w:tc>
      </w:tr>
      <w:tr>
        <w:trPr>
          <w:trHeight w:val="1503"/>
        </w:trPr>
        <w:tc>
          <w:tcPr>
            <w:tcBorders>
              <w:left w:val="single" w:color="000000" w:sz="4" w:space="0"/>
              <w:right w:val="single" w:color="000000" w:sz="4" w:space="0"/>
            </w:tcBorders>
            <w:tcW w:w="2087" w:type="dxa"/>
            <w:vAlign w:val="center"/>
            <w:vMerge w:val="continue"/>
            <w:textDirection w:val="lrTb"/>
            <w:noWrap w:val="false"/>
          </w:tcPr>
          <w:p>
            <w:pPr>
              <w:jc w:val="center"/>
              <w:widowControl/>
              <w:rPr>
                <w:rFonts w:ascii="宋体" w:hAnsi="宋体" w:cs="宋体"/>
                <w:b/>
                <w:bCs/>
                <w:color w:val="auto"/>
                <w:sz w:val="24"/>
                <w:szCs w:val="24"/>
                <w:highlight w:val="none"/>
              </w:rPr>
            </w:pPr>
            <w:r>
              <w:rPr>
                <w:rFonts w:ascii="宋体" w:hAnsi="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170" w:type="dxa"/>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2、智能体开发功能</w:t>
            </w:r>
            <w:r>
              <w:rPr>
                <w:rFonts w:hint="eastAsia" w:ascii="宋体" w:hAnsi="宋体" w:cs="宋体"/>
                <w:color w:val="auto"/>
                <w:sz w:val="24"/>
                <w:highlight w:val="none"/>
              </w:rPr>
              <w:t xml:space="preserve">开发</w:t>
            </w:r>
            <w:r>
              <w:rPr>
                <w:rFonts w:hint="eastAsia" w:ascii="宋体" w:hAnsi="宋体" w:cs="宋体"/>
                <w:color w:val="auto"/>
                <w:sz w:val="24"/>
                <w:szCs w:val="24"/>
                <w:highlight w:val="none"/>
              </w:rPr>
              <w:t xml:space="preserve">方案（3分）</w:t>
            </w:r>
            <w:r/>
          </w:p>
          <w:p>
            <w:pPr>
              <w:jc w:val="left"/>
              <w:widowControl/>
              <w:rPr>
                <w:rFonts w:ascii="宋体" w:hAnsi="宋体" w:cs="宋体"/>
                <w:color w:val="auto"/>
                <w:sz w:val="24"/>
                <w:szCs w:val="24"/>
                <w:highlight w:val="none"/>
              </w:rPr>
            </w:pPr>
            <w:r>
              <w:rPr>
                <w:rFonts w:hint="eastAsia"/>
                <w:color w:val="auto"/>
                <w:sz w:val="24"/>
                <w:highlight w:val="none"/>
              </w:rPr>
              <w:t xml:space="preserve">请投标人提供</w:t>
            </w:r>
            <w:r>
              <w:rPr>
                <w:rFonts w:hint="eastAsia" w:ascii="宋体" w:hAnsi="宋体" w:cs="宋体"/>
                <w:color w:val="auto"/>
                <w:sz w:val="24"/>
                <w:szCs w:val="24"/>
                <w:highlight w:val="none"/>
              </w:rPr>
              <w:t xml:space="preserve">智能体开发功能</w:t>
            </w:r>
            <w:r>
              <w:rPr>
                <w:rFonts w:hint="eastAsia" w:ascii="宋体" w:hAnsi="宋体" w:cs="宋体"/>
                <w:color w:val="auto"/>
                <w:sz w:val="24"/>
                <w:highlight w:val="none"/>
              </w:rPr>
              <w:t xml:space="preserve">开发</w:t>
            </w:r>
            <w:r>
              <w:rPr>
                <w:rFonts w:hint="eastAsia" w:ascii="宋体" w:hAnsi="宋体" w:cs="宋体"/>
                <w:color w:val="auto"/>
                <w:sz w:val="24"/>
                <w:szCs w:val="24"/>
                <w:highlight w:val="none"/>
              </w:rPr>
              <w:t xml:space="preserve">方案。</w:t>
            </w:r>
            <w:r>
              <w:rPr>
                <w:color w:val="auto"/>
                <w:sz w:val="24"/>
                <w:highlight w:val="none"/>
              </w:rPr>
              <w:t xml:space="preserve">方案优于招标要求的得</w:t>
            </w:r>
            <w:r>
              <w:rPr>
                <w:rFonts w:hint="eastAsia"/>
                <w:color w:val="auto"/>
                <w:sz w:val="24"/>
                <w:highlight w:val="none"/>
              </w:rPr>
              <w:t xml:space="preserve">3</w:t>
            </w:r>
            <w:r>
              <w:rPr>
                <w:color w:val="auto"/>
                <w:sz w:val="24"/>
                <w:highlight w:val="none"/>
              </w:rPr>
              <w:t xml:space="preserve">分；方案符合招标要求的得</w:t>
            </w:r>
            <w:r>
              <w:rPr>
                <w:rFonts w:hint="eastAsia"/>
                <w:color w:val="auto"/>
                <w:sz w:val="24"/>
                <w:highlight w:val="none"/>
              </w:rPr>
              <w:t xml:space="preserve">1</w:t>
            </w:r>
            <w:r>
              <w:rPr>
                <w:color w:val="auto"/>
                <w:sz w:val="24"/>
                <w:highlight w:val="none"/>
              </w:rPr>
              <w:t xml:space="preserve">分；不符合招标要求或未提供的不得分。</w:t>
            </w:r>
            <w:r/>
          </w:p>
        </w:tc>
      </w:tr>
      <w:tr>
        <w:trPr>
          <w:trHeight w:val="1503"/>
        </w:trPr>
        <w:tc>
          <w:tcPr>
            <w:tcBorders>
              <w:left w:val="single" w:color="000000" w:sz="4" w:space="0"/>
              <w:right w:val="single" w:color="000000" w:sz="4" w:space="0"/>
            </w:tcBorders>
            <w:tcW w:w="2087" w:type="dxa"/>
            <w:vAlign w:val="center"/>
            <w:vMerge w:val="continue"/>
            <w:textDirection w:val="lrTb"/>
            <w:noWrap w:val="false"/>
          </w:tcPr>
          <w:p>
            <w:pPr>
              <w:jc w:val="center"/>
              <w:widowControl/>
              <w:rPr>
                <w:rFonts w:ascii="宋体" w:hAnsi="宋体" w:cs="宋体"/>
                <w:b/>
                <w:bCs/>
                <w:color w:val="auto"/>
                <w:sz w:val="24"/>
                <w:szCs w:val="24"/>
                <w:highlight w:val="none"/>
              </w:rPr>
            </w:pPr>
            <w:r>
              <w:rPr>
                <w:rFonts w:ascii="宋体" w:hAnsi="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170" w:type="dxa"/>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3、虚拟数字人系统功能</w:t>
            </w:r>
            <w:r>
              <w:rPr>
                <w:rFonts w:hint="eastAsia" w:ascii="宋体" w:hAnsi="宋体" w:cs="宋体"/>
                <w:color w:val="auto"/>
                <w:sz w:val="24"/>
                <w:highlight w:val="none"/>
              </w:rPr>
              <w:t xml:space="preserve">开发</w:t>
            </w:r>
            <w:r>
              <w:rPr>
                <w:rFonts w:hint="eastAsia" w:ascii="宋体" w:hAnsi="宋体" w:cs="宋体"/>
                <w:color w:val="auto"/>
                <w:sz w:val="24"/>
                <w:szCs w:val="24"/>
                <w:highlight w:val="none"/>
              </w:rPr>
              <w:t xml:space="preserve">方案（3分）</w:t>
            </w:r>
            <w:r/>
          </w:p>
          <w:p>
            <w:pPr>
              <w:jc w:val="left"/>
              <w:widowControl/>
              <w:rPr>
                <w:rFonts w:ascii="宋体" w:hAnsi="宋体" w:cs="宋体"/>
                <w:color w:val="auto"/>
                <w:sz w:val="24"/>
                <w:szCs w:val="24"/>
                <w:highlight w:val="none"/>
              </w:rPr>
            </w:pPr>
            <w:r>
              <w:rPr>
                <w:rFonts w:hint="eastAsia"/>
                <w:color w:val="auto"/>
                <w:sz w:val="24"/>
                <w:highlight w:val="none"/>
              </w:rPr>
              <w:t xml:space="preserve">请投标人提供</w:t>
            </w:r>
            <w:r>
              <w:rPr>
                <w:rFonts w:hint="eastAsia" w:ascii="宋体" w:hAnsi="宋体" w:cs="宋体"/>
                <w:color w:val="auto"/>
                <w:sz w:val="24"/>
                <w:szCs w:val="24"/>
                <w:highlight w:val="none"/>
              </w:rPr>
              <w:t xml:space="preserve">虚拟数字人系统功能</w:t>
            </w:r>
            <w:r>
              <w:rPr>
                <w:rFonts w:hint="eastAsia" w:ascii="宋体" w:hAnsi="宋体" w:cs="宋体"/>
                <w:color w:val="auto"/>
                <w:sz w:val="24"/>
                <w:highlight w:val="none"/>
              </w:rPr>
              <w:t xml:space="preserve">开发</w:t>
            </w:r>
            <w:r>
              <w:rPr>
                <w:rFonts w:hint="eastAsia" w:ascii="宋体" w:hAnsi="宋体" w:cs="宋体"/>
                <w:color w:val="auto"/>
                <w:sz w:val="24"/>
                <w:szCs w:val="24"/>
                <w:highlight w:val="none"/>
              </w:rPr>
              <w:t xml:space="preserve">方案。</w:t>
            </w:r>
            <w:r>
              <w:rPr>
                <w:color w:val="auto"/>
                <w:sz w:val="24"/>
                <w:highlight w:val="none"/>
              </w:rPr>
              <w:t xml:space="preserve">方案优于招标要求的得</w:t>
            </w:r>
            <w:r>
              <w:rPr>
                <w:rFonts w:hint="eastAsia"/>
                <w:color w:val="auto"/>
                <w:sz w:val="24"/>
                <w:highlight w:val="none"/>
              </w:rPr>
              <w:t xml:space="preserve">3</w:t>
            </w:r>
            <w:r>
              <w:rPr>
                <w:color w:val="auto"/>
                <w:sz w:val="24"/>
                <w:highlight w:val="none"/>
              </w:rPr>
              <w:t xml:space="preserve">分；方案符合招标要求的得</w:t>
            </w:r>
            <w:r>
              <w:rPr>
                <w:rFonts w:hint="eastAsia"/>
                <w:color w:val="auto"/>
                <w:sz w:val="24"/>
                <w:highlight w:val="none"/>
              </w:rPr>
              <w:t xml:space="preserve">1</w:t>
            </w:r>
            <w:r>
              <w:rPr>
                <w:color w:val="auto"/>
                <w:sz w:val="24"/>
                <w:highlight w:val="none"/>
              </w:rPr>
              <w:t xml:space="preserve">分；不符合招标要求或未提供的不得分。</w:t>
            </w:r>
            <w:r/>
          </w:p>
        </w:tc>
      </w:tr>
      <w:tr>
        <w:trPr>
          <w:trHeight w:val="1478"/>
        </w:trPr>
        <w:tc>
          <w:tcPr>
            <w:tcBorders>
              <w:left w:val="single" w:color="000000" w:sz="4" w:space="0"/>
              <w:right w:val="single" w:color="000000" w:sz="4" w:space="0"/>
            </w:tcBorders>
            <w:tcW w:w="2087" w:type="dxa"/>
            <w:vAlign w:val="center"/>
            <w:vMerge w:val="continue"/>
            <w:textDirection w:val="lrTb"/>
            <w:noWrap w:val="false"/>
          </w:tcPr>
          <w:p>
            <w:pPr>
              <w:jc w:val="center"/>
              <w:widowControl/>
              <w:rPr>
                <w:rFonts w:ascii="宋体" w:hAnsi="宋体" w:cs="宋体"/>
                <w:b/>
                <w:bCs/>
                <w:color w:val="auto"/>
                <w:sz w:val="24"/>
                <w:szCs w:val="24"/>
                <w:highlight w:val="none"/>
              </w:rPr>
            </w:pPr>
            <w:r>
              <w:rPr>
                <w:rFonts w:ascii="宋体" w:hAnsi="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170" w:type="dxa"/>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4、语音实时监测系统功能</w:t>
            </w:r>
            <w:r>
              <w:rPr>
                <w:rFonts w:hint="eastAsia" w:ascii="宋体" w:hAnsi="宋体" w:cs="宋体"/>
                <w:color w:val="auto"/>
                <w:sz w:val="24"/>
                <w:highlight w:val="none"/>
              </w:rPr>
              <w:t xml:space="preserve">开发</w:t>
            </w:r>
            <w:r>
              <w:rPr>
                <w:rFonts w:hint="eastAsia" w:ascii="宋体" w:hAnsi="宋体" w:cs="宋体"/>
                <w:color w:val="auto"/>
                <w:sz w:val="24"/>
                <w:szCs w:val="24"/>
                <w:highlight w:val="none"/>
              </w:rPr>
              <w:t xml:space="preserve">方案（5分）</w:t>
            </w:r>
            <w:r/>
          </w:p>
          <w:p>
            <w:pPr>
              <w:rPr>
                <w:color w:val="auto"/>
                <w:highlight w:val="none"/>
              </w:rPr>
            </w:pPr>
            <w:r>
              <w:rPr>
                <w:rFonts w:hint="eastAsia"/>
                <w:color w:val="auto"/>
                <w:sz w:val="24"/>
                <w:highlight w:val="none"/>
              </w:rPr>
              <w:t xml:space="preserve">请投标人提供</w:t>
            </w:r>
            <w:r>
              <w:rPr>
                <w:rFonts w:hint="eastAsia" w:ascii="宋体" w:hAnsi="宋体" w:cs="宋体"/>
                <w:color w:val="auto"/>
                <w:sz w:val="24"/>
                <w:szCs w:val="24"/>
                <w:highlight w:val="none"/>
              </w:rPr>
              <w:t xml:space="preserve">语音实时监测系统功能</w:t>
            </w:r>
            <w:r>
              <w:rPr>
                <w:rFonts w:hint="eastAsia" w:ascii="宋体" w:hAnsi="宋体" w:cs="宋体"/>
                <w:color w:val="auto"/>
                <w:sz w:val="24"/>
                <w:highlight w:val="none"/>
              </w:rPr>
              <w:t xml:space="preserve">开发</w:t>
            </w:r>
            <w:r>
              <w:rPr>
                <w:rFonts w:hint="eastAsia" w:ascii="宋体" w:hAnsi="宋体" w:cs="宋体"/>
                <w:color w:val="auto"/>
                <w:sz w:val="24"/>
                <w:szCs w:val="24"/>
                <w:highlight w:val="none"/>
              </w:rPr>
              <w:t xml:space="preserve">方案。</w:t>
            </w:r>
            <w:r>
              <w:rPr>
                <w:color w:val="auto"/>
                <w:sz w:val="24"/>
                <w:highlight w:val="none"/>
              </w:rPr>
              <w:t xml:space="preserve">方案优于招标要求的得</w:t>
            </w:r>
            <w:r>
              <w:rPr>
                <w:rFonts w:hint="eastAsia"/>
                <w:color w:val="auto"/>
                <w:sz w:val="24"/>
                <w:highlight w:val="none"/>
                <w:lang w:val="en-US" w:eastAsia="zh-CN"/>
              </w:rPr>
              <w:t xml:space="preserve">5</w:t>
            </w:r>
            <w:r>
              <w:rPr>
                <w:color w:val="auto"/>
                <w:sz w:val="24"/>
                <w:highlight w:val="none"/>
              </w:rPr>
              <w:t xml:space="preserve">分；方案符合招标要求的得</w:t>
            </w:r>
            <w:r>
              <w:rPr>
                <w:rFonts w:hint="eastAsia"/>
                <w:color w:val="auto"/>
                <w:sz w:val="24"/>
                <w:highlight w:val="none"/>
                <w:lang w:val="en-US" w:eastAsia="zh-CN"/>
              </w:rPr>
              <w:t xml:space="preserve">3</w:t>
            </w:r>
            <w:r>
              <w:rPr>
                <w:color w:val="auto"/>
                <w:sz w:val="24"/>
                <w:highlight w:val="none"/>
              </w:rPr>
              <w:t xml:space="preserve">分；不符合招标要求或未提供的不得分。</w:t>
            </w:r>
            <w:r/>
          </w:p>
        </w:tc>
      </w:tr>
      <w:tr>
        <w:trPr>
          <w:trHeight w:val="1503"/>
        </w:trPr>
        <w:tc>
          <w:tcPr>
            <w:tcBorders>
              <w:left w:val="single" w:color="000000" w:sz="4" w:space="0"/>
              <w:right w:val="single" w:color="000000" w:sz="4" w:space="0"/>
            </w:tcBorders>
            <w:tcW w:w="2087" w:type="dxa"/>
            <w:vAlign w:val="center"/>
            <w:vMerge w:val="continue"/>
            <w:textDirection w:val="lrTb"/>
            <w:noWrap w:val="false"/>
          </w:tcPr>
          <w:p>
            <w:pPr>
              <w:jc w:val="center"/>
              <w:widowControl/>
              <w:rPr>
                <w:rFonts w:ascii="宋体" w:hAnsi="宋体" w:cs="宋体"/>
                <w:b/>
                <w:bCs/>
                <w:color w:val="auto"/>
                <w:sz w:val="24"/>
                <w:szCs w:val="24"/>
                <w:highlight w:val="none"/>
              </w:rPr>
            </w:pPr>
            <w:r>
              <w:rPr>
                <w:rFonts w:ascii="宋体" w:hAnsi="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170" w:type="dxa"/>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5、视频分析系统功能</w:t>
            </w:r>
            <w:r>
              <w:rPr>
                <w:rFonts w:hint="eastAsia" w:ascii="宋体" w:hAnsi="宋体" w:cs="宋体"/>
                <w:color w:val="auto"/>
                <w:sz w:val="24"/>
                <w:highlight w:val="none"/>
              </w:rPr>
              <w:t xml:space="preserve">开发</w:t>
            </w:r>
            <w:r>
              <w:rPr>
                <w:rFonts w:hint="eastAsia" w:ascii="宋体" w:hAnsi="宋体" w:cs="宋体"/>
                <w:color w:val="auto"/>
                <w:sz w:val="24"/>
                <w:szCs w:val="24"/>
                <w:highlight w:val="none"/>
              </w:rPr>
              <w:t xml:space="preserve">方案（3分）</w:t>
            </w:r>
            <w:r/>
          </w:p>
          <w:p>
            <w:pPr>
              <w:jc w:val="left"/>
              <w:widowControl/>
              <w:rPr>
                <w:rFonts w:ascii="宋体" w:hAnsi="宋体" w:cs="宋体"/>
                <w:color w:val="auto"/>
                <w:sz w:val="24"/>
                <w:szCs w:val="24"/>
                <w:highlight w:val="none"/>
              </w:rPr>
            </w:pPr>
            <w:r>
              <w:rPr>
                <w:rFonts w:hint="eastAsia"/>
                <w:color w:val="auto"/>
                <w:sz w:val="24"/>
                <w:highlight w:val="none"/>
              </w:rPr>
              <w:t xml:space="preserve">请投标人提供</w:t>
            </w:r>
            <w:r>
              <w:rPr>
                <w:rFonts w:hint="eastAsia" w:ascii="宋体" w:hAnsi="宋体" w:cs="宋体"/>
                <w:color w:val="auto"/>
                <w:sz w:val="24"/>
                <w:szCs w:val="24"/>
                <w:highlight w:val="none"/>
              </w:rPr>
              <w:t xml:space="preserve">视频分析系统功能</w:t>
            </w:r>
            <w:r>
              <w:rPr>
                <w:rFonts w:hint="eastAsia" w:ascii="宋体" w:hAnsi="宋体" w:cs="宋体"/>
                <w:color w:val="auto"/>
                <w:sz w:val="24"/>
                <w:highlight w:val="none"/>
              </w:rPr>
              <w:t xml:space="preserve">开发</w:t>
            </w:r>
            <w:r>
              <w:rPr>
                <w:rFonts w:hint="eastAsia" w:ascii="宋体" w:hAnsi="宋体" w:cs="宋体"/>
                <w:color w:val="auto"/>
                <w:sz w:val="24"/>
                <w:szCs w:val="24"/>
                <w:highlight w:val="none"/>
              </w:rPr>
              <w:t xml:space="preserve">方案。</w:t>
            </w:r>
            <w:r>
              <w:rPr>
                <w:color w:val="auto"/>
                <w:sz w:val="24"/>
                <w:highlight w:val="none"/>
              </w:rPr>
              <w:t xml:space="preserve">方案优于招标要求的得</w:t>
            </w:r>
            <w:r>
              <w:rPr>
                <w:rFonts w:hint="eastAsia"/>
                <w:color w:val="auto"/>
                <w:sz w:val="24"/>
                <w:highlight w:val="none"/>
              </w:rPr>
              <w:t xml:space="preserve">3</w:t>
            </w:r>
            <w:r>
              <w:rPr>
                <w:color w:val="auto"/>
                <w:sz w:val="24"/>
                <w:highlight w:val="none"/>
              </w:rPr>
              <w:t xml:space="preserve">分；方案符合招标要求的得</w:t>
            </w:r>
            <w:r>
              <w:rPr>
                <w:rFonts w:hint="eastAsia"/>
                <w:color w:val="auto"/>
                <w:sz w:val="24"/>
                <w:highlight w:val="none"/>
              </w:rPr>
              <w:t xml:space="preserve">1</w:t>
            </w:r>
            <w:r>
              <w:rPr>
                <w:color w:val="auto"/>
                <w:sz w:val="24"/>
                <w:highlight w:val="none"/>
              </w:rPr>
              <w:t xml:space="preserve">分；不符合招标要求或未提供的不得分。</w:t>
            </w:r>
            <w:r/>
          </w:p>
        </w:tc>
      </w:tr>
      <w:tr>
        <w:trPr>
          <w:trHeight w:val="1503"/>
        </w:trPr>
        <w:tc>
          <w:tcPr>
            <w:tcBorders>
              <w:left w:val="single" w:color="000000" w:sz="4" w:space="0"/>
              <w:right w:val="single" w:color="000000" w:sz="4" w:space="0"/>
            </w:tcBorders>
            <w:tcW w:w="2087" w:type="dxa"/>
            <w:vAlign w:val="center"/>
            <w:vMerge w:val="continue"/>
            <w:textDirection w:val="lrTb"/>
            <w:noWrap w:val="false"/>
          </w:tcPr>
          <w:p>
            <w:pPr>
              <w:jc w:val="center"/>
              <w:widowControl/>
              <w:rPr>
                <w:rFonts w:ascii="宋体" w:hAnsi="宋体" w:cs="宋体"/>
                <w:b/>
                <w:bCs/>
                <w:color w:val="auto"/>
                <w:sz w:val="24"/>
                <w:szCs w:val="24"/>
                <w:highlight w:val="none"/>
              </w:rPr>
            </w:pPr>
            <w:r>
              <w:rPr>
                <w:rFonts w:ascii="宋体" w:hAnsi="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170" w:type="dxa"/>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6、身份识别管理系统功能</w:t>
            </w:r>
            <w:r>
              <w:rPr>
                <w:rFonts w:hint="eastAsia" w:ascii="宋体" w:hAnsi="宋体" w:cs="宋体"/>
                <w:color w:val="auto"/>
                <w:sz w:val="24"/>
                <w:highlight w:val="none"/>
              </w:rPr>
              <w:t xml:space="preserve">开发</w:t>
            </w:r>
            <w:r>
              <w:rPr>
                <w:rFonts w:hint="eastAsia" w:ascii="宋体" w:hAnsi="宋体" w:cs="宋体"/>
                <w:color w:val="auto"/>
                <w:sz w:val="24"/>
                <w:szCs w:val="24"/>
                <w:highlight w:val="none"/>
              </w:rPr>
              <w:t xml:space="preserve">方案（3分）</w:t>
            </w:r>
            <w:r/>
          </w:p>
          <w:p>
            <w:pPr>
              <w:jc w:val="left"/>
              <w:widowControl/>
              <w:rPr>
                <w:rFonts w:ascii="宋体" w:hAnsi="宋体" w:cs="宋体"/>
                <w:color w:val="auto"/>
                <w:sz w:val="24"/>
                <w:szCs w:val="24"/>
                <w:highlight w:val="none"/>
              </w:rPr>
            </w:pPr>
            <w:r>
              <w:rPr>
                <w:rFonts w:hint="eastAsia"/>
                <w:color w:val="auto"/>
                <w:sz w:val="24"/>
                <w:highlight w:val="none"/>
              </w:rPr>
              <w:t xml:space="preserve">请投标人提供</w:t>
            </w:r>
            <w:r>
              <w:rPr>
                <w:rFonts w:hint="eastAsia" w:ascii="宋体" w:hAnsi="宋体" w:cs="宋体"/>
                <w:color w:val="auto"/>
                <w:sz w:val="24"/>
                <w:szCs w:val="24"/>
                <w:highlight w:val="none"/>
              </w:rPr>
              <w:t xml:space="preserve">身份识别管理系统功能</w:t>
            </w:r>
            <w:r>
              <w:rPr>
                <w:rFonts w:hint="eastAsia" w:ascii="宋体" w:hAnsi="宋体" w:cs="宋体"/>
                <w:color w:val="auto"/>
                <w:sz w:val="24"/>
                <w:highlight w:val="none"/>
              </w:rPr>
              <w:t xml:space="preserve">开发</w:t>
            </w:r>
            <w:r>
              <w:rPr>
                <w:rFonts w:hint="eastAsia" w:ascii="宋体" w:hAnsi="宋体" w:cs="宋体"/>
                <w:color w:val="auto"/>
                <w:sz w:val="24"/>
                <w:szCs w:val="24"/>
                <w:highlight w:val="none"/>
              </w:rPr>
              <w:t xml:space="preserve">方案。</w:t>
            </w:r>
            <w:r>
              <w:rPr>
                <w:color w:val="auto"/>
                <w:sz w:val="24"/>
                <w:highlight w:val="none"/>
              </w:rPr>
              <w:t xml:space="preserve">方案优于招标要求的得</w:t>
            </w:r>
            <w:r>
              <w:rPr>
                <w:rFonts w:hint="eastAsia"/>
                <w:color w:val="auto"/>
                <w:sz w:val="24"/>
                <w:highlight w:val="none"/>
              </w:rPr>
              <w:t xml:space="preserve">3</w:t>
            </w:r>
            <w:r>
              <w:rPr>
                <w:color w:val="auto"/>
                <w:sz w:val="24"/>
                <w:highlight w:val="none"/>
              </w:rPr>
              <w:t xml:space="preserve">分；方案符合招标要求的得</w:t>
            </w:r>
            <w:r>
              <w:rPr>
                <w:rFonts w:hint="eastAsia"/>
                <w:color w:val="auto"/>
                <w:sz w:val="24"/>
                <w:highlight w:val="none"/>
              </w:rPr>
              <w:t xml:space="preserve">1</w:t>
            </w:r>
            <w:r>
              <w:rPr>
                <w:color w:val="auto"/>
                <w:sz w:val="24"/>
                <w:highlight w:val="none"/>
              </w:rPr>
              <w:t xml:space="preserve">分；不符合招标要求或未提供的不得分。</w:t>
            </w:r>
            <w:r/>
          </w:p>
        </w:tc>
      </w:tr>
      <w:tr>
        <w:trPr>
          <w:trHeight w:val="1503"/>
        </w:trPr>
        <w:tc>
          <w:tcPr>
            <w:tcBorders>
              <w:left w:val="single" w:color="000000" w:sz="4" w:space="0"/>
              <w:bottom w:val="single" w:color="000000" w:sz="4" w:space="0"/>
              <w:right w:val="single" w:color="000000" w:sz="4" w:space="0"/>
            </w:tcBorders>
            <w:tcW w:w="2087" w:type="dxa"/>
            <w:vAlign w:val="center"/>
            <w:vMerge w:val="continue"/>
            <w:textDirection w:val="lrTb"/>
            <w:noWrap w:val="false"/>
          </w:tcPr>
          <w:p>
            <w:pPr>
              <w:jc w:val="center"/>
              <w:widowControl/>
              <w:rPr>
                <w:rFonts w:ascii="宋体" w:hAnsi="宋体" w:cs="宋体"/>
                <w:b/>
                <w:bCs/>
                <w:color w:val="auto"/>
                <w:sz w:val="24"/>
                <w:szCs w:val="24"/>
                <w:highlight w:val="none"/>
              </w:rPr>
            </w:pPr>
            <w:r>
              <w:rPr>
                <w:rFonts w:ascii="宋体" w:hAnsi="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170" w:type="dxa"/>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7、虚拟评标空间系统功能</w:t>
            </w:r>
            <w:r>
              <w:rPr>
                <w:rFonts w:hint="eastAsia" w:ascii="宋体" w:hAnsi="宋体" w:cs="宋体"/>
                <w:color w:val="auto"/>
                <w:sz w:val="24"/>
                <w:highlight w:val="none"/>
              </w:rPr>
              <w:t xml:space="preserve">开发</w:t>
            </w:r>
            <w:r>
              <w:rPr>
                <w:rFonts w:hint="eastAsia" w:ascii="宋体" w:hAnsi="宋体" w:cs="宋体"/>
                <w:color w:val="auto"/>
                <w:sz w:val="24"/>
                <w:szCs w:val="24"/>
                <w:highlight w:val="none"/>
              </w:rPr>
              <w:t xml:space="preserve">方案（5分）</w:t>
            </w:r>
            <w:r/>
          </w:p>
          <w:p>
            <w:pPr>
              <w:jc w:val="left"/>
              <w:widowControl/>
              <w:rPr>
                <w:rFonts w:ascii="宋体" w:hAnsi="宋体" w:cs="宋体"/>
                <w:color w:val="auto"/>
                <w:sz w:val="24"/>
                <w:szCs w:val="24"/>
                <w:highlight w:val="none"/>
              </w:rPr>
            </w:pPr>
            <w:r>
              <w:rPr>
                <w:rFonts w:hint="eastAsia"/>
                <w:color w:val="auto"/>
                <w:sz w:val="24"/>
                <w:highlight w:val="none"/>
              </w:rPr>
              <w:t xml:space="preserve">请投标人提供</w:t>
            </w:r>
            <w:r>
              <w:rPr>
                <w:rFonts w:hint="eastAsia" w:ascii="宋体" w:hAnsi="宋体" w:cs="宋体"/>
                <w:color w:val="auto"/>
                <w:sz w:val="24"/>
                <w:szCs w:val="24"/>
                <w:highlight w:val="none"/>
              </w:rPr>
              <w:t xml:space="preserve">虚拟评标空间系统功能</w:t>
            </w:r>
            <w:r>
              <w:rPr>
                <w:rFonts w:hint="eastAsia" w:ascii="宋体" w:hAnsi="宋体" w:cs="宋体"/>
                <w:color w:val="auto"/>
                <w:sz w:val="24"/>
                <w:highlight w:val="none"/>
              </w:rPr>
              <w:t xml:space="preserve">开发</w:t>
            </w:r>
            <w:r>
              <w:rPr>
                <w:rFonts w:hint="eastAsia" w:ascii="宋体" w:hAnsi="宋体" w:cs="宋体"/>
                <w:color w:val="auto"/>
                <w:sz w:val="24"/>
                <w:szCs w:val="24"/>
                <w:highlight w:val="none"/>
              </w:rPr>
              <w:t xml:space="preserve">方案。</w:t>
            </w:r>
            <w:r>
              <w:rPr>
                <w:color w:val="auto"/>
                <w:sz w:val="24"/>
                <w:highlight w:val="none"/>
              </w:rPr>
              <w:t xml:space="preserve">方案优于招标要求的得</w:t>
            </w:r>
            <w:r>
              <w:rPr>
                <w:rFonts w:hint="eastAsia"/>
                <w:color w:val="auto"/>
                <w:sz w:val="24"/>
                <w:highlight w:val="none"/>
              </w:rPr>
              <w:t xml:space="preserve">5</w:t>
            </w:r>
            <w:r>
              <w:rPr>
                <w:color w:val="auto"/>
                <w:sz w:val="24"/>
                <w:highlight w:val="none"/>
              </w:rPr>
              <w:t xml:space="preserve">分；方案符合招标要求的得</w:t>
            </w:r>
            <w:r>
              <w:rPr>
                <w:rFonts w:hint="eastAsia"/>
                <w:color w:val="auto"/>
                <w:sz w:val="24"/>
                <w:highlight w:val="none"/>
              </w:rPr>
              <w:t xml:space="preserve">3</w:t>
            </w:r>
            <w:r>
              <w:rPr>
                <w:color w:val="auto"/>
                <w:sz w:val="24"/>
                <w:highlight w:val="none"/>
              </w:rPr>
              <w:t xml:space="preserve">分；不符合招标要求或未提供的不得分。</w:t>
            </w:r>
            <w:r/>
          </w:p>
        </w:tc>
      </w:tr>
      <w:tr>
        <w:trPr>
          <w:trHeight w:val="1503"/>
        </w:trPr>
        <w:tc>
          <w:tcPr>
            <w:shd w:val="clear" w:color="auto" w:fill="ffffff"/>
            <w:tcBorders>
              <w:left w:val="single" w:color="000000" w:sz="4" w:space="0"/>
              <w:bottom w:val="single" w:color="000000" w:sz="4" w:space="0"/>
              <w:right w:val="single" w:color="000000" w:sz="4" w:space="0"/>
            </w:tcBorders>
            <w:tcW w:w="2087" w:type="dxa"/>
            <w:vAlign w:val="center"/>
            <w:textDirection w:val="lrTb"/>
            <w:noWrap w:val="false"/>
          </w:tcPr>
          <w:p>
            <w:pPr>
              <w:pStyle w:val="1009"/>
              <w:jc w:val="center"/>
              <w:spacing w:line="400" w:lineRule="exact"/>
              <w:rPr>
                <w:b/>
                <w:bCs/>
                <w:color w:val="auto"/>
                <w:sz w:val="24"/>
                <w:highlight w:val="none"/>
              </w:rPr>
            </w:pPr>
            <w:r>
              <w:rPr>
                <w:b/>
                <w:bCs/>
                <w:color w:val="auto"/>
                <w:sz w:val="24"/>
                <w:highlight w:val="none"/>
              </w:rPr>
              <w:t xml:space="preserve">技术参数响应</w:t>
            </w:r>
            <w:r/>
          </w:p>
          <w:p>
            <w:pPr>
              <w:pStyle w:val="1009"/>
              <w:jc w:val="center"/>
              <w:spacing w:line="400" w:lineRule="exact"/>
              <w:rPr>
                <w:b/>
                <w:bCs/>
                <w:color w:val="auto"/>
                <w:sz w:val="24"/>
                <w:highlight w:val="none"/>
              </w:rPr>
            </w:pPr>
            <w:r>
              <w:rPr>
                <w:b/>
                <w:bCs/>
                <w:color w:val="auto"/>
                <w:sz w:val="24"/>
                <w:highlight w:val="none"/>
              </w:rPr>
              <w:t xml:space="preserve">(</w:t>
            </w:r>
            <w:r>
              <w:rPr>
                <w:rFonts w:hint="eastAsia"/>
                <w:b/>
                <w:bCs/>
                <w:color w:val="auto"/>
                <w:sz w:val="24"/>
                <w:highlight w:val="none"/>
              </w:rPr>
              <w:t xml:space="preserve">15</w:t>
            </w:r>
            <w:r>
              <w:rPr>
                <w:b/>
                <w:bCs/>
                <w:color w:val="auto"/>
                <w:sz w:val="24"/>
                <w:highlight w:val="none"/>
              </w:rPr>
              <w:t xml:space="preserve">分)</w:t>
            </w:r>
            <w:r/>
          </w:p>
        </w:tc>
        <w:tc>
          <w:tcPr>
            <w:shd w:val="clear" w:color="auto" w:fill="ffffff"/>
            <w:tcBorders>
              <w:top w:val="single" w:color="000000" w:sz="4" w:space="0"/>
              <w:left w:val="single" w:color="000000" w:sz="4" w:space="0"/>
              <w:bottom w:val="single" w:color="000000" w:sz="4" w:space="0"/>
              <w:right w:val="single" w:color="000000" w:sz="4" w:space="0"/>
            </w:tcBorders>
            <w:tcW w:w="7170" w:type="dxa"/>
            <w:vAlign w:val="center"/>
            <w:textDirection w:val="lrTb"/>
            <w:noWrap w:val="false"/>
          </w:tcPr>
          <w:p>
            <w:pPr>
              <w:jc w:val="left"/>
              <w:spacing w:line="400" w:lineRule="exact"/>
              <w:widowControl/>
              <w:rPr>
                <w:color w:val="auto"/>
                <w:sz w:val="24"/>
                <w:highlight w:val="none"/>
              </w:rPr>
            </w:pPr>
            <w:r>
              <w:rPr>
                <w:rFonts w:hint="eastAsia"/>
                <w:color w:val="auto"/>
                <w:sz w:val="24"/>
                <w:szCs w:val="24"/>
                <w:highlight w:val="none"/>
              </w:rPr>
              <w:t xml:space="preserve">标注▲部分的投标人提供相应的证明材料，每提供一份得1.5分，最高得15分。不提供则不得分。</w:t>
            </w:r>
            <w:r/>
          </w:p>
        </w:tc>
      </w:tr>
      <w:tr>
        <w:trPr>
          <w:trHeight w:val="2477"/>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功能演示</w:t>
            </w:r>
            <w:r/>
          </w:p>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（15分）</w:t>
            </w:r>
            <w:r/>
          </w:p>
        </w:tc>
        <w:tc>
          <w:tcPr>
            <w:tcBorders>
              <w:top w:val="single" w:color="000000" w:sz="4" w:space="0"/>
              <w:left w:val="single" w:color="000000" w:sz="4" w:space="0"/>
              <w:bottom w:val="single" w:color="000000" w:sz="4" w:space="0"/>
              <w:right w:val="single" w:color="000000" w:sz="4" w:space="0"/>
            </w:tcBorders>
            <w:tcW w:w="7170" w:type="dxa"/>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演示内容如下：</w:t>
            </w:r>
            <w:r/>
          </w:p>
          <w:p>
            <w:pPr>
              <w:ind w:firstLine="484"/>
              <w:spacing w:line="440" w:lineRule="exact"/>
              <w:rPr>
                <w:rStyle w:val="1002"/>
                <w:rFonts w:ascii="宋体" w:hAnsi="宋体" w:cs="宋体"/>
                <w:color w:val="auto"/>
                <w:spacing w:val="1"/>
                <w:sz w:val="24"/>
                <w:szCs w:val="24"/>
                <w:highlight w:val="none"/>
              </w:rPr>
            </w:pPr>
            <w:r>
              <w:rPr>
                <w:rStyle w:val="1002"/>
                <w:rFonts w:hint="eastAsia" w:ascii="宋体" w:hAnsi="宋体" w:cs="宋体"/>
                <w:color w:val="auto"/>
                <w:spacing w:val="1"/>
                <w:sz w:val="24"/>
                <w:szCs w:val="24"/>
                <w:highlight w:val="none"/>
              </w:rPr>
              <w:t xml:space="preserve">（</w:t>
            </w:r>
            <w:r>
              <w:rPr>
                <w:rStyle w:val="1002"/>
                <w:rFonts w:hint="eastAsia" w:ascii="宋体" w:hAnsi="宋体" w:cs="宋体"/>
                <w:color w:val="auto"/>
                <w:spacing w:val="1"/>
                <w:sz w:val="24"/>
                <w:szCs w:val="24"/>
                <w:highlight w:val="none"/>
                <w:lang w:val="en-US" w:eastAsia="zh-CN"/>
              </w:rPr>
              <w:t xml:space="preserve">1</w:t>
            </w:r>
            <w:r>
              <w:rPr>
                <w:rStyle w:val="1002"/>
                <w:rFonts w:hint="eastAsia" w:ascii="宋体" w:hAnsi="宋体" w:cs="宋体"/>
                <w:color w:val="auto"/>
                <w:spacing w:val="1"/>
                <w:sz w:val="24"/>
                <w:szCs w:val="24"/>
                <w:highlight w:val="none"/>
              </w:rPr>
              <w:t xml:space="preserve">）倾向性分析。演示检测到的倾向性言论告警提示，并演示数字人接收到告警提示后进行告警播报。（3分）</w:t>
            </w:r>
            <w:r/>
          </w:p>
          <w:p>
            <w:pPr>
              <w:ind w:firstLine="484"/>
              <w:spacing w:line="440" w:lineRule="exact"/>
              <w:rPr>
                <w:rStyle w:val="1002"/>
                <w:rFonts w:hint="eastAsia" w:ascii="宋体" w:hAnsi="宋体" w:cs="宋体"/>
                <w:color w:val="auto"/>
                <w:spacing w:val="1"/>
                <w:sz w:val="24"/>
                <w:szCs w:val="24"/>
                <w:highlight w:val="none"/>
              </w:rPr>
            </w:pPr>
            <w:r>
              <w:rPr>
                <w:rStyle w:val="1002"/>
                <w:rFonts w:hint="eastAsia" w:ascii="宋体" w:hAnsi="宋体" w:cs="宋体"/>
                <w:color w:val="auto"/>
                <w:spacing w:val="1"/>
                <w:sz w:val="24"/>
                <w:szCs w:val="24"/>
                <w:highlight w:val="none"/>
              </w:rPr>
              <w:t xml:space="preserve">（</w:t>
            </w:r>
            <w:r>
              <w:rPr>
                <w:rStyle w:val="1002"/>
                <w:rFonts w:hint="eastAsia" w:ascii="宋体" w:hAnsi="宋体" w:cs="宋体"/>
                <w:color w:val="auto"/>
                <w:spacing w:val="1"/>
                <w:sz w:val="24"/>
                <w:szCs w:val="24"/>
                <w:highlight w:val="none"/>
                <w:lang w:val="en-US" w:eastAsia="zh-CN"/>
              </w:rPr>
              <w:t xml:space="preserve">2</w:t>
            </w:r>
            <w:r>
              <w:rPr>
                <w:rStyle w:val="1002"/>
                <w:rFonts w:hint="eastAsia" w:ascii="宋体" w:hAnsi="宋体" w:cs="宋体"/>
                <w:color w:val="auto"/>
                <w:spacing w:val="1"/>
                <w:sz w:val="24"/>
                <w:szCs w:val="24"/>
                <w:highlight w:val="none"/>
              </w:rPr>
              <w:t xml:space="preserve">）知识问答。演示招投标领域相关知识问答。（3分）</w:t>
            </w:r>
            <w:r/>
          </w:p>
          <w:p>
            <w:pPr>
              <w:ind w:firstLine="484"/>
              <w:spacing w:line="440" w:lineRule="exact"/>
              <w:rPr>
                <w:rStyle w:val="1002"/>
                <w:rFonts w:ascii="宋体" w:hAnsi="宋体" w:cs="宋体"/>
                <w:color w:val="auto"/>
                <w:spacing w:val="1"/>
                <w:sz w:val="24"/>
                <w:szCs w:val="24"/>
                <w:highlight w:val="none"/>
              </w:rPr>
            </w:pPr>
            <w:r>
              <w:rPr>
                <w:rStyle w:val="1002"/>
                <w:rFonts w:hint="eastAsia" w:ascii="宋体" w:hAnsi="宋体" w:cs="宋体"/>
                <w:color w:val="auto"/>
                <w:spacing w:val="1"/>
                <w:sz w:val="24"/>
                <w:szCs w:val="24"/>
                <w:highlight w:val="none"/>
              </w:rPr>
              <w:t xml:space="preserve">（</w:t>
            </w:r>
            <w:r>
              <w:rPr>
                <w:rStyle w:val="1002"/>
                <w:rFonts w:hint="eastAsia" w:ascii="宋体" w:hAnsi="宋体" w:cs="宋体"/>
                <w:color w:val="auto"/>
                <w:spacing w:val="1"/>
                <w:sz w:val="24"/>
                <w:szCs w:val="24"/>
                <w:highlight w:val="none"/>
                <w:lang w:val="en-US" w:eastAsia="zh-CN"/>
              </w:rPr>
              <w:t xml:space="preserve">3</w:t>
            </w:r>
            <w:r>
              <w:rPr>
                <w:rStyle w:val="1002"/>
                <w:rFonts w:hint="eastAsia" w:ascii="宋体" w:hAnsi="宋体" w:cs="宋体"/>
                <w:color w:val="auto"/>
                <w:spacing w:val="1"/>
                <w:sz w:val="24"/>
                <w:szCs w:val="24"/>
                <w:highlight w:val="none"/>
              </w:rPr>
              <w:t xml:space="preserve">）质检配置。演示平台对音频采集设备的接入进行配置，演示对专家评估引导性言论的指标配置。（3分）</w:t>
            </w:r>
            <w:r/>
          </w:p>
          <w:p>
            <w:pPr>
              <w:ind w:firstLine="484"/>
              <w:spacing w:line="440" w:lineRule="exact"/>
              <w:rPr>
                <w:rStyle w:val="1002"/>
                <w:rFonts w:ascii="宋体" w:hAnsi="宋体" w:cs="宋体"/>
                <w:color w:val="auto"/>
                <w:spacing w:val="1"/>
                <w:sz w:val="24"/>
                <w:szCs w:val="24"/>
                <w:highlight w:val="none"/>
              </w:rPr>
            </w:pPr>
            <w:r>
              <w:rPr>
                <w:rStyle w:val="1002"/>
                <w:rFonts w:hint="eastAsia" w:ascii="宋体" w:hAnsi="宋体" w:cs="宋体"/>
                <w:color w:val="auto"/>
                <w:spacing w:val="1"/>
                <w:sz w:val="24"/>
                <w:szCs w:val="24"/>
                <w:highlight w:val="none"/>
              </w:rPr>
              <w:t xml:space="preserve">（4）主体违规行为管控。</w:t>
            </w:r>
            <w:r>
              <w:rPr>
                <w:rFonts w:hint="eastAsia" w:ascii="宋体" w:hAnsi="宋体" w:cs="宋体"/>
                <w:color w:val="auto"/>
                <w:sz w:val="24"/>
                <w:szCs w:val="24"/>
                <w:highlight w:val="none"/>
              </w:rPr>
              <w:t xml:space="preserve">演示评标室违规使用手机行为（3分）</w:t>
            </w:r>
            <w:r/>
          </w:p>
          <w:p>
            <w:pPr>
              <w:ind w:firstLine="484"/>
              <w:spacing w:line="440" w:lineRule="exact"/>
              <w:rPr>
                <w:rFonts w:ascii="宋体" w:hAnsi="宋体" w:cs="宋体"/>
                <w:color w:val="auto"/>
                <w:sz w:val="24"/>
                <w:szCs w:val="24"/>
                <w:highlight w:val="none"/>
              </w:rPr>
            </w:pPr>
            <w:r>
              <w:rPr>
                <w:rStyle w:val="1002"/>
                <w:rFonts w:hint="eastAsia" w:ascii="宋体" w:hAnsi="宋体" w:cs="宋体"/>
                <w:color w:val="auto"/>
                <w:spacing w:val="1"/>
                <w:sz w:val="24"/>
                <w:szCs w:val="24"/>
                <w:highlight w:val="none"/>
              </w:rPr>
              <w:t xml:space="preserve">（5）评标过程信息合成归档。演示虚拟评标空间评标结束后按项目将与本项目有关的音视频归档、电子文件归档、专家出入记录归档、见证记录进行归档（3分）</w:t>
            </w:r>
            <w:r/>
          </w:p>
        </w:tc>
      </w:tr>
      <w:tr>
        <w:trPr>
          <w:trHeight w:val="1503"/>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jc w:val="center"/>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rPr>
              <w:t xml:space="preserve">项目</w:t>
            </w:r>
            <w:r>
              <w:rPr>
                <w:rFonts w:hint="eastAsia" w:ascii="宋体" w:hAnsi="宋体" w:cs="宋体"/>
                <w:b/>
                <w:bCs/>
                <w:color w:val="auto"/>
                <w:sz w:val="24"/>
                <w:szCs w:val="24"/>
                <w:highlight w:val="none"/>
                <w:lang w:val="en-US" w:eastAsia="zh-CN"/>
              </w:rPr>
              <w:t xml:space="preserve">实施</w:t>
            </w:r>
            <w:r/>
          </w:p>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保障方案</w:t>
            </w:r>
            <w:r/>
          </w:p>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（5分）</w:t>
            </w:r>
            <w:r/>
          </w:p>
        </w:tc>
        <w:tc>
          <w:tcPr>
            <w:tcBorders>
              <w:top w:val="single" w:color="000000" w:sz="4" w:space="0"/>
              <w:left w:val="single" w:color="000000" w:sz="4" w:space="0"/>
              <w:bottom w:val="single" w:color="000000" w:sz="4" w:space="0"/>
              <w:right w:val="single" w:color="000000" w:sz="4" w:space="0"/>
            </w:tcBorders>
            <w:tcW w:w="7170"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投标人提供的项目</w:t>
            </w:r>
            <w:r>
              <w:rPr>
                <w:rFonts w:hint="eastAsia" w:ascii="宋体" w:hAnsi="宋体" w:cs="宋体"/>
                <w:color w:val="auto"/>
                <w:sz w:val="24"/>
                <w:szCs w:val="24"/>
                <w:highlight w:val="none"/>
                <w:lang w:val="en-US" w:eastAsia="zh-CN"/>
              </w:rPr>
              <w:t xml:space="preserve">实施</w:t>
            </w:r>
            <w:r>
              <w:rPr>
                <w:rFonts w:hint="eastAsia" w:ascii="宋体" w:hAnsi="宋体" w:cs="宋体"/>
                <w:color w:val="auto"/>
                <w:sz w:val="24"/>
                <w:szCs w:val="24"/>
                <w:highlight w:val="none"/>
              </w:rPr>
              <w:t xml:space="preserve">保障方案（5分）</w:t>
            </w:r>
            <w:r/>
          </w:p>
          <w:p>
            <w:pPr>
              <w:jc w:val="left"/>
              <w:widowControl/>
              <w:rPr>
                <w:rFonts w:ascii="宋体" w:hAnsi="宋体" w:cs="宋体"/>
                <w:color w:val="auto"/>
                <w:sz w:val="24"/>
                <w:szCs w:val="24"/>
                <w:highlight w:val="none"/>
              </w:rPr>
            </w:pPr>
            <w:r>
              <w:rPr>
                <w:color w:val="auto"/>
                <w:sz w:val="24"/>
                <w:highlight w:val="none"/>
              </w:rPr>
              <w:t xml:space="preserve">方案优于招标要求的得</w:t>
            </w:r>
            <w:r>
              <w:rPr>
                <w:rFonts w:hint="eastAsia"/>
                <w:color w:val="auto"/>
                <w:sz w:val="24"/>
                <w:highlight w:val="none"/>
              </w:rPr>
              <w:t xml:space="preserve">5</w:t>
            </w:r>
            <w:r>
              <w:rPr>
                <w:color w:val="auto"/>
                <w:sz w:val="24"/>
                <w:highlight w:val="none"/>
              </w:rPr>
              <w:t xml:space="preserve">分；方案符合招标要求的得</w:t>
            </w:r>
            <w:r>
              <w:rPr>
                <w:rFonts w:hint="eastAsia"/>
                <w:color w:val="auto"/>
                <w:sz w:val="24"/>
                <w:highlight w:val="none"/>
              </w:rPr>
              <w:t xml:space="preserve">3</w:t>
            </w:r>
            <w:r>
              <w:rPr>
                <w:color w:val="auto"/>
                <w:sz w:val="24"/>
                <w:highlight w:val="none"/>
              </w:rPr>
              <w:t xml:space="preserve">分；不符合招标要求或未提供的不得分。</w:t>
            </w:r>
            <w:r/>
          </w:p>
        </w:tc>
      </w:tr>
      <w:tr>
        <w:trPr>
          <w:trHeight w:val="1523"/>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售后及培训方案（5分）</w:t>
            </w:r>
            <w:r/>
          </w:p>
        </w:tc>
        <w:tc>
          <w:tcPr>
            <w:tcBorders>
              <w:top w:val="single" w:color="000000" w:sz="4" w:space="0"/>
              <w:left w:val="single" w:color="000000" w:sz="4" w:space="0"/>
              <w:bottom w:val="single" w:color="000000" w:sz="4" w:space="0"/>
              <w:right w:val="single" w:color="000000" w:sz="4" w:space="0"/>
            </w:tcBorders>
            <w:tcW w:w="7170"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投标人提供的售后及培训方案（5分）</w:t>
            </w:r>
            <w:r/>
          </w:p>
          <w:p>
            <w:pPr>
              <w:jc w:val="left"/>
              <w:widowControl/>
              <w:rPr>
                <w:rFonts w:ascii="宋体" w:hAnsi="宋体" w:cs="宋体"/>
                <w:color w:val="auto"/>
                <w:sz w:val="24"/>
                <w:szCs w:val="24"/>
                <w:highlight w:val="none"/>
              </w:rPr>
            </w:pPr>
            <w:r>
              <w:rPr>
                <w:color w:val="auto"/>
                <w:sz w:val="24"/>
                <w:highlight w:val="none"/>
              </w:rPr>
              <w:t xml:space="preserve">方案优于招标要求的得</w:t>
            </w:r>
            <w:r>
              <w:rPr>
                <w:rFonts w:hint="eastAsia"/>
                <w:color w:val="auto"/>
                <w:sz w:val="24"/>
                <w:highlight w:val="none"/>
              </w:rPr>
              <w:t xml:space="preserve">5</w:t>
            </w:r>
            <w:r>
              <w:rPr>
                <w:color w:val="auto"/>
                <w:sz w:val="24"/>
                <w:highlight w:val="none"/>
              </w:rPr>
              <w:t xml:space="preserve">分；方案符合招标要求的得</w:t>
            </w:r>
            <w:r>
              <w:rPr>
                <w:rFonts w:hint="eastAsia"/>
                <w:color w:val="auto"/>
                <w:sz w:val="24"/>
                <w:highlight w:val="none"/>
              </w:rPr>
              <w:t xml:space="preserve">3</w:t>
            </w:r>
            <w:r>
              <w:rPr>
                <w:color w:val="auto"/>
                <w:sz w:val="24"/>
                <w:highlight w:val="none"/>
              </w:rPr>
              <w:t xml:space="preserve">分；不符合招标要求或未提供的不得分。</w:t>
            </w:r>
            <w:r/>
          </w:p>
        </w:tc>
      </w:tr>
    </w:tbl>
    <w:p>
      <w:pPr>
        <w:ind w:firstLine="482"/>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评标方法与评标标准</w:t>
      </w:r>
      <w:r>
        <w:rPr>
          <w:rFonts w:ascii="宋体" w:hAnsi="宋体" w:cs="宋体"/>
          <w:color w:val="000000"/>
          <w:sz w:val="24"/>
          <w:highlight w:val="none"/>
        </w:rPr>
        <w:t xml:space="preserve"> </w:t>
      </w:r>
      <w:r/>
    </w:p>
    <w:p>
      <w:pPr>
        <w:pStyle w:val="1020"/>
        <w:ind w:firstLine="482"/>
        <w:spacing w:before="0" w:after="0" w:line="440" w:lineRule="exact"/>
        <w:rPr>
          <w:rFonts w:ascii="宋体" w:hAnsi="宋体"/>
          <w:b/>
          <w:highlight w:val="none"/>
        </w:rPr>
      </w:pPr>
      <w:r>
        <w:rPr>
          <w:rFonts w:ascii="宋体" w:hAnsi="宋体"/>
          <w:b/>
          <w:highlight w:val="none"/>
        </w:rPr>
      </w:r>
      <w:r/>
    </w:p>
    <w:p>
      <w:pPr>
        <w:spacing w:before="240" w:after="240"/>
        <w:rPr>
          <w:rFonts w:eastAsia="Times New Roman"/>
          <w:highlight w:val="none"/>
        </w:rPr>
        <w:pBdr>
          <w:top w:val="none" w:color="000000" w:sz="0" w:space="0"/>
          <w:left w:val="none" w:color="000000" w:sz="0" w:space="0"/>
          <w:bottom w:val="none" w:color="000000" w:sz="0" w:space="0"/>
          <w:right w:val="none" w:color="000000" w:sz="0" w:space="0"/>
        </w:pBdr>
      </w:pPr>
      <w:r>
        <w:rPr>
          <w:rFonts w:eastAsia="Times New Roman"/>
          <w:highlight w:val="none"/>
        </w:rPr>
      </w:r>
      <w:r/>
    </w:p>
    <w:p>
      <w:pPr>
        <w:ind w:firstLine="482"/>
        <w:spacing w:before="240" w:after="240"/>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包2</w:t>
      </w:r>
      <w:r/>
    </w:p>
    <w:tbl>
      <w:tblPr>
        <w:tblStyle w:val="990"/>
        <w:tblW w:w="90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980"/>
        <w:gridCol w:w="7035"/>
      </w:tblGrid>
      <w:tr>
        <w:trPr>
          <w:jc w:val="center"/>
          <w:trHeight w:val="336"/>
          <w:tblHeader/>
        </w:trPr>
        <w:tc>
          <w:tcPr>
            <w:shd w:val="clear" w:color="auto" w:fill="ffffff"/>
            <w:tcBorders>
              <w:left w:val="single" w:color="auto" w:sz="4" w:space="0"/>
            </w:tcBorders>
            <w:tcW w:w="1980" w:type="dxa"/>
            <w:vAlign w:val="center"/>
            <w:textDirection w:val="lrTb"/>
            <w:noWrap w:val="false"/>
          </w:tcPr>
          <w:p>
            <w:pPr>
              <w:jc w:val="center"/>
              <w:rPr>
                <w:rFonts w:ascii="宋体" w:hAnsi="宋体" w:cs="等线 Light"/>
                <w:b/>
                <w:sz w:val="24"/>
                <w:szCs w:val="24"/>
                <w:highlight w:val="none"/>
              </w:rPr>
            </w:pPr>
            <w:r>
              <w:rPr>
                <w:rFonts w:hint="eastAsia" w:ascii="宋体" w:hAnsi="宋体" w:cs="等线 Light"/>
                <w:b/>
                <w:sz w:val="24"/>
                <w:szCs w:val="24"/>
                <w:highlight w:val="none"/>
              </w:rPr>
              <w:t xml:space="preserve">项目</w:t>
            </w:r>
            <w:r/>
          </w:p>
        </w:tc>
        <w:tc>
          <w:tcPr>
            <w:shd w:val="clear" w:color="auto" w:fill="ffffff"/>
            <w:tcW w:w="7035" w:type="dxa"/>
            <w:vAlign w:val="center"/>
            <w:textDirection w:val="lrTb"/>
            <w:noWrap w:val="false"/>
          </w:tcPr>
          <w:p>
            <w:pPr>
              <w:jc w:val="center"/>
              <w:rPr>
                <w:rFonts w:ascii="宋体" w:hAnsi="宋体" w:cs="等线 Light"/>
                <w:b/>
                <w:sz w:val="24"/>
                <w:szCs w:val="24"/>
                <w:highlight w:val="none"/>
              </w:rPr>
            </w:pPr>
            <w:r>
              <w:rPr>
                <w:rFonts w:hint="eastAsia" w:ascii="宋体" w:hAnsi="宋体" w:cs="等线 Light"/>
                <w:b/>
                <w:sz w:val="24"/>
                <w:szCs w:val="24"/>
                <w:highlight w:val="none"/>
              </w:rPr>
              <w:t xml:space="preserve">评分标准</w:t>
            </w:r>
            <w:r/>
          </w:p>
        </w:tc>
      </w:tr>
      <w:tr>
        <w:trPr>
          <w:jc w:val="center"/>
          <w:trHeight w:val="779"/>
        </w:trPr>
        <w:tc>
          <w:tcPr>
            <w:shd w:val="clear" w:color="auto" w:fill="ffffff"/>
            <w:tcBorders>
              <w:left w:val="single" w:color="auto" w:sz="4" w:space="0"/>
            </w:tcBorders>
            <w:tcW w:w="1980" w:type="dxa"/>
            <w:vAlign w:val="center"/>
            <w:textDirection w:val="lrTb"/>
            <w:noWrap w:val="false"/>
          </w:tcPr>
          <w:p>
            <w:pPr>
              <w:jc w:val="center"/>
              <w:rPr>
                <w:rFonts w:ascii="宋体" w:hAnsi="宋体" w:cs="宋体"/>
                <w:b/>
                <w:bCs/>
                <w:sz w:val="24"/>
                <w:szCs w:val="24"/>
                <w:highlight w:val="none"/>
              </w:rPr>
            </w:pPr>
            <w:r>
              <w:rPr>
                <w:rFonts w:hint="eastAsia" w:ascii="宋体" w:hAnsi="宋体" w:cs="宋体"/>
                <w:b/>
                <w:bCs/>
                <w:sz w:val="24"/>
                <w:szCs w:val="24"/>
                <w:highlight w:val="none"/>
              </w:rPr>
              <w:t xml:space="preserve">价格</w:t>
            </w:r>
            <w:r/>
          </w:p>
          <w:p>
            <w:pPr>
              <w:jc w:val="center"/>
              <w:rPr>
                <w:rFonts w:ascii="宋体" w:hAnsi="宋体" w:cs="宋体"/>
                <w:b/>
                <w:bCs/>
                <w:sz w:val="24"/>
                <w:szCs w:val="24"/>
                <w:highlight w:val="none"/>
              </w:rPr>
            </w:pPr>
            <w:r>
              <w:rPr>
                <w:rFonts w:hint="eastAsia" w:ascii="宋体" w:hAnsi="宋体" w:cs="宋体"/>
                <w:b/>
                <w:bCs/>
                <w:sz w:val="24"/>
                <w:szCs w:val="24"/>
                <w:highlight w:val="none"/>
              </w:rPr>
              <w:t xml:space="preserve">（10分）</w:t>
            </w:r>
            <w:r/>
          </w:p>
        </w:tc>
        <w:tc>
          <w:tcPr>
            <w:shd w:val="clear" w:color="auto" w:fill="ffffff"/>
            <w:tcW w:w="7035" w:type="dxa"/>
            <w:vAlign w:val="center"/>
            <w:textDirection w:val="lrTb"/>
            <w:noWrap w:val="false"/>
          </w:tcPr>
          <w:p>
            <w:pPr>
              <w:rPr>
                <w:rFonts w:ascii="宋体" w:hAnsi="宋体" w:cs="宋体"/>
                <w:sz w:val="24"/>
                <w:szCs w:val="24"/>
                <w:highlight w:val="none"/>
              </w:rPr>
            </w:pPr>
            <w:r>
              <w:rPr>
                <w:rFonts w:hint="eastAsia" w:ascii="宋体" w:hAnsi="宋体" w:cs="宋体"/>
                <w:spacing w:val="9"/>
                <w:sz w:val="24"/>
                <w:szCs w:val="24"/>
                <w:highlight w:val="none"/>
              </w:rPr>
              <w:t xml:space="preserve">以满足招标文件要求的最低投标报价为评标基准价，得满分10分，其他投标报价得分＝（评标基准价/其他投标报价）×10×100%。</w:t>
            </w:r>
            <w:r/>
          </w:p>
        </w:tc>
      </w:tr>
      <w:tr>
        <w:trPr>
          <w:jc w:val="center"/>
          <w:trHeight w:val="770"/>
        </w:trPr>
        <w:tc>
          <w:tcPr>
            <w:shd w:val="clear" w:color="auto" w:fill="ffffff"/>
            <w:tcBorders>
              <w:left w:val="single" w:color="auto" w:sz="4" w:space="0"/>
            </w:tcBorders>
            <w:tcW w:w="1980" w:type="dxa"/>
            <w:vAlign w:val="center"/>
            <w:textDirection w:val="lrTb"/>
            <w:noWrap w:val="false"/>
          </w:tcPr>
          <w:p>
            <w:pPr>
              <w:jc w:val="center"/>
              <w:rPr>
                <w:rFonts w:ascii="宋体" w:hAnsi="宋体" w:cs="宋体"/>
                <w:b/>
                <w:bCs/>
                <w:sz w:val="24"/>
                <w:szCs w:val="24"/>
                <w:highlight w:val="none"/>
              </w:rPr>
            </w:pPr>
            <w:r>
              <w:rPr>
                <w:rFonts w:hint="eastAsia" w:ascii="宋体" w:hAnsi="宋体" w:cs="宋体"/>
                <w:b/>
                <w:bCs/>
                <w:sz w:val="24"/>
                <w:szCs w:val="24"/>
                <w:highlight w:val="none"/>
              </w:rPr>
              <w:t xml:space="preserve">业绩</w:t>
            </w:r>
            <w:r/>
          </w:p>
          <w:p>
            <w:pPr>
              <w:jc w:val="center"/>
              <w:rPr>
                <w:rFonts w:ascii="宋体" w:hAnsi="宋体" w:cs="宋体"/>
                <w:b/>
                <w:bCs/>
                <w:sz w:val="24"/>
                <w:szCs w:val="24"/>
                <w:highlight w:val="none"/>
              </w:rPr>
            </w:pPr>
            <w:r>
              <w:rPr>
                <w:rFonts w:hint="eastAsia" w:ascii="宋体" w:hAnsi="宋体" w:cs="宋体"/>
                <w:b/>
                <w:bCs/>
                <w:sz w:val="24"/>
                <w:szCs w:val="24"/>
                <w:highlight w:val="none"/>
              </w:rPr>
              <w:t xml:space="preserve">（14分）</w:t>
            </w:r>
            <w:r/>
          </w:p>
        </w:tc>
        <w:tc>
          <w:tcPr>
            <w:shd w:val="clear" w:color="auto" w:fill="ffffff"/>
            <w:tcW w:w="7035" w:type="dxa"/>
            <w:vAlign w:val="center"/>
            <w:textDirection w:val="lrTb"/>
            <w:noWrap w:val="false"/>
          </w:tcPr>
          <w:p>
            <w:pPr>
              <w:rPr>
                <w:rFonts w:ascii="宋体" w:hAnsi="宋体" w:cs="宋体"/>
                <w:sz w:val="24"/>
                <w:szCs w:val="24"/>
                <w:highlight w:val="none"/>
              </w:rPr>
            </w:pPr>
            <w:r>
              <w:rPr>
                <w:rFonts w:hint="eastAsia" w:ascii="宋体" w:hAnsi="宋体" w:cs="宋体"/>
                <w:sz w:val="24"/>
                <w:szCs w:val="24"/>
                <w:highlight w:val="none"/>
              </w:rPr>
              <w:t xml:space="preserve">投标人提供2023年1月1日以来承担过类似项目，有一个得2分，满分14分。</w:t>
            </w:r>
            <w:r>
              <w:rPr>
                <w:rFonts w:hint="eastAsia" w:ascii="宋体" w:hAnsi="宋体" w:cs="宋体"/>
                <w:b/>
                <w:bCs/>
                <w:sz w:val="24"/>
                <w:szCs w:val="24"/>
                <w:highlight w:val="none"/>
              </w:rPr>
              <w:t xml:space="preserve">（</w:t>
            </w:r>
            <w:r>
              <w:rPr>
                <w:rFonts w:hint="eastAsia" w:ascii="宋体" w:hAnsi="宋体" w:cs="宋体"/>
                <w:b/>
                <w:bCs/>
                <w:sz w:val="24"/>
                <w:szCs w:val="24"/>
                <w:highlight w:val="none"/>
                <w:lang w:val="zh-CN"/>
              </w:rPr>
              <w:t xml:space="preserve">以合同签订时间为准，提供合同</w:t>
            </w:r>
            <w:r>
              <w:rPr>
                <w:rFonts w:hint="eastAsia" w:ascii="宋体" w:hAnsi="宋体" w:cs="宋体"/>
                <w:b/>
                <w:bCs/>
                <w:sz w:val="24"/>
                <w:szCs w:val="24"/>
                <w:highlight w:val="none"/>
              </w:rPr>
              <w:t xml:space="preserve">复印件加盖公章，</w:t>
            </w:r>
            <w:r>
              <w:rPr>
                <w:rFonts w:hint="eastAsia" w:ascii="宋体" w:hAnsi="宋体" w:cs="宋体"/>
                <w:b/>
                <w:sz w:val="24"/>
                <w:szCs w:val="24"/>
                <w:highlight w:val="none"/>
              </w:rPr>
              <w:t xml:space="preserve">不提供不得分</w:t>
            </w:r>
            <w:r>
              <w:rPr>
                <w:rFonts w:hint="eastAsia" w:ascii="宋体" w:hAnsi="宋体" w:cs="宋体"/>
                <w:b/>
                <w:bCs/>
                <w:sz w:val="24"/>
                <w:szCs w:val="24"/>
                <w:highlight w:val="none"/>
              </w:rPr>
              <w:t xml:space="preserve">）</w:t>
            </w:r>
            <w:r/>
          </w:p>
        </w:tc>
      </w:tr>
      <w:tr>
        <w:trPr>
          <w:jc w:val="center"/>
          <w:trHeight w:val="90"/>
        </w:trPr>
        <w:tc>
          <w:tcPr>
            <w:shd w:val="clear" w:color="auto" w:fill="ffffff"/>
            <w:tcW w:w="1980" w:type="dxa"/>
            <w:vAlign w:val="center"/>
            <w:textDirection w:val="lrTb"/>
            <w:noWrap w:val="false"/>
          </w:tcPr>
          <w:p>
            <w:pPr>
              <w:jc w:val="center"/>
              <w:rPr>
                <w:rFonts w:ascii="宋体" w:hAnsi="宋体" w:cs="宋体"/>
                <w:b/>
                <w:bCs/>
                <w:sz w:val="24"/>
                <w:szCs w:val="24"/>
                <w:highlight w:val="none"/>
              </w:rPr>
            </w:pPr>
            <w:r>
              <w:rPr>
                <w:rFonts w:hint="eastAsia" w:ascii="宋体" w:hAnsi="宋体" w:cs="宋体"/>
                <w:b/>
                <w:bCs/>
                <w:sz w:val="24"/>
                <w:szCs w:val="24"/>
                <w:highlight w:val="none"/>
              </w:rPr>
              <w:t xml:space="preserve">综合实力</w:t>
            </w:r>
            <w:r/>
          </w:p>
          <w:p>
            <w:pPr>
              <w:jc w:val="center"/>
              <w:rPr>
                <w:rFonts w:ascii="宋体" w:hAnsi="宋体" w:cs="宋体"/>
                <w:b/>
                <w:bCs/>
                <w:sz w:val="24"/>
                <w:szCs w:val="24"/>
                <w:highlight w:val="none"/>
              </w:rPr>
            </w:pPr>
            <w:r>
              <w:rPr>
                <w:rFonts w:hint="eastAsia" w:ascii="宋体" w:hAnsi="宋体" w:cs="宋体"/>
                <w:b/>
                <w:bCs/>
                <w:sz w:val="24"/>
                <w:szCs w:val="24"/>
                <w:highlight w:val="none"/>
              </w:rPr>
              <w:t xml:space="preserve">（11分）</w:t>
            </w:r>
            <w:r/>
          </w:p>
        </w:tc>
        <w:tc>
          <w:tcPr>
            <w:shd w:val="clear" w:color="auto" w:fill="ffffff"/>
            <w:tcW w:w="7035" w:type="dxa"/>
            <w:vAlign w:val="center"/>
            <w:textDirection w:val="lrTb"/>
            <w:noWrap w:val="false"/>
          </w:tcPr>
          <w:p>
            <w:pPr>
              <w:rPr>
                <w:rFonts w:ascii="宋体" w:hAnsi="宋体" w:cs="宋体"/>
                <w:sz w:val="24"/>
                <w:szCs w:val="24"/>
                <w:highlight w:val="none"/>
              </w:rPr>
            </w:pPr>
            <w:r>
              <w:rPr>
                <w:rFonts w:hint="eastAsia" w:ascii="宋体" w:hAnsi="宋体" w:cs="宋体"/>
                <w:sz w:val="24"/>
                <w:szCs w:val="24"/>
                <w:highlight w:val="none"/>
              </w:rPr>
              <w:t xml:space="preserve">1、具有信息安全服务资质（信息安全应急处理）证书，得2分。</w:t>
            </w:r>
            <w:r/>
          </w:p>
          <w:p>
            <w:pPr>
              <w:rPr>
                <w:rFonts w:ascii="宋体" w:hAnsi="宋体" w:cs="宋体"/>
                <w:sz w:val="24"/>
                <w:szCs w:val="24"/>
                <w:highlight w:val="none"/>
              </w:rPr>
            </w:pPr>
            <w:r>
              <w:rPr>
                <w:rFonts w:hint="eastAsia" w:ascii="宋体" w:hAnsi="宋体" w:cs="宋体"/>
                <w:sz w:val="24"/>
                <w:szCs w:val="24"/>
                <w:highlight w:val="none"/>
              </w:rPr>
              <w:t xml:space="preserve">2、投标人具有软件造价评估机构服务能力等级证书的，得2分。</w:t>
            </w:r>
            <w:r/>
          </w:p>
          <w:p>
            <w:pPr>
              <w:rPr>
                <w:rFonts w:ascii="宋体" w:hAnsi="宋体" w:cs="宋体"/>
                <w:sz w:val="24"/>
                <w:szCs w:val="24"/>
                <w:highlight w:val="none"/>
              </w:rPr>
            </w:pPr>
            <w:r>
              <w:rPr>
                <w:rFonts w:hint="eastAsia" w:ascii="宋体" w:hAnsi="宋体" w:cs="宋体"/>
                <w:sz w:val="24"/>
                <w:szCs w:val="24"/>
                <w:highlight w:val="none"/>
              </w:rPr>
              <w:t xml:space="preserve">3、投标人具有信息系统工程监理服务标准贯标（甲级）证书的得3分，具有信息系统工程监理服务标准贯标（乙级）证书的得1分，其他不得分；</w:t>
            </w:r>
            <w:r/>
          </w:p>
          <w:p>
            <w:pPr>
              <w:rPr>
                <w:rFonts w:ascii="宋体" w:hAnsi="宋体" w:cs="宋体"/>
                <w:sz w:val="24"/>
                <w:szCs w:val="24"/>
                <w:highlight w:val="none"/>
              </w:rPr>
            </w:pPr>
            <w:r>
              <w:rPr>
                <w:rFonts w:hint="eastAsia" w:ascii="宋体" w:hAnsi="宋体" w:cs="宋体"/>
                <w:sz w:val="24"/>
                <w:szCs w:val="24"/>
                <w:highlight w:val="none"/>
              </w:rPr>
              <w:t xml:space="preserve">4、投标人具有ITSS信息技术服务标准符合性证书的,得4分；</w:t>
            </w:r>
            <w:r/>
          </w:p>
          <w:p>
            <w:pPr>
              <w:rPr>
                <w:rFonts w:ascii="宋体" w:hAnsi="宋体" w:cs="宋体"/>
                <w:b/>
                <w:bCs/>
                <w:sz w:val="24"/>
                <w:szCs w:val="24"/>
                <w:highlight w:val="none"/>
              </w:rPr>
            </w:pPr>
            <w:r>
              <w:rPr>
                <w:rFonts w:hint="eastAsia" w:ascii="宋体" w:hAnsi="宋体" w:cs="宋体"/>
                <w:b/>
                <w:bCs/>
                <w:sz w:val="24"/>
                <w:szCs w:val="24"/>
                <w:highlight w:val="none"/>
              </w:rPr>
              <w:t xml:space="preserve">（以上相关证书均需在有限期内，提供证书原件</w:t>
            </w:r>
            <w:r>
              <w:rPr>
                <w:rFonts w:hint="eastAsia" w:ascii="宋体" w:hAnsi="宋体" w:cs="宋体"/>
                <w:b/>
                <w:bCs/>
                <w:sz w:val="24"/>
                <w:szCs w:val="24"/>
                <w:highlight w:val="none"/>
                <w:lang w:val="en-US" w:eastAsia="zh-CN"/>
              </w:rPr>
              <w:t xml:space="preserve">扫描上传</w:t>
            </w:r>
            <w:r>
              <w:rPr>
                <w:rFonts w:hint="eastAsia" w:ascii="宋体" w:hAnsi="宋体" w:cs="宋体"/>
                <w:b/>
                <w:bCs/>
                <w:sz w:val="24"/>
                <w:szCs w:val="24"/>
                <w:highlight w:val="none"/>
              </w:rPr>
              <w:t xml:space="preserve">，</w:t>
            </w:r>
            <w:r>
              <w:rPr>
                <w:rFonts w:hint="eastAsia" w:ascii="宋体" w:hAnsi="宋体" w:cs="宋体"/>
                <w:b/>
                <w:sz w:val="24"/>
                <w:szCs w:val="24"/>
                <w:highlight w:val="none"/>
              </w:rPr>
              <w:t xml:space="preserve">不提供不得分</w:t>
            </w:r>
            <w:r>
              <w:rPr>
                <w:rFonts w:hint="eastAsia" w:ascii="宋体" w:hAnsi="宋体" w:cs="宋体"/>
                <w:b/>
                <w:bCs/>
                <w:sz w:val="24"/>
                <w:szCs w:val="24"/>
                <w:highlight w:val="none"/>
              </w:rPr>
              <w:t xml:space="preserve">）</w:t>
            </w:r>
            <w:r/>
          </w:p>
        </w:tc>
      </w:tr>
      <w:tr>
        <w:trPr>
          <w:jc w:val="center"/>
          <w:trHeight w:val="3203"/>
        </w:trPr>
        <w:tc>
          <w:tcPr>
            <w:shd w:val="clear" w:color="auto" w:fill="ffffff"/>
            <w:tcW w:w="1980" w:type="dxa"/>
            <w:vAlign w:val="center"/>
            <w:vMerge w:val="restart"/>
            <w:textDirection w:val="lrTb"/>
            <w:noWrap w:val="false"/>
          </w:tcPr>
          <w:p>
            <w:pPr>
              <w:jc w:val="center"/>
              <w:rPr>
                <w:rFonts w:ascii="宋体" w:hAnsi="宋体" w:cs="宋体"/>
                <w:b/>
                <w:bCs/>
                <w:sz w:val="24"/>
                <w:szCs w:val="24"/>
                <w:highlight w:val="none"/>
              </w:rPr>
            </w:pPr>
            <w:r>
              <w:rPr>
                <w:rFonts w:hint="eastAsia" w:ascii="宋体" w:hAnsi="宋体" w:cs="宋体"/>
                <w:b/>
                <w:bCs/>
                <w:sz w:val="24"/>
                <w:szCs w:val="24"/>
                <w:highlight w:val="none"/>
              </w:rPr>
              <w:t xml:space="preserve">监理团队</w:t>
            </w:r>
            <w:r/>
          </w:p>
          <w:p>
            <w:pPr>
              <w:jc w:val="center"/>
              <w:rPr>
                <w:rFonts w:ascii="宋体" w:hAnsi="宋体" w:cs="宋体"/>
                <w:b/>
                <w:bCs/>
                <w:sz w:val="24"/>
                <w:szCs w:val="24"/>
                <w:highlight w:val="none"/>
              </w:rPr>
            </w:pPr>
            <w:r>
              <w:rPr>
                <w:rFonts w:hint="eastAsia" w:ascii="宋体" w:hAnsi="宋体" w:cs="宋体"/>
                <w:b/>
                <w:bCs/>
                <w:sz w:val="24"/>
                <w:szCs w:val="24"/>
                <w:highlight w:val="none"/>
              </w:rPr>
              <w:t xml:space="preserve">（25分）</w:t>
            </w:r>
            <w:r/>
          </w:p>
        </w:tc>
        <w:tc>
          <w:tcPr>
            <w:shd w:val="clear" w:color="auto" w:fill="ffffff"/>
            <w:tcW w:w="7035" w:type="dxa"/>
            <w:vAlign w:val="center"/>
            <w:textDirection w:val="lrTb"/>
            <w:noWrap w:val="false"/>
          </w:tcPr>
          <w:p>
            <w:pPr>
              <w:rPr>
                <w:rFonts w:ascii="宋体" w:hAnsi="宋体" w:cs="宋体"/>
                <w:bCs/>
                <w:sz w:val="24"/>
                <w:szCs w:val="24"/>
                <w:highlight w:val="none"/>
              </w:rPr>
            </w:pPr>
            <w:r>
              <w:rPr>
                <w:rFonts w:hint="eastAsia" w:ascii="宋体" w:hAnsi="宋体" w:cs="宋体"/>
                <w:bCs/>
                <w:sz w:val="24"/>
                <w:szCs w:val="24"/>
                <w:highlight w:val="none"/>
              </w:rPr>
              <w:t xml:space="preserve">1、拟派本项目的总监理工程师具有信息系统监理师（人社部和工信部相关部门颁发）的基础上：</w:t>
            </w:r>
            <w:r/>
          </w:p>
          <w:p>
            <w:pPr>
              <w:rPr>
                <w:rFonts w:ascii="宋体" w:hAnsi="宋体" w:cs="宋体"/>
                <w:bCs/>
                <w:sz w:val="24"/>
                <w:szCs w:val="24"/>
                <w:highlight w:val="none"/>
              </w:rPr>
            </w:pPr>
            <w:r>
              <w:rPr>
                <w:rFonts w:hint="eastAsia" w:ascii="宋体" w:hAnsi="宋体" w:cs="宋体"/>
                <w:bCs/>
                <w:sz w:val="24"/>
                <w:szCs w:val="24"/>
                <w:highlight w:val="none"/>
              </w:rPr>
              <w:t xml:space="preserve">①软件评测师证书（计算机技术与软件专业技术资格(水平)考试）；</w:t>
            </w:r>
            <w:r/>
          </w:p>
          <w:p>
            <w:pPr>
              <w:rPr>
                <w:rFonts w:ascii="宋体" w:hAnsi="宋体" w:cs="宋体"/>
                <w:bCs/>
                <w:sz w:val="24"/>
                <w:szCs w:val="24"/>
                <w:highlight w:val="none"/>
              </w:rPr>
            </w:pPr>
            <w:r>
              <w:rPr>
                <w:rFonts w:hint="eastAsia" w:ascii="宋体" w:hAnsi="宋体" w:cs="宋体"/>
                <w:bCs/>
                <w:sz w:val="24"/>
                <w:szCs w:val="24"/>
                <w:highlight w:val="none"/>
              </w:rPr>
              <w:t xml:space="preserve">②系统规划与管理师证书（计算机技术与软件专业技术资格(水平)考试）；</w:t>
            </w:r>
            <w:r/>
          </w:p>
          <w:p>
            <w:pPr>
              <w:rPr>
                <w:rFonts w:ascii="宋体" w:hAnsi="宋体" w:cs="宋体"/>
                <w:bCs/>
                <w:sz w:val="24"/>
                <w:szCs w:val="24"/>
                <w:highlight w:val="none"/>
              </w:rPr>
            </w:pPr>
            <w:r/>
            <w:bookmarkStart w:id="0" w:name="OLE_LINK2"/>
            <w:r>
              <w:rPr>
                <w:rFonts w:hint="eastAsia" w:ascii="宋体" w:hAnsi="宋体" w:cs="宋体"/>
                <w:bCs/>
                <w:sz w:val="24"/>
                <w:szCs w:val="24"/>
                <w:highlight w:val="none"/>
              </w:rPr>
              <w:t xml:space="preserve">③</w:t>
            </w:r>
            <w:bookmarkEnd w:id="0"/>
            <w:r>
              <w:rPr>
                <w:rFonts w:hint="eastAsia" w:ascii="宋体" w:hAnsi="宋体" w:cs="宋体"/>
                <w:bCs/>
                <w:sz w:val="24"/>
                <w:szCs w:val="24"/>
                <w:highlight w:val="none"/>
              </w:rPr>
              <w:t xml:space="preserve">信息系统项目管理师证书（计算机技术与软件专业技术资格(水平)考试）；</w:t>
            </w:r>
            <w:r/>
          </w:p>
          <w:p>
            <w:pPr>
              <w:rPr>
                <w:rFonts w:ascii="宋体" w:hAnsi="宋体" w:cs="宋体"/>
                <w:bCs/>
                <w:sz w:val="24"/>
                <w:szCs w:val="24"/>
                <w:highlight w:val="none"/>
              </w:rPr>
            </w:pPr>
            <w:r>
              <w:rPr>
                <w:rFonts w:hint="eastAsia" w:ascii="宋体" w:hAnsi="宋体" w:cs="宋体"/>
                <w:bCs/>
                <w:sz w:val="24"/>
                <w:szCs w:val="24"/>
                <w:highlight w:val="none"/>
              </w:rPr>
              <w:t xml:space="preserve">④注册信息安全工程师（CISE)证书(中国信息安全测评中心)。</w:t>
            </w:r>
            <w:r/>
          </w:p>
          <w:p>
            <w:pPr>
              <w:rPr>
                <w:rFonts w:ascii="宋体" w:hAnsi="宋体" w:cs="宋体"/>
                <w:bCs/>
                <w:sz w:val="24"/>
                <w:szCs w:val="24"/>
                <w:highlight w:val="none"/>
              </w:rPr>
            </w:pPr>
            <w:r>
              <w:rPr>
                <w:rFonts w:hint="eastAsia" w:ascii="宋体" w:hAnsi="宋体" w:cs="宋体"/>
                <w:bCs/>
                <w:sz w:val="24"/>
                <w:szCs w:val="24"/>
                <w:highlight w:val="none"/>
              </w:rPr>
              <w:t xml:space="preserve">每有一项得 2分，满分8分。</w:t>
            </w:r>
            <w:r/>
          </w:p>
          <w:p>
            <w:pPr>
              <w:rPr>
                <w:rFonts w:ascii="宋体" w:hAnsi="宋体" w:cs="宋体"/>
                <w:bCs/>
                <w:sz w:val="24"/>
                <w:szCs w:val="24"/>
                <w:highlight w:val="none"/>
              </w:rPr>
            </w:pPr>
            <w:r>
              <w:rPr>
                <w:b/>
                <w:bCs/>
                <w:color w:val="000000"/>
                <w:sz w:val="24"/>
                <w:highlight w:val="none"/>
              </w:rPr>
              <w:t xml:space="preserve">（提供有效的证书原件及投标人近</w:t>
            </w:r>
            <w:r>
              <w:rPr>
                <w:rFonts w:hint="eastAsia"/>
                <w:b/>
                <w:bCs/>
                <w:color w:val="000000"/>
                <w:sz w:val="24"/>
                <w:highlight w:val="none"/>
              </w:rPr>
              <w:t xml:space="preserve">3个月</w:t>
            </w:r>
            <w:r>
              <w:rPr>
                <w:b/>
                <w:bCs/>
                <w:color w:val="000000"/>
                <w:sz w:val="24"/>
                <w:highlight w:val="none"/>
              </w:rPr>
              <w:t xml:space="preserve">内任意</w:t>
            </w:r>
            <w:r>
              <w:rPr>
                <w:rFonts w:hint="eastAsia"/>
                <w:b/>
                <w:bCs/>
                <w:color w:val="000000"/>
                <w:sz w:val="24"/>
                <w:highlight w:val="none"/>
              </w:rPr>
              <w:t xml:space="preserve">1</w:t>
            </w:r>
            <w:r>
              <w:rPr>
                <w:b/>
                <w:bCs/>
                <w:color w:val="000000"/>
                <w:sz w:val="24"/>
                <w:highlight w:val="none"/>
              </w:rPr>
              <w:t xml:space="preserve">个月为其缴纳的社保证明材料原件，扫描上传。）</w:t>
            </w:r>
            <w:r/>
          </w:p>
        </w:tc>
      </w:tr>
      <w:tr>
        <w:trPr>
          <w:jc w:val="center"/>
          <w:trHeight w:val="1281"/>
        </w:trPr>
        <w:tc>
          <w:tcPr>
            <w:shd w:val="clear" w:color="auto" w:fill="ffffff"/>
            <w:tcW w:w="1980" w:type="dxa"/>
            <w:vAlign w:val="center"/>
            <w:vMerge w:val="continue"/>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shd w:val="clear" w:color="auto" w:fill="ffffff"/>
            <w:tcW w:w="7035" w:type="dxa"/>
            <w:vAlign w:val="center"/>
            <w:textDirection w:val="lrTb"/>
            <w:noWrap w:val="false"/>
          </w:tcPr>
          <w:p>
            <w:pPr>
              <w:rPr>
                <w:rFonts w:ascii="宋体" w:hAnsi="宋体" w:cs="宋体"/>
                <w:bCs/>
                <w:sz w:val="24"/>
                <w:szCs w:val="24"/>
                <w:highlight w:val="none"/>
              </w:rPr>
            </w:pPr>
            <w:r>
              <w:rPr>
                <w:rFonts w:hint="eastAsia" w:ascii="宋体" w:hAnsi="宋体" w:cs="宋体"/>
                <w:bCs/>
                <w:sz w:val="24"/>
                <w:szCs w:val="24"/>
                <w:highlight w:val="none"/>
              </w:rPr>
              <w:t xml:space="preserve">2、拟派本项目的总监理工程师代表具有信息系统监理师（人社部和工信部相关部门颁发）的基础上：</w:t>
            </w:r>
            <w:r/>
          </w:p>
          <w:p>
            <w:pPr>
              <w:rPr>
                <w:rFonts w:ascii="宋体" w:hAnsi="宋体" w:cs="宋体"/>
                <w:bCs/>
                <w:sz w:val="24"/>
                <w:szCs w:val="24"/>
                <w:highlight w:val="none"/>
              </w:rPr>
            </w:pPr>
            <w:r>
              <w:rPr>
                <w:rFonts w:hint="eastAsia" w:ascii="宋体" w:hAnsi="宋体" w:cs="宋体"/>
                <w:bCs/>
                <w:sz w:val="24"/>
                <w:szCs w:val="24"/>
                <w:highlight w:val="none"/>
              </w:rPr>
              <w:t xml:space="preserve">①系统集成项目管理工程师证书（计算机技术与软件专业技术资格(水平)考试）；</w:t>
            </w:r>
            <w:r/>
          </w:p>
          <w:p>
            <w:pPr>
              <w:rPr>
                <w:rFonts w:ascii="宋体" w:hAnsi="宋体" w:cs="宋体"/>
                <w:bCs/>
                <w:sz w:val="24"/>
                <w:szCs w:val="24"/>
                <w:highlight w:val="none"/>
              </w:rPr>
            </w:pPr>
            <w:r>
              <w:rPr>
                <w:rFonts w:hint="eastAsia" w:ascii="宋体" w:hAnsi="宋体" w:cs="宋体"/>
                <w:bCs/>
                <w:sz w:val="24"/>
                <w:szCs w:val="24"/>
                <w:highlight w:val="none"/>
              </w:rPr>
              <w:t xml:space="preserve">②注册信息安全工程师（CISE)证书(中国信息安全测评中心)。</w:t>
            </w:r>
            <w:r/>
          </w:p>
          <w:p>
            <w:pPr>
              <w:rPr>
                <w:rFonts w:ascii="宋体" w:hAnsi="宋体" w:cs="宋体"/>
                <w:bCs/>
                <w:sz w:val="24"/>
                <w:szCs w:val="24"/>
                <w:highlight w:val="none"/>
              </w:rPr>
            </w:pPr>
            <w:r>
              <w:rPr>
                <w:rFonts w:hint="eastAsia" w:ascii="宋体" w:hAnsi="宋体" w:cs="宋体"/>
                <w:bCs/>
                <w:sz w:val="24"/>
                <w:szCs w:val="24"/>
                <w:highlight w:val="none"/>
              </w:rPr>
              <w:t xml:space="preserve">每有一项得 2 分，满分 4 分。</w:t>
            </w:r>
            <w:r/>
          </w:p>
          <w:p>
            <w:pPr>
              <w:rPr>
                <w:rFonts w:ascii="宋体" w:hAnsi="宋体" w:cs="宋体"/>
                <w:bCs/>
                <w:sz w:val="24"/>
                <w:szCs w:val="24"/>
                <w:highlight w:val="none"/>
              </w:rPr>
            </w:pPr>
            <w:r>
              <w:rPr>
                <w:b/>
                <w:bCs/>
                <w:color w:val="000000"/>
                <w:sz w:val="24"/>
                <w:highlight w:val="none"/>
              </w:rPr>
              <w:t xml:space="preserve">（提供有效的证书原件及投标人近</w:t>
            </w:r>
            <w:r>
              <w:rPr>
                <w:rFonts w:hint="eastAsia"/>
                <w:b/>
                <w:bCs/>
                <w:color w:val="000000"/>
                <w:sz w:val="24"/>
                <w:highlight w:val="none"/>
              </w:rPr>
              <w:t xml:space="preserve">3个月</w:t>
            </w:r>
            <w:r>
              <w:rPr>
                <w:b/>
                <w:bCs/>
                <w:color w:val="000000"/>
                <w:sz w:val="24"/>
                <w:highlight w:val="none"/>
              </w:rPr>
              <w:t xml:space="preserve">内任意</w:t>
            </w:r>
            <w:r>
              <w:rPr>
                <w:rFonts w:hint="eastAsia"/>
                <w:b/>
                <w:bCs/>
                <w:color w:val="000000"/>
                <w:sz w:val="24"/>
                <w:highlight w:val="none"/>
              </w:rPr>
              <w:t xml:space="preserve">1</w:t>
            </w:r>
            <w:r>
              <w:rPr>
                <w:b/>
                <w:bCs/>
                <w:color w:val="000000"/>
                <w:sz w:val="24"/>
                <w:highlight w:val="none"/>
              </w:rPr>
              <w:t xml:space="preserve">个月为其缴纳的社保证明材料原件，扫描上传。）</w:t>
            </w:r>
            <w:r/>
          </w:p>
        </w:tc>
      </w:tr>
      <w:tr>
        <w:trPr>
          <w:jc w:val="center"/>
          <w:trHeight w:val="1915"/>
        </w:trPr>
        <w:tc>
          <w:tcPr>
            <w:shd w:val="clear" w:color="auto" w:fill="ffffff"/>
            <w:tcW w:w="1980" w:type="dxa"/>
            <w:vAlign w:val="center"/>
            <w:vMerge w:val="continue"/>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shd w:val="clear" w:color="auto" w:fill="ffffff"/>
            <w:tcW w:w="7035" w:type="dxa"/>
            <w:vAlign w:val="center"/>
            <w:textDirection w:val="lrTb"/>
            <w:noWrap w:val="false"/>
          </w:tcPr>
          <w:p>
            <w:pPr>
              <w:rPr>
                <w:rFonts w:ascii="宋体" w:hAnsi="宋体" w:cs="宋体"/>
                <w:bCs/>
                <w:sz w:val="24"/>
                <w:szCs w:val="24"/>
                <w:highlight w:val="none"/>
              </w:rPr>
            </w:pPr>
            <w:r>
              <w:rPr>
                <w:rFonts w:hint="eastAsia" w:ascii="宋体" w:hAnsi="宋体" w:cs="宋体"/>
                <w:bCs/>
                <w:sz w:val="24"/>
                <w:szCs w:val="24"/>
                <w:highlight w:val="none"/>
              </w:rPr>
              <w:t xml:space="preserve">3、拟派本项目的技术负责人具有信息系统监理师（人社部和工信部相关部门颁发）的基础上：</w:t>
            </w:r>
            <w:r/>
          </w:p>
          <w:p>
            <w:pPr>
              <w:rPr>
                <w:rFonts w:ascii="宋体" w:hAnsi="宋体" w:cs="宋体"/>
                <w:bCs/>
                <w:sz w:val="24"/>
                <w:szCs w:val="24"/>
                <w:highlight w:val="none"/>
              </w:rPr>
            </w:pPr>
            <w:r>
              <w:rPr>
                <w:rFonts w:hint="eastAsia" w:ascii="宋体" w:hAnsi="宋体" w:cs="宋体"/>
                <w:bCs/>
                <w:sz w:val="24"/>
                <w:szCs w:val="24"/>
                <w:highlight w:val="none"/>
              </w:rPr>
              <w:t xml:space="preserve">①软件评测师证书（计算机技术与软件专业技术资格(水平)考试）；</w:t>
            </w:r>
            <w:r/>
          </w:p>
          <w:p>
            <w:pPr>
              <w:rPr>
                <w:rFonts w:ascii="宋体" w:hAnsi="宋体" w:cs="宋体"/>
                <w:bCs/>
                <w:sz w:val="24"/>
                <w:szCs w:val="24"/>
                <w:highlight w:val="none"/>
              </w:rPr>
            </w:pPr>
            <w:r>
              <w:rPr>
                <w:rFonts w:hint="eastAsia" w:ascii="宋体" w:hAnsi="宋体" w:cs="宋体"/>
                <w:bCs/>
                <w:sz w:val="24"/>
                <w:szCs w:val="24"/>
                <w:highlight w:val="none"/>
              </w:rPr>
              <w:t xml:space="preserve">②网络规划设计师证书（计算机技术与软件专业技术资格(水平)考试）</w:t>
            </w:r>
            <w:r/>
          </w:p>
          <w:p>
            <w:pPr>
              <w:rPr>
                <w:rFonts w:ascii="宋体" w:hAnsi="宋体" w:cs="宋体"/>
                <w:bCs/>
                <w:sz w:val="24"/>
                <w:szCs w:val="24"/>
                <w:highlight w:val="none"/>
              </w:rPr>
            </w:pPr>
            <w:r>
              <w:rPr>
                <w:rFonts w:hint="eastAsia" w:ascii="宋体" w:hAnsi="宋体" w:cs="宋体"/>
                <w:bCs/>
                <w:sz w:val="24"/>
                <w:szCs w:val="24"/>
                <w:highlight w:val="none"/>
              </w:rPr>
              <w:t xml:space="preserve">③信息安全工程师证书（计算机技术与软件专业技术资格(水平)考试）；</w:t>
            </w:r>
            <w:r/>
          </w:p>
          <w:p>
            <w:pPr>
              <w:rPr>
                <w:rFonts w:ascii="宋体" w:hAnsi="宋体" w:cs="宋体"/>
                <w:bCs/>
                <w:sz w:val="24"/>
                <w:szCs w:val="24"/>
                <w:highlight w:val="none"/>
              </w:rPr>
            </w:pPr>
            <w:r>
              <w:rPr>
                <w:rFonts w:hint="eastAsia" w:ascii="宋体" w:hAnsi="宋体" w:cs="宋体"/>
                <w:bCs/>
                <w:sz w:val="24"/>
                <w:szCs w:val="24"/>
                <w:highlight w:val="none"/>
              </w:rPr>
              <w:t xml:space="preserve">每有一项得 2 分，满分 6分。</w:t>
            </w:r>
            <w:r/>
          </w:p>
          <w:p>
            <w:pPr>
              <w:rPr>
                <w:rFonts w:ascii="宋体" w:hAnsi="宋体" w:cs="宋体"/>
                <w:bCs/>
                <w:sz w:val="24"/>
                <w:szCs w:val="24"/>
                <w:highlight w:val="none"/>
              </w:rPr>
            </w:pPr>
            <w:r>
              <w:rPr>
                <w:b/>
                <w:bCs/>
                <w:color w:val="000000"/>
                <w:sz w:val="24"/>
                <w:highlight w:val="none"/>
              </w:rPr>
              <w:t xml:space="preserve">（提供有效的证书原件及投标人近</w:t>
            </w:r>
            <w:r>
              <w:rPr>
                <w:rFonts w:hint="eastAsia"/>
                <w:b/>
                <w:bCs/>
                <w:color w:val="000000"/>
                <w:sz w:val="24"/>
                <w:highlight w:val="none"/>
              </w:rPr>
              <w:t xml:space="preserve">3个月</w:t>
            </w:r>
            <w:r>
              <w:rPr>
                <w:b/>
                <w:bCs/>
                <w:color w:val="000000"/>
                <w:sz w:val="24"/>
                <w:highlight w:val="none"/>
              </w:rPr>
              <w:t xml:space="preserve">内任意</w:t>
            </w:r>
            <w:r>
              <w:rPr>
                <w:rFonts w:hint="eastAsia"/>
                <w:b/>
                <w:bCs/>
                <w:color w:val="000000"/>
                <w:sz w:val="24"/>
                <w:highlight w:val="none"/>
              </w:rPr>
              <w:t xml:space="preserve">1</w:t>
            </w:r>
            <w:r>
              <w:rPr>
                <w:b/>
                <w:bCs/>
                <w:color w:val="000000"/>
                <w:sz w:val="24"/>
                <w:highlight w:val="none"/>
              </w:rPr>
              <w:t xml:space="preserve">个月为其缴纳的社保证明材料原件，扫描上传。）</w:t>
            </w:r>
            <w:r/>
          </w:p>
        </w:tc>
      </w:tr>
      <w:tr>
        <w:trPr>
          <w:jc w:val="center"/>
          <w:trHeight w:val="437"/>
        </w:trPr>
        <w:tc>
          <w:tcPr>
            <w:shd w:val="clear" w:color="auto" w:fill="ffffff"/>
            <w:tcW w:w="1980" w:type="dxa"/>
            <w:vAlign w:val="center"/>
            <w:vMerge w:val="continue"/>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shd w:val="clear" w:color="auto" w:fill="ffffff"/>
            <w:tcW w:w="7035" w:type="dxa"/>
            <w:vAlign w:val="center"/>
            <w:textDirection w:val="lrTb"/>
            <w:noWrap w:val="false"/>
          </w:tcPr>
          <w:p>
            <w:pPr>
              <w:rPr>
                <w:rFonts w:ascii="宋体" w:hAnsi="宋体" w:cs="宋体"/>
                <w:bCs/>
                <w:sz w:val="24"/>
                <w:szCs w:val="24"/>
                <w:highlight w:val="none"/>
              </w:rPr>
            </w:pPr>
            <w:r>
              <w:rPr>
                <w:rFonts w:hint="eastAsia" w:ascii="宋体" w:hAnsi="宋体" w:cs="宋体"/>
                <w:bCs/>
                <w:sz w:val="24"/>
                <w:szCs w:val="24"/>
                <w:highlight w:val="none"/>
              </w:rPr>
              <w:t xml:space="preserve">4、拟派本项目的其他人员具有信息系统监理师（人社部和工信部相关部门颁发）的基础上：</w:t>
            </w:r>
            <w:r/>
          </w:p>
          <w:p>
            <w:pPr>
              <w:rPr>
                <w:rFonts w:ascii="宋体" w:hAnsi="宋体" w:cs="宋体"/>
                <w:bCs/>
                <w:sz w:val="24"/>
                <w:szCs w:val="24"/>
                <w:highlight w:val="none"/>
              </w:rPr>
            </w:pPr>
            <w:r>
              <w:rPr>
                <w:rFonts w:hint="eastAsia" w:ascii="宋体" w:hAnsi="宋体" w:cs="宋体"/>
                <w:bCs/>
                <w:sz w:val="24"/>
                <w:szCs w:val="24"/>
                <w:highlight w:val="none"/>
              </w:rPr>
              <w:t xml:space="preserve">①信息系统审计师（中国网络安全审查技术与认证中心）；</w:t>
            </w:r>
            <w:r/>
          </w:p>
          <w:p>
            <w:pPr>
              <w:rPr>
                <w:rFonts w:ascii="宋体" w:hAnsi="宋体" w:cs="宋体"/>
                <w:bCs/>
                <w:sz w:val="24"/>
                <w:szCs w:val="24"/>
                <w:highlight w:val="none"/>
              </w:rPr>
            </w:pPr>
            <w:r>
              <w:rPr>
                <w:rFonts w:hint="eastAsia" w:ascii="宋体" w:hAnsi="宋体" w:cs="宋体"/>
                <w:bCs/>
                <w:sz w:val="24"/>
                <w:szCs w:val="24"/>
                <w:highlight w:val="none"/>
              </w:rPr>
              <w:t xml:space="preserve">②软件评测师（计算机技术与软件专业技术资格(水平)考试）</w:t>
            </w:r>
            <w:r/>
          </w:p>
          <w:p>
            <w:pPr>
              <w:rPr>
                <w:rFonts w:ascii="宋体" w:hAnsi="宋体" w:cs="宋体"/>
                <w:bCs/>
                <w:sz w:val="24"/>
                <w:szCs w:val="24"/>
                <w:highlight w:val="none"/>
              </w:rPr>
            </w:pPr>
            <w:r>
              <w:rPr>
                <w:rFonts w:hint="eastAsia" w:ascii="宋体" w:hAnsi="宋体" w:cs="宋体"/>
                <w:bCs/>
                <w:sz w:val="24"/>
                <w:szCs w:val="24"/>
                <w:highlight w:val="none"/>
              </w:rPr>
              <w:t xml:space="preserve">③系统规划与管理师证书（计算机技术与软件专业技术资格(水平)考试）；</w:t>
            </w:r>
            <w:r/>
          </w:p>
          <w:p>
            <w:pPr>
              <w:rPr>
                <w:rFonts w:ascii="宋体" w:hAnsi="宋体" w:cs="宋体"/>
                <w:bCs/>
                <w:sz w:val="24"/>
                <w:szCs w:val="24"/>
                <w:highlight w:val="none"/>
              </w:rPr>
            </w:pPr>
            <w:r>
              <w:rPr>
                <w:rFonts w:hint="eastAsia" w:ascii="宋体" w:hAnsi="宋体" w:cs="宋体"/>
                <w:bCs/>
                <w:sz w:val="24"/>
                <w:szCs w:val="24"/>
                <w:highlight w:val="none"/>
              </w:rPr>
              <w:t xml:space="preserve">④数据库系统工程师证书（计算机技术与软件专业技术资格(水平)考试）；</w:t>
            </w:r>
            <w:r/>
          </w:p>
          <w:p>
            <w:pPr>
              <w:rPr>
                <w:rFonts w:ascii="宋体" w:hAnsi="宋体" w:cs="宋体"/>
                <w:bCs/>
                <w:sz w:val="24"/>
                <w:szCs w:val="24"/>
                <w:highlight w:val="none"/>
              </w:rPr>
            </w:pPr>
            <w:r>
              <w:rPr>
                <w:rFonts w:hint="eastAsia" w:ascii="宋体" w:hAnsi="宋体" w:cs="宋体"/>
                <w:bCs/>
                <w:sz w:val="24"/>
                <w:szCs w:val="24"/>
                <w:highlight w:val="none"/>
              </w:rPr>
              <w:t xml:space="preserve">⑤网络规划设计师（计算机技术与软件专业技术资格（水平）考试）；</w:t>
            </w:r>
            <w:r/>
          </w:p>
          <w:p>
            <w:pPr>
              <w:rPr>
                <w:rFonts w:ascii="宋体" w:hAnsi="宋体" w:cs="宋体"/>
                <w:bCs/>
                <w:sz w:val="24"/>
                <w:szCs w:val="24"/>
                <w:highlight w:val="none"/>
              </w:rPr>
            </w:pPr>
            <w:r>
              <w:rPr>
                <w:rFonts w:hint="eastAsia" w:ascii="宋体" w:hAnsi="宋体" w:cs="宋体"/>
                <w:bCs/>
                <w:sz w:val="24"/>
                <w:szCs w:val="24"/>
                <w:highlight w:val="none"/>
              </w:rPr>
              <w:fldChar w:fldCharType="begin"/>
            </w:r>
            <w:r>
              <w:rPr>
                <w:rFonts w:hint="eastAsia" w:ascii="宋体" w:hAnsi="宋体" w:cs="宋体"/>
                <w:bCs/>
                <w:sz w:val="24"/>
                <w:szCs w:val="24"/>
                <w:highlight w:val="none"/>
              </w:rPr>
              <w:instrText xml:space="preserve"> = 6 \* GB3 </w:instrText>
            </w:r>
            <w:r>
              <w:rPr>
                <w:rFonts w:hint="eastAsia" w:ascii="宋体" w:hAnsi="宋体" w:cs="宋体"/>
                <w:bCs/>
                <w:sz w:val="24"/>
                <w:szCs w:val="24"/>
                <w:highlight w:val="none"/>
              </w:rPr>
              <w:fldChar w:fldCharType="separate"/>
            </w:r>
            <w:r>
              <w:rPr>
                <w:rFonts w:hint="eastAsia" w:ascii="宋体" w:hAnsi="宋体" w:cs="宋体"/>
                <w:bCs/>
                <w:sz w:val="24"/>
                <w:szCs w:val="24"/>
                <w:highlight w:val="none"/>
              </w:rPr>
              <w:t xml:space="preserve">⑥</w:t>
            </w:r>
            <w:r>
              <w:rPr>
                <w:rFonts w:hint="eastAsia" w:ascii="宋体" w:hAnsi="宋体" w:cs="宋体"/>
                <w:bCs/>
                <w:sz w:val="24"/>
                <w:szCs w:val="24"/>
                <w:highlight w:val="none"/>
              </w:rPr>
              <w:fldChar w:fldCharType="end"/>
            </w:r>
            <w:r>
              <w:rPr>
                <w:rFonts w:hint="eastAsia" w:ascii="宋体" w:hAnsi="宋体" w:cs="宋体"/>
                <w:bCs/>
                <w:sz w:val="24"/>
                <w:szCs w:val="24"/>
                <w:highlight w:val="none"/>
              </w:rPr>
              <w:t xml:space="preserve">系统集成项目管理工程师（计算机技术与软件专业技术资格(水平)考试）；</w:t>
            </w:r>
            <w:r/>
          </w:p>
          <w:p>
            <w:pPr>
              <w:rPr>
                <w:rFonts w:ascii="宋体" w:hAnsi="宋体" w:cs="宋体"/>
                <w:bCs/>
                <w:sz w:val="24"/>
                <w:szCs w:val="24"/>
                <w:highlight w:val="none"/>
              </w:rPr>
            </w:pPr>
            <w:r>
              <w:rPr>
                <w:rFonts w:hint="eastAsia" w:ascii="宋体" w:hAnsi="宋体" w:cs="宋体"/>
                <w:bCs/>
                <w:sz w:val="24"/>
                <w:szCs w:val="24"/>
                <w:highlight w:val="none"/>
              </w:rPr>
              <w:t xml:space="preserve">⑦注册信息安全管理人员（CISO)证书(中国信息安全测评中心)。</w:t>
            </w:r>
            <w:r/>
          </w:p>
          <w:p>
            <w:pPr>
              <w:rPr>
                <w:rFonts w:ascii="宋体" w:hAnsi="宋体" w:cs="宋体"/>
                <w:bCs/>
                <w:sz w:val="24"/>
                <w:szCs w:val="24"/>
                <w:highlight w:val="none"/>
              </w:rPr>
            </w:pPr>
            <w:r>
              <w:rPr>
                <w:rFonts w:hint="eastAsia" w:ascii="宋体" w:hAnsi="宋体" w:cs="宋体"/>
                <w:bCs/>
                <w:sz w:val="24"/>
                <w:szCs w:val="24"/>
                <w:highlight w:val="none"/>
              </w:rPr>
              <w:t xml:space="preserve">每有一项得1分，满分7分。一人多证的最多按1项计分。</w:t>
            </w:r>
            <w:r/>
          </w:p>
          <w:p>
            <w:pPr>
              <w:rPr>
                <w:rFonts w:ascii="宋体" w:hAnsi="宋体" w:cs="宋体"/>
                <w:bCs/>
                <w:sz w:val="24"/>
                <w:szCs w:val="24"/>
                <w:highlight w:val="none"/>
              </w:rPr>
            </w:pPr>
            <w:r>
              <w:rPr>
                <w:b/>
                <w:bCs/>
                <w:color w:val="000000"/>
                <w:sz w:val="24"/>
                <w:highlight w:val="none"/>
              </w:rPr>
              <w:t xml:space="preserve">（提供有效的证书原件及投标人近</w:t>
            </w:r>
            <w:r>
              <w:rPr>
                <w:rFonts w:hint="eastAsia"/>
                <w:b/>
                <w:bCs/>
                <w:color w:val="000000"/>
                <w:sz w:val="24"/>
                <w:highlight w:val="none"/>
              </w:rPr>
              <w:t xml:space="preserve">3个月</w:t>
            </w:r>
            <w:r>
              <w:rPr>
                <w:b/>
                <w:bCs/>
                <w:color w:val="000000"/>
                <w:sz w:val="24"/>
                <w:highlight w:val="none"/>
              </w:rPr>
              <w:t xml:space="preserve">内任意</w:t>
            </w:r>
            <w:r>
              <w:rPr>
                <w:rFonts w:hint="eastAsia"/>
                <w:b/>
                <w:bCs/>
                <w:color w:val="000000"/>
                <w:sz w:val="24"/>
                <w:highlight w:val="none"/>
              </w:rPr>
              <w:t xml:space="preserve">1</w:t>
            </w:r>
            <w:r>
              <w:rPr>
                <w:b/>
                <w:bCs/>
                <w:color w:val="000000"/>
                <w:sz w:val="24"/>
                <w:highlight w:val="none"/>
              </w:rPr>
              <w:t xml:space="preserve">个月为其缴纳的社保证明材料原件，扫描上传。）</w:t>
            </w:r>
            <w:r/>
          </w:p>
        </w:tc>
      </w:tr>
      <w:tr>
        <w:trPr>
          <w:jc w:val="center"/>
          <w:trHeight w:val="1459"/>
        </w:trPr>
        <w:tc>
          <w:tcPr>
            <w:shd w:val="clear" w:color="auto" w:fill="ffffff"/>
            <w:tcW w:w="1980" w:type="dxa"/>
            <w:vAlign w:val="center"/>
            <w:textDirection w:val="lrTb"/>
            <w:noWrap w:val="false"/>
          </w:tcPr>
          <w:p>
            <w:pPr>
              <w:jc w:val="center"/>
              <w:rPr>
                <w:rFonts w:ascii="宋体" w:hAnsi="宋体" w:cs="宋体"/>
                <w:b/>
                <w:bCs/>
                <w:sz w:val="24"/>
                <w:szCs w:val="24"/>
                <w:highlight w:val="none"/>
              </w:rPr>
            </w:pPr>
            <w:r>
              <w:rPr>
                <w:rFonts w:hint="eastAsia" w:ascii="宋体" w:hAnsi="宋体" w:cs="宋体"/>
                <w:b/>
                <w:bCs/>
                <w:sz w:val="24"/>
                <w:szCs w:val="24"/>
                <w:highlight w:val="none"/>
              </w:rPr>
              <w:t xml:space="preserve">监理方案</w:t>
            </w:r>
            <w:r/>
          </w:p>
          <w:p>
            <w:pPr>
              <w:jc w:val="center"/>
              <w:rPr>
                <w:rFonts w:ascii="宋体" w:hAnsi="宋体" w:cs="宋体"/>
                <w:b/>
                <w:bCs/>
                <w:sz w:val="24"/>
                <w:szCs w:val="24"/>
                <w:highlight w:val="none"/>
              </w:rPr>
            </w:pPr>
            <w:r>
              <w:rPr>
                <w:rFonts w:hint="eastAsia" w:ascii="宋体" w:hAnsi="宋体" w:cs="宋体"/>
                <w:b/>
                <w:bCs/>
                <w:sz w:val="24"/>
                <w:szCs w:val="24"/>
                <w:highlight w:val="none"/>
              </w:rPr>
              <w:t xml:space="preserve">（40分）</w:t>
            </w:r>
            <w:r/>
          </w:p>
        </w:tc>
        <w:tc>
          <w:tcPr>
            <w:shd w:val="clear" w:color="auto" w:fill="ffffff"/>
            <w:tcW w:w="7035" w:type="dxa"/>
            <w:vAlign w:val="center"/>
            <w:textDirection w:val="lrTb"/>
            <w:noWrap w:val="false"/>
          </w:tcPr>
          <w:p>
            <w:pPr>
              <w:rPr>
                <w:rFonts w:ascii="宋体" w:hAnsi="宋体" w:cs="宋体"/>
                <w:bCs/>
                <w:sz w:val="24"/>
                <w:szCs w:val="24"/>
                <w:highlight w:val="none"/>
              </w:rPr>
            </w:pPr>
            <w:r>
              <w:rPr>
                <w:rFonts w:hint="eastAsia" w:ascii="宋体" w:hAnsi="宋体" w:cs="宋体"/>
                <w:bCs/>
                <w:sz w:val="24"/>
                <w:szCs w:val="24"/>
                <w:highlight w:val="none"/>
              </w:rPr>
              <w:t xml:space="preserve">1、投标人应根据招标文件要求提供项目</w:t>
            </w:r>
            <w:r>
              <w:rPr>
                <w:rFonts w:hint="eastAsia" w:ascii="宋体" w:hAnsi="宋体" w:cs="宋体"/>
                <w:b/>
                <w:sz w:val="24"/>
                <w:szCs w:val="24"/>
                <w:highlight w:val="none"/>
              </w:rPr>
              <w:t xml:space="preserve">质量控制</w:t>
            </w:r>
            <w:r>
              <w:rPr>
                <w:rFonts w:hint="eastAsia" w:ascii="宋体" w:hAnsi="宋体" w:cs="宋体"/>
                <w:bCs/>
                <w:sz w:val="24"/>
                <w:szCs w:val="24"/>
                <w:highlight w:val="none"/>
              </w:rPr>
              <w:t xml:space="preserve">措施方案：</w:t>
            </w:r>
            <w:r/>
          </w:p>
          <w:p>
            <w:pPr>
              <w:rPr>
                <w:rFonts w:ascii="宋体" w:hAnsi="宋体" w:cs="宋体"/>
                <w:bCs/>
                <w:sz w:val="24"/>
                <w:szCs w:val="24"/>
                <w:highlight w:val="none"/>
              </w:rPr>
            </w:pPr>
            <w:r>
              <w:rPr>
                <w:rFonts w:hint="eastAsia" w:ascii="宋体" w:hAnsi="宋体" w:cs="宋体"/>
                <w:bCs/>
                <w:sz w:val="24"/>
                <w:szCs w:val="24"/>
                <w:highlight w:val="none"/>
              </w:rPr>
              <w:t xml:space="preserve">优于招标文件要求的得5分；</w:t>
            </w:r>
            <w:r/>
          </w:p>
          <w:p>
            <w:pPr>
              <w:rPr>
                <w:rFonts w:ascii="宋体" w:hAnsi="宋体" w:cs="宋体"/>
                <w:bCs/>
                <w:sz w:val="24"/>
                <w:szCs w:val="24"/>
                <w:highlight w:val="none"/>
              </w:rPr>
            </w:pPr>
            <w:r>
              <w:rPr>
                <w:rFonts w:hint="eastAsia" w:ascii="宋体" w:hAnsi="宋体" w:cs="宋体"/>
                <w:bCs/>
                <w:sz w:val="24"/>
                <w:szCs w:val="24"/>
                <w:highlight w:val="none"/>
              </w:rPr>
              <w:t xml:space="preserve">符合招标文件要求的得3分；</w:t>
            </w:r>
            <w:r/>
          </w:p>
          <w:p>
            <w:pPr>
              <w:rPr>
                <w:rFonts w:ascii="宋体" w:hAnsi="宋体" w:cs="宋体"/>
                <w:bCs/>
                <w:sz w:val="24"/>
                <w:szCs w:val="24"/>
                <w:highlight w:val="none"/>
              </w:rPr>
            </w:pPr>
            <w:r>
              <w:rPr>
                <w:rFonts w:hint="eastAsia" w:ascii="宋体" w:hAnsi="宋体" w:cs="宋体"/>
                <w:bCs/>
                <w:sz w:val="24"/>
                <w:szCs w:val="24"/>
                <w:highlight w:val="none"/>
              </w:rPr>
              <w:t xml:space="preserve">不符合招标文件要求或未提供的不得分。</w:t>
            </w:r>
            <w:r/>
          </w:p>
          <w:p>
            <w:pPr>
              <w:rPr>
                <w:rFonts w:ascii="宋体" w:hAnsi="宋体" w:cs="宋体"/>
                <w:bCs/>
                <w:sz w:val="24"/>
                <w:szCs w:val="24"/>
                <w:highlight w:val="none"/>
              </w:rPr>
            </w:pPr>
            <w:r>
              <w:rPr>
                <w:rFonts w:hint="eastAsia" w:ascii="宋体" w:hAnsi="宋体" w:cs="宋体"/>
                <w:bCs/>
                <w:sz w:val="24"/>
                <w:szCs w:val="24"/>
                <w:highlight w:val="none"/>
              </w:rPr>
              <w:t xml:space="preserve">2、投标人应根据招标文件要求提供项目</w:t>
            </w:r>
            <w:r>
              <w:rPr>
                <w:rFonts w:hint="eastAsia" w:ascii="宋体" w:hAnsi="宋体" w:cs="宋体"/>
                <w:b/>
                <w:sz w:val="24"/>
                <w:szCs w:val="24"/>
                <w:highlight w:val="none"/>
              </w:rPr>
              <w:t xml:space="preserve">进度控制</w:t>
            </w:r>
            <w:r>
              <w:rPr>
                <w:rFonts w:hint="eastAsia" w:ascii="宋体" w:hAnsi="宋体" w:cs="宋体"/>
                <w:bCs/>
                <w:sz w:val="24"/>
                <w:szCs w:val="24"/>
                <w:highlight w:val="none"/>
              </w:rPr>
              <w:t xml:space="preserve">措施方案：</w:t>
            </w:r>
            <w:r/>
          </w:p>
          <w:p>
            <w:pPr>
              <w:rPr>
                <w:rFonts w:ascii="宋体" w:hAnsi="宋体" w:cs="宋体"/>
                <w:bCs/>
                <w:sz w:val="24"/>
                <w:szCs w:val="24"/>
                <w:highlight w:val="none"/>
              </w:rPr>
            </w:pPr>
            <w:r>
              <w:rPr>
                <w:rFonts w:hint="eastAsia" w:ascii="宋体" w:hAnsi="宋体" w:cs="宋体"/>
                <w:bCs/>
                <w:sz w:val="24"/>
                <w:szCs w:val="24"/>
                <w:highlight w:val="none"/>
              </w:rPr>
              <w:t xml:space="preserve">优于招标文件要求的得5分；</w:t>
            </w:r>
            <w:r/>
          </w:p>
          <w:p>
            <w:pPr>
              <w:rPr>
                <w:rFonts w:ascii="宋体" w:hAnsi="宋体" w:cs="宋体"/>
                <w:bCs/>
                <w:sz w:val="24"/>
                <w:szCs w:val="24"/>
                <w:highlight w:val="none"/>
              </w:rPr>
            </w:pPr>
            <w:r>
              <w:rPr>
                <w:rFonts w:hint="eastAsia" w:ascii="宋体" w:hAnsi="宋体" w:cs="宋体"/>
                <w:bCs/>
                <w:sz w:val="24"/>
                <w:szCs w:val="24"/>
                <w:highlight w:val="none"/>
              </w:rPr>
              <w:t xml:space="preserve">符合招标文件要求的得3分；</w:t>
            </w:r>
            <w:r/>
          </w:p>
          <w:p>
            <w:pPr>
              <w:rPr>
                <w:rFonts w:ascii="宋体" w:hAnsi="宋体" w:cs="宋体"/>
                <w:bCs/>
                <w:sz w:val="24"/>
                <w:szCs w:val="24"/>
                <w:highlight w:val="none"/>
              </w:rPr>
            </w:pPr>
            <w:r>
              <w:rPr>
                <w:rFonts w:hint="eastAsia" w:ascii="宋体" w:hAnsi="宋体" w:cs="宋体"/>
                <w:bCs/>
                <w:sz w:val="24"/>
                <w:szCs w:val="24"/>
                <w:highlight w:val="none"/>
              </w:rPr>
              <w:t xml:space="preserve">不符合招标文件要求或未提供的不得分。</w:t>
            </w:r>
            <w:r/>
          </w:p>
          <w:p>
            <w:pPr>
              <w:rPr>
                <w:rFonts w:ascii="宋体" w:hAnsi="宋体" w:cs="宋体"/>
                <w:bCs/>
                <w:sz w:val="24"/>
                <w:szCs w:val="24"/>
                <w:highlight w:val="none"/>
              </w:rPr>
            </w:pPr>
            <w:r>
              <w:rPr>
                <w:rFonts w:hint="eastAsia" w:ascii="宋体" w:hAnsi="宋体" w:cs="宋体"/>
                <w:bCs/>
                <w:sz w:val="24"/>
                <w:szCs w:val="24"/>
                <w:highlight w:val="none"/>
              </w:rPr>
              <w:t xml:space="preserve">3、投标人应根据招标文件要求提供项目</w:t>
            </w:r>
            <w:r>
              <w:rPr>
                <w:rFonts w:hint="eastAsia" w:ascii="宋体" w:hAnsi="宋体" w:cs="宋体"/>
                <w:b/>
                <w:sz w:val="24"/>
                <w:szCs w:val="24"/>
                <w:highlight w:val="none"/>
              </w:rPr>
              <w:t xml:space="preserve">变更控制</w:t>
            </w:r>
            <w:r>
              <w:rPr>
                <w:rFonts w:hint="eastAsia" w:ascii="宋体" w:hAnsi="宋体" w:cs="宋体"/>
                <w:bCs/>
                <w:sz w:val="24"/>
                <w:szCs w:val="24"/>
                <w:highlight w:val="none"/>
              </w:rPr>
              <w:t xml:space="preserve">措施方案：</w:t>
            </w:r>
            <w:r/>
          </w:p>
          <w:p>
            <w:pPr>
              <w:rPr>
                <w:rFonts w:ascii="宋体" w:hAnsi="宋体" w:cs="宋体"/>
                <w:bCs/>
                <w:sz w:val="24"/>
                <w:szCs w:val="24"/>
                <w:highlight w:val="none"/>
              </w:rPr>
            </w:pPr>
            <w:r>
              <w:rPr>
                <w:rFonts w:hint="eastAsia" w:ascii="宋体" w:hAnsi="宋体" w:cs="宋体"/>
                <w:bCs/>
                <w:sz w:val="24"/>
                <w:szCs w:val="24"/>
                <w:highlight w:val="none"/>
              </w:rPr>
              <w:t xml:space="preserve">优于招标文件要求的得5分；</w:t>
            </w:r>
            <w:r/>
          </w:p>
          <w:p>
            <w:pPr>
              <w:rPr>
                <w:rFonts w:ascii="宋体" w:hAnsi="宋体" w:cs="宋体"/>
                <w:bCs/>
                <w:sz w:val="24"/>
                <w:szCs w:val="24"/>
                <w:highlight w:val="none"/>
              </w:rPr>
            </w:pPr>
            <w:r>
              <w:rPr>
                <w:rFonts w:hint="eastAsia" w:ascii="宋体" w:hAnsi="宋体" w:cs="宋体"/>
                <w:bCs/>
                <w:sz w:val="24"/>
                <w:szCs w:val="24"/>
                <w:highlight w:val="none"/>
              </w:rPr>
              <w:t xml:space="preserve">符合招标文件要求的得3分；</w:t>
            </w:r>
            <w:r/>
          </w:p>
          <w:p>
            <w:pPr>
              <w:rPr>
                <w:rFonts w:ascii="宋体" w:hAnsi="宋体" w:cs="宋体"/>
                <w:bCs/>
                <w:sz w:val="24"/>
                <w:szCs w:val="24"/>
                <w:highlight w:val="none"/>
              </w:rPr>
            </w:pPr>
            <w:r>
              <w:rPr>
                <w:rFonts w:hint="eastAsia" w:ascii="宋体" w:hAnsi="宋体" w:cs="宋体"/>
                <w:bCs/>
                <w:sz w:val="24"/>
                <w:szCs w:val="24"/>
                <w:highlight w:val="none"/>
              </w:rPr>
              <w:t xml:space="preserve">不符合招标文件要求或未提供的不得分。</w:t>
            </w:r>
            <w:r/>
          </w:p>
          <w:p>
            <w:pPr>
              <w:rPr>
                <w:rFonts w:ascii="宋体" w:hAnsi="宋体" w:cs="宋体"/>
                <w:bCs/>
                <w:sz w:val="24"/>
                <w:szCs w:val="24"/>
                <w:highlight w:val="none"/>
              </w:rPr>
            </w:pPr>
            <w:r>
              <w:rPr>
                <w:rFonts w:hint="eastAsia" w:ascii="宋体" w:hAnsi="宋体" w:cs="宋体"/>
                <w:bCs/>
                <w:sz w:val="24"/>
                <w:szCs w:val="24"/>
                <w:highlight w:val="none"/>
              </w:rPr>
              <w:t xml:space="preserve">4、投标人应根据招标文件要求提供项目</w:t>
            </w:r>
            <w:r>
              <w:rPr>
                <w:rFonts w:hint="eastAsia" w:ascii="宋体" w:hAnsi="宋体" w:cs="宋体"/>
                <w:b/>
                <w:sz w:val="24"/>
                <w:szCs w:val="24"/>
                <w:highlight w:val="none"/>
              </w:rPr>
              <w:t xml:space="preserve">合同与信息管理</w:t>
            </w:r>
            <w:r>
              <w:rPr>
                <w:rFonts w:hint="eastAsia" w:ascii="宋体" w:hAnsi="宋体" w:cs="宋体"/>
                <w:bCs/>
                <w:sz w:val="24"/>
                <w:szCs w:val="24"/>
                <w:highlight w:val="none"/>
              </w:rPr>
              <w:t xml:space="preserve">措施方案：</w:t>
            </w:r>
            <w:r/>
          </w:p>
          <w:p>
            <w:pPr>
              <w:rPr>
                <w:rFonts w:ascii="宋体" w:hAnsi="宋体" w:cs="宋体"/>
                <w:bCs/>
                <w:sz w:val="24"/>
                <w:szCs w:val="24"/>
                <w:highlight w:val="none"/>
              </w:rPr>
            </w:pPr>
            <w:r>
              <w:rPr>
                <w:rFonts w:hint="eastAsia" w:ascii="宋体" w:hAnsi="宋体" w:cs="宋体"/>
                <w:bCs/>
                <w:sz w:val="24"/>
                <w:szCs w:val="24"/>
                <w:highlight w:val="none"/>
              </w:rPr>
              <w:t xml:space="preserve">优于招标文件要求的得5分；</w:t>
            </w:r>
            <w:r/>
          </w:p>
          <w:p>
            <w:pPr>
              <w:rPr>
                <w:rFonts w:ascii="宋体" w:hAnsi="宋体" w:cs="宋体"/>
                <w:bCs/>
                <w:sz w:val="24"/>
                <w:szCs w:val="24"/>
                <w:highlight w:val="none"/>
              </w:rPr>
            </w:pPr>
            <w:r>
              <w:rPr>
                <w:rFonts w:hint="eastAsia" w:ascii="宋体" w:hAnsi="宋体" w:cs="宋体"/>
                <w:bCs/>
                <w:sz w:val="24"/>
                <w:szCs w:val="24"/>
                <w:highlight w:val="none"/>
              </w:rPr>
              <w:t xml:space="preserve">符合招标文件要求的得3分；</w:t>
            </w:r>
            <w:r/>
          </w:p>
          <w:p>
            <w:pPr>
              <w:rPr>
                <w:rFonts w:ascii="宋体" w:hAnsi="宋体" w:cs="宋体"/>
                <w:bCs/>
                <w:sz w:val="24"/>
                <w:szCs w:val="24"/>
                <w:highlight w:val="none"/>
              </w:rPr>
            </w:pPr>
            <w:r>
              <w:rPr>
                <w:rFonts w:hint="eastAsia" w:ascii="宋体" w:hAnsi="宋体" w:cs="宋体"/>
                <w:bCs/>
                <w:sz w:val="24"/>
                <w:szCs w:val="24"/>
                <w:highlight w:val="none"/>
              </w:rPr>
              <w:t xml:space="preserve">不符合招标文件要求或未提供的不得分。</w:t>
            </w:r>
            <w:r/>
          </w:p>
          <w:p>
            <w:pPr>
              <w:rPr>
                <w:rFonts w:ascii="宋体" w:hAnsi="宋体" w:cs="宋体"/>
                <w:bCs/>
                <w:sz w:val="24"/>
                <w:szCs w:val="24"/>
                <w:highlight w:val="none"/>
              </w:rPr>
            </w:pPr>
            <w:r>
              <w:rPr>
                <w:rFonts w:hint="eastAsia" w:ascii="宋体" w:hAnsi="宋体" w:cs="宋体"/>
                <w:bCs/>
                <w:sz w:val="24"/>
                <w:szCs w:val="24"/>
                <w:highlight w:val="none"/>
              </w:rPr>
              <w:t xml:space="preserve">5、投标人应根据招标文件要求提供</w:t>
            </w:r>
            <w:r>
              <w:rPr>
                <w:rFonts w:hint="eastAsia" w:ascii="宋体" w:hAnsi="宋体" w:cs="宋体"/>
                <w:b/>
                <w:sz w:val="24"/>
                <w:szCs w:val="24"/>
                <w:highlight w:val="none"/>
              </w:rPr>
              <w:t xml:space="preserve">安全生产</w:t>
            </w:r>
            <w:r>
              <w:rPr>
                <w:rFonts w:hint="eastAsia" w:ascii="宋体" w:hAnsi="宋体" w:cs="宋体"/>
                <w:bCs/>
                <w:sz w:val="24"/>
                <w:szCs w:val="24"/>
                <w:highlight w:val="none"/>
              </w:rPr>
              <w:t xml:space="preserve">控制措施方案：</w:t>
            </w:r>
            <w:r/>
          </w:p>
          <w:p>
            <w:pPr>
              <w:rPr>
                <w:rFonts w:ascii="宋体" w:hAnsi="宋体" w:cs="宋体"/>
                <w:bCs/>
                <w:sz w:val="24"/>
                <w:szCs w:val="24"/>
                <w:highlight w:val="none"/>
              </w:rPr>
            </w:pPr>
            <w:r>
              <w:rPr>
                <w:rFonts w:hint="eastAsia" w:ascii="宋体" w:hAnsi="宋体" w:cs="宋体"/>
                <w:bCs/>
                <w:sz w:val="24"/>
                <w:szCs w:val="24"/>
                <w:highlight w:val="none"/>
              </w:rPr>
              <w:t xml:space="preserve">优于招标文件要求的得5分；</w:t>
            </w:r>
            <w:r/>
          </w:p>
          <w:p>
            <w:pPr>
              <w:rPr>
                <w:rFonts w:ascii="宋体" w:hAnsi="宋体" w:cs="宋体"/>
                <w:bCs/>
                <w:sz w:val="24"/>
                <w:szCs w:val="24"/>
                <w:highlight w:val="none"/>
              </w:rPr>
            </w:pPr>
            <w:r>
              <w:rPr>
                <w:rFonts w:hint="eastAsia" w:ascii="宋体" w:hAnsi="宋体" w:cs="宋体"/>
                <w:bCs/>
                <w:sz w:val="24"/>
                <w:szCs w:val="24"/>
                <w:highlight w:val="none"/>
              </w:rPr>
              <w:t xml:space="preserve">符合招标文件要求的得3分；</w:t>
            </w:r>
            <w:r/>
          </w:p>
          <w:p>
            <w:pPr>
              <w:rPr>
                <w:rFonts w:ascii="宋体" w:hAnsi="宋体" w:cs="宋体"/>
                <w:bCs/>
                <w:sz w:val="24"/>
                <w:szCs w:val="24"/>
                <w:highlight w:val="none"/>
              </w:rPr>
            </w:pPr>
            <w:r>
              <w:rPr>
                <w:rFonts w:hint="eastAsia" w:ascii="宋体" w:hAnsi="宋体" w:cs="宋体"/>
                <w:bCs/>
                <w:sz w:val="24"/>
                <w:szCs w:val="24"/>
                <w:highlight w:val="none"/>
              </w:rPr>
              <w:t xml:space="preserve">不符合招标文件要求或未提供的不得分。</w:t>
            </w:r>
            <w:r/>
          </w:p>
          <w:p>
            <w:pPr>
              <w:rPr>
                <w:rFonts w:ascii="宋体" w:hAnsi="宋体" w:cs="宋体"/>
                <w:bCs/>
                <w:sz w:val="24"/>
                <w:szCs w:val="24"/>
                <w:highlight w:val="none"/>
              </w:rPr>
            </w:pPr>
            <w:r>
              <w:rPr>
                <w:rFonts w:hint="eastAsia" w:ascii="宋体" w:hAnsi="宋体" w:cs="宋体"/>
                <w:bCs/>
                <w:sz w:val="24"/>
                <w:szCs w:val="24"/>
                <w:highlight w:val="none"/>
              </w:rPr>
              <w:t xml:space="preserve">6、投标人应根据招标文件要求提供</w:t>
            </w:r>
            <w:r>
              <w:rPr>
                <w:rFonts w:hint="eastAsia" w:ascii="宋体" w:hAnsi="宋体" w:cs="宋体"/>
                <w:b/>
                <w:sz w:val="24"/>
                <w:szCs w:val="24"/>
                <w:highlight w:val="none"/>
              </w:rPr>
              <w:t xml:space="preserve">监理服务电子化</w:t>
            </w:r>
            <w:r>
              <w:rPr>
                <w:rFonts w:hint="eastAsia" w:ascii="宋体" w:hAnsi="宋体" w:cs="宋体"/>
                <w:bCs/>
                <w:sz w:val="24"/>
                <w:szCs w:val="24"/>
                <w:highlight w:val="none"/>
              </w:rPr>
              <w:t xml:space="preserve">解决方案：</w:t>
            </w:r>
            <w:r/>
          </w:p>
          <w:p>
            <w:pPr>
              <w:rPr>
                <w:rFonts w:ascii="宋体" w:hAnsi="宋体" w:cs="宋体"/>
                <w:bCs/>
                <w:sz w:val="24"/>
                <w:szCs w:val="24"/>
                <w:highlight w:val="none"/>
              </w:rPr>
            </w:pPr>
            <w:r>
              <w:rPr>
                <w:rFonts w:hint="eastAsia" w:ascii="宋体" w:hAnsi="宋体" w:cs="宋体"/>
                <w:bCs/>
                <w:sz w:val="24"/>
                <w:szCs w:val="24"/>
                <w:highlight w:val="none"/>
              </w:rPr>
              <w:t xml:space="preserve">优于招标文件要求的得5分；</w:t>
            </w:r>
            <w:r/>
          </w:p>
          <w:p>
            <w:pPr>
              <w:rPr>
                <w:rFonts w:ascii="宋体" w:hAnsi="宋体" w:cs="宋体"/>
                <w:bCs/>
                <w:sz w:val="24"/>
                <w:szCs w:val="24"/>
                <w:highlight w:val="none"/>
              </w:rPr>
            </w:pPr>
            <w:r>
              <w:rPr>
                <w:rFonts w:hint="eastAsia" w:ascii="宋体" w:hAnsi="宋体" w:cs="宋体"/>
                <w:bCs/>
                <w:sz w:val="24"/>
                <w:szCs w:val="24"/>
                <w:highlight w:val="none"/>
              </w:rPr>
              <w:t xml:space="preserve">符合招标文件要求的得3分；</w:t>
            </w:r>
            <w:r/>
          </w:p>
          <w:p>
            <w:pPr>
              <w:rPr>
                <w:rFonts w:ascii="宋体" w:hAnsi="宋体" w:cs="宋体"/>
                <w:bCs/>
                <w:sz w:val="24"/>
                <w:szCs w:val="24"/>
                <w:highlight w:val="none"/>
              </w:rPr>
            </w:pPr>
            <w:r>
              <w:rPr>
                <w:rFonts w:hint="eastAsia" w:ascii="宋体" w:hAnsi="宋体" w:cs="宋体"/>
                <w:bCs/>
                <w:sz w:val="24"/>
                <w:szCs w:val="24"/>
                <w:highlight w:val="none"/>
              </w:rPr>
              <w:t xml:space="preserve">不符合招标文件要求或未提供的不得分。</w:t>
            </w:r>
            <w:r/>
          </w:p>
          <w:p>
            <w:pPr>
              <w:rPr>
                <w:rFonts w:ascii="宋体" w:hAnsi="宋体" w:cs="宋体"/>
                <w:bCs/>
                <w:sz w:val="24"/>
                <w:szCs w:val="24"/>
                <w:highlight w:val="none"/>
              </w:rPr>
            </w:pPr>
            <w:r>
              <w:rPr>
                <w:rFonts w:hint="eastAsia" w:ascii="宋体" w:hAnsi="宋体" w:cs="宋体"/>
                <w:bCs/>
                <w:sz w:val="24"/>
                <w:szCs w:val="24"/>
                <w:highlight w:val="none"/>
              </w:rPr>
              <w:t xml:space="preserve">7、投标人应根据招标文件要求提供现场</w:t>
            </w:r>
            <w:r>
              <w:rPr>
                <w:rFonts w:hint="eastAsia" w:ascii="宋体" w:hAnsi="宋体" w:cs="宋体"/>
                <w:b/>
                <w:sz w:val="24"/>
                <w:szCs w:val="24"/>
                <w:highlight w:val="none"/>
              </w:rPr>
              <w:t xml:space="preserve">组织协调方法及措施</w:t>
            </w:r>
            <w:r>
              <w:rPr>
                <w:rFonts w:hint="eastAsia" w:ascii="宋体" w:hAnsi="宋体" w:cs="宋体"/>
                <w:bCs/>
                <w:sz w:val="24"/>
                <w:szCs w:val="24"/>
                <w:highlight w:val="none"/>
              </w:rPr>
              <w:t xml:space="preserve">方案： </w:t>
            </w:r>
            <w:r/>
          </w:p>
          <w:p>
            <w:pPr>
              <w:rPr>
                <w:rFonts w:ascii="宋体" w:hAnsi="宋体" w:cs="宋体"/>
                <w:bCs/>
                <w:sz w:val="24"/>
                <w:szCs w:val="24"/>
                <w:highlight w:val="none"/>
              </w:rPr>
            </w:pPr>
            <w:r>
              <w:rPr>
                <w:rFonts w:hint="eastAsia" w:ascii="宋体" w:hAnsi="宋体" w:cs="宋体"/>
                <w:bCs/>
                <w:sz w:val="24"/>
                <w:szCs w:val="24"/>
                <w:highlight w:val="none"/>
              </w:rPr>
              <w:t xml:space="preserve">优于招标文件要求的得5分；</w:t>
            </w:r>
            <w:r/>
          </w:p>
          <w:p>
            <w:pPr>
              <w:rPr>
                <w:rFonts w:ascii="宋体" w:hAnsi="宋体" w:cs="宋体"/>
                <w:bCs/>
                <w:sz w:val="24"/>
                <w:szCs w:val="24"/>
                <w:highlight w:val="none"/>
              </w:rPr>
            </w:pPr>
            <w:r>
              <w:rPr>
                <w:rFonts w:hint="eastAsia" w:ascii="宋体" w:hAnsi="宋体" w:cs="宋体"/>
                <w:bCs/>
                <w:sz w:val="24"/>
                <w:szCs w:val="24"/>
                <w:highlight w:val="none"/>
              </w:rPr>
              <w:t xml:space="preserve">符合招标文件要求的得3分；</w:t>
            </w:r>
            <w:r/>
          </w:p>
          <w:p>
            <w:pPr>
              <w:rPr>
                <w:rFonts w:ascii="宋体" w:hAnsi="宋体" w:cs="宋体"/>
                <w:bCs/>
                <w:sz w:val="24"/>
                <w:szCs w:val="24"/>
                <w:highlight w:val="none"/>
              </w:rPr>
            </w:pPr>
            <w:r>
              <w:rPr>
                <w:rFonts w:hint="eastAsia" w:ascii="宋体" w:hAnsi="宋体" w:cs="宋体"/>
                <w:bCs/>
                <w:sz w:val="24"/>
                <w:szCs w:val="24"/>
                <w:highlight w:val="none"/>
              </w:rPr>
              <w:t xml:space="preserve">不符合招标文件要求或未提供的不得分。</w:t>
            </w:r>
            <w:r/>
          </w:p>
          <w:p>
            <w:pPr>
              <w:rPr>
                <w:rFonts w:ascii="宋体" w:hAnsi="宋体" w:cs="宋体"/>
                <w:bCs/>
                <w:sz w:val="24"/>
                <w:szCs w:val="24"/>
                <w:highlight w:val="none"/>
              </w:rPr>
            </w:pPr>
            <w:r>
              <w:rPr>
                <w:rFonts w:hint="eastAsia" w:ascii="宋体" w:hAnsi="宋体" w:cs="宋体"/>
                <w:bCs/>
                <w:sz w:val="24"/>
                <w:szCs w:val="24"/>
                <w:highlight w:val="none"/>
              </w:rPr>
              <w:t xml:space="preserve">8、投标人应根据招标文件要求提供项目</w:t>
            </w:r>
            <w:r>
              <w:rPr>
                <w:rFonts w:hint="eastAsia" w:ascii="宋体" w:hAnsi="宋体" w:cs="宋体"/>
                <w:b/>
                <w:sz w:val="24"/>
                <w:szCs w:val="24"/>
                <w:highlight w:val="none"/>
              </w:rPr>
              <w:t xml:space="preserve">建设实施建议</w:t>
            </w:r>
            <w:r>
              <w:rPr>
                <w:rFonts w:hint="eastAsia" w:ascii="宋体" w:hAnsi="宋体" w:cs="宋体"/>
                <w:bCs/>
                <w:sz w:val="24"/>
                <w:szCs w:val="24"/>
                <w:highlight w:val="none"/>
              </w:rPr>
              <w:t xml:space="preserve">方案： </w:t>
            </w:r>
            <w:r/>
          </w:p>
          <w:p>
            <w:pPr>
              <w:rPr>
                <w:rFonts w:ascii="宋体" w:hAnsi="宋体" w:cs="宋体"/>
                <w:sz w:val="24"/>
                <w:szCs w:val="24"/>
                <w:highlight w:val="none"/>
              </w:rPr>
            </w:pPr>
            <w:r>
              <w:rPr>
                <w:rFonts w:hint="eastAsia" w:ascii="宋体" w:hAnsi="宋体" w:cs="宋体"/>
                <w:bCs/>
                <w:sz w:val="24"/>
                <w:szCs w:val="24"/>
                <w:highlight w:val="none"/>
              </w:rPr>
              <w:t xml:space="preserve">每提供一条优化实施建议得</w:t>
            </w:r>
            <w:r>
              <w:rPr>
                <w:rFonts w:hint="eastAsia" w:ascii="宋体" w:hAnsi="宋体" w:cs="宋体"/>
                <w:bCs/>
                <w:sz w:val="24"/>
                <w:szCs w:val="24"/>
                <w:highlight w:val="none"/>
                <w:lang w:val="en-US" w:eastAsia="zh-CN"/>
              </w:rPr>
              <w:t xml:space="preserve">2.5</w:t>
            </w:r>
            <w:r>
              <w:rPr>
                <w:rFonts w:hint="eastAsia" w:ascii="宋体" w:hAnsi="宋体" w:cs="宋体"/>
                <w:bCs/>
                <w:sz w:val="24"/>
                <w:szCs w:val="24"/>
                <w:highlight w:val="none"/>
              </w:rPr>
              <w:t xml:space="preserve">分，满分5分。</w:t>
            </w:r>
            <w:r/>
          </w:p>
        </w:tc>
      </w:tr>
    </w:tbl>
    <w:p>
      <w:pP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jc w:val="left"/>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jc w:val="left"/>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jc w:val="left"/>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jc w:val="left"/>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jc w:val="left"/>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jc w:val="left"/>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jc w:val="left"/>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jc w:val="left"/>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jc w:val="left"/>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jc w:val="left"/>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jc w:val="left"/>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jc w:val="left"/>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pStyle w:val="983"/>
        <w:rPr>
          <w:rFonts w:ascii="黑体" w:hAnsi="黑体" w:cs="黑体"/>
          <w:color w:val="000000"/>
          <w:szCs w:val="44"/>
          <w:highlight w:val="none"/>
        </w:rPr>
      </w:pPr>
      <w:r>
        <w:rPr>
          <w:rStyle w:val="1021"/>
          <w:rFonts w:ascii="黑体" w:hAnsi="黑体" w:cs="黑体"/>
          <w:highlight w:val="none"/>
        </w:rPr>
        <w:t xml:space="preserve">第六章投标文件格式</w:t>
      </w:r>
      <w:r>
        <w:rPr>
          <w:rFonts w:ascii="黑体" w:hAnsi="黑体" w:cs="黑体"/>
          <w:color w:val="000000"/>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72"/>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72"/>
          <w:highlight w:val="none"/>
        </w:rPr>
        <w:t xml:space="preserve">投标文件</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72"/>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72"/>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6"/>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6"/>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6"/>
          <w:highlight w:val="none"/>
        </w:rPr>
        <w:t xml:space="preserve"> </w:t>
      </w:r>
      <w:r/>
    </w:p>
    <w:p>
      <w:pPr>
        <w:ind w:firstLine="1084"/>
        <w:jc w:val="lef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6"/>
          <w:highlight w:val="none"/>
        </w:rPr>
        <w:t xml:space="preserve">项 目 名 称：</w:t>
      </w:r>
      <w:r>
        <w:rPr>
          <w:rFonts w:ascii="宋体" w:hAnsi="宋体" w:cs="宋体"/>
          <w:b/>
          <w:color w:val="000000"/>
          <w:sz w:val="36"/>
          <w:highlight w:val="none"/>
          <w:u w:val="single"/>
        </w:rPr>
        <w:t xml:space="preserve">               </w:t>
      </w:r>
      <w:r/>
    </w:p>
    <w:p>
      <w:pPr>
        <w:ind w:firstLine="1084"/>
        <w:jc w:val="left"/>
        <w:rPr>
          <w:rFonts w:ascii="宋体" w:hAnsi="宋体" w:cs="宋体"/>
          <w:b/>
          <w:bCs/>
          <w:color w:val="000000"/>
          <w:sz w:val="36"/>
          <w:szCs w:val="36"/>
          <w:highlight w:val="none"/>
          <w:u w:val="single"/>
        </w:rPr>
        <w:pBdr>
          <w:top w:val="none" w:color="000000" w:sz="0" w:space="0"/>
          <w:left w:val="none" w:color="000000" w:sz="0" w:space="0"/>
          <w:bottom w:val="none" w:color="000000" w:sz="0" w:space="0"/>
          <w:right w:val="none" w:color="000000" w:sz="0" w:space="0"/>
        </w:pBdr>
      </w:pPr>
      <w:r>
        <w:rPr>
          <w:rFonts w:ascii="宋体" w:hAnsi="宋体" w:cs="宋体"/>
          <w:b/>
          <w:color w:val="000000"/>
          <w:sz w:val="36"/>
          <w:highlight w:val="none"/>
        </w:rPr>
        <w:t xml:space="preserve">项 目 编 号：</w:t>
      </w:r>
      <w:r>
        <w:rPr>
          <w:rFonts w:ascii="宋体" w:hAnsi="宋体" w:cs="宋体"/>
          <w:b/>
          <w:color w:val="000000"/>
          <w:sz w:val="36"/>
          <w:highlight w:val="none"/>
          <w:u w:val="single"/>
        </w:rPr>
        <w:t xml:space="preserve">              </w:t>
      </w:r>
      <w:r/>
    </w:p>
    <w:p>
      <w:pPr>
        <w:ind w:firstLine="1084"/>
        <w:jc w:val="left"/>
        <w:rPr>
          <w:rFonts w:ascii="宋体" w:hAnsi="宋体" w:cs="宋体"/>
          <w:b/>
          <w:bCs/>
          <w:color w:val="000000"/>
          <w:sz w:val="36"/>
          <w:szCs w:val="36"/>
          <w:highlight w:val="none"/>
          <w:u w:val="single"/>
        </w:rPr>
        <w:pBdr>
          <w:top w:val="none" w:color="000000" w:sz="0" w:space="0"/>
          <w:left w:val="none" w:color="000000" w:sz="0" w:space="0"/>
          <w:bottom w:val="none" w:color="000000" w:sz="0" w:space="0"/>
          <w:right w:val="none" w:color="000000" w:sz="0" w:space="0"/>
        </w:pBdr>
      </w:pPr>
      <w:r>
        <w:rPr>
          <w:rFonts w:ascii="宋体" w:hAnsi="宋体" w:cs="宋体"/>
          <w:b/>
          <w:color w:val="000000"/>
          <w:sz w:val="36"/>
          <w:highlight w:val="none"/>
        </w:rPr>
        <w:t xml:space="preserve">投标人名称 ：</w:t>
      </w:r>
      <w:r>
        <w:rPr>
          <w:rFonts w:ascii="宋体" w:hAnsi="宋体" w:cs="宋体"/>
          <w:b/>
          <w:color w:val="000000"/>
          <w:sz w:val="36"/>
          <w:highlight w:val="none"/>
          <w:u w:val="single"/>
        </w:rPr>
        <w:t xml:space="preserve">（加盖CA电子公章）</w:t>
      </w:r>
      <w:r/>
    </w:p>
    <w:p>
      <w:pPr>
        <w:ind w:firstLine="1084"/>
        <w:jc w:val="lef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6"/>
          <w:highlight w:val="none"/>
        </w:rPr>
        <w:t xml:space="preserve">日期 ：</w:t>
      </w:r>
      <w:r>
        <w:rPr>
          <w:rFonts w:ascii="宋体" w:hAnsi="宋体" w:cs="宋体"/>
          <w:b/>
          <w:color w:val="000000"/>
          <w:sz w:val="36"/>
          <w:highlight w:val="none"/>
          <w:u w:val="single"/>
        </w:rPr>
        <w:t xml:space="preserve">               </w:t>
      </w:r>
      <w:r/>
    </w:p>
    <w:p>
      <w:pPr>
        <w:jc w:val="center"/>
        <w:spacing w:line="438"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 </w:t>
      </w:r>
      <w:r/>
    </w:p>
    <w:p>
      <w:pPr>
        <w:spacing w:line="438"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ind w:firstLine="1084"/>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438"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投标文件的组成</w:t>
      </w:r>
      <w:r/>
    </w:p>
    <w:p>
      <w:pPr>
        <w:jc w:val="center"/>
        <w:spacing w:line="438"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 </w:t>
      </w:r>
      <w:r/>
    </w:p>
    <w:p>
      <w:pPr>
        <w:ind w:left="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一、基本目录</w:t>
      </w:r>
      <w:r/>
    </w:p>
    <w:p>
      <w:pPr>
        <w:ind w:left="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1.开标一览表（格式见附件1）</w:t>
      </w:r>
      <w:r/>
    </w:p>
    <w:p>
      <w:pPr>
        <w:ind w:left="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2.投标分项报价表（格式见附件2）</w:t>
      </w:r>
      <w:r/>
    </w:p>
    <w:p>
      <w:pPr>
        <w:ind w:left="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3.技术要求响应及偏离表（格式见附件3）</w:t>
      </w:r>
      <w:r/>
    </w:p>
    <w:p>
      <w:pPr>
        <w:ind w:left="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4.商务要求响应及偏离表（格式见附件4）</w:t>
      </w:r>
      <w:r/>
    </w:p>
    <w:p>
      <w:pPr>
        <w:ind w:left="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5.法人授权书（格式见附件5）</w:t>
      </w:r>
      <w:r/>
    </w:p>
    <w:p>
      <w:pPr>
        <w:ind w:left="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6.投标函（格式见附件6）</w:t>
      </w:r>
      <w:r/>
    </w:p>
    <w:p>
      <w:pPr>
        <w:ind w:left="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7.主要标的信息（格式见附件7）</w:t>
      </w:r>
      <w:r/>
    </w:p>
    <w:p>
      <w:pPr>
        <w:ind w:left="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8.其他</w:t>
      </w:r>
      <w:r/>
    </w:p>
    <w:p>
      <w:pPr>
        <w:ind w:firstLine="200"/>
        <w:spacing w:line="45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****（格式见附件**）</w:t>
      </w:r>
      <w:r/>
    </w:p>
    <w:p>
      <w:pPr>
        <w:ind w:left="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二、资格审查内容</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1.法人或者其他组织的营业执照等证明文件，自然人的身份证明</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2.上一年度的财务状况报告（成立不满一年无需提供）</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4.具备履行合同所必需的设备和专业技术能力的书面声明（格式见附件8）</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5.参加政府采购活动前 3 年内在经营活动中没有重大违法记录的书面声明（格式见附件9）</w:t>
      </w:r>
      <w:r/>
    </w:p>
    <w:p>
      <w:pPr>
        <w:ind w:left="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6.供应商信用承诺函（格式见附件10）</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7.企业报价折扣证明文件：</w:t>
      </w:r>
      <w:r/>
    </w:p>
    <w:p>
      <w:pPr>
        <w:ind w:firstLine="72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中小企业声明函（格式见附件11）。</w:t>
      </w:r>
      <w:r>
        <w:rPr>
          <w:rFonts w:ascii="宋体" w:hAnsi="宋体" w:cs="宋体"/>
          <w:color w:val="ff0000"/>
          <w:sz w:val="24"/>
          <w:highlight w:val="none"/>
        </w:rPr>
        <w:t xml:space="preserve">如果本项目专门面向中小企业采购，则必须提供。</w:t>
      </w:r>
      <w:r/>
    </w:p>
    <w:p>
      <w:pPr>
        <w:ind w:firstLine="72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残疾人福利性单位声明函（格式见附件12）。</w:t>
      </w:r>
      <w:r>
        <w:rPr>
          <w:rFonts w:ascii="宋体" w:hAnsi="宋体" w:cs="宋体"/>
          <w:color w:val="ff0000"/>
          <w:sz w:val="24"/>
          <w:highlight w:val="none"/>
        </w:rPr>
        <w:t xml:space="preserve">如果本项目专门面向中小企业采购，供应商为残疾人福利性单位并提供本单位制造的货物，或者提供其他残疾人福利性单位制造的货物，则必须提供。</w:t>
      </w:r>
      <w:r/>
    </w:p>
    <w:p>
      <w:pPr>
        <w:ind w:firstLine="72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监狱企业的证明文件。</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w:t>
      </w:r>
      <w:r>
        <w:rPr>
          <w:rFonts w:ascii="宋体" w:hAnsi="宋体" w:cs="宋体"/>
          <w:color w:val="000000"/>
          <w:sz w:val="24"/>
          <w:highlight w:val="none"/>
        </w:rPr>
        <w:t xml:space="preserve">.特定资格要求的证明文件。</w:t>
      </w:r>
      <w:r>
        <w:rPr>
          <w:rFonts w:ascii="宋体" w:hAnsi="宋体" w:cs="宋体"/>
          <w:color w:val="ff0000"/>
          <w:sz w:val="24"/>
          <w:highlight w:val="none"/>
        </w:rPr>
        <w:t xml:space="preserve">如果本项目对投标人做出特定资格要求的，则必须提供。</w:t>
      </w:r>
      <w:r/>
    </w:p>
    <w:p>
      <w:pPr>
        <w:ind w:left="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三、符合性审查内容</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投标人必须对技术要求和商务要求中加斜体下划线的实质性要求逐条做出响应，并按照招标文件要求提供证明材料，否则做无效投标处理。（格式见附件15）</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四、价格扣除证明文件</w:t>
      </w:r>
      <w:r/>
    </w:p>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1.中小企业声明函（格式见附件11）</w:t>
      </w:r>
      <w:r/>
    </w:p>
    <w:p>
      <w:pPr>
        <w:ind w:firstLine="480"/>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2.残疾人福利性单位声明函（格式见附件12）</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3.关于符合本国产品标准的声明函（格式见附件13）</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附件1 开标一览表</w:t>
      </w:r>
      <w:r/>
    </w:p>
    <w:p>
      <w:pPr>
        <w:ind w:firstLine="482"/>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投标人全称（加盖CA电子签章）：</w:t>
      </w:r>
      <w:r/>
    </w:p>
    <w:p>
      <w:pPr>
        <w:ind w:firstLine="482"/>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项目名称：</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项目编号：</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采购包号：</w:t>
      </w:r>
      <w:r/>
    </w:p>
    <w:tbl>
      <w:tblPr>
        <w:tblStyle w:val="996"/>
        <w:tblW w:w="771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小写：                   （人民币：元）</w:t>
            </w:r>
            <w:r/>
          </w:p>
        </w:tc>
      </w:tr>
    </w:tbl>
    <w:p>
      <w:pPr>
        <w:ind w:firstLine="480"/>
        <w:rPr>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附件2             投标分项报价表（采购包号：**）</w:t>
      </w:r>
      <w:r/>
    </w:p>
    <w:p>
      <w:pPr>
        <w:rPr>
          <w:rFonts w:ascii="宋体" w:hAnsi="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tbl>
      <w:tblPr>
        <w:tblStyle w:val="996"/>
        <w:tblW w:w="767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8"/>
        <w:gridCol w:w="918"/>
        <w:gridCol w:w="607"/>
        <w:gridCol w:w="741"/>
        <w:gridCol w:w="700"/>
        <w:gridCol w:w="728"/>
        <w:gridCol w:w="1433"/>
        <w:gridCol w:w="655"/>
        <w:gridCol w:w="677"/>
        <w:gridCol w:w="656"/>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8"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8</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9</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分项服务名称/货物名称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品牌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规格</w:t>
            </w:r>
            <w:r/>
          </w:p>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制造商名称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产地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交付期/服务期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分项</w:t>
            </w:r>
            <w:r/>
          </w:p>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分项</w:t>
            </w:r>
            <w:r/>
          </w:p>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合同签订后</w:t>
            </w:r>
            <w:r>
              <w:rPr>
                <w:rFonts w:ascii="宋体" w:hAnsi="宋体" w:cs="宋体"/>
                <w:color w:val="000000"/>
                <w:sz w:val="24"/>
                <w:highlight w:val="none"/>
                <w:u w:val="single"/>
              </w:rPr>
              <w:t xml:space="preserve">  </w:t>
            </w:r>
            <w:r>
              <w:rPr>
                <w:rFonts w:ascii="宋体" w:hAnsi="宋体" w:cs="宋体"/>
                <w:color w:val="000000"/>
                <w:sz w:val="24"/>
                <w:highlight w:val="none"/>
              </w:rPr>
              <w:t xml:space="preserve">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r>
      <w:tr>
        <w:trPr>
          <w:trHeight w:val="434"/>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3" w:type="dxa"/>
            <w:textDirection w:val="lrTb"/>
            <w:noWrap w:val="false"/>
          </w:tcPr>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投标总报价（人民币：元）</w:t>
            </w:r>
            <w:r>
              <w:rPr>
                <w:rFonts w:ascii="宋体" w:hAnsi="宋体" w:cs="宋体"/>
                <w:color w:val="000000"/>
                <w:sz w:val="24"/>
                <w:highlight w:val="none"/>
                <w:u w:val="single"/>
              </w:rPr>
              <w:t xml:space="preserve">                             </w:t>
            </w:r>
            <w:r/>
          </w:p>
        </w:tc>
      </w:tr>
      <w:tr>
        <w:trPr>
          <w:trHeight w:val="757"/>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3" w:type="dxa"/>
            <w:textDirection w:val="lrTb"/>
            <w:noWrap w:val="false"/>
          </w:tcPr>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本采购包中提供的符合本国产品标准的货物成本之和占该采购包全部成本之和的比例为</w:t>
            </w:r>
            <w:r>
              <w:rPr>
                <w:rFonts w:ascii="宋体" w:hAnsi="宋体" w:cs="宋体"/>
                <w:color w:val="000000"/>
                <w:sz w:val="24"/>
                <w:highlight w:val="none"/>
                <w:u w:val="single"/>
              </w:rPr>
              <w:t xml:space="preserve">XX</w:t>
            </w:r>
            <w:r>
              <w:rPr>
                <w:rFonts w:ascii="宋体" w:hAnsi="宋体" w:cs="宋体"/>
                <w:color w:val="000000"/>
                <w:sz w:val="24"/>
                <w:highlight w:val="none"/>
              </w:rPr>
              <w:t xml:space="preserve">%。</w:t>
            </w:r>
            <w:r/>
          </w:p>
        </w:tc>
      </w:tr>
    </w:tbl>
    <w:p>
      <w:pPr>
        <w:rPr>
          <w:highlight w:val="none"/>
        </w:rPr>
        <w:pBdr>
          <w:top w:val="none" w:color="000000" w:sz="0" w:space="0"/>
          <w:left w:val="none" w:color="000000" w:sz="0" w:space="0"/>
          <w:bottom w:val="none" w:color="000000" w:sz="0" w:space="0"/>
          <w:right w:val="none" w:color="000000" w:sz="0" w:space="0"/>
        </w:pBdr>
      </w:pPr>
      <w:r>
        <w:rPr>
          <w:highlight w:val="none"/>
        </w:rPr>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备注：</w:t>
      </w:r>
      <w:r/>
    </w:p>
    <w:p>
      <w:pPr>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cs="宋体"/>
          <w:color w:val="000000"/>
          <w:sz w:val="24"/>
          <w:szCs w:val="24"/>
          <w:highlight w:val="none"/>
        </w:rPr>
        <w:t xml:space="preserve">投标总报价”数额为各“分项总价”之和。</w:t>
      </w:r>
      <w:r/>
    </w:p>
    <w:p>
      <w:pPr>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2.“投标分项报价表”中“投标总报价”数额应当与“开标一览表”中“投标总报价”数额一致。</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ff0000"/>
          <w:sz w:val="24"/>
          <w:highlight w:val="none"/>
        </w:rPr>
        <w:t xml:space="preserve">3.分项服务不需填写品牌、规格型号、制造商、产地。</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ff0000"/>
          <w:sz w:val="24"/>
          <w:highlight w:val="none"/>
        </w:rPr>
        <w:t xml:space="preserve">4.本采购包中含有货物时，供应商未填写本采购包中提供的符合本国产品标准的货物成本之和占该采购包全部成本之和比例数值的，或比例数值低于80%的，将不享受本国产品价格评审优惠。</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 项目经办人可以根据项目实际需要对表格结构进行调整。</w:t>
      </w:r>
      <w:r/>
    </w:p>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附件3            技术要求响应及偏离表（采购包号：**）</w:t>
      </w:r>
      <w:r/>
    </w:p>
    <w:tbl>
      <w:tblPr>
        <w:tblStyle w:val="996"/>
        <w:tblW w:w="7512"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r>
    </w:tbl>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附件3-1  证明材料1，证明材料2，……</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备注：</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1.投标人需对技术要求（未加斜体下划线的非实质性要求）逐条做出明确响应。</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2.如果招标文件要求提供证明材料，投标人需将证明材料列于该表之下。</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ind w:firstLine="200"/>
        <w:spacing w:line="4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ind w:firstLine="200"/>
        <w:spacing w:line="4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ind w:firstLine="200"/>
        <w:spacing w:line="4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ind w:firstLine="200"/>
        <w:spacing w:line="4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ind w:firstLine="200"/>
        <w:spacing w:line="4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附件4             商务要求响应及偏离表（采购包号：**）</w:t>
      </w:r>
      <w:r/>
    </w:p>
    <w:tbl>
      <w:tblPr>
        <w:tblStyle w:val="996"/>
        <w:tblW w:w="7458"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r>
    </w:tbl>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附件4-1  证明材料1，证明材料2，……</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备注：</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1.投标人需对商务要求（未加斜体下划线的非实质性要求）逐条做出明确响应。</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2.如果招标文件要求提供证明材料，投标人需将证明材料列于该表之下。</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ind w:firstLine="200"/>
        <w:spacing w:line="4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 </w:t>
      </w:r>
      <w:r/>
    </w:p>
    <w:p>
      <w:pPr>
        <w:ind w:firstLine="200"/>
        <w:spacing w:line="4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 </w:t>
      </w:r>
      <w:r/>
    </w:p>
    <w:p>
      <w:pPr>
        <w:ind w:firstLine="200"/>
        <w:spacing w:line="4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 </w:t>
      </w:r>
      <w:r/>
    </w:p>
    <w:p>
      <w:pPr>
        <w:ind w:firstLine="200"/>
        <w:spacing w:line="4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ind w:firstLine="480"/>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附件5               法人授权书</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本授权书声明：____________（投标人名称）授权</w:t>
      </w:r>
      <w:r>
        <w:rPr>
          <w:rFonts w:eastAsia="Times New Roman"/>
          <w:color w:val="000000"/>
          <w:sz w:val="24"/>
          <w:highlight w:val="none"/>
        </w:rPr>
        <w:t xml:space="preserve">________________</w:t>
      </w:r>
      <w:r>
        <w:rPr>
          <w:rFonts w:ascii="宋体" w:hAnsi="宋体" w:cs="宋体"/>
          <w:color w:val="000000"/>
          <w:sz w:val="24"/>
          <w:highlight w:val="none"/>
        </w:rPr>
        <w:t xml:space="preserve">（被授权人的姓名）为我方就</w:t>
      </w:r>
      <w:r>
        <w:rPr>
          <w:rFonts w:eastAsia="Times New Roman"/>
          <w:color w:val="000000"/>
          <w:sz w:val="24"/>
          <w:highlight w:val="none"/>
          <w:u w:val="single"/>
        </w:rPr>
        <w:t xml:space="preserve">***</w:t>
      </w:r>
      <w:r>
        <w:rPr>
          <w:rFonts w:ascii="宋体" w:hAnsi="宋体" w:cs="宋体"/>
          <w:color w:val="000000"/>
          <w:sz w:val="24"/>
          <w:highlight w:val="none"/>
        </w:rPr>
        <w:t xml:space="preserve">号项目采购活动的合法代理人，以本单位名义全权处理一切与该项目采购有关的事务。</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本授权书于______年</w:t>
      </w:r>
      <w:r>
        <w:rPr>
          <w:rFonts w:eastAsia="Times New Roman"/>
          <w:color w:val="000000"/>
          <w:sz w:val="24"/>
          <w:highlight w:val="none"/>
        </w:rPr>
        <w:t xml:space="preserve">____</w:t>
      </w:r>
      <w:r>
        <w:rPr>
          <w:rFonts w:ascii="宋体" w:hAnsi="宋体" w:cs="宋体"/>
          <w:color w:val="000000"/>
          <w:sz w:val="24"/>
          <w:highlight w:val="none"/>
        </w:rPr>
        <w:t xml:space="preserve">月</w:t>
      </w:r>
      <w:r>
        <w:rPr>
          <w:rFonts w:eastAsia="Times New Roman"/>
          <w:color w:val="000000"/>
          <w:sz w:val="24"/>
          <w:highlight w:val="none"/>
        </w:rPr>
        <w:t xml:space="preserve">____</w:t>
      </w:r>
      <w:r>
        <w:rPr>
          <w:rFonts w:ascii="宋体" w:hAnsi="宋体" w:cs="宋体"/>
          <w:color w:val="000000"/>
          <w:sz w:val="24"/>
          <w:highlight w:val="none"/>
        </w:rPr>
        <w:t xml:space="preserve">日起生效，特此声明。</w:t>
      </w:r>
      <w:r/>
    </w:p>
    <w:p>
      <w:pPr>
        <w:ind w:firstLine="1200"/>
        <w:spacing w:line="400"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被授权人身份证号码：           </w:t>
      </w:r>
      <w:r/>
    </w:p>
    <w:p>
      <w:pPr>
        <w:ind w:firstLine="1200"/>
        <w:spacing w:line="400"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被授权人联系电话：（手机）           </w:t>
      </w:r>
      <w:r/>
    </w:p>
    <w:p>
      <w:pPr>
        <w:ind w:firstLine="120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ff0000"/>
          <w:sz w:val="24"/>
          <w:highlight w:val="none"/>
        </w:rPr>
        <w:t xml:space="preserve">被授权人电子邮箱</w:t>
      </w:r>
      <w:r>
        <w:rPr>
          <w:rFonts w:ascii="宋体" w:hAnsi="宋体" w:cs="宋体"/>
          <w:color w:val="000000"/>
          <w:sz w:val="24"/>
          <w:highlight w:val="none"/>
        </w:rPr>
        <w:t xml:space="preserve">：</w:t>
      </w:r>
      <w:r>
        <w:rPr>
          <w:rFonts w:ascii="宋体" w:hAnsi="宋体" w:cs="宋体"/>
          <w:color w:val="000000"/>
          <w:sz w:val="24"/>
          <w:highlight w:val="none"/>
          <w:u w:val="single"/>
        </w:rPr>
        <w:t xml:space="preserve">           </w:t>
      </w:r>
      <w:r/>
    </w:p>
    <w:p>
      <w:pPr>
        <w:ind w:firstLine="120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授权单位名称：</w:t>
      </w:r>
      <w:r>
        <w:rPr>
          <w:rFonts w:ascii="宋体" w:hAnsi="宋体" w:cs="宋体"/>
          <w:color w:val="000000"/>
          <w:sz w:val="24"/>
          <w:highlight w:val="none"/>
          <w:u w:val="single"/>
        </w:rPr>
        <w:t xml:space="preserve">（加盖CA电子公章）</w:t>
      </w:r>
      <w:r/>
    </w:p>
    <w:p>
      <w:pPr>
        <w:ind w:firstLine="1200"/>
        <w:spacing w:line="400"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单位地址：           </w:t>
      </w:r>
      <w:r/>
    </w:p>
    <w:p>
      <w:pPr>
        <w:ind w:firstLine="1200"/>
        <w:spacing w:line="400"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日期：           </w:t>
      </w:r>
      <w:r/>
    </w:p>
    <w:p>
      <w:pPr>
        <w:spacing w:before="260" w:after="26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60" w:after="260"/>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附件6               投标函</w:t>
      </w:r>
      <w:r/>
    </w:p>
    <w:p>
      <w:pPr>
        <w:spacing w:line="418"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致：扬州市公共资源交易中心：</w:t>
      </w:r>
      <w:r/>
    </w:p>
    <w:p>
      <w:pPr>
        <w:ind w:firstLine="480"/>
        <w:spacing w:line="418"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根据贵方的</w:t>
      </w:r>
      <w:r>
        <w:rPr>
          <w:rFonts w:ascii="宋体" w:hAnsi="宋体" w:cs="宋体"/>
          <w:color w:val="000000"/>
          <w:sz w:val="24"/>
          <w:highlight w:val="none"/>
          <w:u w:val="single"/>
        </w:rPr>
        <w:t xml:space="preserve">****</w:t>
      </w:r>
      <w:r>
        <w:rPr>
          <w:rFonts w:ascii="宋体" w:hAnsi="宋体" w:cs="宋体"/>
          <w:color w:val="000000"/>
          <w:sz w:val="24"/>
          <w:highlight w:val="none"/>
        </w:rPr>
        <w:t xml:space="preserve">号招标文件，正式授权下述签字人_____(姓名)代表我方_______（投标人的名称），全权处理本次项目投标的有关事宜。</w:t>
      </w:r>
      <w:r/>
    </w:p>
    <w:p>
      <w:pPr>
        <w:ind w:firstLine="480"/>
        <w:spacing w:line="418"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据此函，__________签字人兹宣布同意如下：</w:t>
      </w:r>
      <w:r/>
    </w:p>
    <w:p>
      <w:pPr>
        <w:ind w:firstLine="480"/>
        <w:spacing w:line="418"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1.按招标文件规定的各项要求，向买方提供所需货物（包含与货物相关的服务）。</w:t>
      </w:r>
      <w:r/>
    </w:p>
    <w:p>
      <w:pPr>
        <w:ind w:firstLine="480"/>
        <w:spacing w:line="418"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2.我们完全理解贵方不一定将合同授予最低报价的投标人。</w:t>
      </w:r>
      <w:r/>
    </w:p>
    <w:p>
      <w:pPr>
        <w:ind w:firstLine="480"/>
        <w:spacing w:line="418"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3.我们已详细审核全部招标文件及其有效补充文件，我们知道必须放弃提出含糊不清或误解问题的权利。</w:t>
      </w:r>
      <w:r/>
    </w:p>
    <w:p>
      <w:pPr>
        <w:ind w:firstLine="480"/>
        <w:spacing w:line="418"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4.我们同意从规定的开标日期起遵循本投标文件，并在规定的投标有效期期满之前均具有约束力。</w:t>
      </w:r>
      <w:r/>
    </w:p>
    <w:p>
      <w:pPr>
        <w:ind w:firstLine="480"/>
        <w:spacing w:line="418"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5.同意向贵方提供贵方可能另外要求的与投标有关的任何证据或资料，并保证我方已提供和将要提供的文件是真实的、准确的。</w:t>
      </w:r>
      <w:r/>
    </w:p>
    <w:p>
      <w:pPr>
        <w:ind w:firstLine="480"/>
        <w:spacing w:line="418"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6.一旦我方中标,我方将根据招标文件的规定，严格履行合同的责任和义务,并保证在招标文件规定的时间完成项目，交付买方验收、使用。</w:t>
      </w:r>
      <w:r/>
    </w:p>
    <w:p>
      <w:pPr>
        <w:ind w:left="425"/>
        <w:spacing w:line="418"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7.与本投标有关的正式通讯地址为：</w:t>
      </w:r>
      <w:r/>
    </w:p>
    <w:p>
      <w:pPr>
        <w:ind w:left="420" w:firstLine="480"/>
        <w:spacing w:line="418"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地址：</w:t>
      </w:r>
      <w:r/>
    </w:p>
    <w:p>
      <w:pPr>
        <w:ind w:left="420" w:firstLine="480"/>
        <w:spacing w:line="418"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邮编：</w:t>
      </w:r>
      <w:r/>
    </w:p>
    <w:p>
      <w:pPr>
        <w:ind w:left="420" w:firstLine="480"/>
        <w:spacing w:line="418"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电话：</w:t>
      </w:r>
      <w:r/>
    </w:p>
    <w:p>
      <w:pPr>
        <w:ind w:left="420" w:firstLine="480"/>
        <w:spacing w:line="418"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传真：</w:t>
      </w:r>
      <w:r/>
    </w:p>
    <w:p>
      <w:pPr>
        <w:ind w:left="420" w:firstLine="480"/>
        <w:spacing w:line="418"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投标人开户行：</w:t>
      </w:r>
      <w:r/>
    </w:p>
    <w:p>
      <w:pPr>
        <w:ind w:left="420" w:firstLine="480"/>
        <w:spacing w:line="418"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账号： </w:t>
      </w:r>
      <w:r/>
    </w:p>
    <w:p>
      <w:pPr>
        <w:ind w:left="420" w:firstLine="480"/>
        <w:spacing w:line="418"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日期：______年____月____日</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ind w:firstLine="200"/>
        <w:spacing w:line="45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ind w:firstLine="200"/>
        <w:spacing w:line="45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ind w:firstLine="200"/>
        <w:spacing w:line="45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ind w:firstLine="200"/>
        <w:spacing w:line="45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ind w:firstLine="200"/>
        <w:spacing w:line="45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ind w:firstLine="200"/>
        <w:spacing w:line="4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 </w:t>
      </w:r>
      <w:r/>
    </w:p>
    <w:p>
      <w:pPr>
        <w:spacing w:line="45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附件7           主要标的信息（中标后将公示）</w:t>
      </w:r>
      <w:r/>
    </w:p>
    <w:p>
      <w:pPr>
        <w:spacing w:after="312"/>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投标人全称：</w:t>
      </w:r>
      <w:r/>
    </w:p>
    <w:tbl>
      <w:tblPr>
        <w:tblStyle w:val="996"/>
        <w:tblW w:w="6729"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33"/>
        <w:gridCol w:w="32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6"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名称：</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品牌（如有）：</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规格型号：</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数量：</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名称：</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服务范围：</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服务要求：</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服务时间：</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服务标准：</w:t>
            </w:r>
            <w:r/>
          </w:p>
        </w:tc>
      </w:tr>
    </w:tbl>
    <w:p>
      <w:pPr>
        <w:ind w:firstLine="200"/>
        <w:spacing w:line="45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ind w:firstLine="200"/>
        <w:spacing w:line="4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 </w:t>
      </w:r>
      <w:r/>
    </w:p>
    <w:p>
      <w:pPr>
        <w:ind w:firstLine="200"/>
        <w:spacing w:line="4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 </w:t>
      </w:r>
      <w:r/>
    </w:p>
    <w:p>
      <w:pPr>
        <w:ind w:firstLine="200"/>
        <w:spacing w:line="4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 </w:t>
      </w:r>
      <w:r/>
    </w:p>
    <w:p>
      <w:pPr>
        <w:ind w:firstLine="200"/>
        <w:spacing w:line="4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 </w:t>
      </w:r>
      <w:r/>
    </w:p>
    <w:p>
      <w:pPr>
        <w:ind w:firstLine="200"/>
        <w:spacing w:line="4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 </w:t>
      </w:r>
      <w:r/>
    </w:p>
    <w:p>
      <w:pPr>
        <w:ind w:firstLine="200"/>
        <w:spacing w:line="4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 </w:t>
      </w:r>
      <w:r/>
    </w:p>
    <w:p>
      <w:pPr>
        <w:ind w:firstLine="200"/>
        <w:spacing w:line="4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 </w:t>
      </w:r>
      <w:r/>
    </w:p>
    <w:p>
      <w:pPr>
        <w:ind w:firstLine="200"/>
        <w:spacing w:line="4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 </w:t>
      </w:r>
      <w:r/>
    </w:p>
    <w:p>
      <w:pPr>
        <w:ind w:firstLine="200"/>
        <w:spacing w:line="4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 </w:t>
      </w:r>
      <w:r/>
    </w:p>
    <w:p>
      <w:pPr>
        <w:ind w:firstLine="200"/>
        <w:spacing w:line="4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 </w:t>
      </w:r>
      <w:r/>
    </w:p>
    <w:p>
      <w:pPr>
        <w:ind w:firstLine="200"/>
        <w:spacing w:line="4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 </w:t>
      </w:r>
      <w:r/>
    </w:p>
    <w:p>
      <w:pPr>
        <w:ind w:firstLine="200"/>
        <w:spacing w:line="4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 </w:t>
      </w:r>
      <w:r/>
    </w:p>
    <w:p>
      <w:pPr>
        <w:ind w:firstLine="200"/>
        <w:spacing w:line="4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 </w:t>
      </w:r>
      <w:r/>
    </w:p>
    <w:p>
      <w:pPr>
        <w:ind w:firstLine="200"/>
        <w:spacing w:line="4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 </w:t>
      </w:r>
      <w:r/>
    </w:p>
    <w:p>
      <w:pPr>
        <w:ind w:firstLine="200"/>
        <w:spacing w:line="4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 </w:t>
      </w:r>
      <w:r/>
    </w:p>
    <w:p>
      <w:pPr>
        <w:ind w:firstLine="200"/>
        <w:spacing w:line="4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 </w:t>
      </w:r>
      <w:r/>
    </w:p>
    <w:p>
      <w:pPr>
        <w:ind w:firstLine="200"/>
        <w:spacing w:line="4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 </w:t>
      </w:r>
      <w:r/>
    </w:p>
    <w:p>
      <w:pPr>
        <w:spacing w:line="45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附件8</w:t>
      </w:r>
      <w:r/>
    </w:p>
    <w:p>
      <w:pPr>
        <w:ind w:firstLine="1205"/>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具备履行合同所必需的设备和专业技术能力的书面声明</w:t>
      </w:r>
      <w:r/>
    </w:p>
    <w:p>
      <w:pPr>
        <w:ind w:firstLine="492"/>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主要设备有：</w:t>
      </w:r>
      <w:r>
        <w:rPr>
          <w:rFonts w:ascii="宋体" w:hAnsi="宋体" w:cs="宋体"/>
          <w:color w:val="000000"/>
          <w:sz w:val="24"/>
          <w:highlight w:val="none"/>
          <w:u w:val="single"/>
        </w:rPr>
        <w:t xml:space="preserve">           </w:t>
      </w:r>
      <w:r>
        <w:rPr>
          <w:rFonts w:ascii="宋体" w:hAnsi="宋体" w:cs="宋体"/>
          <w:color w:val="000000"/>
          <w:sz w:val="24"/>
          <w:highlight w:val="none"/>
        </w:rPr>
        <w:t xml:space="preserve">。</w:t>
      </w:r>
      <w:r/>
    </w:p>
    <w:p>
      <w:pPr>
        <w:ind w:firstLine="492"/>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主要专业技术能力有：</w:t>
      </w:r>
      <w:r>
        <w:rPr>
          <w:rFonts w:ascii="宋体" w:hAnsi="宋体" w:cs="宋体"/>
          <w:color w:val="000000"/>
          <w:sz w:val="24"/>
          <w:highlight w:val="none"/>
          <w:u w:val="single"/>
        </w:rPr>
        <w:t xml:space="preserve">           </w:t>
      </w:r>
      <w:r>
        <w:rPr>
          <w:rFonts w:ascii="宋体" w:hAnsi="宋体" w:cs="宋体"/>
          <w:color w:val="000000"/>
          <w:sz w:val="24"/>
          <w:highlight w:val="none"/>
        </w:rPr>
        <w:t xml:space="preserve">。</w:t>
      </w:r>
      <w:r/>
    </w:p>
    <w:p>
      <w:pPr>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spacing w:line="45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附件9</w:t>
      </w:r>
      <w:r/>
    </w:p>
    <w:p>
      <w:pPr>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ind w:left="480"/>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参加政府采购活动前 3 年内在经营活动中没有重大违法记录的书面声明</w:t>
      </w:r>
      <w:r/>
    </w:p>
    <w:p>
      <w:pPr>
        <w:jc w:val="center"/>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ind w:firstLine="480"/>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ind w:firstLine="480"/>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ind w:firstLine="480"/>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附件10            供应商信用承诺函</w:t>
      </w:r>
      <w:r/>
    </w:p>
    <w:p>
      <w:pPr>
        <w:spacing w:line="49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spacing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承诺主体名称：</w:t>
      </w:r>
      <w:r/>
    </w:p>
    <w:p>
      <w:pPr>
        <w:spacing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统一社会信用代码：</w:t>
      </w:r>
      <w:r/>
    </w:p>
    <w:p>
      <w:pPr>
        <w:spacing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ind w:firstLine="420"/>
        <w:spacing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一、对提供给注册登记部门、行业管理部门、司法部门、行业组织以及在政府采购活动中提交的所有资料的合法性、真实性、准确性和有效性负责；</w:t>
      </w:r>
      <w:r/>
    </w:p>
    <w:p>
      <w:pPr>
        <w:ind w:firstLine="420"/>
        <w:spacing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三、严格依法开展生产经营活动，主动接受行业监管，自愿接受依法开展的日常检查；违法失信经营后将自愿接受约束和惩戒，并依法承担相应责任；</w:t>
      </w:r>
      <w:r/>
    </w:p>
    <w:p>
      <w:pPr>
        <w:ind w:firstLine="420"/>
        <w:spacing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四、自觉接受行政管理部门、行业组织、社会公众、新闻舆论的监督；</w:t>
      </w:r>
      <w:r/>
    </w:p>
    <w:p>
      <w:pPr>
        <w:ind w:firstLine="420"/>
        <w:spacing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五、自觉做到自我约束、自我管理，不制假售假、商标侵权、虚假宣传、违约毁约、恶意逃债、偷税漏税、垄断和不正当竞争，维护经营者、消费者的合法权益；</w:t>
      </w:r>
      <w:r/>
    </w:p>
    <w:p>
      <w:pPr>
        <w:ind w:firstLine="420"/>
        <w:spacing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六、提出政府采购质疑和投诉坚持依法依规、诚实信用原则，在全国范围12个月内没有三次以上查无实据的政府采购投诉；</w:t>
      </w:r>
      <w:r/>
    </w:p>
    <w:p>
      <w:pPr>
        <w:ind w:firstLine="420"/>
        <w:spacing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七、严格遵守信用信息公示相关规定，向社会公示信用信息；</w:t>
      </w:r>
      <w:r/>
    </w:p>
    <w:p>
      <w:pPr>
        <w:ind w:firstLine="420"/>
        <w:spacing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八、在“信用中国”和“中国政府采购网”网站中无严重失信记录；</w:t>
      </w:r>
      <w:r/>
    </w:p>
    <w:p>
      <w:pPr>
        <w:ind w:firstLine="420"/>
        <w:spacing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十、本承诺书自签订之日起生效。</w:t>
      </w:r>
      <w:r/>
    </w:p>
    <w:p>
      <w:pPr>
        <w:ind w:firstLine="420"/>
        <w:spacing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（注：法定代表人或负责人、主体名称发生变更的应当重新做出承诺。）</w:t>
      </w:r>
      <w:r/>
    </w:p>
    <w:p>
      <w:pPr>
        <w:spacing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spacing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spacing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jc w:val="center"/>
        <w:spacing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承诺单位（加盖CA电子公章）：    </w:t>
      </w:r>
      <w:r/>
    </w:p>
    <w:p>
      <w:pPr>
        <w:jc w:val="center"/>
        <w:spacing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年  月  日</w:t>
      </w:r>
      <w:r/>
    </w:p>
    <w:p>
      <w:pPr>
        <w:jc w:val="center"/>
        <w:spacing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spacing w:after="361"/>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附件11        中小企业声明函（服务类项目）（采购包号：**）</w:t>
      </w:r>
      <w:r/>
    </w:p>
    <w:p>
      <w:pPr>
        <w:ind w:firstLine="36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本公司（联合体）郑重声明，根据《政府采购促进中小企业发展管理办法》(财库[2020]46号)的规定，本公司（联合体）参加扬州市公共资源交易中心组织的</w:t>
      </w:r>
      <w:r>
        <w:rPr>
          <w:rFonts w:ascii="宋体" w:hAnsi="宋体" w:cs="宋体"/>
          <w:color w:val="000000"/>
          <w:sz w:val="24"/>
          <w:highlight w:val="none"/>
          <w:u w:val="single"/>
        </w:rPr>
        <w:t xml:space="preserve">（项目名称）（采购包号：**）</w:t>
      </w:r>
      <w:r>
        <w:rPr>
          <w:rFonts w:ascii="宋体" w:hAnsi="宋体" w:cs="宋体"/>
          <w:color w:val="000000"/>
          <w:sz w:val="24"/>
          <w:highlight w:val="none"/>
        </w:rPr>
        <w:t xml:space="preserve">的采购活动，服务全部由符合政策的中小企业承接。相关企业（含联合体中的中小企业、签订采购包意向协议的中小企业）的具体情况如下：</w:t>
      </w:r>
      <w:r/>
    </w:p>
    <w:p>
      <w:pPr>
        <w:ind w:firstLine="36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ascii="宋体" w:hAnsi="宋体" w:cs="宋体"/>
          <w:color w:val="000000"/>
          <w:sz w:val="24"/>
          <w:highlight w:val="none"/>
          <w:u w:val="single"/>
        </w:rPr>
        <w:t xml:space="preserve">（标的名称）</w:t>
      </w:r>
      <w:r>
        <w:rPr>
          <w:rFonts w:ascii="宋体" w:hAnsi="宋体" w:cs="宋体"/>
          <w:i/>
          <w:color w:val="000000"/>
          <w:sz w:val="24"/>
          <w:highlight w:val="none"/>
        </w:rPr>
        <w:t xml:space="preserve">，</w:t>
      </w:r>
      <w:r>
        <w:rPr>
          <w:rFonts w:ascii="宋体" w:hAnsi="宋体" w:cs="宋体"/>
          <w:color w:val="000000"/>
          <w:sz w:val="24"/>
          <w:highlight w:val="none"/>
        </w:rPr>
        <w:t xml:space="preserve">属于</w:t>
      </w:r>
      <w:r>
        <w:rPr>
          <w:rFonts w:ascii="宋体" w:hAnsi="宋体" w:cs="宋体"/>
          <w:color w:val="ff0000"/>
          <w:sz w:val="24"/>
          <w:highlight w:val="none"/>
          <w:u w:val="single"/>
        </w:rPr>
        <w:t xml:space="preserve">（供应商填写招标文件中明确的所属行业）</w:t>
      </w:r>
      <w:r>
        <w:rPr>
          <w:rFonts w:ascii="宋体" w:hAnsi="宋体" w:cs="宋体"/>
          <w:color w:val="000000"/>
          <w:sz w:val="24"/>
          <w:highlight w:val="none"/>
        </w:rPr>
        <w:t xml:space="preserve">行业；承接企业为</w:t>
      </w:r>
      <w:r>
        <w:rPr>
          <w:rFonts w:ascii="宋体" w:hAnsi="宋体" w:cs="宋体"/>
          <w:color w:val="000000"/>
          <w:sz w:val="24"/>
          <w:highlight w:val="none"/>
          <w:u w:val="single"/>
        </w:rPr>
        <w:t xml:space="preserve">（企业名称）</w:t>
      </w:r>
      <w:r>
        <w:rPr>
          <w:rFonts w:ascii="宋体" w:hAnsi="宋体" w:cs="宋体"/>
          <w:color w:val="000000"/>
          <w:sz w:val="24"/>
          <w:highlight w:val="none"/>
        </w:rPr>
        <w:t xml:space="preserve">，从业人员</w:t>
      </w:r>
      <w:r>
        <w:rPr>
          <w:rFonts w:ascii="宋体" w:hAnsi="宋体" w:cs="宋体"/>
          <w:color w:val="000000"/>
          <w:sz w:val="24"/>
          <w:highlight w:val="none"/>
          <w:u w:val="single"/>
        </w:rPr>
        <w:t xml:space="preserve">      </w:t>
      </w:r>
      <w:r>
        <w:rPr>
          <w:rFonts w:ascii="宋体" w:hAnsi="宋体" w:cs="宋体"/>
          <w:color w:val="000000"/>
          <w:sz w:val="24"/>
          <w:highlight w:val="none"/>
        </w:rPr>
        <w:t xml:space="preserve">人，营业收入为</w:t>
      </w:r>
      <w:r>
        <w:rPr>
          <w:rFonts w:ascii="宋体" w:hAnsi="宋体" w:cs="宋体"/>
          <w:color w:val="000000"/>
          <w:sz w:val="24"/>
          <w:highlight w:val="none"/>
          <w:u w:val="single"/>
        </w:rPr>
        <w:t xml:space="preserve">     </w:t>
      </w:r>
      <w:r>
        <w:rPr>
          <w:rFonts w:ascii="宋体" w:hAnsi="宋体" w:cs="宋体"/>
          <w:color w:val="000000"/>
          <w:sz w:val="24"/>
          <w:highlight w:val="none"/>
        </w:rPr>
        <w:t xml:space="preserve">万元，资产总额为</w:t>
      </w:r>
      <w:r>
        <w:rPr>
          <w:rFonts w:ascii="宋体" w:hAnsi="宋体" w:cs="宋体"/>
          <w:color w:val="000000"/>
          <w:sz w:val="24"/>
          <w:highlight w:val="none"/>
          <w:u w:val="single"/>
        </w:rPr>
        <w:t xml:space="preserve">      </w:t>
      </w:r>
      <w:r>
        <w:rPr>
          <w:rFonts w:ascii="宋体" w:hAnsi="宋体" w:cs="宋体"/>
          <w:color w:val="000000"/>
          <w:sz w:val="24"/>
          <w:highlight w:val="none"/>
        </w:rPr>
        <w:t xml:space="preserve">万元</w:t>
      </w:r>
      <w:r>
        <w:rPr>
          <w:rFonts w:ascii="宋体" w:hAnsi="宋体" w:cs="宋体"/>
          <w:color w:val="000000"/>
          <w:sz w:val="24"/>
          <w:highlight w:val="none"/>
          <w:vertAlign w:val="superscript"/>
        </w:rPr>
        <w:t xml:space="preserve">1</w:t>
      </w:r>
      <w:r>
        <w:rPr>
          <w:rFonts w:ascii="宋体" w:hAnsi="宋体" w:cs="宋体"/>
          <w:color w:val="000000"/>
          <w:sz w:val="24"/>
          <w:highlight w:val="none"/>
        </w:rPr>
        <w:t xml:space="preserve">，属于</w:t>
      </w:r>
      <w:r>
        <w:rPr>
          <w:rFonts w:ascii="宋体" w:hAnsi="宋体" w:cs="宋体"/>
          <w:color w:val="000000"/>
          <w:sz w:val="24"/>
          <w:highlight w:val="none"/>
          <w:u w:val="single"/>
        </w:rPr>
        <w:t xml:space="preserve">（□中型企业 □小型企业 □微型企业）；</w:t>
      </w:r>
      <w:r/>
    </w:p>
    <w:p>
      <w:pPr>
        <w:ind w:firstLine="36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ascii="宋体" w:hAnsi="宋体" w:cs="宋体"/>
          <w:color w:val="000000"/>
          <w:sz w:val="24"/>
          <w:highlight w:val="none"/>
          <w:u w:val="single"/>
        </w:rPr>
        <w:t xml:space="preserve">（标的名称）</w:t>
      </w:r>
      <w:r>
        <w:rPr>
          <w:rFonts w:ascii="宋体" w:hAnsi="宋体" w:cs="宋体"/>
          <w:i/>
          <w:color w:val="000000"/>
          <w:sz w:val="24"/>
          <w:highlight w:val="none"/>
        </w:rPr>
        <w:t xml:space="preserve">，</w:t>
      </w:r>
      <w:r>
        <w:rPr>
          <w:rFonts w:ascii="宋体" w:hAnsi="宋体" w:cs="宋体"/>
          <w:color w:val="000000"/>
          <w:sz w:val="24"/>
          <w:highlight w:val="none"/>
        </w:rPr>
        <w:t xml:space="preserve">属于</w:t>
      </w:r>
      <w:r>
        <w:rPr>
          <w:rFonts w:ascii="宋体" w:hAnsi="宋体" w:cs="宋体"/>
          <w:color w:val="ff0000"/>
          <w:sz w:val="24"/>
          <w:highlight w:val="none"/>
          <w:u w:val="single"/>
        </w:rPr>
        <w:t xml:space="preserve">（供应商填写招标文件中明确的所属行业）</w:t>
      </w:r>
      <w:r>
        <w:rPr>
          <w:rFonts w:ascii="宋体" w:hAnsi="宋体" w:cs="宋体"/>
          <w:color w:val="000000"/>
          <w:sz w:val="24"/>
          <w:highlight w:val="none"/>
        </w:rPr>
        <w:t xml:space="preserve">行业；承接企业为</w:t>
      </w:r>
      <w:r>
        <w:rPr>
          <w:rFonts w:ascii="宋体" w:hAnsi="宋体" w:cs="宋体"/>
          <w:color w:val="000000"/>
          <w:sz w:val="24"/>
          <w:highlight w:val="none"/>
          <w:u w:val="single"/>
        </w:rPr>
        <w:t xml:space="preserve">（企业名称）</w:t>
      </w:r>
      <w:r>
        <w:rPr>
          <w:rFonts w:ascii="宋体" w:hAnsi="宋体" w:cs="宋体"/>
          <w:color w:val="000000"/>
          <w:sz w:val="24"/>
          <w:highlight w:val="none"/>
        </w:rPr>
        <w:t xml:space="preserve">，从业人员</w:t>
      </w:r>
      <w:r>
        <w:rPr>
          <w:rFonts w:ascii="宋体" w:hAnsi="宋体" w:cs="宋体"/>
          <w:color w:val="000000"/>
          <w:sz w:val="24"/>
          <w:highlight w:val="none"/>
          <w:u w:val="single"/>
        </w:rPr>
        <w:t xml:space="preserve">      </w:t>
      </w:r>
      <w:r>
        <w:rPr>
          <w:rFonts w:ascii="宋体" w:hAnsi="宋体" w:cs="宋体"/>
          <w:color w:val="000000"/>
          <w:sz w:val="24"/>
          <w:highlight w:val="none"/>
        </w:rPr>
        <w:t xml:space="preserve">人，营业收入为</w:t>
      </w:r>
      <w:r>
        <w:rPr>
          <w:rFonts w:ascii="宋体" w:hAnsi="宋体" w:cs="宋体"/>
          <w:color w:val="000000"/>
          <w:sz w:val="24"/>
          <w:highlight w:val="none"/>
          <w:u w:val="single"/>
        </w:rPr>
        <w:t xml:space="preserve">     </w:t>
      </w:r>
      <w:r>
        <w:rPr>
          <w:rFonts w:ascii="宋体" w:hAnsi="宋体" w:cs="宋体"/>
          <w:color w:val="000000"/>
          <w:sz w:val="24"/>
          <w:highlight w:val="none"/>
        </w:rPr>
        <w:t xml:space="preserve">万元，资产总额为</w:t>
      </w:r>
      <w:r>
        <w:rPr>
          <w:rFonts w:ascii="宋体" w:hAnsi="宋体" w:cs="宋体"/>
          <w:color w:val="000000"/>
          <w:sz w:val="24"/>
          <w:highlight w:val="none"/>
          <w:u w:val="single"/>
        </w:rPr>
        <w:t xml:space="preserve">      </w:t>
      </w:r>
      <w:r>
        <w:rPr>
          <w:rFonts w:ascii="宋体" w:hAnsi="宋体" w:cs="宋体"/>
          <w:color w:val="000000"/>
          <w:sz w:val="24"/>
          <w:highlight w:val="none"/>
        </w:rPr>
        <w:t xml:space="preserve">万元</w:t>
      </w:r>
      <w:r>
        <w:rPr>
          <w:rFonts w:ascii="宋体" w:hAnsi="宋体" w:cs="宋体"/>
          <w:color w:val="000000"/>
          <w:sz w:val="24"/>
          <w:highlight w:val="none"/>
          <w:vertAlign w:val="superscript"/>
        </w:rPr>
        <w:t xml:space="preserve">1</w:t>
      </w:r>
      <w:r>
        <w:rPr>
          <w:rFonts w:ascii="宋体" w:hAnsi="宋体" w:cs="宋体"/>
          <w:color w:val="000000"/>
          <w:sz w:val="24"/>
          <w:highlight w:val="none"/>
        </w:rPr>
        <w:t xml:space="preserve">，属于</w:t>
      </w:r>
      <w:r>
        <w:rPr>
          <w:rFonts w:ascii="宋体" w:hAnsi="宋体" w:cs="宋体"/>
          <w:color w:val="000000"/>
          <w:sz w:val="24"/>
          <w:highlight w:val="none"/>
          <w:u w:val="single"/>
        </w:rPr>
        <w:t xml:space="preserve">（□中型企业 □小型企业 □微型企业）；</w:t>
      </w:r>
      <w:r/>
    </w:p>
    <w:p>
      <w:pPr>
        <w:ind w:firstLine="36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w:t>
      </w:r>
      <w:r/>
    </w:p>
    <w:p>
      <w:pPr>
        <w:ind w:firstLine="36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以上企业，不属于大企业的分支机构，不存在控股股东为大企业的情形，也不存在与大企业的负责人为同一人的情形。</w:t>
      </w:r>
      <w:r/>
    </w:p>
    <w:p>
      <w:pPr>
        <w:ind w:firstLine="36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本企业对上述声明内容的真实性负责。如有虚假，将依法承担相应责任</w:t>
      </w:r>
      <w:r/>
    </w:p>
    <w:p>
      <w:pPr>
        <w:ind w:right="720"/>
        <w:rPr>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highlight w:val="none"/>
        </w:rPr>
        <w:t xml:space="preserve"> </w:t>
      </w:r>
      <w:r/>
    </w:p>
    <w:p>
      <w:pPr>
        <w:ind w:right="180" w:firstLine="360"/>
        <w:jc w:val="righ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企业名称（加盖CA电子公章）：</w:t>
      </w:r>
      <w:r/>
    </w:p>
    <w:p>
      <w:pPr>
        <w:ind w:right="480" w:firstLine="540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  期：</w:t>
      </w:r>
      <w:r/>
    </w:p>
    <w:p>
      <w:pPr>
        <w:ind w:firstLine="240"/>
        <w:rPr>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highlight w:val="none"/>
        </w:rPr>
        <w:t xml:space="preserve"> </w:t>
      </w:r>
      <w:r/>
    </w:p>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备注：</w:t>
      </w:r>
      <w:r/>
    </w:p>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1.从业人员、营业收入、资产总额填报上一年度数据，无上一年度数据的新成立企业可不填报。</w:t>
      </w:r>
      <w:r/>
    </w:p>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ff0000"/>
          <w:sz w:val="24"/>
          <w:highlight w:val="none"/>
        </w:rPr>
        <w:t xml:space="preserve">3.供应商应对照《工业和信息化部、国家统计局、国家发展和改革委员会、财政</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ff0000"/>
          <w:sz w:val="24"/>
          <w:highlight w:val="none"/>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ff0000"/>
          <w:sz w:val="24"/>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eastAsia="Times New Roman"/>
          <w:b/>
          <w:color w:val="0070c0"/>
          <w:highlight w:val="none"/>
        </w:rPr>
        <w:t xml:space="preserve"> </w:t>
      </w:r>
      <w:r/>
    </w:p>
    <w:p>
      <w:pPr>
        <w:spacing w:before="300" w:after="452"/>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中小微企业划型标准如下：</w:t>
      </w:r>
      <w:r/>
    </w:p>
    <w:tbl>
      <w:tblPr>
        <w:tblStyle w:val="996"/>
        <w:tblW w:w="880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417"/>
        <w:gridCol w:w="1276"/>
        <w:gridCol w:w="1134"/>
        <w:gridCol w:w="1701"/>
        <w:gridCol w:w="1559"/>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jc w:val="cente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jc w:val="cente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jc w:val="cente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营业收入（</w:t>
            </w:r>
            <w:r>
              <w:rPr>
                <w:rFonts w:ascii="宋体" w:hAnsi="宋体" w:cs="宋体"/>
                <w:b/>
                <w:color w:val="666666"/>
                <w:highlight w:val="none"/>
              </w:rPr>
              <w:t xml:space="preserve">Y</w:t>
            </w:r>
            <w:r>
              <w:rPr>
                <w:rFonts w:ascii="等线" w:hAnsi="等线" w:eastAsia="等线" w:cs="等线"/>
                <w:b/>
                <w:color w:val="666666"/>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500≤</w:t>
            </w:r>
            <w:r>
              <w:rPr>
                <w:rFonts w:ascii="宋体" w:hAnsi="宋体" w:cs="宋体"/>
                <w:b/>
                <w:color w:val="666666"/>
                <w:highlight w:val="none"/>
              </w:rPr>
              <w:t xml:space="preserve">Y</w:t>
            </w:r>
            <w:r>
              <w:rPr>
                <w:rFonts w:ascii="等线" w:hAnsi="等线" w:eastAsia="等线" w:cs="等线"/>
                <w:b/>
                <w:color w:val="666666"/>
                <w:highlight w:val="none"/>
              </w:rPr>
              <w:t xml:space="preserve">＜</w:t>
            </w:r>
            <w:r>
              <w:rPr>
                <w:rFonts w:ascii="宋体" w:hAnsi="宋体" w:cs="宋体"/>
                <w:b/>
                <w:color w:val="666666"/>
                <w:highlight w:val="none"/>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50≤</w:t>
            </w:r>
            <w:r>
              <w:rPr>
                <w:rFonts w:ascii="宋体" w:hAnsi="宋体" w:cs="宋体"/>
                <w:b/>
                <w:color w:val="666666"/>
                <w:highlight w:val="none"/>
              </w:rPr>
              <w:t xml:space="preserve">Y</w:t>
            </w:r>
            <w:r>
              <w:rPr>
                <w:rFonts w:ascii="等线" w:hAnsi="等线" w:eastAsia="等线" w:cs="等线"/>
                <w:b/>
                <w:color w:val="666666"/>
                <w:highlight w:val="none"/>
              </w:rPr>
              <w:t xml:space="preserve">＜</w:t>
            </w:r>
            <w:r>
              <w:rPr>
                <w:rFonts w:ascii="宋体" w:hAnsi="宋体" w:cs="宋体"/>
                <w:b/>
                <w:color w:val="666666"/>
                <w:highlight w:val="none"/>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Y＜</w:t>
            </w:r>
            <w:r>
              <w:rPr>
                <w:rFonts w:ascii="宋体" w:hAnsi="宋体" w:cs="宋体"/>
                <w:b/>
                <w:color w:val="666666"/>
                <w:highlight w:val="none"/>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从业人员（</w:t>
            </w:r>
            <w:r>
              <w:rPr>
                <w:rFonts w:ascii="宋体" w:hAnsi="宋体" w:cs="宋体"/>
                <w:b/>
                <w:color w:val="666666"/>
                <w:highlight w:val="none"/>
              </w:rPr>
              <w:t xml:space="preserve">X</w:t>
            </w:r>
            <w:r>
              <w:rPr>
                <w:rFonts w:ascii="等线" w:hAnsi="等线" w:eastAsia="等线" w:cs="等线"/>
                <w:b/>
                <w:color w:val="666666"/>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300≤</w:t>
            </w:r>
            <w:r>
              <w:rPr>
                <w:rFonts w:ascii="宋体" w:hAnsi="宋体" w:cs="宋体"/>
                <w:b/>
                <w:color w:val="666666"/>
                <w:highlight w:val="none"/>
              </w:rPr>
              <w:t xml:space="preserve">X</w:t>
            </w:r>
            <w:r>
              <w:rPr>
                <w:rFonts w:ascii="等线" w:hAnsi="等线" w:eastAsia="等线" w:cs="等线"/>
                <w:b/>
                <w:color w:val="666666"/>
                <w:highlight w:val="none"/>
              </w:rPr>
              <w:t xml:space="preserve">＜</w:t>
            </w:r>
            <w:r>
              <w:rPr>
                <w:rFonts w:ascii="宋体" w:hAnsi="宋体" w:cs="宋体"/>
                <w:b/>
                <w:color w:val="666666"/>
                <w:highlight w:val="none"/>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20≤</w:t>
            </w:r>
            <w:r>
              <w:rPr>
                <w:rFonts w:ascii="宋体" w:hAnsi="宋体" w:cs="宋体"/>
                <w:b/>
                <w:color w:val="666666"/>
                <w:highlight w:val="none"/>
              </w:rPr>
              <w:t xml:space="preserve">X</w:t>
            </w:r>
            <w:r>
              <w:rPr>
                <w:rFonts w:ascii="等线" w:hAnsi="等线" w:eastAsia="等线" w:cs="等线"/>
                <w:b/>
                <w:color w:val="666666"/>
                <w:highlight w:val="none"/>
              </w:rPr>
              <w:t xml:space="preserve">＜</w:t>
            </w:r>
            <w:r>
              <w:rPr>
                <w:rFonts w:ascii="宋体" w:hAnsi="宋体" w:cs="宋体"/>
                <w:b/>
                <w:color w:val="666666"/>
                <w:highlight w:val="none"/>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X＜</w:t>
            </w:r>
            <w:r>
              <w:rPr>
                <w:rFonts w:ascii="宋体" w:hAnsi="宋体" w:cs="宋体"/>
                <w:b/>
                <w:color w:val="666666"/>
                <w:highlight w:val="none"/>
              </w:rPr>
              <w:t xml:space="preserve">20</w:t>
            </w:r>
            <w:r/>
          </w:p>
        </w:tc>
      </w:tr>
      <w:tr>
        <w:trPr>
          <w:trHeight w:val="225"/>
        </w:trPr>
        <w:tc>
          <w:tcPr>
            <w:tcW w:w="1716" w:type="dxa"/>
            <w:vMerge w:val="continue"/>
            <w:textDirection w:val="lrTb"/>
            <w:noWrap w:val="false"/>
          </w:tcPr>
          <w:p>
            <w:pPr>
              <w:rPr>
                <w:highlight w:val="none"/>
              </w:rPr>
            </w:pPr>
            <w:r>
              <w:rPr>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营业收入（</w:t>
            </w:r>
            <w:r>
              <w:rPr>
                <w:rFonts w:ascii="宋体" w:hAnsi="宋体" w:cs="宋体"/>
                <w:b/>
                <w:color w:val="666666"/>
                <w:highlight w:val="none"/>
              </w:rPr>
              <w:t xml:space="preserve">Y</w:t>
            </w:r>
            <w:r>
              <w:rPr>
                <w:rFonts w:ascii="等线" w:hAnsi="等线" w:eastAsia="等线" w:cs="等线"/>
                <w:b/>
                <w:color w:val="666666"/>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2000≤</w:t>
            </w:r>
            <w:r>
              <w:rPr>
                <w:rFonts w:ascii="宋体" w:hAnsi="宋体" w:cs="宋体"/>
                <w:b/>
                <w:color w:val="666666"/>
                <w:highlight w:val="none"/>
              </w:rPr>
              <w:t xml:space="preserve">Y</w:t>
            </w:r>
            <w:r>
              <w:rPr>
                <w:rFonts w:ascii="等线" w:hAnsi="等线" w:eastAsia="等线" w:cs="等线"/>
                <w:b/>
                <w:color w:val="666666"/>
                <w:highlight w:val="none"/>
              </w:rPr>
              <w:t xml:space="preserve">＜</w:t>
            </w:r>
            <w:r>
              <w:rPr>
                <w:rFonts w:ascii="宋体" w:hAnsi="宋体" w:cs="宋体"/>
                <w:b/>
                <w:color w:val="666666"/>
                <w:highlight w:val="none"/>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300≤</w:t>
            </w:r>
            <w:r>
              <w:rPr>
                <w:rFonts w:ascii="宋体" w:hAnsi="宋体" w:cs="宋体"/>
                <w:b/>
                <w:color w:val="666666"/>
                <w:highlight w:val="none"/>
              </w:rPr>
              <w:t xml:space="preserve">Y</w:t>
            </w:r>
            <w:r>
              <w:rPr>
                <w:rFonts w:ascii="等线" w:hAnsi="等线" w:eastAsia="等线" w:cs="等线"/>
                <w:b/>
                <w:color w:val="666666"/>
                <w:highlight w:val="none"/>
              </w:rPr>
              <w:t xml:space="preserve">＜</w:t>
            </w:r>
            <w:r>
              <w:rPr>
                <w:rFonts w:ascii="宋体" w:hAnsi="宋体" w:cs="宋体"/>
                <w:b/>
                <w:color w:val="666666"/>
                <w:highlight w:val="none"/>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Y＜</w:t>
            </w:r>
            <w:r>
              <w:rPr>
                <w:rFonts w:ascii="宋体" w:hAnsi="宋体" w:cs="宋体"/>
                <w:b/>
                <w:color w:val="666666"/>
                <w:highlight w:val="none"/>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营业收入（</w:t>
            </w:r>
            <w:r>
              <w:rPr>
                <w:rFonts w:ascii="宋体" w:hAnsi="宋体" w:cs="宋体"/>
                <w:b/>
                <w:color w:val="666666"/>
                <w:highlight w:val="none"/>
              </w:rPr>
              <w:t xml:space="preserve">Y</w:t>
            </w:r>
            <w:r>
              <w:rPr>
                <w:rFonts w:ascii="等线" w:hAnsi="等线" w:eastAsia="等线" w:cs="等线"/>
                <w:b/>
                <w:color w:val="666666"/>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6000≤</w:t>
            </w:r>
            <w:r>
              <w:rPr>
                <w:rFonts w:ascii="宋体" w:hAnsi="宋体" w:cs="宋体"/>
                <w:b/>
                <w:color w:val="666666"/>
                <w:highlight w:val="none"/>
              </w:rPr>
              <w:t xml:space="preserve">Y</w:t>
            </w:r>
            <w:r>
              <w:rPr>
                <w:rFonts w:ascii="等线" w:hAnsi="等线" w:eastAsia="等线" w:cs="等线"/>
                <w:b/>
                <w:color w:val="666666"/>
                <w:highlight w:val="none"/>
              </w:rPr>
              <w:t xml:space="preserve">＜</w:t>
            </w:r>
            <w:r>
              <w:rPr>
                <w:rFonts w:ascii="宋体" w:hAnsi="宋体" w:cs="宋体"/>
                <w:b/>
                <w:color w:val="666666"/>
                <w:highlight w:val="none"/>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300≤</w:t>
            </w:r>
            <w:r>
              <w:rPr>
                <w:rFonts w:ascii="宋体" w:hAnsi="宋体" w:cs="宋体"/>
                <w:b/>
                <w:color w:val="666666"/>
                <w:highlight w:val="none"/>
              </w:rPr>
              <w:t xml:space="preserve">Y</w:t>
            </w:r>
            <w:r>
              <w:rPr>
                <w:rFonts w:ascii="等线" w:hAnsi="等线" w:eastAsia="等线" w:cs="等线"/>
                <w:b/>
                <w:color w:val="666666"/>
                <w:highlight w:val="none"/>
              </w:rPr>
              <w:t xml:space="preserve">＜</w:t>
            </w:r>
            <w:r>
              <w:rPr>
                <w:rFonts w:ascii="宋体" w:hAnsi="宋体" w:cs="宋体"/>
                <w:b/>
                <w:color w:val="666666"/>
                <w:highlight w:val="none"/>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Y＜</w:t>
            </w:r>
            <w:r>
              <w:rPr>
                <w:rFonts w:ascii="宋体" w:hAnsi="宋体" w:cs="宋体"/>
                <w:b/>
                <w:color w:val="666666"/>
                <w:highlight w:val="none"/>
              </w:rPr>
              <w:t xml:space="preserve">300</w:t>
            </w:r>
            <w:r/>
          </w:p>
        </w:tc>
      </w:tr>
      <w:tr>
        <w:trPr>
          <w:trHeight w:val="225"/>
        </w:trPr>
        <w:tc>
          <w:tcPr>
            <w:tcW w:w="1716" w:type="dxa"/>
            <w:vMerge w:val="continue"/>
            <w:textDirection w:val="lrTb"/>
            <w:noWrap w:val="false"/>
          </w:tcPr>
          <w:p>
            <w:pPr>
              <w:rPr>
                <w:highlight w:val="none"/>
              </w:rPr>
            </w:pPr>
            <w:r>
              <w:rPr>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资产总额（</w:t>
            </w:r>
            <w:r>
              <w:rPr>
                <w:rFonts w:ascii="宋体" w:hAnsi="宋体" w:cs="宋体"/>
                <w:b/>
                <w:color w:val="666666"/>
                <w:highlight w:val="none"/>
              </w:rPr>
              <w:t xml:space="preserve">Z</w:t>
            </w:r>
            <w:r>
              <w:rPr>
                <w:rFonts w:ascii="等线" w:hAnsi="等线" w:eastAsia="等线" w:cs="等线"/>
                <w:b/>
                <w:color w:val="666666"/>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5000≤</w:t>
            </w:r>
            <w:r>
              <w:rPr>
                <w:rFonts w:ascii="宋体" w:hAnsi="宋体" w:cs="宋体"/>
                <w:b/>
                <w:color w:val="666666"/>
                <w:highlight w:val="none"/>
              </w:rPr>
              <w:t xml:space="preserve">Z</w:t>
            </w:r>
            <w:r>
              <w:rPr>
                <w:rFonts w:ascii="等线" w:hAnsi="等线" w:eastAsia="等线" w:cs="等线"/>
                <w:b/>
                <w:color w:val="666666"/>
                <w:highlight w:val="none"/>
              </w:rPr>
              <w:t xml:space="preserve">＜</w:t>
            </w:r>
            <w:r>
              <w:rPr>
                <w:rFonts w:ascii="宋体" w:hAnsi="宋体" w:cs="宋体"/>
                <w:b/>
                <w:color w:val="666666"/>
                <w:highlight w:val="none"/>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300≤</w:t>
            </w:r>
            <w:r>
              <w:rPr>
                <w:rFonts w:ascii="宋体" w:hAnsi="宋体" w:cs="宋体"/>
                <w:b/>
                <w:color w:val="666666"/>
                <w:highlight w:val="none"/>
              </w:rPr>
              <w:t xml:space="preserve">Z</w:t>
            </w:r>
            <w:r>
              <w:rPr>
                <w:rFonts w:ascii="等线" w:hAnsi="等线" w:eastAsia="等线" w:cs="等线"/>
                <w:b/>
                <w:color w:val="666666"/>
                <w:highlight w:val="none"/>
              </w:rPr>
              <w:t xml:space="preserve">＜</w:t>
            </w:r>
            <w:r>
              <w:rPr>
                <w:rFonts w:ascii="宋体" w:hAnsi="宋体" w:cs="宋体"/>
                <w:b/>
                <w:color w:val="666666"/>
                <w:highlight w:val="none"/>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Z＜</w:t>
            </w:r>
            <w:r>
              <w:rPr>
                <w:rFonts w:ascii="宋体" w:hAnsi="宋体" w:cs="宋体"/>
                <w:b/>
                <w:color w:val="666666"/>
                <w:highlight w:val="none"/>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从业人员（</w:t>
            </w:r>
            <w:r>
              <w:rPr>
                <w:rFonts w:ascii="宋体" w:hAnsi="宋体" w:cs="宋体"/>
                <w:b/>
                <w:color w:val="666666"/>
                <w:highlight w:val="none"/>
              </w:rPr>
              <w:t xml:space="preserve">X</w:t>
            </w:r>
            <w:r>
              <w:rPr>
                <w:rFonts w:ascii="等线" w:hAnsi="等线" w:eastAsia="等线" w:cs="等线"/>
                <w:b/>
                <w:color w:val="666666"/>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20≤</w:t>
            </w:r>
            <w:r>
              <w:rPr>
                <w:rFonts w:ascii="宋体" w:hAnsi="宋体" w:cs="宋体"/>
                <w:b/>
                <w:color w:val="666666"/>
                <w:highlight w:val="none"/>
              </w:rPr>
              <w:t xml:space="preserve">X</w:t>
            </w:r>
            <w:r>
              <w:rPr>
                <w:rFonts w:ascii="等线" w:hAnsi="等线" w:eastAsia="等线" w:cs="等线"/>
                <w:b/>
                <w:color w:val="666666"/>
                <w:highlight w:val="none"/>
              </w:rPr>
              <w:t xml:space="preserve">＜</w:t>
            </w:r>
            <w:r>
              <w:rPr>
                <w:rFonts w:ascii="宋体" w:hAnsi="宋体" w:cs="宋体"/>
                <w:b/>
                <w:color w:val="666666"/>
                <w:highlight w:val="none"/>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5≤</w:t>
            </w:r>
            <w:r>
              <w:rPr>
                <w:rFonts w:ascii="宋体" w:hAnsi="宋体" w:cs="宋体"/>
                <w:b/>
                <w:color w:val="666666"/>
                <w:highlight w:val="none"/>
              </w:rPr>
              <w:t xml:space="preserve">X</w:t>
            </w:r>
            <w:r>
              <w:rPr>
                <w:rFonts w:ascii="等线" w:hAnsi="等线" w:eastAsia="等线" w:cs="等线"/>
                <w:b/>
                <w:color w:val="666666"/>
                <w:highlight w:val="none"/>
              </w:rPr>
              <w:t xml:space="preserve">＜</w:t>
            </w:r>
            <w:r>
              <w:rPr>
                <w:rFonts w:ascii="宋体" w:hAnsi="宋体" w:cs="宋体"/>
                <w:b/>
                <w:color w:val="666666"/>
                <w:highlight w:val="none"/>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X＜</w:t>
            </w:r>
            <w:r>
              <w:rPr>
                <w:rFonts w:ascii="宋体" w:hAnsi="宋体" w:cs="宋体"/>
                <w:b/>
                <w:color w:val="666666"/>
                <w:highlight w:val="none"/>
              </w:rPr>
              <w:t xml:space="preserve">5</w:t>
            </w:r>
            <w:r/>
          </w:p>
        </w:tc>
      </w:tr>
      <w:tr>
        <w:trPr>
          <w:trHeight w:val="225"/>
        </w:trPr>
        <w:tc>
          <w:tcPr>
            <w:tcW w:w="1716" w:type="dxa"/>
            <w:vMerge w:val="continue"/>
            <w:textDirection w:val="lrTb"/>
            <w:noWrap w:val="false"/>
          </w:tcPr>
          <w:p>
            <w:pPr>
              <w:rPr>
                <w:highlight w:val="none"/>
              </w:rPr>
            </w:pPr>
            <w:r>
              <w:rPr>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营业收入（</w:t>
            </w:r>
            <w:r>
              <w:rPr>
                <w:rFonts w:ascii="宋体" w:hAnsi="宋体" w:cs="宋体"/>
                <w:b/>
                <w:color w:val="666666"/>
                <w:highlight w:val="none"/>
              </w:rPr>
              <w:t xml:space="preserve">Y</w:t>
            </w:r>
            <w:r>
              <w:rPr>
                <w:rFonts w:ascii="等线" w:hAnsi="等线" w:eastAsia="等线" w:cs="等线"/>
                <w:b/>
                <w:color w:val="666666"/>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5000≤</w:t>
            </w:r>
            <w:r>
              <w:rPr>
                <w:rFonts w:ascii="宋体" w:hAnsi="宋体" w:cs="宋体"/>
                <w:b/>
                <w:color w:val="666666"/>
                <w:highlight w:val="none"/>
              </w:rPr>
              <w:t xml:space="preserve">Y</w:t>
            </w:r>
            <w:r>
              <w:rPr>
                <w:rFonts w:ascii="等线" w:hAnsi="等线" w:eastAsia="等线" w:cs="等线"/>
                <w:b/>
                <w:color w:val="666666"/>
                <w:highlight w:val="none"/>
              </w:rPr>
              <w:t xml:space="preserve">＜</w:t>
            </w:r>
            <w:r>
              <w:rPr>
                <w:rFonts w:ascii="宋体" w:hAnsi="宋体" w:cs="宋体"/>
                <w:b/>
                <w:color w:val="666666"/>
                <w:highlight w:val="none"/>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1000≤</w:t>
            </w:r>
            <w:r>
              <w:rPr>
                <w:rFonts w:ascii="宋体" w:hAnsi="宋体" w:cs="宋体"/>
                <w:b/>
                <w:color w:val="666666"/>
                <w:highlight w:val="none"/>
              </w:rPr>
              <w:t xml:space="preserve">Y</w:t>
            </w:r>
            <w:r>
              <w:rPr>
                <w:rFonts w:ascii="等线" w:hAnsi="等线" w:eastAsia="等线" w:cs="等线"/>
                <w:b/>
                <w:color w:val="666666"/>
                <w:highlight w:val="none"/>
              </w:rPr>
              <w:t xml:space="preserve">＜</w:t>
            </w:r>
            <w:r>
              <w:rPr>
                <w:rFonts w:ascii="宋体" w:hAnsi="宋体" w:cs="宋体"/>
                <w:b/>
                <w:color w:val="666666"/>
                <w:highlight w:val="none"/>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Y＜</w:t>
            </w:r>
            <w:r>
              <w:rPr>
                <w:rFonts w:ascii="宋体" w:hAnsi="宋体" w:cs="宋体"/>
                <w:b/>
                <w:color w:val="666666"/>
                <w:highlight w:val="none"/>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从业人员（</w:t>
            </w:r>
            <w:r>
              <w:rPr>
                <w:rFonts w:ascii="宋体" w:hAnsi="宋体" w:cs="宋体"/>
                <w:b/>
                <w:color w:val="666666"/>
                <w:highlight w:val="none"/>
              </w:rPr>
              <w:t xml:space="preserve">X</w:t>
            </w:r>
            <w:r>
              <w:rPr>
                <w:rFonts w:ascii="等线" w:hAnsi="等线" w:eastAsia="等线" w:cs="等线"/>
                <w:b/>
                <w:color w:val="666666"/>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50≤</w:t>
            </w:r>
            <w:r>
              <w:rPr>
                <w:rFonts w:ascii="宋体" w:hAnsi="宋体" w:cs="宋体"/>
                <w:b/>
                <w:color w:val="666666"/>
                <w:highlight w:val="none"/>
              </w:rPr>
              <w:t xml:space="preserve">X</w:t>
            </w:r>
            <w:r>
              <w:rPr>
                <w:rFonts w:ascii="等线" w:hAnsi="等线" w:eastAsia="等线" w:cs="等线"/>
                <w:b/>
                <w:color w:val="666666"/>
                <w:highlight w:val="none"/>
              </w:rPr>
              <w:t xml:space="preserve">＜</w:t>
            </w:r>
            <w:r>
              <w:rPr>
                <w:rFonts w:ascii="宋体" w:hAnsi="宋体" w:cs="宋体"/>
                <w:b/>
                <w:color w:val="666666"/>
                <w:highlight w:val="none"/>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10≤</w:t>
            </w:r>
            <w:r>
              <w:rPr>
                <w:rFonts w:ascii="宋体" w:hAnsi="宋体" w:cs="宋体"/>
                <w:b/>
                <w:color w:val="666666"/>
                <w:highlight w:val="none"/>
              </w:rPr>
              <w:t xml:space="preserve">X</w:t>
            </w:r>
            <w:r>
              <w:rPr>
                <w:rFonts w:ascii="等线" w:hAnsi="等线" w:eastAsia="等线" w:cs="等线"/>
                <w:b/>
                <w:color w:val="666666"/>
                <w:highlight w:val="none"/>
              </w:rPr>
              <w:t xml:space="preserve">＜</w:t>
            </w:r>
            <w:r>
              <w:rPr>
                <w:rFonts w:ascii="宋体" w:hAnsi="宋体" w:cs="宋体"/>
                <w:b/>
                <w:color w:val="666666"/>
                <w:highlight w:val="none"/>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X＜</w:t>
            </w:r>
            <w:r>
              <w:rPr>
                <w:rFonts w:ascii="宋体" w:hAnsi="宋体" w:cs="宋体"/>
                <w:b/>
                <w:color w:val="666666"/>
                <w:highlight w:val="none"/>
              </w:rPr>
              <w:t xml:space="preserve">10</w:t>
            </w:r>
            <w:r/>
          </w:p>
        </w:tc>
      </w:tr>
      <w:tr>
        <w:trPr>
          <w:trHeight w:val="225"/>
        </w:trPr>
        <w:tc>
          <w:tcPr>
            <w:tcW w:w="1716" w:type="dxa"/>
            <w:vMerge w:val="continue"/>
            <w:textDirection w:val="lrTb"/>
            <w:noWrap w:val="false"/>
          </w:tcPr>
          <w:p>
            <w:pPr>
              <w:rPr>
                <w:highlight w:val="none"/>
              </w:rPr>
            </w:pPr>
            <w:r>
              <w:rPr>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营业收入（</w:t>
            </w:r>
            <w:r>
              <w:rPr>
                <w:rFonts w:ascii="宋体" w:hAnsi="宋体" w:cs="宋体"/>
                <w:b/>
                <w:color w:val="666666"/>
                <w:highlight w:val="none"/>
              </w:rPr>
              <w:t xml:space="preserve">Y</w:t>
            </w:r>
            <w:r>
              <w:rPr>
                <w:rFonts w:ascii="等线" w:hAnsi="等线" w:eastAsia="等线" w:cs="等线"/>
                <w:b/>
                <w:color w:val="666666"/>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500≤</w:t>
            </w:r>
            <w:r>
              <w:rPr>
                <w:rFonts w:ascii="宋体" w:hAnsi="宋体" w:cs="宋体"/>
                <w:b/>
                <w:color w:val="666666"/>
                <w:highlight w:val="none"/>
              </w:rPr>
              <w:t xml:space="preserve">Y</w:t>
            </w:r>
            <w:r>
              <w:rPr>
                <w:rFonts w:ascii="等线" w:hAnsi="等线" w:eastAsia="等线" w:cs="等线"/>
                <w:b/>
                <w:color w:val="666666"/>
                <w:highlight w:val="none"/>
              </w:rPr>
              <w:t xml:space="preserve">＜</w:t>
            </w:r>
            <w:r>
              <w:rPr>
                <w:rFonts w:ascii="宋体" w:hAnsi="宋体" w:cs="宋体"/>
                <w:b/>
                <w:color w:val="666666"/>
                <w:highlight w:val="none"/>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100≤</w:t>
            </w:r>
            <w:r>
              <w:rPr>
                <w:rFonts w:ascii="宋体" w:hAnsi="宋体" w:cs="宋体"/>
                <w:b/>
                <w:color w:val="666666"/>
                <w:highlight w:val="none"/>
              </w:rPr>
              <w:t xml:space="preserve">Y</w:t>
            </w:r>
            <w:r>
              <w:rPr>
                <w:rFonts w:ascii="等线" w:hAnsi="等线" w:eastAsia="等线" w:cs="等线"/>
                <w:b/>
                <w:color w:val="666666"/>
                <w:highlight w:val="none"/>
              </w:rPr>
              <w:t xml:space="preserve">＜</w:t>
            </w:r>
            <w:r>
              <w:rPr>
                <w:rFonts w:ascii="宋体" w:hAnsi="宋体" w:cs="宋体"/>
                <w:b/>
                <w:color w:val="666666"/>
                <w:highlight w:val="none"/>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Y＜</w:t>
            </w:r>
            <w:r>
              <w:rPr>
                <w:rFonts w:ascii="宋体" w:hAnsi="宋体" w:cs="宋体"/>
                <w:b/>
                <w:color w:val="666666"/>
                <w:highlight w:val="none"/>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从业人员（</w:t>
            </w:r>
            <w:r>
              <w:rPr>
                <w:rFonts w:ascii="宋体" w:hAnsi="宋体" w:cs="宋体"/>
                <w:b/>
                <w:color w:val="666666"/>
                <w:highlight w:val="none"/>
              </w:rPr>
              <w:t xml:space="preserve">X</w:t>
            </w:r>
            <w:r>
              <w:rPr>
                <w:rFonts w:ascii="等线" w:hAnsi="等线" w:eastAsia="等线" w:cs="等线"/>
                <w:b/>
                <w:color w:val="666666"/>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300≤</w:t>
            </w:r>
            <w:r>
              <w:rPr>
                <w:rFonts w:ascii="宋体" w:hAnsi="宋体" w:cs="宋体"/>
                <w:b/>
                <w:color w:val="666666"/>
                <w:highlight w:val="none"/>
              </w:rPr>
              <w:t xml:space="preserve">X</w:t>
            </w:r>
            <w:r>
              <w:rPr>
                <w:rFonts w:ascii="等线" w:hAnsi="等线" w:eastAsia="等线" w:cs="等线"/>
                <w:b/>
                <w:color w:val="666666"/>
                <w:highlight w:val="none"/>
              </w:rPr>
              <w:t xml:space="preserve">＜</w:t>
            </w:r>
            <w:r>
              <w:rPr>
                <w:rFonts w:ascii="宋体" w:hAnsi="宋体" w:cs="宋体"/>
                <w:b/>
                <w:color w:val="666666"/>
                <w:highlight w:val="none"/>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20≤</w:t>
            </w:r>
            <w:r>
              <w:rPr>
                <w:rFonts w:ascii="宋体" w:hAnsi="宋体" w:cs="宋体"/>
                <w:b/>
                <w:color w:val="666666"/>
                <w:highlight w:val="none"/>
              </w:rPr>
              <w:t xml:space="preserve">X</w:t>
            </w:r>
            <w:r>
              <w:rPr>
                <w:rFonts w:ascii="等线" w:hAnsi="等线" w:eastAsia="等线" w:cs="等线"/>
                <w:b/>
                <w:color w:val="666666"/>
                <w:highlight w:val="none"/>
              </w:rPr>
              <w:t xml:space="preserve">＜</w:t>
            </w:r>
            <w:r>
              <w:rPr>
                <w:rFonts w:ascii="宋体" w:hAnsi="宋体" w:cs="宋体"/>
                <w:b/>
                <w:color w:val="666666"/>
                <w:highlight w:val="none"/>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X＜</w:t>
            </w:r>
            <w:r>
              <w:rPr>
                <w:rFonts w:ascii="宋体" w:hAnsi="宋体" w:cs="宋体"/>
                <w:b/>
                <w:color w:val="666666"/>
                <w:highlight w:val="none"/>
              </w:rPr>
              <w:t xml:space="preserve">20</w:t>
            </w:r>
            <w:r/>
          </w:p>
        </w:tc>
      </w:tr>
      <w:tr>
        <w:trPr>
          <w:trHeight w:val="225"/>
        </w:trPr>
        <w:tc>
          <w:tcPr>
            <w:tcW w:w="1716" w:type="dxa"/>
            <w:vMerge w:val="continue"/>
            <w:textDirection w:val="lrTb"/>
            <w:noWrap w:val="false"/>
          </w:tcPr>
          <w:p>
            <w:pPr>
              <w:rPr>
                <w:highlight w:val="none"/>
              </w:rPr>
            </w:pPr>
            <w:r>
              <w:rPr>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营业收入（</w:t>
            </w:r>
            <w:r>
              <w:rPr>
                <w:rFonts w:ascii="宋体" w:hAnsi="宋体" w:cs="宋体"/>
                <w:b/>
                <w:color w:val="666666"/>
                <w:highlight w:val="none"/>
              </w:rPr>
              <w:t xml:space="preserve">Y</w:t>
            </w:r>
            <w:r>
              <w:rPr>
                <w:rFonts w:ascii="等线" w:hAnsi="等线" w:eastAsia="等线" w:cs="等线"/>
                <w:b/>
                <w:color w:val="666666"/>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3000≤</w:t>
            </w:r>
            <w:r>
              <w:rPr>
                <w:rFonts w:ascii="宋体" w:hAnsi="宋体" w:cs="宋体"/>
                <w:b/>
                <w:color w:val="666666"/>
                <w:highlight w:val="none"/>
              </w:rPr>
              <w:t xml:space="preserve">Y</w:t>
            </w:r>
            <w:r>
              <w:rPr>
                <w:rFonts w:ascii="等线" w:hAnsi="等线" w:eastAsia="等线" w:cs="等线"/>
                <w:b/>
                <w:color w:val="666666"/>
                <w:highlight w:val="none"/>
              </w:rPr>
              <w:t xml:space="preserve">＜</w:t>
            </w:r>
            <w:r>
              <w:rPr>
                <w:rFonts w:ascii="宋体" w:hAnsi="宋体" w:cs="宋体"/>
                <w:b/>
                <w:color w:val="666666"/>
                <w:highlight w:val="none"/>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200≤</w:t>
            </w:r>
            <w:r>
              <w:rPr>
                <w:rFonts w:ascii="宋体" w:hAnsi="宋体" w:cs="宋体"/>
                <w:b/>
                <w:color w:val="666666"/>
                <w:highlight w:val="none"/>
              </w:rPr>
              <w:t xml:space="preserve">Y</w:t>
            </w:r>
            <w:r>
              <w:rPr>
                <w:rFonts w:ascii="等线" w:hAnsi="等线" w:eastAsia="等线" w:cs="等线"/>
                <w:b/>
                <w:color w:val="666666"/>
                <w:highlight w:val="none"/>
              </w:rPr>
              <w:t xml:space="preserve">＜</w:t>
            </w:r>
            <w:r>
              <w:rPr>
                <w:rFonts w:ascii="宋体" w:hAnsi="宋体" w:cs="宋体"/>
                <w:b/>
                <w:color w:val="666666"/>
                <w:highlight w:val="none"/>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Y＜</w:t>
            </w:r>
            <w:r>
              <w:rPr>
                <w:rFonts w:ascii="宋体" w:hAnsi="宋体" w:cs="宋体"/>
                <w:b/>
                <w:color w:val="666666"/>
                <w:highlight w:val="none"/>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从业人员（</w:t>
            </w:r>
            <w:r>
              <w:rPr>
                <w:rFonts w:ascii="宋体" w:hAnsi="宋体" w:cs="宋体"/>
                <w:b/>
                <w:color w:val="666666"/>
                <w:highlight w:val="none"/>
              </w:rPr>
              <w:t xml:space="preserve">X</w:t>
            </w:r>
            <w:r>
              <w:rPr>
                <w:rFonts w:ascii="等线" w:hAnsi="等线" w:eastAsia="等线" w:cs="等线"/>
                <w:b/>
                <w:color w:val="666666"/>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100≤</w:t>
            </w:r>
            <w:r>
              <w:rPr>
                <w:rFonts w:ascii="宋体" w:hAnsi="宋体" w:cs="宋体"/>
                <w:b/>
                <w:color w:val="666666"/>
                <w:highlight w:val="none"/>
              </w:rPr>
              <w:t xml:space="preserve">X</w:t>
            </w:r>
            <w:r>
              <w:rPr>
                <w:rFonts w:ascii="等线" w:hAnsi="等线" w:eastAsia="等线" w:cs="等线"/>
                <w:b/>
                <w:color w:val="666666"/>
                <w:highlight w:val="none"/>
              </w:rPr>
              <w:t xml:space="preserve">＜</w:t>
            </w:r>
            <w:r>
              <w:rPr>
                <w:rFonts w:ascii="宋体" w:hAnsi="宋体" w:cs="宋体"/>
                <w:b/>
                <w:color w:val="666666"/>
                <w:highlight w:val="none"/>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20≤</w:t>
            </w:r>
            <w:r>
              <w:rPr>
                <w:rFonts w:ascii="宋体" w:hAnsi="宋体" w:cs="宋体"/>
                <w:b/>
                <w:color w:val="666666"/>
                <w:highlight w:val="none"/>
              </w:rPr>
              <w:t xml:space="preserve">X</w:t>
            </w:r>
            <w:r>
              <w:rPr>
                <w:rFonts w:ascii="等线" w:hAnsi="等线" w:eastAsia="等线" w:cs="等线"/>
                <w:b/>
                <w:color w:val="666666"/>
                <w:highlight w:val="none"/>
              </w:rPr>
              <w:t xml:space="preserve">＜</w:t>
            </w:r>
            <w:r>
              <w:rPr>
                <w:rFonts w:ascii="宋体" w:hAnsi="宋体" w:cs="宋体"/>
                <w:b/>
                <w:color w:val="666666"/>
                <w:highlight w:val="none"/>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X＜</w:t>
            </w:r>
            <w:r>
              <w:rPr>
                <w:rFonts w:ascii="宋体" w:hAnsi="宋体" w:cs="宋体"/>
                <w:b/>
                <w:color w:val="666666"/>
                <w:highlight w:val="none"/>
              </w:rPr>
              <w:t xml:space="preserve">20</w:t>
            </w:r>
            <w:r/>
          </w:p>
        </w:tc>
      </w:tr>
      <w:tr>
        <w:trPr>
          <w:trHeight w:val="225"/>
        </w:trPr>
        <w:tc>
          <w:tcPr>
            <w:tcW w:w="1716" w:type="dxa"/>
            <w:vMerge w:val="continue"/>
            <w:textDirection w:val="lrTb"/>
            <w:noWrap w:val="false"/>
          </w:tcPr>
          <w:p>
            <w:pPr>
              <w:rPr>
                <w:highlight w:val="none"/>
              </w:rPr>
            </w:pPr>
            <w:r>
              <w:rPr>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营业收入（</w:t>
            </w:r>
            <w:r>
              <w:rPr>
                <w:rFonts w:ascii="宋体" w:hAnsi="宋体" w:cs="宋体"/>
                <w:b/>
                <w:color w:val="666666"/>
                <w:highlight w:val="none"/>
              </w:rPr>
              <w:t xml:space="preserve">Y</w:t>
            </w:r>
            <w:r>
              <w:rPr>
                <w:rFonts w:ascii="等线" w:hAnsi="等线" w:eastAsia="等线" w:cs="等线"/>
                <w:b/>
                <w:color w:val="666666"/>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1000≤</w:t>
            </w:r>
            <w:r>
              <w:rPr>
                <w:rFonts w:ascii="宋体" w:hAnsi="宋体" w:cs="宋体"/>
                <w:b/>
                <w:color w:val="666666"/>
                <w:highlight w:val="none"/>
              </w:rPr>
              <w:t xml:space="preserve">Y</w:t>
            </w:r>
            <w:r>
              <w:rPr>
                <w:rFonts w:ascii="等线" w:hAnsi="等线" w:eastAsia="等线" w:cs="等线"/>
                <w:b/>
                <w:color w:val="666666"/>
                <w:highlight w:val="none"/>
              </w:rPr>
              <w:t xml:space="preserve">＜</w:t>
            </w:r>
            <w:r>
              <w:rPr>
                <w:rFonts w:ascii="宋体" w:hAnsi="宋体" w:cs="宋体"/>
                <w:b/>
                <w:color w:val="666666"/>
                <w:highlight w:val="none"/>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100≤</w:t>
            </w:r>
            <w:r>
              <w:rPr>
                <w:rFonts w:ascii="宋体" w:hAnsi="宋体" w:cs="宋体"/>
                <w:b/>
                <w:color w:val="666666"/>
                <w:highlight w:val="none"/>
              </w:rPr>
              <w:t xml:space="preserve">Y</w:t>
            </w:r>
            <w:r>
              <w:rPr>
                <w:rFonts w:ascii="等线" w:hAnsi="等线" w:eastAsia="等线" w:cs="等线"/>
                <w:b/>
                <w:color w:val="666666"/>
                <w:highlight w:val="none"/>
              </w:rPr>
              <w:t xml:space="preserve">＜</w:t>
            </w:r>
            <w:r>
              <w:rPr>
                <w:rFonts w:ascii="宋体" w:hAnsi="宋体" w:cs="宋体"/>
                <w:b/>
                <w:color w:val="666666"/>
                <w:highlight w:val="none"/>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Y＜</w:t>
            </w:r>
            <w:r>
              <w:rPr>
                <w:rFonts w:ascii="宋体" w:hAnsi="宋体" w:cs="宋体"/>
                <w:b/>
                <w:color w:val="666666"/>
                <w:highlight w:val="none"/>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从业人员（</w:t>
            </w:r>
            <w:r>
              <w:rPr>
                <w:rFonts w:ascii="宋体" w:hAnsi="宋体" w:cs="宋体"/>
                <w:b/>
                <w:color w:val="666666"/>
                <w:highlight w:val="none"/>
              </w:rPr>
              <w:t xml:space="preserve">X</w:t>
            </w:r>
            <w:r>
              <w:rPr>
                <w:rFonts w:ascii="等线" w:hAnsi="等线" w:eastAsia="等线" w:cs="等线"/>
                <w:b/>
                <w:color w:val="666666"/>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300≤</w:t>
            </w:r>
            <w:r>
              <w:rPr>
                <w:rFonts w:ascii="宋体" w:hAnsi="宋体" w:cs="宋体"/>
                <w:b/>
                <w:color w:val="666666"/>
                <w:highlight w:val="none"/>
              </w:rPr>
              <w:t xml:space="preserve">X</w:t>
            </w:r>
            <w:r>
              <w:rPr>
                <w:rFonts w:ascii="等线" w:hAnsi="等线" w:eastAsia="等线" w:cs="等线"/>
                <w:b/>
                <w:color w:val="666666"/>
                <w:highlight w:val="none"/>
              </w:rPr>
              <w:t xml:space="preserve">＜</w:t>
            </w:r>
            <w:r>
              <w:rPr>
                <w:rFonts w:ascii="宋体" w:hAnsi="宋体" w:cs="宋体"/>
                <w:b/>
                <w:color w:val="666666"/>
                <w:highlight w:val="none"/>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20≤</w:t>
            </w:r>
            <w:r>
              <w:rPr>
                <w:rFonts w:ascii="宋体" w:hAnsi="宋体" w:cs="宋体"/>
                <w:b/>
                <w:color w:val="666666"/>
                <w:highlight w:val="none"/>
              </w:rPr>
              <w:t xml:space="preserve">X</w:t>
            </w:r>
            <w:r>
              <w:rPr>
                <w:rFonts w:ascii="等线" w:hAnsi="等线" w:eastAsia="等线" w:cs="等线"/>
                <w:b/>
                <w:color w:val="666666"/>
                <w:highlight w:val="none"/>
              </w:rPr>
              <w:t xml:space="preserve">＜</w:t>
            </w:r>
            <w:r>
              <w:rPr>
                <w:rFonts w:ascii="宋体" w:hAnsi="宋体" w:cs="宋体"/>
                <w:b/>
                <w:color w:val="666666"/>
                <w:highlight w:val="none"/>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X＜</w:t>
            </w:r>
            <w:r>
              <w:rPr>
                <w:rFonts w:ascii="宋体" w:hAnsi="宋体" w:cs="宋体"/>
                <w:b/>
                <w:color w:val="666666"/>
                <w:highlight w:val="none"/>
              </w:rPr>
              <w:t xml:space="preserve">20</w:t>
            </w:r>
            <w:r/>
          </w:p>
        </w:tc>
      </w:tr>
      <w:tr>
        <w:trPr>
          <w:trHeight w:val="225"/>
        </w:trPr>
        <w:tc>
          <w:tcPr>
            <w:tcW w:w="1716" w:type="dxa"/>
            <w:vMerge w:val="continue"/>
            <w:textDirection w:val="lrTb"/>
            <w:noWrap w:val="false"/>
          </w:tcPr>
          <w:p>
            <w:pPr>
              <w:rPr>
                <w:highlight w:val="none"/>
              </w:rPr>
            </w:pPr>
            <w:r>
              <w:rPr>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营业收入（</w:t>
            </w:r>
            <w:r>
              <w:rPr>
                <w:rFonts w:ascii="宋体" w:hAnsi="宋体" w:cs="宋体"/>
                <w:b/>
                <w:color w:val="666666"/>
                <w:highlight w:val="none"/>
              </w:rPr>
              <w:t xml:space="preserve">Y</w:t>
            </w:r>
            <w:r>
              <w:rPr>
                <w:rFonts w:ascii="等线" w:hAnsi="等线" w:eastAsia="等线" w:cs="等线"/>
                <w:b/>
                <w:color w:val="666666"/>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2000≤</w:t>
            </w:r>
            <w:r>
              <w:rPr>
                <w:rFonts w:ascii="宋体" w:hAnsi="宋体" w:cs="宋体"/>
                <w:b/>
                <w:color w:val="666666"/>
                <w:highlight w:val="none"/>
              </w:rPr>
              <w:t xml:space="preserve">Y</w:t>
            </w:r>
            <w:r>
              <w:rPr>
                <w:rFonts w:ascii="等线" w:hAnsi="等线" w:eastAsia="等线" w:cs="等线"/>
                <w:b/>
                <w:color w:val="666666"/>
                <w:highlight w:val="none"/>
              </w:rPr>
              <w:t xml:space="preserve">＜</w:t>
            </w:r>
            <w:r>
              <w:rPr>
                <w:rFonts w:ascii="宋体" w:hAnsi="宋体" w:cs="宋体"/>
                <w:b/>
                <w:color w:val="666666"/>
                <w:highlight w:val="none"/>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100≤</w:t>
            </w:r>
            <w:r>
              <w:rPr>
                <w:rFonts w:ascii="宋体" w:hAnsi="宋体" w:cs="宋体"/>
                <w:b/>
                <w:color w:val="666666"/>
                <w:highlight w:val="none"/>
              </w:rPr>
              <w:t xml:space="preserve">Y</w:t>
            </w:r>
            <w:r>
              <w:rPr>
                <w:rFonts w:ascii="等线" w:hAnsi="等线" w:eastAsia="等线" w:cs="等线"/>
                <w:b/>
                <w:color w:val="666666"/>
                <w:highlight w:val="none"/>
              </w:rPr>
              <w:t xml:space="preserve">＜</w:t>
            </w:r>
            <w:r>
              <w:rPr>
                <w:rFonts w:ascii="宋体" w:hAnsi="宋体" w:cs="宋体"/>
                <w:b/>
                <w:color w:val="666666"/>
                <w:highlight w:val="none"/>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Y＜</w:t>
            </w:r>
            <w:r>
              <w:rPr>
                <w:rFonts w:ascii="宋体" w:hAnsi="宋体" w:cs="宋体"/>
                <w:b/>
                <w:color w:val="666666"/>
                <w:highlight w:val="none"/>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从业人员（</w:t>
            </w:r>
            <w:r>
              <w:rPr>
                <w:rFonts w:ascii="宋体" w:hAnsi="宋体" w:cs="宋体"/>
                <w:b/>
                <w:color w:val="666666"/>
                <w:highlight w:val="none"/>
              </w:rPr>
              <w:t xml:space="preserve">X</w:t>
            </w:r>
            <w:r>
              <w:rPr>
                <w:rFonts w:ascii="等线" w:hAnsi="等线" w:eastAsia="等线" w:cs="等线"/>
                <w:b/>
                <w:color w:val="666666"/>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100≤</w:t>
            </w:r>
            <w:r>
              <w:rPr>
                <w:rFonts w:ascii="宋体" w:hAnsi="宋体" w:cs="宋体"/>
                <w:b/>
                <w:color w:val="666666"/>
                <w:highlight w:val="none"/>
              </w:rPr>
              <w:t xml:space="preserve">X</w:t>
            </w:r>
            <w:r>
              <w:rPr>
                <w:rFonts w:ascii="等线" w:hAnsi="等线" w:eastAsia="等线" w:cs="等线"/>
                <w:b/>
                <w:color w:val="666666"/>
                <w:highlight w:val="none"/>
              </w:rPr>
              <w:t xml:space="preserve">＜</w:t>
            </w:r>
            <w:r>
              <w:rPr>
                <w:rFonts w:ascii="宋体" w:hAnsi="宋体" w:cs="宋体"/>
                <w:b/>
                <w:color w:val="666666"/>
                <w:highlight w:val="none"/>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10≤</w:t>
            </w:r>
            <w:r>
              <w:rPr>
                <w:rFonts w:ascii="宋体" w:hAnsi="宋体" w:cs="宋体"/>
                <w:b/>
                <w:color w:val="666666"/>
                <w:highlight w:val="none"/>
              </w:rPr>
              <w:t xml:space="preserve">X</w:t>
            </w:r>
            <w:r>
              <w:rPr>
                <w:rFonts w:ascii="等线" w:hAnsi="等线" w:eastAsia="等线" w:cs="等线"/>
                <w:b/>
                <w:color w:val="666666"/>
                <w:highlight w:val="none"/>
              </w:rPr>
              <w:t xml:space="preserve">＜</w:t>
            </w:r>
            <w:r>
              <w:rPr>
                <w:rFonts w:ascii="宋体" w:hAnsi="宋体" w:cs="宋体"/>
                <w:b/>
                <w:color w:val="666666"/>
                <w:highlight w:val="none"/>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X＜</w:t>
            </w:r>
            <w:r>
              <w:rPr>
                <w:rFonts w:ascii="宋体" w:hAnsi="宋体" w:cs="宋体"/>
                <w:b/>
                <w:color w:val="666666"/>
                <w:highlight w:val="none"/>
              </w:rPr>
              <w:t xml:space="preserve">10</w:t>
            </w:r>
            <w:r/>
          </w:p>
        </w:tc>
      </w:tr>
      <w:tr>
        <w:trPr>
          <w:trHeight w:val="225"/>
        </w:trPr>
        <w:tc>
          <w:tcPr>
            <w:tcW w:w="1716" w:type="dxa"/>
            <w:vMerge w:val="continue"/>
            <w:textDirection w:val="lrTb"/>
            <w:noWrap w:val="false"/>
          </w:tcPr>
          <w:p>
            <w:pPr>
              <w:rPr>
                <w:highlight w:val="none"/>
              </w:rPr>
            </w:pPr>
            <w:r>
              <w:rPr>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营业收入（</w:t>
            </w:r>
            <w:r>
              <w:rPr>
                <w:rFonts w:ascii="宋体" w:hAnsi="宋体" w:cs="宋体"/>
                <w:b/>
                <w:color w:val="666666"/>
                <w:highlight w:val="none"/>
              </w:rPr>
              <w:t xml:space="preserve">Y</w:t>
            </w:r>
            <w:r>
              <w:rPr>
                <w:rFonts w:ascii="等线" w:hAnsi="等线" w:eastAsia="等线" w:cs="等线"/>
                <w:b/>
                <w:color w:val="666666"/>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2000≤</w:t>
            </w:r>
            <w:r>
              <w:rPr>
                <w:rFonts w:ascii="宋体" w:hAnsi="宋体" w:cs="宋体"/>
                <w:b/>
                <w:color w:val="666666"/>
                <w:highlight w:val="none"/>
              </w:rPr>
              <w:t xml:space="preserve">Y</w:t>
            </w:r>
            <w:r>
              <w:rPr>
                <w:rFonts w:ascii="等线" w:hAnsi="等线" w:eastAsia="等线" w:cs="等线"/>
                <w:b/>
                <w:color w:val="666666"/>
                <w:highlight w:val="none"/>
              </w:rPr>
              <w:t xml:space="preserve">＜</w:t>
            </w:r>
            <w:r>
              <w:rPr>
                <w:rFonts w:ascii="宋体" w:hAnsi="宋体" w:cs="宋体"/>
                <w:b/>
                <w:color w:val="666666"/>
                <w:highlight w:val="none"/>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100≤</w:t>
            </w:r>
            <w:r>
              <w:rPr>
                <w:rFonts w:ascii="宋体" w:hAnsi="宋体" w:cs="宋体"/>
                <w:b/>
                <w:color w:val="666666"/>
                <w:highlight w:val="none"/>
              </w:rPr>
              <w:t xml:space="preserve">Y</w:t>
            </w:r>
            <w:r>
              <w:rPr>
                <w:rFonts w:ascii="等线" w:hAnsi="等线" w:eastAsia="等线" w:cs="等线"/>
                <w:b/>
                <w:color w:val="666666"/>
                <w:highlight w:val="none"/>
              </w:rPr>
              <w:t xml:space="preserve">＜</w:t>
            </w:r>
            <w:r>
              <w:rPr>
                <w:rFonts w:ascii="宋体" w:hAnsi="宋体" w:cs="宋体"/>
                <w:b/>
                <w:color w:val="666666"/>
                <w:highlight w:val="none"/>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Y＜</w:t>
            </w:r>
            <w:r>
              <w:rPr>
                <w:rFonts w:ascii="宋体" w:hAnsi="宋体" w:cs="宋体"/>
                <w:b/>
                <w:color w:val="666666"/>
                <w:highlight w:val="none"/>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从业人员（</w:t>
            </w:r>
            <w:r>
              <w:rPr>
                <w:rFonts w:ascii="宋体" w:hAnsi="宋体" w:cs="宋体"/>
                <w:b/>
                <w:color w:val="666666"/>
                <w:highlight w:val="none"/>
              </w:rPr>
              <w:t xml:space="preserve">X</w:t>
            </w:r>
            <w:r>
              <w:rPr>
                <w:rFonts w:ascii="等线" w:hAnsi="等线" w:eastAsia="等线" w:cs="等线"/>
                <w:b/>
                <w:color w:val="666666"/>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100≤</w:t>
            </w:r>
            <w:r>
              <w:rPr>
                <w:rFonts w:ascii="宋体" w:hAnsi="宋体" w:cs="宋体"/>
                <w:b/>
                <w:color w:val="666666"/>
                <w:highlight w:val="none"/>
              </w:rPr>
              <w:t xml:space="preserve">X</w:t>
            </w:r>
            <w:r>
              <w:rPr>
                <w:rFonts w:ascii="等线" w:hAnsi="等线" w:eastAsia="等线" w:cs="等线"/>
                <w:b/>
                <w:color w:val="666666"/>
                <w:highlight w:val="none"/>
              </w:rPr>
              <w:t xml:space="preserve">＜</w:t>
            </w:r>
            <w:r>
              <w:rPr>
                <w:rFonts w:ascii="宋体" w:hAnsi="宋体" w:cs="宋体"/>
                <w:b/>
                <w:color w:val="666666"/>
                <w:highlight w:val="none"/>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10≤</w:t>
            </w:r>
            <w:r>
              <w:rPr>
                <w:rFonts w:ascii="宋体" w:hAnsi="宋体" w:cs="宋体"/>
                <w:b/>
                <w:color w:val="666666"/>
                <w:highlight w:val="none"/>
              </w:rPr>
              <w:t xml:space="preserve">X</w:t>
            </w:r>
            <w:r>
              <w:rPr>
                <w:rFonts w:ascii="等线" w:hAnsi="等线" w:eastAsia="等线" w:cs="等线"/>
                <w:b/>
                <w:color w:val="666666"/>
                <w:highlight w:val="none"/>
              </w:rPr>
              <w:t xml:space="preserve">＜</w:t>
            </w:r>
            <w:r>
              <w:rPr>
                <w:rFonts w:ascii="宋体" w:hAnsi="宋体" w:cs="宋体"/>
                <w:b/>
                <w:color w:val="666666"/>
                <w:highlight w:val="none"/>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X＜</w:t>
            </w:r>
            <w:r>
              <w:rPr>
                <w:rFonts w:ascii="宋体" w:hAnsi="宋体" w:cs="宋体"/>
                <w:b/>
                <w:color w:val="666666"/>
                <w:highlight w:val="none"/>
              </w:rPr>
              <w:t xml:space="preserve">10</w:t>
            </w:r>
            <w:r/>
          </w:p>
        </w:tc>
      </w:tr>
      <w:tr>
        <w:trPr>
          <w:trHeight w:val="225"/>
        </w:trPr>
        <w:tc>
          <w:tcPr>
            <w:tcW w:w="1716" w:type="dxa"/>
            <w:vMerge w:val="continue"/>
            <w:textDirection w:val="lrTb"/>
            <w:noWrap w:val="false"/>
          </w:tcPr>
          <w:p>
            <w:pPr>
              <w:rPr>
                <w:highlight w:val="none"/>
              </w:rPr>
            </w:pPr>
            <w:r>
              <w:rPr>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营业收入（</w:t>
            </w:r>
            <w:r>
              <w:rPr>
                <w:rFonts w:ascii="宋体" w:hAnsi="宋体" w:cs="宋体"/>
                <w:b/>
                <w:color w:val="666666"/>
                <w:highlight w:val="none"/>
              </w:rPr>
              <w:t xml:space="preserve">Y</w:t>
            </w:r>
            <w:r>
              <w:rPr>
                <w:rFonts w:ascii="等线" w:hAnsi="等线" w:eastAsia="等线" w:cs="等线"/>
                <w:b/>
                <w:color w:val="666666"/>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2000≤</w:t>
            </w:r>
            <w:r>
              <w:rPr>
                <w:rFonts w:ascii="宋体" w:hAnsi="宋体" w:cs="宋体"/>
                <w:b/>
                <w:color w:val="666666"/>
                <w:highlight w:val="none"/>
              </w:rPr>
              <w:t xml:space="preserve">Y</w:t>
            </w:r>
            <w:r>
              <w:rPr>
                <w:rFonts w:ascii="等线" w:hAnsi="等线" w:eastAsia="等线" w:cs="等线"/>
                <w:b/>
                <w:color w:val="666666"/>
                <w:highlight w:val="none"/>
              </w:rPr>
              <w:t xml:space="preserve">＜</w:t>
            </w:r>
            <w:r>
              <w:rPr>
                <w:rFonts w:ascii="宋体" w:hAnsi="宋体" w:cs="宋体"/>
                <w:b/>
                <w:color w:val="666666"/>
                <w:highlight w:val="none"/>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100≤</w:t>
            </w:r>
            <w:r>
              <w:rPr>
                <w:rFonts w:ascii="宋体" w:hAnsi="宋体" w:cs="宋体"/>
                <w:b/>
                <w:color w:val="666666"/>
                <w:highlight w:val="none"/>
              </w:rPr>
              <w:t xml:space="preserve">Y</w:t>
            </w:r>
            <w:r>
              <w:rPr>
                <w:rFonts w:ascii="等线" w:hAnsi="等线" w:eastAsia="等线" w:cs="等线"/>
                <w:b/>
                <w:color w:val="666666"/>
                <w:highlight w:val="none"/>
              </w:rPr>
              <w:t xml:space="preserve">＜</w:t>
            </w:r>
            <w:r>
              <w:rPr>
                <w:rFonts w:ascii="宋体" w:hAnsi="宋体" w:cs="宋体"/>
                <w:b/>
                <w:color w:val="666666"/>
                <w:highlight w:val="none"/>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Y＜</w:t>
            </w:r>
            <w:r>
              <w:rPr>
                <w:rFonts w:ascii="宋体" w:hAnsi="宋体" w:cs="宋体"/>
                <w:b/>
                <w:color w:val="666666"/>
                <w:highlight w:val="none"/>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从业人员（</w:t>
            </w:r>
            <w:r>
              <w:rPr>
                <w:rFonts w:ascii="宋体" w:hAnsi="宋体" w:cs="宋体"/>
                <w:b/>
                <w:color w:val="666666"/>
                <w:highlight w:val="none"/>
              </w:rPr>
              <w:t xml:space="preserve">X</w:t>
            </w:r>
            <w:r>
              <w:rPr>
                <w:rFonts w:ascii="等线" w:hAnsi="等线" w:eastAsia="等线" w:cs="等线"/>
                <w:b/>
                <w:color w:val="666666"/>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100≤</w:t>
            </w:r>
            <w:r>
              <w:rPr>
                <w:rFonts w:ascii="宋体" w:hAnsi="宋体" w:cs="宋体"/>
                <w:b/>
                <w:color w:val="666666"/>
                <w:highlight w:val="none"/>
              </w:rPr>
              <w:t xml:space="preserve">X</w:t>
            </w:r>
            <w:r>
              <w:rPr>
                <w:rFonts w:ascii="等线" w:hAnsi="等线" w:eastAsia="等线" w:cs="等线"/>
                <w:b/>
                <w:color w:val="666666"/>
                <w:highlight w:val="none"/>
              </w:rPr>
              <w:t xml:space="preserve">＜</w:t>
            </w:r>
            <w:r>
              <w:rPr>
                <w:rFonts w:ascii="宋体" w:hAnsi="宋体" w:cs="宋体"/>
                <w:b/>
                <w:color w:val="666666"/>
                <w:highlight w:val="none"/>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10≤</w:t>
            </w:r>
            <w:r>
              <w:rPr>
                <w:rFonts w:ascii="宋体" w:hAnsi="宋体" w:cs="宋体"/>
                <w:b/>
                <w:color w:val="666666"/>
                <w:highlight w:val="none"/>
              </w:rPr>
              <w:t xml:space="preserve">X</w:t>
            </w:r>
            <w:r>
              <w:rPr>
                <w:rFonts w:ascii="等线" w:hAnsi="等线" w:eastAsia="等线" w:cs="等线"/>
                <w:b/>
                <w:color w:val="666666"/>
                <w:highlight w:val="none"/>
              </w:rPr>
              <w:t xml:space="preserve">＜</w:t>
            </w:r>
            <w:r>
              <w:rPr>
                <w:rFonts w:ascii="宋体" w:hAnsi="宋体" w:cs="宋体"/>
                <w:b/>
                <w:color w:val="666666"/>
                <w:highlight w:val="none"/>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X＜</w:t>
            </w:r>
            <w:r>
              <w:rPr>
                <w:rFonts w:ascii="宋体" w:hAnsi="宋体" w:cs="宋体"/>
                <w:b/>
                <w:color w:val="666666"/>
                <w:highlight w:val="none"/>
              </w:rPr>
              <w:t xml:space="preserve">10</w:t>
            </w:r>
            <w:r/>
          </w:p>
        </w:tc>
      </w:tr>
      <w:tr>
        <w:trPr>
          <w:trHeight w:val="225"/>
        </w:trPr>
        <w:tc>
          <w:tcPr>
            <w:tcW w:w="1716" w:type="dxa"/>
            <w:vMerge w:val="continue"/>
            <w:textDirection w:val="lrTb"/>
            <w:noWrap w:val="false"/>
          </w:tcPr>
          <w:p>
            <w:pPr>
              <w:rPr>
                <w:highlight w:val="none"/>
              </w:rPr>
            </w:pPr>
            <w:r>
              <w:rPr>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营业收入（</w:t>
            </w:r>
            <w:r>
              <w:rPr>
                <w:rFonts w:ascii="宋体" w:hAnsi="宋体" w:cs="宋体"/>
                <w:b/>
                <w:color w:val="666666"/>
                <w:highlight w:val="none"/>
              </w:rPr>
              <w:t xml:space="preserve">Y</w:t>
            </w:r>
            <w:r>
              <w:rPr>
                <w:rFonts w:ascii="等线" w:hAnsi="等线" w:eastAsia="等线" w:cs="等线"/>
                <w:b/>
                <w:color w:val="666666"/>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1000≤</w:t>
            </w:r>
            <w:r>
              <w:rPr>
                <w:rFonts w:ascii="宋体" w:hAnsi="宋体" w:cs="宋体"/>
                <w:b/>
                <w:color w:val="666666"/>
                <w:highlight w:val="none"/>
              </w:rPr>
              <w:t xml:space="preserve">Y</w:t>
            </w:r>
            <w:r>
              <w:rPr>
                <w:rFonts w:ascii="等线" w:hAnsi="等线" w:eastAsia="等线" w:cs="等线"/>
                <w:b/>
                <w:color w:val="666666"/>
                <w:highlight w:val="none"/>
              </w:rPr>
              <w:t xml:space="preserve">＜</w:t>
            </w:r>
            <w:r>
              <w:rPr>
                <w:rFonts w:ascii="宋体" w:hAnsi="宋体" w:cs="宋体"/>
                <w:b/>
                <w:color w:val="666666"/>
                <w:highlight w:val="none"/>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100≤</w:t>
            </w:r>
            <w:r>
              <w:rPr>
                <w:rFonts w:ascii="宋体" w:hAnsi="宋体" w:cs="宋体"/>
                <w:b/>
                <w:color w:val="666666"/>
                <w:highlight w:val="none"/>
              </w:rPr>
              <w:t xml:space="preserve">Y</w:t>
            </w:r>
            <w:r>
              <w:rPr>
                <w:rFonts w:ascii="等线" w:hAnsi="等线" w:eastAsia="等线" w:cs="等线"/>
                <w:b/>
                <w:color w:val="666666"/>
                <w:highlight w:val="none"/>
              </w:rPr>
              <w:t xml:space="preserve">＜</w:t>
            </w:r>
            <w:r>
              <w:rPr>
                <w:rFonts w:ascii="宋体" w:hAnsi="宋体" w:cs="宋体"/>
                <w:b/>
                <w:color w:val="666666"/>
                <w:highlight w:val="none"/>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Y＜</w:t>
            </w:r>
            <w:r>
              <w:rPr>
                <w:rFonts w:ascii="宋体" w:hAnsi="宋体" w:cs="宋体"/>
                <w:b/>
                <w:color w:val="666666"/>
                <w:highlight w:val="none"/>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firstLine="420"/>
              <w:jc w:val="cente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从业人员（</w:t>
            </w:r>
            <w:r>
              <w:rPr>
                <w:rFonts w:ascii="宋体" w:hAnsi="宋体" w:cs="宋体"/>
                <w:b/>
                <w:color w:val="666666"/>
                <w:highlight w:val="none"/>
              </w:rPr>
              <w:t xml:space="preserve">X</w:t>
            </w:r>
            <w:r>
              <w:rPr>
                <w:rFonts w:ascii="等线" w:hAnsi="等线" w:eastAsia="等线" w:cs="等线"/>
                <w:b/>
                <w:color w:val="666666"/>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100≤</w:t>
            </w:r>
            <w:r>
              <w:rPr>
                <w:rFonts w:ascii="宋体" w:hAnsi="宋体" w:cs="宋体"/>
                <w:b/>
                <w:color w:val="666666"/>
                <w:highlight w:val="none"/>
              </w:rPr>
              <w:t xml:space="preserve">X</w:t>
            </w:r>
            <w:r>
              <w:rPr>
                <w:rFonts w:ascii="等线" w:hAnsi="等线" w:eastAsia="等线" w:cs="等线"/>
                <w:b/>
                <w:color w:val="666666"/>
                <w:highlight w:val="none"/>
              </w:rPr>
              <w:t xml:space="preserve">＜</w:t>
            </w:r>
            <w:r>
              <w:rPr>
                <w:rFonts w:ascii="宋体" w:hAnsi="宋体" w:cs="宋体"/>
                <w:b/>
                <w:color w:val="666666"/>
                <w:highlight w:val="none"/>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10≤</w:t>
            </w:r>
            <w:r>
              <w:rPr>
                <w:rFonts w:ascii="宋体" w:hAnsi="宋体" w:cs="宋体"/>
                <w:b/>
                <w:color w:val="666666"/>
                <w:highlight w:val="none"/>
              </w:rPr>
              <w:t xml:space="preserve">X</w:t>
            </w:r>
            <w:r>
              <w:rPr>
                <w:rFonts w:ascii="等线" w:hAnsi="等线" w:eastAsia="等线" w:cs="等线"/>
                <w:b/>
                <w:color w:val="666666"/>
                <w:highlight w:val="none"/>
              </w:rPr>
              <w:t xml:space="preserve">＜</w:t>
            </w:r>
            <w:r>
              <w:rPr>
                <w:rFonts w:ascii="宋体" w:hAnsi="宋体" w:cs="宋体"/>
                <w:b/>
                <w:color w:val="666666"/>
                <w:highlight w:val="none"/>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X＜</w:t>
            </w:r>
            <w:r>
              <w:rPr>
                <w:rFonts w:ascii="宋体" w:hAnsi="宋体" w:cs="宋体"/>
                <w:b/>
                <w:color w:val="666666"/>
                <w:highlight w:val="none"/>
              </w:rPr>
              <w:t xml:space="preserve">10</w:t>
            </w:r>
            <w:r/>
          </w:p>
        </w:tc>
      </w:tr>
      <w:tr>
        <w:trPr>
          <w:trHeight w:val="225"/>
        </w:trPr>
        <w:tc>
          <w:tcPr>
            <w:tcW w:w="1716" w:type="dxa"/>
            <w:vMerge w:val="continue"/>
            <w:textDirection w:val="lrTb"/>
            <w:noWrap w:val="false"/>
          </w:tcPr>
          <w:p>
            <w:pPr>
              <w:rPr>
                <w:highlight w:val="none"/>
              </w:rPr>
            </w:pPr>
            <w:r>
              <w:rPr>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营业收入（</w:t>
            </w:r>
            <w:r>
              <w:rPr>
                <w:rFonts w:ascii="宋体" w:hAnsi="宋体" w:cs="宋体"/>
                <w:b/>
                <w:color w:val="666666"/>
                <w:highlight w:val="none"/>
              </w:rPr>
              <w:t xml:space="preserve">Y</w:t>
            </w:r>
            <w:r>
              <w:rPr>
                <w:rFonts w:ascii="等线" w:hAnsi="等线" w:eastAsia="等线" w:cs="等线"/>
                <w:b/>
                <w:color w:val="666666"/>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1000≤</w:t>
            </w:r>
            <w:r>
              <w:rPr>
                <w:rFonts w:ascii="宋体" w:hAnsi="宋体" w:cs="宋体"/>
                <w:b/>
                <w:color w:val="666666"/>
                <w:highlight w:val="none"/>
              </w:rPr>
              <w:t xml:space="preserve">Y</w:t>
            </w:r>
            <w:r>
              <w:rPr>
                <w:rFonts w:ascii="等线" w:hAnsi="等线" w:eastAsia="等线" w:cs="等线"/>
                <w:b/>
                <w:color w:val="666666"/>
                <w:highlight w:val="none"/>
              </w:rPr>
              <w:t xml:space="preserve">＜</w:t>
            </w:r>
            <w:r>
              <w:rPr>
                <w:rFonts w:ascii="宋体" w:hAnsi="宋体" w:cs="宋体"/>
                <w:b/>
                <w:color w:val="666666"/>
                <w:highlight w:val="none"/>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50≤</w:t>
            </w:r>
            <w:r>
              <w:rPr>
                <w:rFonts w:ascii="宋体" w:hAnsi="宋体" w:cs="宋体"/>
                <w:b/>
                <w:color w:val="666666"/>
                <w:highlight w:val="none"/>
              </w:rPr>
              <w:t xml:space="preserve">Y</w:t>
            </w:r>
            <w:r>
              <w:rPr>
                <w:rFonts w:ascii="等线" w:hAnsi="等线" w:eastAsia="等线" w:cs="等线"/>
                <w:b/>
                <w:color w:val="666666"/>
                <w:highlight w:val="none"/>
              </w:rPr>
              <w:t xml:space="preserve">＜</w:t>
            </w:r>
            <w:r>
              <w:rPr>
                <w:rFonts w:ascii="宋体" w:hAnsi="宋体" w:cs="宋体"/>
                <w:b/>
                <w:color w:val="666666"/>
                <w:highlight w:val="none"/>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Y＜</w:t>
            </w:r>
            <w:r>
              <w:rPr>
                <w:rFonts w:ascii="宋体" w:hAnsi="宋体" w:cs="宋体"/>
                <w:b/>
                <w:color w:val="666666"/>
                <w:highlight w:val="none"/>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营业收入（</w:t>
            </w:r>
            <w:r>
              <w:rPr>
                <w:rFonts w:ascii="宋体" w:hAnsi="宋体" w:cs="宋体"/>
                <w:b/>
                <w:color w:val="666666"/>
                <w:highlight w:val="none"/>
              </w:rPr>
              <w:t xml:space="preserve">Y</w:t>
            </w:r>
            <w:r>
              <w:rPr>
                <w:rFonts w:ascii="等线" w:hAnsi="等线" w:eastAsia="等线" w:cs="等线"/>
                <w:b/>
                <w:color w:val="666666"/>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1000≤</w:t>
            </w:r>
            <w:r>
              <w:rPr>
                <w:rFonts w:ascii="宋体" w:hAnsi="宋体" w:cs="宋体"/>
                <w:b/>
                <w:color w:val="666666"/>
                <w:highlight w:val="none"/>
              </w:rPr>
              <w:t xml:space="preserve">Y</w:t>
            </w:r>
            <w:r>
              <w:rPr>
                <w:rFonts w:ascii="等线" w:hAnsi="等线" w:eastAsia="等线" w:cs="等线"/>
                <w:b/>
                <w:color w:val="666666"/>
                <w:highlight w:val="none"/>
              </w:rPr>
              <w:t xml:space="preserve">＜</w:t>
            </w:r>
            <w:r>
              <w:rPr>
                <w:rFonts w:ascii="宋体" w:hAnsi="宋体" w:cs="宋体"/>
                <w:b/>
                <w:color w:val="666666"/>
                <w:highlight w:val="none"/>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100≤</w:t>
            </w:r>
            <w:r>
              <w:rPr>
                <w:rFonts w:ascii="宋体" w:hAnsi="宋体" w:cs="宋体"/>
                <w:b/>
                <w:color w:val="666666"/>
                <w:highlight w:val="none"/>
              </w:rPr>
              <w:t xml:space="preserve">X</w:t>
            </w:r>
            <w:r>
              <w:rPr>
                <w:rFonts w:ascii="等线" w:hAnsi="等线" w:eastAsia="等线" w:cs="等线"/>
                <w:b/>
                <w:color w:val="666666"/>
                <w:highlight w:val="none"/>
              </w:rPr>
              <w:t xml:space="preserve">＜</w:t>
            </w:r>
            <w:r>
              <w:rPr>
                <w:rFonts w:ascii="宋体" w:hAnsi="宋体" w:cs="宋体"/>
                <w:b/>
                <w:color w:val="666666"/>
                <w:highlight w:val="none"/>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X＜</w:t>
            </w:r>
            <w:r>
              <w:rPr>
                <w:rFonts w:ascii="宋体" w:hAnsi="宋体" w:cs="宋体"/>
                <w:b/>
                <w:color w:val="666666"/>
                <w:highlight w:val="none"/>
              </w:rPr>
              <w:t xml:space="preserve">100</w:t>
            </w:r>
            <w:r/>
          </w:p>
        </w:tc>
      </w:tr>
      <w:tr>
        <w:trPr>
          <w:trHeight w:val="225"/>
        </w:trPr>
        <w:tc>
          <w:tcPr>
            <w:tcW w:w="1716" w:type="dxa"/>
            <w:vMerge w:val="continue"/>
            <w:textDirection w:val="lrTb"/>
            <w:noWrap w:val="false"/>
          </w:tcPr>
          <w:p>
            <w:pPr>
              <w:rPr>
                <w:highlight w:val="none"/>
              </w:rPr>
            </w:pPr>
            <w:r>
              <w:rPr>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资产总额（</w:t>
            </w:r>
            <w:r>
              <w:rPr>
                <w:rFonts w:ascii="宋体" w:hAnsi="宋体" w:cs="宋体"/>
                <w:b/>
                <w:color w:val="666666"/>
                <w:highlight w:val="none"/>
              </w:rPr>
              <w:t xml:space="preserve">Z</w:t>
            </w:r>
            <w:r>
              <w:rPr>
                <w:rFonts w:ascii="等线" w:hAnsi="等线" w:eastAsia="等线" w:cs="等线"/>
                <w:b/>
                <w:color w:val="666666"/>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5000≤</w:t>
            </w:r>
            <w:r>
              <w:rPr>
                <w:rFonts w:ascii="宋体" w:hAnsi="宋体" w:cs="宋体"/>
                <w:b/>
                <w:color w:val="666666"/>
                <w:highlight w:val="none"/>
              </w:rPr>
              <w:t xml:space="preserve">Z</w:t>
            </w:r>
            <w:r>
              <w:rPr>
                <w:rFonts w:ascii="等线" w:hAnsi="等线" w:eastAsia="等线" w:cs="等线"/>
                <w:b/>
                <w:color w:val="666666"/>
                <w:highlight w:val="none"/>
              </w:rPr>
              <w:t xml:space="preserve">＜</w:t>
            </w:r>
            <w:r>
              <w:rPr>
                <w:rFonts w:ascii="宋体" w:hAnsi="宋体" w:cs="宋体"/>
                <w:b/>
                <w:color w:val="666666"/>
                <w:highlight w:val="none"/>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2000≤</w:t>
            </w:r>
            <w:r>
              <w:rPr>
                <w:rFonts w:ascii="宋体" w:hAnsi="宋体" w:cs="宋体"/>
                <w:b/>
                <w:color w:val="666666"/>
                <w:highlight w:val="none"/>
              </w:rPr>
              <w:t xml:space="preserve">Y</w:t>
            </w:r>
            <w:r>
              <w:rPr>
                <w:rFonts w:ascii="等线" w:hAnsi="等线" w:eastAsia="等线" w:cs="等线"/>
                <w:b/>
                <w:color w:val="666666"/>
                <w:highlight w:val="none"/>
              </w:rPr>
              <w:t xml:space="preserve">＜</w:t>
            </w:r>
            <w:r>
              <w:rPr>
                <w:rFonts w:ascii="宋体" w:hAnsi="宋体" w:cs="宋体"/>
                <w:b/>
                <w:color w:val="666666"/>
                <w:highlight w:val="none"/>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Y＜</w:t>
            </w:r>
            <w:r>
              <w:rPr>
                <w:rFonts w:ascii="宋体" w:hAnsi="宋体" w:cs="宋体"/>
                <w:b/>
                <w:color w:val="666666"/>
                <w:highlight w:val="none"/>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从业人员（</w:t>
            </w:r>
            <w:r>
              <w:rPr>
                <w:rFonts w:ascii="宋体" w:hAnsi="宋体" w:cs="宋体"/>
                <w:b/>
                <w:color w:val="666666"/>
                <w:highlight w:val="none"/>
              </w:rPr>
              <w:t xml:space="preserve">X</w:t>
            </w:r>
            <w:r>
              <w:rPr>
                <w:rFonts w:ascii="等线" w:hAnsi="等线" w:eastAsia="等线" w:cs="等线"/>
                <w:b/>
                <w:color w:val="666666"/>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300≤</w:t>
            </w:r>
            <w:r>
              <w:rPr>
                <w:rFonts w:ascii="宋体" w:hAnsi="宋体" w:cs="宋体"/>
                <w:b/>
                <w:color w:val="666666"/>
                <w:highlight w:val="none"/>
              </w:rPr>
              <w:t xml:space="preserve">X</w:t>
            </w:r>
            <w:r>
              <w:rPr>
                <w:rFonts w:ascii="等线" w:hAnsi="等线" w:eastAsia="等线" w:cs="等线"/>
                <w:b/>
                <w:color w:val="666666"/>
                <w:highlight w:val="none"/>
              </w:rPr>
              <w:t xml:space="preserve">＜</w:t>
            </w:r>
            <w:r>
              <w:rPr>
                <w:rFonts w:ascii="宋体" w:hAnsi="宋体" w:cs="宋体"/>
                <w:b/>
                <w:color w:val="666666"/>
                <w:highlight w:val="none"/>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100≤</w:t>
            </w:r>
            <w:r>
              <w:rPr>
                <w:rFonts w:ascii="宋体" w:hAnsi="宋体" w:cs="宋体"/>
                <w:b/>
                <w:color w:val="666666"/>
                <w:highlight w:val="none"/>
              </w:rPr>
              <w:t xml:space="preserve">X</w:t>
            </w:r>
            <w:r>
              <w:rPr>
                <w:rFonts w:ascii="等线" w:hAnsi="等线" w:eastAsia="等线" w:cs="等线"/>
                <w:b/>
                <w:color w:val="666666"/>
                <w:highlight w:val="none"/>
              </w:rPr>
              <w:t xml:space="preserve">＜</w:t>
            </w:r>
            <w:r>
              <w:rPr>
                <w:rFonts w:ascii="宋体" w:hAnsi="宋体" w:cs="宋体"/>
                <w:b/>
                <w:color w:val="666666"/>
                <w:highlight w:val="none"/>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X＜</w:t>
            </w:r>
            <w:r>
              <w:rPr>
                <w:rFonts w:ascii="宋体" w:hAnsi="宋体" w:cs="宋体"/>
                <w:b/>
                <w:color w:val="666666"/>
                <w:highlight w:val="none"/>
              </w:rPr>
              <w:t xml:space="preserve">100</w:t>
            </w:r>
            <w:r/>
          </w:p>
        </w:tc>
      </w:tr>
      <w:tr>
        <w:trPr>
          <w:trHeight w:val="225"/>
        </w:trPr>
        <w:tc>
          <w:tcPr>
            <w:tcW w:w="1716" w:type="dxa"/>
            <w:vMerge w:val="continue"/>
            <w:textDirection w:val="lrTb"/>
            <w:noWrap w:val="false"/>
          </w:tcPr>
          <w:p>
            <w:pPr>
              <w:rPr>
                <w:highlight w:val="none"/>
              </w:rPr>
            </w:pPr>
            <w:r>
              <w:rPr>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营业收入（</w:t>
            </w:r>
            <w:r>
              <w:rPr>
                <w:rFonts w:ascii="宋体" w:hAnsi="宋体" w:cs="宋体"/>
                <w:b/>
                <w:color w:val="666666"/>
                <w:highlight w:val="none"/>
              </w:rPr>
              <w:t xml:space="preserve">Y</w:t>
            </w:r>
            <w:r>
              <w:rPr>
                <w:rFonts w:ascii="等线" w:hAnsi="等线" w:eastAsia="等线" w:cs="等线"/>
                <w:b/>
                <w:color w:val="666666"/>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1000≤</w:t>
            </w:r>
            <w:r>
              <w:rPr>
                <w:rFonts w:ascii="宋体" w:hAnsi="宋体" w:cs="宋体"/>
                <w:b/>
                <w:color w:val="666666"/>
                <w:highlight w:val="none"/>
              </w:rPr>
              <w:t xml:space="preserve">Y</w:t>
            </w:r>
            <w:r>
              <w:rPr>
                <w:rFonts w:ascii="等线" w:hAnsi="等线" w:eastAsia="等线" w:cs="等线"/>
                <w:b/>
                <w:color w:val="666666"/>
                <w:highlight w:val="none"/>
              </w:rPr>
              <w:t xml:space="preserve">＜</w:t>
            </w:r>
            <w:r>
              <w:rPr>
                <w:rFonts w:ascii="宋体" w:hAnsi="宋体" w:cs="宋体"/>
                <w:b/>
                <w:color w:val="666666"/>
                <w:highlight w:val="none"/>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500≤</w:t>
            </w:r>
            <w:r>
              <w:rPr>
                <w:rFonts w:ascii="宋体" w:hAnsi="宋体" w:cs="宋体"/>
                <w:b/>
                <w:color w:val="666666"/>
                <w:highlight w:val="none"/>
              </w:rPr>
              <w:t xml:space="preserve">Y</w:t>
            </w:r>
            <w:r>
              <w:rPr>
                <w:rFonts w:ascii="等线" w:hAnsi="等线" w:eastAsia="等线" w:cs="等线"/>
                <w:b/>
                <w:color w:val="666666"/>
                <w:highlight w:val="none"/>
              </w:rPr>
              <w:t xml:space="preserve">＜</w:t>
            </w:r>
            <w:r>
              <w:rPr>
                <w:rFonts w:ascii="宋体" w:hAnsi="宋体" w:cs="宋体"/>
                <w:b/>
                <w:color w:val="666666"/>
                <w:highlight w:val="none"/>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Y＜</w:t>
            </w:r>
            <w:r>
              <w:rPr>
                <w:rFonts w:ascii="宋体" w:hAnsi="宋体" w:cs="宋体"/>
                <w:b/>
                <w:color w:val="666666"/>
                <w:highlight w:val="none"/>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从业人员（</w:t>
            </w:r>
            <w:r>
              <w:rPr>
                <w:rFonts w:ascii="宋体" w:hAnsi="宋体" w:cs="宋体"/>
                <w:b/>
                <w:color w:val="666666"/>
                <w:highlight w:val="none"/>
              </w:rPr>
              <w:t xml:space="preserve">X</w:t>
            </w:r>
            <w:r>
              <w:rPr>
                <w:rFonts w:ascii="等线" w:hAnsi="等线" w:eastAsia="等线" w:cs="等线"/>
                <w:b/>
                <w:color w:val="666666"/>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100≤</w:t>
            </w:r>
            <w:r>
              <w:rPr>
                <w:rFonts w:ascii="宋体" w:hAnsi="宋体" w:cs="宋体"/>
                <w:b/>
                <w:color w:val="666666"/>
                <w:highlight w:val="none"/>
              </w:rPr>
              <w:t xml:space="preserve">X</w:t>
            </w:r>
            <w:r>
              <w:rPr>
                <w:rFonts w:ascii="等线" w:hAnsi="等线" w:eastAsia="等线" w:cs="等线"/>
                <w:b/>
                <w:color w:val="666666"/>
                <w:highlight w:val="none"/>
              </w:rPr>
              <w:t xml:space="preserve">＜</w:t>
            </w:r>
            <w:r>
              <w:rPr>
                <w:rFonts w:ascii="宋体" w:hAnsi="宋体" w:cs="宋体"/>
                <w:b/>
                <w:color w:val="666666"/>
                <w:highlight w:val="none"/>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10≤</w:t>
            </w:r>
            <w:r>
              <w:rPr>
                <w:rFonts w:ascii="宋体" w:hAnsi="宋体" w:cs="宋体"/>
                <w:b/>
                <w:color w:val="666666"/>
                <w:highlight w:val="none"/>
              </w:rPr>
              <w:t xml:space="preserve">X</w:t>
            </w:r>
            <w:r>
              <w:rPr>
                <w:rFonts w:ascii="等线" w:hAnsi="等线" w:eastAsia="等线" w:cs="等线"/>
                <w:b/>
                <w:color w:val="666666"/>
                <w:highlight w:val="none"/>
              </w:rPr>
              <w:t xml:space="preserve">＜</w:t>
            </w:r>
            <w:r>
              <w:rPr>
                <w:rFonts w:ascii="宋体" w:hAnsi="宋体" w:cs="宋体"/>
                <w:b/>
                <w:color w:val="666666"/>
                <w:highlight w:val="none"/>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X＜</w:t>
            </w:r>
            <w:r>
              <w:rPr>
                <w:rFonts w:ascii="宋体" w:hAnsi="宋体" w:cs="宋体"/>
                <w:b/>
                <w:color w:val="666666"/>
                <w:highlight w:val="none"/>
              </w:rPr>
              <w:t xml:space="preserve">10</w:t>
            </w:r>
            <w:r/>
          </w:p>
        </w:tc>
      </w:tr>
      <w:tr>
        <w:trPr>
          <w:trHeight w:val="225"/>
        </w:trPr>
        <w:tc>
          <w:tcPr>
            <w:tcW w:w="1716" w:type="dxa"/>
            <w:vMerge w:val="continue"/>
            <w:textDirection w:val="lrTb"/>
            <w:noWrap w:val="false"/>
          </w:tcPr>
          <w:p>
            <w:pPr>
              <w:rPr>
                <w:highlight w:val="none"/>
              </w:rPr>
            </w:pPr>
            <w:r>
              <w:rPr>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资产总额（</w:t>
            </w:r>
            <w:r>
              <w:rPr>
                <w:rFonts w:ascii="宋体" w:hAnsi="宋体" w:cs="宋体"/>
                <w:b/>
                <w:color w:val="666666"/>
                <w:highlight w:val="none"/>
              </w:rPr>
              <w:t xml:space="preserve">Z</w:t>
            </w:r>
            <w:r>
              <w:rPr>
                <w:rFonts w:ascii="等线" w:hAnsi="等线" w:eastAsia="等线" w:cs="等线"/>
                <w:b/>
                <w:color w:val="666666"/>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8000≤</w:t>
            </w:r>
            <w:r>
              <w:rPr>
                <w:rFonts w:ascii="宋体" w:hAnsi="宋体" w:cs="宋体"/>
                <w:b/>
                <w:color w:val="666666"/>
                <w:highlight w:val="none"/>
              </w:rPr>
              <w:t xml:space="preserve">Z</w:t>
            </w:r>
            <w:r>
              <w:rPr>
                <w:rFonts w:ascii="等线" w:hAnsi="等线" w:eastAsia="等线" w:cs="等线"/>
                <w:b/>
                <w:color w:val="666666"/>
                <w:highlight w:val="none"/>
              </w:rPr>
              <w:t xml:space="preserve">＜</w:t>
            </w:r>
            <w:r>
              <w:rPr>
                <w:rFonts w:ascii="宋体" w:hAnsi="宋体" w:cs="宋体"/>
                <w:b/>
                <w:color w:val="666666"/>
                <w:highlight w:val="none"/>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100≤</w:t>
            </w:r>
            <w:r>
              <w:rPr>
                <w:rFonts w:ascii="宋体" w:hAnsi="宋体" w:cs="宋体"/>
                <w:b/>
                <w:color w:val="666666"/>
                <w:highlight w:val="none"/>
              </w:rPr>
              <w:t xml:space="preserve">Z</w:t>
            </w:r>
            <w:r>
              <w:rPr>
                <w:rFonts w:ascii="等线" w:hAnsi="等线" w:eastAsia="等线" w:cs="等线"/>
                <w:b/>
                <w:color w:val="666666"/>
                <w:highlight w:val="none"/>
              </w:rPr>
              <w:t xml:space="preserve">＜</w:t>
            </w:r>
            <w:r>
              <w:rPr>
                <w:rFonts w:ascii="宋体" w:hAnsi="宋体" w:cs="宋体"/>
                <w:b/>
                <w:color w:val="666666"/>
                <w:highlight w:val="none"/>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Y＜</w:t>
            </w:r>
            <w:r>
              <w:rPr>
                <w:rFonts w:ascii="宋体" w:hAnsi="宋体" w:cs="宋体"/>
                <w:b/>
                <w:color w:val="666666"/>
                <w:highlight w:val="none"/>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jc w:val="cente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从业人员（</w:t>
            </w:r>
            <w:r>
              <w:rPr>
                <w:rFonts w:ascii="宋体" w:hAnsi="宋体" w:cs="宋体"/>
                <w:b/>
                <w:color w:val="666666"/>
                <w:highlight w:val="none"/>
              </w:rPr>
              <w:t xml:space="preserve">X</w:t>
            </w:r>
            <w:r>
              <w:rPr>
                <w:rFonts w:ascii="等线" w:hAnsi="等线" w:eastAsia="等线" w:cs="等线"/>
                <w:b/>
                <w:color w:val="666666"/>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100≤</w:t>
            </w:r>
            <w:r>
              <w:rPr>
                <w:rFonts w:ascii="宋体" w:hAnsi="宋体" w:cs="宋体"/>
                <w:b/>
                <w:color w:val="666666"/>
                <w:highlight w:val="none"/>
              </w:rPr>
              <w:t xml:space="preserve">X</w:t>
            </w:r>
            <w:r>
              <w:rPr>
                <w:rFonts w:ascii="等线" w:hAnsi="等线" w:eastAsia="等线" w:cs="等线"/>
                <w:b/>
                <w:color w:val="666666"/>
                <w:highlight w:val="none"/>
              </w:rPr>
              <w:t xml:space="preserve">＜</w:t>
            </w:r>
            <w:r>
              <w:rPr>
                <w:rFonts w:ascii="宋体" w:hAnsi="宋体" w:cs="宋体"/>
                <w:b/>
                <w:color w:val="666666"/>
                <w:highlight w:val="none"/>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10≤</w:t>
            </w:r>
            <w:r>
              <w:rPr>
                <w:rFonts w:ascii="宋体" w:hAnsi="宋体" w:cs="宋体"/>
                <w:b/>
                <w:color w:val="666666"/>
                <w:highlight w:val="none"/>
              </w:rPr>
              <w:t xml:space="preserve">X</w:t>
            </w:r>
            <w:r>
              <w:rPr>
                <w:rFonts w:ascii="等线" w:hAnsi="等线" w:eastAsia="等线" w:cs="等线"/>
                <w:b/>
                <w:color w:val="666666"/>
                <w:highlight w:val="none"/>
              </w:rPr>
              <w:t xml:space="preserve">＜</w:t>
            </w:r>
            <w:r>
              <w:rPr>
                <w:rFonts w:ascii="宋体" w:hAnsi="宋体" w:cs="宋体"/>
                <w:b/>
                <w:color w:val="666666"/>
                <w:highlight w:val="none"/>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X＜</w:t>
            </w:r>
            <w:r>
              <w:rPr>
                <w:rFonts w:ascii="宋体" w:hAnsi="宋体" w:cs="宋体"/>
                <w:b/>
                <w:color w:val="666666"/>
                <w:highlight w:val="none"/>
              </w:rPr>
              <w:t xml:space="preserve">10</w:t>
            </w:r>
            <w:r/>
          </w:p>
        </w:tc>
      </w:tr>
    </w:tbl>
    <w:p>
      <w:pPr>
        <w:ind w:firstLine="810"/>
        <w:spacing w:before="300" w:after="452"/>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附件12     残疾人福利性单位声明函（服务类项目）（采购包号：**）</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本单位对上述声明的真实性负责。如有虚假，将依法承担相应责任。</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备注：</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1.专门面向中小微型企业采购的项目，供应商为残疾人福利性单位并提供服务的必须提供此声明函，否则将不能通过资格审查。</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2.非专门面向中小微型企业采购的项目，供应商如不提供此声明函，价格将不做相应扣除。</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3.中标/成交供应商为残疾人福利性单位的，此声明函将随中标/成交结果同时公告，接受社会监督</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供应商全称（加盖CA电子公章）：</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日期：</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jc w:val="left"/>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附件13  </w:t>
      </w:r>
      <w:r>
        <w:rPr>
          <w:rFonts w:hint="eastAsia" w:ascii="宋体" w:hAnsi="宋体" w:cs="宋体"/>
          <w:b/>
          <w:color w:val="000000"/>
          <w:sz w:val="24"/>
          <w:highlight w:val="none"/>
          <w:lang w:val="en-US" w:eastAsia="zh-CN"/>
        </w:rPr>
        <w:t xml:space="preserve">    </w:t>
      </w:r>
      <w:r>
        <w:rPr>
          <w:rFonts w:ascii="宋体" w:hAnsi="宋体" w:cs="宋体"/>
          <w:b/>
          <w:color w:val="000000"/>
          <w:sz w:val="24"/>
          <w:highlight w:val="none"/>
        </w:rPr>
        <w:t xml:space="preserve">关于符合本国产品标准的声明函（采购包号：**）</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before="30" w:after="3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ascii="宋体" w:hAnsi="宋体" w:cs="宋体"/>
          <w:color w:val="000000"/>
          <w:sz w:val="24"/>
          <w:highlight w:val="none"/>
          <w:u w:val="single"/>
        </w:rPr>
        <w:t xml:space="preserve">（产品名称1）</w:t>
      </w:r>
      <w:r>
        <w:rPr>
          <w:rFonts w:ascii="宋体" w:hAnsi="宋体" w:cs="宋体"/>
          <w:color w:val="000000"/>
          <w:sz w:val="24"/>
          <w:highlight w:val="none"/>
          <w:vertAlign w:val="superscript"/>
        </w:rPr>
        <w:t xml:space="preserve">1</w:t>
      </w:r>
      <w:r>
        <w:rPr>
          <w:rFonts w:ascii="宋体" w:hAnsi="宋体" w:cs="宋体"/>
          <w:color w:val="000000"/>
          <w:sz w:val="24"/>
          <w:highlight w:val="none"/>
        </w:rPr>
        <w:t xml:space="preserve">，生产厂为</w:t>
      </w:r>
      <w:r>
        <w:rPr>
          <w:rFonts w:ascii="宋体" w:hAnsi="宋体" w:cs="宋体"/>
          <w:color w:val="000000"/>
          <w:sz w:val="24"/>
          <w:highlight w:val="none"/>
          <w:u w:val="single"/>
        </w:rPr>
        <w:t xml:space="preserve">（厂名）</w:t>
      </w:r>
      <w:r>
        <w:rPr>
          <w:rFonts w:ascii="宋体" w:hAnsi="宋体" w:cs="宋体"/>
          <w:color w:val="000000"/>
          <w:sz w:val="24"/>
          <w:highlight w:val="none"/>
          <w:vertAlign w:val="superscript"/>
        </w:rPr>
        <w:t xml:space="preserve">2</w:t>
      </w:r>
      <w:r>
        <w:rPr>
          <w:rFonts w:ascii="宋体" w:hAnsi="宋体" w:cs="宋体"/>
          <w:color w:val="000000"/>
          <w:sz w:val="24"/>
          <w:highlight w:val="none"/>
        </w:rPr>
        <w:t xml:space="preserve">，厂址为</w:t>
      </w:r>
      <w:r>
        <w:rPr>
          <w:rFonts w:ascii="宋体" w:hAnsi="宋体" w:cs="宋体"/>
          <w:color w:val="000000"/>
          <w:sz w:val="24"/>
          <w:highlight w:val="none"/>
          <w:u w:val="single"/>
        </w:rPr>
        <w:t xml:space="preserve">（生产厂址）</w:t>
      </w:r>
      <w:r>
        <w:rPr>
          <w:rFonts w:ascii="宋体" w:hAnsi="宋体" w:cs="宋体"/>
          <w:color w:val="000000"/>
          <w:sz w:val="24"/>
          <w:highlight w:val="none"/>
        </w:rPr>
        <w:t xml:space="preserve">。</w:t>
      </w:r>
      <w:r>
        <w:rPr>
          <w:rFonts w:ascii="宋体" w:hAnsi="宋体" w:cs="宋体"/>
          <w:color w:val="000000"/>
          <w:sz w:val="24"/>
          <w:highlight w:val="none"/>
          <w:u w:val="single"/>
        </w:rPr>
        <w:t xml:space="preserve"> / </w:t>
      </w:r>
      <w:r>
        <w:rPr>
          <w:rFonts w:ascii="宋体" w:hAnsi="宋体" w:cs="宋体"/>
          <w:color w:val="000000"/>
          <w:sz w:val="24"/>
          <w:highlight w:val="none"/>
        </w:rPr>
        <w:t xml:space="preserve">的中国境内生产的组件成本占比≥</w:t>
      </w:r>
      <w:r>
        <w:rPr>
          <w:rFonts w:ascii="宋体" w:hAnsi="宋体" w:cs="宋体"/>
          <w:color w:val="000000"/>
          <w:sz w:val="24"/>
          <w:highlight w:val="none"/>
          <w:u w:val="single"/>
        </w:rPr>
        <w:t xml:space="preserve">  /  </w:t>
      </w:r>
      <w:r>
        <w:rPr>
          <w:rFonts w:ascii="宋体" w:hAnsi="宋体" w:cs="宋体"/>
          <w:color w:val="000000"/>
          <w:sz w:val="24"/>
          <w:highlight w:val="none"/>
          <w:vertAlign w:val="superscript"/>
        </w:rPr>
        <w:t xml:space="preserve">3</w:t>
      </w:r>
      <w:r>
        <w:rPr>
          <w:rFonts w:ascii="宋体" w:hAnsi="宋体" w:cs="宋体"/>
          <w:color w:val="000000"/>
          <w:sz w:val="24"/>
          <w:highlight w:val="none"/>
        </w:rPr>
        <w:t xml:space="preserve">。</w:t>
      </w:r>
      <w:r>
        <w:rPr>
          <w:rFonts w:ascii="宋体" w:hAnsi="宋体" w:cs="宋体"/>
          <w:color w:val="000000"/>
          <w:sz w:val="24"/>
          <w:highlight w:val="none"/>
          <w:u w:val="single"/>
        </w:rPr>
        <w:t xml:space="preserve">  /  </w:t>
      </w:r>
      <w:r>
        <w:rPr>
          <w:rFonts w:ascii="宋体" w:hAnsi="宋体" w:cs="宋体"/>
          <w:color w:val="000000"/>
          <w:sz w:val="24"/>
          <w:highlight w:val="none"/>
        </w:rPr>
        <w:t xml:space="preserve">的</w:t>
      </w:r>
      <w:r>
        <w:rPr>
          <w:rFonts w:ascii="宋体" w:hAnsi="宋体" w:cs="宋体"/>
          <w:color w:val="000000"/>
          <w:sz w:val="24"/>
          <w:highlight w:val="none"/>
          <w:u w:val="single"/>
        </w:rPr>
        <w:t xml:space="preserve">  /  </w:t>
      </w:r>
      <w:r>
        <w:rPr>
          <w:rFonts w:ascii="宋体" w:hAnsi="宋体" w:cs="宋体"/>
          <w:color w:val="000000"/>
          <w:sz w:val="24"/>
          <w:highlight w:val="none"/>
          <w:vertAlign w:val="superscript"/>
        </w:rPr>
        <w:t xml:space="preserve">4</w:t>
      </w:r>
      <w:r>
        <w:rPr>
          <w:rFonts w:ascii="宋体" w:hAnsi="宋体" w:cs="宋体"/>
          <w:color w:val="000000"/>
          <w:sz w:val="24"/>
          <w:highlight w:val="none"/>
        </w:rPr>
        <w:t xml:space="preserve">在中国境内生产。</w:t>
      </w:r>
      <w:r>
        <w:rPr>
          <w:rFonts w:ascii="宋体" w:hAnsi="宋体" w:cs="宋体"/>
          <w:color w:val="000000"/>
          <w:sz w:val="24"/>
          <w:highlight w:val="none"/>
          <w:u w:val="single"/>
        </w:rPr>
        <w:t xml:space="preserve">  /  </w:t>
      </w:r>
      <w:r>
        <w:rPr>
          <w:rFonts w:ascii="宋体" w:hAnsi="宋体" w:cs="宋体"/>
          <w:color w:val="000000"/>
          <w:sz w:val="24"/>
          <w:highlight w:val="none"/>
        </w:rPr>
        <w:t xml:space="preserve">的</w:t>
      </w:r>
      <w:r>
        <w:rPr>
          <w:rFonts w:ascii="宋体" w:hAnsi="宋体" w:cs="宋体"/>
          <w:color w:val="000000"/>
          <w:sz w:val="24"/>
          <w:highlight w:val="none"/>
          <w:u w:val="single"/>
        </w:rPr>
        <w:t xml:space="preserve">  /  </w:t>
      </w:r>
      <w:r>
        <w:rPr>
          <w:rFonts w:ascii="宋体" w:hAnsi="宋体" w:cs="宋体"/>
          <w:color w:val="000000"/>
          <w:sz w:val="24"/>
          <w:highlight w:val="none"/>
          <w:vertAlign w:val="superscript"/>
        </w:rPr>
        <w:t xml:space="preserve">5</w:t>
      </w:r>
      <w:r>
        <w:rPr>
          <w:rFonts w:ascii="宋体" w:hAnsi="宋体" w:cs="宋体"/>
          <w:color w:val="000000"/>
          <w:sz w:val="24"/>
          <w:highlight w:val="none"/>
        </w:rPr>
        <w:t xml:space="preserve">在中国境内完成。</w:t>
      </w:r>
      <w:r/>
    </w:p>
    <w:p>
      <w:pPr>
        <w:ind w:firstLine="480"/>
        <w:spacing w:before="30" w:after="3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ascii="宋体" w:hAnsi="宋体" w:cs="宋体"/>
          <w:color w:val="000000"/>
          <w:sz w:val="24"/>
          <w:highlight w:val="none"/>
          <w:u w:val="single"/>
        </w:rPr>
        <w:t xml:space="preserve">（产品名称2）</w:t>
      </w:r>
      <w:r>
        <w:rPr>
          <w:rFonts w:ascii="宋体" w:hAnsi="宋体" w:cs="宋体"/>
          <w:color w:val="000000"/>
          <w:sz w:val="24"/>
          <w:highlight w:val="none"/>
        </w:rPr>
        <w:t xml:space="preserve">，生产厂为</w:t>
      </w:r>
      <w:r>
        <w:rPr>
          <w:rFonts w:ascii="宋体" w:hAnsi="宋体" w:cs="宋体"/>
          <w:color w:val="000000"/>
          <w:sz w:val="24"/>
          <w:highlight w:val="none"/>
          <w:u w:val="single"/>
        </w:rPr>
        <w:t xml:space="preserve">（厂名）</w:t>
      </w:r>
      <w:r>
        <w:rPr>
          <w:rFonts w:ascii="宋体" w:hAnsi="宋体" w:cs="宋体"/>
          <w:color w:val="000000"/>
          <w:sz w:val="24"/>
          <w:highlight w:val="none"/>
        </w:rPr>
        <w:t xml:space="preserve">，厂址为</w:t>
      </w:r>
      <w:r>
        <w:rPr>
          <w:rFonts w:ascii="宋体" w:hAnsi="宋体" w:cs="宋体"/>
          <w:color w:val="000000"/>
          <w:sz w:val="24"/>
          <w:highlight w:val="none"/>
          <w:u w:val="single"/>
        </w:rPr>
        <w:t xml:space="preserve">（生产厂址）</w:t>
      </w:r>
      <w:r>
        <w:rPr>
          <w:rFonts w:ascii="宋体" w:hAnsi="宋体" w:cs="宋体"/>
          <w:color w:val="000000"/>
          <w:sz w:val="24"/>
          <w:highlight w:val="none"/>
        </w:rPr>
        <w:t xml:space="preserve">。</w:t>
      </w:r>
      <w:r>
        <w:rPr>
          <w:rFonts w:ascii="宋体" w:hAnsi="宋体" w:cs="宋体"/>
          <w:color w:val="000000"/>
          <w:sz w:val="24"/>
          <w:highlight w:val="none"/>
          <w:u w:val="single"/>
        </w:rPr>
        <w:t xml:space="preserve"> /  </w:t>
      </w:r>
      <w:r>
        <w:rPr>
          <w:rFonts w:ascii="宋体" w:hAnsi="宋体" w:cs="宋体"/>
          <w:color w:val="000000"/>
          <w:sz w:val="24"/>
          <w:highlight w:val="none"/>
        </w:rPr>
        <w:t xml:space="preserve">的中国境内生产的组件成本占比≥</w:t>
      </w:r>
      <w:r>
        <w:rPr>
          <w:rFonts w:ascii="宋体" w:hAnsi="宋体" w:cs="宋体"/>
          <w:color w:val="000000"/>
          <w:sz w:val="24"/>
          <w:highlight w:val="none"/>
          <w:u w:val="single"/>
        </w:rPr>
        <w:t xml:space="preserve">  /  </w:t>
      </w:r>
      <w:r>
        <w:rPr>
          <w:rFonts w:ascii="宋体" w:hAnsi="宋体" w:cs="宋体"/>
          <w:color w:val="000000"/>
          <w:sz w:val="24"/>
          <w:highlight w:val="none"/>
        </w:rPr>
        <w:t xml:space="preserve">。</w:t>
      </w:r>
      <w:r>
        <w:rPr>
          <w:rFonts w:ascii="宋体" w:hAnsi="宋体" w:cs="宋体"/>
          <w:color w:val="000000"/>
          <w:sz w:val="24"/>
          <w:highlight w:val="none"/>
          <w:u w:val="single"/>
        </w:rPr>
        <w:t xml:space="preserve">  /  </w:t>
      </w:r>
      <w:r>
        <w:rPr>
          <w:rFonts w:ascii="宋体" w:hAnsi="宋体" w:cs="宋体"/>
          <w:color w:val="000000"/>
          <w:sz w:val="24"/>
          <w:highlight w:val="none"/>
        </w:rPr>
        <w:t xml:space="preserve">的</w:t>
      </w:r>
      <w:r>
        <w:rPr>
          <w:rFonts w:ascii="宋体" w:hAnsi="宋体" w:cs="宋体"/>
          <w:color w:val="000000"/>
          <w:sz w:val="24"/>
          <w:highlight w:val="none"/>
          <w:u w:val="single"/>
        </w:rPr>
        <w:t xml:space="preserve">  /  </w:t>
      </w:r>
      <w:r>
        <w:rPr>
          <w:rFonts w:ascii="宋体" w:hAnsi="宋体" w:cs="宋体"/>
          <w:color w:val="000000"/>
          <w:sz w:val="24"/>
          <w:highlight w:val="none"/>
        </w:rPr>
        <w:t xml:space="preserve">在中国境内生产。</w:t>
      </w:r>
      <w:r>
        <w:rPr>
          <w:rFonts w:ascii="宋体" w:hAnsi="宋体" w:cs="宋体"/>
          <w:color w:val="000000"/>
          <w:sz w:val="24"/>
          <w:highlight w:val="none"/>
          <w:u w:val="single"/>
        </w:rPr>
        <w:t xml:space="preserve">  /  </w:t>
      </w:r>
      <w:r>
        <w:rPr>
          <w:rFonts w:ascii="宋体" w:hAnsi="宋体" w:cs="宋体"/>
          <w:color w:val="000000"/>
          <w:sz w:val="24"/>
          <w:highlight w:val="none"/>
        </w:rPr>
        <w:t xml:space="preserve">的</w:t>
      </w:r>
      <w:r>
        <w:rPr>
          <w:rFonts w:ascii="宋体" w:hAnsi="宋体" w:cs="宋体"/>
          <w:color w:val="000000"/>
          <w:sz w:val="24"/>
          <w:highlight w:val="none"/>
          <w:u w:val="single"/>
        </w:rPr>
        <w:t xml:space="preserve">  /  </w:t>
      </w:r>
      <w:r>
        <w:rPr>
          <w:rFonts w:ascii="宋体" w:hAnsi="宋体" w:cs="宋体"/>
          <w:color w:val="000000"/>
          <w:sz w:val="24"/>
          <w:highlight w:val="none"/>
        </w:rPr>
        <w:t xml:space="preserve">在中国境内完成。</w:t>
      </w:r>
      <w:r/>
    </w:p>
    <w:p>
      <w:pPr>
        <w:ind w:firstLine="420"/>
        <w:spacing w:before="30" w:after="3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w:t>
      </w:r>
      <w:r/>
    </w:p>
    <w:p>
      <w:pPr>
        <w:ind w:firstLine="420"/>
        <w:spacing w:before="30" w:after="3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本公司（单位）对上述声明内容的真实性负责。如有虚假，愿承担相应法律责任。</w:t>
      </w:r>
      <w:r/>
    </w:p>
    <w:p>
      <w:pPr>
        <w:spacing w:before="30" w:after="3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ind w:right="480" w:firstLine="3720"/>
        <w:spacing w:before="30" w:after="3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公司（单位）名称（盖章）：　</w:t>
      </w:r>
      <w:r/>
    </w:p>
    <w:p>
      <w:pPr>
        <w:jc w:val="center"/>
        <w:spacing w:before="30" w:after="3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日期：　   年　  月　  日         </w:t>
      </w:r>
      <w:r/>
    </w:p>
    <w:p>
      <w:pPr>
        <w:spacing w:before="30" w:after="3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1.产品如有型号，请在“产品名称”栏一并填写。</w:t>
      </w:r>
      <w:r/>
    </w:p>
    <w:p>
      <w:pPr>
        <w:spacing w:before="30" w:after="3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2.生产厂名与厂址应与生产厂营业执照载明的相关信息保持一致。</w:t>
      </w:r>
      <w:r/>
    </w:p>
    <w:p>
      <w:pPr>
        <w:spacing w:before="30" w:after="3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3.该产品的中国境内生产的组件成本占比相关要求实施前，“规定比例”栏可不填，下同。</w:t>
      </w:r>
      <w:r/>
    </w:p>
    <w:p>
      <w:pPr>
        <w:spacing w:before="30" w:after="3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4.该产品的关键组件要求实施前，“关键组件”栏可不填，下同。</w:t>
      </w:r>
      <w:r/>
    </w:p>
    <w:p>
      <w:pPr>
        <w:spacing w:before="30" w:after="3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5.该产品的关键工序要求实施前，“关键工序”栏可不填，下同。</w:t>
      </w:r>
      <w:r/>
    </w:p>
    <w:p>
      <w:pPr>
        <w:spacing w:before="30" w:after="3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6.《声明函》中标注“  /  ”的地方无需填写。</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p>
      <w:pPr>
        <w:spacing w:after="361"/>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附件15         实质性要求响应及偏离表（采购包号：**）</w:t>
      </w:r>
      <w:r/>
    </w:p>
    <w:tbl>
      <w:tblPr>
        <w:tblStyle w:val="996"/>
        <w:tblW w:w="712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9"/>
        <w:gridCol w:w="2837"/>
        <w:gridCol w:w="2551"/>
        <w:gridCol w:w="12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技术要求和商务要求中的实质性要求</w:t>
            </w:r>
            <w:r>
              <w:rPr>
                <w:rFonts w:ascii="宋体" w:hAnsi="宋体" w:cs="宋体"/>
                <w:b/>
                <w:color w:val="ff0000"/>
                <w:sz w:val="24"/>
                <w:highlight w:val="none"/>
              </w:rPr>
              <w:t xml:space="preserve">（</w:t>
            </w:r>
            <w:r>
              <w:rPr>
                <w:rFonts w:ascii="宋体" w:hAnsi="宋体" w:cs="宋体"/>
                <w:b/>
                <w:i/>
                <w:color w:val="ff0000"/>
                <w:sz w:val="24"/>
                <w:highlight w:val="none"/>
                <w:u w:val="single"/>
              </w:rPr>
              <w:t xml:space="preserve">斜体且有下划线部分</w:t>
            </w:r>
            <w:r>
              <w:rPr>
                <w:rFonts w:ascii="宋体" w:hAnsi="宋体" w:cs="宋体"/>
                <w:b/>
                <w:color w:val="ff0000"/>
                <w:sz w:val="24"/>
                <w:highlight w:val="none"/>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c>
      </w:tr>
    </w:tbl>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附件14-1 证明材料1，证明材料2，……</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备注：</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1.投标人必须对技术要求和商务要求中的实质性要求</w:t>
      </w:r>
      <w:r>
        <w:rPr>
          <w:rFonts w:ascii="宋体" w:hAnsi="宋体" w:cs="宋体"/>
          <w:b/>
          <w:color w:val="ff0000"/>
          <w:sz w:val="24"/>
          <w:highlight w:val="none"/>
        </w:rPr>
        <w:t xml:space="preserve">（</w:t>
      </w:r>
      <w:r>
        <w:rPr>
          <w:rFonts w:ascii="宋体" w:hAnsi="宋体" w:cs="宋体"/>
          <w:b/>
          <w:i/>
          <w:color w:val="ff0000"/>
          <w:sz w:val="24"/>
          <w:highlight w:val="none"/>
          <w:u w:val="single"/>
        </w:rPr>
        <w:t xml:space="preserve">斜体且有下划线部分</w:t>
      </w:r>
      <w:r>
        <w:rPr>
          <w:rFonts w:ascii="宋体" w:hAnsi="宋体" w:cs="宋体"/>
          <w:b/>
          <w:color w:val="ff0000"/>
          <w:sz w:val="24"/>
          <w:highlight w:val="none"/>
        </w:rPr>
        <w:t xml:space="preserve">）</w:t>
      </w:r>
      <w:r>
        <w:rPr>
          <w:rFonts w:ascii="宋体" w:hAnsi="宋体" w:cs="宋体"/>
          <w:color w:val="000000"/>
          <w:sz w:val="24"/>
          <w:highlight w:val="none"/>
        </w:rPr>
        <w:t xml:space="preserve">逐条做出明确响应。</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2.如果招标文件要求提供证明材料，投标人必须将证明材料列于该表之下。</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3.投标人未对实质性要求逐条作出明确响应的，或未按招标文件要求提供证明材料的，该采购包作无效投标处理。</w:t>
      </w:r>
      <w:r/>
    </w:p>
    <w:p>
      <w:p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质疑函范本</w:t>
      </w:r>
      <w:r/>
    </w:p>
    <w:p>
      <w:pPr>
        <w:spacing w:before="312"/>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一、质疑供应商基本信息</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质疑供应商：</w:t>
      </w:r>
      <w:r>
        <w:rPr>
          <w:rFonts w:ascii="宋体" w:hAnsi="宋体" w:cs="宋体"/>
          <w:color w:val="000000"/>
          <w:sz w:val="24"/>
          <w:highlight w:val="none"/>
          <w:u w:val="singl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地址：</w:t>
      </w:r>
      <w:r>
        <w:rPr>
          <w:rFonts w:ascii="宋体" w:hAnsi="宋体" w:cs="宋体"/>
          <w:color w:val="000000"/>
          <w:sz w:val="24"/>
          <w:highlight w:val="none"/>
          <w:u w:val="single"/>
        </w:rPr>
        <w:t xml:space="preserve">           </w:t>
      </w:r>
      <w:r>
        <w:rPr>
          <w:rFonts w:ascii="宋体" w:hAnsi="宋体" w:cs="宋体"/>
          <w:color w:val="000000"/>
          <w:sz w:val="24"/>
          <w:highlight w:val="none"/>
        </w:rPr>
        <w:t xml:space="preserve">邮编：</w:t>
      </w:r>
      <w:r>
        <w:rPr>
          <w:rFonts w:ascii="宋体" w:hAnsi="宋体" w:cs="宋体"/>
          <w:color w:val="000000"/>
          <w:sz w:val="24"/>
          <w:highlight w:val="none"/>
          <w:u w:val="singl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联系人：</w:t>
      </w:r>
      <w:r>
        <w:rPr>
          <w:rFonts w:ascii="宋体" w:hAnsi="宋体" w:cs="宋体"/>
          <w:color w:val="000000"/>
          <w:sz w:val="24"/>
          <w:highlight w:val="none"/>
          <w:u w:val="single"/>
        </w:rPr>
        <w:t xml:space="preserve">           </w:t>
      </w:r>
      <w:r>
        <w:rPr>
          <w:rFonts w:ascii="宋体" w:hAnsi="宋体" w:cs="宋体"/>
          <w:color w:val="000000"/>
          <w:sz w:val="24"/>
          <w:highlight w:val="none"/>
        </w:rPr>
        <w:t xml:space="preserve">联系电话</w:t>
      </w:r>
      <w:r>
        <w:rPr>
          <w:rFonts w:ascii="宋体" w:hAnsi="宋体" w:cs="宋体"/>
          <w:color w:val="000000"/>
          <w:highlight w:val="none"/>
        </w:rPr>
        <w:t xml:space="preserve">：</w:t>
      </w:r>
      <w:r>
        <w:rPr>
          <w:rFonts w:ascii="宋体" w:hAnsi="宋体" w:cs="宋体"/>
          <w:color w:val="000000"/>
          <w:highlight w:val="none"/>
          <w:u w:val="singl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授权代表：</w:t>
      </w:r>
      <w:r>
        <w:rPr>
          <w:rFonts w:ascii="宋体" w:hAnsi="宋体" w:cs="宋体"/>
          <w:color w:val="000000"/>
          <w:sz w:val="24"/>
          <w:highlight w:val="none"/>
          <w:u w:val="singl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联系电话：</w:t>
      </w:r>
      <w:r>
        <w:rPr>
          <w:rFonts w:ascii="宋体" w:hAnsi="宋体" w:cs="宋体"/>
          <w:color w:val="000000"/>
          <w:sz w:val="24"/>
          <w:highlight w:val="none"/>
          <w:u w:val="singl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地址：</w:t>
      </w:r>
      <w:r>
        <w:rPr>
          <w:rFonts w:ascii="宋体" w:hAnsi="宋体" w:cs="宋体"/>
          <w:color w:val="000000"/>
          <w:sz w:val="24"/>
          <w:highlight w:val="none"/>
          <w:u w:val="single"/>
        </w:rPr>
        <w:t xml:space="preserve">           </w:t>
      </w:r>
      <w:r>
        <w:rPr>
          <w:rFonts w:ascii="宋体" w:hAnsi="宋体" w:cs="宋体"/>
          <w:color w:val="000000"/>
          <w:sz w:val="24"/>
          <w:highlight w:val="none"/>
        </w:rPr>
        <w:t xml:space="preserve">邮编：</w:t>
      </w:r>
      <w:r>
        <w:rPr>
          <w:rFonts w:ascii="宋体" w:hAnsi="宋体" w:cs="宋体"/>
          <w:color w:val="000000"/>
          <w:sz w:val="24"/>
          <w:highlight w:val="none"/>
          <w:u w:val="singl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二、质疑项目基本情况</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质疑项目的名称：</w:t>
      </w:r>
      <w:r>
        <w:rPr>
          <w:rFonts w:ascii="宋体" w:hAnsi="宋体" w:cs="宋体"/>
          <w:color w:val="000000"/>
          <w:sz w:val="24"/>
          <w:highlight w:val="none"/>
          <w:u w:val="singl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质疑项目的编号：</w:t>
      </w:r>
      <w:r>
        <w:rPr>
          <w:rFonts w:ascii="宋体" w:hAnsi="宋体" w:cs="宋体"/>
          <w:color w:val="000000"/>
          <w:sz w:val="24"/>
          <w:highlight w:val="none"/>
          <w:u w:val="single"/>
        </w:rPr>
        <w:t xml:space="preserve">           </w:t>
      </w:r>
      <w:r>
        <w:rPr>
          <w:rFonts w:ascii="宋体" w:hAnsi="宋体" w:cs="宋体"/>
          <w:color w:val="000000"/>
          <w:sz w:val="24"/>
          <w:highlight w:val="none"/>
        </w:rPr>
        <w:t xml:space="preserve">包号：</w:t>
      </w:r>
      <w:r>
        <w:rPr>
          <w:rFonts w:ascii="宋体" w:hAnsi="宋体" w:cs="宋体"/>
          <w:color w:val="000000"/>
          <w:sz w:val="24"/>
          <w:highlight w:val="none"/>
          <w:u w:val="singl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采购人名称：</w:t>
      </w:r>
      <w:r>
        <w:rPr>
          <w:rFonts w:ascii="宋体" w:hAnsi="宋体" w:cs="宋体"/>
          <w:color w:val="000000"/>
          <w:sz w:val="24"/>
          <w:highlight w:val="none"/>
          <w:u w:val="singl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采购文件获取日期：</w:t>
      </w:r>
      <w:r>
        <w:rPr>
          <w:rFonts w:ascii="宋体" w:hAnsi="宋体" w:cs="宋体"/>
          <w:color w:val="000000"/>
          <w:sz w:val="24"/>
          <w:highlight w:val="none"/>
          <w:u w:val="singl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三、质疑事项具体内容</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质疑事项1：</w:t>
      </w:r>
      <w:r>
        <w:rPr>
          <w:rFonts w:ascii="宋体" w:hAnsi="宋体" w:cs="宋体"/>
          <w:color w:val="000000"/>
          <w:sz w:val="24"/>
          <w:highlight w:val="none"/>
          <w:u w:val="singl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事实依据：</w:t>
      </w:r>
      <w:r>
        <w:rPr>
          <w:rFonts w:ascii="宋体" w:hAnsi="宋体" w:cs="宋体"/>
          <w:color w:val="000000"/>
          <w:sz w:val="24"/>
          <w:highlight w:val="none"/>
          <w:u w:val="singl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法律依据：</w:t>
      </w:r>
      <w:r>
        <w:rPr>
          <w:rFonts w:ascii="宋体" w:hAnsi="宋体" w:cs="宋体"/>
          <w:color w:val="000000"/>
          <w:sz w:val="24"/>
          <w:highlight w:val="none"/>
          <w:u w:val="singl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质疑事项2</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四、与质疑事项相关的质疑请求</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请求：</w:t>
      </w:r>
      <w:r>
        <w:rPr>
          <w:rFonts w:ascii="宋体" w:hAnsi="宋体" w:cs="宋体"/>
          <w:color w:val="000000"/>
          <w:sz w:val="24"/>
          <w:highlight w:val="none"/>
          <w:u w:val="singl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签字(签章)：                   公章：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质疑函制作说明：</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1.供应商提出质疑时，应提交质疑函和必要的证明材料。</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3.质疑供应商若对项目的某一采购包进行质疑，质疑函中应列明具体采购包号。</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4.质疑函的质疑事项应具体、明确，并有必要的事实依据和法律依据。</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5.质疑函的质疑请求应与质疑事项相关。</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p>
      <w:pPr>
        <w:rPr>
          <w:highlight w:val="none"/>
        </w:rPr>
      </w:pPr>
      <w:r>
        <w:rPr>
          <w:highlight w:val="none"/>
        </w:rPr>
      </w:r>
      <w:r/>
    </w:p>
    <w:p>
      <w:r/>
      <w:bookmarkStart w:id="1" w:name="_GoBack"/>
      <w:r/>
      <w:bookmarkEnd w:id="1"/>
      <w:r/>
      <w:r/>
    </w:p>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等线">
    <w:panose1 w:val="02010600030101010101"/>
  </w:font>
  <w:font w:name="等线 Light">
    <w:panose1 w:val="02010600030101010101"/>
  </w:font>
  <w:font w:name="仿宋">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微软雅黑">
    <w:panose1 w:val="020B0503020204020204"/>
  </w:font>
  <w:font w:name="幼圆">
    <w:panose1 w:val="02010509060101010101"/>
  </w:font>
  <w:font w:name="黑体">
    <w:panose1 w:val="02010609060101010101"/>
  </w:font>
  <w:font w:name="楷体_GB2312">
    <w:panose1 w:val="02010609060101010101"/>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center"/>
    </w:pPr>
    <w:r>
      <w:fldChar w:fldCharType="begin"/>
    </w:r>
    <w:r>
      <w:instrText xml:space="preserve">PAGE   \* MERGEFORMAT</w:instrText>
    </w:r>
    <w:r>
      <w:fldChar w:fldCharType="separate"/>
    </w:r>
    <w:r>
      <w:rPr>
        <w:lang w:val="zh-CN"/>
      </w:rPr>
      <w:t xml:space="preserve">99</w:t>
    </w:r>
    <w:r>
      <w:fldChar w:fldCharType="end"/>
    </w:r>
    <w:r/>
  </w:p>
  <w:p>
    <w:pPr>
      <w:pStyle w:val="99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rPr>
        <w:rStyle w:val="997"/>
      </w:rPr>
      <w:framePr w:wrap="around" w:vAnchor="text" w:hAnchor="margin" w:xAlign="center" w:y="1"/>
    </w:pPr>
    <w:r>
      <w:fldChar w:fldCharType="begin"/>
    </w:r>
    <w:r>
      <w:rPr>
        <w:rStyle w:val="997"/>
      </w:rPr>
      <w:instrText xml:space="preserve">PAGE  </w:instrText>
    </w:r>
    <w:r>
      <w:fldChar w:fldCharType="separate"/>
    </w:r>
    <w:r>
      <w:rPr>
        <w:rStyle w:val="997"/>
      </w:rPr>
      <w:t xml:space="preserve">1</w:t>
    </w:r>
    <w:r>
      <w:fldChar w:fldCharType="end"/>
    </w:r>
    <w:r/>
  </w:p>
  <w:p>
    <w:pPr>
      <w:pStyle w:val="99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2636128</wp:posOffset>
              </wp:positionH>
              <wp:positionV relativeFrom="paragraph">
                <wp:posOffset>0</wp:posOffset>
              </wp:positionV>
              <wp:extent cx="277251" cy="131433"/>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277251" cy="13143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3"/>
                            <w:jc w:val="center"/>
                          </w:pPr>
                          <w:r>
                            <w:fldChar w:fldCharType="begin"/>
                          </w:r>
                          <w:r>
                            <w:instrText xml:space="preserve">PAGE   \* MERGEFORMAT</w:instrText>
                          </w:r>
                          <w:r>
                            <w:fldChar w:fldCharType="separate"/>
                          </w:r>
                          <w:r>
                            <w:rPr>
                              <w:lang w:val="zh-CN"/>
                            </w:rPr>
                            <w:t xml:space="preserve">99</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07.6pt;mso-position-horizontal:absolute;mso-position-vertical-relative:text;margin-top:0.0pt;mso-position-vertical:absolute;width:21.8pt;height:10.3pt;mso-wrap-distance-left:9.0pt;mso-wrap-distance-top:0.0pt;mso-wrap-distance-right:9.0pt;mso-wrap-distance-bottom:0.0pt;v-text-anchor:top;visibility:visible;" filled="f" stroked="f" strokeweight="0.50pt">
              <v:textbox inset="0,0,0,0">
                <w:txbxContent>
                  <w:p>
                    <w:pPr>
                      <w:pStyle w:val="993"/>
                      <w:jc w:val="center"/>
                    </w:pPr>
                    <w:r>
                      <w:fldChar w:fldCharType="begin"/>
                    </w:r>
                    <w:r>
                      <w:instrText xml:space="preserve">PAGE   \* MERGEFORMAT</w:instrText>
                    </w:r>
                    <w:r>
                      <w:fldChar w:fldCharType="separate"/>
                    </w:r>
                    <w:r>
                      <w:rPr>
                        <w:lang w:val="zh-CN"/>
                      </w:rPr>
                      <w:t xml:space="preserve">99</w:t>
                    </w:r>
                    <w:r>
                      <w:fldChar w:fldCharType="end"/>
                    </w:r>
                    <w:r/>
                  </w:p>
                </w:txbxContent>
              </v:textbox>
            </v:shape>
          </w:pict>
        </mc:Fallback>
      </mc:AlternateContent>
    </w:r>
    <w:r/>
  </w:p>
  <w:p>
    <w:pPr>
      <w:pStyle w:val="99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rPr>
        <w:rFonts w:hint="default"/>
        <w:i w:val="0"/>
        <w:i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rPr>
        <w:rFonts w:hint="default"/>
        <w:i w:val="0"/>
        <w:i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rPr>
        <w:rFonts w:hint="default"/>
        <w:i w:val="0"/>
        <w:i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decimal"/>
      <w:isLgl w:val="false"/>
      <w:suff w:val="tab"/>
      <w:lvlText w:val="(%2)"/>
      <w:lvlJc w:val="left"/>
      <w:pPr>
        <w:ind w:left="840" w:hanging="420"/>
        <w:tabs>
          <w:tab w:val="left" w:pos="840" w:leader="none"/>
        </w:tabs>
      </w:pPr>
      <w:rPr>
        <w:rFonts w:hint="default"/>
      </w:rPr>
    </w:lvl>
    <w:lvl w:ilvl="2">
      <w:start w:val="1"/>
      <w:numFmt w:val="decimalEnclosedCircleChinese"/>
      <w:isLgl w:val="false"/>
      <w:suff w:val="tab"/>
      <w:lvlText w:val="%3"/>
      <w:lvlJc w:val="left"/>
      <w:pPr>
        <w:ind w:left="1260" w:hanging="420"/>
        <w:tabs>
          <w:tab w:val="left" w:pos="1260" w:leader="none"/>
        </w:tabs>
      </w:pPr>
      <w:rPr>
        <w:rFonts w:hint="default"/>
      </w:rPr>
    </w:lvl>
    <w:lvl w:ilvl="3">
      <w:start w:val="1"/>
      <w:numFmt w:val="decimal"/>
      <w:isLgl w:val="false"/>
      <w:suff w:val="tab"/>
      <w:lvlText w:val="%4)"/>
      <w:lvlJc w:val="left"/>
      <w:pPr>
        <w:ind w:left="1680" w:hanging="420"/>
        <w:tabs>
          <w:tab w:val="left" w:pos="1680" w:leader="none"/>
        </w:tabs>
      </w:pPr>
      <w:rPr>
        <w:rFonts w:hint="default"/>
      </w:rPr>
    </w:lvl>
    <w:lvl w:ilvl="4">
      <w:start w:val="1"/>
      <w:numFmt w:val="lowerLetter"/>
      <w:isLgl w:val="false"/>
      <w:suff w:val="tab"/>
      <w:lvlText w:val="%5."/>
      <w:lvlJc w:val="left"/>
      <w:pPr>
        <w:ind w:left="2100" w:hanging="420"/>
        <w:tabs>
          <w:tab w:val="left" w:pos="2100" w:leader="none"/>
        </w:tabs>
      </w:pPr>
      <w:rPr>
        <w:rFonts w:hint="default"/>
      </w:rPr>
    </w:lvl>
    <w:lvl w:ilvl="5">
      <w:start w:val="1"/>
      <w:numFmt w:val="lowerLetter"/>
      <w:isLgl w:val="false"/>
      <w:suff w:val="tab"/>
      <w:lvlText w:val="%6)"/>
      <w:lvlJc w:val="left"/>
      <w:pPr>
        <w:ind w:left="2520" w:hanging="420"/>
        <w:tabs>
          <w:tab w:val="left" w:pos="2520" w:leader="none"/>
        </w:tabs>
      </w:pPr>
      <w:rPr>
        <w:rFonts w:hint="default"/>
      </w:rPr>
    </w:lvl>
    <w:lvl w:ilvl="6">
      <w:start w:val="1"/>
      <w:numFmt w:val="lowerRoman"/>
      <w:isLgl w:val="false"/>
      <w:suff w:val="tab"/>
      <w:lvlText w:val="%7."/>
      <w:lvlJc w:val="left"/>
      <w:pPr>
        <w:ind w:left="2940" w:hanging="420"/>
        <w:tabs>
          <w:tab w:val="left" w:pos="2940" w:leader="none"/>
        </w:tabs>
      </w:pPr>
      <w:rPr>
        <w:rFonts w:hint="default"/>
      </w:rPr>
    </w:lvl>
    <w:lvl w:ilvl="7">
      <w:start w:val="1"/>
      <w:numFmt w:val="lowerRoman"/>
      <w:isLgl w:val="false"/>
      <w:suff w:val="tab"/>
      <w:lvlText w:val="%8)"/>
      <w:lvlJc w:val="left"/>
      <w:pPr>
        <w:ind w:left="3360" w:hanging="420"/>
        <w:tabs>
          <w:tab w:val="left" w:pos="3360" w:leader="none"/>
        </w:tabs>
      </w:pPr>
      <w:rPr>
        <w:rFonts w:hint="default"/>
      </w:rPr>
    </w:lvl>
    <w:lvl w:ilvl="8">
      <w:start w:val="1"/>
      <w:numFmt w:val="lowerLetter"/>
      <w:isLgl w:val="false"/>
      <w:suff w:val="tab"/>
      <w:lvlText w:val="%9."/>
      <w:lvlJc w:val="left"/>
      <w:pPr>
        <w:ind w:left="3780" w:hanging="420"/>
        <w:tabs>
          <w:tab w:val="left" w:pos="3780" w:leader="none"/>
        </w:tabs>
      </w:pPr>
      <w:rPr>
        <w:rFonts w:hint="default"/>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rPr>
        <w:rFonts w:hint="default"/>
        <w:i w:val="0"/>
        <w:i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rPr>
        <w:rFonts w:hint="default"/>
        <w:i w:val="0"/>
        <w:i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rPr>
        <w:rFonts w:hint="default"/>
        <w:i w:val="0"/>
        <w:i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88"/>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24">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2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rPr>
        <w:rFonts w:hint="default"/>
        <w:i w:val="0"/>
        <w:i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rPr>
        <w:rFonts w:hint="default"/>
        <w:i w:val="0"/>
        <w:i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3"/>
  </w:num>
  <w:num w:numId="2">
    <w:abstractNumId w:val="24"/>
  </w:num>
  <w:num w:numId="3">
    <w:abstractNumId w:val="27"/>
  </w:num>
  <w:num w:numId="4">
    <w:abstractNumId w:val="22"/>
  </w:num>
  <w:num w:numId="5">
    <w:abstractNumId w:val="20"/>
  </w:num>
  <w:num w:numId="6">
    <w:abstractNumId w:val="15"/>
  </w:num>
  <w:num w:numId="7">
    <w:abstractNumId w:val="29"/>
  </w:num>
  <w:num w:numId="8">
    <w:abstractNumId w:val="4"/>
  </w:num>
  <w:num w:numId="9">
    <w:abstractNumId w:val="6"/>
  </w:num>
  <w:num w:numId="10">
    <w:abstractNumId w:val="3"/>
  </w:num>
  <w:num w:numId="11">
    <w:abstractNumId w:val="26"/>
  </w:num>
  <w:num w:numId="12">
    <w:abstractNumId w:val="1"/>
  </w:num>
  <w:num w:numId="13">
    <w:abstractNumId w:val="19"/>
  </w:num>
  <w:num w:numId="14">
    <w:abstractNumId w:val="28"/>
  </w:num>
  <w:num w:numId="15">
    <w:abstractNumId w:val="2"/>
  </w:num>
  <w:num w:numId="16">
    <w:abstractNumId w:val="8"/>
  </w:num>
  <w:num w:numId="17">
    <w:abstractNumId w:val="9"/>
  </w:num>
  <w:num w:numId="18">
    <w:abstractNumId w:val="17"/>
  </w:num>
  <w:num w:numId="19">
    <w:abstractNumId w:val="10"/>
  </w:num>
  <w:num w:numId="20">
    <w:abstractNumId w:val="11"/>
  </w:num>
  <w:num w:numId="21">
    <w:abstractNumId w:val="16"/>
  </w:num>
  <w:num w:numId="22">
    <w:abstractNumId w:val="5"/>
  </w:num>
  <w:num w:numId="23">
    <w:abstractNumId w:val="18"/>
  </w:num>
  <w:num w:numId="24">
    <w:abstractNumId w:val="12"/>
  </w:num>
  <w:num w:numId="25">
    <w:abstractNumId w:val="21"/>
  </w:num>
  <w:num w:numId="26">
    <w:abstractNumId w:val="25"/>
  </w:num>
  <w:num w:numId="27">
    <w:abstractNumId w:val="13"/>
  </w:num>
  <w:num w:numId="28">
    <w:abstractNumId w:val="0"/>
  </w:num>
  <w:num w:numId="29">
    <w:abstractNumId w:val="7"/>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4">
    <w:name w:val="Heading 1 Char"/>
    <w:basedOn w:val="989"/>
    <w:link w:val="983"/>
    <w:uiPriority w:val="9"/>
    <w:rPr>
      <w:rFonts w:ascii="Arial" w:hAnsi="Arial" w:eastAsia="Arial" w:cs="Arial"/>
      <w:sz w:val="40"/>
      <w:szCs w:val="40"/>
    </w:rPr>
  </w:style>
  <w:style w:type="character" w:styleId="815">
    <w:name w:val="Heading 2 Char"/>
    <w:basedOn w:val="989"/>
    <w:link w:val="984"/>
    <w:uiPriority w:val="9"/>
    <w:rPr>
      <w:rFonts w:ascii="Arial" w:hAnsi="Arial" w:eastAsia="Arial" w:cs="Arial"/>
      <w:sz w:val="34"/>
    </w:rPr>
  </w:style>
  <w:style w:type="character" w:styleId="816">
    <w:name w:val="Heading 3 Char"/>
    <w:basedOn w:val="989"/>
    <w:link w:val="985"/>
    <w:uiPriority w:val="9"/>
    <w:rPr>
      <w:rFonts w:ascii="Arial" w:hAnsi="Arial" w:eastAsia="Arial" w:cs="Arial"/>
      <w:sz w:val="30"/>
      <w:szCs w:val="30"/>
    </w:rPr>
  </w:style>
  <w:style w:type="character" w:styleId="817">
    <w:name w:val="Heading 4 Char"/>
    <w:basedOn w:val="989"/>
    <w:link w:val="986"/>
    <w:uiPriority w:val="9"/>
    <w:rPr>
      <w:rFonts w:ascii="Arial" w:hAnsi="Arial" w:eastAsia="Arial" w:cs="Arial"/>
      <w:b/>
      <w:bCs/>
      <w:sz w:val="26"/>
      <w:szCs w:val="26"/>
    </w:rPr>
  </w:style>
  <w:style w:type="character" w:styleId="818">
    <w:name w:val="Heading 5 Char"/>
    <w:basedOn w:val="989"/>
    <w:link w:val="987"/>
    <w:uiPriority w:val="9"/>
    <w:rPr>
      <w:rFonts w:ascii="Arial" w:hAnsi="Arial" w:eastAsia="Arial" w:cs="Arial"/>
      <w:b/>
      <w:bCs/>
      <w:sz w:val="24"/>
      <w:szCs w:val="24"/>
    </w:rPr>
  </w:style>
  <w:style w:type="character" w:styleId="819">
    <w:name w:val="Heading 6 Char"/>
    <w:basedOn w:val="989"/>
    <w:link w:val="988"/>
    <w:uiPriority w:val="9"/>
    <w:rPr>
      <w:rFonts w:ascii="Arial" w:hAnsi="Arial" w:eastAsia="Arial" w:cs="Arial"/>
      <w:b/>
      <w:bCs/>
      <w:sz w:val="22"/>
      <w:szCs w:val="22"/>
    </w:rPr>
  </w:style>
  <w:style w:type="paragraph" w:styleId="820">
    <w:name w:val="Heading 7"/>
    <w:basedOn w:val="982"/>
    <w:next w:val="982"/>
    <w:link w:val="821"/>
    <w:uiPriority w:val="9"/>
    <w:unhideWhenUsed/>
    <w:qFormat/>
    <w:pPr>
      <w:keepLines/>
      <w:keepNext/>
      <w:spacing w:before="320" w:after="200"/>
      <w:outlineLvl w:val="6"/>
    </w:pPr>
    <w:rPr>
      <w:rFonts w:ascii="Arial" w:hAnsi="Arial" w:eastAsia="Arial" w:cs="Arial"/>
      <w:b/>
      <w:bCs/>
      <w:i/>
      <w:iCs/>
      <w:sz w:val="22"/>
      <w:szCs w:val="22"/>
    </w:rPr>
  </w:style>
  <w:style w:type="character" w:styleId="821">
    <w:name w:val="Heading 7 Char"/>
    <w:basedOn w:val="989"/>
    <w:link w:val="820"/>
    <w:uiPriority w:val="9"/>
    <w:rPr>
      <w:rFonts w:ascii="Arial" w:hAnsi="Arial" w:eastAsia="Arial" w:cs="Arial"/>
      <w:b/>
      <w:bCs/>
      <w:i/>
      <w:iCs/>
      <w:sz w:val="22"/>
      <w:szCs w:val="22"/>
    </w:rPr>
  </w:style>
  <w:style w:type="paragraph" w:styleId="822">
    <w:name w:val="Heading 8"/>
    <w:basedOn w:val="982"/>
    <w:next w:val="982"/>
    <w:link w:val="823"/>
    <w:uiPriority w:val="9"/>
    <w:unhideWhenUsed/>
    <w:qFormat/>
    <w:pPr>
      <w:keepLines/>
      <w:keepNext/>
      <w:spacing w:before="320" w:after="200"/>
      <w:outlineLvl w:val="7"/>
    </w:pPr>
    <w:rPr>
      <w:rFonts w:ascii="Arial" w:hAnsi="Arial" w:eastAsia="Arial" w:cs="Arial"/>
      <w:i/>
      <w:iCs/>
      <w:sz w:val="22"/>
      <w:szCs w:val="22"/>
    </w:rPr>
  </w:style>
  <w:style w:type="character" w:styleId="823">
    <w:name w:val="Heading 8 Char"/>
    <w:basedOn w:val="989"/>
    <w:link w:val="822"/>
    <w:uiPriority w:val="9"/>
    <w:rPr>
      <w:rFonts w:ascii="Arial" w:hAnsi="Arial" w:eastAsia="Arial" w:cs="Arial"/>
      <w:i/>
      <w:iCs/>
      <w:sz w:val="22"/>
      <w:szCs w:val="22"/>
    </w:rPr>
  </w:style>
  <w:style w:type="paragraph" w:styleId="824">
    <w:name w:val="Heading 9"/>
    <w:basedOn w:val="982"/>
    <w:next w:val="982"/>
    <w:link w:val="825"/>
    <w:uiPriority w:val="9"/>
    <w:unhideWhenUsed/>
    <w:qFormat/>
    <w:pPr>
      <w:keepLines/>
      <w:keepNext/>
      <w:spacing w:before="320" w:after="200"/>
      <w:outlineLvl w:val="8"/>
    </w:pPr>
    <w:rPr>
      <w:rFonts w:ascii="Arial" w:hAnsi="Arial" w:eastAsia="Arial" w:cs="Arial"/>
      <w:i/>
      <w:iCs/>
      <w:sz w:val="21"/>
      <w:szCs w:val="21"/>
    </w:rPr>
  </w:style>
  <w:style w:type="character" w:styleId="825">
    <w:name w:val="Heading 9 Char"/>
    <w:basedOn w:val="989"/>
    <w:link w:val="824"/>
    <w:uiPriority w:val="9"/>
    <w:rPr>
      <w:rFonts w:ascii="Arial" w:hAnsi="Arial" w:eastAsia="Arial" w:cs="Arial"/>
      <w:i/>
      <w:iCs/>
      <w:sz w:val="21"/>
      <w:szCs w:val="21"/>
    </w:rPr>
  </w:style>
  <w:style w:type="paragraph" w:styleId="826">
    <w:name w:val="No Spacing"/>
    <w:uiPriority w:val="1"/>
    <w:qFormat/>
    <w:pPr>
      <w:spacing w:before="0" w:after="0" w:line="240" w:lineRule="auto"/>
    </w:pPr>
  </w:style>
  <w:style w:type="paragraph" w:styleId="827">
    <w:name w:val="Title"/>
    <w:basedOn w:val="982"/>
    <w:next w:val="982"/>
    <w:link w:val="828"/>
    <w:uiPriority w:val="10"/>
    <w:qFormat/>
    <w:pPr>
      <w:contextualSpacing/>
      <w:spacing w:before="300" w:after="200"/>
    </w:pPr>
    <w:rPr>
      <w:sz w:val="48"/>
      <w:szCs w:val="48"/>
    </w:rPr>
  </w:style>
  <w:style w:type="character" w:styleId="828">
    <w:name w:val="Title Char"/>
    <w:basedOn w:val="989"/>
    <w:link w:val="827"/>
    <w:uiPriority w:val="10"/>
    <w:rPr>
      <w:sz w:val="48"/>
      <w:szCs w:val="48"/>
    </w:rPr>
  </w:style>
  <w:style w:type="paragraph" w:styleId="829">
    <w:name w:val="Subtitle"/>
    <w:basedOn w:val="982"/>
    <w:next w:val="982"/>
    <w:link w:val="830"/>
    <w:uiPriority w:val="11"/>
    <w:qFormat/>
    <w:pPr>
      <w:spacing w:before="200" w:after="200"/>
    </w:pPr>
    <w:rPr>
      <w:sz w:val="24"/>
      <w:szCs w:val="24"/>
    </w:rPr>
  </w:style>
  <w:style w:type="character" w:styleId="830">
    <w:name w:val="Subtitle Char"/>
    <w:basedOn w:val="989"/>
    <w:link w:val="829"/>
    <w:uiPriority w:val="11"/>
    <w:rPr>
      <w:sz w:val="24"/>
      <w:szCs w:val="24"/>
    </w:rPr>
  </w:style>
  <w:style w:type="paragraph" w:styleId="831">
    <w:name w:val="Quote"/>
    <w:basedOn w:val="982"/>
    <w:next w:val="982"/>
    <w:link w:val="832"/>
    <w:uiPriority w:val="29"/>
    <w:qFormat/>
    <w:pPr>
      <w:ind w:left="720" w:right="720"/>
    </w:pPr>
    <w:rPr>
      <w:i/>
    </w:rPr>
  </w:style>
  <w:style w:type="character" w:styleId="832">
    <w:name w:val="Quote Char"/>
    <w:link w:val="831"/>
    <w:uiPriority w:val="29"/>
    <w:rPr>
      <w:i/>
    </w:rPr>
  </w:style>
  <w:style w:type="paragraph" w:styleId="833">
    <w:name w:val="Intense Quote"/>
    <w:basedOn w:val="982"/>
    <w:next w:val="982"/>
    <w:link w:val="8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name w:val="Intense Quote Char"/>
    <w:link w:val="833"/>
    <w:uiPriority w:val="30"/>
    <w:rPr>
      <w:i/>
    </w:rPr>
  </w:style>
  <w:style w:type="character" w:styleId="835">
    <w:name w:val="Header Char"/>
    <w:basedOn w:val="989"/>
    <w:link w:val="994"/>
    <w:uiPriority w:val="99"/>
  </w:style>
  <w:style w:type="character" w:styleId="836">
    <w:name w:val="Footer Char"/>
    <w:basedOn w:val="989"/>
    <w:link w:val="993"/>
    <w:uiPriority w:val="99"/>
  </w:style>
  <w:style w:type="paragraph" w:styleId="837">
    <w:name w:val="Caption"/>
    <w:basedOn w:val="982"/>
    <w:next w:val="982"/>
    <w:uiPriority w:val="35"/>
    <w:semiHidden/>
    <w:unhideWhenUsed/>
    <w:qFormat/>
    <w:pPr>
      <w:spacing w:line="276" w:lineRule="auto"/>
    </w:pPr>
    <w:rPr>
      <w:b/>
      <w:bCs/>
      <w:color w:val="4f81bd" w:themeColor="accent1"/>
      <w:sz w:val="18"/>
      <w:szCs w:val="18"/>
    </w:rPr>
  </w:style>
  <w:style w:type="character" w:styleId="838">
    <w:name w:val="Caption Char"/>
    <w:basedOn w:val="837"/>
    <w:link w:val="993"/>
    <w:uiPriority w:val="99"/>
  </w:style>
  <w:style w:type="table" w:styleId="839">
    <w:name w:val="Table Grid Light"/>
    <w:basedOn w:val="9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0">
    <w:name w:val="Plain Table 1"/>
    <w:basedOn w:val="9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name w:val="Plain Table 2"/>
    <w:basedOn w:val="99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name w:val="Plain Table 3"/>
    <w:basedOn w:val="9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name w:val="Plain Table 4"/>
    <w:basedOn w:val="9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name w:val="Plain Table 5"/>
    <w:basedOn w:val="9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5">
    <w:name w:val="Grid Table 1 Light"/>
    <w:basedOn w:val="99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6">
    <w:name w:val="Grid Table 1 Light - Accent 1"/>
    <w:basedOn w:val="9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7">
    <w:name w:val="Grid Table 1 Light - Accent 2"/>
    <w:basedOn w:val="9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8">
    <w:name w:val="Grid Table 1 Light - Accent 3"/>
    <w:basedOn w:val="9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9">
    <w:name w:val="Grid Table 1 Light - Accent 4"/>
    <w:basedOn w:val="9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0">
    <w:name w:val="Grid Table 1 Light - Accent 5"/>
    <w:basedOn w:val="9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1">
    <w:name w:val="Grid Table 1 Light - Accent 6"/>
    <w:basedOn w:val="9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2">
    <w:name w:val="Grid Table 2"/>
    <w:basedOn w:val="9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3">
    <w:name w:val="Grid Table 2 - Accent 1"/>
    <w:basedOn w:val="9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4">
    <w:name w:val="Grid Table 2 - Accent 2"/>
    <w:basedOn w:val="9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5">
    <w:name w:val="Grid Table 2 - Accent 3"/>
    <w:basedOn w:val="9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6">
    <w:name w:val="Grid Table 2 - Accent 4"/>
    <w:basedOn w:val="9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7">
    <w:name w:val="Grid Table 2 - Accent 5"/>
    <w:basedOn w:val="9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8">
    <w:name w:val="Grid Table 2 - Accent 6"/>
    <w:basedOn w:val="9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9">
    <w:name w:val="Grid Table 3"/>
    <w:basedOn w:val="9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1"/>
    <w:basedOn w:val="9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2"/>
    <w:basedOn w:val="9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3"/>
    <w:basedOn w:val="9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4"/>
    <w:basedOn w:val="9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5"/>
    <w:basedOn w:val="9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6"/>
    <w:basedOn w:val="9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4"/>
    <w:basedOn w:val="99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name w:val="Grid Table 4 - Accent 1"/>
    <w:basedOn w:val="99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8">
    <w:name w:val="Grid Table 4 - Accent 2"/>
    <w:basedOn w:val="99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9">
    <w:name w:val="Grid Table 4 - Accent 3"/>
    <w:basedOn w:val="99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0">
    <w:name w:val="Grid Table 4 - Accent 4"/>
    <w:basedOn w:val="99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1">
    <w:name w:val="Grid Table 4 - Accent 5"/>
    <w:basedOn w:val="99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2">
    <w:name w:val="Grid Table 4 - Accent 6"/>
    <w:basedOn w:val="99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3">
    <w:name w:val="Grid Table 5 Dark"/>
    <w:basedOn w:val="9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4">
    <w:name w:val="Grid Table 5 Dark- Accent 1"/>
    <w:basedOn w:val="9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75">
    <w:name w:val="Grid Table 5 Dark - Accent 2"/>
    <w:basedOn w:val="9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76">
    <w:name w:val="Grid Table 5 Dark - Accent 3"/>
    <w:basedOn w:val="9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77">
    <w:name w:val="Grid Table 5 Dark- Accent 4"/>
    <w:basedOn w:val="9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8">
    <w:name w:val="Grid Table 5 Dark - Accent 5"/>
    <w:basedOn w:val="9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79">
    <w:name w:val="Grid Table 5 Dark - Accent 6"/>
    <w:basedOn w:val="9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80">
    <w:name w:val="Grid Table 6 Colorful"/>
    <w:basedOn w:val="99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1">
    <w:name w:val="Grid Table 6 Colorful - Accent 1"/>
    <w:basedOn w:val="99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82">
    <w:name w:val="Grid Table 6 Colorful - Accent 2"/>
    <w:basedOn w:val="9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83">
    <w:name w:val="Grid Table 6 Colorful - Accent 3"/>
    <w:basedOn w:val="99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84">
    <w:name w:val="Grid Table 6 Colorful - Accent 4"/>
    <w:basedOn w:val="9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85">
    <w:name w:val="Grid Table 6 Colorful - Accent 5"/>
    <w:basedOn w:val="99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86">
    <w:name w:val="Grid Table 6 Colorful - Accent 6"/>
    <w:basedOn w:val="99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87">
    <w:name w:val="Grid Table 7 Colorful"/>
    <w:basedOn w:val="99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8">
    <w:name w:val="Grid Table 7 Colorful - Accent 1"/>
    <w:basedOn w:val="99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9">
    <w:name w:val="Grid Table 7 Colorful - Accent 2"/>
    <w:basedOn w:val="99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0">
    <w:name w:val="Grid Table 7 Colorful - Accent 3"/>
    <w:basedOn w:val="99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1">
    <w:name w:val="Grid Table 7 Colorful - Accent 4"/>
    <w:basedOn w:val="99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2">
    <w:name w:val="Grid Table 7 Colorful - Accent 5"/>
    <w:basedOn w:val="99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3">
    <w:name w:val="Grid Table 7 Colorful - Accent 6"/>
    <w:basedOn w:val="99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4">
    <w:name w:val="List Table 1 Light"/>
    <w:basedOn w:val="99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name w:val="List Table 1 Light - Accent 1"/>
    <w:basedOn w:val="99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6">
    <w:name w:val="List Table 1 Light - Accent 2"/>
    <w:basedOn w:val="99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7">
    <w:name w:val="List Table 1 Light - Accent 3"/>
    <w:basedOn w:val="99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8">
    <w:name w:val="List Table 1 Light - Accent 4"/>
    <w:basedOn w:val="99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9">
    <w:name w:val="List Table 1 Light - Accent 5"/>
    <w:basedOn w:val="99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0">
    <w:name w:val="List Table 1 Light - Accent 6"/>
    <w:basedOn w:val="99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1">
    <w:name w:val="List Table 2"/>
    <w:basedOn w:val="99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2">
    <w:name w:val="List Table 2 - Accent 1"/>
    <w:basedOn w:val="99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3">
    <w:name w:val="List Table 2 - Accent 2"/>
    <w:basedOn w:val="99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4">
    <w:name w:val="List Table 2 - Accent 3"/>
    <w:basedOn w:val="99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5">
    <w:name w:val="List Table 2 - Accent 4"/>
    <w:basedOn w:val="99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6">
    <w:name w:val="List Table 2 - Accent 5"/>
    <w:basedOn w:val="99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7">
    <w:name w:val="List Table 2 - Accent 6"/>
    <w:basedOn w:val="99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8">
    <w:name w:val="List Table 3"/>
    <w:basedOn w:val="9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9">
    <w:name w:val="List Table 3 - Accent 1"/>
    <w:basedOn w:val="99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10">
    <w:name w:val="List Table 3 - Accent 2"/>
    <w:basedOn w:val="9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11">
    <w:name w:val="List Table 3 - Accent 3"/>
    <w:basedOn w:val="99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12">
    <w:name w:val="List Table 3 - Accent 4"/>
    <w:basedOn w:val="9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13">
    <w:name w:val="List Table 3 - Accent 5"/>
    <w:basedOn w:val="99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14">
    <w:name w:val="List Table 3 - Accent 6"/>
    <w:basedOn w:val="99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15">
    <w:name w:val="List Table 4"/>
    <w:basedOn w:val="9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6">
    <w:name w:val="List Table 4 - Accent 1"/>
    <w:basedOn w:val="99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17">
    <w:name w:val="List Table 4 - Accent 2"/>
    <w:basedOn w:val="99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18">
    <w:name w:val="List Table 4 - Accent 3"/>
    <w:basedOn w:val="99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19">
    <w:name w:val="List Table 4 - Accent 4"/>
    <w:basedOn w:val="99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20">
    <w:name w:val="List Table 4 - Accent 5"/>
    <w:basedOn w:val="99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21">
    <w:name w:val="List Table 4 - Accent 6"/>
    <w:basedOn w:val="99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22">
    <w:name w:val="List Table 5 Dark"/>
    <w:basedOn w:val="99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1"/>
    <w:basedOn w:val="99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2"/>
    <w:basedOn w:val="99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3"/>
    <w:basedOn w:val="99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4"/>
    <w:basedOn w:val="99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5"/>
    <w:basedOn w:val="99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6"/>
    <w:basedOn w:val="99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6 Colorful"/>
    <w:basedOn w:val="99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0">
    <w:name w:val="List Table 6 Colorful - Accent 1"/>
    <w:basedOn w:val="99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31">
    <w:name w:val="List Table 6 Colorful - Accent 2"/>
    <w:basedOn w:val="99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32">
    <w:name w:val="List Table 6 Colorful - Accent 3"/>
    <w:basedOn w:val="99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33">
    <w:name w:val="List Table 6 Colorful - Accent 4"/>
    <w:basedOn w:val="99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34">
    <w:name w:val="List Table 6 Colorful - Accent 5"/>
    <w:basedOn w:val="99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35">
    <w:name w:val="List Table 6 Colorful - Accent 6"/>
    <w:basedOn w:val="99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36">
    <w:name w:val="List Table 7 Colorful"/>
    <w:basedOn w:val="99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7">
    <w:name w:val="List Table 7 Colorful - Accent 1"/>
    <w:basedOn w:val="99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38">
    <w:name w:val="List Table 7 Colorful - Accent 2"/>
    <w:basedOn w:val="99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39">
    <w:name w:val="List Table 7 Colorful - Accent 3"/>
    <w:basedOn w:val="99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40">
    <w:name w:val="List Table 7 Colorful - Accent 4"/>
    <w:basedOn w:val="99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41">
    <w:name w:val="List Table 7 Colorful - Accent 5"/>
    <w:basedOn w:val="99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42">
    <w:name w:val="List Table 7 Colorful - Accent 6"/>
    <w:basedOn w:val="99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43">
    <w:name w:val="Lined - Accent"/>
    <w:basedOn w:val="9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4">
    <w:name w:val="Lined - Accent 1"/>
    <w:basedOn w:val="9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45">
    <w:name w:val="Lined - Accent 2"/>
    <w:basedOn w:val="9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46">
    <w:name w:val="Lined - Accent 3"/>
    <w:basedOn w:val="9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47">
    <w:name w:val="Lined - Accent 4"/>
    <w:basedOn w:val="9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48">
    <w:name w:val="Lined - Accent 5"/>
    <w:basedOn w:val="9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49">
    <w:name w:val="Lined - Accent 6"/>
    <w:basedOn w:val="9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50">
    <w:name w:val="Bordered &amp; Lined - Accent"/>
    <w:basedOn w:val="99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1">
    <w:name w:val="Bordered &amp; Lined - Accent 1"/>
    <w:basedOn w:val="99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52">
    <w:name w:val="Bordered &amp; Lined - Accent 2"/>
    <w:basedOn w:val="99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53">
    <w:name w:val="Bordered &amp; Lined - Accent 3"/>
    <w:basedOn w:val="99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54">
    <w:name w:val="Bordered &amp; Lined - Accent 4"/>
    <w:basedOn w:val="99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55">
    <w:name w:val="Bordered &amp; Lined - Accent 5"/>
    <w:basedOn w:val="99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56">
    <w:name w:val="Bordered &amp; Lined - Accent 6"/>
    <w:basedOn w:val="99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57">
    <w:name w:val="Bordered"/>
    <w:basedOn w:val="99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8">
    <w:name w:val="Bordered - Accent 1"/>
    <w:basedOn w:val="9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9">
    <w:name w:val="Bordered - Accent 2"/>
    <w:basedOn w:val="9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0">
    <w:name w:val="Bordered - Accent 3"/>
    <w:basedOn w:val="9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1">
    <w:name w:val="Bordered - Accent 4"/>
    <w:basedOn w:val="9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2">
    <w:name w:val="Bordered - Accent 5"/>
    <w:basedOn w:val="9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3">
    <w:name w:val="Bordered - Accent 6"/>
    <w:basedOn w:val="9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4">
    <w:name w:val="Hyperlink"/>
    <w:uiPriority w:val="99"/>
    <w:unhideWhenUsed/>
    <w:rPr>
      <w:color w:val="0000ff" w:themeColor="hyperlink"/>
      <w:u w:val="single"/>
    </w:rPr>
  </w:style>
  <w:style w:type="paragraph" w:styleId="965">
    <w:name w:val="footnote text"/>
    <w:basedOn w:val="982"/>
    <w:link w:val="966"/>
    <w:uiPriority w:val="99"/>
    <w:semiHidden/>
    <w:unhideWhenUsed/>
    <w:pPr>
      <w:spacing w:after="40" w:line="240" w:lineRule="auto"/>
    </w:pPr>
    <w:rPr>
      <w:sz w:val="18"/>
    </w:rPr>
  </w:style>
  <w:style w:type="character" w:styleId="966">
    <w:name w:val="Footnote Text Char"/>
    <w:link w:val="965"/>
    <w:uiPriority w:val="99"/>
    <w:rPr>
      <w:sz w:val="18"/>
    </w:rPr>
  </w:style>
  <w:style w:type="character" w:styleId="967">
    <w:name w:val="footnote reference"/>
    <w:basedOn w:val="989"/>
    <w:uiPriority w:val="99"/>
    <w:unhideWhenUsed/>
    <w:rPr>
      <w:vertAlign w:val="superscript"/>
    </w:rPr>
  </w:style>
  <w:style w:type="paragraph" w:styleId="968">
    <w:name w:val="endnote text"/>
    <w:basedOn w:val="982"/>
    <w:link w:val="969"/>
    <w:uiPriority w:val="99"/>
    <w:semiHidden/>
    <w:unhideWhenUsed/>
    <w:pPr>
      <w:spacing w:after="0" w:line="240" w:lineRule="auto"/>
    </w:pPr>
    <w:rPr>
      <w:sz w:val="20"/>
    </w:rPr>
  </w:style>
  <w:style w:type="character" w:styleId="969">
    <w:name w:val="Endnote Text Char"/>
    <w:link w:val="968"/>
    <w:uiPriority w:val="99"/>
    <w:rPr>
      <w:sz w:val="20"/>
    </w:rPr>
  </w:style>
  <w:style w:type="character" w:styleId="970">
    <w:name w:val="endnote reference"/>
    <w:basedOn w:val="989"/>
    <w:uiPriority w:val="99"/>
    <w:semiHidden/>
    <w:unhideWhenUsed/>
    <w:rPr>
      <w:vertAlign w:val="superscript"/>
    </w:rPr>
  </w:style>
  <w:style w:type="paragraph" w:styleId="971">
    <w:name w:val="toc 1"/>
    <w:basedOn w:val="982"/>
    <w:next w:val="982"/>
    <w:uiPriority w:val="39"/>
    <w:unhideWhenUsed/>
    <w:pPr>
      <w:ind w:left="0" w:right="0" w:firstLine="0"/>
      <w:spacing w:after="57"/>
    </w:pPr>
  </w:style>
  <w:style w:type="paragraph" w:styleId="972">
    <w:name w:val="toc 2"/>
    <w:basedOn w:val="982"/>
    <w:next w:val="982"/>
    <w:uiPriority w:val="39"/>
    <w:unhideWhenUsed/>
    <w:pPr>
      <w:ind w:left="283" w:right="0" w:firstLine="0"/>
      <w:spacing w:after="57"/>
    </w:pPr>
  </w:style>
  <w:style w:type="paragraph" w:styleId="973">
    <w:name w:val="toc 3"/>
    <w:basedOn w:val="982"/>
    <w:next w:val="982"/>
    <w:uiPriority w:val="39"/>
    <w:unhideWhenUsed/>
    <w:pPr>
      <w:ind w:left="567" w:right="0" w:firstLine="0"/>
      <w:spacing w:after="57"/>
    </w:pPr>
  </w:style>
  <w:style w:type="paragraph" w:styleId="974">
    <w:name w:val="toc 4"/>
    <w:basedOn w:val="982"/>
    <w:next w:val="982"/>
    <w:uiPriority w:val="39"/>
    <w:unhideWhenUsed/>
    <w:pPr>
      <w:ind w:left="850" w:right="0" w:firstLine="0"/>
      <w:spacing w:after="57"/>
    </w:pPr>
  </w:style>
  <w:style w:type="paragraph" w:styleId="975">
    <w:name w:val="toc 5"/>
    <w:basedOn w:val="982"/>
    <w:next w:val="982"/>
    <w:uiPriority w:val="39"/>
    <w:unhideWhenUsed/>
    <w:pPr>
      <w:ind w:left="1134" w:right="0" w:firstLine="0"/>
      <w:spacing w:after="57"/>
    </w:pPr>
  </w:style>
  <w:style w:type="paragraph" w:styleId="976">
    <w:name w:val="toc 6"/>
    <w:basedOn w:val="982"/>
    <w:next w:val="982"/>
    <w:uiPriority w:val="39"/>
    <w:unhideWhenUsed/>
    <w:pPr>
      <w:ind w:left="1417" w:right="0" w:firstLine="0"/>
      <w:spacing w:after="57"/>
    </w:pPr>
  </w:style>
  <w:style w:type="paragraph" w:styleId="977">
    <w:name w:val="toc 7"/>
    <w:basedOn w:val="982"/>
    <w:next w:val="982"/>
    <w:uiPriority w:val="39"/>
    <w:unhideWhenUsed/>
    <w:pPr>
      <w:ind w:left="1701" w:right="0" w:firstLine="0"/>
      <w:spacing w:after="57"/>
    </w:pPr>
  </w:style>
  <w:style w:type="paragraph" w:styleId="978">
    <w:name w:val="toc 8"/>
    <w:basedOn w:val="982"/>
    <w:next w:val="982"/>
    <w:uiPriority w:val="39"/>
    <w:unhideWhenUsed/>
    <w:pPr>
      <w:ind w:left="1984" w:right="0" w:firstLine="0"/>
      <w:spacing w:after="57"/>
    </w:pPr>
  </w:style>
  <w:style w:type="paragraph" w:styleId="979">
    <w:name w:val="toc 9"/>
    <w:basedOn w:val="982"/>
    <w:next w:val="982"/>
    <w:uiPriority w:val="39"/>
    <w:unhideWhenUsed/>
    <w:pPr>
      <w:ind w:left="2268" w:right="0" w:firstLine="0"/>
      <w:spacing w:after="57"/>
    </w:pPr>
  </w:style>
  <w:style w:type="paragraph" w:styleId="980">
    <w:name w:val="TOC Heading"/>
    <w:uiPriority w:val="39"/>
    <w:unhideWhenUsed/>
  </w:style>
  <w:style w:type="paragraph" w:styleId="981">
    <w:name w:val="table of figures"/>
    <w:basedOn w:val="982"/>
    <w:next w:val="982"/>
    <w:uiPriority w:val="99"/>
    <w:unhideWhenUsed/>
    <w:pPr>
      <w:spacing w:after="0" w:afterAutospacing="0"/>
    </w:pPr>
  </w:style>
  <w:style w:type="paragraph" w:styleId="982"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983">
    <w:name w:val="Heading 1"/>
    <w:basedOn w:val="982"/>
    <w:next w:val="982"/>
    <w:link w:val="1021"/>
    <w:uiPriority w:val="9"/>
    <w:qFormat/>
    <w:pPr>
      <w:jc w:val="center"/>
      <w:keepNext/>
      <w:outlineLvl w:val="0"/>
    </w:pPr>
    <w:rPr>
      <w:rFonts w:ascii="楷体_GB2312" w:hAnsi="楷体_GB2312" w:eastAsia="黑体"/>
      <w:sz w:val="44"/>
      <w:szCs w:val="28"/>
    </w:rPr>
  </w:style>
  <w:style w:type="paragraph" w:styleId="984">
    <w:name w:val="Heading 2"/>
    <w:basedOn w:val="982"/>
    <w:next w:val="991"/>
    <w:uiPriority w:val="9"/>
    <w:qFormat/>
    <w:pPr>
      <w:jc w:val="center"/>
      <w:keepLines/>
      <w:keepNext/>
      <w:spacing w:before="260" w:after="260" w:line="416" w:lineRule="auto"/>
      <w:outlineLvl w:val="1"/>
    </w:pPr>
    <w:rPr>
      <w:rFonts w:ascii="Arial" w:hAnsi="Arial" w:eastAsia="幼圆" w:cs="Arial"/>
      <w:b/>
      <w:bCs/>
      <w:sz w:val="44"/>
      <w:szCs w:val="44"/>
    </w:rPr>
  </w:style>
  <w:style w:type="paragraph" w:styleId="985">
    <w:name w:val="Heading 3"/>
    <w:basedOn w:val="982"/>
    <w:next w:val="991"/>
    <w:uiPriority w:val="9"/>
    <w:qFormat/>
    <w:pPr>
      <w:keepLines/>
      <w:keepNext/>
      <w:spacing w:before="260" w:after="260" w:line="416" w:lineRule="auto"/>
      <w:outlineLvl w:val="2"/>
    </w:pPr>
    <w:rPr>
      <w:b/>
      <w:bCs/>
      <w:sz w:val="32"/>
      <w:szCs w:val="32"/>
    </w:rPr>
  </w:style>
  <w:style w:type="paragraph" w:styleId="986">
    <w:name w:val="Heading 4"/>
    <w:basedOn w:val="982"/>
    <w:next w:val="991"/>
    <w:uiPriority w:val="9"/>
    <w:qFormat/>
    <w:pPr>
      <w:keepLines/>
      <w:keepNext/>
      <w:spacing w:before="280" w:after="290" w:line="376" w:lineRule="auto"/>
      <w:outlineLvl w:val="3"/>
    </w:pPr>
    <w:rPr>
      <w:rFonts w:ascii="Arial" w:hAnsi="Arial" w:eastAsia="黑体" w:cs="Arial"/>
      <w:b/>
      <w:bCs/>
      <w:sz w:val="28"/>
      <w:szCs w:val="28"/>
    </w:rPr>
  </w:style>
  <w:style w:type="paragraph" w:styleId="987">
    <w:name w:val="Heading 5"/>
    <w:basedOn w:val="982"/>
    <w:next w:val="991"/>
    <w:uiPriority w:val="9"/>
    <w:qFormat/>
    <w:pPr>
      <w:keepNext/>
      <w:outlineLvl w:val="4"/>
    </w:pPr>
    <w:rPr>
      <w:rFonts w:ascii="宋体"/>
      <w:color w:val="000000"/>
      <w:sz w:val="28"/>
      <w:szCs w:val="28"/>
    </w:rPr>
  </w:style>
  <w:style w:type="paragraph" w:styleId="988">
    <w:name w:val="Heading 6"/>
    <w:basedOn w:val="982"/>
    <w:next w:val="982"/>
    <w:uiPriority w:val="9"/>
    <w:qFormat/>
    <w:pPr>
      <w:numPr>
        <w:ilvl w:val="5"/>
        <w:numId w:val="1"/>
      </w:numPr>
      <w:keepLines/>
      <w:keepNext/>
      <w:spacing w:before="240" w:after="64" w:line="320" w:lineRule="auto"/>
      <w:outlineLvl w:val="5"/>
    </w:pPr>
    <w:rPr>
      <w:rFonts w:ascii="Arial" w:hAnsi="Arial" w:eastAsia="黑体"/>
      <w:b/>
      <w:bCs/>
      <w:sz w:val="24"/>
      <w:szCs w:val="24"/>
    </w:rPr>
  </w:style>
  <w:style w:type="character" w:styleId="989" w:default="1">
    <w:name w:val="Default Paragraph Font"/>
    <w:uiPriority w:val="0"/>
    <w:semiHidden/>
    <w:qFormat/>
  </w:style>
  <w:style w:type="table" w:styleId="990" w:default="1">
    <w:name w:val="Normal Table"/>
    <w:uiPriority w:val="0"/>
    <w:semiHidden/>
    <w:qFormat/>
    <w:tblPr>
      <w:tblCellMar>
        <w:left w:w="108" w:type="dxa"/>
        <w:top w:w="0" w:type="dxa"/>
        <w:right w:w="108" w:type="dxa"/>
        <w:bottom w:w="0" w:type="dxa"/>
      </w:tblCellMar>
    </w:tblPr>
  </w:style>
  <w:style w:type="paragraph" w:styleId="991">
    <w:name w:val="Normal Indent"/>
    <w:basedOn w:val="982"/>
    <w:uiPriority w:val="0"/>
    <w:qFormat/>
    <w:pPr>
      <w:ind w:firstLine="420"/>
    </w:pPr>
  </w:style>
  <w:style w:type="paragraph" w:styleId="992">
    <w:name w:val="annotation text"/>
    <w:basedOn w:val="982"/>
    <w:uiPriority w:val="99"/>
    <w:semiHidden/>
    <w:qFormat/>
    <w:pPr>
      <w:jc w:val="left"/>
    </w:pPr>
  </w:style>
  <w:style w:type="paragraph" w:styleId="993">
    <w:name w:val="Footer"/>
    <w:basedOn w:val="982"/>
    <w:uiPriority w:val="99"/>
    <w:qFormat/>
    <w:pPr>
      <w:jc w:val="left"/>
      <w:tabs>
        <w:tab w:val="center" w:pos="4153" w:leader="none"/>
        <w:tab w:val="right" w:pos="8306" w:leader="none"/>
      </w:tabs>
    </w:pPr>
    <w:rPr>
      <w:sz w:val="18"/>
      <w:szCs w:val="18"/>
    </w:rPr>
  </w:style>
  <w:style w:type="paragraph" w:styleId="994">
    <w:name w:val="Header"/>
    <w:basedOn w:val="982"/>
    <w:uiPriority w:val="99"/>
    <w:qFormat/>
    <w:pPr>
      <w:jc w:val="center"/>
      <w:tabs>
        <w:tab w:val="center" w:pos="4153" w:leader="none"/>
        <w:tab w:val="right" w:pos="8306" w:leader="none"/>
      </w:tabs>
      <w:pBdr>
        <w:bottom w:val="single" w:color="000000" w:sz="6" w:space="1"/>
      </w:pBdr>
    </w:pPr>
    <w:rPr>
      <w:sz w:val="18"/>
      <w:szCs w:val="18"/>
    </w:rPr>
  </w:style>
  <w:style w:type="paragraph" w:styleId="995">
    <w:name w:val="Normal (Web)"/>
    <w:basedOn w:val="982"/>
    <w:uiPriority w:val="99"/>
    <w:qFormat/>
    <w:pPr>
      <w:jc w:val="left"/>
      <w:spacing w:before="100" w:beforeAutospacing="1" w:after="100" w:afterAutospacing="1"/>
      <w:widowControl/>
    </w:pPr>
    <w:rPr>
      <w:rFonts w:ascii="宋体" w:hAnsi="宋体" w:cs="宋体"/>
      <w:sz w:val="24"/>
      <w:szCs w:val="24"/>
    </w:rPr>
  </w:style>
  <w:style w:type="table" w:styleId="996">
    <w:name w:val="Table Grid"/>
    <w:basedOn w:val="990"/>
    <w:uiPriority w:val="59"/>
    <w:qFormat/>
    <w:pPr>
      <w:jc w:val="both"/>
      <w:widowControl w:val="off"/>
    </w:pPr>
    <w:tblPr>
      <w:tblCellMar>
        <w:left w:w="108" w:type="dxa"/>
        <w:top w:w="0" w:type="dxa"/>
        <w:right w:w="108" w:type="dxa"/>
        <w:bottom w:w="0" w:type="dxa"/>
      </w:tblCellMar>
    </w:tblPr>
  </w:style>
  <w:style w:type="character" w:styleId="997">
    <w:name w:val="page number"/>
    <w:uiPriority w:val="0"/>
    <w:qFormat/>
  </w:style>
  <w:style w:type="paragraph" w:styleId="998" w:customStyle="1">
    <w:name w:val="标题 11"/>
    <w:basedOn w:val="982"/>
    <w:next w:val="982"/>
    <w:link w:val="999"/>
    <w:uiPriority w:val="0"/>
    <w:qFormat/>
    <w:pPr>
      <w:jc w:val="center"/>
      <w:keepNext/>
      <w:outlineLvl w:val="0"/>
    </w:pPr>
    <w:rPr>
      <w:rFonts w:ascii="楷体_GB2312" w:hAnsi="楷体_GB2312" w:eastAsia="黑体"/>
      <w:sz w:val="44"/>
      <w:szCs w:val="28"/>
    </w:rPr>
  </w:style>
  <w:style w:type="character" w:styleId="999" w:customStyle="1">
    <w:name w:val="标题 1 Char"/>
    <w:link w:val="998"/>
    <w:uiPriority w:val="0"/>
    <w:qFormat/>
    <w:rPr>
      <w:rFonts w:ascii="楷体_GB2312" w:hAnsi="楷体_GB2312" w:eastAsia="黑体"/>
      <w:sz w:val="44"/>
      <w:szCs w:val="28"/>
    </w:rPr>
  </w:style>
  <w:style w:type="paragraph" w:styleId="1000" w:customStyle="1">
    <w:name w:val="标题 311"/>
    <w:basedOn w:val="982"/>
    <w:next w:val="1001"/>
    <w:uiPriority w:val="9"/>
    <w:qFormat/>
    <w:pPr>
      <w:keepLines/>
      <w:keepNext/>
      <w:spacing w:before="320" w:after="200"/>
      <w:outlineLvl w:val="2"/>
    </w:pPr>
    <w:rPr>
      <w:rFonts w:ascii="Arial" w:hAnsi="Arial" w:eastAsia="Arial" w:cs="Arial"/>
      <w:sz w:val="30"/>
      <w:szCs w:val="30"/>
    </w:rPr>
  </w:style>
  <w:style w:type="paragraph" w:styleId="1001" w:customStyle="1">
    <w:name w:val="正文缩进11"/>
    <w:basedOn w:val="982"/>
    <w:uiPriority w:val="99"/>
    <w:qFormat/>
    <w:pPr>
      <w:ind w:firstLine="420"/>
    </w:pPr>
  </w:style>
  <w:style w:type="character" w:styleId="1002" w:customStyle="1">
    <w:name w:val="NormalCharacter"/>
    <w:uiPriority w:val="99"/>
    <w:qFormat/>
  </w:style>
  <w:style w:type="paragraph" w:styleId="1003">
    <w:name w:val="List Paragraph"/>
    <w:basedOn w:val="982"/>
    <w:uiPriority w:val="34"/>
    <w:qFormat/>
    <w:pPr>
      <w:contextualSpacing/>
      <w:ind w:left="720"/>
    </w:pPr>
  </w:style>
  <w:style w:type="character" w:styleId="1004" w:customStyle="1">
    <w:name w:val="font91"/>
    <w:basedOn w:val="989"/>
    <w:uiPriority w:val="0"/>
    <w:qFormat/>
    <w:rPr>
      <w:rFonts w:hint="eastAsia" w:ascii="宋体" w:hAnsi="宋体" w:eastAsia="宋体" w:cs="宋体"/>
      <w:color w:val="ff0000"/>
      <w:sz w:val="20"/>
      <w:szCs w:val="20"/>
      <w:u w:val="none"/>
    </w:rPr>
  </w:style>
  <w:style w:type="character" w:styleId="1005" w:customStyle="1">
    <w:name w:val="font31"/>
    <w:basedOn w:val="989"/>
    <w:uiPriority w:val="0"/>
    <w:qFormat/>
    <w:rPr>
      <w:rFonts w:hint="eastAsia" w:ascii="宋体" w:hAnsi="宋体" w:eastAsia="宋体" w:cs="宋体"/>
      <w:color w:val="000000"/>
      <w:sz w:val="20"/>
      <w:szCs w:val="20"/>
      <w:u w:val="none"/>
    </w:rPr>
  </w:style>
  <w:style w:type="character" w:styleId="1006" w:customStyle="1">
    <w:name w:val="font101"/>
    <w:basedOn w:val="989"/>
    <w:uiPriority w:val="0"/>
    <w:qFormat/>
    <w:rPr>
      <w:rFonts w:hint="eastAsia" w:ascii="宋体" w:hAnsi="宋体" w:eastAsia="宋体" w:cs="宋体"/>
      <w:color w:val="000000"/>
      <w:sz w:val="20"/>
      <w:szCs w:val="20"/>
      <w:u w:val="none"/>
    </w:rPr>
  </w:style>
  <w:style w:type="paragraph" w:styleId="1007" w:customStyle="1">
    <w:name w:val="表中文字"/>
    <w:next w:val="982"/>
    <w:uiPriority w:val="0"/>
    <w:qFormat/>
    <w:pPr>
      <w:keepLines/>
    </w:pPr>
    <w:rPr>
      <w:rFonts w:ascii="Times New Roman" w:hAnsi="Times New Roman" w:eastAsia="宋体" w:cs="Times New Roman"/>
      <w:sz w:val="24"/>
      <w:lang w:val="en-US" w:eastAsia="zh-CN" w:bidi="ar-SA"/>
    </w:rPr>
  </w:style>
  <w:style w:type="table" w:styleId="1008" w:customStyle="1">
    <w:name w:val="网格型11"/>
    <w:uiPriority w:val="59"/>
    <w:qFormat/>
    <w:tblPr>
      <w:tblCellMar>
        <w:left w:w="0" w:type="dxa"/>
        <w:top w:w="0" w:type="dxa"/>
        <w:right w:w="0" w:type="dxa"/>
        <w:bottom w:w="0" w:type="dxa"/>
      </w:tblCellMar>
    </w:tblPr>
  </w:style>
  <w:style w:type="paragraph" w:styleId="1009" w:customStyle="1">
    <w:name w:val="正文111"/>
    <w:next w:val="1010"/>
    <w:uiPriority w:val="0"/>
    <w:qFormat/>
    <w:pPr>
      <w:jc w:val="both"/>
      <w:widowControl w:val="off"/>
    </w:pPr>
    <w:rPr>
      <w:rFonts w:ascii="Times New Roman" w:hAnsi="Times New Roman" w:eastAsia="宋体" w:cs="Times New Roman"/>
      <w:sz w:val="21"/>
      <w:szCs w:val="24"/>
      <w:lang w:val="en-US" w:eastAsia="zh-CN" w:bidi="ar-SA"/>
    </w:rPr>
  </w:style>
  <w:style w:type="paragraph" w:styleId="1010" w:customStyle="1">
    <w:name w:val="标题 41"/>
    <w:basedOn w:val="1011"/>
    <w:next w:val="1009"/>
    <w:uiPriority w:val="0"/>
    <w:qFormat/>
    <w:pPr>
      <w:keepLines/>
      <w:keepNext/>
      <w:spacing w:before="280" w:after="290" w:line="376" w:lineRule="auto"/>
      <w:outlineLvl w:val="3"/>
    </w:pPr>
    <w:rPr>
      <w:rFonts w:ascii="Arial" w:hAnsi="Arial" w:eastAsia="黑体" w:cs="Arial"/>
      <w:b/>
      <w:bCs/>
      <w:sz w:val="28"/>
      <w:szCs w:val="28"/>
    </w:rPr>
  </w:style>
  <w:style w:type="paragraph" w:styleId="1011" w:customStyle="1">
    <w:name w:val="正文12"/>
    <w:next w:val="1012"/>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1012" w:customStyle="1">
    <w:name w:val="脚注文本1"/>
    <w:basedOn w:val="1013"/>
    <w:next w:val="1018"/>
    <w:uiPriority w:val="0"/>
    <w:qFormat/>
    <w:rPr>
      <w:rFonts w:ascii="宋体" w:eastAsia="Times New Roman"/>
      <w:sz w:val="18"/>
      <w:szCs w:val="18"/>
    </w:rPr>
  </w:style>
  <w:style w:type="paragraph" w:styleId="1013" w:customStyle="1">
    <w:name w:val="正文1"/>
    <w:basedOn w:val="982"/>
    <w:next w:val="1014"/>
    <w:uiPriority w:val="99"/>
    <w:qFormat/>
    <w:pPr>
      <w:ind w:firstLine="480"/>
      <w:spacing w:line="440" w:lineRule="exact"/>
    </w:pPr>
    <w:rPr>
      <w:rFonts w:ascii="微软雅黑" w:hAnsi="微软雅黑" w:eastAsia="微软雅黑"/>
      <w:sz w:val="24"/>
      <w:szCs w:val="20"/>
    </w:rPr>
  </w:style>
  <w:style w:type="paragraph" w:styleId="1014" w:customStyle="1">
    <w:name w:val="正文文本1"/>
    <w:basedOn w:val="982"/>
    <w:next w:val="1015"/>
    <w:uiPriority w:val="0"/>
    <w:qFormat/>
    <w:rPr>
      <w:rFonts w:ascii="楷体_GB2312" w:hAnsi="Arial" w:eastAsia="楷体_GB2312"/>
      <w:sz w:val="28"/>
      <w:szCs w:val="28"/>
    </w:rPr>
  </w:style>
  <w:style w:type="paragraph" w:styleId="1015" w:customStyle="1">
    <w:name w:val="一级条标题"/>
    <w:basedOn w:val="1016"/>
    <w:next w:val="1017"/>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6" w:customStyle="1">
    <w:name w:val="章标题"/>
    <w:next w:val="1013"/>
    <w:uiPriority w:val="99"/>
    <w:qFormat/>
    <w:pPr>
      <w:ind w:left="810" w:hanging="810"/>
      <w:jc w:val="both"/>
      <w:spacing w:before="50" w:after="50"/>
      <w:tabs>
        <w:tab w:val="left" w:pos="810" w:leader="none"/>
        <w:tab w:val="left" w:pos="1265" w:leader="none"/>
      </w:tabs>
      <w:outlineLvl w:val="1"/>
    </w:pPr>
    <w:rPr>
      <w:rFonts w:ascii="黑体" w:hAnsi="Times New Roman" w:eastAsia="黑体" w:cs="黑体"/>
      <w:sz w:val="21"/>
      <w:szCs w:val="21"/>
      <w:lang w:val="en-US" w:eastAsia="zh-CN" w:bidi="ar-SA"/>
    </w:rPr>
  </w:style>
  <w:style w:type="paragraph" w:styleId="1017" w:customStyle="1">
    <w:name w:val="段"/>
    <w:basedOn w:val="1013"/>
    <w:next w:val="1013"/>
    <w:uiPriority w:val="99"/>
    <w:qFormat/>
    <w:pPr>
      <w:ind w:firstLine="200"/>
    </w:pPr>
  </w:style>
  <w:style w:type="paragraph" w:styleId="1018" w:customStyle="1">
    <w:name w:val="索引 51"/>
    <w:basedOn w:val="1019"/>
    <w:next w:val="1013"/>
    <w:uiPriority w:val="0"/>
    <w:qFormat/>
    <w:pPr>
      <w:ind w:left="798"/>
      <w:jc w:val="left"/>
    </w:pPr>
    <w:rPr>
      <w:rFonts w:ascii="Calibri" w:hAnsi="Calibri"/>
    </w:rPr>
  </w:style>
  <w:style w:type="paragraph" w:styleId="1019" w:customStyle="1">
    <w:name w:val="正文11"/>
    <w:next w:val="982"/>
    <w:uiPriority w:val="0"/>
    <w:qFormat/>
    <w:pPr>
      <w:jc w:val="both"/>
      <w:widowControl w:val="off"/>
    </w:pPr>
    <w:rPr>
      <w:rFonts w:ascii="Times New Roman" w:hAnsi="Times New Roman" w:eastAsia="宋体" w:cs="Times New Roman"/>
      <w:sz w:val="21"/>
      <w:szCs w:val="24"/>
      <w:lang w:val="en-US" w:eastAsia="zh-CN" w:bidi="ar-SA"/>
    </w:rPr>
  </w:style>
  <w:style w:type="paragraph" w:styleId="1020" w:customStyle="1">
    <w:name w:val="UserStyle_30"/>
    <w:basedOn w:val="982"/>
    <w:uiPriority w:val="99"/>
    <w:qFormat/>
    <w:pPr>
      <w:ind w:firstLine="480"/>
      <w:jc w:val="left"/>
      <w:spacing w:before="120" w:after="120" w:line="360" w:lineRule="auto"/>
    </w:pPr>
    <w:rPr>
      <w:rFonts w:ascii="Arial" w:hAnsi="Arial"/>
      <w:sz w:val="24"/>
      <w:szCs w:val="24"/>
    </w:rPr>
  </w:style>
  <w:style w:type="character" w:styleId="1021" w:customStyle="1">
    <w:name w:val="标题 1 Char1"/>
    <w:link w:val="983"/>
    <w:uiPriority w:val="9"/>
    <w:qFormat/>
    <w:rPr>
      <w:rFonts w:ascii="楷体_GB2312" w:hAnsi="楷体_GB2312" w:eastAsia="黑体"/>
      <w:sz w:val="44"/>
      <w:szCs w:val="28"/>
    </w:rPr>
  </w:style>
  <w:style w:type="numbering" w:styleId="10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jp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李想</cp:lastModifiedBy>
  <cp:revision>3</cp:revision>
  <dcterms:created xsi:type="dcterms:W3CDTF">2026-09-01T08:42:11Z</dcterms:created>
  <dcterms:modified xsi:type="dcterms:W3CDTF">2026-09-02T02:33:34Z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KSOTemplateDocerSaveRecord">
    <vt:lpwstr>eyJoZGlkIjoiNjQxYTE4MDQ0OTM5YzE4ZWIwNTE2NzIwMGI5MTIzYTEiLCJ1c2VySWQiOiIxODE0MjIyNzY2In0=</vt:lpwstr>
  </property>
  <property fmtid="{D5CDD505-2E9C-101B-9397-08002B2CF9AE}" pid="4" name="ICV">
    <vt:lpwstr>A4B1DBBCD888427DAAC0918E2FDA685D_12</vt:lpwstr>
  </property>
</Properties>
</file>