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F61865">
      <w:pPr>
        <w:rPr>
          <w:rFonts w:ascii="宋体" w:hAnsi="宋体" w:cs="宋体"/>
          <w:bCs/>
          <w:sz w:val="24"/>
          <w:szCs w:val="24"/>
        </w:rPr>
      </w:pPr>
    </w:p>
    <w:p w14:paraId="61506B7F">
      <w:pPr>
        <w:pStyle w:val="249"/>
        <w:rPr>
          <w:rFonts w:ascii="宋体" w:hAnsi="宋体" w:eastAsia="宋体" w:cs="宋体"/>
          <w:sz w:val="24"/>
          <w:szCs w:val="24"/>
        </w:rPr>
      </w:pPr>
    </w:p>
    <w:p w14:paraId="7C223D91">
      <w:pPr>
        <w:ind w:left="660"/>
        <w:rPr>
          <w:rFonts w:ascii="宋体" w:hAnsi="宋体" w:cs="宋体"/>
          <w:bCs/>
          <w:sz w:val="24"/>
          <w:szCs w:val="24"/>
        </w:rPr>
      </w:pPr>
    </w:p>
    <w:p w14:paraId="67701BF6">
      <w:pPr>
        <w:pStyle w:val="249"/>
        <w:rPr>
          <w:rFonts w:ascii="宋体" w:hAnsi="宋体" w:eastAsia="宋体" w:cs="宋体"/>
          <w:sz w:val="24"/>
          <w:szCs w:val="24"/>
        </w:rPr>
      </w:pPr>
    </w:p>
    <w:p w14:paraId="4B86BE3B">
      <w:pPr>
        <w:jc w:val="center"/>
        <w:rPr>
          <w:rFonts w:hint="eastAsia" w:ascii="宋体" w:hAnsi="宋体" w:eastAsia="宋体" w:cs="宋体"/>
          <w:b/>
          <w:sz w:val="144"/>
          <w:szCs w:val="144"/>
          <w:lang w:eastAsia="zh-CN"/>
        </w:rPr>
      </w:pPr>
      <w:r>
        <w:rPr>
          <w:rFonts w:hint="eastAsia" w:ascii="宋体" w:hAnsi="宋体" w:cs="宋体"/>
          <w:b/>
          <w:sz w:val="96"/>
          <w:szCs w:val="96"/>
          <w:lang w:eastAsia="zh-CN"/>
        </w:rPr>
        <w:t>无锡市政府采购</w:t>
      </w:r>
    </w:p>
    <w:p w14:paraId="4375B89F">
      <w:pPr>
        <w:rPr>
          <w:rFonts w:ascii="宋体" w:hAnsi="宋体" w:cs="宋体"/>
          <w:b/>
          <w:sz w:val="32"/>
          <w:szCs w:val="32"/>
        </w:rPr>
      </w:pPr>
    </w:p>
    <w:p w14:paraId="409655FE">
      <w:pPr>
        <w:pStyle w:val="265"/>
        <w:jc w:val="center"/>
        <w:rPr>
          <w:rFonts w:ascii="宋体" w:hAnsi="宋体" w:cs="宋体"/>
          <w:b/>
          <w:sz w:val="52"/>
          <w:szCs w:val="52"/>
        </w:rPr>
      </w:pPr>
      <w:r>
        <w:rPr>
          <w:rFonts w:hint="eastAsia" w:ascii="宋体" w:hAnsi="宋体" w:cs="宋体"/>
          <w:b/>
          <w:sz w:val="52"/>
          <w:szCs w:val="52"/>
        </w:rPr>
        <w:t>（暗标）</w:t>
      </w:r>
    </w:p>
    <w:p w14:paraId="4249EAB5">
      <w:pPr>
        <w:rPr>
          <w:rFonts w:ascii="宋体" w:hAnsi="宋体" w:cs="宋体"/>
          <w:b/>
          <w:sz w:val="32"/>
          <w:szCs w:val="32"/>
        </w:rPr>
      </w:pPr>
    </w:p>
    <w:p w14:paraId="4267EF12">
      <w:pPr>
        <w:pStyle w:val="265"/>
        <w:rPr>
          <w:rFonts w:ascii="宋体" w:hAnsi="宋体" w:cs="宋体"/>
          <w:sz w:val="32"/>
          <w:szCs w:val="32"/>
        </w:rPr>
      </w:pPr>
    </w:p>
    <w:p w14:paraId="6DE51792">
      <w:pPr>
        <w:pStyle w:val="265"/>
        <w:rPr>
          <w:rFonts w:ascii="宋体" w:hAnsi="宋体" w:cs="宋体"/>
          <w:sz w:val="32"/>
          <w:szCs w:val="32"/>
        </w:rPr>
      </w:pPr>
    </w:p>
    <w:p w14:paraId="17F34416">
      <w:pPr>
        <w:jc w:val="center"/>
        <w:rPr>
          <w:rFonts w:ascii="宋体" w:hAnsi="宋体" w:cs="宋体"/>
          <w:b/>
          <w:sz w:val="32"/>
          <w:szCs w:val="32"/>
        </w:rPr>
      </w:pPr>
      <w:bookmarkStart w:id="0" w:name="_Toc8186"/>
      <w:bookmarkStart w:id="1" w:name="_Toc6267"/>
      <w:r>
        <w:rPr>
          <w:rFonts w:hint="eastAsia" w:ascii="宋体" w:hAnsi="宋体" w:cs="宋体"/>
          <w:b/>
          <w:sz w:val="52"/>
          <w:szCs w:val="52"/>
        </w:rPr>
        <w:t>公开招标文件</w:t>
      </w:r>
      <w:bookmarkEnd w:id="0"/>
      <w:bookmarkEnd w:id="1"/>
    </w:p>
    <w:p w14:paraId="31E1FB1E">
      <w:pPr>
        <w:rPr>
          <w:rFonts w:ascii="宋体" w:hAnsi="宋体" w:cs="宋体"/>
          <w:bCs/>
          <w:sz w:val="32"/>
          <w:szCs w:val="32"/>
        </w:rPr>
      </w:pPr>
    </w:p>
    <w:p w14:paraId="3A107BBE">
      <w:pPr>
        <w:pStyle w:val="255"/>
        <w:ind w:left="1260"/>
        <w:rPr>
          <w:rFonts w:ascii="宋体" w:hAnsi="宋体" w:cs="宋体"/>
          <w:b/>
          <w:sz w:val="32"/>
          <w:szCs w:val="32"/>
        </w:rPr>
      </w:pPr>
    </w:p>
    <w:p w14:paraId="177FFCF3">
      <w:pPr>
        <w:rPr>
          <w:rFonts w:ascii="宋体" w:hAnsi="宋体" w:cs="宋体"/>
          <w:b/>
          <w:sz w:val="32"/>
          <w:szCs w:val="32"/>
        </w:rPr>
      </w:pPr>
    </w:p>
    <w:p w14:paraId="0FC532F7">
      <w:pPr>
        <w:jc w:val="center"/>
        <w:rPr>
          <w:rFonts w:ascii="宋体" w:hAnsi="宋体" w:cs="宋体"/>
          <w:b/>
          <w:sz w:val="32"/>
          <w:szCs w:val="32"/>
        </w:rPr>
      </w:pPr>
    </w:p>
    <w:p w14:paraId="4359A657">
      <w:pPr>
        <w:jc w:val="center"/>
        <w:rPr>
          <w:rFonts w:ascii="宋体" w:hAnsi="宋体" w:cs="宋体"/>
          <w:b/>
          <w:sz w:val="32"/>
          <w:szCs w:val="32"/>
        </w:rPr>
      </w:pPr>
      <w:bookmarkStart w:id="2" w:name="_Toc9350"/>
      <w:bookmarkStart w:id="3" w:name="_Toc607"/>
      <w:r>
        <w:rPr>
          <w:rFonts w:hint="eastAsia" w:ascii="宋体" w:hAnsi="宋体" w:cs="宋体"/>
          <w:b/>
          <w:sz w:val="52"/>
          <w:szCs w:val="52"/>
        </w:rPr>
        <w:t>（全流程电子化）</w:t>
      </w:r>
      <w:bookmarkEnd w:id="2"/>
      <w:bookmarkEnd w:id="3"/>
    </w:p>
    <w:p w14:paraId="5A241EAE">
      <w:pPr>
        <w:pStyle w:val="305"/>
        <w:ind w:firstLine="0"/>
        <w:rPr>
          <w:rFonts w:ascii="宋体" w:hAnsi="宋体" w:cs="宋体"/>
          <w:sz w:val="24"/>
          <w:szCs w:val="24"/>
        </w:rPr>
      </w:pPr>
    </w:p>
    <w:p w14:paraId="5A66CDF5">
      <w:pPr>
        <w:pStyle w:val="305"/>
        <w:ind w:firstLine="0"/>
        <w:rPr>
          <w:rFonts w:ascii="宋体" w:hAnsi="宋体" w:cs="宋体"/>
          <w:sz w:val="24"/>
          <w:szCs w:val="24"/>
        </w:rPr>
      </w:pPr>
    </w:p>
    <w:p w14:paraId="10B5CB7A">
      <w:pPr>
        <w:pStyle w:val="305"/>
        <w:ind w:firstLine="0"/>
        <w:rPr>
          <w:rFonts w:ascii="宋体" w:hAnsi="宋体" w:cs="宋体"/>
          <w:sz w:val="24"/>
          <w:szCs w:val="24"/>
        </w:rPr>
      </w:pPr>
    </w:p>
    <w:p w14:paraId="6676B68F">
      <w:pPr>
        <w:pStyle w:val="305"/>
        <w:ind w:firstLine="0"/>
        <w:rPr>
          <w:rFonts w:ascii="宋体" w:hAnsi="宋体" w:cs="宋体"/>
          <w:sz w:val="24"/>
          <w:szCs w:val="24"/>
        </w:rPr>
      </w:pPr>
    </w:p>
    <w:p w14:paraId="6DB87AF7">
      <w:pPr>
        <w:rPr>
          <w:rFonts w:ascii="宋体" w:hAnsi="宋体" w:cs="宋体"/>
          <w:sz w:val="24"/>
          <w:szCs w:val="24"/>
        </w:rPr>
      </w:pPr>
    </w:p>
    <w:p w14:paraId="1E197CB6">
      <w:pPr>
        <w:spacing w:line="360" w:lineRule="auto"/>
        <w:rPr>
          <w:rFonts w:hint="eastAsia" w:ascii="宋体" w:hAnsi="宋体" w:eastAsia="宋体" w:cs="宋体"/>
          <w:sz w:val="28"/>
          <w:szCs w:val="28"/>
          <w:lang w:eastAsia="zh-CN"/>
        </w:rPr>
      </w:pPr>
      <w:bookmarkStart w:id="4" w:name="_Toc30450"/>
      <w:bookmarkStart w:id="5" w:name="_Toc158"/>
      <w:r>
        <w:rPr>
          <w:rFonts w:hint="eastAsia" w:ascii="宋体" w:hAnsi="宋体" w:cs="宋体"/>
          <w:sz w:val="28"/>
          <w:szCs w:val="28"/>
        </w:rPr>
        <w:t>采购项目编号：</w:t>
      </w:r>
      <w:bookmarkEnd w:id="4"/>
      <w:bookmarkEnd w:id="5"/>
      <w:r>
        <w:rPr>
          <w:rFonts w:hint="eastAsia" w:ascii="宋体" w:hAnsi="宋体" w:cs="宋体"/>
          <w:sz w:val="28"/>
          <w:szCs w:val="28"/>
          <w:lang w:eastAsia="zh-CN"/>
        </w:rPr>
        <w:t>JSZC-320200-WXZB-G2026-0006</w:t>
      </w:r>
    </w:p>
    <w:p w14:paraId="24BF4950">
      <w:pPr>
        <w:spacing w:line="360" w:lineRule="auto"/>
        <w:ind w:left="1960" w:hanging="1960"/>
        <w:rPr>
          <w:rFonts w:hint="eastAsia" w:ascii="宋体" w:hAnsi="宋体" w:eastAsia="宋体" w:cs="宋体"/>
          <w:bCs/>
          <w:sz w:val="28"/>
          <w:szCs w:val="28"/>
          <w:lang w:eastAsia="zh-CN"/>
        </w:rPr>
      </w:pPr>
      <w:r>
        <w:rPr>
          <w:rFonts w:hint="eastAsia" w:ascii="宋体" w:hAnsi="宋体" w:cs="宋体"/>
          <w:bCs/>
          <w:sz w:val="28"/>
          <w:szCs w:val="28"/>
        </w:rPr>
        <w:t>采购项目名称：</w:t>
      </w:r>
      <w:r>
        <w:rPr>
          <w:rFonts w:hint="eastAsia" w:ascii="宋体" w:hAnsi="宋体" w:cs="宋体"/>
          <w:bCs/>
          <w:sz w:val="28"/>
          <w:szCs w:val="28"/>
          <w:lang w:eastAsia="zh-CN"/>
        </w:rPr>
        <w:t>无锡法院集中编目服务采购项目</w:t>
      </w:r>
    </w:p>
    <w:p w14:paraId="41D6D8BB">
      <w:pPr>
        <w:spacing w:line="360" w:lineRule="auto"/>
        <w:jc w:val="left"/>
        <w:rPr>
          <w:rFonts w:hint="eastAsia" w:ascii="宋体" w:hAnsi="宋体" w:eastAsia="宋体" w:cs="宋体"/>
          <w:sz w:val="28"/>
          <w:szCs w:val="28"/>
          <w:lang w:eastAsia="zh-CN"/>
        </w:rPr>
      </w:pPr>
      <w:r>
        <w:rPr>
          <w:rFonts w:hint="eastAsia" w:ascii="宋体" w:hAnsi="宋体" w:cs="宋体"/>
          <w:sz w:val="28"/>
          <w:szCs w:val="28"/>
        </w:rPr>
        <w:t>采   购   人：</w:t>
      </w:r>
      <w:r>
        <w:rPr>
          <w:rFonts w:hint="eastAsia" w:ascii="宋体" w:hAnsi="宋体" w:cs="宋体"/>
          <w:sz w:val="28"/>
          <w:szCs w:val="28"/>
          <w:lang w:eastAsia="zh-CN"/>
        </w:rPr>
        <w:t>无锡市中级人民法院</w:t>
      </w:r>
    </w:p>
    <w:p w14:paraId="4368305B">
      <w:pPr>
        <w:spacing w:line="360" w:lineRule="auto"/>
        <w:rPr>
          <w:rFonts w:hint="eastAsia" w:ascii="宋体" w:hAnsi="宋体" w:eastAsia="宋体" w:cs="宋体"/>
          <w:sz w:val="28"/>
          <w:szCs w:val="28"/>
          <w:lang w:eastAsia="zh-CN"/>
        </w:rPr>
      </w:pPr>
      <w:bookmarkStart w:id="6" w:name="_Toc12700"/>
      <w:bookmarkStart w:id="7" w:name="_Toc22627"/>
      <w:r>
        <w:rPr>
          <w:rFonts w:hint="eastAsia" w:ascii="宋体" w:hAnsi="宋体" w:cs="宋体"/>
          <w:sz w:val="28"/>
          <w:szCs w:val="28"/>
        </w:rPr>
        <w:t>采购代理机构：</w:t>
      </w:r>
      <w:bookmarkEnd w:id="6"/>
      <w:bookmarkEnd w:id="7"/>
      <w:r>
        <w:rPr>
          <w:rFonts w:hint="eastAsia" w:ascii="宋体" w:hAnsi="宋体" w:cs="宋体"/>
          <w:sz w:val="28"/>
          <w:szCs w:val="28"/>
          <w:lang w:eastAsia="zh-CN"/>
        </w:rPr>
        <w:t>无锡众邦技术咨询有限公司</w:t>
      </w:r>
    </w:p>
    <w:p w14:paraId="33DD1C91">
      <w:pPr>
        <w:rPr>
          <w:rFonts w:ascii="宋体" w:hAnsi="宋体" w:cs="宋体"/>
          <w:bCs/>
          <w:sz w:val="28"/>
          <w:szCs w:val="28"/>
        </w:rPr>
      </w:pPr>
    </w:p>
    <w:p w14:paraId="67F8CCE2">
      <w:pPr>
        <w:jc w:val="center"/>
        <w:rPr>
          <w:rStyle w:val="284"/>
          <w:rFonts w:ascii="宋体" w:hAnsi="宋体" w:cs="宋体"/>
          <w:bCs/>
          <w:sz w:val="24"/>
          <w:szCs w:val="24"/>
        </w:rPr>
      </w:pPr>
      <w:r>
        <w:rPr>
          <w:rFonts w:hint="eastAsia" w:ascii="宋体" w:hAnsi="宋体" w:cs="宋体"/>
          <w:bCs/>
          <w:sz w:val="28"/>
          <w:szCs w:val="28"/>
        </w:rPr>
        <w:t>二○二</w:t>
      </w:r>
      <w:r>
        <w:rPr>
          <w:rFonts w:hint="eastAsia" w:ascii="宋体" w:hAnsi="宋体" w:cs="宋体"/>
          <w:bCs/>
          <w:sz w:val="28"/>
          <w:szCs w:val="28"/>
          <w:lang w:val="en-US" w:eastAsia="zh-CN"/>
        </w:rPr>
        <w:t>六</w:t>
      </w:r>
      <w:r>
        <w:rPr>
          <w:rFonts w:hint="eastAsia" w:ascii="宋体" w:hAnsi="宋体" w:cs="宋体"/>
          <w:bCs/>
          <w:sz w:val="28"/>
          <w:szCs w:val="28"/>
        </w:rPr>
        <w:t>年</w:t>
      </w:r>
      <w:r>
        <w:rPr>
          <w:rFonts w:hint="eastAsia" w:ascii="宋体" w:hAnsi="宋体" w:cs="宋体"/>
          <w:bCs/>
          <w:sz w:val="28"/>
          <w:szCs w:val="28"/>
          <w:lang w:val="en-US" w:eastAsia="zh-CN"/>
        </w:rPr>
        <w:t>八</w:t>
      </w:r>
      <w:r>
        <w:rPr>
          <w:rFonts w:hint="eastAsia" w:ascii="宋体" w:hAnsi="宋体" w:cs="宋体"/>
          <w:bCs/>
          <w:sz w:val="28"/>
          <w:szCs w:val="28"/>
        </w:rPr>
        <w:t>月</w:t>
      </w:r>
    </w:p>
    <w:p w14:paraId="6F12E8FB">
      <w:pPr>
        <w:jc w:val="center"/>
        <w:rPr>
          <w:rStyle w:val="284"/>
          <w:rFonts w:ascii="宋体" w:hAnsi="宋体" w:cs="宋体"/>
          <w:sz w:val="24"/>
          <w:szCs w:val="24"/>
        </w:rPr>
      </w:pPr>
    </w:p>
    <w:p w14:paraId="4DCF48AA">
      <w:pPr>
        <w:jc w:val="center"/>
        <w:rPr>
          <w:rStyle w:val="284"/>
          <w:rFonts w:ascii="宋体" w:hAnsi="宋体" w:cs="宋体"/>
          <w:sz w:val="24"/>
          <w:szCs w:val="24"/>
        </w:rPr>
        <w:sectPr>
          <w:headerReference r:id="rId4" w:type="first"/>
          <w:footerReference r:id="rId6" w:type="first"/>
          <w:headerReference r:id="rId3" w:type="default"/>
          <w:footerReference r:id="rId5" w:type="default"/>
          <w:pgSz w:w="11906" w:h="16838"/>
          <w:pgMar w:top="1440" w:right="1800" w:bottom="1440" w:left="1800" w:header="851" w:footer="992" w:gutter="0"/>
          <w:pgNumType w:start="1"/>
          <w:cols w:space="1701" w:num="1"/>
          <w:docGrid w:linePitch="360" w:charSpace="0"/>
        </w:sectPr>
      </w:pPr>
      <w:bookmarkStart w:id="8" w:name="_Toc27240"/>
    </w:p>
    <w:p w14:paraId="15E217BB">
      <w:pPr>
        <w:jc w:val="center"/>
        <w:rPr>
          <w:rStyle w:val="284"/>
          <w:rFonts w:ascii="宋体" w:hAnsi="宋体" w:cs="宋体"/>
          <w:b/>
          <w:sz w:val="28"/>
          <w:szCs w:val="28"/>
        </w:rPr>
      </w:pPr>
      <w:bookmarkStart w:id="9" w:name="_Toc23032"/>
      <w:bookmarkStart w:id="10" w:name="_Toc15618"/>
      <w:bookmarkStart w:id="11" w:name="_Toc32576"/>
      <w:r>
        <w:rPr>
          <w:rStyle w:val="284"/>
          <w:rFonts w:hint="eastAsia" w:ascii="宋体" w:hAnsi="宋体" w:cs="宋体"/>
          <w:b/>
          <w:sz w:val="28"/>
          <w:szCs w:val="28"/>
        </w:rPr>
        <w:t>目     录</w:t>
      </w:r>
      <w:bookmarkEnd w:id="8"/>
      <w:bookmarkEnd w:id="9"/>
      <w:bookmarkEnd w:id="10"/>
      <w:bookmarkEnd w:id="11"/>
    </w:p>
    <w:p w14:paraId="54BC5E91">
      <w:pPr>
        <w:rPr>
          <w:rFonts w:ascii="宋体" w:hAnsi="宋体" w:cs="宋体"/>
          <w:sz w:val="24"/>
          <w:szCs w:val="24"/>
        </w:rPr>
      </w:pPr>
    </w:p>
    <w:p w14:paraId="7886F473">
      <w:pPr>
        <w:pStyle w:val="269"/>
        <w:tabs>
          <w:tab w:val="right" w:leader="dot" w:pos="8306"/>
        </w:tabs>
        <w:spacing w:line="360" w:lineRule="auto"/>
        <w:rPr>
          <w:rFonts w:ascii="宋体" w:hAnsi="宋体" w:cs="宋体"/>
          <w:sz w:val="24"/>
          <w:szCs w:val="24"/>
        </w:rPr>
      </w:pPr>
      <w:r>
        <w:rPr>
          <w:rFonts w:hint="eastAsia" w:ascii="宋体" w:hAnsi="宋体" w:cs="宋体"/>
          <w:bCs/>
          <w:sz w:val="24"/>
          <w:szCs w:val="24"/>
        </w:rPr>
        <w:fldChar w:fldCharType="begin"/>
      </w:r>
      <w:r>
        <w:rPr>
          <w:rFonts w:hint="eastAsia" w:ascii="宋体" w:hAnsi="宋体" w:cs="宋体"/>
          <w:bCs/>
          <w:sz w:val="24"/>
          <w:szCs w:val="24"/>
        </w:rPr>
        <w:instrText xml:space="preserve">TOC \o "1-1" \f \h \u </w:instrText>
      </w:r>
      <w:r>
        <w:rPr>
          <w:rFonts w:hint="eastAsia" w:ascii="宋体" w:hAnsi="宋体" w:cs="宋体"/>
          <w:bCs/>
          <w:sz w:val="24"/>
          <w:szCs w:val="24"/>
        </w:rPr>
        <w:fldChar w:fldCharType="separate"/>
      </w:r>
      <w:r>
        <w:fldChar w:fldCharType="begin"/>
      </w:r>
      <w:r>
        <w:instrText xml:space="preserve"> HYPERLINK \l "_Toc622" </w:instrText>
      </w:r>
      <w:r>
        <w:fldChar w:fldCharType="separate"/>
      </w:r>
      <w:r>
        <w:rPr>
          <w:rFonts w:hint="eastAsia" w:ascii="宋体" w:hAnsi="宋体" w:cs="宋体"/>
          <w:bCs/>
          <w:sz w:val="24"/>
          <w:szCs w:val="24"/>
        </w:rPr>
        <w:t>一、投标邀请函</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_Toc622 \h </w:instrText>
      </w:r>
      <w:r>
        <w:rPr>
          <w:rFonts w:hint="eastAsia" w:ascii="宋体" w:hAnsi="宋体" w:cs="宋体"/>
          <w:sz w:val="24"/>
          <w:szCs w:val="24"/>
        </w:rPr>
        <w:fldChar w:fldCharType="separate"/>
      </w:r>
      <w:r>
        <w:rPr>
          <w:rFonts w:hint="eastAsia" w:ascii="宋体" w:hAnsi="宋体" w:cs="宋体"/>
          <w:sz w:val="24"/>
          <w:szCs w:val="24"/>
        </w:rPr>
        <w:t>2</w:t>
      </w:r>
      <w:r>
        <w:rPr>
          <w:rFonts w:hint="eastAsia" w:ascii="宋体" w:hAnsi="宋体" w:cs="宋体"/>
          <w:sz w:val="24"/>
          <w:szCs w:val="24"/>
        </w:rPr>
        <w:fldChar w:fldCharType="end"/>
      </w:r>
      <w:r>
        <w:rPr>
          <w:rFonts w:hint="eastAsia" w:ascii="宋体" w:hAnsi="宋体" w:cs="宋体"/>
          <w:sz w:val="24"/>
          <w:szCs w:val="24"/>
        </w:rPr>
        <w:fldChar w:fldCharType="end"/>
      </w:r>
    </w:p>
    <w:p w14:paraId="1A8BCD9A">
      <w:pPr>
        <w:pStyle w:val="269"/>
        <w:tabs>
          <w:tab w:val="right" w:leader="dot" w:pos="8306"/>
        </w:tabs>
        <w:spacing w:line="360" w:lineRule="auto"/>
        <w:rPr>
          <w:rFonts w:ascii="宋体" w:hAnsi="宋体" w:cs="宋体"/>
          <w:sz w:val="24"/>
          <w:szCs w:val="24"/>
        </w:rPr>
      </w:pPr>
      <w:r>
        <w:fldChar w:fldCharType="begin"/>
      </w:r>
      <w:r>
        <w:instrText xml:space="preserve"> HYPERLINK \l "_Toc24863" </w:instrText>
      </w:r>
      <w:r>
        <w:fldChar w:fldCharType="separate"/>
      </w:r>
      <w:r>
        <w:rPr>
          <w:rFonts w:hint="eastAsia" w:ascii="宋体" w:hAnsi="宋体" w:cs="宋体"/>
          <w:bCs/>
          <w:sz w:val="24"/>
          <w:szCs w:val="24"/>
        </w:rPr>
        <w:t>二、投标供应商须知</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_Toc24863 \h </w:instrText>
      </w:r>
      <w:r>
        <w:rPr>
          <w:rFonts w:hint="eastAsia" w:ascii="宋体" w:hAnsi="宋体" w:cs="宋体"/>
          <w:sz w:val="24"/>
          <w:szCs w:val="24"/>
        </w:rPr>
        <w:fldChar w:fldCharType="separate"/>
      </w:r>
      <w:r>
        <w:rPr>
          <w:rFonts w:hint="eastAsia" w:ascii="宋体" w:hAnsi="宋体" w:cs="宋体"/>
          <w:sz w:val="24"/>
          <w:szCs w:val="24"/>
        </w:rPr>
        <w:t>6</w:t>
      </w:r>
      <w:r>
        <w:rPr>
          <w:rFonts w:hint="eastAsia" w:ascii="宋体" w:hAnsi="宋体" w:cs="宋体"/>
          <w:sz w:val="24"/>
          <w:szCs w:val="24"/>
        </w:rPr>
        <w:fldChar w:fldCharType="end"/>
      </w:r>
      <w:r>
        <w:rPr>
          <w:rFonts w:hint="eastAsia" w:ascii="宋体" w:hAnsi="宋体" w:cs="宋体"/>
          <w:sz w:val="24"/>
          <w:szCs w:val="24"/>
        </w:rPr>
        <w:fldChar w:fldCharType="end"/>
      </w:r>
    </w:p>
    <w:p w14:paraId="09B98D1B">
      <w:pPr>
        <w:pStyle w:val="269"/>
        <w:tabs>
          <w:tab w:val="right" w:leader="dot" w:pos="8306"/>
        </w:tabs>
        <w:spacing w:line="360" w:lineRule="auto"/>
        <w:rPr>
          <w:rFonts w:hint="eastAsia" w:ascii="宋体" w:hAnsi="宋体" w:eastAsia="宋体" w:cs="宋体"/>
          <w:sz w:val="24"/>
          <w:szCs w:val="24"/>
          <w:lang w:val="en-US" w:eastAsia="zh-CN"/>
        </w:rPr>
      </w:pPr>
      <w:r>
        <w:fldChar w:fldCharType="begin"/>
      </w:r>
      <w:r>
        <w:instrText xml:space="preserve"> HYPERLINK \l "_Toc19762" </w:instrText>
      </w:r>
      <w:r>
        <w:fldChar w:fldCharType="separate"/>
      </w:r>
      <w:r>
        <w:rPr>
          <w:rFonts w:hint="eastAsia" w:ascii="宋体" w:hAnsi="宋体" w:cs="宋体"/>
          <w:bCs/>
          <w:sz w:val="24"/>
          <w:szCs w:val="24"/>
        </w:rPr>
        <w:t>三、项目技术要求和有关说明</w:t>
      </w:r>
      <w:r>
        <w:rPr>
          <w:rFonts w:hint="eastAsia" w:ascii="宋体" w:hAnsi="宋体" w:cs="宋体"/>
          <w:sz w:val="24"/>
          <w:szCs w:val="24"/>
        </w:rPr>
        <w:tab/>
      </w:r>
      <w:r>
        <w:rPr>
          <w:rFonts w:hint="eastAsia" w:ascii="宋体" w:hAnsi="宋体" w:cs="宋体"/>
          <w:sz w:val="24"/>
          <w:szCs w:val="24"/>
          <w:lang w:val="en-US" w:eastAsia="zh-CN"/>
        </w:rPr>
        <w:t>2</w:t>
      </w:r>
      <w:r>
        <w:rPr>
          <w:rFonts w:hint="eastAsia" w:ascii="宋体" w:hAnsi="宋体" w:cs="宋体"/>
          <w:sz w:val="24"/>
          <w:szCs w:val="24"/>
        </w:rPr>
        <w:fldChar w:fldCharType="end"/>
      </w:r>
      <w:r>
        <w:rPr>
          <w:rFonts w:hint="eastAsia" w:ascii="宋体" w:hAnsi="宋体" w:cs="宋体"/>
          <w:sz w:val="24"/>
          <w:szCs w:val="24"/>
          <w:lang w:val="en-US" w:eastAsia="zh-CN"/>
        </w:rPr>
        <w:t>2</w:t>
      </w:r>
    </w:p>
    <w:p w14:paraId="752AD5F2">
      <w:pPr>
        <w:pStyle w:val="269"/>
        <w:tabs>
          <w:tab w:val="right" w:leader="dot" w:pos="8306"/>
        </w:tabs>
        <w:spacing w:line="360" w:lineRule="auto"/>
        <w:rPr>
          <w:rFonts w:hint="eastAsia" w:ascii="宋体" w:hAnsi="宋体" w:eastAsia="宋体" w:cs="宋体"/>
          <w:sz w:val="24"/>
          <w:szCs w:val="24"/>
          <w:lang w:val="en-US" w:eastAsia="zh-CN"/>
        </w:rPr>
      </w:pPr>
      <w:r>
        <w:fldChar w:fldCharType="begin"/>
      </w:r>
      <w:r>
        <w:instrText xml:space="preserve"> HYPERLINK \l "_Toc12214" </w:instrText>
      </w:r>
      <w:r>
        <w:fldChar w:fldCharType="separate"/>
      </w:r>
      <w:r>
        <w:rPr>
          <w:rFonts w:hint="eastAsia" w:ascii="宋体" w:hAnsi="宋体" w:cs="宋体"/>
          <w:bCs/>
          <w:sz w:val="24"/>
          <w:szCs w:val="24"/>
        </w:rPr>
        <w:t>四、合同书（格式文本）</w:t>
      </w:r>
      <w:r>
        <w:rPr>
          <w:rFonts w:hint="eastAsia" w:ascii="宋体" w:hAnsi="宋体" w:cs="宋体"/>
          <w:sz w:val="24"/>
          <w:szCs w:val="24"/>
        </w:rPr>
        <w:tab/>
      </w:r>
      <w:r>
        <w:rPr>
          <w:rFonts w:hint="eastAsia" w:ascii="宋体" w:hAnsi="宋体" w:cs="宋体"/>
          <w:sz w:val="24"/>
          <w:szCs w:val="24"/>
          <w:lang w:val="en-US" w:eastAsia="zh-CN"/>
        </w:rPr>
        <w:t>3</w:t>
      </w:r>
      <w:r>
        <w:rPr>
          <w:rFonts w:hint="eastAsia" w:ascii="宋体" w:hAnsi="宋体" w:cs="宋体"/>
          <w:sz w:val="24"/>
          <w:szCs w:val="24"/>
        </w:rPr>
        <w:fldChar w:fldCharType="end"/>
      </w:r>
      <w:r>
        <w:rPr>
          <w:rFonts w:hint="eastAsia" w:ascii="宋体" w:hAnsi="宋体" w:cs="宋体"/>
          <w:sz w:val="24"/>
          <w:szCs w:val="24"/>
          <w:lang w:val="en-US" w:eastAsia="zh-CN"/>
        </w:rPr>
        <w:t>1</w:t>
      </w:r>
    </w:p>
    <w:p w14:paraId="2AC3BDF8">
      <w:pPr>
        <w:pStyle w:val="269"/>
        <w:tabs>
          <w:tab w:val="right" w:leader="dot" w:pos="8306"/>
        </w:tabs>
        <w:spacing w:line="360" w:lineRule="auto"/>
        <w:rPr>
          <w:rFonts w:hint="default" w:ascii="宋体" w:hAnsi="宋体" w:eastAsia="宋体" w:cs="宋体"/>
          <w:sz w:val="24"/>
          <w:szCs w:val="24"/>
          <w:lang w:val="en-US" w:eastAsia="zh-CN"/>
        </w:rPr>
      </w:pPr>
      <w:r>
        <w:fldChar w:fldCharType="begin"/>
      </w:r>
      <w:r>
        <w:instrText xml:space="preserve"> HYPERLINK \l "_Toc5730" </w:instrText>
      </w:r>
      <w:r>
        <w:fldChar w:fldCharType="separate"/>
      </w:r>
      <w:r>
        <w:rPr>
          <w:rFonts w:hint="eastAsia" w:ascii="宋体" w:hAnsi="宋体" w:cs="宋体"/>
          <w:bCs/>
          <w:sz w:val="24"/>
          <w:szCs w:val="24"/>
        </w:rPr>
        <w:t>五、附件</w:t>
      </w:r>
      <w:r>
        <w:rPr>
          <w:rFonts w:hint="eastAsia" w:ascii="宋体" w:hAnsi="宋体" w:cs="宋体"/>
          <w:sz w:val="24"/>
          <w:szCs w:val="24"/>
        </w:rPr>
        <w:tab/>
      </w:r>
      <w:r>
        <w:rPr>
          <w:rFonts w:hint="eastAsia" w:ascii="宋体" w:hAnsi="宋体" w:cs="宋体"/>
          <w:sz w:val="24"/>
          <w:szCs w:val="24"/>
        </w:rPr>
        <w:fldChar w:fldCharType="end"/>
      </w:r>
      <w:r>
        <w:rPr>
          <w:rFonts w:hint="eastAsia" w:ascii="宋体" w:hAnsi="宋体" w:cs="宋体"/>
          <w:sz w:val="24"/>
          <w:szCs w:val="24"/>
          <w:lang w:val="en-US" w:eastAsia="zh-CN"/>
        </w:rPr>
        <w:t>40</w:t>
      </w:r>
    </w:p>
    <w:p w14:paraId="33B009F5">
      <w:pPr>
        <w:spacing w:line="360" w:lineRule="auto"/>
        <w:ind w:firstLine="360"/>
        <w:rPr>
          <w:rFonts w:ascii="宋体" w:hAnsi="宋体" w:cs="宋体"/>
          <w:bCs/>
          <w:sz w:val="24"/>
          <w:szCs w:val="24"/>
        </w:rPr>
      </w:pPr>
      <w:r>
        <w:rPr>
          <w:rFonts w:hint="eastAsia" w:ascii="宋体" w:hAnsi="宋体" w:cs="宋体"/>
          <w:bCs/>
          <w:sz w:val="24"/>
          <w:szCs w:val="24"/>
        </w:rPr>
        <w:fldChar w:fldCharType="end"/>
      </w:r>
    </w:p>
    <w:p w14:paraId="47A9C5BE">
      <w:pPr>
        <w:spacing w:line="720" w:lineRule="auto"/>
        <w:rPr>
          <w:rFonts w:ascii="宋体" w:hAnsi="宋体" w:cs="宋体"/>
          <w:bCs/>
          <w:sz w:val="24"/>
          <w:szCs w:val="24"/>
        </w:rPr>
      </w:pPr>
    </w:p>
    <w:p w14:paraId="6962C779">
      <w:pPr>
        <w:spacing w:line="720" w:lineRule="auto"/>
        <w:rPr>
          <w:rFonts w:ascii="宋体" w:hAnsi="宋体" w:cs="宋体"/>
          <w:bCs/>
          <w:sz w:val="24"/>
          <w:szCs w:val="24"/>
        </w:rPr>
      </w:pPr>
    </w:p>
    <w:p w14:paraId="3E2E5B16">
      <w:pPr>
        <w:spacing w:line="720" w:lineRule="auto"/>
        <w:rPr>
          <w:rFonts w:ascii="宋体" w:hAnsi="宋体" w:cs="宋体"/>
          <w:bCs/>
          <w:sz w:val="24"/>
          <w:szCs w:val="24"/>
        </w:rPr>
      </w:pPr>
    </w:p>
    <w:p w14:paraId="510FA528">
      <w:pPr>
        <w:spacing w:line="720" w:lineRule="auto"/>
        <w:rPr>
          <w:rFonts w:ascii="宋体" w:hAnsi="宋体" w:cs="宋体"/>
          <w:bCs/>
          <w:sz w:val="24"/>
          <w:szCs w:val="24"/>
        </w:rPr>
      </w:pPr>
    </w:p>
    <w:p w14:paraId="6960D2A5">
      <w:pPr>
        <w:spacing w:line="720" w:lineRule="auto"/>
        <w:rPr>
          <w:rFonts w:ascii="宋体" w:hAnsi="宋体" w:cs="宋体"/>
          <w:bCs/>
          <w:sz w:val="24"/>
          <w:szCs w:val="24"/>
        </w:rPr>
      </w:pPr>
    </w:p>
    <w:p w14:paraId="73E4DA18">
      <w:pPr>
        <w:spacing w:line="720" w:lineRule="auto"/>
        <w:rPr>
          <w:rFonts w:ascii="宋体" w:hAnsi="宋体" w:cs="宋体"/>
          <w:bCs/>
          <w:sz w:val="24"/>
          <w:szCs w:val="24"/>
        </w:rPr>
      </w:pPr>
    </w:p>
    <w:p w14:paraId="02B26596">
      <w:pPr>
        <w:spacing w:line="720" w:lineRule="auto"/>
        <w:rPr>
          <w:rFonts w:ascii="宋体" w:hAnsi="宋体" w:cs="宋体"/>
          <w:bCs/>
          <w:sz w:val="24"/>
          <w:szCs w:val="24"/>
        </w:rPr>
        <w:sectPr>
          <w:footerReference r:id="rId10" w:type="first"/>
          <w:headerReference r:id="rId7" w:type="default"/>
          <w:footerReference r:id="rId8" w:type="default"/>
          <w:footerReference r:id="rId9" w:type="even"/>
          <w:pgSz w:w="11906" w:h="16838"/>
          <w:pgMar w:top="1440" w:right="1800" w:bottom="1440" w:left="1800" w:header="624" w:footer="907" w:gutter="0"/>
          <w:pgNumType w:start="1"/>
          <w:cols w:space="1701" w:num="1"/>
          <w:titlePg/>
          <w:docGrid w:linePitch="360" w:charSpace="0"/>
        </w:sectPr>
      </w:pPr>
      <w:bookmarkStart w:id="12" w:name="报价方须知前附表"/>
      <w:bookmarkEnd w:id="12"/>
      <w:bookmarkStart w:id="13" w:name="_Toc24814"/>
    </w:p>
    <w:p w14:paraId="1A16EF95">
      <w:pPr>
        <w:spacing w:line="360" w:lineRule="auto"/>
        <w:jc w:val="center"/>
        <w:outlineLvl w:val="0"/>
        <w:rPr>
          <w:rFonts w:ascii="宋体" w:hAnsi="宋体" w:cs="宋体"/>
          <w:b/>
          <w:bCs/>
          <w:sz w:val="28"/>
          <w:szCs w:val="28"/>
        </w:rPr>
      </w:pPr>
      <w:bookmarkStart w:id="14" w:name="_Toc622"/>
      <w:bookmarkStart w:id="15" w:name="_Toc13603"/>
      <w:r>
        <w:rPr>
          <w:rFonts w:hint="eastAsia" w:ascii="宋体" w:hAnsi="宋体" w:cs="宋体"/>
          <w:b/>
          <w:bCs/>
          <w:sz w:val="28"/>
          <w:szCs w:val="28"/>
        </w:rPr>
        <w:t>一、投标邀请函</w:t>
      </w:r>
      <w:bookmarkEnd w:id="13"/>
      <w:bookmarkEnd w:id="14"/>
      <w:bookmarkEnd w:id="15"/>
    </w:p>
    <w:p w14:paraId="0F4A5036">
      <w:pPr>
        <w:spacing w:line="360" w:lineRule="auto"/>
        <w:ind w:firstLine="480"/>
        <w:rPr>
          <w:rFonts w:ascii="宋体" w:hAnsi="宋体" w:cs="宋体"/>
          <w:bCs/>
          <w:sz w:val="24"/>
          <w:szCs w:val="24"/>
        </w:rPr>
      </w:pPr>
      <w:r>
        <w:rPr>
          <w:rFonts w:hint="eastAsia" w:ascii="宋体" w:hAnsi="宋体" w:cs="宋体"/>
          <w:bCs/>
          <w:sz w:val="24"/>
          <w:szCs w:val="24"/>
          <w:lang w:eastAsia="zh-CN"/>
        </w:rPr>
        <w:t>无锡众邦技术咨询有限公司</w:t>
      </w:r>
      <w:r>
        <w:rPr>
          <w:rFonts w:hint="eastAsia" w:ascii="宋体" w:hAnsi="宋体" w:cs="宋体"/>
          <w:bCs/>
          <w:sz w:val="24"/>
          <w:szCs w:val="24"/>
        </w:rPr>
        <w:t>受</w:t>
      </w:r>
      <w:r>
        <w:rPr>
          <w:rFonts w:hint="eastAsia" w:ascii="宋体" w:hAnsi="宋体" w:cs="宋体"/>
          <w:bCs/>
          <w:sz w:val="24"/>
          <w:szCs w:val="24"/>
          <w:lang w:eastAsia="zh-CN"/>
        </w:rPr>
        <w:t>无锡市中级人民法院</w:t>
      </w:r>
      <w:r>
        <w:rPr>
          <w:rFonts w:hint="eastAsia" w:ascii="宋体" w:hAnsi="宋体" w:cs="宋体"/>
          <w:bCs/>
          <w:sz w:val="24"/>
          <w:szCs w:val="24"/>
        </w:rPr>
        <w:t>的委托，对</w:t>
      </w:r>
      <w:r>
        <w:rPr>
          <w:rFonts w:hint="eastAsia" w:ascii="宋体" w:hAnsi="宋体" w:cs="宋体"/>
          <w:bCs/>
          <w:sz w:val="24"/>
          <w:szCs w:val="24"/>
          <w:lang w:eastAsia="zh-CN"/>
        </w:rPr>
        <w:t>无锡法院集中编目服务采购项目</w:t>
      </w:r>
      <w:r>
        <w:rPr>
          <w:rFonts w:hint="eastAsia" w:ascii="宋体" w:hAnsi="宋体" w:cs="宋体"/>
          <w:bCs/>
          <w:sz w:val="24"/>
          <w:szCs w:val="24"/>
        </w:rPr>
        <w:t>进行公开招标采购，欢迎符合相关条件的供应商参加投标并提请注意下列相关事项：</w:t>
      </w:r>
    </w:p>
    <w:p w14:paraId="63C4B49A">
      <w:pPr>
        <w:spacing w:line="360" w:lineRule="auto"/>
        <w:ind w:firstLine="482"/>
        <w:outlineLvl w:val="1"/>
        <w:rPr>
          <w:rFonts w:ascii="宋体" w:hAnsi="宋体" w:cs="宋体"/>
          <w:b/>
          <w:sz w:val="24"/>
          <w:szCs w:val="24"/>
        </w:rPr>
      </w:pPr>
      <w:r>
        <w:rPr>
          <w:rFonts w:hint="eastAsia" w:ascii="宋体" w:hAnsi="宋体" w:cs="宋体"/>
          <w:b/>
          <w:sz w:val="24"/>
          <w:szCs w:val="24"/>
        </w:rPr>
        <w:t>（一）招标项目信息</w:t>
      </w:r>
    </w:p>
    <w:p w14:paraId="0C860C52">
      <w:pPr>
        <w:spacing w:line="360" w:lineRule="auto"/>
        <w:ind w:firstLine="480"/>
        <w:rPr>
          <w:rFonts w:hint="eastAsia" w:ascii="宋体" w:hAnsi="宋体" w:eastAsia="宋体" w:cs="宋体"/>
          <w:bCs/>
          <w:sz w:val="24"/>
          <w:szCs w:val="24"/>
          <w:lang w:eastAsia="zh-CN"/>
        </w:rPr>
      </w:pPr>
      <w:r>
        <w:rPr>
          <w:rFonts w:hint="eastAsia" w:ascii="宋体" w:hAnsi="宋体" w:cs="宋体"/>
          <w:bCs/>
          <w:sz w:val="24"/>
          <w:szCs w:val="24"/>
        </w:rPr>
        <w:t>1</w:t>
      </w:r>
      <w:r>
        <w:rPr>
          <w:rFonts w:hint="eastAsia" w:ascii="宋体" w:hAnsi="宋体" w:cs="宋体"/>
          <w:bCs/>
          <w:sz w:val="24"/>
          <w:szCs w:val="24"/>
          <w:lang w:eastAsia="zh-CN"/>
        </w:rPr>
        <w:t>.</w:t>
      </w:r>
      <w:r>
        <w:rPr>
          <w:rFonts w:hint="eastAsia" w:ascii="宋体" w:hAnsi="宋体" w:cs="宋体"/>
          <w:bCs/>
          <w:sz w:val="24"/>
          <w:szCs w:val="24"/>
        </w:rPr>
        <w:t>项目名称：</w:t>
      </w:r>
      <w:r>
        <w:rPr>
          <w:rFonts w:hint="eastAsia" w:ascii="宋体" w:hAnsi="宋体" w:cs="宋体"/>
          <w:bCs/>
          <w:sz w:val="24"/>
          <w:szCs w:val="24"/>
          <w:lang w:eastAsia="zh-CN"/>
        </w:rPr>
        <w:t>无锡法院集中编目服务采购项目</w:t>
      </w:r>
    </w:p>
    <w:p w14:paraId="21B46044">
      <w:pPr>
        <w:spacing w:line="360" w:lineRule="auto"/>
        <w:ind w:firstLine="480"/>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2</w:t>
      </w:r>
      <w:r>
        <w:rPr>
          <w:rFonts w:hint="eastAsia" w:ascii="宋体" w:hAnsi="宋体" w:cs="宋体"/>
          <w:bCs/>
          <w:sz w:val="24"/>
          <w:szCs w:val="24"/>
          <w:highlight w:val="none"/>
          <w:lang w:eastAsia="zh-CN"/>
        </w:rPr>
        <w:t>.</w:t>
      </w:r>
      <w:r>
        <w:rPr>
          <w:rFonts w:hint="eastAsia" w:ascii="宋体" w:hAnsi="宋体" w:cs="宋体"/>
          <w:bCs/>
          <w:sz w:val="24"/>
          <w:szCs w:val="24"/>
          <w:highlight w:val="none"/>
        </w:rPr>
        <w:t>采购项目编号：</w:t>
      </w:r>
      <w:bookmarkStart w:id="56" w:name="_GoBack"/>
      <w:bookmarkEnd w:id="56"/>
      <w:r>
        <w:rPr>
          <w:rFonts w:hint="eastAsia" w:ascii="宋体" w:hAnsi="宋体" w:cs="宋体"/>
          <w:bCs/>
          <w:sz w:val="24"/>
          <w:szCs w:val="24"/>
          <w:highlight w:val="none"/>
          <w:lang w:eastAsia="zh-CN"/>
        </w:rPr>
        <w:t>JSZC-320200-WXZB-G2026-0006</w:t>
      </w:r>
    </w:p>
    <w:p w14:paraId="41C93532">
      <w:pPr>
        <w:widowControl/>
        <w:shd w:val="clear" w:color="auto" w:fill="FFFFFF"/>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3.项目预算金额：555万元</w:t>
      </w:r>
      <w:r>
        <w:rPr>
          <w:rFonts w:hint="eastAsia" w:ascii="宋体" w:hAnsi="宋体" w:eastAsia="宋体" w:cs="宋体"/>
          <w:color w:val="auto"/>
          <w:sz w:val="24"/>
          <w:szCs w:val="24"/>
          <w:highlight w:val="none"/>
        </w:rPr>
        <w:t>。</w:t>
      </w:r>
    </w:p>
    <w:p w14:paraId="43B6203B">
      <w:pPr>
        <w:widowControl/>
        <w:shd w:val="clear" w:color="auto" w:fill="FFFFFF"/>
        <w:spacing w:line="360" w:lineRule="auto"/>
        <w:ind w:firstLine="480"/>
        <w:jc w:val="left"/>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4.最高限价：555万元</w:t>
      </w:r>
      <w:r>
        <w:rPr>
          <w:rFonts w:hint="eastAsia" w:asciiTheme="minorEastAsia" w:hAnsiTheme="minorEastAsia" w:eastAsiaTheme="minorEastAsia" w:cstheme="minorEastAsia"/>
          <w:bCs/>
          <w:color w:val="auto"/>
          <w:sz w:val="24"/>
          <w:szCs w:val="24"/>
          <w:highlight w:val="none"/>
        </w:rPr>
        <w:t>；</w:t>
      </w:r>
      <w:r>
        <w:rPr>
          <w:rFonts w:hint="eastAsia" w:asciiTheme="minorEastAsia" w:hAnsiTheme="minorEastAsia" w:eastAsiaTheme="minorEastAsia" w:cstheme="minorEastAsia"/>
          <w:b/>
          <w:bCs/>
          <w:color w:val="auto"/>
          <w:sz w:val="24"/>
          <w:szCs w:val="24"/>
          <w:highlight w:val="none"/>
        </w:rPr>
        <w:t>报价超过最高限价的按无效投标文件处理</w:t>
      </w:r>
    </w:p>
    <w:p w14:paraId="70F7A112">
      <w:pPr>
        <w:widowControl/>
        <w:shd w:val="clear" w:color="auto" w:fill="FFFFFF"/>
        <w:spacing w:line="360" w:lineRule="auto"/>
        <w:ind w:firstLine="48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采购需求：对无锡全市两级共8家法院合同期内立案的审判一审二审和执行等案件完成材料精细化名称标注和归目质检的工作，同时对各基层院随案扫描团队进行材料整理、分类、排序，材料扫描等操作培训，满足无锡全市两级法院无纸化办案需求。具体内容详见招标文件第四章《采购需求》</w:t>
      </w:r>
      <w:r>
        <w:rPr>
          <w:rFonts w:hint="eastAsia" w:ascii="宋体" w:hAnsi="宋体" w:eastAsia="宋体" w:cs="宋体"/>
          <w:color w:val="auto"/>
          <w:sz w:val="24"/>
          <w:szCs w:val="24"/>
          <w:highlight w:val="none"/>
        </w:rPr>
        <w:t>。</w:t>
      </w:r>
    </w:p>
    <w:p w14:paraId="2F49B7C4">
      <w:pPr>
        <w:widowControl/>
        <w:shd w:val="clear" w:color="auto" w:fill="FFFFFF"/>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6.服务期限：3年（自合同签订之日起算）</w:t>
      </w:r>
    </w:p>
    <w:p w14:paraId="38BE12BB">
      <w:pPr>
        <w:widowControl/>
        <w:shd w:val="clear" w:color="auto" w:fill="FFFFFF"/>
        <w:spacing w:line="360" w:lineRule="auto"/>
        <w:ind w:firstLine="480"/>
        <w:jc w:val="left"/>
        <w:rPr>
          <w:rFonts w:ascii="Arial" w:hAnsi="Arial" w:cs="宋体"/>
          <w:color w:val="auto"/>
          <w:sz w:val="24"/>
          <w:szCs w:val="24"/>
          <w:highlight w:val="none"/>
        </w:rPr>
      </w:pPr>
      <w:r>
        <w:rPr>
          <w:rFonts w:ascii="宋体" w:hAnsi="宋体" w:eastAsia="宋体" w:cs="宋体"/>
          <w:color w:val="auto"/>
          <w:sz w:val="24"/>
          <w:szCs w:val="24"/>
          <w:highlight w:val="none"/>
        </w:rPr>
        <w:t>7.本项目标的所属行业：其他未列明行业。根据《中小企业划型标准规定》工信部联企业</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2011〕300号</w:t>
      </w:r>
      <w:r>
        <w:rPr>
          <w:rFonts w:hint="eastAsia" w:ascii="宋体" w:hAnsi="宋体" w:eastAsia="宋体" w:cs="宋体"/>
          <w:color w:val="auto"/>
          <w:sz w:val="24"/>
          <w:szCs w:val="24"/>
          <w:highlight w:val="none"/>
        </w:rPr>
        <w:t>规定，其他未列明行业：从业人员</w:t>
      </w:r>
      <w:r>
        <w:rPr>
          <w:rFonts w:ascii="宋体" w:hAnsi="宋体" w:eastAsia="宋体" w:cs="宋体"/>
          <w:color w:val="auto"/>
          <w:sz w:val="24"/>
          <w:szCs w:val="24"/>
          <w:highlight w:val="none"/>
        </w:rPr>
        <w:t>300人以下的为中小微型企业。其中，从业人员100人及以上的为中型企业；从业人员10人及以上的为小型企业；从业人员10人以下的为微型企业</w:t>
      </w:r>
      <w:bookmarkStart w:id="16" w:name="OLE_LINK1"/>
      <w:bookmarkStart w:id="17" w:name="OLE_LINK3"/>
      <w:bookmarkStart w:id="18" w:name="OLE_LINK2"/>
      <w:r>
        <w:rPr>
          <w:rFonts w:ascii="宋体" w:hAnsi="宋体" w:eastAsia="宋体" w:cs="宋体"/>
          <w:color w:val="auto"/>
          <w:sz w:val="24"/>
          <w:szCs w:val="24"/>
          <w:highlight w:val="none"/>
        </w:rPr>
        <w:t>。</w:t>
      </w:r>
      <w:bookmarkEnd w:id="16"/>
      <w:bookmarkEnd w:id="17"/>
      <w:bookmarkEnd w:id="18"/>
    </w:p>
    <w:p w14:paraId="0EA609BD">
      <w:pPr>
        <w:widowControl/>
        <w:shd w:val="clear" w:color="auto" w:fill="FFFFFF"/>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8.本项目</w:t>
      </w:r>
      <w:r>
        <w:rPr>
          <w:rFonts w:hint="eastAsia" w:ascii="宋体" w:hAnsi="宋体" w:eastAsia="宋体" w:cs="宋体"/>
          <w:b/>
          <w:bCs/>
          <w:color w:val="auto"/>
          <w:sz w:val="24"/>
          <w:szCs w:val="24"/>
          <w:highlight w:val="none"/>
          <w:u w:val="single"/>
        </w:rPr>
        <w:t xml:space="preserve">不接受 </w:t>
      </w:r>
      <w:r>
        <w:rPr>
          <w:rFonts w:hint="eastAsia" w:ascii="宋体" w:hAnsi="宋体" w:eastAsia="宋体" w:cs="宋体"/>
          <w:color w:val="auto"/>
          <w:sz w:val="24"/>
          <w:szCs w:val="24"/>
          <w:highlight w:val="none"/>
        </w:rPr>
        <w:t>联合投标。</w:t>
      </w:r>
    </w:p>
    <w:p w14:paraId="03F568BB">
      <w:pPr>
        <w:widowControl/>
        <w:shd w:val="clear" w:color="auto" w:fill="FFFFFF"/>
        <w:spacing w:line="360" w:lineRule="auto"/>
        <w:ind w:firstLine="480"/>
        <w:jc w:val="left"/>
        <w:rPr>
          <w:rFonts w:ascii="Arial" w:hAnsi="Arial"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.本项</w:t>
      </w:r>
      <w:r>
        <w:rPr>
          <w:rFonts w:hint="eastAsia" w:ascii="Arial" w:hAnsi="Arial" w:eastAsia="宋体" w:cs="宋体"/>
          <w:color w:val="auto"/>
          <w:sz w:val="24"/>
          <w:szCs w:val="24"/>
          <w:highlight w:val="none"/>
        </w:rPr>
        <w:t>目无需提交履约保证金。</w:t>
      </w:r>
    </w:p>
    <w:p w14:paraId="52FACAC0">
      <w:pPr>
        <w:spacing w:line="360" w:lineRule="auto"/>
        <w:ind w:firstLine="482"/>
        <w:outlineLvl w:val="1"/>
        <w:rPr>
          <w:rFonts w:ascii="宋体" w:hAnsi="宋体" w:cs="宋体"/>
          <w:b/>
          <w:sz w:val="24"/>
          <w:szCs w:val="24"/>
        </w:rPr>
      </w:pPr>
      <w:r>
        <w:rPr>
          <w:rFonts w:hint="eastAsia" w:ascii="宋体" w:hAnsi="宋体" w:cs="宋体"/>
          <w:b/>
          <w:sz w:val="24"/>
          <w:szCs w:val="24"/>
        </w:rPr>
        <w:t>（二）供应商资格要求</w:t>
      </w:r>
    </w:p>
    <w:p w14:paraId="14051580">
      <w:pPr>
        <w:spacing w:line="360" w:lineRule="auto"/>
        <w:ind w:firstLine="480"/>
        <w:rPr>
          <w:rFonts w:ascii="宋体" w:hAnsi="宋体" w:cs="宋体"/>
          <w:bCs/>
          <w:sz w:val="24"/>
          <w:szCs w:val="24"/>
        </w:rPr>
      </w:pPr>
      <w:r>
        <w:rPr>
          <w:rFonts w:hint="eastAsia" w:ascii="宋体" w:hAnsi="宋体" w:cs="宋体"/>
          <w:bCs/>
          <w:sz w:val="24"/>
          <w:szCs w:val="24"/>
        </w:rPr>
        <w:t>1、满足《中华人民共和国政府采购法》第二十二条规定；</w:t>
      </w:r>
    </w:p>
    <w:p w14:paraId="2FF7E248">
      <w:pPr>
        <w:spacing w:line="360" w:lineRule="auto"/>
        <w:ind w:firstLine="480"/>
        <w:rPr>
          <w:rFonts w:ascii="宋体" w:hAnsi="宋体" w:cs="宋体"/>
          <w:bCs/>
          <w:sz w:val="24"/>
          <w:szCs w:val="24"/>
        </w:rPr>
      </w:pPr>
      <w:r>
        <w:rPr>
          <w:rFonts w:hint="eastAsia" w:ascii="宋体" w:hAnsi="宋体" w:cs="宋体"/>
          <w:bCs/>
          <w:sz w:val="24"/>
          <w:szCs w:val="24"/>
        </w:rPr>
        <w:t>2、未被“信用中国”网站（www.creditchina.gov.cn）、中国政府采购网（www.ccgp.gov.cn）列入失信被执行人、重大税收违法案件当事人名单、政府采购严重违法失信行为记录名单；</w:t>
      </w:r>
    </w:p>
    <w:p w14:paraId="073EB9DE">
      <w:pPr>
        <w:spacing w:line="360" w:lineRule="auto"/>
        <w:ind w:firstLine="480"/>
        <w:rPr>
          <w:rFonts w:ascii="宋体" w:hAnsi="宋体" w:cs="宋体"/>
          <w:bCs/>
          <w:sz w:val="24"/>
          <w:szCs w:val="24"/>
        </w:rPr>
      </w:pPr>
      <w:r>
        <w:rPr>
          <w:rFonts w:hint="eastAsia" w:ascii="宋体" w:hAnsi="宋体" w:cs="宋体"/>
          <w:bCs/>
          <w:sz w:val="24"/>
          <w:szCs w:val="24"/>
        </w:rPr>
        <w:t>3、落实政府采购政策需满足的资格要求：</w:t>
      </w:r>
      <w:r>
        <w:rPr>
          <w:rFonts w:hint="eastAsia" w:ascii="宋体" w:hAnsi="宋体" w:cs="宋体"/>
          <w:bCs/>
          <w:color w:val="000000"/>
          <w:sz w:val="24"/>
        </w:rPr>
        <w:t>供应商为中型企业/小型企业/微型企业（监狱企业/残疾人福利性单位视同小微企业）；</w:t>
      </w:r>
    </w:p>
    <w:p w14:paraId="0D5DD8CB">
      <w:pPr>
        <w:spacing w:line="360" w:lineRule="auto"/>
        <w:ind w:firstLine="480"/>
        <w:rPr>
          <w:rFonts w:hint="eastAsia" w:ascii="宋体" w:hAnsi="宋体" w:eastAsia="宋体" w:cs="宋体"/>
          <w:bCs/>
          <w:sz w:val="24"/>
          <w:szCs w:val="24"/>
          <w:lang w:val="en-US" w:eastAsia="zh-CN"/>
        </w:rPr>
      </w:pPr>
      <w:r>
        <w:rPr>
          <w:rFonts w:hint="eastAsia" w:ascii="宋体" w:hAnsi="宋体" w:cs="宋体"/>
          <w:bCs/>
          <w:sz w:val="24"/>
          <w:szCs w:val="24"/>
        </w:rPr>
        <w:t>4、本项目的特定资格要求：</w:t>
      </w:r>
      <w:r>
        <w:rPr>
          <w:rFonts w:hint="eastAsia" w:ascii="宋体" w:hAnsi="宋体" w:cs="宋体"/>
          <w:bCs/>
          <w:sz w:val="24"/>
          <w:szCs w:val="24"/>
          <w:lang w:val="en-US" w:eastAsia="zh-CN"/>
        </w:rPr>
        <w:t>无</w:t>
      </w:r>
    </w:p>
    <w:p w14:paraId="6A57D0D2">
      <w:pPr>
        <w:spacing w:line="360" w:lineRule="auto"/>
        <w:ind w:firstLine="482"/>
        <w:outlineLvl w:val="1"/>
        <w:rPr>
          <w:rFonts w:ascii="宋体" w:hAnsi="宋体" w:cs="宋体"/>
          <w:b/>
          <w:sz w:val="24"/>
          <w:szCs w:val="24"/>
        </w:rPr>
      </w:pPr>
      <w:r>
        <w:rPr>
          <w:rFonts w:hint="eastAsia" w:ascii="宋体" w:hAnsi="宋体" w:cs="宋体"/>
          <w:b/>
          <w:sz w:val="24"/>
          <w:szCs w:val="24"/>
        </w:rPr>
        <w:t>（三）供应商主体信息库注册</w:t>
      </w:r>
    </w:p>
    <w:p w14:paraId="79592A58">
      <w:pPr>
        <w:spacing w:line="360" w:lineRule="auto"/>
        <w:ind w:firstLine="480"/>
        <w:rPr>
          <w:rFonts w:ascii="宋体" w:hAnsi="宋体" w:cs="宋体"/>
          <w:bCs/>
          <w:sz w:val="24"/>
          <w:szCs w:val="24"/>
          <w:highlight w:val="none"/>
        </w:rPr>
      </w:pPr>
      <w:r>
        <w:rPr>
          <w:rFonts w:hint="eastAsia" w:ascii="宋体" w:hAnsi="宋体" w:cs="宋体"/>
          <w:bCs/>
          <w:sz w:val="24"/>
          <w:szCs w:val="24"/>
        </w:rPr>
        <w:t>1、请</w:t>
      </w:r>
      <w:r>
        <w:rPr>
          <w:rFonts w:hint="eastAsia" w:ascii="宋体" w:hAnsi="宋体" w:cs="宋体"/>
          <w:bCs/>
          <w:sz w:val="24"/>
          <w:szCs w:val="24"/>
          <w:highlight w:val="none"/>
        </w:rPr>
        <w:t>有意参加本项目投标的供应商按以下流程进行操作：</w:t>
      </w:r>
    </w:p>
    <w:p w14:paraId="011E3ED3">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（1）点击“江苏省政府采购（苏采云）平台”—“用户注册”按钮进入注册界面，也可以直接通过http://jszfcg.jsczt.cn/jszc/login进入注册界面。</w:t>
      </w:r>
    </w:p>
    <w:p w14:paraId="3316542D">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（2）办理并领取CA和电子签章（办理地址：无锡市观山路市民中心12号楼</w:t>
      </w:r>
      <w:r>
        <w:rPr>
          <w:rFonts w:hint="eastAsia" w:ascii="宋体" w:hAnsi="宋体" w:cs="宋体"/>
          <w:bCs/>
          <w:sz w:val="24"/>
          <w:szCs w:val="24"/>
          <w:highlight w:val="none"/>
          <w:lang w:val="en-US" w:eastAsia="zh-CN"/>
        </w:rPr>
        <w:t>1</w:t>
      </w:r>
      <w:r>
        <w:rPr>
          <w:rFonts w:hint="eastAsia" w:ascii="宋体" w:hAnsi="宋体" w:cs="宋体"/>
          <w:bCs/>
          <w:sz w:val="24"/>
          <w:szCs w:val="24"/>
          <w:highlight w:val="none"/>
        </w:rPr>
        <w:t>楼公共资源交易大厅）。</w:t>
      </w:r>
    </w:p>
    <w:p w14:paraId="53794ACE">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（3）“苏采云”系统供应商操作手册链接：</w:t>
      </w:r>
    </w:p>
    <w:p w14:paraId="420DA540">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 xml:space="preserve">http://cz.wuxi.gov.cn/ztzl/zfcg/zlxz/scy/index.shtml  </w:t>
      </w:r>
    </w:p>
    <w:p w14:paraId="2E784DB0">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（4）CA驱动下载链接（政务CA方正签章控件驱动）：</w:t>
      </w:r>
    </w:p>
    <w:p w14:paraId="21A4EA7B">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 xml:space="preserve">http://cz.wuxi.gov.cn/ztzl/zfcg/zlxz/scy/index.shtml </w:t>
      </w:r>
    </w:p>
    <w:p w14:paraId="09520523">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技术服务QQ：3071474382（服务时间：工作日9:00-17:00）</w:t>
      </w:r>
    </w:p>
    <w:p w14:paraId="2A9C4530">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2、完成注册的供应商方可绑定CA，并使用CA登录苏采云平台，参与项目，上传投标文件，进行投标。</w:t>
      </w:r>
    </w:p>
    <w:p w14:paraId="5D525B20">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3、如供应商未按上述要求操作，由此所产生的损失及风险由供应商自行承担。</w:t>
      </w:r>
    </w:p>
    <w:p w14:paraId="0A981C13">
      <w:pPr>
        <w:spacing w:line="360" w:lineRule="auto"/>
        <w:ind w:firstLine="482"/>
        <w:outlineLvl w:val="1"/>
        <w:rPr>
          <w:rFonts w:ascii="宋体" w:hAnsi="宋体" w:cs="宋体"/>
          <w:b/>
          <w:sz w:val="24"/>
          <w:szCs w:val="24"/>
          <w:highlight w:val="none"/>
        </w:rPr>
      </w:pPr>
      <w:r>
        <w:rPr>
          <w:rFonts w:hint="eastAsia" w:ascii="宋体" w:hAnsi="宋体" w:cs="宋体"/>
          <w:b/>
          <w:sz w:val="24"/>
          <w:szCs w:val="24"/>
          <w:highlight w:val="none"/>
        </w:rPr>
        <w:t>（四）获取采购文件</w:t>
      </w:r>
    </w:p>
    <w:p w14:paraId="5AF5DE16">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供应商可在财政部门指定媒体发布的公告附件中查看公开招标文件，如确定参加本次采购活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20FB6892">
      <w:pPr>
        <w:spacing w:line="360" w:lineRule="auto"/>
        <w:ind w:firstLine="482"/>
        <w:outlineLvl w:val="1"/>
        <w:rPr>
          <w:rFonts w:ascii="宋体" w:hAnsi="宋体" w:cs="宋体"/>
          <w:b/>
          <w:sz w:val="24"/>
          <w:szCs w:val="24"/>
          <w:highlight w:val="none"/>
        </w:rPr>
      </w:pPr>
      <w:r>
        <w:rPr>
          <w:rFonts w:hint="eastAsia" w:ascii="宋体" w:hAnsi="宋体" w:cs="宋体"/>
          <w:b/>
          <w:sz w:val="24"/>
          <w:szCs w:val="24"/>
          <w:highlight w:val="none"/>
        </w:rPr>
        <w:t>（五）公开答疑时间、地点</w:t>
      </w:r>
    </w:p>
    <w:p w14:paraId="2C02C6E5">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采购人、</w:t>
      </w:r>
      <w:r>
        <w:rPr>
          <w:rFonts w:hint="eastAsia" w:ascii="宋体" w:hAnsi="宋体" w:cs="宋体"/>
          <w:bCs/>
          <w:sz w:val="24"/>
          <w:szCs w:val="24"/>
          <w:highlight w:val="none"/>
          <w:lang w:eastAsia="zh-CN"/>
        </w:rPr>
        <w:t>无锡众邦技术咨询有限公司</w:t>
      </w:r>
      <w:r>
        <w:rPr>
          <w:rFonts w:hint="eastAsia" w:ascii="宋体" w:hAnsi="宋体" w:cs="宋体"/>
          <w:bCs/>
          <w:sz w:val="24"/>
          <w:szCs w:val="24"/>
          <w:highlight w:val="none"/>
        </w:rPr>
        <w:t>将以电话咨询、邮箱（</w:t>
      </w:r>
      <w:r>
        <w:rPr>
          <w:rFonts w:hint="eastAsia" w:ascii="宋体" w:hAnsi="宋体" w:cs="宋体"/>
          <w:bCs/>
          <w:sz w:val="24"/>
          <w:szCs w:val="24"/>
          <w:highlight w:val="none"/>
          <w:lang w:eastAsia="zh-CN"/>
        </w:rPr>
        <w:t>71573294</w:t>
      </w:r>
      <w:r>
        <w:rPr>
          <w:rFonts w:hint="eastAsia" w:ascii="宋体" w:hAnsi="宋体" w:cs="宋体"/>
          <w:bCs/>
          <w:sz w:val="24"/>
          <w:szCs w:val="24"/>
          <w:highlight w:val="none"/>
        </w:rPr>
        <w:t>@qq.com）等方式开展线上不见面答疑服务。截止至</w:t>
      </w:r>
      <w:r>
        <w:rPr>
          <w:rFonts w:hint="eastAsia" w:ascii="宋体" w:hAnsi="宋体" w:cs="宋体"/>
          <w:bCs/>
          <w:sz w:val="24"/>
          <w:szCs w:val="24"/>
          <w:highlight w:val="none"/>
          <w:lang w:eastAsia="zh-CN"/>
        </w:rPr>
        <w:t>2026</w:t>
      </w:r>
      <w:r>
        <w:rPr>
          <w:rFonts w:hint="eastAsia" w:ascii="宋体" w:hAnsi="宋体" w:cs="宋体"/>
          <w:bCs/>
          <w:sz w:val="24"/>
          <w:szCs w:val="24"/>
          <w:highlight w:val="none"/>
        </w:rPr>
        <w:t>年</w:t>
      </w:r>
      <w:r>
        <w:rPr>
          <w:rFonts w:hint="eastAsia" w:ascii="宋体" w:hAnsi="宋体" w:cs="宋体"/>
          <w:bCs/>
          <w:sz w:val="24"/>
          <w:szCs w:val="24"/>
          <w:highlight w:val="none"/>
          <w:lang w:val="en-US" w:eastAsia="zh-CN"/>
        </w:rPr>
        <w:t>8</w:t>
      </w:r>
      <w:r>
        <w:rPr>
          <w:rFonts w:hint="eastAsia" w:ascii="宋体" w:hAnsi="宋体" w:cs="宋体"/>
          <w:bCs/>
          <w:sz w:val="24"/>
          <w:szCs w:val="24"/>
          <w:highlight w:val="none"/>
        </w:rPr>
        <w:t xml:space="preserve">月   </w:t>
      </w:r>
      <w:r>
        <w:rPr>
          <w:rFonts w:hint="eastAsia" w:ascii="宋体" w:hAnsi="宋体" w:cs="宋体"/>
          <w:bCs/>
          <w:sz w:val="24"/>
          <w:szCs w:val="24"/>
          <w:highlight w:val="none"/>
          <w:lang w:val="en-US" w:eastAsia="zh-CN"/>
        </w:rPr>
        <w:t>19</w:t>
      </w:r>
      <w:r>
        <w:rPr>
          <w:rFonts w:hint="eastAsia" w:ascii="宋体" w:hAnsi="宋体" w:cs="宋体"/>
          <w:bCs/>
          <w:sz w:val="24"/>
          <w:szCs w:val="24"/>
          <w:highlight w:val="none"/>
        </w:rPr>
        <w:t>日1</w:t>
      </w:r>
      <w:r>
        <w:rPr>
          <w:rFonts w:hint="eastAsia" w:ascii="宋体" w:hAnsi="宋体" w:cs="宋体"/>
          <w:bCs/>
          <w:sz w:val="24"/>
          <w:szCs w:val="24"/>
          <w:highlight w:val="none"/>
          <w:lang w:val="en-US" w:eastAsia="zh-CN"/>
        </w:rPr>
        <w:t>7</w:t>
      </w:r>
      <w:r>
        <w:rPr>
          <w:rFonts w:hint="eastAsia" w:ascii="宋体" w:hAnsi="宋体" w:cs="宋体"/>
          <w:bCs/>
          <w:sz w:val="24"/>
          <w:szCs w:val="24"/>
          <w:highlight w:val="none"/>
        </w:rPr>
        <w:t>:00前，有关单位对于招标文件的相关事项如有疑问可通过上述方式咨询；供应商如有需要对招标文件要求澄清的问题，请以书面形式（必须加盖供应商公章，也请务必留下联系方式，以便回复）提出“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cs="宋体"/>
          <w:bCs/>
          <w:sz w:val="24"/>
          <w:szCs w:val="24"/>
          <w:highlight w:val="none"/>
          <w:lang w:eastAsia="zh-CN"/>
        </w:rPr>
        <w:t>JSZC-320200-WXZB-G2026-0006</w:t>
      </w:r>
      <w:r>
        <w:rPr>
          <w:rFonts w:hint="eastAsia" w:ascii="宋体" w:hAnsi="宋体" w:cs="宋体"/>
          <w:bCs/>
          <w:sz w:val="24"/>
          <w:szCs w:val="24"/>
          <w:highlight w:val="none"/>
        </w:rPr>
        <w:t>项目需澄清问题”，并于答疑截止时间前</w:t>
      </w:r>
      <w:r>
        <w:rPr>
          <w:rFonts w:hint="eastAsia" w:ascii="宋体" w:hAnsi="宋体" w:cs="宋体"/>
          <w:sz w:val="24"/>
          <w:szCs w:val="24"/>
          <w:highlight w:val="none"/>
        </w:rPr>
        <w:t>发</w:t>
      </w:r>
      <w:r>
        <w:rPr>
          <w:rFonts w:hint="eastAsia" w:ascii="宋体" w:hAnsi="宋体" w:cs="宋体"/>
          <w:bCs/>
          <w:sz w:val="24"/>
          <w:szCs w:val="24"/>
          <w:highlight w:val="none"/>
        </w:rPr>
        <w:t>邮箱（</w:t>
      </w:r>
      <w:r>
        <w:rPr>
          <w:rFonts w:hint="eastAsia" w:ascii="宋体" w:hAnsi="宋体" w:cs="宋体"/>
          <w:bCs/>
          <w:sz w:val="24"/>
          <w:szCs w:val="24"/>
          <w:highlight w:val="none"/>
          <w:lang w:eastAsia="zh-CN"/>
        </w:rPr>
        <w:t>71573294</w:t>
      </w:r>
      <w:r>
        <w:rPr>
          <w:rFonts w:hint="eastAsia" w:ascii="宋体" w:hAnsi="宋体" w:cs="宋体"/>
          <w:bCs/>
          <w:sz w:val="24"/>
          <w:szCs w:val="24"/>
          <w:highlight w:val="none"/>
        </w:rPr>
        <w:t>@qq.com）给项目联系人。若未在法定时间内提出澄清，由此造成的损失及风险由供应商自行承担。</w:t>
      </w:r>
    </w:p>
    <w:p w14:paraId="2DE8466A">
      <w:pPr>
        <w:spacing w:line="360" w:lineRule="auto"/>
        <w:ind w:firstLine="482"/>
        <w:outlineLvl w:val="1"/>
        <w:rPr>
          <w:rFonts w:ascii="宋体" w:hAnsi="宋体" w:cs="宋体"/>
          <w:b/>
          <w:sz w:val="24"/>
          <w:szCs w:val="24"/>
          <w:highlight w:val="none"/>
        </w:rPr>
      </w:pPr>
      <w:r>
        <w:rPr>
          <w:rFonts w:hint="eastAsia" w:ascii="宋体" w:hAnsi="宋体" w:cs="宋体"/>
          <w:b/>
          <w:sz w:val="24"/>
          <w:szCs w:val="24"/>
          <w:highlight w:val="none"/>
        </w:rPr>
        <w:t>（六）现场踏勘</w:t>
      </w:r>
    </w:p>
    <w:p w14:paraId="54E16B8A">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14:paraId="1420B694">
      <w:pPr>
        <w:spacing w:line="360" w:lineRule="auto"/>
        <w:ind w:firstLine="482"/>
        <w:outlineLvl w:val="1"/>
        <w:rPr>
          <w:rFonts w:ascii="宋体" w:hAnsi="宋体" w:cs="宋体"/>
          <w:b/>
          <w:sz w:val="24"/>
          <w:szCs w:val="24"/>
          <w:highlight w:val="none"/>
        </w:rPr>
      </w:pPr>
      <w:r>
        <w:rPr>
          <w:rFonts w:hint="eastAsia" w:ascii="宋体" w:hAnsi="宋体" w:cs="宋体"/>
          <w:b/>
          <w:sz w:val="24"/>
          <w:szCs w:val="24"/>
          <w:highlight w:val="none"/>
        </w:rPr>
        <w:t>（七）投标及开标、定标时间、地点</w:t>
      </w:r>
    </w:p>
    <w:p w14:paraId="51F29714">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p>
    <w:p w14:paraId="21000512">
      <w:pPr>
        <w:spacing w:line="360" w:lineRule="auto"/>
        <w:ind w:left="239" w:firstLine="307"/>
        <w:rPr>
          <w:rFonts w:ascii="宋体" w:hAnsi="宋体" w:cs="宋体"/>
          <w:bCs/>
          <w:sz w:val="24"/>
          <w:szCs w:val="24"/>
          <w:highlight w:val="none"/>
        </w:rPr>
      </w:pPr>
      <w:r>
        <w:rPr>
          <w:rFonts w:hint="eastAsia" w:ascii="宋体" w:hAnsi="宋体" w:cs="宋体"/>
          <w:bCs/>
          <w:sz w:val="24"/>
          <w:szCs w:val="24"/>
          <w:highlight w:val="none"/>
        </w:rPr>
        <w:t>投标截止时间（网上投标截止时间苏采云投标客户端投标）：</w:t>
      </w:r>
      <w:r>
        <w:rPr>
          <w:rFonts w:hint="eastAsia" w:ascii="宋体" w:hAnsi="宋体" w:cs="宋体"/>
          <w:bCs/>
          <w:sz w:val="24"/>
          <w:szCs w:val="24"/>
          <w:highlight w:val="none"/>
          <w:lang w:eastAsia="zh-CN"/>
        </w:rPr>
        <w:t>2026</w:t>
      </w:r>
      <w:r>
        <w:rPr>
          <w:rFonts w:hint="eastAsia" w:ascii="宋体" w:hAnsi="宋体" w:cs="宋体"/>
          <w:bCs/>
          <w:sz w:val="24"/>
          <w:szCs w:val="24"/>
          <w:highlight w:val="none"/>
        </w:rPr>
        <w:t>年</w:t>
      </w:r>
      <w:r>
        <w:rPr>
          <w:rFonts w:hint="eastAsia" w:ascii="宋体" w:hAnsi="宋体" w:cs="宋体"/>
          <w:bCs/>
          <w:sz w:val="24"/>
          <w:szCs w:val="24"/>
          <w:highlight w:val="none"/>
          <w:lang w:val="en-US" w:eastAsia="zh-CN"/>
        </w:rPr>
        <w:t>9</w:t>
      </w:r>
      <w:r>
        <w:rPr>
          <w:rFonts w:hint="eastAsia" w:ascii="宋体" w:hAnsi="宋体" w:cs="宋体"/>
          <w:bCs/>
          <w:sz w:val="24"/>
          <w:szCs w:val="24"/>
          <w:highlight w:val="none"/>
        </w:rPr>
        <w:t>月</w:t>
      </w:r>
      <w:r>
        <w:rPr>
          <w:rFonts w:hint="eastAsia" w:ascii="宋体" w:hAnsi="宋体" w:cs="宋体"/>
          <w:bCs/>
          <w:sz w:val="24"/>
          <w:szCs w:val="24"/>
          <w:highlight w:val="none"/>
          <w:lang w:val="en-US" w:eastAsia="zh-CN"/>
        </w:rPr>
        <w:t>4</w:t>
      </w:r>
      <w:r>
        <w:rPr>
          <w:rFonts w:hint="eastAsia" w:ascii="宋体" w:hAnsi="宋体" w:cs="宋体"/>
          <w:bCs/>
          <w:sz w:val="24"/>
          <w:szCs w:val="24"/>
          <w:highlight w:val="none"/>
        </w:rPr>
        <w:t>日09:30，投标截止时间后的投标文件恕不接受。</w:t>
      </w:r>
    </w:p>
    <w:p w14:paraId="63C79BCE">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开标时间：</w:t>
      </w:r>
      <w:r>
        <w:rPr>
          <w:rFonts w:hint="eastAsia" w:ascii="宋体" w:hAnsi="宋体" w:cs="宋体"/>
          <w:bCs/>
          <w:sz w:val="24"/>
          <w:szCs w:val="24"/>
          <w:highlight w:val="none"/>
          <w:lang w:eastAsia="zh-CN"/>
        </w:rPr>
        <w:t>2026</w:t>
      </w:r>
      <w:r>
        <w:rPr>
          <w:rFonts w:hint="eastAsia" w:ascii="宋体" w:hAnsi="宋体" w:cs="宋体"/>
          <w:bCs/>
          <w:sz w:val="24"/>
          <w:szCs w:val="24"/>
          <w:highlight w:val="none"/>
        </w:rPr>
        <w:t>年</w:t>
      </w:r>
      <w:r>
        <w:rPr>
          <w:rFonts w:hint="eastAsia" w:ascii="宋体" w:hAnsi="宋体" w:cs="宋体"/>
          <w:bCs/>
          <w:sz w:val="24"/>
          <w:szCs w:val="24"/>
          <w:highlight w:val="none"/>
          <w:lang w:val="en-US" w:eastAsia="zh-CN"/>
        </w:rPr>
        <w:t>9</w:t>
      </w:r>
      <w:r>
        <w:rPr>
          <w:rFonts w:hint="eastAsia" w:ascii="宋体" w:hAnsi="宋体" w:cs="宋体"/>
          <w:bCs/>
          <w:sz w:val="24"/>
          <w:szCs w:val="24"/>
          <w:highlight w:val="none"/>
        </w:rPr>
        <w:t>月</w:t>
      </w:r>
      <w:r>
        <w:rPr>
          <w:rFonts w:hint="eastAsia" w:ascii="宋体" w:hAnsi="宋体" w:cs="宋体"/>
          <w:bCs/>
          <w:sz w:val="24"/>
          <w:szCs w:val="24"/>
          <w:highlight w:val="none"/>
          <w:lang w:val="en-US" w:eastAsia="zh-CN"/>
        </w:rPr>
        <w:t>4</w:t>
      </w:r>
      <w:r>
        <w:rPr>
          <w:rFonts w:hint="eastAsia" w:ascii="宋体" w:hAnsi="宋体" w:cs="宋体"/>
          <w:bCs/>
          <w:sz w:val="24"/>
          <w:szCs w:val="24"/>
          <w:highlight w:val="none"/>
        </w:rPr>
        <w:t>日09:30。</w:t>
      </w:r>
    </w:p>
    <w:p w14:paraId="23939341">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投标及开标地点：江苏省政府采购（苏采云）平台。</w:t>
      </w:r>
    </w:p>
    <w:p w14:paraId="4F4359F7">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定标时间：评标结束</w:t>
      </w:r>
    </w:p>
    <w:p w14:paraId="1A9F112E">
      <w:pPr>
        <w:spacing w:line="360" w:lineRule="auto"/>
        <w:ind w:firstLine="480"/>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定标地点：江苏省政府采购（苏采云）平台</w:t>
      </w:r>
    </w:p>
    <w:p w14:paraId="7A4E6B2B">
      <w:pPr>
        <w:spacing w:line="360" w:lineRule="auto"/>
        <w:ind w:firstLine="482"/>
        <w:outlineLvl w:val="1"/>
        <w:rPr>
          <w:rFonts w:ascii="宋体" w:hAnsi="宋体" w:cs="宋体"/>
          <w:bCs/>
          <w:sz w:val="24"/>
          <w:szCs w:val="24"/>
          <w:highlight w:val="none"/>
        </w:rPr>
      </w:pPr>
      <w:r>
        <w:rPr>
          <w:rFonts w:hint="eastAsia" w:ascii="宋体" w:hAnsi="宋体" w:cs="宋体"/>
          <w:b/>
          <w:sz w:val="24"/>
          <w:szCs w:val="24"/>
          <w:highlight w:val="none"/>
        </w:rPr>
        <w:t>（八）投标文件份数：</w:t>
      </w:r>
      <w:r>
        <w:rPr>
          <w:rFonts w:hint="eastAsia" w:ascii="宋体" w:hAnsi="宋体" w:cs="宋体"/>
          <w:bCs/>
          <w:sz w:val="24"/>
          <w:szCs w:val="24"/>
          <w:highlight w:val="none"/>
        </w:rPr>
        <w:t>请按规定上传电子响应文件，不接收纸质投标文件</w:t>
      </w:r>
    </w:p>
    <w:p w14:paraId="1A8BA829">
      <w:pPr>
        <w:spacing w:line="360" w:lineRule="auto"/>
        <w:ind w:firstLine="482"/>
        <w:outlineLvl w:val="1"/>
        <w:rPr>
          <w:rFonts w:ascii="宋体" w:hAnsi="宋体" w:cs="宋体"/>
          <w:bCs/>
          <w:sz w:val="24"/>
          <w:szCs w:val="24"/>
          <w:highlight w:val="none"/>
        </w:rPr>
      </w:pPr>
      <w:r>
        <w:rPr>
          <w:rFonts w:hint="eastAsia" w:ascii="宋体" w:hAnsi="宋体" w:cs="宋体"/>
          <w:b/>
          <w:sz w:val="24"/>
          <w:szCs w:val="24"/>
          <w:highlight w:val="none"/>
        </w:rPr>
        <w:t>（九）投标有效期：</w:t>
      </w:r>
      <w:r>
        <w:rPr>
          <w:rFonts w:hint="eastAsia" w:ascii="宋体" w:hAnsi="宋体" w:cs="宋体"/>
          <w:bCs/>
          <w:sz w:val="24"/>
          <w:szCs w:val="24"/>
          <w:highlight w:val="none"/>
        </w:rPr>
        <w:t>开标之日起90天</w:t>
      </w:r>
    </w:p>
    <w:p w14:paraId="41AFF536">
      <w:pPr>
        <w:spacing w:line="360" w:lineRule="auto"/>
        <w:ind w:firstLine="482"/>
        <w:outlineLvl w:val="1"/>
        <w:rPr>
          <w:rFonts w:ascii="宋体" w:hAnsi="宋体" w:cs="宋体"/>
          <w:b/>
          <w:sz w:val="24"/>
          <w:szCs w:val="24"/>
          <w:highlight w:val="none"/>
        </w:rPr>
      </w:pPr>
      <w:r>
        <w:rPr>
          <w:rFonts w:hint="eastAsia" w:ascii="宋体" w:hAnsi="宋体" w:cs="宋体"/>
          <w:b/>
          <w:sz w:val="24"/>
          <w:szCs w:val="24"/>
          <w:highlight w:val="none"/>
        </w:rPr>
        <w:t>（十）采购方法</w:t>
      </w:r>
    </w:p>
    <w:p w14:paraId="76B6489E">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本次采购采用“江苏省政府采购（苏采云）平台”进行招标投标活动，招标、投标、评标和中标结果发布全程电子化。</w:t>
      </w:r>
    </w:p>
    <w:p w14:paraId="591DF16D">
      <w:pPr>
        <w:spacing w:line="360" w:lineRule="auto"/>
        <w:ind w:firstLine="482"/>
        <w:outlineLvl w:val="1"/>
        <w:rPr>
          <w:rFonts w:ascii="宋体" w:hAnsi="宋体" w:cs="宋体"/>
          <w:b/>
          <w:sz w:val="24"/>
          <w:szCs w:val="24"/>
          <w:highlight w:val="none"/>
        </w:rPr>
      </w:pPr>
      <w:r>
        <w:rPr>
          <w:rFonts w:hint="eastAsia" w:ascii="宋体" w:hAnsi="宋体" w:cs="宋体"/>
          <w:b/>
          <w:sz w:val="24"/>
          <w:szCs w:val="24"/>
          <w:highlight w:val="none"/>
        </w:rPr>
        <w:t>（十一）其他</w:t>
      </w:r>
    </w:p>
    <w:p w14:paraId="0B0761B8">
      <w:pPr>
        <w:spacing w:line="360" w:lineRule="auto"/>
        <w:ind w:firstLine="480"/>
        <w:rPr>
          <w:rFonts w:cs="宋体" w:asciiTheme="minorEastAsia" w:hAnsiTheme="minorEastAsia"/>
          <w:sz w:val="24"/>
          <w:szCs w:val="24"/>
          <w:highlight w:val="none"/>
        </w:rPr>
      </w:pPr>
      <w:bookmarkStart w:id="19" w:name="_Toc23923"/>
      <w:r>
        <w:rPr>
          <w:rFonts w:hint="eastAsia" w:cs="宋体" w:asciiTheme="minorEastAsia" w:hAnsiTheme="minorEastAsia"/>
          <w:sz w:val="24"/>
          <w:szCs w:val="24"/>
          <w:highlight w:val="none"/>
        </w:rPr>
        <w:t>1.</w:t>
      </w:r>
      <w:r>
        <w:rPr>
          <w:rFonts w:hint="eastAsia" w:eastAsia="宋体" w:cs="宋体" w:asciiTheme="minorEastAsia" w:hAnsiTheme="minorEastAsia"/>
          <w:sz w:val="24"/>
          <w:szCs w:val="24"/>
          <w:highlight w:val="none"/>
        </w:rPr>
        <w:t>采购代理机构</w:t>
      </w:r>
      <w:r>
        <w:rPr>
          <w:rFonts w:hint="eastAsia" w:cs="宋体" w:asciiTheme="minorEastAsia" w:hAnsiTheme="minorEastAsia"/>
          <w:sz w:val="24"/>
          <w:szCs w:val="24"/>
          <w:highlight w:val="none"/>
        </w:rPr>
        <w:t>：</w:t>
      </w:r>
    </w:p>
    <w:p w14:paraId="33C933C0">
      <w:pPr>
        <w:spacing w:line="360" w:lineRule="auto"/>
        <w:ind w:firstLine="480"/>
        <w:rPr>
          <w:rFonts w:hint="eastAsia" w:cs="宋体" w:asciiTheme="minorEastAsia" w:hAnsiTheme="minorEastAsia" w:eastAsiaTheme="minorEastAsia"/>
          <w:sz w:val="24"/>
          <w:szCs w:val="24"/>
          <w:highlight w:val="none"/>
          <w:lang w:eastAsia="zh-CN"/>
        </w:rPr>
      </w:pPr>
      <w:r>
        <w:rPr>
          <w:rFonts w:hint="eastAsia" w:cs="宋体" w:asciiTheme="minorEastAsia" w:hAnsiTheme="minorEastAsia"/>
          <w:sz w:val="24"/>
          <w:szCs w:val="24"/>
          <w:highlight w:val="none"/>
        </w:rPr>
        <w:t>名称：</w:t>
      </w:r>
      <w:r>
        <w:rPr>
          <w:rFonts w:hint="eastAsia" w:cs="宋体" w:asciiTheme="minorEastAsia" w:hAnsiTheme="minorEastAsia"/>
          <w:sz w:val="24"/>
          <w:szCs w:val="24"/>
          <w:highlight w:val="none"/>
          <w:lang w:eastAsia="zh-CN"/>
        </w:rPr>
        <w:t>无锡众邦技术咨询有限公司</w:t>
      </w:r>
    </w:p>
    <w:p w14:paraId="25D2A4D8">
      <w:pPr>
        <w:widowControl/>
        <w:shd w:val="clear" w:color="auto" w:fill="FFFFFF"/>
        <w:spacing w:line="360" w:lineRule="auto"/>
        <w:ind w:firstLine="480"/>
        <w:jc w:val="left"/>
        <w:rPr>
          <w:rFonts w:hint="default" w:ascii="Arial" w:hAnsi="Arial" w:eastAsia="宋体" w:cs="宋体"/>
          <w:color w:val="auto"/>
          <w:sz w:val="24"/>
          <w:szCs w:val="24"/>
          <w:highlight w:val="none"/>
          <w:lang w:val="en-US" w:eastAsia="zh-CN"/>
        </w:rPr>
      </w:pPr>
      <w:r>
        <w:rPr>
          <w:rFonts w:hint="eastAsia" w:ascii="Arial" w:hAnsi="Arial" w:cs="宋体"/>
          <w:color w:val="auto"/>
          <w:sz w:val="24"/>
          <w:szCs w:val="24"/>
          <w:highlight w:val="none"/>
        </w:rPr>
        <w:t>项目联系人</w:t>
      </w:r>
      <w:r>
        <w:rPr>
          <w:rFonts w:hint="eastAsia" w:ascii="Arial" w:hAnsi="Arial" w:eastAsia="宋体" w:cs="宋体"/>
          <w:color w:val="auto"/>
          <w:sz w:val="24"/>
          <w:szCs w:val="24"/>
          <w:highlight w:val="none"/>
        </w:rPr>
        <w:t>：</w:t>
      </w:r>
      <w:r>
        <w:rPr>
          <w:rFonts w:hint="eastAsia" w:ascii="Arial" w:hAnsi="Arial" w:eastAsia="宋体" w:cs="宋体"/>
          <w:color w:val="auto"/>
          <w:sz w:val="24"/>
          <w:szCs w:val="24"/>
          <w:highlight w:val="none"/>
          <w:lang w:val="en-US" w:eastAsia="zh-CN"/>
        </w:rPr>
        <w:t>刘曾辰</w:t>
      </w:r>
    </w:p>
    <w:p w14:paraId="0F2B951C">
      <w:pPr>
        <w:widowControl/>
        <w:shd w:val="clear" w:color="auto" w:fill="FFFFFF"/>
        <w:spacing w:line="360" w:lineRule="auto"/>
        <w:ind w:firstLine="480"/>
        <w:jc w:val="left"/>
        <w:rPr>
          <w:rFonts w:ascii="宋体" w:hAnsi="宋体" w:eastAsia="宋体" w:cs="宋体"/>
          <w:color w:val="auto"/>
          <w:sz w:val="24"/>
          <w:szCs w:val="24"/>
          <w:highlight w:val="none"/>
        </w:rPr>
      </w:pPr>
      <w:r>
        <w:rPr>
          <w:rFonts w:hint="eastAsia" w:ascii="Arial" w:hAnsi="Arial" w:cs="宋体"/>
          <w:color w:val="auto"/>
          <w:sz w:val="24"/>
          <w:szCs w:val="24"/>
          <w:highlight w:val="none"/>
        </w:rPr>
        <w:t>电话：</w:t>
      </w:r>
      <w:r>
        <w:rPr>
          <w:rFonts w:hint="eastAsia" w:ascii="宋体" w:hAnsi="宋体" w:eastAsia="宋体" w:cs="宋体"/>
          <w:color w:val="auto"/>
          <w:sz w:val="24"/>
          <w:szCs w:val="24"/>
          <w:highlight w:val="none"/>
        </w:rPr>
        <w:t xml:space="preserve">0510-82810100       </w:t>
      </w:r>
    </w:p>
    <w:p w14:paraId="5305FB6F">
      <w:pPr>
        <w:widowControl/>
        <w:shd w:val="clear" w:color="auto" w:fill="FFFFFF"/>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地址：无锡市隐秀路866号三楼北侧302室</w:t>
      </w:r>
    </w:p>
    <w:p w14:paraId="692FB43F">
      <w:pPr>
        <w:widowControl/>
        <w:shd w:val="clear" w:color="auto" w:fill="FFFFFF"/>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邮箱：71573294@qq.com</w:t>
      </w:r>
    </w:p>
    <w:p w14:paraId="0CD79899">
      <w:pPr>
        <w:widowControl/>
        <w:shd w:val="clear" w:color="auto" w:fill="FFFFFF"/>
        <w:spacing w:line="360" w:lineRule="auto"/>
        <w:ind w:firstLine="480"/>
        <w:jc w:val="left"/>
        <w:rPr>
          <w:rFonts w:cs="宋体" w:asciiTheme="minorEastAsia" w:hAnsiTheme="minorEastAsia"/>
          <w:sz w:val="24"/>
          <w:szCs w:val="24"/>
          <w:highlight w:val="none"/>
        </w:rPr>
      </w:pPr>
      <w:r>
        <w:rPr>
          <w:rFonts w:hint="eastAsia" w:cs="宋体" w:asciiTheme="minorEastAsia" w:hAnsiTheme="minorEastAsia"/>
          <w:sz w:val="24"/>
          <w:szCs w:val="24"/>
          <w:highlight w:val="none"/>
        </w:rPr>
        <w:t>2.采购人：</w:t>
      </w:r>
    </w:p>
    <w:p w14:paraId="38735014">
      <w:pPr>
        <w:widowControl/>
        <w:shd w:val="clear" w:color="auto" w:fill="FFFFFF"/>
        <w:spacing w:line="360" w:lineRule="auto"/>
        <w:ind w:firstLine="480"/>
        <w:jc w:val="left"/>
        <w:rPr>
          <w:rFonts w:hint="eastAsia" w:cs="宋体" w:asciiTheme="minorEastAsia" w:hAnsiTheme="minorEastAsia" w:eastAsiaTheme="minorEastAsia"/>
          <w:sz w:val="24"/>
          <w:szCs w:val="24"/>
          <w:highlight w:val="none"/>
          <w:lang w:eastAsia="zh-CN"/>
        </w:rPr>
      </w:pPr>
      <w:r>
        <w:rPr>
          <w:rFonts w:hint="eastAsia" w:cs="宋体" w:asciiTheme="minorEastAsia" w:hAnsiTheme="minorEastAsia"/>
          <w:sz w:val="24"/>
          <w:szCs w:val="24"/>
          <w:highlight w:val="none"/>
        </w:rPr>
        <w:t>名称：</w:t>
      </w:r>
      <w:r>
        <w:rPr>
          <w:rFonts w:hint="eastAsia" w:cs="宋体" w:asciiTheme="minorEastAsia" w:hAnsiTheme="minorEastAsia"/>
          <w:sz w:val="24"/>
          <w:szCs w:val="24"/>
          <w:highlight w:val="none"/>
          <w:lang w:eastAsia="zh-CN"/>
        </w:rPr>
        <w:t>无锡市中级人民法院</w:t>
      </w:r>
    </w:p>
    <w:p w14:paraId="596E645E">
      <w:pPr>
        <w:widowControl/>
        <w:shd w:val="clear" w:color="auto" w:fill="FFFFFF"/>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地址：无锡市中级人民法院崇宁路50号</w:t>
      </w:r>
    </w:p>
    <w:p w14:paraId="43464A71">
      <w:pPr>
        <w:widowControl/>
        <w:shd w:val="clear" w:color="auto" w:fill="FFFFFF"/>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r>
        <w:rPr>
          <w:rFonts w:hint="eastAsia" w:ascii="宋体" w:hAnsi="宋体" w:cs="宋体"/>
          <w:color w:val="auto"/>
          <w:sz w:val="24"/>
          <w:szCs w:val="24"/>
          <w:highlight w:val="none"/>
        </w:rPr>
        <w:t>0510-82226641</w:t>
      </w:r>
    </w:p>
    <w:p w14:paraId="4036D487">
      <w:pPr>
        <w:spacing w:line="360" w:lineRule="auto"/>
        <w:ind w:firstLine="480"/>
        <w:rPr>
          <w:rFonts w:hint="eastAsia" w:ascii="宋体" w:hAnsi="宋体" w:eastAsia="宋体" w:cs="宋体"/>
          <w:bCs/>
          <w:sz w:val="24"/>
          <w:szCs w:val="24"/>
          <w:highlight w:val="none"/>
          <w:lang w:eastAsia="zh-CN"/>
        </w:rPr>
        <w:sectPr>
          <w:footerReference r:id="rId11" w:type="default"/>
          <w:pgSz w:w="11906" w:h="16838"/>
          <w:pgMar w:top="1440" w:right="1800" w:bottom="1440" w:left="1800" w:header="851" w:footer="992" w:gutter="0"/>
          <w:cols w:space="1701" w:num="1"/>
          <w:docGrid w:linePitch="360" w:charSpace="0"/>
        </w:sectPr>
      </w:pPr>
    </w:p>
    <w:p w14:paraId="253B73D0">
      <w:pPr>
        <w:spacing w:line="360" w:lineRule="auto"/>
        <w:jc w:val="center"/>
        <w:outlineLvl w:val="0"/>
        <w:rPr>
          <w:rFonts w:ascii="宋体" w:hAnsi="宋体" w:cs="宋体"/>
          <w:b/>
          <w:bCs/>
          <w:sz w:val="28"/>
          <w:szCs w:val="28"/>
          <w:highlight w:val="none"/>
        </w:rPr>
      </w:pPr>
      <w:bookmarkStart w:id="20" w:name="_Toc24863"/>
      <w:r>
        <w:rPr>
          <w:rFonts w:hint="eastAsia" w:ascii="宋体" w:hAnsi="宋体" w:cs="宋体"/>
          <w:b/>
          <w:bCs/>
          <w:sz w:val="28"/>
          <w:szCs w:val="28"/>
          <w:highlight w:val="none"/>
        </w:rPr>
        <w:t>二、投标供应商须知</w:t>
      </w:r>
      <w:bookmarkEnd w:id="19"/>
      <w:bookmarkEnd w:id="20"/>
    </w:p>
    <w:p w14:paraId="2FE7981A">
      <w:pPr>
        <w:spacing w:line="360" w:lineRule="auto"/>
        <w:ind w:firstLine="482"/>
        <w:outlineLvl w:val="1"/>
        <w:rPr>
          <w:rFonts w:ascii="宋体" w:hAnsi="宋体" w:cs="宋体"/>
          <w:b/>
          <w:sz w:val="24"/>
          <w:szCs w:val="24"/>
          <w:highlight w:val="none"/>
        </w:rPr>
      </w:pPr>
      <w:r>
        <w:rPr>
          <w:rFonts w:hint="eastAsia" w:ascii="宋体" w:hAnsi="宋体" w:cs="宋体"/>
          <w:b/>
          <w:sz w:val="24"/>
          <w:szCs w:val="24"/>
          <w:highlight w:val="none"/>
        </w:rPr>
        <w:t>(一)遵循原则：</w:t>
      </w:r>
    </w:p>
    <w:p w14:paraId="7845964E">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公开透明原则、公平竞争原则、公正原则和诚实信用原则。</w:t>
      </w:r>
    </w:p>
    <w:p w14:paraId="19DB3138">
      <w:pPr>
        <w:spacing w:line="360" w:lineRule="auto"/>
        <w:ind w:firstLine="482"/>
        <w:outlineLvl w:val="1"/>
        <w:rPr>
          <w:rFonts w:ascii="宋体" w:hAnsi="宋体" w:cs="宋体"/>
          <w:b/>
          <w:sz w:val="24"/>
          <w:szCs w:val="24"/>
          <w:highlight w:val="none"/>
        </w:rPr>
      </w:pPr>
      <w:r>
        <w:rPr>
          <w:rFonts w:hint="eastAsia" w:ascii="宋体" w:hAnsi="宋体" w:cs="宋体"/>
          <w:b/>
          <w:sz w:val="24"/>
          <w:szCs w:val="24"/>
          <w:highlight w:val="none"/>
        </w:rPr>
        <w:t>(二)招标文件：</w:t>
      </w:r>
    </w:p>
    <w:p w14:paraId="58692A99">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1．招标文件包括本文件目录所列全部内容，投标供应商应仔细阅读，并在投标文件中充分响应招标文件的所有要求。</w:t>
      </w:r>
    </w:p>
    <w:p w14:paraId="35BB1584">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潜在投标供应商可在项目招标公告附件中查看公开招标文件，如确定投标，必须在苏采云平台（http://jszfcg.jscz.gov.cn/jszc/login）中免费下载公开招标文件[“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p>
    <w:p w14:paraId="2D51E6CB">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3．投标供应商一旦参加本项目投标，即表明承诺接受了本招标文件中的所有条件和规定。</w:t>
      </w:r>
    </w:p>
    <w:p w14:paraId="451B764F">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4．招标文件仅作为本次招投标使用。</w:t>
      </w:r>
    </w:p>
    <w:p w14:paraId="1FD3BEED">
      <w:pPr>
        <w:pStyle w:val="312"/>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5．招标文件中的“法定代表人”是指投标供应商的营业执照或相关部门的登记证明文件中的“法定代表人”或“负责人”。</w:t>
      </w:r>
    </w:p>
    <w:p w14:paraId="74676264">
      <w:pPr>
        <w:spacing w:line="360" w:lineRule="auto"/>
        <w:ind w:firstLine="482"/>
        <w:outlineLvl w:val="1"/>
        <w:rPr>
          <w:rFonts w:ascii="宋体" w:hAnsi="宋体" w:cs="宋体"/>
          <w:b/>
          <w:sz w:val="24"/>
          <w:szCs w:val="24"/>
          <w:highlight w:val="none"/>
        </w:rPr>
      </w:pPr>
      <w:r>
        <w:rPr>
          <w:rFonts w:hint="eastAsia" w:ascii="宋体" w:hAnsi="宋体" w:cs="宋体"/>
          <w:b/>
          <w:sz w:val="24"/>
          <w:szCs w:val="24"/>
          <w:highlight w:val="none"/>
        </w:rPr>
        <w:t>(三)招标文件的解释：</w:t>
      </w:r>
    </w:p>
    <w:p w14:paraId="209762E2">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本文件的最终解释权归采购人及</w:t>
      </w:r>
      <w:r>
        <w:rPr>
          <w:rFonts w:hint="eastAsia" w:ascii="宋体" w:hAnsi="宋体" w:cs="宋体"/>
          <w:bCs/>
          <w:sz w:val="24"/>
          <w:szCs w:val="24"/>
          <w:highlight w:val="none"/>
          <w:lang w:eastAsia="zh-CN"/>
        </w:rPr>
        <w:t>无锡众邦技术咨询有限公司</w:t>
      </w:r>
      <w:r>
        <w:rPr>
          <w:rFonts w:hint="eastAsia" w:ascii="宋体" w:hAnsi="宋体" w:cs="宋体"/>
          <w:bCs/>
          <w:sz w:val="24"/>
          <w:szCs w:val="24"/>
          <w:highlight w:val="none"/>
        </w:rPr>
        <w:t>。</w:t>
      </w:r>
    </w:p>
    <w:p w14:paraId="631B21EA">
      <w:pPr>
        <w:spacing w:line="360" w:lineRule="auto"/>
        <w:ind w:firstLine="482"/>
        <w:outlineLvl w:val="1"/>
        <w:rPr>
          <w:rFonts w:ascii="宋体" w:hAnsi="宋体" w:cs="宋体"/>
          <w:b/>
          <w:sz w:val="24"/>
          <w:szCs w:val="24"/>
          <w:highlight w:val="none"/>
        </w:rPr>
      </w:pPr>
      <w:r>
        <w:rPr>
          <w:rFonts w:hint="eastAsia" w:ascii="宋体" w:hAnsi="宋体" w:cs="宋体"/>
          <w:b/>
          <w:sz w:val="24"/>
          <w:szCs w:val="24"/>
          <w:highlight w:val="none"/>
        </w:rPr>
        <w:t>(四)招标文件的补充或修正：</w:t>
      </w:r>
    </w:p>
    <w:p w14:paraId="055DAB04">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1．采购人或采购代理机构可在投标截止时间15日前对招标文件进行必要的澄清或者修改，不足15日的，将顺延提交投标文件的截止时间。</w:t>
      </w:r>
    </w:p>
    <w:p w14:paraId="10953688">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2．如需对招标文件进行澄清或修正，</w:t>
      </w:r>
      <w:r>
        <w:rPr>
          <w:rFonts w:hint="eastAsia" w:ascii="宋体" w:hAnsi="宋体" w:cs="宋体"/>
          <w:bCs/>
          <w:sz w:val="24"/>
          <w:szCs w:val="24"/>
          <w:highlight w:val="none"/>
          <w:lang w:eastAsia="zh-CN"/>
        </w:rPr>
        <w:t>无锡众邦技术咨询有限公司</w:t>
      </w:r>
      <w:r>
        <w:rPr>
          <w:rFonts w:hint="eastAsia" w:ascii="宋体" w:hAnsi="宋体" w:cs="宋体"/>
          <w:bCs/>
          <w:sz w:val="24"/>
          <w:szCs w:val="24"/>
          <w:highlight w:val="none"/>
        </w:rPr>
        <w:t>将江苏政府采购网发布更正公告，该澄清或修正的内容为招标文件的组成部分。投标供应商应在投标截止时间前关注原招标公告媒体上发布的相关更正公告。因投标供应商未尽注意义务，未及时全面地关注更正公告导致其提交的投标材料不符合相关要求，而造成的损失及风险（包括但不限于未中标）由投标供应商自行承担。</w:t>
      </w:r>
    </w:p>
    <w:p w14:paraId="1E40C361">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cs="宋体"/>
          <w:bCs/>
          <w:sz w:val="24"/>
          <w:szCs w:val="24"/>
          <w:highlight w:val="none"/>
          <w:lang w:eastAsia="zh-CN"/>
        </w:rPr>
        <w:t>无锡众邦技术咨询有限公司</w:t>
      </w:r>
      <w:r>
        <w:rPr>
          <w:rFonts w:hint="eastAsia" w:ascii="宋体" w:hAnsi="宋体" w:cs="宋体"/>
          <w:bCs/>
          <w:sz w:val="24"/>
          <w:szCs w:val="24"/>
          <w:highlight w:val="none"/>
        </w:rPr>
        <w:t>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cs="宋体"/>
          <w:bCs/>
          <w:sz w:val="24"/>
          <w:szCs w:val="24"/>
          <w:highlight w:val="none"/>
          <w:lang w:eastAsia="zh-CN"/>
        </w:rPr>
        <w:t>无锡众邦技术咨询有限公司</w:t>
      </w:r>
      <w:r>
        <w:rPr>
          <w:rFonts w:hint="eastAsia" w:ascii="宋体" w:hAnsi="宋体" w:cs="宋体"/>
          <w:bCs/>
          <w:sz w:val="24"/>
          <w:szCs w:val="24"/>
          <w:highlight w:val="none"/>
        </w:rPr>
        <w:t>将在收到符合上述要求的书面质疑后七个工作日内，对质疑内容作出答复。</w:t>
      </w:r>
      <w:r>
        <w:rPr>
          <w:rFonts w:ascii="宋体" w:hAnsi="宋体"/>
          <w:bCs/>
          <w:sz w:val="24"/>
          <w:szCs w:val="24"/>
          <w:highlight w:val="none"/>
        </w:rPr>
        <w:t>以联合体形式参加政府采购活动的，其</w:t>
      </w:r>
      <w:r>
        <w:rPr>
          <w:rFonts w:hint="eastAsia" w:ascii="宋体" w:hAnsi="宋体"/>
          <w:bCs/>
          <w:sz w:val="24"/>
          <w:szCs w:val="24"/>
          <w:highlight w:val="none"/>
          <w:lang w:val="en-US" w:eastAsia="zh-CN"/>
        </w:rPr>
        <w:t>质疑和</w:t>
      </w:r>
      <w:r>
        <w:rPr>
          <w:rFonts w:ascii="宋体" w:hAnsi="宋体"/>
          <w:bCs/>
          <w:sz w:val="24"/>
          <w:szCs w:val="24"/>
          <w:highlight w:val="none"/>
        </w:rPr>
        <w:t>投诉应当由组成联合体的所有供应商共同提出</w:t>
      </w:r>
      <w:r>
        <w:rPr>
          <w:rFonts w:hint="eastAsia" w:ascii="宋体" w:hAnsi="宋体"/>
          <w:bCs/>
          <w:sz w:val="24"/>
          <w:szCs w:val="24"/>
          <w:highlight w:val="none"/>
          <w:lang w:eastAsia="zh-CN"/>
        </w:rPr>
        <w:t>。</w:t>
      </w:r>
      <w:r>
        <w:rPr>
          <w:rFonts w:hint="eastAsia" w:ascii="宋体" w:hAnsi="宋体" w:cs="宋体"/>
          <w:bCs/>
          <w:sz w:val="24"/>
          <w:szCs w:val="24"/>
          <w:highlight w:val="none"/>
        </w:rPr>
        <w:t>投标供应商在法定质疑期限外送达的质疑函或法定质疑期限内送达的质疑函不符合上述要求的均为无效质疑，</w:t>
      </w:r>
      <w:r>
        <w:rPr>
          <w:rFonts w:hint="eastAsia" w:ascii="宋体" w:hAnsi="宋体" w:cs="宋体"/>
          <w:bCs/>
          <w:sz w:val="24"/>
          <w:szCs w:val="24"/>
          <w:highlight w:val="none"/>
          <w:lang w:eastAsia="zh-CN"/>
        </w:rPr>
        <w:t>无锡众邦技术咨询有限公司</w:t>
      </w:r>
      <w:r>
        <w:rPr>
          <w:rFonts w:hint="eastAsia" w:ascii="宋体" w:hAnsi="宋体" w:cs="宋体"/>
          <w:bCs/>
          <w:sz w:val="24"/>
          <w:szCs w:val="24"/>
          <w:highlight w:val="none"/>
        </w:rPr>
        <w:t>对无效质疑不予受理。</w:t>
      </w:r>
    </w:p>
    <w:p w14:paraId="39D06B0E">
      <w:pPr>
        <w:spacing w:line="360" w:lineRule="auto"/>
        <w:ind w:firstLine="482"/>
        <w:outlineLvl w:val="1"/>
        <w:rPr>
          <w:rFonts w:ascii="宋体" w:hAnsi="宋体" w:cs="宋体"/>
          <w:b/>
          <w:sz w:val="24"/>
          <w:szCs w:val="24"/>
          <w:highlight w:val="none"/>
        </w:rPr>
      </w:pPr>
      <w:r>
        <w:rPr>
          <w:rFonts w:hint="eastAsia" w:ascii="宋体" w:hAnsi="宋体" w:cs="宋体"/>
          <w:b/>
          <w:sz w:val="24"/>
          <w:szCs w:val="24"/>
          <w:highlight w:val="none"/>
        </w:rPr>
        <w:t>(五)投标文件的组成（相应内容上传至投标客户端）：</w:t>
      </w:r>
    </w:p>
    <w:p w14:paraId="590308A8">
      <w:pPr>
        <w:tabs>
          <w:tab w:val="left" w:pos="1050"/>
        </w:tabs>
        <w:spacing w:line="360" w:lineRule="auto"/>
        <w:ind w:firstLine="482"/>
        <w:rPr>
          <w:rFonts w:ascii="宋体" w:hAnsi="宋体" w:cs="宋体"/>
          <w:bCs/>
          <w:sz w:val="24"/>
          <w:szCs w:val="24"/>
          <w:highlight w:val="none"/>
        </w:rPr>
      </w:pPr>
      <w:r>
        <w:rPr>
          <w:rFonts w:hint="eastAsia" w:ascii="宋体" w:hAnsi="宋体" w:cs="宋体"/>
          <w:b/>
          <w:sz w:val="24"/>
          <w:szCs w:val="24"/>
          <w:highlight w:val="none"/>
        </w:rPr>
        <w:t>投标文件分为明标商务标和暗标技术标两部分</w:t>
      </w:r>
    </w:p>
    <w:p w14:paraId="4ABBC08D">
      <w:pPr>
        <w:tabs>
          <w:tab w:val="left" w:pos="1050"/>
        </w:tabs>
        <w:spacing w:line="360" w:lineRule="auto"/>
        <w:ind w:firstLine="482"/>
        <w:rPr>
          <w:rFonts w:ascii="宋体" w:hAnsi="宋体" w:cs="宋体"/>
          <w:b/>
          <w:sz w:val="24"/>
          <w:szCs w:val="24"/>
          <w:highlight w:val="none"/>
        </w:rPr>
      </w:pPr>
      <w:r>
        <w:rPr>
          <w:rFonts w:hint="eastAsia" w:ascii="宋体" w:hAnsi="宋体" w:cs="宋体"/>
          <w:b/>
          <w:sz w:val="24"/>
          <w:szCs w:val="24"/>
          <w:highlight w:val="none"/>
        </w:rPr>
        <w:t>第一部分  明标商务标部分</w:t>
      </w:r>
    </w:p>
    <w:p w14:paraId="48E79799">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1．投标</w:t>
      </w:r>
      <w:r>
        <w:rPr>
          <w:rFonts w:hint="eastAsia" w:ascii="宋体" w:hAnsi="宋体" w:cs="宋体"/>
          <w:b w:val="0"/>
          <w:bCs/>
          <w:sz w:val="24"/>
          <w:szCs w:val="24"/>
          <w:highlight w:val="none"/>
        </w:rPr>
        <w:t>函（格式见附件）；</w:t>
      </w:r>
    </w:p>
    <w:p w14:paraId="04DC10BC">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2．资格、资信证明文件：</w:t>
      </w:r>
    </w:p>
    <w:p w14:paraId="79FA31C0">
      <w:pPr>
        <w:tabs>
          <w:tab w:val="left" w:pos="1050"/>
        </w:tabs>
        <w:spacing w:line="360" w:lineRule="auto"/>
        <w:ind w:firstLine="480"/>
        <w:rPr>
          <w:rFonts w:ascii="宋体" w:hAnsi="宋体" w:cs="宋体"/>
          <w:b w:val="0"/>
          <w:bCs/>
          <w:sz w:val="24"/>
          <w:szCs w:val="24"/>
          <w:highlight w:val="none"/>
        </w:rPr>
      </w:pPr>
      <w:r>
        <w:rPr>
          <w:rFonts w:hint="eastAsia" w:ascii="宋体" w:hAnsi="宋体" w:cs="宋体"/>
          <w:bCs/>
          <w:sz w:val="24"/>
          <w:szCs w:val="24"/>
          <w:highlight w:val="none"/>
        </w:rPr>
        <w:t>（1）《资格声明函》</w:t>
      </w:r>
      <w:r>
        <w:rPr>
          <w:rFonts w:hint="eastAsia" w:ascii="宋体" w:hAnsi="宋体" w:cs="宋体"/>
          <w:b w:val="0"/>
          <w:bCs/>
          <w:sz w:val="24"/>
          <w:szCs w:val="24"/>
          <w:highlight w:val="none"/>
        </w:rPr>
        <w:t>（给定格式）；</w:t>
      </w:r>
    </w:p>
    <w:p w14:paraId="23729D1E">
      <w:pPr>
        <w:tabs>
          <w:tab w:val="left" w:pos="945"/>
          <w:tab w:val="left" w:pos="1276"/>
        </w:tabs>
        <w:spacing w:line="360" w:lineRule="auto"/>
        <w:ind w:firstLine="480"/>
        <w:rPr>
          <w:rFonts w:ascii="宋体" w:hAnsi="宋体" w:cs="宋体"/>
          <w:b w:val="0"/>
          <w:bCs/>
          <w:sz w:val="24"/>
          <w:szCs w:val="24"/>
          <w:highlight w:val="none"/>
        </w:rPr>
      </w:pPr>
      <w:r>
        <w:rPr>
          <w:rFonts w:hint="eastAsia" w:ascii="宋体" w:hAnsi="宋体" w:cs="宋体"/>
          <w:b w:val="0"/>
          <w:bCs/>
          <w:sz w:val="24"/>
          <w:szCs w:val="24"/>
          <w:highlight w:val="none"/>
        </w:rPr>
        <w:t>（2）具有独立承担民事责任能力的投标人营业执照或相关部门的登记证明文件扫描件；</w:t>
      </w:r>
    </w:p>
    <w:p w14:paraId="197E852A">
      <w:pPr>
        <w:tabs>
          <w:tab w:val="left" w:pos="945"/>
          <w:tab w:val="left" w:pos="1260"/>
        </w:tabs>
        <w:spacing w:line="360" w:lineRule="auto"/>
        <w:ind w:firstLine="480"/>
        <w:rPr>
          <w:rFonts w:ascii="宋体" w:hAnsi="宋体" w:cs="宋体"/>
          <w:b w:val="0"/>
          <w:bCs/>
          <w:sz w:val="24"/>
          <w:szCs w:val="24"/>
          <w:highlight w:val="none"/>
        </w:rPr>
      </w:pPr>
      <w:r>
        <w:rPr>
          <w:rFonts w:hint="eastAsia" w:ascii="宋体" w:hAnsi="宋体" w:cs="宋体"/>
          <w:b w:val="0"/>
          <w:bCs/>
          <w:sz w:val="24"/>
          <w:szCs w:val="24"/>
          <w:highlight w:val="none"/>
        </w:rPr>
        <w:t>（3）《授权委托书》（给定格式；投标人如是自然人情形的，可不提供）；</w:t>
      </w:r>
    </w:p>
    <w:p w14:paraId="69E52139">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4）被授权人具有与本企业签订的劳动合同或投标人为其缴纳的由相关部门出具的近一年中任意一个月份（不含投标当月）的社保缴费证明（新成立的企业若不满足一年，提供成立之后被授权人）相关月份的社保缴费证明）；</w:t>
      </w:r>
    </w:p>
    <w:p w14:paraId="7087F90C">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5）投标人近一年中任意一个月份（不含投标当月）的财务状况报告（资产负债表和利润表）或由会计师事务所出具的2024年度或2025年度的审计报告（投标人如是自然人情形的，没有经审计的财务报告的，可以提供银行出具的资信证明）；</w:t>
      </w:r>
    </w:p>
    <w:p w14:paraId="7EEC8522">
      <w:pPr>
        <w:tabs>
          <w:tab w:val="left" w:pos="1050"/>
        </w:tabs>
        <w:spacing w:line="360" w:lineRule="auto"/>
        <w:ind w:firstLine="480"/>
        <w:rPr>
          <w:rFonts w:hint="eastAsia" w:ascii="宋体" w:hAnsi="宋体" w:cs="宋体"/>
          <w:bCs/>
          <w:sz w:val="24"/>
          <w:szCs w:val="24"/>
          <w:highlight w:val="none"/>
        </w:rPr>
      </w:pPr>
      <w:bookmarkStart w:id="21" w:name="_Hlk39128912"/>
      <w:r>
        <w:rPr>
          <w:rFonts w:hint="eastAsia" w:ascii="宋体" w:hAnsi="宋体" w:cs="宋体"/>
          <w:bCs/>
          <w:sz w:val="24"/>
          <w:szCs w:val="24"/>
          <w:highlight w:val="none"/>
        </w:rPr>
        <w:t>（6）投标人近一年中任意一个月份（不含投标当月）的依法缴纳税收的相关材料（提供相关主管部门证明或银行代扣证明）；</w:t>
      </w:r>
    </w:p>
    <w:p w14:paraId="62AE01B8">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（7）投标人近一年中任意一个月份（不含投标当月）的依法缴纳社会保障资金的相关材料（提供相关主管部门证明或银行代扣证明）；</w:t>
      </w:r>
    </w:p>
    <w:p w14:paraId="7B419405">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（8）</w:t>
      </w:r>
      <w:bookmarkEnd w:id="21"/>
      <w:r>
        <w:rPr>
          <w:rFonts w:hint="eastAsia" w:ascii="宋体" w:hAnsi="宋体" w:cs="宋体"/>
          <w:bCs/>
          <w:sz w:val="24"/>
          <w:szCs w:val="24"/>
          <w:highlight w:val="none"/>
        </w:rPr>
        <w:t>承诺书（格式见附件）；</w:t>
      </w:r>
    </w:p>
    <w:p w14:paraId="518CDB2C">
      <w:pPr>
        <w:tabs>
          <w:tab w:val="left" w:pos="1050"/>
        </w:tabs>
        <w:spacing w:line="360" w:lineRule="auto"/>
        <w:ind w:firstLine="480"/>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w:t>
      </w:r>
      <w:r>
        <w:rPr>
          <w:rFonts w:hint="eastAsia" w:ascii="宋体" w:hAnsi="宋体" w:cs="宋体"/>
          <w:bCs/>
          <w:sz w:val="24"/>
          <w:szCs w:val="24"/>
          <w:highlight w:val="none"/>
          <w:lang w:val="en-US" w:eastAsia="zh-CN"/>
        </w:rPr>
        <w:t>9</w:t>
      </w:r>
      <w:r>
        <w:rPr>
          <w:rFonts w:hint="eastAsia" w:ascii="宋体" w:hAnsi="宋体" w:eastAsia="宋体" w:cs="宋体"/>
          <w:bCs/>
          <w:sz w:val="24"/>
          <w:szCs w:val="24"/>
          <w:highlight w:val="none"/>
          <w:lang w:val="zh-CN"/>
        </w:rPr>
        <w:t>）投标供应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扫描件加盖公章；如为残疾人福利性单位的提供《残疾人福利性单位声明函》</w:t>
      </w:r>
      <w:r>
        <w:rPr>
          <w:rFonts w:hint="eastAsia" w:ascii="宋体" w:hAnsi="宋体" w:cs="宋体"/>
          <w:bCs/>
          <w:sz w:val="24"/>
          <w:szCs w:val="24"/>
          <w:highlight w:val="none"/>
          <w:lang w:val="zh-CN"/>
        </w:rPr>
        <w:t>；</w:t>
      </w:r>
    </w:p>
    <w:p w14:paraId="7045D212">
      <w:pPr>
        <w:tabs>
          <w:tab w:val="left" w:pos="1050"/>
        </w:tabs>
        <w:spacing w:line="360" w:lineRule="auto"/>
        <w:ind w:firstLine="480"/>
        <w:rPr>
          <w:rFonts w:hint="eastAsia" w:ascii="宋体" w:hAnsi="宋体" w:cs="宋体"/>
          <w:b/>
          <w:bCs/>
          <w:sz w:val="24"/>
          <w:szCs w:val="24"/>
          <w:highlight w:val="none"/>
        </w:rPr>
      </w:pPr>
      <w:r>
        <w:rPr>
          <w:rFonts w:hint="eastAsia" w:ascii="宋体" w:hAnsi="宋体" w:cs="宋体"/>
          <w:bCs/>
          <w:sz w:val="24"/>
          <w:szCs w:val="24"/>
          <w:highlight w:val="none"/>
        </w:rPr>
        <w:t>3</w:t>
      </w:r>
      <w:r>
        <w:rPr>
          <w:rFonts w:hint="eastAsia" w:ascii="宋体" w:hAnsi="宋体" w:cs="宋体"/>
          <w:bCs/>
          <w:sz w:val="24"/>
          <w:szCs w:val="24"/>
          <w:highlight w:val="none"/>
          <w:lang w:val="en-US" w:eastAsia="zh-CN"/>
        </w:rPr>
        <w:t>.</w:t>
      </w:r>
      <w:r>
        <w:rPr>
          <w:rFonts w:hint="eastAsia" w:ascii="宋体" w:hAnsi="宋体" w:cs="宋体"/>
          <w:bCs/>
          <w:sz w:val="24"/>
          <w:szCs w:val="24"/>
          <w:highlight w:val="none"/>
        </w:rPr>
        <w:t>开标一览表</w:t>
      </w:r>
      <w:r>
        <w:rPr>
          <w:rFonts w:hint="eastAsia" w:ascii="宋体" w:hAnsi="宋体" w:cs="宋体"/>
          <w:b/>
          <w:bCs/>
          <w:sz w:val="24"/>
          <w:szCs w:val="24"/>
          <w:highlight w:val="none"/>
        </w:rPr>
        <w:t>（格式见附件）</w:t>
      </w:r>
    </w:p>
    <w:p w14:paraId="7911716A">
      <w:pPr>
        <w:tabs>
          <w:tab w:val="left" w:pos="1050"/>
        </w:tabs>
        <w:spacing w:line="360" w:lineRule="auto"/>
        <w:ind w:firstLine="480"/>
        <w:rPr>
          <w:rFonts w:hint="default" w:eastAsia="等线"/>
          <w:lang w:val="en-US" w:eastAsia="zh-CN"/>
        </w:rPr>
      </w:pPr>
      <w:r>
        <w:rPr>
          <w:rFonts w:hint="eastAsia" w:ascii="宋体" w:hAnsi="宋体" w:eastAsia="宋体" w:cs="宋体"/>
          <w:bCs/>
          <w:sz w:val="24"/>
          <w:szCs w:val="24"/>
          <w:highlight w:val="none"/>
          <w:lang w:val="en-US" w:eastAsia="zh-CN" w:bidi="ar-SA"/>
        </w:rPr>
        <w:t>4.分项报价表</w:t>
      </w:r>
      <w:r>
        <w:rPr>
          <w:rFonts w:hint="eastAsia" w:ascii="宋体" w:hAnsi="宋体" w:eastAsia="宋体" w:cs="宋体"/>
          <w:b/>
          <w:bCs/>
          <w:sz w:val="24"/>
          <w:szCs w:val="24"/>
          <w:highlight w:val="none"/>
          <w:lang w:val="en-US" w:eastAsia="zh-CN" w:bidi="ar-SA"/>
        </w:rPr>
        <w:t>（格式见附件）</w:t>
      </w:r>
    </w:p>
    <w:p w14:paraId="0E90A58B">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lang w:val="en-US" w:eastAsia="zh-CN"/>
        </w:rPr>
        <w:t>5</w:t>
      </w:r>
      <w:r>
        <w:rPr>
          <w:rFonts w:hint="eastAsia" w:ascii="宋体" w:hAnsi="宋体" w:cs="宋体"/>
          <w:bCs/>
          <w:sz w:val="24"/>
          <w:szCs w:val="24"/>
          <w:highlight w:val="none"/>
        </w:rPr>
        <w:t>．投标偏离表</w:t>
      </w:r>
      <w:r>
        <w:rPr>
          <w:rFonts w:hint="eastAsia" w:ascii="宋体" w:hAnsi="宋体" w:cs="宋体"/>
          <w:b/>
          <w:bCs/>
          <w:sz w:val="24"/>
          <w:szCs w:val="24"/>
          <w:highlight w:val="none"/>
        </w:rPr>
        <w:t>（格式见附件）</w:t>
      </w:r>
    </w:p>
    <w:p w14:paraId="2897F879">
      <w:pPr>
        <w:tabs>
          <w:tab w:val="left" w:pos="126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lang w:val="en-US" w:eastAsia="zh-CN"/>
        </w:rPr>
        <w:t>6</w:t>
      </w:r>
      <w:r>
        <w:rPr>
          <w:rFonts w:hint="eastAsia" w:ascii="宋体" w:hAnsi="宋体" w:cs="宋体"/>
          <w:bCs/>
          <w:sz w:val="24"/>
          <w:szCs w:val="24"/>
          <w:highlight w:val="none"/>
        </w:rPr>
        <w:t>．提供第三章项目技术要求和有关说明需提供的相关证明材料（如有，格式自拟并自行添加）</w:t>
      </w:r>
    </w:p>
    <w:p w14:paraId="31D7E97C">
      <w:pPr>
        <w:tabs>
          <w:tab w:val="left" w:pos="126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lang w:val="en-US" w:eastAsia="zh-CN"/>
        </w:rPr>
        <w:t>7</w:t>
      </w:r>
      <w:r>
        <w:rPr>
          <w:rFonts w:hint="eastAsia" w:ascii="宋体" w:hAnsi="宋体" w:cs="宋体"/>
          <w:bCs/>
          <w:sz w:val="24"/>
          <w:szCs w:val="24"/>
          <w:highlight w:val="none"/>
        </w:rPr>
        <w:t>．评分标准中对应的所需证明材料（如有自行添加，格式自拟）</w:t>
      </w:r>
    </w:p>
    <w:p w14:paraId="6281E950">
      <w:pPr>
        <w:tabs>
          <w:tab w:val="left" w:pos="126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lang w:val="en-US" w:eastAsia="zh-CN"/>
        </w:rPr>
        <w:t>8</w:t>
      </w:r>
      <w:r>
        <w:rPr>
          <w:rFonts w:hint="eastAsia" w:ascii="宋体" w:hAnsi="宋体" w:cs="宋体"/>
          <w:bCs/>
          <w:sz w:val="24"/>
          <w:szCs w:val="24"/>
          <w:highlight w:val="none"/>
        </w:rPr>
        <w:t>．要求采购人提供的配合（如有自行添加，格式自拟）</w:t>
      </w:r>
    </w:p>
    <w:p w14:paraId="2063011A">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lang w:val="en-US" w:eastAsia="zh-CN"/>
        </w:rPr>
        <w:t>9</w:t>
      </w:r>
      <w:r>
        <w:rPr>
          <w:rFonts w:hint="eastAsia" w:ascii="宋体" w:hAnsi="宋体" w:cs="宋体"/>
          <w:bCs/>
          <w:sz w:val="24"/>
          <w:szCs w:val="24"/>
          <w:highlight w:val="none"/>
        </w:rPr>
        <w:t>．其他（</w:t>
      </w:r>
      <w:r>
        <w:rPr>
          <w:rFonts w:hint="eastAsia" w:ascii="宋体" w:hAnsi="宋体" w:cs="宋体"/>
          <w:sz w:val="24"/>
          <w:szCs w:val="24"/>
          <w:highlight w:val="none"/>
        </w:rPr>
        <w:t>投标供应商</w:t>
      </w:r>
      <w:r>
        <w:rPr>
          <w:rFonts w:hint="eastAsia" w:ascii="宋体" w:hAnsi="宋体" w:cs="宋体"/>
          <w:bCs/>
          <w:sz w:val="24"/>
          <w:szCs w:val="24"/>
          <w:highlight w:val="none"/>
        </w:rPr>
        <w:t>认为有必要提供的声明和文件，如有格式自拟）</w:t>
      </w:r>
    </w:p>
    <w:p w14:paraId="7D70B769">
      <w:pPr>
        <w:tabs>
          <w:tab w:val="left" w:pos="840"/>
          <w:tab w:val="left" w:pos="1050"/>
        </w:tabs>
        <w:spacing w:line="360" w:lineRule="auto"/>
        <w:ind w:firstLine="480"/>
        <w:rPr>
          <w:rFonts w:ascii="宋体" w:hAnsi="宋体" w:cs="宋体"/>
          <w:sz w:val="24"/>
          <w:szCs w:val="24"/>
          <w:highlight w:val="none"/>
        </w:rPr>
      </w:pPr>
      <w:r>
        <w:rPr>
          <w:rFonts w:hint="eastAsia" w:ascii="宋体" w:hAnsi="宋体" w:cs="宋体"/>
          <w:bCs/>
          <w:sz w:val="24"/>
          <w:szCs w:val="24"/>
          <w:highlight w:val="none"/>
        </w:rPr>
        <w:t>上述1-</w:t>
      </w:r>
      <w:r>
        <w:rPr>
          <w:rFonts w:hint="eastAsia" w:ascii="宋体" w:hAnsi="宋体" w:cs="宋体"/>
          <w:bCs/>
          <w:sz w:val="24"/>
          <w:szCs w:val="24"/>
          <w:highlight w:val="none"/>
          <w:lang w:val="en-US" w:eastAsia="zh-CN"/>
        </w:rPr>
        <w:t>5</w:t>
      </w:r>
      <w:r>
        <w:rPr>
          <w:rFonts w:hint="eastAsia" w:ascii="宋体" w:hAnsi="宋体" w:cs="宋体"/>
          <w:bCs/>
          <w:sz w:val="24"/>
          <w:szCs w:val="24"/>
          <w:highlight w:val="none"/>
        </w:rPr>
        <w:t>项投标供应商必须按要求全部提供，否则投标文件无效。</w:t>
      </w:r>
      <w:r>
        <w:rPr>
          <w:rFonts w:hint="eastAsia" w:ascii="宋体" w:hAnsi="宋体" w:cs="宋体"/>
          <w:sz w:val="24"/>
          <w:szCs w:val="24"/>
          <w:highlight w:val="none"/>
        </w:rPr>
        <w:t>如上述资格证明文件遇年检、换证，则必须提供法定年检、换证单位出具的有效证明扫描件。如上述资格证明文件第（</w:t>
      </w:r>
      <w:r>
        <w:rPr>
          <w:rFonts w:hint="eastAsia" w:ascii="宋体" w:hAnsi="宋体" w:cs="宋体"/>
          <w:sz w:val="24"/>
          <w:szCs w:val="24"/>
          <w:highlight w:val="none"/>
          <w:lang w:val="en-US" w:eastAsia="zh-CN"/>
        </w:rPr>
        <w:t>5</w:t>
      </w:r>
      <w:r>
        <w:rPr>
          <w:rFonts w:hint="eastAsia" w:ascii="宋体" w:hAnsi="宋体" w:cs="宋体"/>
          <w:sz w:val="24"/>
          <w:szCs w:val="24"/>
          <w:highlight w:val="none"/>
        </w:rPr>
        <w:t>）（</w:t>
      </w:r>
      <w:r>
        <w:rPr>
          <w:rFonts w:hint="eastAsia" w:ascii="宋体" w:hAnsi="宋体" w:cs="宋体"/>
          <w:sz w:val="24"/>
          <w:szCs w:val="24"/>
          <w:highlight w:val="none"/>
          <w:lang w:val="en-US" w:eastAsia="zh-CN"/>
        </w:rPr>
        <w:t>6</w:t>
      </w:r>
      <w:r>
        <w:rPr>
          <w:rFonts w:hint="eastAsia" w:ascii="宋体" w:hAnsi="宋体" w:cs="宋体"/>
          <w:sz w:val="24"/>
          <w:szCs w:val="24"/>
          <w:highlight w:val="none"/>
        </w:rPr>
        <w:t>）（</w:t>
      </w:r>
      <w:r>
        <w:rPr>
          <w:rFonts w:hint="eastAsia" w:ascii="宋体" w:hAnsi="宋体" w:cs="宋体"/>
          <w:sz w:val="24"/>
          <w:szCs w:val="24"/>
          <w:highlight w:val="none"/>
          <w:lang w:val="en-US" w:eastAsia="zh-CN"/>
        </w:rPr>
        <w:t>7</w:t>
      </w:r>
      <w:r>
        <w:rPr>
          <w:rFonts w:hint="eastAsia" w:ascii="宋体" w:hAnsi="宋体" w:cs="宋体"/>
          <w:sz w:val="24"/>
          <w:szCs w:val="24"/>
          <w:highlight w:val="none"/>
        </w:rPr>
        <w:t>）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A2E0ED7">
      <w:pPr>
        <w:pStyle w:val="83"/>
        <w:spacing w:line="360" w:lineRule="auto"/>
        <w:rPr>
          <w:rFonts w:ascii="宋体" w:hAnsi="宋体" w:cs="宋体"/>
          <w:sz w:val="24"/>
          <w:szCs w:val="24"/>
          <w:highlight w:val="none"/>
        </w:rPr>
      </w:pPr>
      <w:r>
        <w:rPr>
          <w:rFonts w:hint="eastAsia" w:ascii="宋体" w:hAnsi="宋体" w:cs="宋体"/>
          <w:b/>
          <w:sz w:val="24"/>
          <w:szCs w:val="24"/>
          <w:highlight w:val="none"/>
        </w:rPr>
        <w:t>第二部分  暗标技术标部分</w:t>
      </w:r>
    </w:p>
    <w:p w14:paraId="1A343C44">
      <w:pPr>
        <w:tabs>
          <w:tab w:val="left" w:pos="840"/>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1．技术服务方案（暗标）</w:t>
      </w:r>
    </w:p>
    <w:p w14:paraId="309A4B51">
      <w:pPr>
        <w:spacing w:line="360" w:lineRule="auto"/>
        <w:ind w:firstLine="482"/>
        <w:outlineLvl w:val="1"/>
        <w:rPr>
          <w:rFonts w:ascii="宋体" w:hAnsi="宋体" w:cs="宋体"/>
          <w:b/>
          <w:sz w:val="24"/>
          <w:szCs w:val="24"/>
          <w:highlight w:val="none"/>
        </w:rPr>
      </w:pPr>
      <w:r>
        <w:rPr>
          <w:rFonts w:hint="eastAsia" w:ascii="宋体" w:hAnsi="宋体" w:cs="宋体"/>
          <w:b/>
          <w:sz w:val="24"/>
          <w:szCs w:val="24"/>
          <w:highlight w:val="none"/>
        </w:rPr>
        <w:t>(六)投标文件的制作：</w:t>
      </w:r>
    </w:p>
    <w:p w14:paraId="25E75201">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1．所有文件、往来函件均应使用简体中文（规格、型号辅助符号例外）。</w:t>
      </w:r>
    </w:p>
    <w:p w14:paraId="5749EBB2">
      <w:pPr>
        <w:tabs>
          <w:tab w:val="left" w:pos="525"/>
          <w:tab w:val="left" w:pos="1050"/>
        </w:tabs>
        <w:spacing w:line="360" w:lineRule="auto"/>
        <w:ind w:firstLine="480"/>
        <w:rPr>
          <w:rFonts w:ascii="宋体" w:hAnsi="宋体" w:cs="宋体"/>
          <w:b/>
          <w:bCs w:val="0"/>
          <w:sz w:val="24"/>
          <w:szCs w:val="24"/>
          <w:highlight w:val="yellow"/>
        </w:rPr>
      </w:pPr>
      <w:r>
        <w:rPr>
          <w:rFonts w:hint="eastAsia" w:ascii="宋体" w:hAnsi="宋体" w:cs="宋体"/>
          <w:bCs/>
          <w:sz w:val="24"/>
          <w:szCs w:val="24"/>
          <w:highlight w:val="none"/>
        </w:rPr>
        <w:t>2．投标文件由投标供应商按给定格式如实填写(编写)，须有法人(盖章)、法定代表人或法定代表人授权代表签字或盖章，方为有效，未尽事宜可自行补充。</w:t>
      </w:r>
    </w:p>
    <w:p w14:paraId="48734592">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3．如无特别说明，投标供应商报价一律以人民币为投标结算货币，结算单位为“元”。</w:t>
      </w:r>
    </w:p>
    <w:p w14:paraId="7618223F">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4．投标文件格式部分，应由投标供应商按给定格式提供，不得更改。</w:t>
      </w:r>
    </w:p>
    <w:p w14:paraId="7EC8EB49">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5．供应商在制作电子投标文件时，请正确关联到对应页，在评审过程中，评审专家如因在相对应页面找不到该相关联的文件，由此产生的后果由供应商自行承担。</w:t>
      </w:r>
    </w:p>
    <w:p w14:paraId="74021247">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6．投标费用自理。</w:t>
      </w:r>
    </w:p>
    <w:p w14:paraId="20826B43">
      <w:pPr>
        <w:spacing w:line="360" w:lineRule="auto"/>
        <w:ind w:firstLine="482"/>
        <w:rPr>
          <w:rFonts w:hint="eastAsia" w:ascii="宋体" w:hAnsi="宋体" w:eastAsia="宋体"/>
          <w:b/>
          <w:color w:val="000000"/>
          <w:sz w:val="24"/>
          <w:highlight w:val="none"/>
          <w:u w:val="none"/>
          <w:lang w:eastAsia="zh-CN"/>
        </w:rPr>
      </w:pPr>
      <w:r>
        <w:rPr>
          <w:rFonts w:hint="eastAsia" w:ascii="宋体" w:hAnsi="宋体" w:cs="宋体"/>
          <w:b/>
          <w:sz w:val="24"/>
          <w:szCs w:val="24"/>
          <w:highlight w:val="none"/>
        </w:rPr>
        <w:t>7．在评分标准中除了投标报价外，还须包含明标（商务标部分）和暗标（技术标部分）两大部分，明标部分和暗标部分分别进行制作</w:t>
      </w:r>
      <w:r>
        <w:rPr>
          <w:rFonts w:hint="eastAsia" w:ascii="宋体" w:hAnsi="宋体" w:cs="宋体"/>
          <w:b/>
          <w:sz w:val="24"/>
          <w:szCs w:val="24"/>
          <w:highlight w:val="none"/>
          <w:lang w:eastAsia="zh-CN"/>
        </w:rPr>
        <w:t>。其中</w:t>
      </w:r>
      <w:r>
        <w:rPr>
          <w:rFonts w:hint="eastAsia" w:ascii="宋体" w:hAnsi="宋体" w:cs="宋体"/>
          <w:b/>
          <w:sz w:val="24"/>
          <w:szCs w:val="24"/>
          <w:highlight w:val="none"/>
        </w:rPr>
        <w:t>技术标部分</w:t>
      </w:r>
      <w:r>
        <w:rPr>
          <w:rFonts w:hint="eastAsia" w:ascii="宋体" w:hAnsi="宋体" w:cs="宋体"/>
          <w:b/>
          <w:sz w:val="24"/>
          <w:szCs w:val="24"/>
          <w:highlight w:val="none"/>
          <w:lang w:eastAsia="zh-CN"/>
        </w:rPr>
        <w:t>属于暗标，投标人在制作</w:t>
      </w:r>
      <w:r>
        <w:rPr>
          <w:rFonts w:hint="eastAsia" w:ascii="宋体" w:hAnsi="宋体" w:cs="宋体"/>
          <w:b/>
          <w:sz w:val="24"/>
          <w:szCs w:val="24"/>
          <w:highlight w:val="none"/>
        </w:rPr>
        <w:t>技术标部分</w:t>
      </w:r>
      <w:r>
        <w:rPr>
          <w:rFonts w:hint="eastAsia" w:ascii="宋体" w:hAnsi="宋体" w:cs="宋体"/>
          <w:b/>
          <w:sz w:val="24"/>
          <w:szCs w:val="24"/>
          <w:highlight w:val="none"/>
          <w:lang w:eastAsia="zh-CN"/>
        </w:rPr>
        <w:t>相关内容时不得有体现投标人身份的内容，否则投标无效。</w:t>
      </w:r>
    </w:p>
    <w:p w14:paraId="3A2A1987">
      <w:pPr>
        <w:spacing w:line="360" w:lineRule="auto"/>
        <w:ind w:firstLine="482"/>
        <w:rPr>
          <w:rFonts w:ascii="宋体" w:hAnsi="宋体"/>
          <w:b/>
          <w:color w:val="000000"/>
          <w:sz w:val="24"/>
          <w:highlight w:val="none"/>
          <w:u w:val="none"/>
        </w:rPr>
      </w:pPr>
      <w:r>
        <w:rPr>
          <w:rFonts w:hint="eastAsia" w:ascii="宋体" w:hAnsi="宋体"/>
          <w:b/>
          <w:color w:val="000000"/>
          <w:sz w:val="24"/>
          <w:highlight w:val="none"/>
          <w:u w:val="none"/>
        </w:rPr>
        <w:t>不得有体现投标人身份的内容是指：</w:t>
      </w:r>
    </w:p>
    <w:p w14:paraId="6DCED263">
      <w:pPr>
        <w:tabs>
          <w:tab w:val="left" w:pos="525"/>
          <w:tab w:val="left" w:pos="1050"/>
        </w:tabs>
        <w:spacing w:line="360" w:lineRule="auto"/>
        <w:ind w:firstLine="482"/>
        <w:rPr>
          <w:rFonts w:hint="eastAsia"/>
          <w:b/>
          <w:bCs/>
          <w:color w:val="auto"/>
          <w:sz w:val="24"/>
          <w:szCs w:val="24"/>
          <w:highlight w:val="none"/>
        </w:rPr>
      </w:pPr>
      <w:r>
        <w:rPr>
          <w:rFonts w:hint="eastAsia"/>
          <w:b/>
          <w:bCs/>
          <w:color w:val="auto"/>
          <w:sz w:val="24"/>
          <w:szCs w:val="24"/>
          <w:highlight w:val="none"/>
        </w:rPr>
        <w:t>①技术部分不得出现能够体现投标人身份、名称的相关描述、材料、文件等内容；</w:t>
      </w:r>
    </w:p>
    <w:p w14:paraId="774AA6E2">
      <w:pPr>
        <w:tabs>
          <w:tab w:val="left" w:pos="525"/>
          <w:tab w:val="left" w:pos="1050"/>
        </w:tabs>
        <w:spacing w:line="360" w:lineRule="auto"/>
        <w:ind w:firstLine="482"/>
        <w:rPr>
          <w:rFonts w:hint="eastAsia"/>
          <w:b/>
          <w:bCs/>
          <w:color w:val="auto"/>
          <w:sz w:val="24"/>
          <w:szCs w:val="24"/>
          <w:highlight w:val="none"/>
        </w:rPr>
      </w:pPr>
      <w:r>
        <w:rPr>
          <w:rFonts w:hint="eastAsia"/>
          <w:b/>
          <w:bCs/>
          <w:color w:val="auto"/>
          <w:sz w:val="24"/>
          <w:szCs w:val="24"/>
          <w:highlight w:val="none"/>
        </w:rPr>
        <w:t>②技术部分不得更改，不得在其中涂改、标注或做任何可以辨认投标人及所属人员身份的名称、印章、商标等标记；</w:t>
      </w:r>
    </w:p>
    <w:p w14:paraId="4BDC61D8">
      <w:pPr>
        <w:tabs>
          <w:tab w:val="left" w:pos="525"/>
          <w:tab w:val="left" w:pos="1050"/>
        </w:tabs>
        <w:spacing w:line="360" w:lineRule="auto"/>
        <w:ind w:firstLine="482"/>
        <w:rPr>
          <w:rFonts w:hint="eastAsia"/>
          <w:b/>
          <w:bCs/>
          <w:color w:val="auto"/>
          <w:sz w:val="24"/>
          <w:szCs w:val="24"/>
          <w:highlight w:val="none"/>
        </w:rPr>
      </w:pPr>
      <w:r>
        <w:rPr>
          <w:rFonts w:hint="eastAsia"/>
          <w:b/>
          <w:bCs/>
          <w:color w:val="auto"/>
          <w:sz w:val="24"/>
          <w:szCs w:val="24"/>
          <w:highlight w:val="none"/>
        </w:rPr>
        <w:t>③技术部分</w:t>
      </w:r>
      <w:r>
        <w:rPr>
          <w:rFonts w:hint="default"/>
          <w:b/>
          <w:bCs/>
          <w:color w:val="auto"/>
          <w:sz w:val="24"/>
          <w:szCs w:val="24"/>
          <w:highlight w:val="none"/>
          <w:lang w:val="en-US" w:eastAsia="zh-CN"/>
        </w:rPr>
        <w:t>排版要求:字体为小四号宋体、黑色。单倍行间距，不得有任何加粗、斜体、下划线、边框、底纹、阴影等标记，不得设置页眉，页脚只准出现页码，页码采用小五号阿拉伯数字格式，设在页脚对中位置，页码应当连续，不得有空白页。</w:t>
      </w:r>
      <w:r>
        <w:rPr>
          <w:rFonts w:hint="default" w:ascii="宋体" w:hAnsi="宋体"/>
          <w:b/>
          <w:color w:val="000000"/>
          <w:sz w:val="24"/>
          <w:highlight w:val="none"/>
          <w:u w:val="none"/>
          <w:lang w:val="en-US" w:eastAsia="zh-CN"/>
        </w:rPr>
        <w:t>功能截图中字体</w:t>
      </w:r>
      <w:r>
        <w:rPr>
          <w:rFonts w:hint="default"/>
          <w:b/>
          <w:bCs/>
          <w:color w:val="auto"/>
          <w:sz w:val="24"/>
          <w:szCs w:val="24"/>
          <w:highlight w:val="none"/>
          <w:lang w:val="en-US" w:eastAsia="zh-CN"/>
        </w:rPr>
        <w:t>、字号不作限制</w:t>
      </w:r>
      <w:r>
        <w:rPr>
          <w:rFonts w:hint="eastAsia"/>
          <w:b/>
          <w:bCs/>
          <w:color w:val="auto"/>
          <w:sz w:val="24"/>
          <w:szCs w:val="24"/>
          <w:highlight w:val="none"/>
          <w:lang w:val="en-US" w:eastAsia="zh-CN"/>
        </w:rPr>
        <w:t>；</w:t>
      </w:r>
    </w:p>
    <w:p w14:paraId="762D00CF">
      <w:pPr>
        <w:tabs>
          <w:tab w:val="left" w:pos="525"/>
          <w:tab w:val="left" w:pos="1050"/>
        </w:tabs>
        <w:spacing w:line="360" w:lineRule="auto"/>
        <w:ind w:firstLine="482"/>
        <w:rPr>
          <w:rFonts w:hint="eastAsia"/>
          <w:b/>
          <w:bCs/>
          <w:color w:val="auto"/>
          <w:sz w:val="24"/>
          <w:szCs w:val="24"/>
          <w:highlight w:val="none"/>
          <w:lang w:eastAsia="zh-CN"/>
        </w:rPr>
      </w:pPr>
      <w:r>
        <w:rPr>
          <w:rFonts w:hint="eastAsia"/>
          <w:b/>
          <w:bCs/>
          <w:color w:val="auto"/>
          <w:sz w:val="24"/>
          <w:szCs w:val="24"/>
          <w:highlight w:val="none"/>
        </w:rPr>
        <w:t>④不得有其他体现投标人身份的内容。</w:t>
      </w:r>
    </w:p>
    <w:p w14:paraId="3EEFDB09">
      <w:pPr>
        <w:spacing w:line="360" w:lineRule="auto"/>
        <w:ind w:firstLine="482"/>
        <w:outlineLvl w:val="1"/>
        <w:rPr>
          <w:rFonts w:ascii="宋体" w:hAnsi="宋体" w:cs="宋体"/>
          <w:b/>
          <w:sz w:val="24"/>
          <w:szCs w:val="24"/>
          <w:highlight w:val="none"/>
        </w:rPr>
      </w:pPr>
      <w:r>
        <w:rPr>
          <w:rFonts w:hint="eastAsia" w:ascii="宋体" w:hAnsi="宋体" w:cs="宋体"/>
          <w:b/>
          <w:sz w:val="24"/>
          <w:szCs w:val="24"/>
          <w:highlight w:val="none"/>
        </w:rPr>
        <w:t>(七)网上投标</w:t>
      </w:r>
    </w:p>
    <w:p w14:paraId="125BFC4F">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1.投标供应商应由其法定代表人或法定代表人授权代表在规定的网上投标时间内，凭CA数字证书登陆苏采云平台获取招标文件，在投标客户端制作投标文件（电子数据），并在投标截止时间之前上传投标文件。</w:t>
      </w:r>
    </w:p>
    <w:p w14:paraId="67C66FE8">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2.投标供应商应对CA数字证书妥善保管，如被他人盗用投标，后果自负。</w:t>
      </w:r>
    </w:p>
    <w:p w14:paraId="64D3981B">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3.投标供应商按招标文件规定的网上解密时间进行解密，如未按时解密后果自负。</w:t>
      </w:r>
    </w:p>
    <w:p w14:paraId="5830FFE4">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4.投标供应商应当对招标文件提出的要求和条件作出实质性响应，并在电子投标系统逐条应答。</w:t>
      </w:r>
    </w:p>
    <w:p w14:paraId="6D6DB82F">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5.投标供应商应对要求提供的资格证明文件（如资质证书、资格证书）、技术资料（如白皮书、彩页、手册、检测报告等）扫描上传至投标系统。</w:t>
      </w:r>
    </w:p>
    <w:p w14:paraId="76F9B8CB">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6.供应商进行网上投标请参照《政府采购项目电子交易管理操作指南-供应商》。</w:t>
      </w:r>
    </w:p>
    <w:p w14:paraId="7C03636D">
      <w:pPr>
        <w:tabs>
          <w:tab w:val="left" w:pos="525"/>
          <w:tab w:val="left" w:pos="1050"/>
        </w:tabs>
        <w:spacing w:line="360" w:lineRule="auto"/>
        <w:ind w:firstLine="482"/>
        <w:rPr>
          <w:rFonts w:ascii="宋体" w:hAnsi="宋体" w:cs="宋体"/>
          <w:b/>
          <w:sz w:val="24"/>
          <w:szCs w:val="24"/>
          <w:highlight w:val="none"/>
        </w:rPr>
      </w:pPr>
      <w:r>
        <w:rPr>
          <w:rFonts w:hint="eastAsia" w:ascii="宋体" w:hAnsi="宋体" w:cs="宋体"/>
          <w:b/>
          <w:sz w:val="24"/>
          <w:szCs w:val="24"/>
          <w:highlight w:val="none"/>
        </w:rPr>
        <w:t>特别提醒：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p>
    <w:p w14:paraId="1B1EE356">
      <w:pPr>
        <w:spacing w:line="360" w:lineRule="auto"/>
        <w:ind w:firstLine="482"/>
        <w:outlineLvl w:val="1"/>
        <w:rPr>
          <w:rFonts w:ascii="宋体" w:hAnsi="宋体" w:cs="宋体"/>
          <w:b/>
          <w:sz w:val="24"/>
          <w:szCs w:val="24"/>
          <w:highlight w:val="none"/>
        </w:rPr>
      </w:pPr>
      <w:r>
        <w:rPr>
          <w:rFonts w:hint="eastAsia" w:ascii="宋体" w:hAnsi="宋体" w:cs="宋体"/>
          <w:b/>
          <w:sz w:val="24"/>
          <w:szCs w:val="24"/>
          <w:highlight w:val="none"/>
        </w:rPr>
        <w:t>(八)无效投标文件的确认：</w:t>
      </w:r>
    </w:p>
    <w:p w14:paraId="7685D59A">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供应商有下列情况之一者，投标文件无效：</w:t>
      </w:r>
    </w:p>
    <w:p w14:paraId="5A0FF554">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1.电子投标文件未按规定期限上传（递交）的；</w:t>
      </w:r>
    </w:p>
    <w:p w14:paraId="1ED0C14D">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2.电子投标文件未按招标文件要求签章的；</w:t>
      </w:r>
    </w:p>
    <w:p w14:paraId="2DD02F08">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3.供应商未按招标文件要求解密电子投标文件的；</w:t>
      </w:r>
    </w:p>
    <w:p w14:paraId="636E7C84">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4.供应商的法定代表人授权代表，无法定代表人授权委托书的；</w:t>
      </w:r>
    </w:p>
    <w:p w14:paraId="492FEB99">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5.供应商的法定代表人或被授权代表，未准时参加开标会议的；</w:t>
      </w:r>
    </w:p>
    <w:p w14:paraId="1E9B7CAB">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6.不具备招标文件中规定的资格要求或未按招标文件规定的要求提供资格、资信证明文件的；</w:t>
      </w:r>
    </w:p>
    <w:p w14:paraId="16D7C638">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7.被“信用中国”网站（www.creditchina.gov.cn）、中国政府采购网(www.ccgp.gov.cn)列入失信被执行人、重大税收违法案件当事人名单、政府采购严重违法失信行为记录名单的；</w:t>
      </w:r>
    </w:p>
    <w:p w14:paraId="315323C6">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8.投标文件未按招标文件规定的内容和要求填写的；</w:t>
      </w:r>
    </w:p>
    <w:p w14:paraId="66D1C040">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9.投标文件书写潦草、字迹模糊不清、无法辨认的；</w:t>
      </w:r>
    </w:p>
    <w:p w14:paraId="60A150CD">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10.投标文件中有招标文件未允许提供的选择性内容；</w:t>
      </w:r>
    </w:p>
    <w:p w14:paraId="7BCEF7D5">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11.不同供应商委托同一单位或者个人办理投标事宜的；</w:t>
      </w:r>
    </w:p>
    <w:p w14:paraId="21ACCD80">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12.不同供应商的单位负责人为同一人或者存在直接控股、管理关系的；</w:t>
      </w:r>
    </w:p>
    <w:p w14:paraId="002F3498">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13.不同供应商的投标文件存在明显的相似性或一致性，特征显示由同一单位或者同一个人编制的；</w:t>
      </w:r>
    </w:p>
    <w:p w14:paraId="4D456E8F">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14.不同供应商投标文件内容存在非正常一致、项目组成员出现同一人、投标文件中错误（或异常）一致或雷同、电子文档信息一致或雷同的、投标报价呈规律性差异的；</w:t>
      </w:r>
    </w:p>
    <w:p w14:paraId="09A51AD9">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15.不同供应商的投标资料相互混装、不同供应商的委托代理人、项目负责人以及其他相关人员有在同一个单位缴纳社会保险、同一投标文件中单位名称落款与公章不是同一单位的；</w:t>
      </w:r>
    </w:p>
    <w:p w14:paraId="3BB0571C">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16.投标人的项目投标总价</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包括投标单价</w:t>
      </w:r>
      <w:r>
        <w:rPr>
          <w:rFonts w:hint="eastAsia" w:ascii="宋体" w:hAnsi="宋体" w:cs="宋体"/>
          <w:bCs/>
          <w:sz w:val="24"/>
          <w:szCs w:val="24"/>
          <w:highlight w:val="none"/>
          <w:lang w:eastAsia="zh-CN"/>
        </w:rPr>
        <w:t>）</w:t>
      </w:r>
      <w:r>
        <w:rPr>
          <w:rFonts w:hint="eastAsia" w:ascii="宋体" w:hAnsi="宋体" w:cs="宋体"/>
          <w:bCs/>
          <w:sz w:val="24"/>
          <w:szCs w:val="24"/>
          <w:highlight w:val="none"/>
        </w:rPr>
        <w:t>超过本项目预算或最高限价</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包括单价限价</w:t>
      </w:r>
      <w:r>
        <w:rPr>
          <w:rFonts w:hint="eastAsia" w:ascii="宋体" w:hAnsi="宋体" w:cs="宋体"/>
          <w:bCs/>
          <w:sz w:val="24"/>
          <w:szCs w:val="24"/>
          <w:highlight w:val="none"/>
          <w:lang w:eastAsia="zh-CN"/>
        </w:rPr>
        <w:t>）</w:t>
      </w:r>
      <w:r>
        <w:rPr>
          <w:rFonts w:hint="eastAsia" w:ascii="宋体" w:hAnsi="宋体" w:cs="宋体"/>
          <w:bCs/>
          <w:sz w:val="24"/>
          <w:szCs w:val="24"/>
          <w:highlight w:val="none"/>
        </w:rPr>
        <w:t>的；</w:t>
      </w:r>
    </w:p>
    <w:p w14:paraId="23163CDC">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17.提供虚假材料的（包括工商营业执照、财务报表、资格证明文件等）；</w:t>
      </w:r>
    </w:p>
    <w:p w14:paraId="1B524F26">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18.投标文件含有供应商不能接受的附加条件的；</w:t>
      </w:r>
    </w:p>
    <w:p w14:paraId="273F92C8">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19.评标委员会认定供应商的报价明显低于其他通过符合性审查供应商的报价，有可能影响产品质量或者不能诚信履约，应当要求其在合理的时间（60分钟）内通过苏采云平台（使用“CA数字证书”，加盖电子签章）提供书面说明，必要时提交相关证明材料；供应商不能证明其报价合理性的，评审小组应当将其作为无效响应处理；</w:t>
      </w:r>
    </w:p>
    <w:p w14:paraId="6FFC0437">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20.除单一来源采购项目外，为采购项目提供整体设计、规范编制或者项目管理、监理、检测等服务的；</w:t>
      </w:r>
    </w:p>
    <w:p w14:paraId="0A83C481">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21.</w:t>
      </w:r>
      <w:r>
        <w:rPr>
          <w:rFonts w:hint="eastAsia" w:ascii="宋体" w:hAnsi="宋体"/>
          <w:sz w:val="24"/>
          <w:highlight w:val="none"/>
        </w:rPr>
        <w:t>未通过投标文件资格性检查、投标文件符合性检查的</w:t>
      </w:r>
      <w:r>
        <w:rPr>
          <w:rFonts w:hint="eastAsia" w:ascii="宋体" w:hAnsi="宋体" w:cs="宋体"/>
          <w:bCs/>
          <w:sz w:val="24"/>
          <w:szCs w:val="24"/>
          <w:highlight w:val="none"/>
        </w:rPr>
        <w:t>；</w:t>
      </w:r>
    </w:p>
    <w:p w14:paraId="70B6A918">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22.投标文件内容不全或不符合招标文件中规定的其他实质性要求的；</w:t>
      </w:r>
    </w:p>
    <w:p w14:paraId="2102B6C9">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23.投标文件商务标（明标）中同一方案有选择性报价且未声明以哪一个为准的；</w:t>
      </w:r>
    </w:p>
    <w:p w14:paraId="46E6C8EF">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24.暗标未按招标文件要求编制的；</w:t>
      </w:r>
    </w:p>
    <w:p w14:paraId="52CBDA78">
      <w:pPr>
        <w:tabs>
          <w:tab w:val="left" w:pos="1050"/>
        </w:tabs>
        <w:spacing w:line="360" w:lineRule="auto"/>
        <w:ind w:firstLine="480"/>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25.商务标（明标）和技术标（暗标），其中某一标被本项目评委确认为无效响应文件的</w:t>
      </w:r>
      <w:r>
        <w:rPr>
          <w:rFonts w:hint="eastAsia" w:ascii="宋体" w:hAnsi="宋体" w:cs="宋体"/>
          <w:bCs/>
          <w:sz w:val="24"/>
          <w:szCs w:val="24"/>
          <w:highlight w:val="none"/>
          <w:lang w:eastAsia="zh-CN"/>
        </w:rPr>
        <w:t>；</w:t>
      </w:r>
    </w:p>
    <w:p w14:paraId="55D4B0D8">
      <w:pPr>
        <w:tabs>
          <w:tab w:val="left" w:pos="1050"/>
        </w:tabs>
        <w:spacing w:line="360" w:lineRule="auto"/>
        <w:ind w:firstLine="480"/>
        <w:rPr>
          <w:rFonts w:hint="eastAsia" w:ascii="宋体" w:hAnsi="宋体" w:cs="宋体"/>
          <w:bCs/>
          <w:sz w:val="24"/>
          <w:szCs w:val="24"/>
          <w:highlight w:val="none"/>
          <w:lang w:eastAsia="zh-CN"/>
        </w:rPr>
      </w:pPr>
      <w:r>
        <w:rPr>
          <w:rFonts w:hint="eastAsia" w:ascii="宋体" w:hAnsi="宋体" w:cs="宋体"/>
          <w:bCs/>
          <w:sz w:val="24"/>
          <w:szCs w:val="24"/>
          <w:highlight w:val="none"/>
        </w:rPr>
        <w:t>26.技术标（暗标）中出现体现投标人身份、名称的相关描述、材料、文件等内容</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出现</w:t>
      </w:r>
      <w:r>
        <w:rPr>
          <w:rFonts w:hint="eastAsia" w:ascii="宋体" w:hAnsi="宋体" w:cs="宋体"/>
          <w:bCs/>
          <w:sz w:val="24"/>
          <w:szCs w:val="24"/>
          <w:highlight w:val="none"/>
        </w:rPr>
        <w:t>更改</w:t>
      </w:r>
      <w:r>
        <w:rPr>
          <w:rFonts w:hint="eastAsia" w:ascii="宋体" w:hAnsi="宋体" w:cs="宋体"/>
          <w:bCs/>
          <w:sz w:val="24"/>
          <w:szCs w:val="24"/>
          <w:highlight w:val="none"/>
          <w:lang w:eastAsia="zh-CN"/>
        </w:rPr>
        <w:t>、</w:t>
      </w:r>
      <w:r>
        <w:rPr>
          <w:rFonts w:hint="eastAsia" w:ascii="宋体" w:hAnsi="宋体" w:cs="宋体"/>
          <w:bCs/>
          <w:sz w:val="24"/>
          <w:szCs w:val="24"/>
          <w:highlight w:val="none"/>
        </w:rPr>
        <w:t>在其中涂改、标注或做任何可以辨认投标人及所属人员身份的名称、印章、商标等标记</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未按照</w:t>
      </w:r>
      <w:r>
        <w:rPr>
          <w:rFonts w:hint="eastAsia" w:ascii="宋体" w:hAnsi="宋体" w:cs="宋体"/>
          <w:bCs/>
          <w:sz w:val="24"/>
          <w:szCs w:val="24"/>
          <w:highlight w:val="none"/>
        </w:rPr>
        <w:t>技术部分</w:t>
      </w:r>
      <w:r>
        <w:rPr>
          <w:rFonts w:hint="default" w:ascii="宋体" w:hAnsi="宋体" w:cs="宋体"/>
          <w:bCs/>
          <w:sz w:val="24"/>
          <w:szCs w:val="24"/>
          <w:highlight w:val="none"/>
          <w:lang w:val="en-US" w:eastAsia="zh-CN"/>
        </w:rPr>
        <w:t>排版要求</w:t>
      </w:r>
      <w:r>
        <w:rPr>
          <w:rFonts w:hint="eastAsia" w:ascii="宋体" w:hAnsi="宋体" w:cs="宋体"/>
          <w:bCs/>
          <w:sz w:val="24"/>
          <w:szCs w:val="24"/>
          <w:highlight w:val="none"/>
          <w:lang w:eastAsia="zh-CN"/>
        </w:rPr>
        <w:t>；</w:t>
      </w:r>
    </w:p>
    <w:p w14:paraId="0DA17892">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27.未提供项目技术要求和有关说明中要求的</w:t>
      </w:r>
      <w:r>
        <w:rPr>
          <w:rFonts w:hint="eastAsia" w:ascii="宋体" w:hAnsi="宋体" w:cs="宋体"/>
          <w:bCs/>
          <w:sz w:val="24"/>
          <w:szCs w:val="24"/>
          <w:highlight w:val="none"/>
          <w:lang w:val="en-US" w:eastAsia="zh-CN"/>
        </w:rPr>
        <w:t>证明材料</w:t>
      </w:r>
      <w:r>
        <w:rPr>
          <w:rFonts w:hint="eastAsia" w:ascii="宋体" w:hAnsi="宋体" w:cs="宋体"/>
          <w:bCs/>
          <w:sz w:val="24"/>
          <w:szCs w:val="24"/>
          <w:highlight w:val="none"/>
        </w:rPr>
        <w:t>作无效投标文件处理；</w:t>
      </w:r>
    </w:p>
    <w:p w14:paraId="23C5B790">
      <w:pPr>
        <w:pStyle w:val="83"/>
        <w:spacing w:line="360" w:lineRule="auto"/>
        <w:ind w:firstLine="480"/>
        <w:rPr>
          <w:rFonts w:hint="eastAsia" w:ascii="宋体" w:hAnsi="宋体"/>
          <w:sz w:val="24"/>
          <w:highlight w:val="none"/>
        </w:rPr>
      </w:pPr>
      <w:r>
        <w:rPr>
          <w:rFonts w:hint="eastAsia" w:ascii="宋体" w:hAnsi="宋体"/>
          <w:sz w:val="24"/>
          <w:highlight w:val="none"/>
        </w:rPr>
        <w:t>28.不同投标供应商的投标文件上传使用的MAC地址一致的，或不同投标文件留有相同标记标识、存在两处以上一致性错误或雷同等情况，视为投标供应商相互围标、串标，其投标无效；</w:t>
      </w:r>
    </w:p>
    <w:p w14:paraId="7D659242">
      <w:pPr>
        <w:pStyle w:val="83"/>
        <w:spacing w:line="360" w:lineRule="auto"/>
        <w:ind w:firstLine="480"/>
        <w:rPr>
          <w:rFonts w:hint="eastAsia" w:ascii="宋体" w:hAnsi="宋体"/>
          <w:color w:val="000000"/>
          <w:sz w:val="24"/>
          <w:highlight w:val="none"/>
          <w:lang w:eastAsia="zh-CN"/>
        </w:rPr>
      </w:pPr>
      <w:r>
        <w:rPr>
          <w:rFonts w:hint="eastAsia" w:ascii="宋体" w:hAnsi="宋体"/>
          <w:bCs/>
          <w:color w:val="000000"/>
          <w:sz w:val="24"/>
          <w:szCs w:val="24"/>
          <w:highlight w:val="none"/>
          <w:lang w:val="en-US" w:eastAsia="zh-CN"/>
        </w:rPr>
        <w:t>29.</w:t>
      </w:r>
      <w:r>
        <w:rPr>
          <w:rFonts w:hint="eastAsia" w:ascii="宋体" w:hAnsi="宋体"/>
          <w:bCs/>
          <w:color w:val="000000"/>
          <w:sz w:val="24"/>
          <w:szCs w:val="24"/>
          <w:highlight w:val="none"/>
        </w:rPr>
        <w:t>评标委员会</w:t>
      </w:r>
      <w:r>
        <w:rPr>
          <w:rFonts w:hint="eastAsia" w:ascii="宋体" w:hAnsi="宋体"/>
          <w:color w:val="000000"/>
          <w:sz w:val="24"/>
          <w:highlight w:val="none"/>
        </w:rPr>
        <w:t>按照本招标文件规定对投标人进行异常低价投标（响应）审查后，认为投标人不能证明其报价合理性的</w:t>
      </w:r>
      <w:r>
        <w:rPr>
          <w:rFonts w:hint="eastAsia" w:ascii="宋体" w:hAnsi="宋体"/>
          <w:color w:val="000000"/>
          <w:sz w:val="24"/>
          <w:highlight w:val="none"/>
          <w:lang w:eastAsia="zh-CN"/>
        </w:rPr>
        <w:t>；</w:t>
      </w:r>
    </w:p>
    <w:p w14:paraId="4B0D8242">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lang w:val="en-US" w:eastAsia="zh-CN"/>
        </w:rPr>
        <w:t>30</w:t>
      </w:r>
      <w:r>
        <w:rPr>
          <w:rFonts w:hint="eastAsia" w:ascii="宋体" w:hAnsi="宋体" w:cs="宋体"/>
          <w:bCs/>
          <w:sz w:val="24"/>
          <w:szCs w:val="24"/>
          <w:highlight w:val="none"/>
        </w:rPr>
        <w:t>.法律法规和招标文件规定的其他无效情形。</w:t>
      </w:r>
    </w:p>
    <w:p w14:paraId="5BC54EA7">
      <w:pPr>
        <w:spacing w:line="360" w:lineRule="auto"/>
        <w:ind w:firstLine="482"/>
        <w:outlineLvl w:val="1"/>
        <w:rPr>
          <w:rFonts w:ascii="宋体" w:hAnsi="宋体" w:cs="宋体"/>
          <w:b/>
          <w:sz w:val="24"/>
          <w:szCs w:val="24"/>
          <w:highlight w:val="none"/>
        </w:rPr>
      </w:pPr>
      <w:bookmarkStart w:id="22" w:name="_Toc14884"/>
      <w:r>
        <w:rPr>
          <w:rFonts w:hint="eastAsia" w:ascii="宋体" w:hAnsi="宋体" w:cs="宋体"/>
          <w:b/>
          <w:sz w:val="24"/>
          <w:szCs w:val="24"/>
          <w:highlight w:val="none"/>
        </w:rPr>
        <w:t>(九)开标、评标：</w:t>
      </w:r>
    </w:p>
    <w:p w14:paraId="052955DE">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1．所有投标单位在招标文件规定的时间内解密各自投标文件。</w:t>
      </w:r>
    </w:p>
    <w:p w14:paraId="480BEBED">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2．投标截止时间后参加投标的供应商或解密投标文件的供应商不足三家的，不开标；不进行开评标。</w:t>
      </w:r>
    </w:p>
    <w:p w14:paraId="3EC0AD64">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3.投标文件的审查</w:t>
      </w:r>
    </w:p>
    <w:p w14:paraId="504726D5">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(1)投标文件报价出现前后不一致的，按照下列规定修正：</w:t>
      </w:r>
    </w:p>
    <w:p w14:paraId="63953BBA">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①投标文件中开标一览表（报价表）内容与投标文件中相应内容不一致的，以开标一览表（报价表）为准；</w:t>
      </w:r>
    </w:p>
    <w:p w14:paraId="7031C070">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②大写金额和小写金额不一致的，以大写金额为准；</w:t>
      </w:r>
    </w:p>
    <w:p w14:paraId="011617B6">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③单价金额小数点或者百分比有明显错位的，以开标一览表的总价为准，并修改单价；</w:t>
      </w:r>
    </w:p>
    <w:p w14:paraId="159FD0C3">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④总价金额与按单价汇总金额不一致的，以单价金额计算结果为准。</w:t>
      </w:r>
    </w:p>
    <w:p w14:paraId="13B4D108">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同时出现两种以上不一致的，按照前款规定的顺序修正。修正后的报价评标委员会应当以书面形式要求投标供应商作出必要的澄清、说明或者补正，经投标供应商确认后产生约束力，投标供应商不确认的，其投标无效。</w:t>
      </w:r>
    </w:p>
    <w:p w14:paraId="1EF3B138">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(2)对不同文字文本投标文件的解释发生异议的，以中文文本为准。</w:t>
      </w:r>
    </w:p>
    <w:p w14:paraId="56BE520E">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(3)投标供应商未参加开标的，视同认可开标结果。</w:t>
      </w:r>
    </w:p>
    <w:p w14:paraId="79A25323">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4．评标程序</w:t>
      </w:r>
    </w:p>
    <w:p w14:paraId="35511F24">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评标工作由采购人和采购代理机构负责组织，具体评标事务由依法组建的评标委员会负责。</w:t>
      </w:r>
    </w:p>
    <w:p w14:paraId="45A7FA1E">
      <w:pPr>
        <w:tabs>
          <w:tab w:val="left" w:pos="525"/>
          <w:tab w:val="left" w:pos="1050"/>
        </w:tabs>
        <w:spacing w:line="360" w:lineRule="auto"/>
        <w:ind w:firstLine="480"/>
        <w:rPr>
          <w:rFonts w:ascii="宋体" w:hAnsi="宋体" w:cs="宋体"/>
          <w:bCs/>
          <w:color w:val="auto"/>
          <w:sz w:val="24"/>
          <w:szCs w:val="24"/>
          <w:highlight w:val="none"/>
        </w:rPr>
      </w:pPr>
      <w:r>
        <w:rPr>
          <w:rFonts w:hint="eastAsia" w:ascii="宋体" w:hAnsi="宋体" w:cs="宋体"/>
          <w:bCs/>
          <w:sz w:val="24"/>
          <w:szCs w:val="24"/>
          <w:highlight w:val="none"/>
        </w:rPr>
        <w:t>(1)投标文件初审。</w:t>
      </w:r>
      <w:r>
        <w:rPr>
          <w:rFonts w:hint="eastAsia" w:ascii="宋体" w:hAnsi="宋体" w:cs="宋体"/>
          <w:bCs/>
          <w:color w:val="auto"/>
          <w:sz w:val="24"/>
          <w:szCs w:val="24"/>
          <w:highlight w:val="none"/>
        </w:rPr>
        <w:t>初审分为资格性检查和符合性检查。</w:t>
      </w:r>
    </w:p>
    <w:p w14:paraId="2315600B">
      <w:pPr>
        <w:tabs>
          <w:tab w:val="left" w:pos="525"/>
          <w:tab w:val="left" w:pos="1050"/>
        </w:tabs>
        <w:spacing w:line="360" w:lineRule="auto"/>
        <w:ind w:firstLine="480"/>
        <w:rPr>
          <w:rFonts w:hint="eastAsia" w:ascii="宋体" w:hAnsi="宋体" w:cs="宋体"/>
          <w:b/>
          <w:sz w:val="24"/>
          <w:szCs w:val="24"/>
          <w:highlight w:val="none"/>
        </w:rPr>
      </w:pPr>
      <w:r>
        <w:rPr>
          <w:rFonts w:hint="eastAsia" w:ascii="宋体" w:hAnsi="宋体" w:cs="宋体"/>
          <w:bCs/>
          <w:color w:val="auto"/>
          <w:sz w:val="24"/>
          <w:szCs w:val="24"/>
          <w:highlight w:val="none"/>
        </w:rPr>
        <w:t>A．资格性检查。采购人</w:t>
      </w:r>
      <w:r>
        <w:rPr>
          <w:rFonts w:hint="eastAsia" w:ascii="宋体" w:hAnsi="宋体"/>
          <w:bCs/>
          <w:color w:val="auto"/>
          <w:sz w:val="24"/>
          <w:highlight w:val="none"/>
          <w:lang w:val="en-US" w:eastAsia="zh-CN"/>
        </w:rPr>
        <w:t>或采购代理机构</w:t>
      </w:r>
      <w:r>
        <w:rPr>
          <w:rFonts w:hint="eastAsia" w:ascii="宋体" w:hAnsi="宋体" w:cs="宋体"/>
          <w:bCs/>
          <w:color w:val="auto"/>
          <w:sz w:val="24"/>
          <w:szCs w:val="24"/>
          <w:highlight w:val="none"/>
        </w:rPr>
        <w:t>依据法律</w:t>
      </w:r>
      <w:r>
        <w:rPr>
          <w:rFonts w:hint="eastAsia" w:ascii="宋体" w:hAnsi="宋体" w:cs="宋体"/>
          <w:bCs/>
          <w:sz w:val="24"/>
          <w:szCs w:val="24"/>
          <w:highlight w:val="none"/>
        </w:rPr>
        <w:t>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rPr>
          <w:rFonts w:hint="eastAsia" w:ascii="宋体" w:hAnsi="宋体" w:cs="宋体"/>
          <w:b/>
          <w:sz w:val="24"/>
          <w:szCs w:val="24"/>
          <w:highlight w:val="none"/>
        </w:rPr>
        <w:br w:type="page"/>
      </w:r>
    </w:p>
    <w:p w14:paraId="14BB9F82">
      <w:pPr>
        <w:tabs>
          <w:tab w:val="left" w:pos="525"/>
          <w:tab w:val="left" w:pos="1050"/>
        </w:tabs>
        <w:spacing w:line="360" w:lineRule="auto"/>
        <w:jc w:val="center"/>
        <w:rPr>
          <w:rFonts w:ascii="宋体" w:hAnsi="宋体" w:cs="宋体"/>
          <w:bCs/>
          <w:sz w:val="24"/>
          <w:szCs w:val="24"/>
          <w:highlight w:val="none"/>
        </w:rPr>
      </w:pPr>
      <w:r>
        <w:rPr>
          <w:rFonts w:hint="eastAsia" w:ascii="宋体" w:hAnsi="宋体" w:cs="宋体"/>
          <w:b/>
          <w:sz w:val="24"/>
          <w:szCs w:val="24"/>
          <w:highlight w:val="none"/>
        </w:rPr>
        <w:t>资格性审查表</w:t>
      </w:r>
    </w:p>
    <w:tbl>
      <w:tblPr>
        <w:tblStyle w:val="38"/>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99"/>
        <w:gridCol w:w="5717"/>
        <w:gridCol w:w="2856"/>
      </w:tblGrid>
      <w:tr w14:paraId="16910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699" w:type="dxa"/>
            <w:vAlign w:val="center"/>
          </w:tcPr>
          <w:p w14:paraId="16C3BB42">
            <w:pPr>
              <w:pStyle w:val="324"/>
              <w:spacing w:before="0" w:after="0"/>
              <w:ind w:firstLine="0"/>
              <w:jc w:val="center"/>
              <w:rPr>
                <w:rFonts w:ascii="宋体" w:hAnsi="宋体" w:cs="宋体"/>
                <w:b/>
                <w:color w:val="auto"/>
                <w:highlight w:val="none"/>
              </w:rPr>
            </w:pPr>
            <w:r>
              <w:rPr>
                <w:rFonts w:hint="eastAsia" w:ascii="宋体" w:hAnsi="宋体" w:cs="宋体"/>
                <w:b/>
                <w:color w:val="auto"/>
                <w:highlight w:val="none"/>
              </w:rPr>
              <w:t>序号</w:t>
            </w:r>
          </w:p>
        </w:tc>
        <w:tc>
          <w:tcPr>
            <w:tcW w:w="5717" w:type="dxa"/>
            <w:vAlign w:val="center"/>
          </w:tcPr>
          <w:p w14:paraId="2D9398C9">
            <w:pPr>
              <w:pStyle w:val="324"/>
              <w:spacing w:before="0" w:after="0"/>
              <w:jc w:val="center"/>
              <w:rPr>
                <w:rFonts w:ascii="宋体" w:hAnsi="宋体" w:cs="宋体"/>
                <w:b/>
                <w:color w:val="auto"/>
                <w:highlight w:val="none"/>
              </w:rPr>
            </w:pPr>
            <w:r>
              <w:rPr>
                <w:rFonts w:hint="eastAsia" w:ascii="宋体" w:hAnsi="宋体" w:cs="宋体"/>
                <w:b/>
                <w:color w:val="auto"/>
                <w:highlight w:val="none"/>
              </w:rPr>
              <w:t>评审项及评审要求</w:t>
            </w:r>
          </w:p>
        </w:tc>
        <w:tc>
          <w:tcPr>
            <w:tcW w:w="2856" w:type="dxa"/>
            <w:vAlign w:val="center"/>
          </w:tcPr>
          <w:p w14:paraId="413504CA">
            <w:pPr>
              <w:pStyle w:val="324"/>
              <w:spacing w:before="0" w:after="0"/>
              <w:ind w:firstLine="0"/>
              <w:jc w:val="center"/>
              <w:rPr>
                <w:rFonts w:ascii="宋体" w:hAnsi="宋体" w:cs="宋体"/>
                <w:b/>
                <w:color w:val="auto"/>
                <w:highlight w:val="none"/>
              </w:rPr>
            </w:pPr>
            <w:r>
              <w:rPr>
                <w:rFonts w:hint="eastAsia" w:ascii="宋体" w:hAnsi="宋体" w:cs="宋体"/>
                <w:b/>
                <w:color w:val="auto"/>
                <w:highlight w:val="none"/>
              </w:rPr>
              <w:t>审查因素</w:t>
            </w:r>
          </w:p>
        </w:tc>
      </w:tr>
      <w:tr w14:paraId="3AF5CB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699" w:type="dxa"/>
            <w:vAlign w:val="center"/>
          </w:tcPr>
          <w:p w14:paraId="7B557F55">
            <w:pPr>
              <w:pStyle w:val="324"/>
              <w:spacing w:before="0" w:after="0"/>
              <w:ind w:firstLine="0"/>
              <w:jc w:val="center"/>
              <w:rPr>
                <w:rFonts w:ascii="宋体" w:hAnsi="宋体" w:cs="宋体"/>
                <w:color w:val="auto"/>
                <w:highlight w:val="none"/>
              </w:rPr>
            </w:pPr>
            <w:r>
              <w:rPr>
                <w:rFonts w:hint="eastAsia" w:ascii="宋体" w:hAnsi="宋体" w:cs="宋体"/>
                <w:color w:val="auto"/>
                <w:highlight w:val="none"/>
              </w:rPr>
              <w:t>1</w:t>
            </w:r>
          </w:p>
        </w:tc>
        <w:tc>
          <w:tcPr>
            <w:tcW w:w="5717" w:type="dxa"/>
            <w:vAlign w:val="center"/>
          </w:tcPr>
          <w:p w14:paraId="2A6900CA">
            <w:pPr>
              <w:pStyle w:val="324"/>
              <w:spacing w:before="0" w:after="0"/>
              <w:ind w:firstLine="0"/>
              <w:jc w:val="both"/>
              <w:rPr>
                <w:rFonts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w:t>
            </w:r>
          </w:p>
        </w:tc>
        <w:tc>
          <w:tcPr>
            <w:tcW w:w="2856" w:type="dxa"/>
            <w:vMerge w:val="restart"/>
            <w:vAlign w:val="center"/>
          </w:tcPr>
          <w:p w14:paraId="515C8743">
            <w:pPr>
              <w:pStyle w:val="324"/>
              <w:spacing w:before="0" w:after="0"/>
              <w:ind w:firstLine="0"/>
              <w:rPr>
                <w:rFonts w:ascii="宋体" w:hAnsi="宋体" w:cs="宋体"/>
                <w:color w:val="auto"/>
                <w:highlight w:val="none"/>
              </w:rPr>
            </w:pPr>
            <w:r>
              <w:rPr>
                <w:rFonts w:hint="eastAsia" w:ascii="宋体" w:hAnsi="宋体" w:cs="宋体"/>
                <w:color w:val="auto"/>
                <w:highlight w:val="none"/>
              </w:rPr>
              <w:t>满足《中华人民共和国政府采购法》第二十二条规定</w:t>
            </w:r>
          </w:p>
        </w:tc>
      </w:tr>
      <w:tr w14:paraId="4F02C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699" w:type="dxa"/>
            <w:vAlign w:val="center"/>
          </w:tcPr>
          <w:p w14:paraId="1161B67E">
            <w:pPr>
              <w:pStyle w:val="324"/>
              <w:spacing w:before="0" w:after="0"/>
              <w:ind w:firstLine="0"/>
              <w:jc w:val="center"/>
              <w:rPr>
                <w:rFonts w:ascii="宋体" w:hAnsi="宋体" w:cs="宋体"/>
                <w:color w:val="auto"/>
                <w:highlight w:val="none"/>
              </w:rPr>
            </w:pPr>
            <w:r>
              <w:rPr>
                <w:rFonts w:hint="eastAsia" w:ascii="宋体" w:hAnsi="宋体" w:cs="宋体"/>
                <w:color w:val="auto"/>
                <w:highlight w:val="none"/>
              </w:rPr>
              <w:t>2</w:t>
            </w:r>
          </w:p>
        </w:tc>
        <w:tc>
          <w:tcPr>
            <w:tcW w:w="5717" w:type="dxa"/>
            <w:vAlign w:val="center"/>
          </w:tcPr>
          <w:p w14:paraId="4B201F3E">
            <w:pPr>
              <w:pStyle w:val="324"/>
              <w:spacing w:before="0" w:after="0"/>
              <w:ind w:firstLine="0"/>
              <w:jc w:val="both"/>
              <w:rPr>
                <w:rFonts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856" w:type="dxa"/>
            <w:vMerge w:val="continue"/>
            <w:vAlign w:val="center"/>
          </w:tcPr>
          <w:p w14:paraId="3741DD68">
            <w:pPr>
              <w:pStyle w:val="324"/>
              <w:spacing w:before="0" w:after="0" w:line="240" w:lineRule="auto"/>
              <w:ind w:firstLine="0"/>
              <w:rPr>
                <w:rFonts w:ascii="宋体" w:hAnsi="宋体" w:cs="宋体"/>
                <w:color w:val="auto"/>
                <w:highlight w:val="none"/>
              </w:rPr>
            </w:pPr>
          </w:p>
        </w:tc>
      </w:tr>
      <w:tr w14:paraId="4A07C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699" w:type="dxa"/>
            <w:vAlign w:val="center"/>
          </w:tcPr>
          <w:p w14:paraId="4ABC0587">
            <w:pPr>
              <w:pStyle w:val="324"/>
              <w:spacing w:before="0" w:after="0"/>
              <w:ind w:firstLine="0"/>
              <w:jc w:val="center"/>
              <w:rPr>
                <w:rFonts w:ascii="宋体" w:hAnsi="宋体" w:cs="宋体"/>
                <w:color w:val="auto"/>
                <w:highlight w:val="none"/>
              </w:rPr>
            </w:pPr>
            <w:r>
              <w:rPr>
                <w:rFonts w:hint="eastAsia" w:ascii="宋体" w:hAnsi="宋体" w:cs="宋体"/>
                <w:color w:val="auto"/>
                <w:highlight w:val="none"/>
              </w:rPr>
              <w:t>3</w:t>
            </w:r>
          </w:p>
        </w:tc>
        <w:tc>
          <w:tcPr>
            <w:tcW w:w="5717" w:type="dxa"/>
            <w:vAlign w:val="center"/>
          </w:tcPr>
          <w:p w14:paraId="1984458F">
            <w:pPr>
              <w:tabs>
                <w:tab w:val="left" w:pos="420"/>
                <w:tab w:val="left" w:pos="945"/>
                <w:tab w:val="left" w:pos="1155"/>
              </w:tabs>
              <w:spacing w:line="360" w:lineRule="auto"/>
              <w:rPr>
                <w:rFonts w:ascii="宋体" w:hAnsi="宋体" w:cs="宋体"/>
                <w:color w:val="auto"/>
                <w:highlight w:val="none"/>
              </w:rPr>
            </w:pPr>
            <w:r>
              <w:rPr>
                <w:rFonts w:hint="eastAsia" w:ascii="宋体" w:hAnsi="宋体" w:eastAsia="宋体" w:cs="宋体"/>
                <w:bCs/>
                <w:color w:val="auto"/>
                <w:sz w:val="24"/>
                <w:highlight w:val="none"/>
              </w:rPr>
              <w:t>被授权人</w:t>
            </w:r>
            <w:r>
              <w:rPr>
                <w:rFonts w:hint="eastAsia" w:ascii="宋体" w:hAnsi="宋体" w:cs="宋体"/>
                <w:bCs/>
                <w:color w:val="auto"/>
                <w:sz w:val="24"/>
                <w:highlight w:val="none"/>
              </w:rPr>
              <w:t>具有与本企业签订的劳动合同或</w:t>
            </w:r>
            <w:r>
              <w:rPr>
                <w:rFonts w:hint="eastAsia" w:ascii="宋体" w:hAnsi="宋体" w:eastAsia="宋体" w:cs="宋体"/>
                <w:bCs/>
                <w:color w:val="auto"/>
                <w:sz w:val="24"/>
                <w:highlight w:val="none"/>
              </w:rPr>
              <w:t>投标人</w:t>
            </w:r>
            <w:r>
              <w:rPr>
                <w:rFonts w:hint="eastAsia" w:ascii="宋体" w:hAnsi="宋体" w:cs="宋体"/>
                <w:bCs/>
                <w:color w:val="auto"/>
                <w:sz w:val="24"/>
                <w:highlight w:val="none"/>
              </w:rPr>
              <w:t>为其缴纳的由相关部门出具的近</w:t>
            </w:r>
            <w:r>
              <w:rPr>
                <w:rFonts w:hint="eastAsia" w:ascii="宋体" w:hAnsi="宋体" w:eastAsia="宋体" w:cs="宋体"/>
                <w:bCs/>
                <w:color w:val="auto"/>
                <w:sz w:val="24"/>
                <w:highlight w:val="none"/>
              </w:rPr>
              <w:t>一年</w:t>
            </w:r>
            <w:r>
              <w:rPr>
                <w:rFonts w:hint="eastAsia" w:ascii="宋体" w:hAnsi="宋体" w:cs="宋体"/>
                <w:bCs/>
                <w:color w:val="auto"/>
                <w:sz w:val="24"/>
                <w:highlight w:val="none"/>
              </w:rPr>
              <w:t>中任意一个月份（不含投标当月）的社保缴费证明（新成立的企业若不满足</w:t>
            </w:r>
            <w:r>
              <w:rPr>
                <w:rFonts w:hint="eastAsia" w:ascii="宋体" w:hAnsi="宋体" w:eastAsia="宋体" w:cs="宋体"/>
                <w:bCs/>
                <w:color w:val="auto"/>
                <w:sz w:val="24"/>
                <w:highlight w:val="none"/>
              </w:rPr>
              <w:t>一年</w:t>
            </w:r>
            <w:r>
              <w:rPr>
                <w:rFonts w:hint="eastAsia" w:ascii="宋体" w:hAnsi="宋体" w:cs="宋体"/>
                <w:bCs/>
                <w:color w:val="auto"/>
                <w:sz w:val="24"/>
                <w:highlight w:val="none"/>
              </w:rPr>
              <w:t>，提供成立之后</w:t>
            </w:r>
            <w:r>
              <w:rPr>
                <w:rFonts w:hint="eastAsia" w:ascii="宋体" w:hAnsi="宋体" w:eastAsia="宋体" w:cs="宋体"/>
                <w:bCs/>
                <w:color w:val="auto"/>
                <w:sz w:val="24"/>
                <w:highlight w:val="none"/>
              </w:rPr>
              <w:t>被授权人</w:t>
            </w:r>
            <w:r>
              <w:rPr>
                <w:rFonts w:hint="eastAsia" w:ascii="宋体" w:hAnsi="宋体"/>
                <w:bCs/>
                <w:color w:val="auto"/>
                <w:sz w:val="24"/>
                <w:highlight w:val="none"/>
              </w:rPr>
              <w:t>）</w:t>
            </w:r>
            <w:r>
              <w:rPr>
                <w:rFonts w:hint="eastAsia" w:ascii="宋体" w:hAnsi="宋体" w:cs="宋体"/>
                <w:bCs/>
                <w:color w:val="auto"/>
                <w:sz w:val="24"/>
                <w:highlight w:val="none"/>
              </w:rPr>
              <w:t>相关月份的社保缴费证明）；</w:t>
            </w:r>
          </w:p>
        </w:tc>
        <w:tc>
          <w:tcPr>
            <w:tcW w:w="2856" w:type="dxa"/>
            <w:vMerge w:val="continue"/>
            <w:vAlign w:val="center"/>
          </w:tcPr>
          <w:p w14:paraId="3153411A">
            <w:pPr>
              <w:pStyle w:val="324"/>
              <w:spacing w:before="0" w:after="0" w:line="240" w:lineRule="auto"/>
              <w:ind w:firstLine="0"/>
              <w:rPr>
                <w:rFonts w:ascii="宋体" w:hAnsi="宋体" w:cs="宋体"/>
                <w:color w:val="auto"/>
                <w:highlight w:val="none"/>
              </w:rPr>
            </w:pPr>
          </w:p>
        </w:tc>
      </w:tr>
      <w:tr w14:paraId="72F37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699" w:type="dxa"/>
            <w:vAlign w:val="center"/>
          </w:tcPr>
          <w:p w14:paraId="3A52A7EC">
            <w:pPr>
              <w:pStyle w:val="324"/>
              <w:spacing w:before="0" w:after="0"/>
              <w:ind w:firstLine="0"/>
              <w:jc w:val="center"/>
              <w:rPr>
                <w:rFonts w:ascii="宋体" w:hAnsi="宋体" w:cs="宋体"/>
                <w:color w:val="auto"/>
                <w:highlight w:val="none"/>
              </w:rPr>
            </w:pPr>
            <w:r>
              <w:rPr>
                <w:rFonts w:hint="eastAsia" w:ascii="宋体" w:hAnsi="宋体" w:cs="宋体"/>
                <w:color w:val="auto"/>
                <w:highlight w:val="none"/>
              </w:rPr>
              <w:t>4</w:t>
            </w:r>
          </w:p>
        </w:tc>
        <w:tc>
          <w:tcPr>
            <w:tcW w:w="5717" w:type="dxa"/>
            <w:vAlign w:val="center"/>
          </w:tcPr>
          <w:p w14:paraId="488C27C8">
            <w:pPr>
              <w:pStyle w:val="324"/>
              <w:spacing w:before="0" w:after="0"/>
              <w:ind w:firstLine="0"/>
              <w:jc w:val="both"/>
              <w:rPr>
                <w:rFonts w:ascii="宋体" w:hAnsi="宋体" w:cs="宋体"/>
                <w:color w:val="auto"/>
                <w:highlight w:val="none"/>
              </w:rPr>
            </w:pPr>
            <w:r>
              <w:rPr>
                <w:rFonts w:hint="eastAsia" w:ascii="宋体" w:hAnsi="宋体" w:cs="宋体"/>
                <w:color w:val="auto"/>
                <w:highlight w:val="none"/>
              </w:rPr>
              <w:t>投标人近</w:t>
            </w:r>
            <w:r>
              <w:rPr>
                <w:rFonts w:hint="eastAsia" w:ascii="宋体" w:hAnsi="宋体" w:cs="宋体"/>
                <w:bCs/>
                <w:color w:val="auto"/>
                <w:highlight w:val="none"/>
              </w:rPr>
              <w:t>一年</w:t>
            </w:r>
            <w:r>
              <w:rPr>
                <w:rFonts w:hint="eastAsia" w:ascii="宋体" w:hAnsi="宋体" w:cs="宋体"/>
                <w:color w:val="auto"/>
                <w:highlight w:val="none"/>
              </w:rPr>
              <w:t>中任意一个月份（不含投标当月）的财务状况报告（资产负债表和利润表）或由会计师事务所出具的2024年度或2025年度的审计报告（投标人如是自然人情形的，没有经审计的财务报告的，可以提供银行出具的资信证明）</w:t>
            </w:r>
            <w:r>
              <w:rPr>
                <w:rStyle w:val="325"/>
                <w:rFonts w:hint="eastAsia" w:ascii="宋体" w:hAnsi="宋体" w:cs="宋体"/>
                <w:color w:val="auto"/>
                <w:highlight w:val="none"/>
              </w:rPr>
              <w:t>。</w:t>
            </w:r>
          </w:p>
        </w:tc>
        <w:tc>
          <w:tcPr>
            <w:tcW w:w="2856" w:type="dxa"/>
            <w:vMerge w:val="continue"/>
            <w:vAlign w:val="center"/>
          </w:tcPr>
          <w:p w14:paraId="08A93CE1">
            <w:pPr>
              <w:pStyle w:val="324"/>
              <w:spacing w:before="0" w:after="0" w:line="240" w:lineRule="auto"/>
              <w:ind w:firstLine="0"/>
              <w:rPr>
                <w:rFonts w:ascii="宋体" w:hAnsi="宋体" w:cs="宋体"/>
                <w:color w:val="auto"/>
                <w:highlight w:val="none"/>
              </w:rPr>
            </w:pPr>
          </w:p>
        </w:tc>
      </w:tr>
      <w:tr w14:paraId="1F88F3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699" w:type="dxa"/>
            <w:vAlign w:val="center"/>
          </w:tcPr>
          <w:p w14:paraId="7018BEBA">
            <w:pPr>
              <w:pStyle w:val="324"/>
              <w:spacing w:before="0" w:after="0"/>
              <w:ind w:firstLine="0"/>
              <w:jc w:val="center"/>
              <w:rPr>
                <w:rFonts w:ascii="宋体" w:hAnsi="宋体" w:cs="宋体"/>
                <w:color w:val="auto"/>
                <w:highlight w:val="none"/>
              </w:rPr>
            </w:pPr>
            <w:r>
              <w:rPr>
                <w:rFonts w:hint="eastAsia" w:ascii="宋体" w:hAnsi="宋体" w:cs="宋体"/>
                <w:color w:val="auto"/>
                <w:highlight w:val="none"/>
              </w:rPr>
              <w:t>5</w:t>
            </w:r>
          </w:p>
        </w:tc>
        <w:tc>
          <w:tcPr>
            <w:tcW w:w="5717" w:type="dxa"/>
            <w:vAlign w:val="center"/>
          </w:tcPr>
          <w:p w14:paraId="59E1E77D">
            <w:pPr>
              <w:pStyle w:val="324"/>
              <w:spacing w:before="0" w:after="0"/>
              <w:ind w:firstLine="0"/>
              <w:jc w:val="both"/>
              <w:rPr>
                <w:rFonts w:ascii="宋体" w:hAnsi="宋体" w:cs="宋体"/>
                <w:color w:val="auto"/>
                <w:highlight w:val="none"/>
              </w:rPr>
            </w:pPr>
            <w:r>
              <w:rPr>
                <w:rFonts w:hint="eastAsia" w:ascii="宋体" w:hAnsi="宋体" w:cs="宋体"/>
                <w:color w:val="auto"/>
                <w:highlight w:val="none"/>
              </w:rPr>
              <w:t>投标人近</w:t>
            </w:r>
            <w:r>
              <w:rPr>
                <w:rFonts w:hint="eastAsia" w:ascii="宋体" w:hAnsi="宋体" w:cs="宋体"/>
                <w:bCs/>
                <w:color w:val="auto"/>
                <w:highlight w:val="none"/>
              </w:rPr>
              <w:t>一年中</w:t>
            </w:r>
            <w:r>
              <w:rPr>
                <w:rFonts w:hint="eastAsia" w:ascii="宋体" w:hAnsi="宋体" w:cs="宋体"/>
                <w:color w:val="auto"/>
                <w:highlight w:val="none"/>
              </w:rPr>
              <w:t>任意一个月份（不含投标当月）的依法缴纳税收的相关材料（提供相关主管部门证明或银行代扣证明）。</w:t>
            </w:r>
          </w:p>
        </w:tc>
        <w:tc>
          <w:tcPr>
            <w:tcW w:w="2856" w:type="dxa"/>
            <w:vMerge w:val="continue"/>
            <w:vAlign w:val="center"/>
          </w:tcPr>
          <w:p w14:paraId="79290A3E">
            <w:pPr>
              <w:pStyle w:val="324"/>
              <w:spacing w:before="0" w:after="0" w:line="240" w:lineRule="auto"/>
              <w:ind w:firstLine="0"/>
              <w:rPr>
                <w:rFonts w:ascii="宋体" w:hAnsi="宋体" w:cs="宋体"/>
                <w:color w:val="auto"/>
                <w:highlight w:val="none"/>
              </w:rPr>
            </w:pPr>
          </w:p>
        </w:tc>
      </w:tr>
      <w:tr w14:paraId="2602C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699" w:type="dxa"/>
            <w:vAlign w:val="center"/>
          </w:tcPr>
          <w:p w14:paraId="27A2B032">
            <w:pPr>
              <w:pStyle w:val="324"/>
              <w:spacing w:before="0" w:after="0"/>
              <w:ind w:firstLine="0"/>
              <w:jc w:val="center"/>
              <w:rPr>
                <w:rFonts w:ascii="宋体" w:hAnsi="宋体" w:cs="宋体"/>
                <w:color w:val="auto"/>
                <w:highlight w:val="none"/>
              </w:rPr>
            </w:pPr>
            <w:r>
              <w:rPr>
                <w:rFonts w:hint="eastAsia" w:ascii="宋体" w:hAnsi="宋体" w:cs="宋体"/>
                <w:color w:val="auto"/>
                <w:highlight w:val="none"/>
              </w:rPr>
              <w:t>6</w:t>
            </w:r>
          </w:p>
        </w:tc>
        <w:tc>
          <w:tcPr>
            <w:tcW w:w="5717" w:type="dxa"/>
            <w:vAlign w:val="center"/>
          </w:tcPr>
          <w:p w14:paraId="0F2EC0C8">
            <w:pPr>
              <w:pStyle w:val="324"/>
              <w:spacing w:before="0" w:after="0"/>
              <w:ind w:firstLine="0"/>
              <w:jc w:val="both"/>
              <w:rPr>
                <w:rFonts w:ascii="宋体" w:hAnsi="宋体" w:cs="宋体"/>
                <w:color w:val="auto"/>
                <w:highlight w:val="none"/>
              </w:rPr>
            </w:pPr>
            <w:r>
              <w:rPr>
                <w:rFonts w:hint="eastAsia" w:ascii="宋体" w:hAnsi="宋体" w:cs="宋体"/>
                <w:color w:val="auto"/>
                <w:highlight w:val="none"/>
              </w:rPr>
              <w:t>投标人近</w:t>
            </w:r>
            <w:r>
              <w:rPr>
                <w:rFonts w:hint="eastAsia" w:ascii="宋体" w:hAnsi="宋体" w:cs="宋体"/>
                <w:bCs/>
                <w:color w:val="auto"/>
                <w:highlight w:val="none"/>
              </w:rPr>
              <w:t>一年</w:t>
            </w:r>
            <w:r>
              <w:rPr>
                <w:rFonts w:hint="eastAsia" w:ascii="宋体" w:hAnsi="宋体" w:cs="宋体"/>
                <w:color w:val="auto"/>
                <w:highlight w:val="none"/>
              </w:rPr>
              <w:t>中任意一个月份（不含投标当月）的依法缴纳社会保障资金的相关材料（提供相关主管部门证明或银行代扣证明）。</w:t>
            </w:r>
          </w:p>
        </w:tc>
        <w:tc>
          <w:tcPr>
            <w:tcW w:w="2856" w:type="dxa"/>
            <w:vMerge w:val="continue"/>
            <w:vAlign w:val="center"/>
          </w:tcPr>
          <w:p w14:paraId="2E4F7B5F">
            <w:pPr>
              <w:pStyle w:val="324"/>
              <w:spacing w:before="0" w:after="0" w:line="240" w:lineRule="auto"/>
              <w:ind w:firstLine="0"/>
              <w:rPr>
                <w:rFonts w:ascii="宋体" w:hAnsi="宋体" w:cs="宋体"/>
                <w:color w:val="auto"/>
                <w:highlight w:val="none"/>
              </w:rPr>
            </w:pPr>
          </w:p>
        </w:tc>
      </w:tr>
      <w:tr w14:paraId="44AE0E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699" w:type="dxa"/>
            <w:vAlign w:val="center"/>
          </w:tcPr>
          <w:p w14:paraId="067FE311">
            <w:pPr>
              <w:pStyle w:val="324"/>
              <w:spacing w:before="0" w:after="0"/>
              <w:ind w:firstLine="0"/>
              <w:jc w:val="center"/>
              <w:rPr>
                <w:rFonts w:ascii="宋体" w:hAnsi="宋体" w:cs="宋体"/>
                <w:color w:val="auto"/>
                <w:highlight w:val="none"/>
              </w:rPr>
            </w:pPr>
            <w:r>
              <w:rPr>
                <w:rFonts w:hint="eastAsia" w:ascii="宋体" w:hAnsi="宋体" w:cs="宋体"/>
                <w:color w:val="auto"/>
                <w:highlight w:val="none"/>
              </w:rPr>
              <w:t>7</w:t>
            </w:r>
          </w:p>
        </w:tc>
        <w:tc>
          <w:tcPr>
            <w:tcW w:w="5717" w:type="dxa"/>
            <w:vAlign w:val="center"/>
          </w:tcPr>
          <w:p w14:paraId="0BFB2E41">
            <w:pPr>
              <w:pStyle w:val="324"/>
              <w:spacing w:before="0" w:after="0"/>
              <w:ind w:firstLine="0"/>
              <w:jc w:val="both"/>
              <w:rPr>
                <w:rFonts w:ascii="宋体" w:hAnsi="宋体" w:cs="宋体"/>
                <w:color w:val="auto"/>
                <w:highlight w:val="none"/>
              </w:rPr>
            </w:pPr>
            <w:r>
              <w:rPr>
                <w:rFonts w:hint="eastAsia" w:ascii="宋体" w:hAnsi="宋体" w:cs="宋体"/>
                <w:color w:val="auto"/>
                <w:highlight w:val="none"/>
              </w:rPr>
              <w:t>《资格声明函》（给定格式）。</w:t>
            </w:r>
          </w:p>
        </w:tc>
        <w:tc>
          <w:tcPr>
            <w:tcW w:w="2856" w:type="dxa"/>
            <w:vMerge w:val="continue"/>
            <w:vAlign w:val="center"/>
          </w:tcPr>
          <w:p w14:paraId="34B3D7BD">
            <w:pPr>
              <w:pStyle w:val="324"/>
              <w:spacing w:before="0" w:after="0" w:line="240" w:lineRule="auto"/>
              <w:ind w:firstLine="0"/>
              <w:rPr>
                <w:rFonts w:ascii="宋体" w:hAnsi="宋体" w:cs="宋体"/>
                <w:color w:val="auto"/>
                <w:highlight w:val="none"/>
              </w:rPr>
            </w:pPr>
          </w:p>
        </w:tc>
      </w:tr>
      <w:tr w14:paraId="60947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0" w:hRule="atLeast"/>
          <w:jc w:val="center"/>
        </w:trPr>
        <w:tc>
          <w:tcPr>
            <w:tcW w:w="699" w:type="dxa"/>
            <w:vAlign w:val="center"/>
          </w:tcPr>
          <w:p w14:paraId="0CC11536">
            <w:pPr>
              <w:pStyle w:val="324"/>
              <w:spacing w:before="0" w:after="0"/>
              <w:ind w:firstLine="0"/>
              <w:jc w:val="center"/>
              <w:rPr>
                <w:rFonts w:ascii="宋体" w:hAnsi="宋体" w:cs="宋体"/>
                <w:color w:val="auto"/>
                <w:highlight w:val="none"/>
              </w:rPr>
            </w:pPr>
            <w:r>
              <w:rPr>
                <w:rFonts w:hint="eastAsia" w:ascii="宋体" w:hAnsi="宋体" w:cs="宋体"/>
                <w:color w:val="auto"/>
                <w:highlight w:val="none"/>
              </w:rPr>
              <w:t>8</w:t>
            </w:r>
          </w:p>
        </w:tc>
        <w:tc>
          <w:tcPr>
            <w:tcW w:w="5717" w:type="dxa"/>
            <w:shd w:val="clear" w:color="auto" w:fill="auto"/>
            <w:vAlign w:val="center"/>
          </w:tcPr>
          <w:p w14:paraId="6B813592">
            <w:pPr>
              <w:jc w:val="left"/>
              <w:rPr>
                <w:rFonts w:hint="default" w:ascii="宋体" w:hAnsi="宋体" w:eastAsia="宋体" w:cs="宋体"/>
                <w:color w:val="auto"/>
                <w:sz w:val="21"/>
                <w:highlight w:val="none"/>
                <w:lang w:val="en-US" w:eastAsia="zh-CN" w:bidi="ar-SA"/>
              </w:rPr>
            </w:pPr>
            <w:r>
              <w:rPr>
                <w:rFonts w:hint="eastAsia" w:ascii="宋体" w:hAnsi="宋体" w:eastAsia="宋体" w:cs="宋体"/>
                <w:bCs/>
                <w:sz w:val="24"/>
                <w:szCs w:val="24"/>
                <w:highlight w:val="none"/>
                <w:lang w:val="zh-CN"/>
              </w:rPr>
              <w:t>投标供应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扫描件加盖公章；如为残疾人福利性单位的提供《残疾人福利性单位声明函》</w:t>
            </w:r>
          </w:p>
        </w:tc>
        <w:tc>
          <w:tcPr>
            <w:tcW w:w="2856" w:type="dxa"/>
            <w:vAlign w:val="center"/>
          </w:tcPr>
          <w:p w14:paraId="52F5434D">
            <w:pPr>
              <w:jc w:val="left"/>
              <w:rPr>
                <w:rFonts w:ascii="宋体" w:hAnsi="宋体" w:cs="宋体"/>
                <w:color w:val="auto"/>
                <w:highlight w:val="none"/>
              </w:rPr>
            </w:pPr>
          </w:p>
        </w:tc>
      </w:tr>
      <w:tr w14:paraId="3F5765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0" w:hRule="atLeast"/>
          <w:jc w:val="center"/>
        </w:trPr>
        <w:tc>
          <w:tcPr>
            <w:tcW w:w="699" w:type="dxa"/>
            <w:vAlign w:val="center"/>
          </w:tcPr>
          <w:p w14:paraId="726A3C17">
            <w:pPr>
              <w:pStyle w:val="324"/>
              <w:spacing w:before="0" w:after="0"/>
              <w:ind w:firstLine="0"/>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9</w:t>
            </w:r>
          </w:p>
        </w:tc>
        <w:tc>
          <w:tcPr>
            <w:tcW w:w="5717" w:type="dxa"/>
            <w:shd w:val="clear" w:color="auto" w:fill="auto"/>
            <w:vAlign w:val="center"/>
          </w:tcPr>
          <w:p w14:paraId="47E9F84D">
            <w:pPr>
              <w:jc w:val="left"/>
              <w:rPr>
                <w:rFonts w:hint="eastAsia" w:ascii="宋体" w:hAnsi="宋体" w:eastAsia="宋体" w:cs="宋体"/>
                <w:bCs/>
                <w:sz w:val="24"/>
                <w:szCs w:val="24"/>
                <w:highlight w:val="none"/>
                <w:lang w:val="zh-CN"/>
              </w:rPr>
            </w:pPr>
            <w:r>
              <w:rPr>
                <w:rFonts w:hint="eastAsia" w:ascii="宋体" w:hAnsi="宋体" w:cs="Arial"/>
                <w:color w:val="auto"/>
                <w:highlight w:val="none"/>
              </w:rPr>
              <w:t>承诺书（给定格式）</w:t>
            </w:r>
          </w:p>
        </w:tc>
        <w:tc>
          <w:tcPr>
            <w:tcW w:w="2856" w:type="dxa"/>
            <w:vAlign w:val="center"/>
          </w:tcPr>
          <w:p w14:paraId="3695A4EA">
            <w:pPr>
              <w:jc w:val="left"/>
              <w:rPr>
                <w:rFonts w:ascii="宋体" w:hAnsi="宋体" w:cs="宋体"/>
                <w:color w:val="auto"/>
                <w:highlight w:val="none"/>
              </w:rPr>
            </w:pPr>
          </w:p>
        </w:tc>
      </w:tr>
    </w:tbl>
    <w:p w14:paraId="0F26432A">
      <w:pPr>
        <w:tabs>
          <w:tab w:val="left" w:pos="525"/>
          <w:tab w:val="left" w:pos="1050"/>
        </w:tabs>
        <w:spacing w:line="360" w:lineRule="auto"/>
        <w:ind w:firstLine="482"/>
        <w:rPr>
          <w:rFonts w:ascii="宋体" w:hAnsi="宋体" w:cs="宋体"/>
          <w:bCs/>
          <w:sz w:val="24"/>
          <w:szCs w:val="24"/>
          <w:highlight w:val="none"/>
        </w:rPr>
      </w:pPr>
      <w:r>
        <w:rPr>
          <w:rFonts w:hint="eastAsia" w:ascii="宋体" w:hAnsi="宋体" w:cs="宋体"/>
          <w:b/>
          <w:sz w:val="24"/>
          <w:szCs w:val="24"/>
          <w:highlight w:val="none"/>
        </w:rPr>
        <w:t>特别提醒：资格审查不合格的投标供应商的投标文件不进入后续评审。</w:t>
      </w:r>
    </w:p>
    <w:p w14:paraId="1093EEB7">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B．符合性检查。评标委员会依据招标文件的规定，从投标文件的有效性、完整性和对招标文件的响应程度进行审查，以确定是否对招标文件的实质性要求作出响应。</w:t>
      </w:r>
    </w:p>
    <w:p w14:paraId="084B9D73">
      <w:pPr>
        <w:tabs>
          <w:tab w:val="left" w:pos="525"/>
          <w:tab w:val="left" w:pos="1050"/>
        </w:tabs>
        <w:spacing w:line="360" w:lineRule="auto"/>
        <w:jc w:val="center"/>
        <w:rPr>
          <w:rFonts w:ascii="宋体" w:hAnsi="宋体" w:cs="宋体"/>
          <w:b/>
          <w:sz w:val="24"/>
          <w:szCs w:val="24"/>
          <w:highlight w:val="none"/>
        </w:rPr>
      </w:pPr>
      <w:r>
        <w:rPr>
          <w:rFonts w:hint="eastAsia" w:ascii="宋体" w:hAnsi="宋体" w:cs="宋体"/>
          <w:b/>
          <w:sz w:val="24"/>
          <w:szCs w:val="24"/>
          <w:highlight w:val="none"/>
        </w:rPr>
        <w:t>符合性审查表</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4"/>
        <w:gridCol w:w="5817"/>
        <w:gridCol w:w="1901"/>
      </w:tblGrid>
      <w:tr w14:paraId="588FC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04" w:type="dxa"/>
            <w:vAlign w:val="center"/>
          </w:tcPr>
          <w:p w14:paraId="5FE69693">
            <w:pPr>
              <w:pStyle w:val="324"/>
              <w:spacing w:before="0" w:after="0" w:line="240" w:lineRule="auto"/>
              <w:ind w:firstLine="0"/>
              <w:jc w:val="center"/>
              <w:rPr>
                <w:rFonts w:cs="Arial"/>
                <w:b/>
                <w:color w:val="auto"/>
                <w:highlight w:val="none"/>
              </w:rPr>
            </w:pPr>
            <w:r>
              <w:rPr>
                <w:rFonts w:hint="eastAsia" w:cs="Arial"/>
                <w:b/>
                <w:color w:val="auto"/>
                <w:highlight w:val="none"/>
              </w:rPr>
              <w:t>序号</w:t>
            </w:r>
          </w:p>
        </w:tc>
        <w:tc>
          <w:tcPr>
            <w:tcW w:w="5817" w:type="dxa"/>
            <w:vAlign w:val="center"/>
          </w:tcPr>
          <w:p w14:paraId="7D2686B0">
            <w:pPr>
              <w:pStyle w:val="324"/>
              <w:spacing w:before="0" w:after="0" w:line="240" w:lineRule="auto"/>
              <w:ind w:firstLine="0"/>
              <w:jc w:val="center"/>
              <w:rPr>
                <w:rFonts w:cs="Arial"/>
                <w:b/>
                <w:color w:val="auto"/>
                <w:highlight w:val="none"/>
              </w:rPr>
            </w:pPr>
            <w:r>
              <w:rPr>
                <w:rFonts w:hint="eastAsia" w:ascii="宋体" w:hAnsi="宋体" w:cs="宋体"/>
                <w:b/>
                <w:color w:val="auto"/>
                <w:highlight w:val="none"/>
              </w:rPr>
              <w:t>评审项目及评审要求</w:t>
            </w:r>
          </w:p>
        </w:tc>
        <w:tc>
          <w:tcPr>
            <w:tcW w:w="1901" w:type="dxa"/>
            <w:vAlign w:val="center"/>
          </w:tcPr>
          <w:p w14:paraId="017F7735">
            <w:pPr>
              <w:pStyle w:val="324"/>
              <w:spacing w:before="0" w:after="0" w:line="240" w:lineRule="auto"/>
              <w:ind w:firstLine="0"/>
              <w:jc w:val="center"/>
              <w:rPr>
                <w:rFonts w:cs="Arial"/>
                <w:b/>
                <w:color w:val="auto"/>
                <w:highlight w:val="none"/>
              </w:rPr>
            </w:pPr>
            <w:r>
              <w:rPr>
                <w:rFonts w:hint="eastAsia" w:cs="Arial"/>
                <w:b/>
                <w:color w:val="auto"/>
                <w:highlight w:val="none"/>
              </w:rPr>
              <w:t>审查因素</w:t>
            </w:r>
          </w:p>
        </w:tc>
      </w:tr>
      <w:tr w14:paraId="47ED2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04" w:type="dxa"/>
            <w:vAlign w:val="center"/>
          </w:tcPr>
          <w:p w14:paraId="3CDFC5C9">
            <w:pPr>
              <w:pStyle w:val="324"/>
              <w:spacing w:before="0" w:after="0" w:line="240" w:lineRule="auto"/>
              <w:ind w:firstLine="0"/>
              <w:jc w:val="center"/>
              <w:rPr>
                <w:rFonts w:ascii="宋体" w:hAnsi="宋体" w:cs="Arial"/>
                <w:color w:val="auto"/>
                <w:highlight w:val="none"/>
              </w:rPr>
            </w:pPr>
            <w:r>
              <w:rPr>
                <w:rFonts w:hint="eastAsia" w:ascii="宋体" w:hAnsi="宋体" w:cs="Arial"/>
                <w:color w:val="auto"/>
                <w:highlight w:val="none"/>
              </w:rPr>
              <w:t>1</w:t>
            </w:r>
          </w:p>
        </w:tc>
        <w:tc>
          <w:tcPr>
            <w:tcW w:w="5817" w:type="dxa"/>
            <w:vAlign w:val="center"/>
          </w:tcPr>
          <w:p w14:paraId="2CB7E767">
            <w:pPr>
              <w:pStyle w:val="324"/>
              <w:spacing w:before="0" w:after="0" w:line="240" w:lineRule="auto"/>
              <w:ind w:firstLine="0"/>
              <w:jc w:val="both"/>
              <w:rPr>
                <w:rFonts w:ascii="宋体" w:hAnsi="宋体" w:cs="Arial"/>
                <w:color w:val="auto"/>
                <w:highlight w:val="none"/>
              </w:rPr>
            </w:pPr>
            <w:r>
              <w:rPr>
                <w:rFonts w:hint="eastAsia" w:ascii="宋体" w:hAnsi="宋体" w:cs="Arial"/>
                <w:color w:val="auto"/>
                <w:highlight w:val="none"/>
              </w:rPr>
              <w:t>投标函（给定格式）</w:t>
            </w:r>
          </w:p>
        </w:tc>
        <w:tc>
          <w:tcPr>
            <w:tcW w:w="1901" w:type="dxa"/>
            <w:vAlign w:val="center"/>
          </w:tcPr>
          <w:p w14:paraId="595654F0">
            <w:pPr>
              <w:pStyle w:val="324"/>
              <w:spacing w:before="0" w:after="0" w:line="240" w:lineRule="auto"/>
              <w:ind w:firstLine="0"/>
              <w:jc w:val="center"/>
              <w:rPr>
                <w:rFonts w:cs="Arial"/>
                <w:color w:val="auto"/>
                <w:highlight w:val="none"/>
              </w:rPr>
            </w:pPr>
            <w:r>
              <w:rPr>
                <w:rFonts w:hint="eastAsia" w:cs="Arial"/>
                <w:color w:val="auto"/>
                <w:highlight w:val="none"/>
              </w:rPr>
              <w:t>商务符合性</w:t>
            </w:r>
          </w:p>
        </w:tc>
      </w:tr>
      <w:tr w14:paraId="1753C5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04" w:type="dxa"/>
            <w:vAlign w:val="center"/>
          </w:tcPr>
          <w:p w14:paraId="301C3FD7">
            <w:pPr>
              <w:pStyle w:val="324"/>
              <w:spacing w:before="0" w:after="0" w:line="240" w:lineRule="auto"/>
              <w:ind w:firstLine="0"/>
              <w:jc w:val="center"/>
              <w:rPr>
                <w:rFonts w:hint="eastAsia" w:ascii="宋体" w:hAnsi="宋体" w:eastAsia="宋体"/>
                <w:color w:val="auto"/>
                <w:highlight w:val="none"/>
                <w:lang w:val="en-US" w:eastAsia="zh-CN"/>
              </w:rPr>
            </w:pPr>
            <w:r>
              <w:rPr>
                <w:rFonts w:hint="eastAsia" w:ascii="宋体" w:hAnsi="宋体"/>
                <w:color w:val="auto"/>
                <w:highlight w:val="none"/>
                <w:lang w:val="en-US" w:eastAsia="zh-CN"/>
              </w:rPr>
              <w:t>2</w:t>
            </w:r>
          </w:p>
        </w:tc>
        <w:tc>
          <w:tcPr>
            <w:tcW w:w="5817" w:type="dxa"/>
            <w:vAlign w:val="center"/>
          </w:tcPr>
          <w:p w14:paraId="2D46C9DC">
            <w:pPr>
              <w:pStyle w:val="324"/>
              <w:spacing w:before="0" w:after="0" w:line="240" w:lineRule="auto"/>
              <w:ind w:firstLine="0"/>
              <w:jc w:val="both"/>
              <w:rPr>
                <w:rFonts w:ascii="宋体" w:hAnsi="宋体" w:cs="Arial"/>
                <w:color w:val="auto"/>
                <w:highlight w:val="none"/>
              </w:rPr>
            </w:pPr>
            <w:r>
              <w:rPr>
                <w:rFonts w:hint="eastAsia" w:ascii="宋体" w:hAnsi="宋体"/>
                <w:color w:val="auto"/>
                <w:highlight w:val="none"/>
              </w:rPr>
              <w:t>开标一览表（给定格式）</w:t>
            </w:r>
          </w:p>
        </w:tc>
        <w:tc>
          <w:tcPr>
            <w:tcW w:w="1901" w:type="dxa"/>
            <w:vMerge w:val="restart"/>
            <w:vAlign w:val="center"/>
          </w:tcPr>
          <w:p w14:paraId="7878B06E">
            <w:pPr>
              <w:pStyle w:val="324"/>
              <w:spacing w:before="0" w:after="0" w:line="240" w:lineRule="auto"/>
              <w:ind w:firstLine="0"/>
              <w:jc w:val="center"/>
              <w:rPr>
                <w:rFonts w:cs="Arial"/>
                <w:color w:val="auto"/>
                <w:highlight w:val="none"/>
              </w:rPr>
            </w:pPr>
            <w:r>
              <w:rPr>
                <w:rFonts w:hint="eastAsia" w:cs="Arial"/>
                <w:color w:val="auto"/>
                <w:highlight w:val="none"/>
              </w:rPr>
              <w:t>报价符合性</w:t>
            </w:r>
          </w:p>
        </w:tc>
      </w:tr>
      <w:tr w14:paraId="7C3E37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04" w:type="dxa"/>
            <w:vAlign w:val="center"/>
          </w:tcPr>
          <w:p w14:paraId="439FA2F4">
            <w:pPr>
              <w:pStyle w:val="324"/>
              <w:spacing w:before="0" w:after="0" w:line="240" w:lineRule="auto"/>
              <w:ind w:firstLine="0" w:firstLineChars="0"/>
              <w:jc w:val="center"/>
              <w:rPr>
                <w:rFonts w:ascii="宋体" w:hAnsi="宋体"/>
                <w:color w:val="auto"/>
                <w:highlight w:val="none"/>
              </w:rPr>
            </w:pPr>
            <w:r>
              <w:rPr>
                <w:rFonts w:hint="eastAsia" w:ascii="宋体" w:hAnsi="宋体"/>
                <w:color w:val="auto"/>
                <w:highlight w:val="none"/>
              </w:rPr>
              <w:t>3</w:t>
            </w:r>
          </w:p>
        </w:tc>
        <w:tc>
          <w:tcPr>
            <w:tcW w:w="5817" w:type="dxa"/>
            <w:vAlign w:val="center"/>
          </w:tcPr>
          <w:p w14:paraId="1BA1BCB6">
            <w:pPr>
              <w:pStyle w:val="324"/>
              <w:spacing w:before="0" w:after="0" w:line="240" w:lineRule="auto"/>
              <w:ind w:firstLine="0"/>
              <w:jc w:val="both"/>
              <w:rPr>
                <w:rFonts w:ascii="宋体" w:hAnsi="宋体" w:cs="Arial"/>
                <w:color w:val="auto"/>
                <w:highlight w:val="none"/>
              </w:rPr>
            </w:pPr>
            <w:r>
              <w:rPr>
                <w:rFonts w:hint="eastAsia" w:ascii="宋体" w:hAnsi="宋体"/>
                <w:color w:val="auto"/>
                <w:highlight w:val="none"/>
              </w:rPr>
              <w:t>分项报价表（给定格式）</w:t>
            </w:r>
          </w:p>
        </w:tc>
        <w:tc>
          <w:tcPr>
            <w:tcW w:w="1901" w:type="dxa"/>
            <w:vMerge w:val="continue"/>
            <w:vAlign w:val="center"/>
          </w:tcPr>
          <w:p w14:paraId="6219D3AC">
            <w:pPr>
              <w:pStyle w:val="324"/>
              <w:spacing w:before="0" w:after="0" w:line="240" w:lineRule="auto"/>
              <w:ind w:firstLine="0"/>
              <w:jc w:val="center"/>
              <w:rPr>
                <w:rFonts w:cs="Arial"/>
                <w:color w:val="auto"/>
                <w:highlight w:val="none"/>
              </w:rPr>
            </w:pPr>
          </w:p>
        </w:tc>
      </w:tr>
      <w:tr w14:paraId="3C4FD9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04" w:type="dxa"/>
            <w:vAlign w:val="center"/>
          </w:tcPr>
          <w:p w14:paraId="047365A3">
            <w:pPr>
              <w:pStyle w:val="324"/>
              <w:spacing w:before="0" w:after="0" w:line="240" w:lineRule="auto"/>
              <w:ind w:firstLine="0" w:firstLineChars="0"/>
              <w:jc w:val="center"/>
              <w:rPr>
                <w:rFonts w:ascii="宋体" w:hAnsi="宋体"/>
                <w:color w:val="auto"/>
                <w:highlight w:val="none"/>
              </w:rPr>
            </w:pPr>
            <w:r>
              <w:rPr>
                <w:rFonts w:hint="eastAsia" w:ascii="宋体" w:hAnsi="宋体"/>
                <w:color w:val="auto"/>
                <w:highlight w:val="none"/>
              </w:rPr>
              <w:t>4</w:t>
            </w:r>
          </w:p>
        </w:tc>
        <w:tc>
          <w:tcPr>
            <w:tcW w:w="5817" w:type="dxa"/>
            <w:vAlign w:val="center"/>
          </w:tcPr>
          <w:p w14:paraId="4BB8C84D">
            <w:pPr>
              <w:pStyle w:val="324"/>
              <w:spacing w:before="0" w:after="0" w:line="240" w:lineRule="auto"/>
              <w:ind w:firstLine="0"/>
              <w:jc w:val="both"/>
              <w:rPr>
                <w:rFonts w:ascii="宋体" w:hAnsi="宋体" w:cs="Arial"/>
                <w:color w:val="auto"/>
                <w:highlight w:val="none"/>
              </w:rPr>
            </w:pPr>
            <w:r>
              <w:rPr>
                <w:rFonts w:hint="eastAsia" w:ascii="宋体" w:hAnsi="宋体"/>
                <w:color w:val="auto"/>
                <w:highlight w:val="none"/>
              </w:rPr>
              <w:t>投标偏离表（给定格式）</w:t>
            </w:r>
          </w:p>
        </w:tc>
        <w:tc>
          <w:tcPr>
            <w:tcW w:w="1901" w:type="dxa"/>
            <w:vMerge w:val="restart"/>
            <w:vAlign w:val="center"/>
          </w:tcPr>
          <w:p w14:paraId="606AA6F3">
            <w:pPr>
              <w:pStyle w:val="324"/>
              <w:spacing w:before="0" w:after="0" w:line="240" w:lineRule="auto"/>
              <w:ind w:firstLine="0"/>
              <w:jc w:val="center"/>
              <w:rPr>
                <w:rFonts w:cs="Arial"/>
                <w:color w:val="auto"/>
                <w:highlight w:val="none"/>
              </w:rPr>
            </w:pPr>
            <w:r>
              <w:rPr>
                <w:rFonts w:hint="eastAsia" w:cs="Arial"/>
                <w:color w:val="auto"/>
                <w:highlight w:val="none"/>
              </w:rPr>
              <w:t>技术符合性</w:t>
            </w:r>
          </w:p>
        </w:tc>
      </w:tr>
      <w:tr w14:paraId="358FB2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04" w:type="dxa"/>
            <w:vAlign w:val="center"/>
          </w:tcPr>
          <w:p w14:paraId="3B9811FC">
            <w:pPr>
              <w:pStyle w:val="324"/>
              <w:spacing w:before="0" w:after="0" w:line="240" w:lineRule="auto"/>
              <w:ind w:firstLine="0" w:firstLineChars="0"/>
              <w:jc w:val="center"/>
              <w:rPr>
                <w:rFonts w:ascii="宋体" w:hAnsi="宋体"/>
                <w:color w:val="auto"/>
                <w:highlight w:val="none"/>
              </w:rPr>
            </w:pPr>
            <w:r>
              <w:rPr>
                <w:rFonts w:hint="eastAsia" w:ascii="宋体" w:hAnsi="宋体"/>
                <w:color w:val="auto"/>
                <w:highlight w:val="none"/>
              </w:rPr>
              <w:t>5</w:t>
            </w:r>
          </w:p>
        </w:tc>
        <w:tc>
          <w:tcPr>
            <w:tcW w:w="5817" w:type="dxa"/>
            <w:vAlign w:val="center"/>
          </w:tcPr>
          <w:p w14:paraId="3D865809">
            <w:pPr>
              <w:pStyle w:val="324"/>
              <w:spacing w:before="0" w:after="0" w:line="240" w:lineRule="auto"/>
              <w:ind w:firstLine="0"/>
              <w:jc w:val="both"/>
              <w:rPr>
                <w:rFonts w:ascii="宋体" w:hAnsi="宋体"/>
                <w:color w:val="auto"/>
                <w:highlight w:val="none"/>
              </w:rPr>
            </w:pPr>
            <w:r>
              <w:rPr>
                <w:rFonts w:hint="eastAsia" w:ascii="宋体" w:hAnsi="宋体"/>
                <w:color w:val="auto"/>
                <w:highlight w:val="none"/>
              </w:rPr>
              <w:t>《采购需求》中要求提供的证明材料（如有）</w:t>
            </w:r>
          </w:p>
        </w:tc>
        <w:tc>
          <w:tcPr>
            <w:tcW w:w="1901" w:type="dxa"/>
            <w:vMerge w:val="continue"/>
            <w:vAlign w:val="center"/>
          </w:tcPr>
          <w:p w14:paraId="7276B664">
            <w:pPr>
              <w:pStyle w:val="324"/>
              <w:spacing w:before="0" w:after="0" w:line="240" w:lineRule="auto"/>
              <w:ind w:firstLine="0"/>
              <w:jc w:val="center"/>
              <w:rPr>
                <w:rFonts w:cs="Arial"/>
                <w:color w:val="auto"/>
                <w:highlight w:val="none"/>
              </w:rPr>
            </w:pPr>
          </w:p>
        </w:tc>
      </w:tr>
    </w:tbl>
    <w:p w14:paraId="429D9101">
      <w:pPr>
        <w:tabs>
          <w:tab w:val="left" w:pos="525"/>
          <w:tab w:val="left" w:pos="1050"/>
        </w:tabs>
        <w:spacing w:line="360" w:lineRule="auto"/>
        <w:ind w:firstLine="482"/>
        <w:rPr>
          <w:rFonts w:ascii="宋体" w:hAnsi="宋体" w:cs="宋体"/>
          <w:b/>
          <w:sz w:val="24"/>
          <w:szCs w:val="24"/>
          <w:highlight w:val="none"/>
        </w:rPr>
      </w:pPr>
      <w:r>
        <w:rPr>
          <w:rFonts w:hint="eastAsia" w:ascii="宋体" w:hAnsi="宋体" w:cs="宋体"/>
          <w:b/>
          <w:sz w:val="24"/>
          <w:szCs w:val="24"/>
          <w:highlight w:val="none"/>
        </w:rPr>
        <w:t>特别提醒：符合性审查不合格的投标供应商的投标文件不进入后续评审。</w:t>
      </w:r>
    </w:p>
    <w:p w14:paraId="046F0D36">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p>
    <w:p w14:paraId="207635F3">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(3)比较与评价。评标委员会按招标文件中规定的评标方法和标准，对资格性检查和符合性检查合格的投标文件进行商务和技术评估，综合比较与评价。</w:t>
      </w:r>
    </w:p>
    <w:p w14:paraId="756929BB">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5.异常低价投标（响应）审查</w:t>
      </w:r>
    </w:p>
    <w:p w14:paraId="0D817C39">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val="en-US" w:eastAsia="zh-CN"/>
        </w:rPr>
        <w:t>5</w:t>
      </w:r>
      <w:r>
        <w:rPr>
          <w:rFonts w:hint="eastAsia" w:ascii="宋体" w:hAnsi="宋体" w:cs="宋体"/>
          <w:bCs/>
          <w:sz w:val="24"/>
          <w:szCs w:val="24"/>
          <w:highlight w:val="none"/>
        </w:rPr>
        <w:t>.1根据《关于推动解决政府采购异常低价问题的通知》（财库〔2026〕2号）要求，政府采购评审中出现下列情形之一的，评审委员会应当启动异常低价投标（响应）审查程序：</w:t>
      </w:r>
    </w:p>
    <w:p w14:paraId="6D720D26">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（1）投标（响应）报价低于全部通过符合性审查供应商投标（响应）报价平均值50%的，即投标（响应）报价＜全部通过符合性审查供应商投标（响应）报价平均值×50%；</w:t>
      </w:r>
    </w:p>
    <w:p w14:paraId="57D6A56B">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（2）投标（响应）报价低于通过符合性审查的次低报价供应商投标（响应）报价50%的，即投标（响应）报价＜通过符合性审查的次低报价供应商投标（响应）报价×50%；</w:t>
      </w:r>
    </w:p>
    <w:p w14:paraId="2DEBB9B7">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（3）投标（响应）报价低于采购项目最高限价45%的，即投标（响应）报价＜采购项目最高限价×45%；</w:t>
      </w:r>
    </w:p>
    <w:p w14:paraId="1A9D0138">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（4）评审委员会基于专业判断，认为供应商报价过低，有可能影响产品质量或者不能诚信履约的其他情形。</w:t>
      </w:r>
    </w:p>
    <w:p w14:paraId="7FD7158A">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相关法律法规对供应商报价有规定的，从其规定。</w:t>
      </w:r>
    </w:p>
    <w:p w14:paraId="2A4A8C3B">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如果项目或采购包存在有分项价格最高限价要求或单价最高限价（最高限制单价）要求时，有上述情形的，应当启动异常低价投标（响应）审查程序。</w:t>
      </w:r>
    </w:p>
    <w:p w14:paraId="3897BDEB">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val="en-US" w:eastAsia="zh-CN"/>
        </w:rPr>
        <w:t>5.2</w:t>
      </w:r>
      <w:r>
        <w:rPr>
          <w:rFonts w:hint="eastAsia" w:ascii="宋体" w:hAnsi="宋体" w:cs="宋体"/>
          <w:bCs/>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BB5944F">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F6F5F61">
      <w:pPr>
        <w:tabs>
          <w:tab w:val="left" w:pos="525"/>
          <w:tab w:val="left" w:pos="945"/>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7B119CA3">
      <w:pPr>
        <w:tabs>
          <w:tab w:val="left" w:pos="525"/>
          <w:tab w:val="left" w:pos="945"/>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lang w:val="en-US" w:eastAsia="zh-CN"/>
        </w:rPr>
        <w:t>6</w:t>
      </w:r>
      <w:r>
        <w:rPr>
          <w:rFonts w:hint="eastAsia" w:ascii="宋体" w:hAnsi="宋体" w:cs="宋体"/>
          <w:bCs/>
          <w:sz w:val="24"/>
          <w:szCs w:val="24"/>
          <w:highlight w:val="none"/>
        </w:rPr>
        <w:t>．评标方法</w:t>
      </w:r>
    </w:p>
    <w:p w14:paraId="189798CD">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供应商通过初审的，方可进入比较与评价程序，本项目采用综合评分法。</w:t>
      </w:r>
    </w:p>
    <w:p w14:paraId="6C29E5BD">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排名第一，为</w:t>
      </w:r>
      <w:r>
        <w:rPr>
          <w:rFonts w:hint="eastAsia" w:ascii="宋体" w:hAnsi="宋体" w:cs="宋体"/>
          <w:bCs/>
          <w:sz w:val="24"/>
          <w:szCs w:val="24"/>
          <w:highlight w:val="none"/>
          <w:lang w:eastAsia="zh-CN"/>
        </w:rPr>
        <w:t>中标供应商</w:t>
      </w:r>
      <w:r>
        <w:rPr>
          <w:rFonts w:hint="eastAsia" w:ascii="宋体" w:hAnsi="宋体" w:cs="宋体"/>
          <w:bCs/>
          <w:sz w:val="24"/>
          <w:szCs w:val="24"/>
          <w:highlight w:val="none"/>
        </w:rPr>
        <w:t>。</w:t>
      </w:r>
    </w:p>
    <w:p w14:paraId="7180F5E9">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lang w:val="en-US" w:eastAsia="zh-CN"/>
        </w:rPr>
        <w:t>7</w:t>
      </w:r>
      <w:r>
        <w:rPr>
          <w:rFonts w:hint="eastAsia" w:ascii="宋体" w:hAnsi="宋体" w:cs="宋体"/>
          <w:bCs/>
          <w:sz w:val="24"/>
          <w:szCs w:val="24"/>
          <w:highlight w:val="none"/>
        </w:rPr>
        <w:t>．评标标准：详见附件。</w:t>
      </w:r>
    </w:p>
    <w:p w14:paraId="64F915A6">
      <w:pPr>
        <w:spacing w:line="360" w:lineRule="auto"/>
        <w:ind w:firstLine="482"/>
        <w:outlineLvl w:val="1"/>
        <w:rPr>
          <w:rFonts w:ascii="宋体" w:hAnsi="宋体" w:cs="宋体"/>
          <w:b/>
          <w:sz w:val="24"/>
          <w:szCs w:val="24"/>
          <w:highlight w:val="none"/>
        </w:rPr>
      </w:pPr>
      <w:r>
        <w:rPr>
          <w:rFonts w:hint="eastAsia" w:ascii="宋体" w:hAnsi="宋体" w:cs="宋体"/>
          <w:b/>
          <w:sz w:val="24"/>
          <w:szCs w:val="24"/>
          <w:highlight w:val="none"/>
        </w:rPr>
        <w:t>(十)定标：</w:t>
      </w:r>
    </w:p>
    <w:p w14:paraId="2F50BFB1">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1．评标委员会根据招标文件规定的评标方法和评标标准进行评审，按评审得分由高到低的原则推荐中标候选人，</w:t>
      </w:r>
      <w:r>
        <w:rPr>
          <w:rFonts w:hint="eastAsia" w:ascii="宋体" w:hAnsi="宋体" w:cs="宋体"/>
          <w:bCs/>
          <w:sz w:val="24"/>
          <w:szCs w:val="24"/>
          <w:highlight w:val="none"/>
          <w:lang w:eastAsia="zh-CN"/>
        </w:rPr>
        <w:t>无锡众邦技术咨询有限公司</w:t>
      </w:r>
      <w:r>
        <w:rPr>
          <w:rFonts w:hint="eastAsia" w:ascii="宋体" w:hAnsi="宋体" w:cs="宋体"/>
          <w:bCs/>
          <w:sz w:val="24"/>
          <w:szCs w:val="24"/>
          <w:highlight w:val="none"/>
        </w:rPr>
        <w:t>在评标结束后2个工作日内将评标报告送采购人。采购人应当自收到评标报告之日起5个工作日内，在评标报告确定的中标候选人名单中按顺序确定中标供应商。中标候选人并列的，由采购人或者采购人委托评标委员会按照招标文件规定的方式确定中标供应商，招标文件未规定的，采取随机抽取的方式确定。</w:t>
      </w:r>
      <w:r>
        <w:rPr>
          <w:rFonts w:hint="eastAsia" w:ascii="宋体" w:hAnsi="宋体" w:cs="宋体"/>
          <w:bCs/>
          <w:sz w:val="24"/>
          <w:szCs w:val="24"/>
          <w:highlight w:val="none"/>
          <w:lang w:eastAsia="zh-CN"/>
        </w:rPr>
        <w:t>无锡众邦技术咨询有限公司</w:t>
      </w:r>
      <w:r>
        <w:rPr>
          <w:rFonts w:hint="eastAsia" w:ascii="宋体" w:hAnsi="宋体" w:cs="宋体"/>
          <w:bCs/>
          <w:sz w:val="24"/>
          <w:szCs w:val="24"/>
          <w:highlight w:val="none"/>
        </w:rPr>
        <w:t>将在无锡市公共资源交易中心政府采购专栏、江苏政府采购网上发布中标公告。</w:t>
      </w:r>
      <w:r>
        <w:rPr>
          <w:rFonts w:hint="eastAsia" w:ascii="宋体" w:hAnsi="宋体" w:cs="宋体"/>
          <w:bCs/>
          <w:sz w:val="24"/>
          <w:szCs w:val="24"/>
          <w:highlight w:val="none"/>
          <w:lang w:eastAsia="zh-CN"/>
        </w:rPr>
        <w:t>无锡众邦技术咨询有限公司</w:t>
      </w:r>
      <w:r>
        <w:rPr>
          <w:rFonts w:hint="eastAsia" w:ascii="宋体" w:hAnsi="宋体" w:cs="宋体"/>
          <w:bCs/>
          <w:sz w:val="24"/>
          <w:szCs w:val="24"/>
          <w:highlight w:val="none"/>
        </w:rPr>
        <w:t>和评标委员会对未中标原因不作解释。</w:t>
      </w:r>
    </w:p>
    <w:p w14:paraId="3C851DA1">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2．在发布中标公告的同时，</w:t>
      </w:r>
      <w:r>
        <w:rPr>
          <w:rFonts w:hint="eastAsia" w:ascii="宋体" w:hAnsi="宋体" w:cs="宋体"/>
          <w:bCs/>
          <w:sz w:val="24"/>
          <w:szCs w:val="24"/>
          <w:highlight w:val="none"/>
          <w:lang w:eastAsia="zh-CN"/>
        </w:rPr>
        <w:t>无锡众邦技术咨询有限公司</w:t>
      </w:r>
      <w:r>
        <w:rPr>
          <w:rFonts w:hint="eastAsia" w:ascii="宋体" w:hAnsi="宋体" w:cs="宋体"/>
          <w:bCs/>
          <w:sz w:val="24"/>
          <w:szCs w:val="24"/>
          <w:highlight w:val="none"/>
        </w:rPr>
        <w:t>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中标通知书将是合同的一个组成部分。对采购人和中标供应商均具有法律效力。中标通知书发出后，采购人改变中标结果的，或者中标供应商放弃中标项目的，应当依法承担法律责任。联合体中标的，联合体各方应当共同与采购人签订合同，就中标项目向采购人承担连带责任。</w:t>
      </w:r>
    </w:p>
    <w:p w14:paraId="48B889F4">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3．投标供应商电子投标文件将作为电子档案保存。</w:t>
      </w:r>
    </w:p>
    <w:p w14:paraId="2B2D4570">
      <w:pPr>
        <w:spacing w:line="360" w:lineRule="auto"/>
        <w:ind w:firstLine="482"/>
        <w:outlineLvl w:val="1"/>
        <w:rPr>
          <w:rFonts w:ascii="宋体" w:hAnsi="宋体" w:cs="宋体"/>
          <w:b/>
          <w:sz w:val="24"/>
          <w:szCs w:val="24"/>
          <w:highlight w:val="none"/>
        </w:rPr>
      </w:pPr>
      <w:r>
        <w:rPr>
          <w:rFonts w:hint="eastAsia" w:ascii="宋体" w:hAnsi="宋体" w:cs="宋体"/>
          <w:b/>
          <w:sz w:val="24"/>
          <w:szCs w:val="24"/>
          <w:highlight w:val="none"/>
        </w:rPr>
        <w:t>(十一)废标的确认：</w:t>
      </w:r>
    </w:p>
    <w:p w14:paraId="3A82DE75">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在招标采购中，出现下列情况之一的，应予废标：</w:t>
      </w:r>
    </w:p>
    <w:p w14:paraId="3289CD7E">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1．符合专业条件的投标供应商或者对招标文件作出实质性响应的投标供应商不足三家；</w:t>
      </w:r>
    </w:p>
    <w:p w14:paraId="4D30885E">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2．出现影响采购公正的违法、违规行为；</w:t>
      </w:r>
    </w:p>
    <w:p w14:paraId="383B8C98">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3．投标供应商的报价均超过采购预算，采购人不能支付的；</w:t>
      </w:r>
    </w:p>
    <w:p w14:paraId="01FBED79">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4．因重大变故，采购任务取消。</w:t>
      </w:r>
    </w:p>
    <w:p w14:paraId="181B8F90">
      <w:pPr>
        <w:spacing w:line="360" w:lineRule="auto"/>
        <w:ind w:firstLine="482"/>
        <w:outlineLvl w:val="1"/>
        <w:rPr>
          <w:rFonts w:ascii="宋体" w:hAnsi="宋体" w:cs="宋体"/>
          <w:b/>
          <w:sz w:val="24"/>
          <w:szCs w:val="24"/>
          <w:highlight w:val="none"/>
        </w:rPr>
      </w:pPr>
      <w:r>
        <w:rPr>
          <w:rFonts w:hint="eastAsia" w:ascii="宋体" w:hAnsi="宋体" w:cs="宋体"/>
          <w:b/>
          <w:sz w:val="24"/>
          <w:szCs w:val="24"/>
          <w:highlight w:val="none"/>
        </w:rPr>
        <w:t>(十二)中标无效的确认：</w:t>
      </w:r>
    </w:p>
    <w:p w14:paraId="1C4579C5">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若有充分证据证明，中标供应商出现下列情况之一的，一经查实，将被取消中标资格：</w:t>
      </w:r>
    </w:p>
    <w:p w14:paraId="3FCC2734">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1．提供虚假材料谋取中标的；</w:t>
      </w:r>
    </w:p>
    <w:p w14:paraId="648A1C01">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2．采取不正当手段诋毁、排挤其他投标供应商的；</w:t>
      </w:r>
    </w:p>
    <w:p w14:paraId="18CEBF96">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3．与招标采购单位、其他投标供应商恶意串通的；</w:t>
      </w:r>
    </w:p>
    <w:p w14:paraId="50955B82">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4．向招标采购单位行贿或者提供其他不正当利益的；</w:t>
      </w:r>
    </w:p>
    <w:p w14:paraId="26C06FF2">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5．在招标过程中与招标采购单位进行协商谈判、不按照招标文件和中标供应商的投标文件订立合同，或者与采购人另行订立背离合同实质性内容的协议的；</w:t>
      </w:r>
    </w:p>
    <w:p w14:paraId="65892554">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6．拒绝有关部门监督检查或者提供虚假情况的。</w:t>
      </w:r>
    </w:p>
    <w:p w14:paraId="47BF4F23">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7002D346">
      <w:pPr>
        <w:spacing w:line="360" w:lineRule="auto"/>
        <w:ind w:firstLine="482"/>
        <w:outlineLvl w:val="1"/>
        <w:rPr>
          <w:rFonts w:ascii="宋体" w:hAnsi="宋体" w:cs="宋体"/>
          <w:b/>
          <w:sz w:val="24"/>
          <w:szCs w:val="24"/>
          <w:highlight w:val="none"/>
        </w:rPr>
      </w:pPr>
      <w:bookmarkStart w:id="23" w:name="_Toc32174"/>
      <w:bookmarkStart w:id="24" w:name="_Toc21337"/>
      <w:r>
        <w:rPr>
          <w:rFonts w:hint="eastAsia" w:ascii="宋体" w:hAnsi="宋体" w:cs="宋体"/>
          <w:b/>
          <w:sz w:val="24"/>
          <w:szCs w:val="24"/>
          <w:highlight w:val="none"/>
        </w:rPr>
        <w:t>(十三)签订、履行合同：</w:t>
      </w:r>
      <w:bookmarkEnd w:id="23"/>
      <w:bookmarkEnd w:id="24"/>
    </w:p>
    <w:p w14:paraId="3B1B2F7C">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签订背离合同实质性内容的协议。</w:t>
      </w:r>
    </w:p>
    <w:p w14:paraId="7DEC2012">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lang w:val="en-US" w:eastAsia="zh-CN"/>
        </w:rPr>
        <w:t>2</w:t>
      </w:r>
      <w:r>
        <w:rPr>
          <w:rFonts w:hint="eastAsia" w:ascii="宋体" w:hAnsi="宋体" w:cs="宋体"/>
          <w:bCs/>
          <w:sz w:val="24"/>
          <w:szCs w:val="24"/>
          <w:highlight w:val="none"/>
        </w:rPr>
        <w:t>．中标供应商非因不可抗力未履行招、投标文件和合同规定的义务，一经查实，</w:t>
      </w:r>
      <w:r>
        <w:rPr>
          <w:rFonts w:hint="eastAsia" w:ascii="宋体" w:hAnsi="宋体" w:cs="宋体"/>
          <w:bCs/>
          <w:sz w:val="24"/>
          <w:szCs w:val="24"/>
          <w:highlight w:val="none"/>
          <w:lang w:eastAsia="zh-CN"/>
        </w:rPr>
        <w:t>无锡众邦技术咨询有限公司</w:t>
      </w:r>
      <w:r>
        <w:rPr>
          <w:rFonts w:hint="eastAsia" w:ascii="宋体" w:hAnsi="宋体" w:cs="宋体"/>
          <w:bCs/>
          <w:sz w:val="24"/>
          <w:szCs w:val="24"/>
          <w:highlight w:val="none"/>
        </w:rPr>
        <w:t>将根据具体情况提请政府采购管理部门作出相应处理。</w:t>
      </w:r>
    </w:p>
    <w:p w14:paraId="3439740C">
      <w:pPr>
        <w:spacing w:line="360" w:lineRule="auto"/>
        <w:ind w:firstLine="482"/>
        <w:outlineLvl w:val="1"/>
        <w:rPr>
          <w:rFonts w:ascii="宋体" w:hAnsi="宋体" w:cs="宋体"/>
          <w:b/>
          <w:sz w:val="24"/>
          <w:szCs w:val="24"/>
          <w:highlight w:val="none"/>
        </w:rPr>
      </w:pPr>
      <w:bookmarkStart w:id="25" w:name="_Toc598"/>
      <w:bookmarkStart w:id="26" w:name="_Toc28715"/>
      <w:r>
        <w:rPr>
          <w:rFonts w:hint="eastAsia" w:ascii="宋体" w:hAnsi="宋体" w:cs="宋体"/>
          <w:b/>
          <w:sz w:val="24"/>
          <w:szCs w:val="24"/>
          <w:highlight w:val="none"/>
        </w:rPr>
        <w:t>(十四)注意事项：</w:t>
      </w:r>
      <w:bookmarkEnd w:id="25"/>
      <w:bookmarkEnd w:id="26"/>
    </w:p>
    <w:p w14:paraId="7C70A775">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中标供应商有下列情形之一的，情节严重的，由财政部门将其列入不良行为记录名单，在一至三年内禁止参加政府采购活动，并予以通报：</w:t>
      </w:r>
    </w:p>
    <w:p w14:paraId="256A303B">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（1）中标后无正当理由不与采购人签订合同的；</w:t>
      </w:r>
    </w:p>
    <w:p w14:paraId="2E2FEB66">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（2）将中标项目转让给他人，或者在投标文件中未说明，且未经过采购人同意，将中标项目分包给他人的；</w:t>
      </w:r>
    </w:p>
    <w:p w14:paraId="14C07B5D">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（3）拒绝履行合同义务的。</w:t>
      </w:r>
    </w:p>
    <w:p w14:paraId="19258F44">
      <w:pPr>
        <w:spacing w:line="360" w:lineRule="auto"/>
        <w:ind w:firstLine="482"/>
        <w:outlineLvl w:val="1"/>
        <w:rPr>
          <w:rFonts w:ascii="宋体" w:hAnsi="宋体" w:cs="宋体"/>
          <w:b/>
          <w:sz w:val="24"/>
          <w:szCs w:val="24"/>
          <w:highlight w:val="none"/>
        </w:rPr>
      </w:pPr>
      <w:r>
        <w:rPr>
          <w:rFonts w:hint="eastAsia" w:ascii="宋体" w:hAnsi="宋体" w:cs="宋体"/>
          <w:b/>
          <w:sz w:val="24"/>
          <w:szCs w:val="24"/>
          <w:highlight w:val="none"/>
        </w:rPr>
        <w:t>(十五)质疑处理：</w:t>
      </w:r>
    </w:p>
    <w:p w14:paraId="4414EC89">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采购代理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5D350BE6">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供应商认为采购文件、采购过程和采购结果使自己的权益受到损害的，可以在知道或应知其权益受到损害之日起七个工作日内，以书面形式根据下述4.条款的规定向采购人或采购代理提出质疑，上述应知其权益受到损害之日，是指：</w:t>
      </w:r>
    </w:p>
    <w:p w14:paraId="555B5A69">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（1）对可以质疑的采购文件提出质疑的，为收到采购文件之日或者采购文件公告期限届满之日；</w:t>
      </w:r>
    </w:p>
    <w:p w14:paraId="218ADE11">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（2）对采购过程提出质疑的，为各采购程序环节结束之日；</w:t>
      </w:r>
    </w:p>
    <w:p w14:paraId="4B883B13">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（3）对中标或者成交结果提出质疑的，为中标或者成交结果公告期限届满之日。</w:t>
      </w:r>
    </w:p>
    <w:p w14:paraId="22CF31A1">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供应商应当在法定质疑期内一次性提出针对同一采购程序环节的质疑。供应商如在法定期限内对同一采购程序环节提出多次质疑的，采购代理、采购人将只对供应商第一次质疑作出答复。</w:t>
      </w:r>
    </w:p>
    <w:p w14:paraId="7E42DE46">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18C89793">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4.供应商（含潜在供应商）对项目属性、采购方式、采购需求、供应商资格条件及审查结果、评标方法和评标标准、合同文本及其他事项的询问、质疑请向采购代理提出，由采购代理负责答复。</w:t>
      </w:r>
    </w:p>
    <w:p w14:paraId="50606EB3">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采购人、采购代理只接收以纸质原件形式送达的质疑,质疑供应商可通过面交或邮寄方式送达（采购人和采购代理不接受未填写快递运单的快件）。</w:t>
      </w:r>
    </w:p>
    <w:p w14:paraId="5EEB28FB">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采购人、采购代理联系人、联系方式、通信地址见招标文件第一章。</w:t>
      </w:r>
    </w:p>
    <w:p w14:paraId="64F0E243">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5.以下情形的质疑不予受理</w:t>
      </w:r>
    </w:p>
    <w:p w14:paraId="5ED290CD">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（1）内容不符合《政府采购质疑和投诉办法》第十二条规定的质疑。</w:t>
      </w:r>
    </w:p>
    <w:p w14:paraId="24B7A0CC">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（2）超出政府采购法定期限的质疑。</w:t>
      </w:r>
    </w:p>
    <w:p w14:paraId="5C980A2A">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（3）以传真、电子邮件等方式递交的非原件形式的质疑。</w:t>
      </w:r>
    </w:p>
    <w:p w14:paraId="373DD5FE">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（4）未参加投标活动的供应商或在投标活动中自身权益未受到损害的供应商所提出的质疑。</w:t>
      </w:r>
    </w:p>
    <w:p w14:paraId="204626B4">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（5）供应商组成联合体参加投标，联合体中任何一方或多方未按要求签字、盖章、加盖公章的质疑。</w:t>
      </w:r>
    </w:p>
    <w:p w14:paraId="55E43BFA">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6.供应商提出书面质疑必须有理、有据，如质疑查无实据或供应商捏造事实，提供虚假材料进行恶意质疑或举报，不配合或采用不正当手段干扰政府采购质疑的，一经查实，采购代理有权依据政府采购的有关规定，报请政府采购监管部门对该供应商进行相应的行政处罚和记录该供应商的失信信息。</w:t>
      </w:r>
    </w:p>
    <w:p w14:paraId="34B1D1D3">
      <w:pPr>
        <w:spacing w:line="360" w:lineRule="auto"/>
        <w:ind w:firstLine="482"/>
        <w:outlineLvl w:val="1"/>
        <w:rPr>
          <w:rFonts w:ascii="宋体" w:hAnsi="宋体" w:cs="宋体"/>
          <w:b/>
          <w:sz w:val="24"/>
          <w:szCs w:val="24"/>
          <w:highlight w:val="none"/>
        </w:rPr>
      </w:pPr>
      <w:r>
        <w:rPr>
          <w:rFonts w:hint="eastAsia" w:ascii="宋体" w:hAnsi="宋体" w:cs="宋体"/>
          <w:b/>
          <w:sz w:val="24"/>
          <w:szCs w:val="24"/>
          <w:highlight w:val="none"/>
        </w:rPr>
        <w:t>(十六)</w:t>
      </w:r>
      <w:r>
        <w:rPr>
          <w:rFonts w:hint="eastAsia" w:ascii="宋体" w:hAnsi="宋体" w:cs="宋体"/>
          <w:b/>
          <w:sz w:val="24"/>
          <w:szCs w:val="24"/>
          <w:highlight w:val="none"/>
          <w:lang w:val="en-US" w:eastAsia="zh-CN"/>
        </w:rPr>
        <w:t>采购代理</w:t>
      </w:r>
      <w:r>
        <w:rPr>
          <w:rFonts w:hint="eastAsia" w:ascii="宋体" w:hAnsi="宋体" w:cs="宋体"/>
          <w:b/>
          <w:sz w:val="24"/>
          <w:szCs w:val="24"/>
          <w:highlight w:val="none"/>
        </w:rPr>
        <w:t>费：</w:t>
      </w:r>
    </w:p>
    <w:p w14:paraId="55CCE5C6">
      <w:pPr>
        <w:tabs>
          <w:tab w:val="left" w:pos="525"/>
          <w:tab w:val="left" w:pos="1050"/>
        </w:tabs>
        <w:spacing w:line="360" w:lineRule="auto"/>
        <w:ind w:firstLine="480"/>
        <w:rPr>
          <w:rFonts w:hint="eastAsia" w:ascii="宋体" w:hAnsi="宋体" w:eastAsia="宋体" w:cs="宋体"/>
          <w:sz w:val="24"/>
          <w:szCs w:val="24"/>
          <w:highlight w:val="none"/>
          <w:lang w:eastAsia="zh-CN"/>
        </w:rPr>
      </w:pPr>
      <w:bookmarkStart w:id="27" w:name="OLE_LINK18"/>
      <w:bookmarkStart w:id="28" w:name="OLE_LINK17"/>
      <w:r>
        <w:rPr>
          <w:rFonts w:hint="eastAsia" w:ascii="宋体" w:hAnsi="宋体"/>
          <w:color w:val="auto"/>
          <w:sz w:val="24"/>
          <w:highlight w:val="none"/>
        </w:rPr>
        <w:t>本项目预算金额中包含</w:t>
      </w:r>
      <w:r>
        <w:rPr>
          <w:rFonts w:hint="eastAsia" w:ascii="宋体" w:hAnsi="宋体" w:eastAsia="宋体"/>
          <w:color w:val="auto"/>
          <w:sz w:val="24"/>
          <w:highlight w:val="none"/>
        </w:rPr>
        <w:t>采购</w:t>
      </w:r>
      <w:r>
        <w:rPr>
          <w:rFonts w:hint="eastAsia" w:ascii="宋体" w:hAnsi="宋体"/>
          <w:color w:val="auto"/>
          <w:sz w:val="24"/>
          <w:highlight w:val="none"/>
        </w:rPr>
        <w:t>代理费，供应商应将</w:t>
      </w:r>
      <w:r>
        <w:rPr>
          <w:rFonts w:hint="eastAsia" w:ascii="宋体" w:hAnsi="宋体" w:eastAsia="宋体"/>
          <w:color w:val="auto"/>
          <w:sz w:val="24"/>
          <w:highlight w:val="none"/>
        </w:rPr>
        <w:t>采购</w:t>
      </w:r>
      <w:r>
        <w:rPr>
          <w:rFonts w:ascii="宋体" w:hAnsi="宋体"/>
          <w:color w:val="auto"/>
          <w:sz w:val="24"/>
          <w:highlight w:val="none"/>
        </w:rPr>
        <w:t>代理费充分考虑进</w:t>
      </w:r>
      <w:r>
        <w:rPr>
          <w:rFonts w:hint="eastAsia" w:ascii="宋体" w:hAnsi="宋体" w:eastAsiaTheme="minorEastAsia"/>
          <w:color w:val="auto"/>
          <w:sz w:val="24"/>
          <w:highlight w:val="none"/>
        </w:rPr>
        <w:t>入</w:t>
      </w:r>
      <w:r>
        <w:rPr>
          <w:rFonts w:ascii="宋体" w:hAnsi="宋体"/>
          <w:color w:val="auto"/>
          <w:sz w:val="24"/>
          <w:highlight w:val="none"/>
        </w:rPr>
        <w:t>项目报价，</w:t>
      </w:r>
      <w:r>
        <w:rPr>
          <w:rFonts w:hint="eastAsia" w:ascii="宋体" w:hAnsi="宋体" w:eastAsia="宋体"/>
          <w:color w:val="auto"/>
          <w:sz w:val="24"/>
          <w:highlight w:val="none"/>
        </w:rPr>
        <w:t>采购</w:t>
      </w:r>
      <w:r>
        <w:rPr>
          <w:rFonts w:ascii="宋体" w:hAnsi="宋体"/>
          <w:color w:val="auto"/>
          <w:sz w:val="24"/>
          <w:highlight w:val="none"/>
        </w:rPr>
        <w:t>代理费</w:t>
      </w:r>
      <w:r>
        <w:rPr>
          <w:rFonts w:hint="eastAsia" w:ascii="宋体" w:hAnsi="宋体" w:eastAsia="宋体"/>
          <w:color w:val="auto"/>
          <w:sz w:val="24"/>
          <w:highlight w:val="none"/>
        </w:rPr>
        <w:t>由</w:t>
      </w:r>
      <w:r>
        <w:rPr>
          <w:rFonts w:ascii="宋体" w:hAnsi="宋体"/>
          <w:color w:val="auto"/>
          <w:sz w:val="24"/>
          <w:highlight w:val="none"/>
        </w:rPr>
        <w:t>供应商领取中标通知书时</w:t>
      </w:r>
      <w:r>
        <w:rPr>
          <w:rFonts w:hint="eastAsia" w:ascii="宋体" w:hAnsi="宋体" w:eastAsia="宋体"/>
          <w:color w:val="auto"/>
          <w:sz w:val="24"/>
          <w:highlight w:val="none"/>
        </w:rPr>
        <w:t>支付</w:t>
      </w:r>
      <w:bookmarkEnd w:id="27"/>
      <w:bookmarkEnd w:id="28"/>
      <w:r>
        <w:rPr>
          <w:rFonts w:ascii="宋体" w:hAnsi="宋体"/>
          <w:color w:val="auto"/>
          <w:sz w:val="24"/>
          <w:highlight w:val="none"/>
        </w:rPr>
        <w:t>。</w:t>
      </w:r>
      <w:r>
        <w:rPr>
          <w:rFonts w:hint="eastAsia" w:ascii="宋体" w:hAnsi="宋体" w:eastAsia="宋体" w:cs="宋体"/>
          <w:bCs/>
          <w:color w:val="auto"/>
          <w:sz w:val="24"/>
          <w:highlight w:val="none"/>
        </w:rPr>
        <w:t>采购代理费以中标金额为计算基数，按照100万元内*1.5%、100万元-500万元*0.8%、500万元-1000万元*0.45%累进制计算后打八折计取</w:t>
      </w:r>
      <w:r>
        <w:rPr>
          <w:rFonts w:hint="eastAsia" w:ascii="宋体" w:hAnsi="宋体"/>
          <w:color w:val="auto"/>
          <w:sz w:val="24"/>
          <w:highlight w:val="none"/>
        </w:rPr>
        <w:t>。</w:t>
      </w:r>
    </w:p>
    <w:p w14:paraId="6FB8C050">
      <w:pPr>
        <w:spacing w:line="360" w:lineRule="auto"/>
        <w:ind w:firstLine="482"/>
        <w:outlineLvl w:val="1"/>
        <w:rPr>
          <w:rFonts w:ascii="宋体" w:hAnsi="宋体" w:cs="宋体"/>
          <w:b/>
          <w:sz w:val="24"/>
          <w:szCs w:val="24"/>
          <w:highlight w:val="none"/>
        </w:rPr>
      </w:pPr>
      <w:r>
        <w:rPr>
          <w:rFonts w:hint="eastAsia" w:ascii="宋体" w:hAnsi="宋体" w:cs="宋体"/>
          <w:b/>
          <w:sz w:val="24"/>
          <w:szCs w:val="24"/>
          <w:highlight w:val="none"/>
        </w:rPr>
        <w:t>(十七)其他：</w:t>
      </w:r>
    </w:p>
    <w:p w14:paraId="16343E59">
      <w:pPr>
        <w:tabs>
          <w:tab w:val="left" w:pos="525"/>
          <w:tab w:val="left" w:pos="1050"/>
        </w:tabs>
        <w:spacing w:line="360" w:lineRule="auto"/>
        <w:ind w:firstLine="480"/>
        <w:rPr>
          <w:rFonts w:ascii="宋体" w:hAnsi="宋体" w:cs="宋体"/>
          <w:sz w:val="24"/>
          <w:szCs w:val="24"/>
          <w:highlight w:val="none"/>
        </w:rPr>
      </w:pPr>
      <w:r>
        <w:rPr>
          <w:rFonts w:hint="eastAsia" w:ascii="宋体" w:hAnsi="宋体" w:cs="宋体"/>
          <w:sz w:val="24"/>
          <w:szCs w:val="24"/>
          <w:highlight w:val="none"/>
        </w:rPr>
        <w:t>政府采购合同履行中，采购人需追加与合同标的相同的服务（包含与服务相关的货物），在不改变合同其他条款的前提下，可以与中标供应商协商签订补充合同，但所有补充合同的采购金额不超过原合同金额的10%。</w:t>
      </w:r>
    </w:p>
    <w:p w14:paraId="0D31A93C">
      <w:pPr>
        <w:spacing w:line="360" w:lineRule="auto"/>
        <w:ind w:firstLine="482"/>
        <w:jc w:val="center"/>
        <w:rPr>
          <w:rFonts w:ascii="宋体" w:hAnsi="宋体" w:cs="宋体"/>
          <w:b/>
          <w:sz w:val="24"/>
          <w:szCs w:val="24"/>
          <w:highlight w:val="none"/>
        </w:rPr>
      </w:pPr>
    </w:p>
    <w:p w14:paraId="73A86C3E">
      <w:pPr>
        <w:pStyle w:val="249"/>
        <w:spacing w:line="360" w:lineRule="auto"/>
        <w:rPr>
          <w:rFonts w:ascii="宋体" w:hAnsi="宋体" w:eastAsia="宋体" w:cs="宋体"/>
          <w:sz w:val="24"/>
          <w:szCs w:val="24"/>
          <w:highlight w:val="none"/>
        </w:rPr>
      </w:pPr>
    </w:p>
    <w:p w14:paraId="372B6B7E">
      <w:pPr>
        <w:spacing w:line="360" w:lineRule="auto"/>
        <w:ind w:firstLine="480"/>
        <w:jc w:val="center"/>
        <w:rPr>
          <w:rFonts w:ascii="宋体" w:hAnsi="宋体" w:cs="宋体"/>
          <w:sz w:val="24"/>
          <w:szCs w:val="24"/>
          <w:highlight w:val="none"/>
        </w:rPr>
        <w:sectPr>
          <w:pgSz w:w="11906" w:h="16838"/>
          <w:pgMar w:top="1440" w:right="1800" w:bottom="1440" w:left="1800" w:header="851" w:footer="992" w:gutter="0"/>
          <w:cols w:space="1701" w:num="1"/>
          <w:docGrid w:linePitch="360" w:charSpace="0"/>
        </w:sectPr>
      </w:pPr>
      <w:bookmarkStart w:id="29" w:name="_Toc27586"/>
    </w:p>
    <w:p w14:paraId="6CE7CC13">
      <w:pPr>
        <w:spacing w:line="360" w:lineRule="auto"/>
        <w:jc w:val="center"/>
        <w:outlineLvl w:val="0"/>
        <w:rPr>
          <w:rFonts w:ascii="宋体" w:hAnsi="宋体" w:cs="宋体"/>
          <w:b/>
          <w:bCs/>
          <w:sz w:val="28"/>
          <w:szCs w:val="28"/>
          <w:highlight w:val="none"/>
        </w:rPr>
      </w:pPr>
      <w:bookmarkStart w:id="30" w:name="_Toc19762"/>
      <w:r>
        <w:rPr>
          <w:rFonts w:hint="eastAsia" w:ascii="宋体" w:hAnsi="宋体" w:cs="宋体"/>
          <w:b/>
          <w:bCs/>
          <w:sz w:val="28"/>
          <w:szCs w:val="28"/>
          <w:highlight w:val="none"/>
        </w:rPr>
        <w:t>三、项目技术要求和有关说明</w:t>
      </w:r>
      <w:bookmarkEnd w:id="22"/>
      <w:bookmarkEnd w:id="29"/>
      <w:bookmarkEnd w:id="30"/>
    </w:p>
    <w:p w14:paraId="04B79505">
      <w:pPr>
        <w:spacing w:line="360" w:lineRule="auto"/>
        <w:ind w:left="480"/>
        <w:jc w:val="center"/>
        <w:rPr>
          <w:rFonts w:hint="default" w:ascii="黑体" w:hAnsi="Calibri" w:eastAsia="黑体"/>
          <w:bCs/>
          <w:color w:val="auto"/>
          <w:sz w:val="36"/>
          <w:szCs w:val="36"/>
          <w:highlight w:val="none"/>
        </w:rPr>
      </w:pPr>
      <w:bookmarkStart w:id="31" w:name="_Toc26"/>
      <w:bookmarkStart w:id="32" w:name="_Toc21985"/>
      <w:bookmarkStart w:id="33" w:name="_Toc12214"/>
    </w:p>
    <w:p w14:paraId="5CB79D20">
      <w:pPr>
        <w:keepNext/>
        <w:keepLines/>
        <w:numPr>
          <w:ilvl w:val="0"/>
          <w:numId w:val="3"/>
        </w:numPr>
        <w:adjustRightInd w:val="0"/>
        <w:snapToGrid w:val="0"/>
        <w:spacing w:before="120" w:after="120" w:line="360" w:lineRule="auto"/>
        <w:ind w:firstLine="200"/>
        <w:outlineLvl w:val="0"/>
        <w:rPr>
          <w:rFonts w:hint="default" w:ascii="宋体" w:hAnsi="宋体" w:eastAsia="宋体" w:cs="宋体"/>
          <w:b/>
          <w:bCs/>
          <w:color w:val="auto"/>
          <w:kern w:val="44"/>
          <w:sz w:val="24"/>
          <w:szCs w:val="24"/>
          <w:highlight w:val="none"/>
        </w:rPr>
      </w:pPr>
      <w:r>
        <w:rPr>
          <w:rFonts w:hint="eastAsia" w:ascii="宋体" w:hAnsi="宋体" w:eastAsia="宋体" w:cs="宋体"/>
          <w:b/>
          <w:bCs/>
          <w:color w:val="auto"/>
          <w:kern w:val="44"/>
          <w:sz w:val="24"/>
          <w:szCs w:val="24"/>
          <w:highlight w:val="none"/>
        </w:rPr>
        <w:t>项目名称</w:t>
      </w:r>
    </w:p>
    <w:p w14:paraId="205F4613">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无锡法院集中编目服务采购项目</w:t>
      </w:r>
    </w:p>
    <w:p w14:paraId="75C266F5">
      <w:pPr>
        <w:keepNext/>
        <w:keepLines/>
        <w:numPr>
          <w:ilvl w:val="0"/>
          <w:numId w:val="3"/>
        </w:numPr>
        <w:adjustRightInd w:val="0"/>
        <w:snapToGrid w:val="0"/>
        <w:spacing w:before="120" w:after="120" w:line="360" w:lineRule="auto"/>
        <w:ind w:firstLine="200"/>
        <w:outlineLvl w:val="0"/>
        <w:rPr>
          <w:rFonts w:hint="default" w:ascii="宋体" w:hAnsi="宋体" w:eastAsia="宋体" w:cs="宋体"/>
          <w:b/>
          <w:bCs/>
          <w:color w:val="auto"/>
          <w:kern w:val="44"/>
          <w:sz w:val="24"/>
          <w:szCs w:val="24"/>
          <w:highlight w:val="none"/>
        </w:rPr>
      </w:pPr>
      <w:r>
        <w:rPr>
          <w:rFonts w:hint="eastAsia" w:ascii="宋体" w:hAnsi="宋体" w:eastAsia="宋体" w:cs="宋体"/>
          <w:b/>
          <w:bCs/>
          <w:color w:val="auto"/>
          <w:kern w:val="44"/>
          <w:sz w:val="24"/>
          <w:szCs w:val="24"/>
          <w:highlight w:val="none"/>
        </w:rPr>
        <w:t>采购清单</w:t>
      </w:r>
    </w:p>
    <w:tbl>
      <w:tblPr>
        <w:tblStyle w:val="38"/>
        <w:tblW w:w="9510" w:type="dxa"/>
        <w:jc w:val="center"/>
        <w:tblLayout w:type="fixed"/>
        <w:tblCellMar>
          <w:top w:w="0" w:type="dxa"/>
          <w:left w:w="108" w:type="dxa"/>
          <w:bottom w:w="0" w:type="dxa"/>
          <w:right w:w="108" w:type="dxa"/>
        </w:tblCellMar>
      </w:tblPr>
      <w:tblGrid>
        <w:gridCol w:w="844"/>
        <w:gridCol w:w="1154"/>
        <w:gridCol w:w="1723"/>
        <w:gridCol w:w="3969"/>
        <w:gridCol w:w="1820"/>
      </w:tblGrid>
      <w:tr w14:paraId="6564131E">
        <w:tblPrEx>
          <w:tblCellMar>
            <w:top w:w="0" w:type="dxa"/>
            <w:left w:w="108" w:type="dxa"/>
            <w:bottom w:w="0" w:type="dxa"/>
            <w:right w:w="108" w:type="dxa"/>
          </w:tblCellMar>
        </w:tblPrEx>
        <w:trPr>
          <w:trHeight w:val="867" w:hRule="atLeast"/>
          <w:jc w:val="center"/>
        </w:trPr>
        <w:tc>
          <w:tcPr>
            <w:tcW w:w="844" w:type="dxa"/>
            <w:tcBorders>
              <w:top w:val="single" w:color="auto" w:sz="6" w:space="0"/>
              <w:left w:val="single" w:color="auto" w:sz="6" w:space="0"/>
              <w:bottom w:val="single" w:color="auto" w:sz="6" w:space="0"/>
              <w:right w:val="single" w:color="auto" w:sz="6" w:space="0"/>
            </w:tcBorders>
            <w:vAlign w:val="center"/>
          </w:tcPr>
          <w:p w14:paraId="4662AD0A">
            <w:pPr>
              <w:adjustRightInd w:val="0"/>
              <w:snapToGrid w:val="0"/>
              <w:spacing w:line="360" w:lineRule="auto"/>
              <w:jc w:val="center"/>
              <w:rPr>
                <w:rFonts w:hint="default"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序号</w:t>
            </w:r>
          </w:p>
        </w:tc>
        <w:tc>
          <w:tcPr>
            <w:tcW w:w="1154" w:type="dxa"/>
            <w:tcBorders>
              <w:top w:val="single" w:color="auto" w:sz="6" w:space="0"/>
              <w:left w:val="single" w:color="auto" w:sz="6" w:space="0"/>
              <w:bottom w:val="single" w:color="auto" w:sz="6" w:space="0"/>
              <w:right w:val="single" w:color="auto" w:sz="6" w:space="0"/>
            </w:tcBorders>
            <w:vAlign w:val="center"/>
          </w:tcPr>
          <w:p w14:paraId="577C25D9">
            <w:pPr>
              <w:adjustRightInd w:val="0"/>
              <w:snapToGrid w:val="0"/>
              <w:spacing w:line="360" w:lineRule="auto"/>
              <w:jc w:val="center"/>
              <w:rPr>
                <w:rFonts w:hint="default"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项目</w:t>
            </w:r>
          </w:p>
        </w:tc>
        <w:tc>
          <w:tcPr>
            <w:tcW w:w="1723" w:type="dxa"/>
            <w:tcBorders>
              <w:top w:val="single" w:color="auto" w:sz="6" w:space="0"/>
              <w:left w:val="single" w:color="auto" w:sz="6" w:space="0"/>
              <w:bottom w:val="single" w:color="auto" w:sz="6" w:space="0"/>
              <w:right w:val="single" w:color="auto" w:sz="4" w:space="0"/>
            </w:tcBorders>
            <w:vAlign w:val="center"/>
          </w:tcPr>
          <w:p w14:paraId="6A253711">
            <w:pPr>
              <w:adjustRightInd w:val="0"/>
              <w:snapToGrid w:val="0"/>
              <w:spacing w:line="360" w:lineRule="auto"/>
              <w:jc w:val="center"/>
              <w:rPr>
                <w:rFonts w:hint="default"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内容</w:t>
            </w:r>
          </w:p>
        </w:tc>
        <w:tc>
          <w:tcPr>
            <w:tcW w:w="3969" w:type="dxa"/>
            <w:tcBorders>
              <w:top w:val="single" w:color="auto" w:sz="6" w:space="0"/>
              <w:left w:val="single" w:color="auto" w:sz="4" w:space="0"/>
              <w:bottom w:val="single" w:color="auto" w:sz="6" w:space="0"/>
              <w:right w:val="single" w:color="auto" w:sz="6" w:space="0"/>
            </w:tcBorders>
            <w:vAlign w:val="center"/>
          </w:tcPr>
          <w:p w14:paraId="11655748">
            <w:pPr>
              <w:adjustRightInd w:val="0"/>
              <w:snapToGrid w:val="0"/>
              <w:spacing w:line="360" w:lineRule="auto"/>
              <w:jc w:val="center"/>
              <w:rPr>
                <w:rFonts w:hint="default"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说明</w:t>
            </w:r>
          </w:p>
        </w:tc>
        <w:tc>
          <w:tcPr>
            <w:tcW w:w="1820" w:type="dxa"/>
            <w:tcBorders>
              <w:top w:val="single" w:color="auto" w:sz="6" w:space="0"/>
              <w:left w:val="single" w:color="auto" w:sz="6" w:space="0"/>
              <w:bottom w:val="single" w:color="auto" w:sz="6" w:space="0"/>
              <w:right w:val="single" w:color="auto" w:sz="6" w:space="0"/>
            </w:tcBorders>
            <w:vAlign w:val="center"/>
          </w:tcPr>
          <w:p w14:paraId="657BBAD0">
            <w:pPr>
              <w:adjustRightInd w:val="0"/>
              <w:snapToGrid w:val="0"/>
              <w:spacing w:line="360" w:lineRule="auto"/>
              <w:jc w:val="center"/>
              <w:rPr>
                <w:rFonts w:hint="default"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最高限价</w:t>
            </w:r>
          </w:p>
        </w:tc>
      </w:tr>
      <w:tr w14:paraId="19E073FD">
        <w:tblPrEx>
          <w:tblCellMar>
            <w:top w:w="0" w:type="dxa"/>
            <w:left w:w="108" w:type="dxa"/>
            <w:bottom w:w="0" w:type="dxa"/>
            <w:right w:w="108" w:type="dxa"/>
          </w:tblCellMar>
        </w:tblPrEx>
        <w:trPr>
          <w:trHeight w:val="2421" w:hRule="atLeast"/>
          <w:jc w:val="center"/>
        </w:trPr>
        <w:tc>
          <w:tcPr>
            <w:tcW w:w="844" w:type="dxa"/>
            <w:tcBorders>
              <w:top w:val="single" w:color="auto" w:sz="6" w:space="0"/>
              <w:left w:val="single" w:color="auto" w:sz="6" w:space="0"/>
              <w:bottom w:val="single" w:color="auto" w:sz="6" w:space="0"/>
              <w:right w:val="single" w:color="auto" w:sz="6" w:space="0"/>
            </w:tcBorders>
            <w:vAlign w:val="center"/>
          </w:tcPr>
          <w:p w14:paraId="48E4992E">
            <w:pPr>
              <w:adjustRightInd w:val="0"/>
              <w:snapToGrid w:val="0"/>
              <w:spacing w:line="360" w:lineRule="auto"/>
              <w:jc w:val="center"/>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p>
        </w:tc>
        <w:tc>
          <w:tcPr>
            <w:tcW w:w="1154" w:type="dxa"/>
            <w:tcBorders>
              <w:top w:val="single" w:color="auto" w:sz="6" w:space="0"/>
              <w:left w:val="single" w:color="auto" w:sz="6" w:space="0"/>
              <w:bottom w:val="single" w:color="auto" w:sz="6" w:space="0"/>
              <w:right w:val="single" w:color="auto" w:sz="6" w:space="0"/>
            </w:tcBorders>
            <w:vAlign w:val="center"/>
          </w:tcPr>
          <w:p w14:paraId="351CE62B">
            <w:pPr>
              <w:adjustRightInd w:val="0"/>
              <w:snapToGrid w:val="0"/>
              <w:spacing w:line="360" w:lineRule="auto"/>
              <w:jc w:val="center"/>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无锡法院集中编目服务</w:t>
            </w:r>
          </w:p>
        </w:tc>
        <w:tc>
          <w:tcPr>
            <w:tcW w:w="1723" w:type="dxa"/>
            <w:tcBorders>
              <w:top w:val="single" w:color="auto" w:sz="6" w:space="0"/>
              <w:left w:val="single" w:color="auto" w:sz="6" w:space="0"/>
              <w:bottom w:val="single" w:color="auto" w:sz="6" w:space="0"/>
              <w:right w:val="single" w:color="auto" w:sz="4" w:space="0"/>
            </w:tcBorders>
            <w:vAlign w:val="center"/>
          </w:tcPr>
          <w:p w14:paraId="372F0990">
            <w:pPr>
              <w:adjustRightInd w:val="0"/>
              <w:snapToGrid w:val="0"/>
              <w:spacing w:line="360" w:lineRule="auto"/>
              <w:jc w:val="center"/>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对无锡全市两级共8家法院提供集中编目服务</w:t>
            </w:r>
          </w:p>
        </w:tc>
        <w:tc>
          <w:tcPr>
            <w:tcW w:w="3969" w:type="dxa"/>
            <w:tcBorders>
              <w:top w:val="single" w:color="auto" w:sz="6" w:space="0"/>
              <w:left w:val="single" w:color="auto" w:sz="4" w:space="0"/>
              <w:bottom w:val="single" w:color="auto" w:sz="4" w:space="0"/>
              <w:right w:val="single" w:color="auto" w:sz="6" w:space="0"/>
            </w:tcBorders>
            <w:vAlign w:val="center"/>
          </w:tcPr>
          <w:p w14:paraId="2F5794C1">
            <w:pPr>
              <w:adjustRightInd w:val="0"/>
              <w:snapToGrid w:val="0"/>
              <w:spacing w:line="360" w:lineRule="auto"/>
              <w:jc w:val="left"/>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xml:space="preserve">对无锡全市两级共8家法院合同期内立案的审判一审二审和执行等案件完成材料精细化名称标注和归目质检的工作，同时对各基层院随案扫描团队进行材料整理、分类、排序，材料扫描等操作培训，满足无锡全市两级法院无纸化办案需求。 </w:t>
            </w:r>
          </w:p>
        </w:tc>
        <w:tc>
          <w:tcPr>
            <w:tcW w:w="1820" w:type="dxa"/>
            <w:tcBorders>
              <w:top w:val="single" w:color="auto" w:sz="6" w:space="0"/>
              <w:left w:val="single" w:color="auto" w:sz="6" w:space="0"/>
              <w:bottom w:val="single" w:color="auto" w:sz="4" w:space="0"/>
              <w:right w:val="single" w:color="auto" w:sz="6" w:space="0"/>
            </w:tcBorders>
            <w:vAlign w:val="center"/>
          </w:tcPr>
          <w:p w14:paraId="1F7D5A76">
            <w:pPr>
              <w:adjustRightInd w:val="0"/>
              <w:snapToGrid w:val="0"/>
              <w:spacing w:line="360" w:lineRule="auto"/>
              <w:jc w:val="center"/>
              <w:rPr>
                <w:rFonts w:hint="default" w:ascii="宋体" w:hAnsi="宋体" w:eastAsia="宋体" w:cs="宋体"/>
                <w:color w:val="auto"/>
                <w:kern w:val="2"/>
                <w:sz w:val="24"/>
                <w:szCs w:val="24"/>
                <w:highlight w:val="none"/>
              </w:rPr>
            </w:pPr>
            <w:r>
              <w:rPr>
                <w:rFonts w:hint="eastAsia" w:asciiTheme="minorEastAsia" w:hAnsiTheme="minorEastAsia" w:eastAsiaTheme="minorEastAsia" w:cstheme="minorEastAsia"/>
                <w:color w:val="auto"/>
                <w:sz w:val="24"/>
                <w:szCs w:val="24"/>
                <w:highlight w:val="none"/>
              </w:rPr>
              <w:t>555万元/3年（单价：0.15元/页）</w:t>
            </w:r>
          </w:p>
        </w:tc>
      </w:tr>
      <w:tr w14:paraId="5AC208BF">
        <w:tblPrEx>
          <w:tblCellMar>
            <w:top w:w="0" w:type="dxa"/>
            <w:left w:w="108" w:type="dxa"/>
            <w:bottom w:w="0" w:type="dxa"/>
            <w:right w:w="108" w:type="dxa"/>
          </w:tblCellMar>
        </w:tblPrEx>
        <w:trPr>
          <w:trHeight w:val="466" w:hRule="atLeast"/>
          <w:jc w:val="center"/>
        </w:trPr>
        <w:tc>
          <w:tcPr>
            <w:tcW w:w="9510" w:type="dxa"/>
            <w:gridSpan w:val="5"/>
            <w:tcBorders>
              <w:top w:val="single" w:color="auto" w:sz="6" w:space="0"/>
              <w:left w:val="single" w:color="auto" w:sz="6" w:space="0"/>
              <w:bottom w:val="single" w:color="auto" w:sz="6" w:space="0"/>
              <w:right w:val="single" w:color="auto" w:sz="6" w:space="0"/>
            </w:tcBorders>
            <w:vAlign w:val="center"/>
          </w:tcPr>
          <w:p w14:paraId="53DFF3F2">
            <w:pPr>
              <w:adjustRightInd w:val="0"/>
              <w:snapToGrid w:val="0"/>
              <w:spacing w:line="360" w:lineRule="auto"/>
              <w:rPr>
                <w:rFonts w:hint="default"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说明：</w:t>
            </w:r>
            <w:r>
              <w:rPr>
                <w:rFonts w:hint="eastAsia" w:ascii="宋体" w:hAnsi="宋体" w:eastAsia="宋体" w:cs="宋体"/>
                <w:color w:val="auto"/>
                <w:kern w:val="2"/>
                <w:sz w:val="24"/>
                <w:szCs w:val="24"/>
                <w:highlight w:val="none"/>
                <w:lang w:val="zh-CN"/>
              </w:rPr>
              <w:t>本次招标有效期三年，招标结果为无锡法院集中编目的统一单价；全市基层法院按照此价格分别与</w:t>
            </w:r>
            <w:r>
              <w:rPr>
                <w:rFonts w:hint="eastAsia" w:asciiTheme="minorEastAsia" w:hAnsiTheme="minorEastAsia" w:eastAsiaTheme="minorEastAsia" w:cstheme="minorEastAsia"/>
                <w:color w:val="auto"/>
                <w:sz w:val="24"/>
                <w:szCs w:val="24"/>
                <w:highlight w:val="none"/>
              </w:rPr>
              <w:t>中标供应商</w:t>
            </w:r>
            <w:r>
              <w:rPr>
                <w:rFonts w:hint="eastAsia" w:ascii="宋体" w:hAnsi="宋体" w:eastAsia="宋体" w:cs="宋体"/>
                <w:color w:val="auto"/>
                <w:kern w:val="2"/>
                <w:sz w:val="24"/>
                <w:szCs w:val="24"/>
                <w:highlight w:val="none"/>
                <w:lang w:val="zh-CN"/>
              </w:rPr>
              <w:t>签订合同，由</w:t>
            </w:r>
            <w:r>
              <w:rPr>
                <w:rFonts w:hint="eastAsia" w:asciiTheme="minorEastAsia" w:hAnsiTheme="minorEastAsia" w:eastAsiaTheme="minorEastAsia" w:cstheme="minorEastAsia"/>
                <w:color w:val="auto"/>
                <w:sz w:val="24"/>
                <w:szCs w:val="24"/>
                <w:highlight w:val="none"/>
              </w:rPr>
              <w:t>各法院单独</w:t>
            </w:r>
            <w:r>
              <w:rPr>
                <w:rFonts w:hint="eastAsia" w:ascii="宋体" w:hAnsi="宋体" w:eastAsia="宋体" w:cs="宋体"/>
                <w:color w:val="auto"/>
                <w:kern w:val="2"/>
                <w:sz w:val="24"/>
                <w:szCs w:val="24"/>
                <w:highlight w:val="none"/>
                <w:lang w:val="zh-CN"/>
              </w:rPr>
              <w:t>与</w:t>
            </w:r>
            <w:r>
              <w:rPr>
                <w:rFonts w:hint="eastAsia" w:asciiTheme="minorEastAsia" w:hAnsiTheme="minorEastAsia" w:eastAsiaTheme="minorEastAsia" w:cstheme="minorEastAsia"/>
                <w:color w:val="auto"/>
                <w:sz w:val="24"/>
                <w:szCs w:val="24"/>
                <w:highlight w:val="none"/>
              </w:rPr>
              <w:t>中标供应商进</w:t>
            </w:r>
            <w:r>
              <w:rPr>
                <w:rFonts w:hint="eastAsia" w:ascii="宋体" w:hAnsi="宋体" w:eastAsia="宋体" w:cs="宋体"/>
                <w:color w:val="auto"/>
                <w:kern w:val="2"/>
                <w:sz w:val="24"/>
                <w:szCs w:val="24"/>
                <w:highlight w:val="none"/>
                <w:lang w:val="zh-CN"/>
              </w:rPr>
              <w:t>行结算。</w:t>
            </w:r>
          </w:p>
        </w:tc>
      </w:tr>
    </w:tbl>
    <w:p w14:paraId="4ADB82B1">
      <w:pPr>
        <w:widowControl w:val="0"/>
        <w:ind w:firstLine="280" w:firstLineChars="100"/>
        <w:jc w:val="both"/>
        <w:rPr>
          <w:rFonts w:ascii="宋体" w:hAnsi="宋体" w:eastAsia="宋体" w:cs="宋体"/>
          <w:bCs/>
          <w:color w:val="auto"/>
          <w:sz w:val="28"/>
          <w:szCs w:val="20"/>
          <w:highlight w:val="none"/>
          <w:lang w:val="en-US" w:eastAsia="zh-CN" w:bidi="ar-SA"/>
        </w:rPr>
      </w:pPr>
    </w:p>
    <w:p w14:paraId="5AF11C81">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各法院具体清单及预算：</w:t>
      </w:r>
    </w:p>
    <w:tbl>
      <w:tblPr>
        <w:tblStyle w:val="38"/>
        <w:tblpPr w:leftFromText="180" w:rightFromText="180" w:vertAnchor="text" w:horzAnchor="page" w:tblpX="1465" w:tblpY="472"/>
        <w:tblOverlap w:val="never"/>
        <w:tblW w:w="9523" w:type="dxa"/>
        <w:tblInd w:w="0" w:type="dxa"/>
        <w:tblLayout w:type="fixed"/>
        <w:tblCellMar>
          <w:top w:w="0" w:type="dxa"/>
          <w:left w:w="108" w:type="dxa"/>
          <w:bottom w:w="0" w:type="dxa"/>
          <w:right w:w="108" w:type="dxa"/>
        </w:tblCellMar>
      </w:tblPr>
      <w:tblGrid>
        <w:gridCol w:w="840"/>
        <w:gridCol w:w="2997"/>
        <w:gridCol w:w="1875"/>
        <w:gridCol w:w="1350"/>
        <w:gridCol w:w="1380"/>
        <w:gridCol w:w="1081"/>
      </w:tblGrid>
      <w:tr w14:paraId="42CA71D3">
        <w:tblPrEx>
          <w:tblCellMar>
            <w:top w:w="0" w:type="dxa"/>
            <w:left w:w="108" w:type="dxa"/>
            <w:bottom w:w="0" w:type="dxa"/>
            <w:right w:w="108" w:type="dxa"/>
          </w:tblCellMar>
        </w:tblPrEx>
        <w:trPr>
          <w:trHeight w:val="728"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20088">
            <w:pPr>
              <w:widowControl/>
              <w:jc w:val="center"/>
              <w:textAlignment w:val="center"/>
              <w:rPr>
                <w:rFonts w:hint="default"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序号</w:t>
            </w:r>
          </w:p>
        </w:tc>
        <w:tc>
          <w:tcPr>
            <w:tcW w:w="2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2AC24">
            <w:pPr>
              <w:widowControl/>
              <w:jc w:val="center"/>
              <w:textAlignment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单位名称</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72ED6">
            <w:pPr>
              <w:widowControl/>
              <w:jc w:val="center"/>
              <w:textAlignment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最高单价：元/页</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EAB80">
            <w:pPr>
              <w:widowControl/>
              <w:jc w:val="center"/>
              <w:textAlignment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预估量：页/年</w:t>
            </w:r>
          </w:p>
        </w:tc>
        <w:tc>
          <w:tcPr>
            <w:tcW w:w="1380" w:type="dxa"/>
            <w:tcBorders>
              <w:top w:val="single" w:color="000000" w:sz="4" w:space="0"/>
              <w:left w:val="single" w:color="000000" w:sz="4" w:space="0"/>
              <w:bottom w:val="single" w:color="000000" w:sz="4" w:space="0"/>
              <w:right w:val="single" w:color="auto" w:sz="4" w:space="0"/>
            </w:tcBorders>
            <w:shd w:val="clear" w:color="auto" w:fill="auto"/>
            <w:vAlign w:val="center"/>
          </w:tcPr>
          <w:p w14:paraId="3149C4C5">
            <w:pPr>
              <w:widowControl/>
              <w:jc w:val="center"/>
              <w:textAlignment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预算总价</w:t>
            </w:r>
            <w:r>
              <w:rPr>
                <w:rFonts w:hint="default" w:ascii="宋体" w:hAnsi="宋体" w:eastAsia="宋体" w:cs="宋体"/>
                <w:b/>
                <w:bCs/>
                <w:color w:val="auto"/>
                <w:sz w:val="24"/>
                <w:szCs w:val="24"/>
                <w:highlight w:val="none"/>
                <w:lang w:bidi="ar"/>
              </w:rPr>
              <w:t>/年（元）</w:t>
            </w:r>
          </w:p>
        </w:tc>
        <w:tc>
          <w:tcPr>
            <w:tcW w:w="1081" w:type="dxa"/>
            <w:tcBorders>
              <w:top w:val="single" w:color="000000" w:sz="4" w:space="0"/>
              <w:left w:val="single" w:color="auto" w:sz="4" w:space="0"/>
              <w:bottom w:val="single" w:color="000000" w:sz="4" w:space="0"/>
              <w:right w:val="single" w:color="000000" w:sz="4" w:space="0"/>
            </w:tcBorders>
            <w:shd w:val="clear" w:color="auto" w:fill="auto"/>
            <w:vAlign w:val="center"/>
          </w:tcPr>
          <w:p w14:paraId="5006BF6A">
            <w:pPr>
              <w:widowControl/>
              <w:jc w:val="center"/>
              <w:textAlignment w:val="center"/>
              <w:rPr>
                <w:rFonts w:hint="default"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预算总价/3年（元）</w:t>
            </w:r>
          </w:p>
        </w:tc>
      </w:tr>
      <w:tr w14:paraId="124D152E">
        <w:tblPrEx>
          <w:tblCellMar>
            <w:top w:w="0" w:type="dxa"/>
            <w:left w:w="108" w:type="dxa"/>
            <w:bottom w:w="0" w:type="dxa"/>
            <w:right w:w="108" w:type="dxa"/>
          </w:tblCellMar>
        </w:tblPrEx>
        <w:trPr>
          <w:trHeight w:val="467"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3BD10">
            <w:pPr>
              <w:widowControl/>
              <w:jc w:val="center"/>
              <w:textAlignment w:val="center"/>
              <w:rPr>
                <w:rFonts w:hint="default" w:ascii="宋体" w:hAnsi="宋体" w:eastAsia="宋体" w:cs="宋体"/>
                <w:color w:val="auto"/>
                <w:sz w:val="24"/>
                <w:szCs w:val="24"/>
                <w:highlight w:val="none"/>
                <w:lang w:bidi="ar"/>
              </w:rPr>
            </w:pPr>
            <w:r>
              <w:rPr>
                <w:rFonts w:hint="default" w:ascii="宋体" w:hAnsi="宋体" w:eastAsia="宋体" w:cs="宋体"/>
                <w:color w:val="auto"/>
                <w:sz w:val="24"/>
                <w:szCs w:val="24"/>
                <w:highlight w:val="none"/>
                <w:lang w:bidi="ar"/>
              </w:rPr>
              <w:t>1</w:t>
            </w:r>
          </w:p>
        </w:tc>
        <w:tc>
          <w:tcPr>
            <w:tcW w:w="2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29737">
            <w:pPr>
              <w:widowControl/>
              <w:jc w:val="left"/>
              <w:textAlignment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江苏省无锡市中级人民法院单位</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AFC9F">
            <w:pPr>
              <w:widowControl/>
              <w:jc w:val="center"/>
              <w:textAlignment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0.15</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028AD">
            <w:pPr>
              <w:widowControl/>
              <w:jc w:val="center"/>
              <w:textAlignment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56666</w:t>
            </w:r>
            <w:r>
              <w:rPr>
                <w:rFonts w:hint="eastAsia" w:ascii="宋体" w:hAnsi="宋体" w:eastAsia="宋体" w:cs="宋体"/>
                <w:color w:val="auto"/>
                <w:sz w:val="24"/>
                <w:szCs w:val="24"/>
                <w:highlight w:val="none"/>
                <w:lang w:bidi="ar"/>
              </w:rPr>
              <w:t>6</w:t>
            </w:r>
            <w:r>
              <w:rPr>
                <w:rFonts w:hint="default" w:ascii="宋体" w:hAnsi="宋体" w:eastAsia="宋体" w:cs="宋体"/>
                <w:color w:val="auto"/>
                <w:sz w:val="24"/>
                <w:szCs w:val="24"/>
                <w:highlight w:val="none"/>
                <w:lang w:bidi="ar"/>
              </w:rPr>
              <w:t xml:space="preserve"> </w:t>
            </w:r>
          </w:p>
        </w:tc>
        <w:tc>
          <w:tcPr>
            <w:tcW w:w="1380"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3F3B8C0A">
            <w:pPr>
              <w:widowControl/>
              <w:jc w:val="center"/>
              <w:textAlignment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85000</w:t>
            </w:r>
          </w:p>
        </w:tc>
        <w:tc>
          <w:tcPr>
            <w:tcW w:w="1081"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3191D708">
            <w:pPr>
              <w:widowControl/>
              <w:jc w:val="center"/>
              <w:textAlignment w:val="center"/>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255000</w:t>
            </w:r>
          </w:p>
        </w:tc>
      </w:tr>
      <w:tr w14:paraId="0BA78F30">
        <w:tblPrEx>
          <w:tblCellMar>
            <w:top w:w="0" w:type="dxa"/>
            <w:left w:w="108" w:type="dxa"/>
            <w:bottom w:w="0" w:type="dxa"/>
            <w:right w:w="108" w:type="dxa"/>
          </w:tblCellMar>
        </w:tblPrEx>
        <w:trPr>
          <w:trHeight w:val="605"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5198C">
            <w:pPr>
              <w:widowControl/>
              <w:jc w:val="center"/>
              <w:textAlignment w:val="center"/>
              <w:rPr>
                <w:rFonts w:hint="default" w:ascii="宋体" w:hAnsi="宋体" w:eastAsia="宋体" w:cs="宋体"/>
                <w:color w:val="auto"/>
                <w:sz w:val="24"/>
                <w:szCs w:val="24"/>
                <w:highlight w:val="none"/>
                <w:lang w:bidi="ar"/>
              </w:rPr>
            </w:pPr>
            <w:r>
              <w:rPr>
                <w:rFonts w:hint="default" w:ascii="宋体" w:hAnsi="宋体" w:eastAsia="宋体" w:cs="宋体"/>
                <w:color w:val="auto"/>
                <w:sz w:val="24"/>
                <w:szCs w:val="24"/>
                <w:highlight w:val="none"/>
                <w:lang w:bidi="ar"/>
              </w:rPr>
              <w:t>2</w:t>
            </w:r>
          </w:p>
        </w:tc>
        <w:tc>
          <w:tcPr>
            <w:tcW w:w="2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A15DD">
            <w:pPr>
              <w:widowControl/>
              <w:jc w:val="left"/>
              <w:textAlignment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江苏省无锡市江阴市人民法院单位</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61141">
            <w:pPr>
              <w:widowControl/>
              <w:jc w:val="center"/>
              <w:textAlignment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0.15</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258EB">
            <w:pPr>
              <w:widowControl/>
              <w:jc w:val="center"/>
              <w:textAlignment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166666</w:t>
            </w:r>
            <w:r>
              <w:rPr>
                <w:rFonts w:hint="eastAsia" w:ascii="宋体" w:hAnsi="宋体" w:eastAsia="宋体" w:cs="宋体"/>
                <w:color w:val="auto"/>
                <w:sz w:val="24"/>
                <w:szCs w:val="24"/>
                <w:highlight w:val="none"/>
                <w:lang w:bidi="ar"/>
              </w:rPr>
              <w:t>6</w:t>
            </w:r>
          </w:p>
        </w:tc>
        <w:tc>
          <w:tcPr>
            <w:tcW w:w="1380"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4959B4EF">
            <w:pPr>
              <w:widowControl/>
              <w:jc w:val="center"/>
              <w:textAlignment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250000</w:t>
            </w:r>
          </w:p>
        </w:tc>
        <w:tc>
          <w:tcPr>
            <w:tcW w:w="1081"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2D95BDE1">
            <w:pPr>
              <w:widowControl/>
              <w:jc w:val="center"/>
              <w:textAlignment w:val="center"/>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750000</w:t>
            </w:r>
          </w:p>
        </w:tc>
      </w:tr>
      <w:tr w14:paraId="341664BC">
        <w:tblPrEx>
          <w:tblCellMar>
            <w:top w:w="0" w:type="dxa"/>
            <w:left w:w="108" w:type="dxa"/>
            <w:bottom w:w="0" w:type="dxa"/>
            <w:right w:w="108" w:type="dxa"/>
          </w:tblCellMar>
        </w:tblPrEx>
        <w:trPr>
          <w:trHeight w:val="467"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34746">
            <w:pPr>
              <w:widowControl/>
              <w:jc w:val="center"/>
              <w:textAlignment w:val="center"/>
              <w:rPr>
                <w:rFonts w:hint="default" w:ascii="宋体" w:hAnsi="宋体" w:eastAsia="宋体" w:cs="宋体"/>
                <w:color w:val="auto"/>
                <w:sz w:val="24"/>
                <w:szCs w:val="24"/>
                <w:highlight w:val="none"/>
                <w:lang w:bidi="ar"/>
              </w:rPr>
            </w:pPr>
            <w:r>
              <w:rPr>
                <w:rFonts w:hint="default" w:ascii="宋体" w:hAnsi="宋体" w:eastAsia="宋体" w:cs="宋体"/>
                <w:color w:val="auto"/>
                <w:sz w:val="24"/>
                <w:szCs w:val="24"/>
                <w:highlight w:val="none"/>
                <w:lang w:bidi="ar"/>
              </w:rPr>
              <w:t>3</w:t>
            </w:r>
          </w:p>
        </w:tc>
        <w:tc>
          <w:tcPr>
            <w:tcW w:w="2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52F5C">
            <w:pPr>
              <w:widowControl/>
              <w:jc w:val="left"/>
              <w:textAlignment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江苏省无锡市宜兴市人民法院单位</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552E3">
            <w:pPr>
              <w:widowControl/>
              <w:jc w:val="center"/>
              <w:textAlignment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0.15</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0DF29">
            <w:pPr>
              <w:widowControl/>
              <w:jc w:val="center"/>
              <w:textAlignment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186666</w:t>
            </w:r>
            <w:r>
              <w:rPr>
                <w:rFonts w:hint="eastAsia" w:ascii="宋体" w:hAnsi="宋体" w:eastAsia="宋体" w:cs="宋体"/>
                <w:color w:val="auto"/>
                <w:sz w:val="24"/>
                <w:szCs w:val="24"/>
                <w:highlight w:val="none"/>
                <w:lang w:bidi="ar"/>
              </w:rPr>
              <w:t>6</w:t>
            </w:r>
            <w:r>
              <w:rPr>
                <w:rFonts w:hint="default" w:ascii="宋体" w:hAnsi="宋体" w:eastAsia="宋体" w:cs="宋体"/>
                <w:color w:val="auto"/>
                <w:sz w:val="24"/>
                <w:szCs w:val="24"/>
                <w:highlight w:val="none"/>
                <w:lang w:bidi="ar"/>
              </w:rPr>
              <w:t xml:space="preserve"> </w:t>
            </w:r>
          </w:p>
        </w:tc>
        <w:tc>
          <w:tcPr>
            <w:tcW w:w="1380"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77E74C44">
            <w:pPr>
              <w:widowControl/>
              <w:jc w:val="center"/>
              <w:textAlignment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280000</w:t>
            </w:r>
          </w:p>
        </w:tc>
        <w:tc>
          <w:tcPr>
            <w:tcW w:w="1081"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7E3B578C">
            <w:pPr>
              <w:widowControl/>
              <w:jc w:val="center"/>
              <w:textAlignment w:val="center"/>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840000</w:t>
            </w:r>
          </w:p>
        </w:tc>
      </w:tr>
      <w:tr w14:paraId="657F717D">
        <w:tblPrEx>
          <w:tblCellMar>
            <w:top w:w="0" w:type="dxa"/>
            <w:left w:w="108" w:type="dxa"/>
            <w:bottom w:w="0" w:type="dxa"/>
            <w:right w:w="108" w:type="dxa"/>
          </w:tblCellMar>
        </w:tblPrEx>
        <w:trPr>
          <w:trHeight w:val="467"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15B66">
            <w:pPr>
              <w:widowControl/>
              <w:jc w:val="center"/>
              <w:textAlignment w:val="center"/>
              <w:rPr>
                <w:rFonts w:hint="default" w:ascii="宋体" w:hAnsi="宋体" w:eastAsia="宋体" w:cs="宋体"/>
                <w:color w:val="auto"/>
                <w:sz w:val="24"/>
                <w:szCs w:val="24"/>
                <w:highlight w:val="none"/>
                <w:lang w:bidi="ar"/>
              </w:rPr>
            </w:pPr>
            <w:r>
              <w:rPr>
                <w:rFonts w:hint="default" w:ascii="宋体" w:hAnsi="宋体" w:eastAsia="宋体" w:cs="宋体"/>
                <w:color w:val="auto"/>
                <w:sz w:val="24"/>
                <w:szCs w:val="24"/>
                <w:highlight w:val="none"/>
                <w:lang w:bidi="ar"/>
              </w:rPr>
              <w:t>4</w:t>
            </w:r>
          </w:p>
        </w:tc>
        <w:tc>
          <w:tcPr>
            <w:tcW w:w="2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EF79E">
            <w:pPr>
              <w:widowControl/>
              <w:jc w:val="left"/>
              <w:textAlignment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江苏省无锡市梁溪区人民法院单位</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898D5">
            <w:pPr>
              <w:widowControl/>
              <w:jc w:val="center"/>
              <w:textAlignment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0.15</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D1192">
            <w:pPr>
              <w:widowControl/>
              <w:jc w:val="center"/>
              <w:textAlignment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206666</w:t>
            </w:r>
            <w:r>
              <w:rPr>
                <w:rFonts w:hint="eastAsia" w:ascii="宋体" w:hAnsi="宋体" w:eastAsia="宋体" w:cs="宋体"/>
                <w:color w:val="auto"/>
                <w:sz w:val="24"/>
                <w:szCs w:val="24"/>
                <w:highlight w:val="none"/>
                <w:lang w:bidi="ar"/>
              </w:rPr>
              <w:t>6</w:t>
            </w:r>
            <w:r>
              <w:rPr>
                <w:rFonts w:hint="default" w:ascii="宋体" w:hAnsi="宋体" w:eastAsia="宋体" w:cs="宋体"/>
                <w:color w:val="auto"/>
                <w:sz w:val="24"/>
                <w:szCs w:val="24"/>
                <w:highlight w:val="none"/>
                <w:lang w:bidi="ar"/>
              </w:rPr>
              <w:t xml:space="preserve"> </w:t>
            </w:r>
          </w:p>
        </w:tc>
        <w:tc>
          <w:tcPr>
            <w:tcW w:w="1380"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312DAC63">
            <w:pPr>
              <w:widowControl/>
              <w:jc w:val="center"/>
              <w:textAlignment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310000</w:t>
            </w:r>
          </w:p>
        </w:tc>
        <w:tc>
          <w:tcPr>
            <w:tcW w:w="1081"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65AB6BF4">
            <w:pPr>
              <w:widowControl/>
              <w:jc w:val="center"/>
              <w:textAlignment w:val="center"/>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930000</w:t>
            </w:r>
          </w:p>
        </w:tc>
      </w:tr>
      <w:tr w14:paraId="69D321CA">
        <w:tblPrEx>
          <w:tblCellMar>
            <w:top w:w="0" w:type="dxa"/>
            <w:left w:w="108" w:type="dxa"/>
            <w:bottom w:w="0" w:type="dxa"/>
            <w:right w:w="108" w:type="dxa"/>
          </w:tblCellMar>
        </w:tblPrEx>
        <w:trPr>
          <w:trHeight w:val="467"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F922D">
            <w:pPr>
              <w:widowControl/>
              <w:jc w:val="center"/>
              <w:textAlignment w:val="center"/>
              <w:rPr>
                <w:rFonts w:hint="default" w:ascii="宋体" w:hAnsi="宋体" w:eastAsia="宋体" w:cs="宋体"/>
                <w:color w:val="auto"/>
                <w:sz w:val="24"/>
                <w:szCs w:val="24"/>
                <w:highlight w:val="none"/>
                <w:lang w:bidi="ar"/>
              </w:rPr>
            </w:pPr>
            <w:r>
              <w:rPr>
                <w:rFonts w:hint="default" w:ascii="宋体" w:hAnsi="宋体" w:eastAsia="宋体" w:cs="宋体"/>
                <w:color w:val="auto"/>
                <w:sz w:val="24"/>
                <w:szCs w:val="24"/>
                <w:highlight w:val="none"/>
                <w:lang w:bidi="ar"/>
              </w:rPr>
              <w:t>5</w:t>
            </w:r>
          </w:p>
        </w:tc>
        <w:tc>
          <w:tcPr>
            <w:tcW w:w="2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BE28D">
            <w:pPr>
              <w:widowControl/>
              <w:jc w:val="left"/>
              <w:textAlignment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江苏省无锡市锡山区人民法院单位</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48599">
            <w:pPr>
              <w:widowControl/>
              <w:jc w:val="center"/>
              <w:textAlignment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0.15</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9F22C">
            <w:pPr>
              <w:widowControl/>
              <w:jc w:val="center"/>
              <w:textAlignment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106666</w:t>
            </w:r>
            <w:r>
              <w:rPr>
                <w:rFonts w:hint="eastAsia" w:ascii="宋体" w:hAnsi="宋体" w:eastAsia="宋体" w:cs="宋体"/>
                <w:color w:val="auto"/>
                <w:sz w:val="24"/>
                <w:szCs w:val="24"/>
                <w:highlight w:val="none"/>
                <w:lang w:bidi="ar"/>
              </w:rPr>
              <w:t>6</w:t>
            </w:r>
            <w:r>
              <w:rPr>
                <w:rFonts w:hint="default" w:ascii="宋体" w:hAnsi="宋体" w:eastAsia="宋体" w:cs="宋体"/>
                <w:color w:val="auto"/>
                <w:sz w:val="24"/>
                <w:szCs w:val="24"/>
                <w:highlight w:val="none"/>
                <w:lang w:bidi="ar"/>
              </w:rPr>
              <w:t xml:space="preserve"> </w:t>
            </w:r>
          </w:p>
        </w:tc>
        <w:tc>
          <w:tcPr>
            <w:tcW w:w="1380"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4C0D3E12">
            <w:pPr>
              <w:widowControl/>
              <w:jc w:val="center"/>
              <w:textAlignment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160000</w:t>
            </w:r>
          </w:p>
        </w:tc>
        <w:tc>
          <w:tcPr>
            <w:tcW w:w="1081"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7B15BEF9">
            <w:pPr>
              <w:widowControl/>
              <w:jc w:val="center"/>
              <w:textAlignment w:val="center"/>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480000</w:t>
            </w:r>
          </w:p>
        </w:tc>
      </w:tr>
      <w:tr w14:paraId="7B355FAB">
        <w:tblPrEx>
          <w:tblCellMar>
            <w:top w:w="0" w:type="dxa"/>
            <w:left w:w="108" w:type="dxa"/>
            <w:bottom w:w="0" w:type="dxa"/>
            <w:right w:w="108" w:type="dxa"/>
          </w:tblCellMar>
        </w:tblPrEx>
        <w:trPr>
          <w:trHeight w:val="467"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DA49C">
            <w:pPr>
              <w:widowControl/>
              <w:jc w:val="center"/>
              <w:textAlignment w:val="center"/>
              <w:rPr>
                <w:rFonts w:hint="default" w:ascii="宋体" w:hAnsi="宋体" w:eastAsia="宋体" w:cs="宋体"/>
                <w:color w:val="auto"/>
                <w:sz w:val="24"/>
                <w:szCs w:val="24"/>
                <w:highlight w:val="none"/>
                <w:lang w:bidi="ar"/>
              </w:rPr>
            </w:pPr>
            <w:r>
              <w:rPr>
                <w:rFonts w:hint="default" w:ascii="宋体" w:hAnsi="宋体" w:eastAsia="宋体" w:cs="宋体"/>
                <w:color w:val="auto"/>
                <w:sz w:val="24"/>
                <w:szCs w:val="24"/>
                <w:highlight w:val="none"/>
                <w:lang w:bidi="ar"/>
              </w:rPr>
              <w:t>6</w:t>
            </w:r>
          </w:p>
        </w:tc>
        <w:tc>
          <w:tcPr>
            <w:tcW w:w="2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CC466">
            <w:pPr>
              <w:widowControl/>
              <w:jc w:val="left"/>
              <w:textAlignment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江苏省无锡市惠山区人民法院单位</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1F7A9">
            <w:pPr>
              <w:widowControl/>
              <w:jc w:val="center"/>
              <w:textAlignment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0.15</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0ADC2">
            <w:pPr>
              <w:widowControl/>
              <w:jc w:val="center"/>
              <w:textAlignment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206666</w:t>
            </w:r>
            <w:r>
              <w:rPr>
                <w:rFonts w:hint="eastAsia" w:ascii="宋体" w:hAnsi="宋体" w:eastAsia="宋体" w:cs="宋体"/>
                <w:color w:val="auto"/>
                <w:sz w:val="24"/>
                <w:szCs w:val="24"/>
                <w:highlight w:val="none"/>
                <w:lang w:bidi="ar"/>
              </w:rPr>
              <w:t>6</w:t>
            </w:r>
            <w:r>
              <w:rPr>
                <w:rFonts w:hint="default" w:ascii="宋体" w:hAnsi="宋体" w:eastAsia="宋体" w:cs="宋体"/>
                <w:color w:val="auto"/>
                <w:sz w:val="24"/>
                <w:szCs w:val="24"/>
                <w:highlight w:val="none"/>
                <w:lang w:bidi="ar"/>
              </w:rPr>
              <w:t xml:space="preserve"> </w:t>
            </w:r>
          </w:p>
        </w:tc>
        <w:tc>
          <w:tcPr>
            <w:tcW w:w="1380"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21810667">
            <w:pPr>
              <w:widowControl/>
              <w:jc w:val="center"/>
              <w:textAlignment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310000</w:t>
            </w:r>
          </w:p>
        </w:tc>
        <w:tc>
          <w:tcPr>
            <w:tcW w:w="1081"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17CE9342">
            <w:pPr>
              <w:widowControl/>
              <w:jc w:val="center"/>
              <w:textAlignment w:val="center"/>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930000</w:t>
            </w:r>
          </w:p>
        </w:tc>
      </w:tr>
      <w:tr w14:paraId="7A662648">
        <w:tblPrEx>
          <w:tblCellMar>
            <w:top w:w="0" w:type="dxa"/>
            <w:left w:w="108" w:type="dxa"/>
            <w:bottom w:w="0" w:type="dxa"/>
            <w:right w:w="108" w:type="dxa"/>
          </w:tblCellMar>
        </w:tblPrEx>
        <w:trPr>
          <w:trHeight w:val="467"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A557D">
            <w:pPr>
              <w:widowControl/>
              <w:jc w:val="center"/>
              <w:textAlignment w:val="center"/>
              <w:rPr>
                <w:rFonts w:hint="default" w:ascii="宋体" w:hAnsi="宋体" w:eastAsia="宋体" w:cs="宋体"/>
                <w:color w:val="auto"/>
                <w:sz w:val="24"/>
                <w:szCs w:val="24"/>
                <w:highlight w:val="none"/>
                <w:lang w:bidi="ar"/>
              </w:rPr>
            </w:pPr>
            <w:r>
              <w:rPr>
                <w:rFonts w:hint="default" w:ascii="宋体" w:hAnsi="宋体" w:eastAsia="宋体" w:cs="宋体"/>
                <w:color w:val="auto"/>
                <w:sz w:val="24"/>
                <w:szCs w:val="24"/>
                <w:highlight w:val="none"/>
                <w:lang w:bidi="ar"/>
              </w:rPr>
              <w:t>7</w:t>
            </w:r>
          </w:p>
        </w:tc>
        <w:tc>
          <w:tcPr>
            <w:tcW w:w="2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6F8F0">
            <w:pPr>
              <w:widowControl/>
              <w:jc w:val="left"/>
              <w:textAlignment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江苏省无锡市滨湖区人民法院单位</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7A4C4">
            <w:pPr>
              <w:widowControl/>
              <w:jc w:val="center"/>
              <w:textAlignment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0.15</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54E53">
            <w:pPr>
              <w:widowControl/>
              <w:jc w:val="center"/>
              <w:textAlignment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 xml:space="preserve">1733333 </w:t>
            </w:r>
          </w:p>
        </w:tc>
        <w:tc>
          <w:tcPr>
            <w:tcW w:w="1380"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14275487">
            <w:pPr>
              <w:widowControl/>
              <w:jc w:val="center"/>
              <w:textAlignment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260000</w:t>
            </w:r>
          </w:p>
        </w:tc>
        <w:tc>
          <w:tcPr>
            <w:tcW w:w="1081"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09CB1ADD">
            <w:pPr>
              <w:widowControl/>
              <w:jc w:val="center"/>
              <w:textAlignment w:val="center"/>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780000</w:t>
            </w:r>
          </w:p>
        </w:tc>
      </w:tr>
      <w:tr w14:paraId="37EBC095">
        <w:tblPrEx>
          <w:tblCellMar>
            <w:top w:w="0" w:type="dxa"/>
            <w:left w:w="108" w:type="dxa"/>
            <w:bottom w:w="0" w:type="dxa"/>
            <w:right w:w="108" w:type="dxa"/>
          </w:tblCellMar>
        </w:tblPrEx>
        <w:trPr>
          <w:trHeight w:val="353" w:hRule="atLeast"/>
        </w:trPr>
        <w:tc>
          <w:tcPr>
            <w:tcW w:w="840" w:type="dxa"/>
            <w:tcBorders>
              <w:top w:val="single" w:color="000000" w:sz="4" w:space="0"/>
              <w:left w:val="single" w:color="000000" w:sz="4" w:space="0"/>
              <w:bottom w:val="single" w:color="auto" w:sz="4" w:space="0"/>
              <w:right w:val="single" w:color="000000" w:sz="4" w:space="0"/>
            </w:tcBorders>
            <w:shd w:val="clear" w:color="auto" w:fill="auto"/>
            <w:vAlign w:val="center"/>
          </w:tcPr>
          <w:p w14:paraId="16E3FCA0">
            <w:pPr>
              <w:widowControl/>
              <w:jc w:val="center"/>
              <w:textAlignment w:val="center"/>
              <w:rPr>
                <w:rFonts w:hint="default" w:ascii="宋体" w:hAnsi="宋体" w:eastAsia="宋体" w:cs="宋体"/>
                <w:color w:val="auto"/>
                <w:sz w:val="24"/>
                <w:szCs w:val="24"/>
                <w:highlight w:val="none"/>
                <w:lang w:bidi="ar"/>
              </w:rPr>
            </w:pPr>
            <w:r>
              <w:rPr>
                <w:rFonts w:hint="default" w:ascii="宋体" w:hAnsi="宋体" w:eastAsia="宋体" w:cs="宋体"/>
                <w:color w:val="auto"/>
                <w:sz w:val="24"/>
                <w:szCs w:val="24"/>
                <w:highlight w:val="none"/>
                <w:lang w:bidi="ar"/>
              </w:rPr>
              <w:t>8</w:t>
            </w:r>
          </w:p>
        </w:tc>
        <w:tc>
          <w:tcPr>
            <w:tcW w:w="2997" w:type="dxa"/>
            <w:tcBorders>
              <w:top w:val="single" w:color="000000" w:sz="4" w:space="0"/>
              <w:left w:val="single" w:color="000000" w:sz="4" w:space="0"/>
              <w:bottom w:val="single" w:color="auto" w:sz="4" w:space="0"/>
              <w:right w:val="single" w:color="000000" w:sz="4" w:space="0"/>
            </w:tcBorders>
            <w:shd w:val="clear" w:color="auto" w:fill="auto"/>
            <w:vAlign w:val="center"/>
          </w:tcPr>
          <w:p w14:paraId="67506E9A">
            <w:pPr>
              <w:widowControl/>
              <w:jc w:val="left"/>
              <w:textAlignment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江苏省无锡市新吴区人民法院单位</w:t>
            </w:r>
          </w:p>
        </w:tc>
        <w:tc>
          <w:tcPr>
            <w:tcW w:w="1875"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1AD3B9E">
            <w:pPr>
              <w:widowControl/>
              <w:jc w:val="center"/>
              <w:textAlignment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0.15</w:t>
            </w:r>
          </w:p>
        </w:tc>
        <w:tc>
          <w:tcPr>
            <w:tcW w:w="1350"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DC4B067">
            <w:pPr>
              <w:widowControl/>
              <w:jc w:val="center"/>
              <w:textAlignment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 xml:space="preserve">1300000 </w:t>
            </w:r>
          </w:p>
        </w:tc>
        <w:tc>
          <w:tcPr>
            <w:tcW w:w="1380" w:type="dxa"/>
            <w:tcBorders>
              <w:top w:val="single" w:color="000000" w:sz="4" w:space="0"/>
              <w:left w:val="single" w:color="000000" w:sz="4" w:space="0"/>
              <w:bottom w:val="single" w:color="auto" w:sz="4" w:space="0"/>
              <w:right w:val="single" w:color="auto" w:sz="4" w:space="0"/>
            </w:tcBorders>
            <w:shd w:val="clear" w:color="auto" w:fill="auto"/>
            <w:noWrap/>
            <w:vAlign w:val="center"/>
          </w:tcPr>
          <w:p w14:paraId="0FD98D2F">
            <w:pPr>
              <w:widowControl/>
              <w:jc w:val="center"/>
              <w:textAlignment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195000</w:t>
            </w:r>
          </w:p>
        </w:tc>
        <w:tc>
          <w:tcPr>
            <w:tcW w:w="1081" w:type="dxa"/>
            <w:tcBorders>
              <w:top w:val="single" w:color="000000" w:sz="4" w:space="0"/>
              <w:left w:val="single" w:color="auto" w:sz="4" w:space="0"/>
              <w:bottom w:val="single" w:color="auto" w:sz="4" w:space="0"/>
              <w:right w:val="single" w:color="000000" w:sz="4" w:space="0"/>
            </w:tcBorders>
            <w:shd w:val="clear" w:color="auto" w:fill="auto"/>
            <w:noWrap/>
            <w:vAlign w:val="center"/>
          </w:tcPr>
          <w:p w14:paraId="68F1A859">
            <w:pPr>
              <w:widowControl/>
              <w:jc w:val="center"/>
              <w:textAlignment w:val="center"/>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585000</w:t>
            </w:r>
          </w:p>
        </w:tc>
      </w:tr>
      <w:tr w14:paraId="60650B08">
        <w:tblPrEx>
          <w:tblCellMar>
            <w:top w:w="0" w:type="dxa"/>
            <w:left w:w="108" w:type="dxa"/>
            <w:bottom w:w="0" w:type="dxa"/>
            <w:right w:w="108" w:type="dxa"/>
          </w:tblCellMar>
        </w:tblPrEx>
        <w:trPr>
          <w:trHeight w:val="493" w:hRule="atLeast"/>
        </w:trPr>
        <w:tc>
          <w:tcPr>
            <w:tcW w:w="840" w:type="dxa"/>
            <w:tcBorders>
              <w:top w:val="single" w:color="auto" w:sz="4" w:space="0"/>
              <w:left w:val="single" w:color="000000" w:sz="4" w:space="0"/>
              <w:bottom w:val="single" w:color="000000" w:sz="4" w:space="0"/>
              <w:right w:val="single" w:color="000000" w:sz="4" w:space="0"/>
            </w:tcBorders>
            <w:shd w:val="clear" w:color="auto" w:fill="auto"/>
            <w:vAlign w:val="center"/>
          </w:tcPr>
          <w:p w14:paraId="3512757E">
            <w:pPr>
              <w:widowControl/>
              <w:jc w:val="center"/>
              <w:textAlignment w:val="center"/>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9</w:t>
            </w:r>
          </w:p>
        </w:tc>
        <w:tc>
          <w:tcPr>
            <w:tcW w:w="2997" w:type="dxa"/>
            <w:tcBorders>
              <w:top w:val="single" w:color="auto" w:sz="4" w:space="0"/>
              <w:left w:val="single" w:color="000000" w:sz="4" w:space="0"/>
              <w:bottom w:val="single" w:color="000000" w:sz="4" w:space="0"/>
              <w:right w:val="single" w:color="000000" w:sz="4" w:space="0"/>
            </w:tcBorders>
            <w:shd w:val="clear" w:color="auto" w:fill="auto"/>
            <w:vAlign w:val="center"/>
          </w:tcPr>
          <w:p w14:paraId="03D58370">
            <w:pPr>
              <w:widowControl/>
              <w:jc w:val="center"/>
              <w:textAlignment w:val="center"/>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合计</w:t>
            </w:r>
          </w:p>
        </w:tc>
        <w:tc>
          <w:tcPr>
            <w:tcW w:w="1875"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5662AA13">
            <w:pPr>
              <w:widowControl/>
              <w:jc w:val="center"/>
              <w:textAlignment w:val="center"/>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0.15</w:t>
            </w:r>
          </w:p>
        </w:tc>
        <w:tc>
          <w:tcPr>
            <w:tcW w:w="1350"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16D67C38">
            <w:pPr>
              <w:widowControl/>
              <w:jc w:val="center"/>
              <w:textAlignment w:val="center"/>
              <w:rPr>
                <w:rFonts w:hint="default" w:ascii="宋体" w:hAnsi="宋体" w:eastAsia="宋体" w:cs="宋体"/>
                <w:color w:val="auto"/>
                <w:sz w:val="24"/>
                <w:szCs w:val="24"/>
                <w:highlight w:val="none"/>
                <w:lang w:bidi="ar"/>
              </w:rPr>
            </w:pPr>
          </w:p>
        </w:tc>
        <w:tc>
          <w:tcPr>
            <w:tcW w:w="1380" w:type="dxa"/>
            <w:tcBorders>
              <w:top w:val="single" w:color="auto" w:sz="4" w:space="0"/>
              <w:left w:val="single" w:color="000000" w:sz="4" w:space="0"/>
              <w:bottom w:val="single" w:color="000000" w:sz="4" w:space="0"/>
              <w:right w:val="single" w:color="auto" w:sz="4" w:space="0"/>
            </w:tcBorders>
            <w:shd w:val="clear" w:color="auto" w:fill="auto"/>
            <w:noWrap/>
            <w:vAlign w:val="center"/>
          </w:tcPr>
          <w:p w14:paraId="1044725F">
            <w:pPr>
              <w:widowControl/>
              <w:jc w:val="center"/>
              <w:textAlignment w:val="center"/>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1850000</w:t>
            </w:r>
          </w:p>
        </w:tc>
        <w:tc>
          <w:tcPr>
            <w:tcW w:w="1081" w:type="dxa"/>
            <w:tcBorders>
              <w:top w:val="single" w:color="auto" w:sz="4" w:space="0"/>
              <w:left w:val="single" w:color="auto" w:sz="4" w:space="0"/>
              <w:bottom w:val="single" w:color="000000" w:sz="4" w:space="0"/>
              <w:right w:val="single" w:color="000000" w:sz="4" w:space="0"/>
            </w:tcBorders>
            <w:shd w:val="clear" w:color="auto" w:fill="auto"/>
            <w:noWrap/>
            <w:vAlign w:val="center"/>
          </w:tcPr>
          <w:p w14:paraId="52ED4F1F">
            <w:pPr>
              <w:widowControl/>
              <w:jc w:val="center"/>
              <w:textAlignment w:val="center"/>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5550000</w:t>
            </w:r>
          </w:p>
        </w:tc>
      </w:tr>
    </w:tbl>
    <w:p w14:paraId="2E3BC871">
      <w:pPr>
        <w:keepNext/>
        <w:keepLines/>
        <w:numPr>
          <w:ilvl w:val="0"/>
          <w:numId w:val="3"/>
        </w:numPr>
        <w:adjustRightInd w:val="0"/>
        <w:snapToGrid w:val="0"/>
        <w:spacing w:before="120" w:after="120" w:line="360" w:lineRule="auto"/>
        <w:ind w:firstLine="200"/>
        <w:outlineLvl w:val="0"/>
        <w:rPr>
          <w:rFonts w:hint="default" w:ascii="宋体" w:hAnsi="宋体" w:eastAsia="宋体" w:cs="宋体"/>
          <w:b/>
          <w:bCs/>
          <w:color w:val="auto"/>
          <w:kern w:val="44"/>
          <w:sz w:val="24"/>
          <w:szCs w:val="24"/>
          <w:highlight w:val="none"/>
        </w:rPr>
      </w:pPr>
      <w:bookmarkStart w:id="34" w:name="_Toc150154880"/>
      <w:bookmarkStart w:id="35" w:name="_Toc101058585"/>
      <w:r>
        <w:rPr>
          <w:rFonts w:hint="eastAsia" w:ascii="宋体" w:hAnsi="宋体" w:eastAsia="宋体" w:cs="宋体"/>
          <w:b/>
          <w:bCs/>
          <w:color w:val="auto"/>
          <w:kern w:val="44"/>
          <w:sz w:val="24"/>
          <w:szCs w:val="24"/>
          <w:highlight w:val="none"/>
        </w:rPr>
        <w:t>服务内容技术需求</w:t>
      </w:r>
    </w:p>
    <w:p w14:paraId="354AADDE">
      <w:pPr>
        <w:keepNext/>
        <w:keepLines/>
        <w:numPr>
          <w:ilvl w:val="1"/>
          <w:numId w:val="3"/>
        </w:numPr>
        <w:adjustRightInd w:val="0"/>
        <w:snapToGrid w:val="0"/>
        <w:spacing w:before="120" w:after="120" w:line="360" w:lineRule="auto"/>
        <w:ind w:firstLine="200"/>
        <w:outlineLvl w:val="1"/>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服务内容</w:t>
      </w:r>
    </w:p>
    <w:p w14:paraId="4DC375EC">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（1）集中编目服务</w:t>
      </w:r>
    </w:p>
    <w:p w14:paraId="54B06890">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建设市级集约编目中心，采用“分散扫描、集中编目、统一归档”模式，以“自动编目为主、人工校对为辅”，实现卷宗智能命名、精准归目，提供无锡全市两级共8家法院合同期内立案的审判一审二审和执行等案件完成材料精细化名称标注和归目质检服务，同时对各基层院随案扫描团队进行材料整理、材料分类排序、材料扫描等操作培训服务。</w:t>
      </w:r>
    </w:p>
    <w:p w14:paraId="2FAAF4B7">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（2）基础性配套服务</w:t>
      </w:r>
    </w:p>
    <w:p w14:paraId="7725CF01">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供应商随服务提供精细化编目系统和编目数据可视化平台，并承诺集中编目系统与无锡法院现用审判业务管理系统、执行流程案件管理系统和电子卷宗深度应用系统进行数据对接，实现系统互联互通和数据共享交互服务；采购人接受数据加工相关服务同时无需为集中编目系统配合最高院“一张网”改造单独付费。</w:t>
      </w:r>
      <w:r>
        <w:rPr>
          <w:rFonts w:hint="eastAsia" w:ascii="宋体" w:hAnsi="宋体" w:eastAsia="宋体" w:cs="宋体"/>
          <w:b/>
          <w:color w:val="auto"/>
          <w:kern w:val="2"/>
          <w:sz w:val="24"/>
          <w:szCs w:val="24"/>
          <w:highlight w:val="none"/>
        </w:rPr>
        <w:t>（供应商必须对此承诺并在投标文件中提供服务承诺函，否则按无效投标文件处理）</w:t>
      </w:r>
    </w:p>
    <w:p w14:paraId="5327F899">
      <w:pPr>
        <w:keepNext/>
        <w:keepLines/>
        <w:numPr>
          <w:ilvl w:val="1"/>
          <w:numId w:val="3"/>
        </w:numPr>
        <w:adjustRightInd w:val="0"/>
        <w:snapToGrid w:val="0"/>
        <w:spacing w:before="120" w:after="120" w:line="360" w:lineRule="auto"/>
        <w:ind w:firstLine="200"/>
        <w:outlineLvl w:val="1"/>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技术需求</w:t>
      </w:r>
    </w:p>
    <w:p w14:paraId="38FC3F9C">
      <w:pPr>
        <w:keepNext/>
        <w:keepLines/>
        <w:numPr>
          <w:ilvl w:val="2"/>
          <w:numId w:val="3"/>
        </w:numPr>
        <w:adjustRightInd w:val="0"/>
        <w:snapToGrid w:val="0"/>
        <w:spacing w:before="120" w:after="120" w:line="360" w:lineRule="auto"/>
        <w:ind w:firstLine="200"/>
        <w:outlineLvl w:val="2"/>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集中编目服务</w:t>
      </w:r>
    </w:p>
    <w:p w14:paraId="6D3CCB06">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集中编目是连接诉前、诉中材料与归档的枢纽环节，采用“工单创建—智能编目—人工校验—回传系统”的流水线作业模式：各院扫描点完成材料电子化后，系统自动生成编目工单→工单汇集至市级集约编目中心→自动分派至编目人员→自动编目→人工校对修正→质检确认→回传“一张网”电子卷宗系统。供应商应提供全面的线上、线下材料编目服务方案并根据无纸化办案需求，通过要素式提取，感知技术、认知技术持续为采购方提供后台材料名称与阅卷以及归档目录匹配的关键词基础数据维护，提高精细化编目材料入卷归目准确性、法官阅电子卷宗便利性和电子卷宗归档的准确性。方案内容应包括：</w:t>
      </w:r>
    </w:p>
    <w:p w14:paraId="73B24038">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（1）编目规范方案</w:t>
      </w:r>
    </w:p>
    <w:p w14:paraId="2BDCE056">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供应商根据法官阅卷习惯，提供科学、标准的编目方案。实际编目质检服务过程中，需要定期沟通法官，优化调整编目规范，法院有明确编目规则的，必须优先执行，并不断协助采购方完善规范。供应商应制定精细化编目规范，包括名称标注原则、分类、规范，以及材料归目规范。</w:t>
      </w:r>
    </w:p>
    <w:p w14:paraId="2DD8F58F">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（2）材料名称编目规范手册</w:t>
      </w:r>
    </w:p>
    <w:p w14:paraId="1EED7336">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包含民初，名终、财保、民特、刑初，刑终、执、执恢、执保、行初、行终、等通用编目规则。</w:t>
      </w:r>
    </w:p>
    <w:p w14:paraId="69811F6D">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（3）精细化编目服务。</w:t>
      </w:r>
    </w:p>
    <w:p w14:paraId="7B9F4FEA">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针对存在精细化编目需要及可以进行要素信息提取的材料，通过软件能力加人工提取并用方式进行要素信息抽取，根据抽取结果</w:t>
      </w:r>
      <w:r>
        <w:rPr>
          <w:rFonts w:hint="eastAsia" w:ascii="宋体" w:hAnsi="宋体" w:eastAsia="宋体" w:cs="宋体"/>
          <w:bCs/>
          <w:color w:val="auto"/>
          <w:kern w:val="2"/>
          <w:sz w:val="24"/>
          <w:szCs w:val="24"/>
          <w:highlight w:val="none"/>
        </w:rPr>
        <w:t>拼接重组材料</w:t>
      </w:r>
      <w:r>
        <w:rPr>
          <w:rFonts w:hint="eastAsia" w:ascii="宋体" w:hAnsi="宋体" w:eastAsia="宋体" w:cs="宋体"/>
          <w:color w:val="auto"/>
          <w:kern w:val="2"/>
          <w:sz w:val="24"/>
          <w:szCs w:val="24"/>
          <w:highlight w:val="none"/>
        </w:rPr>
        <w:t>编目名称，同时维护</w:t>
      </w:r>
      <w:r>
        <w:rPr>
          <w:rFonts w:hint="eastAsia" w:ascii="宋体" w:hAnsi="宋体" w:eastAsia="宋体" w:cs="宋体"/>
          <w:color w:val="auto"/>
          <w:sz w:val="24"/>
          <w:szCs w:val="24"/>
          <w:highlight w:val="none"/>
        </w:rPr>
        <w:t>材料的基本属性如材料名称、阅卷目录等，使用材料的命名更为精细化，归目更准确，提升法官阅卷体验以及归档效率。</w:t>
      </w:r>
    </w:p>
    <w:p w14:paraId="7ADE3C80">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（4）编目质检服务</w:t>
      </w:r>
    </w:p>
    <w:p w14:paraId="4896245D">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对电子卷宗原始数据进行标注编目服务，并和电子卷宗原始数据的目录信息进行对比，保证电子卷宗原始数据和标注编目的名称一致，若有差异，进行人工手动修改，并针对材料电子化环节、法官阅卷环节、一键归档环节提供优化及调整服务。在材料移送编目电子化工作完成的同日完成名称标注及质检工作。编目质检服务主要包括外部质检（包含材料电子化环节、法院阅卷环节、一键归档环节）和内部质检（包含名称标注质检、阅卷目录质检、档案卷目录质检）两部分。</w:t>
      </w:r>
    </w:p>
    <w:p w14:paraId="55154BA2">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（5）编目服务流程</w:t>
      </w:r>
    </w:p>
    <w:p w14:paraId="5DDC48F4">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介绍编目服务内容，对编目业务总体流程进行设计并介绍编目服务流程。</w:t>
      </w:r>
    </w:p>
    <w:p w14:paraId="721CFC6D">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（6）编目时效性方案</w:t>
      </w:r>
    </w:p>
    <w:p w14:paraId="580AF810">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供应商提供优化编目任务分派算法提升智能分派编目任务效率，并提供编目服务管理方案。</w:t>
      </w:r>
    </w:p>
    <w:p w14:paraId="5FA3E41C">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（7）归目服务方案</w:t>
      </w:r>
    </w:p>
    <w:p w14:paraId="73DE021D">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集中编目服务应提供归目服务方案确保线上，线下材料归目准确率。</w:t>
      </w:r>
    </w:p>
    <w:p w14:paraId="368C19A1">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（8）编目服务岗位职责</w:t>
      </w:r>
    </w:p>
    <w:p w14:paraId="0F89B9EE">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设立法院集中编目中心，按照集中编目工作流程建立配套的工作岗位。</w:t>
      </w:r>
    </w:p>
    <w:p w14:paraId="61CC499F">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（9）要素信息提取服务</w:t>
      </w:r>
    </w:p>
    <w:p w14:paraId="14059893">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根据《电子卷宗随案生成和同步应用技术要求》，电子卷宗随案生成应能够在立案和审理过程中生成的电子文件中，提取案件基本信息，并能够对多个文件中同一信息项进行校验核对，将确认结果回填到办案系统，减少人工输入和校对工作量。因目前系统的局限性，对于案件信息录入依赖人工校验、核对操作，录入过程易出错且不宜甄别立案过程中的案件风险问题，供应商须对法院诉讼案件当事人提交的起诉状、上诉状、答辩状、保全申请书、送达地址确认书、授权委托书、身份证、庭审笔录、判决书、仲裁裁决书等材料识别提取后，进行人工核对，解决识别提取造成的错误或不全的问题，并支持对案件的当事人信息、代理人等信息进行核对并更正，为裁判文书辅助生成提供准确数据支撑。材料要素信息核对时效性要求24小时内完成。</w:t>
      </w:r>
    </w:p>
    <w:p w14:paraId="115BF506">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（10）大模型标注训练</w:t>
      </w:r>
    </w:p>
    <w:p w14:paraId="12350F6F">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通过前期算法模型搭建，基于通用大模型底座，利用法院海量的卷宗档案数据构造法律知识中心，实现大语言模型技术在法律垂直领域的落地，同时持续的定制数据样本采集和要素信息标注训练，针对诉辩情况分析、案情事实归纳、裁判结果生成、庭审提纲智能生成、裁判文书智能辅助等核心业务做专项内容训练并不断优化迭代更新算法，逐步验证OCR和编目能力；提升感知能力和准确率；提高认知要素提取准确率；提高诉辩情况的分析能力；提高案情事实的归纳能力；提高事实查明、本院认为、裁判依据、裁判结果的推理能力。</w:t>
      </w:r>
    </w:p>
    <w:p w14:paraId="3FD1C2AA">
      <w:pPr>
        <w:keepNext/>
        <w:keepLines/>
        <w:numPr>
          <w:ilvl w:val="2"/>
          <w:numId w:val="3"/>
        </w:numPr>
        <w:adjustRightInd w:val="0"/>
        <w:snapToGrid w:val="0"/>
        <w:spacing w:before="120" w:after="120" w:line="360" w:lineRule="auto"/>
        <w:ind w:firstLine="200"/>
        <w:outlineLvl w:val="2"/>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核心能力配套</w:t>
      </w:r>
    </w:p>
    <w:p w14:paraId="0F6F78AD">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（1）智能编目引擎</w:t>
      </w:r>
    </w:p>
    <w:p w14:paraId="56F2EBCD">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自动拉取“一张网”待编目工单，归集各基层法院编目任务；编目完成后（对同份材料自动合并封装生成整份PDF文件）自动回传卷宗系统，双向实时同步。（针对重点材料如保全申请、鉴定申请等材料在编目入卷时自动推送站内消息，提醒书记员与承办法官该重点材料已入卷）</w:t>
      </w:r>
    </w:p>
    <w:p w14:paraId="53B17E80">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支持任务分派、办理、退回、移送全流程管理（支持根据材料来源、案件类型、业务类型自动甄别紧急程度并优先自动分派）；内置大模型编目引擎，依托OCR识别与语义分析完成自动识别、智能命名；支持可视化编目规则配置和自定义材料命名拼接规范；智能归目引擎自动归入相应层级目录。</w:t>
      </w:r>
    </w:p>
    <w:p w14:paraId="42975C40">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性能要求：20页内卷宗≤30秒，5页内简易材料≤3秒；50页以上500页以内多页文书语义聚合、自动编目完成≤6分钟；结果回传一张网：20页及以内合并pdf卷宗及挂接目录结果回传耗时≤5分钟；50页以上500页以内合并卷宗及挂接目录结果数据回传≤10分钟。</w:t>
      </w:r>
    </w:p>
    <w:p w14:paraId="4D7BB1EA">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（2）卷宗材料智能标注编目数据可视化平台</w:t>
      </w:r>
    </w:p>
    <w:p w14:paraId="672C43C7">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实时展示两级法院电子卷宗随案生成率、卷宗规范率；统计各法院扫描收办总量、页数、处理时长、时效达标率；展示编目总量、日均工单、人均产能、任务完成率；追踪材料接收、编目、归档全流程耗时，识别超时环节；按日/周/月/季度输出业务趋势，自动计算同比、环比；针对编目效率、时效达标率等关键指标自动预警。</w:t>
      </w:r>
    </w:p>
    <w:p w14:paraId="66EA8536">
      <w:pPr>
        <w:keepNext/>
        <w:keepLines/>
        <w:numPr>
          <w:ilvl w:val="1"/>
          <w:numId w:val="3"/>
        </w:numPr>
        <w:adjustRightInd w:val="0"/>
        <w:snapToGrid w:val="0"/>
        <w:spacing w:before="120" w:after="120" w:line="360" w:lineRule="auto"/>
        <w:ind w:firstLine="200"/>
        <w:outlineLvl w:val="1"/>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服务标准及服务质量需求</w:t>
      </w:r>
    </w:p>
    <w:p w14:paraId="5191F508">
      <w:pPr>
        <w:adjustRightInd w:val="0"/>
        <w:snapToGrid w:val="0"/>
        <w:spacing w:before="100" w:beforeAutospacing="1" w:after="100" w:afterAutospacing="1"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建立健全无锡中院无纸化办案服务质量和标准，主要内容包括：无纸化服务标准，服务质量保障、集中编目服务绩效考核体系以及数据监管方案。</w:t>
      </w:r>
    </w:p>
    <w:p w14:paraId="4D0B4658">
      <w:pPr>
        <w:keepNext/>
        <w:keepLines/>
        <w:numPr>
          <w:ilvl w:val="2"/>
          <w:numId w:val="3"/>
        </w:numPr>
        <w:adjustRightInd w:val="0"/>
        <w:snapToGrid w:val="0"/>
        <w:spacing w:before="120" w:after="120" w:line="360" w:lineRule="auto"/>
        <w:ind w:firstLine="200"/>
        <w:outlineLvl w:val="2"/>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服务标准</w:t>
      </w:r>
    </w:p>
    <w:p w14:paraId="48E703CC">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（1）供应商须提供电子卷宗随案同步生成标准；</w:t>
      </w:r>
    </w:p>
    <w:p w14:paraId="30FD5470">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（2）供应商须提供适用于无锡法院的精细化编目规则；</w:t>
      </w:r>
    </w:p>
    <w:p w14:paraId="63A5F196">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（3）供应商须提供案件卷宗排序标准。</w:t>
      </w:r>
    </w:p>
    <w:p w14:paraId="12955614">
      <w:pPr>
        <w:keepNext/>
        <w:keepLines/>
        <w:numPr>
          <w:ilvl w:val="2"/>
          <w:numId w:val="3"/>
        </w:numPr>
        <w:adjustRightInd w:val="0"/>
        <w:snapToGrid w:val="0"/>
        <w:spacing w:before="120" w:after="120" w:line="360" w:lineRule="auto"/>
        <w:ind w:firstLine="200"/>
        <w:outlineLvl w:val="2"/>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绩效管理</w:t>
      </w:r>
    </w:p>
    <w:p w14:paraId="4030CB01">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供应商须提供为满足本次项目集中编目绩效考核体系方案。为充分激发员工积极性，绩效考核体系须包括客观指标和主观指标，并提供相对应的数据监管方案。</w:t>
      </w:r>
    </w:p>
    <w:p w14:paraId="463F8F4D">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（1）供应商须提供集中编目绩效考核体系；</w:t>
      </w:r>
    </w:p>
    <w:p w14:paraId="64FC4EF2">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（2）供应商须提供绩效管理办法；</w:t>
      </w:r>
    </w:p>
    <w:p w14:paraId="1EB9D066">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（3）供应商须提供集中编目服务数据监管、统计与上报方案。</w:t>
      </w:r>
    </w:p>
    <w:p w14:paraId="135AB351">
      <w:pPr>
        <w:keepNext/>
        <w:keepLines/>
        <w:numPr>
          <w:ilvl w:val="2"/>
          <w:numId w:val="3"/>
        </w:numPr>
        <w:adjustRightInd w:val="0"/>
        <w:snapToGrid w:val="0"/>
        <w:spacing w:before="120" w:after="120" w:line="360" w:lineRule="auto"/>
        <w:ind w:firstLine="200"/>
        <w:outlineLvl w:val="2"/>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服务质量要求</w:t>
      </w:r>
    </w:p>
    <w:p w14:paraId="45F142A1">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（1）编目规范优化及调整</w:t>
      </w:r>
    </w:p>
    <w:p w14:paraId="3A53A30E">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基于现有编目规范，不定期的对编目的结果回访业务庭，记录和听取业务庭的情况反应和改进意见，然后对编目规范进行优化和调整，最终形成一套更适合法院编目规范标准。</w:t>
      </w:r>
    </w:p>
    <w:p w14:paraId="0355BA8F">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（2）电子材料质检服务</w:t>
      </w:r>
    </w:p>
    <w:p w14:paraId="77CDC957">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编目团队会根据材料电子化移送过来的材料类别和材料实际内容进行判断，当发现材料类别与实际材料内部不匹配时，会通过系统直接退回，并告知退回原因。</w:t>
      </w:r>
    </w:p>
    <w:p w14:paraId="3991E762">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（3）编目质量合格率</w:t>
      </w:r>
    </w:p>
    <w:p w14:paraId="78811409">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通过不定期的编目服务业务培训，提高编目效率及编目正确率，实现编目正确率达到99%以上。</w:t>
      </w:r>
    </w:p>
    <w:p w14:paraId="30E1C300">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（4）编目质量检查机制</w:t>
      </w:r>
    </w:p>
    <w:p w14:paraId="58CF6FAE">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为保障编目服务质量，通过每日抽查制度，对编目团队已完成的编目任务进行抽查，当日将抽查结果发送责令整改，形成一套质检机制：每日抽查和每日纠错分析指导。</w:t>
      </w:r>
    </w:p>
    <w:p w14:paraId="20EAADB5">
      <w:pPr>
        <w:keepNext/>
        <w:keepLines/>
        <w:numPr>
          <w:ilvl w:val="1"/>
          <w:numId w:val="3"/>
        </w:numPr>
        <w:adjustRightInd w:val="0"/>
        <w:snapToGrid w:val="0"/>
        <w:spacing w:before="120" w:after="120" w:line="360" w:lineRule="auto"/>
        <w:ind w:firstLine="200"/>
        <w:outlineLvl w:val="1"/>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时间进度要求</w:t>
      </w:r>
    </w:p>
    <w:p w14:paraId="2FFD0718">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本项目要求供应商于合同签订后5个工作日内完成相关软、硬件配备、业务流程梳理及全面开展服务。</w:t>
      </w:r>
    </w:p>
    <w:p w14:paraId="52B36860">
      <w:pPr>
        <w:keepNext/>
        <w:keepLines/>
        <w:numPr>
          <w:ilvl w:val="1"/>
          <w:numId w:val="3"/>
        </w:numPr>
        <w:adjustRightInd w:val="0"/>
        <w:snapToGrid w:val="0"/>
        <w:spacing w:before="120" w:after="120" w:line="360" w:lineRule="auto"/>
        <w:ind w:firstLine="200"/>
        <w:outlineLvl w:val="1"/>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服务人员要求</w:t>
      </w:r>
    </w:p>
    <w:p w14:paraId="4918C6B4">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项目组成员必须包括项目经理岗、现场服务主管岗、编目标注岗、编目质检岗、任务分派岗、技术支持岗；</w:t>
      </w:r>
    </w:p>
    <w:p w14:paraId="05EFD802">
      <w:pPr>
        <w:widowControl w:val="0"/>
        <w:jc w:val="both"/>
        <w:rPr>
          <w:rFonts w:ascii="华文中宋" w:hAnsi="Times New Roman" w:eastAsia="华文中宋" w:cs="Times New Roman"/>
          <w:bCs/>
          <w:color w:val="auto"/>
          <w:sz w:val="28"/>
          <w:szCs w:val="20"/>
          <w:highlight w:val="none"/>
          <w:lang w:val="en-US" w:eastAsia="zh-CN" w:bidi="ar-SA"/>
        </w:rPr>
      </w:pPr>
    </w:p>
    <w:p w14:paraId="7B5256C6">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（1）人员素质要求：大专或以上学历，服务态度端正、作风优良，熟悉采购方服务岗位的业务流程，熟练掌握电脑等办公设备，服从采购方的规章制度；</w:t>
      </w:r>
    </w:p>
    <w:p w14:paraId="5B373B85">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（2）供应商须按国家规定给服务人员购买五险一金，并提供相应的各项补贴和节日福利，人员进场需提供依法缴纳保险等凭证；</w:t>
      </w:r>
    </w:p>
    <w:p w14:paraId="4D6898C6">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（3）供应商须对现场服务人员须有完善的制度规范，对不同的服务岗位有着详细的工作流程，并对服务人员进行相关职场礼仪形象的培训；</w:t>
      </w:r>
    </w:p>
    <w:p w14:paraId="7C52F0A0">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（4）供应商的现场服务人员必须熟悉使用采购方正在使用的智能标注编目系统等；</w:t>
      </w:r>
    </w:p>
    <w:p w14:paraId="7C6B3793">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（5）供应商须对现场人员进行管理、考评，并制定考评不合格人员的替换规则：</w:t>
      </w:r>
    </w:p>
    <w:p w14:paraId="3C81A404">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为了规范外包人员管理工作，激励外包人员达成工作目标，保持外包人员人力资源竞争力为原则，从工作业绩、工作态度和工作能力三方面进行绩效考核。不符合采购方工作岗位要求，发生重大投诉以及连续两次考核不合格的，供应商在征得采购方同意后进行人员替换，替换人员将在5个工作日内到位，尽可能减少人员空档期；</w:t>
      </w:r>
    </w:p>
    <w:p w14:paraId="41E3E17D">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（6）需提供不少于10名服务人员常驻本院数据加工中心，为采购方提供智能编目服务工作。在驻场服务人员中需指派一名作为本项目</w:t>
      </w:r>
      <w:r>
        <w:rPr>
          <w:rFonts w:hint="eastAsia" w:ascii="宋体" w:hAnsi="宋体" w:eastAsia="宋体" w:cs="宋体"/>
          <w:color w:val="auto"/>
          <w:sz w:val="24"/>
          <w:szCs w:val="24"/>
          <w:highlight w:val="none"/>
        </w:rPr>
        <w:t>现场服务主管</w:t>
      </w:r>
      <w:r>
        <w:rPr>
          <w:rFonts w:hint="eastAsia" w:ascii="宋体" w:hAnsi="宋体" w:eastAsia="宋体" w:cs="宋体"/>
          <w:color w:val="auto"/>
          <w:kern w:val="2"/>
          <w:sz w:val="24"/>
          <w:szCs w:val="24"/>
          <w:highlight w:val="none"/>
        </w:rPr>
        <w:t>，负责与采购方对接工作及日常管理。</w:t>
      </w:r>
    </w:p>
    <w:p w14:paraId="0FD1647F">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（7）签订合同后供应商需在接到采购方通知后7个工作日内安排人员进场完毕，未在规定时间到位人员，采购方有权终止合同。</w:t>
      </w:r>
    </w:p>
    <w:p w14:paraId="7855DC16">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（8）供应商需应制定各环节服务标准培训内容，负责多轮次对本项目实施人员进行相关培训，确保项目实施顺利和项目实施成效。</w:t>
      </w:r>
    </w:p>
    <w:p w14:paraId="7B69CC99">
      <w:pPr>
        <w:keepNext/>
        <w:keepLines/>
        <w:numPr>
          <w:ilvl w:val="1"/>
          <w:numId w:val="3"/>
        </w:numPr>
        <w:adjustRightInd w:val="0"/>
        <w:snapToGrid w:val="0"/>
        <w:spacing w:before="120" w:after="120" w:line="360" w:lineRule="auto"/>
        <w:ind w:firstLine="200"/>
        <w:outlineLvl w:val="1"/>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安全保密要求</w:t>
      </w:r>
    </w:p>
    <w:p w14:paraId="74A128FC">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（1）供应商应严格遵守国家相关的保密法律规定，无条件遵守《保密协议》（由采购人提供，双方另行签订）和采购方的有关规定。</w:t>
      </w:r>
    </w:p>
    <w:p w14:paraId="39CE4EF1">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（2）服务工作必须在采购方指定的场所内进行，确保场所正常秩序和安全。不得遗失、损坏卷宗，如有违法行为或违反相关规定，将依法或依据约定追究相应的责任。</w:t>
      </w:r>
    </w:p>
    <w:p w14:paraId="4C7673BF">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项目实施过程中，供应商如需更换、增加工作人员，必须提前一周向采购方提供拟加入人员的资料，取得采购方签字同意后方可更换或者增加人手。对离开本项目实施岗位的人员，供应商需在人员离岗后一周内，在采购方保存的相关工作人员的备案表格中标注离岗日期。</w:t>
      </w:r>
    </w:p>
    <w:p w14:paraId="4D679F13">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（4）除钥匙及眼镜等外，供应商工作人员未经采购方同意，不得将手袋、提包、钱包、磁盘（含 U 盘、软盘、硬盘等）、刻录光盘、手机、MP3、MP4、报刊、纸张及其他随身物品带入工作室，也不得将工作室的物品擅自带出工作室外。</w:t>
      </w:r>
    </w:p>
    <w:p w14:paraId="39415B65">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（5）未经采购方批准，供应商不得以任何形式复制离线的卷宗图像和卷宗目录数据。</w:t>
      </w:r>
    </w:p>
    <w:p w14:paraId="57A1AC09">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（6）供应商工作人员剔除同一案卷内的重复文件必须经采购方有关人员审核同意方可实施。</w:t>
      </w:r>
    </w:p>
    <w:p w14:paraId="5959A99F">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（7）工作室内的废纸必须集中放置，并定期运送至采购方指定位置进行销毁。</w:t>
      </w:r>
    </w:p>
    <w:p w14:paraId="22003643">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（8）供应商工作人员不得以任何方式非法向外人泄露档案所涉及的审判秘密、工作秘密及其他不宜公开的信息，否则按国家有关规定处理，情节严重的要承担相应的刑事责任。</w:t>
      </w:r>
    </w:p>
    <w:p w14:paraId="11B0469F">
      <w:pPr>
        <w:keepNext/>
        <w:keepLines/>
        <w:numPr>
          <w:ilvl w:val="1"/>
          <w:numId w:val="3"/>
        </w:numPr>
        <w:adjustRightInd w:val="0"/>
        <w:snapToGrid w:val="0"/>
        <w:spacing w:before="120" w:after="120" w:line="360" w:lineRule="auto"/>
        <w:ind w:firstLine="200"/>
        <w:outlineLvl w:val="1"/>
        <w:rPr>
          <w:rFonts w:hint="default"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其他要求</w:t>
      </w:r>
    </w:p>
    <w:p w14:paraId="3983BD50">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为确保无锡中院服务成效，供应商应基于现有法院业务系统进行软件功能操作，服务期间供应商提供的相关配套服务软件需与无锡地区诉服网、材料、审判、执行、卷宗、档案等核心业务系统进行无缝对接，确保数据准确性及一致性。</w:t>
      </w:r>
    </w:p>
    <w:bookmarkEnd w:id="34"/>
    <w:bookmarkEnd w:id="35"/>
    <w:p w14:paraId="3241C16C">
      <w:pPr>
        <w:keepNext/>
        <w:keepLines/>
        <w:numPr>
          <w:ilvl w:val="0"/>
          <w:numId w:val="3"/>
        </w:numPr>
        <w:adjustRightInd w:val="0"/>
        <w:snapToGrid w:val="0"/>
        <w:spacing w:before="120" w:after="120" w:line="360" w:lineRule="auto"/>
        <w:ind w:firstLine="200"/>
        <w:outlineLvl w:val="0"/>
        <w:rPr>
          <w:rFonts w:hint="default" w:ascii="宋体" w:hAnsi="宋体" w:eastAsia="宋体" w:cs="宋体"/>
          <w:b/>
          <w:bCs/>
          <w:color w:val="auto"/>
          <w:kern w:val="44"/>
          <w:sz w:val="24"/>
          <w:szCs w:val="24"/>
          <w:highlight w:val="none"/>
        </w:rPr>
      </w:pPr>
      <w:bookmarkStart w:id="36" w:name="_Toc45264038"/>
      <w:r>
        <w:rPr>
          <w:rFonts w:hint="eastAsia" w:ascii="宋体" w:hAnsi="宋体" w:eastAsia="宋体" w:cs="宋体"/>
          <w:b/>
          <w:bCs/>
          <w:color w:val="auto"/>
          <w:kern w:val="44"/>
          <w:sz w:val="24"/>
          <w:szCs w:val="24"/>
          <w:highlight w:val="none"/>
        </w:rPr>
        <w:t>技术服务、培训等</w:t>
      </w:r>
      <w:bookmarkEnd w:id="36"/>
    </w:p>
    <w:p w14:paraId="68049D33">
      <w:pPr>
        <w:adjustRightInd w:val="0"/>
        <w:snapToGrid w:val="0"/>
        <w:spacing w:line="360" w:lineRule="auto"/>
        <w:ind w:firstLine="482" w:firstLineChars="200"/>
        <w:rPr>
          <w:rFonts w:hint="default"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（1）工作时间</w:t>
      </w:r>
    </w:p>
    <w:p w14:paraId="000C1B8A">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国家法定工作日和采购方统一要求加班的节假日，上午8:30-11：30，下午：13:30-17:00，如遇工作量大积压的情况，可以报备采购方后合理安排延长工作时间。供应商应严格执行考勤制度，做好考勤登记，确保员工准时上班。</w:t>
      </w:r>
    </w:p>
    <w:p w14:paraId="35B319D1">
      <w:pPr>
        <w:adjustRightInd w:val="0"/>
        <w:snapToGrid w:val="0"/>
        <w:spacing w:line="360" w:lineRule="auto"/>
        <w:ind w:firstLine="482" w:firstLineChars="200"/>
        <w:rPr>
          <w:rFonts w:hint="default"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（2）技术服务</w:t>
      </w:r>
    </w:p>
    <w:p w14:paraId="2919C7C9">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工作时间供应商须提供运维工程师现场或远程解答采购人关于无纸化办案业务和技术问题。另外提供每天24小时的不间断技术支持服务，为采购人提供电话、传真、视频、现场等多种方式技术支持服务，全方位响应需求。</w:t>
      </w:r>
    </w:p>
    <w:p w14:paraId="1D410B12">
      <w:pPr>
        <w:adjustRightInd w:val="0"/>
        <w:snapToGrid w:val="0"/>
        <w:spacing w:line="360" w:lineRule="auto"/>
        <w:ind w:firstLine="482" w:firstLineChars="200"/>
        <w:rPr>
          <w:rFonts w:hint="default"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（3）培训</w:t>
      </w:r>
    </w:p>
    <w:p w14:paraId="4139877D">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供应商应制定无纸化服务相关培训内容，负责多轮次对采购人工作人员和本项目实施人员进行相关培训，培训内容包括但不限于无纸化办案理解、纸质卷宗流转机制、辅助事项管理系统、电子卷宗智能服务系统和文书平台等，确保项目实施顺利和项目实施成效。</w:t>
      </w:r>
    </w:p>
    <w:p w14:paraId="09FBE9FB">
      <w:pPr>
        <w:adjustRightInd w:val="0"/>
        <w:snapToGrid w:val="0"/>
        <w:spacing w:line="360" w:lineRule="auto"/>
        <w:ind w:firstLine="482" w:firstLineChars="200"/>
        <w:rPr>
          <w:rFonts w:hint="default"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（4）人员调整</w:t>
      </w:r>
    </w:p>
    <w:p w14:paraId="7C705C1D">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供应商工作人员若有违反采购人规定或工作质量出现问题的，采购人有权提出更换人员并收回相关出入采购人场所证件。</w:t>
      </w:r>
    </w:p>
    <w:p w14:paraId="5FD466C2">
      <w:pPr>
        <w:keepNext/>
        <w:keepLines/>
        <w:numPr>
          <w:ilvl w:val="0"/>
          <w:numId w:val="3"/>
        </w:numPr>
        <w:adjustRightInd w:val="0"/>
        <w:snapToGrid w:val="0"/>
        <w:spacing w:before="120" w:after="120" w:line="360" w:lineRule="auto"/>
        <w:ind w:firstLine="200"/>
        <w:outlineLvl w:val="0"/>
        <w:rPr>
          <w:rFonts w:hint="default" w:ascii="宋体" w:hAnsi="宋体" w:eastAsia="宋体" w:cs="宋体"/>
          <w:b/>
          <w:bCs/>
          <w:color w:val="auto"/>
          <w:kern w:val="44"/>
          <w:sz w:val="24"/>
          <w:szCs w:val="24"/>
          <w:highlight w:val="none"/>
        </w:rPr>
      </w:pPr>
      <w:r>
        <w:rPr>
          <w:rFonts w:hint="eastAsia" w:ascii="宋体" w:hAnsi="宋体" w:eastAsia="宋体" w:cs="宋体"/>
          <w:b/>
          <w:bCs/>
          <w:color w:val="auto"/>
          <w:kern w:val="44"/>
          <w:sz w:val="24"/>
          <w:szCs w:val="24"/>
          <w:highlight w:val="none"/>
        </w:rPr>
        <w:t>验收</w:t>
      </w:r>
    </w:p>
    <w:p w14:paraId="5912387F">
      <w:pPr>
        <w:adjustRightInd w:val="0"/>
        <w:snapToGrid w:val="0"/>
        <w:spacing w:line="360" w:lineRule="auto"/>
        <w:ind w:firstLine="480" w:firstLineChars="200"/>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1、平时抽检：采购方代表两人以上组成验收组负责日常抽检。</w:t>
      </w:r>
    </w:p>
    <w:p w14:paraId="3D6287BF">
      <w:pPr>
        <w:spacing w:line="360" w:lineRule="auto"/>
        <w:ind w:firstLine="480" w:firstLineChars="200"/>
        <w:jc w:val="left"/>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2、总验收：由采购方组织验收，总验收合格后支付尾款，验收合格率不低于95%，验收合格后，验收双方应当在验收单确认签字。验收不合格，供应商在规定时间内进行整改，否则不予结算费用。</w:t>
      </w:r>
    </w:p>
    <w:p w14:paraId="760053D8">
      <w:pPr>
        <w:pStyle w:val="2"/>
        <w:rPr>
          <w:rFonts w:hint="eastAsia" w:ascii="宋体" w:hAnsi="宋体" w:eastAsia="宋体" w:cs="宋体"/>
          <w:color w:val="auto"/>
          <w:kern w:val="2"/>
          <w:sz w:val="24"/>
          <w:szCs w:val="24"/>
          <w:highlight w:val="none"/>
        </w:rPr>
      </w:pPr>
    </w:p>
    <w:p w14:paraId="24058486">
      <w:r>
        <w:br w:type="page"/>
      </w:r>
    </w:p>
    <w:p w14:paraId="1BB3DFCB">
      <w:pPr>
        <w:rPr>
          <w:rFonts w:ascii="宋体" w:hAnsi="宋体" w:cs="宋体"/>
          <w:b/>
          <w:bCs/>
          <w:sz w:val="28"/>
          <w:szCs w:val="28"/>
          <w:highlight w:val="none"/>
        </w:rPr>
      </w:pPr>
    </w:p>
    <w:p w14:paraId="6DA3FBE5">
      <w:pPr>
        <w:spacing w:line="360" w:lineRule="auto"/>
        <w:jc w:val="center"/>
        <w:outlineLvl w:val="0"/>
        <w:rPr>
          <w:rFonts w:ascii="宋体" w:hAnsi="宋体" w:cs="宋体"/>
          <w:b/>
          <w:bCs/>
          <w:sz w:val="28"/>
          <w:szCs w:val="28"/>
          <w:highlight w:val="none"/>
        </w:rPr>
      </w:pPr>
      <w:r>
        <w:rPr>
          <w:rFonts w:hint="eastAsia" w:ascii="宋体" w:hAnsi="宋体" w:cs="宋体"/>
          <w:b/>
          <w:bCs/>
          <w:sz w:val="28"/>
          <w:szCs w:val="28"/>
          <w:highlight w:val="none"/>
        </w:rPr>
        <w:t>四、合同书（格式文本）</w:t>
      </w:r>
      <w:bookmarkEnd w:id="31"/>
      <w:bookmarkEnd w:id="32"/>
      <w:bookmarkEnd w:id="33"/>
    </w:p>
    <w:p w14:paraId="1A0767FE">
      <w:pPr>
        <w:spacing w:line="360" w:lineRule="auto"/>
        <w:ind w:firstLine="482"/>
        <w:rPr>
          <w:rFonts w:hint="default" w:ascii="宋体" w:hAnsi="宋体" w:eastAsia="宋体" w:cs="宋体"/>
          <w:b/>
          <w:bCs/>
          <w:color w:val="auto"/>
          <w:sz w:val="24"/>
          <w:szCs w:val="24"/>
          <w:highlight w:val="none"/>
        </w:rPr>
      </w:pPr>
      <w:bookmarkStart w:id="37" w:name="_Toc4709"/>
      <w:bookmarkStart w:id="38" w:name="_Toc17918"/>
      <w:bookmarkStart w:id="39" w:name="_Toc5730"/>
      <w:r>
        <w:rPr>
          <w:rFonts w:hint="eastAsia" w:ascii="宋体" w:hAnsi="宋体" w:eastAsia="宋体" w:cs="宋体"/>
          <w:b/>
          <w:bCs/>
          <w:color w:val="auto"/>
          <w:sz w:val="24"/>
          <w:szCs w:val="24"/>
          <w:highlight w:val="none"/>
        </w:rPr>
        <w:t xml:space="preserve">甲方： </w:t>
      </w:r>
    </w:p>
    <w:p w14:paraId="593D020A">
      <w:pPr>
        <w:spacing w:line="360" w:lineRule="auto"/>
        <w:ind w:firstLine="482"/>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统一社会信用代码：</w:t>
      </w:r>
    </w:p>
    <w:p w14:paraId="6DD2DAFF">
      <w:pPr>
        <w:spacing w:line="360" w:lineRule="auto"/>
        <w:ind w:firstLine="482"/>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地址：</w:t>
      </w:r>
    </w:p>
    <w:p w14:paraId="3703D980">
      <w:pPr>
        <w:spacing w:line="360" w:lineRule="auto"/>
        <w:ind w:firstLine="480"/>
        <w:rPr>
          <w:rFonts w:hint="default" w:ascii="宋体" w:hAnsi="宋体" w:eastAsia="宋体" w:cs="宋体"/>
          <w:color w:val="auto"/>
          <w:sz w:val="24"/>
          <w:szCs w:val="24"/>
          <w:highlight w:val="none"/>
        </w:rPr>
      </w:pPr>
    </w:p>
    <w:p w14:paraId="13A41B03">
      <w:pPr>
        <w:spacing w:line="360" w:lineRule="auto"/>
        <w:ind w:firstLine="482"/>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乙方：</w:t>
      </w:r>
    </w:p>
    <w:p w14:paraId="39046E75">
      <w:pPr>
        <w:spacing w:line="360" w:lineRule="auto"/>
        <w:ind w:firstLine="482"/>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统一社会信用代码：</w:t>
      </w:r>
    </w:p>
    <w:p w14:paraId="2FDD590F">
      <w:pPr>
        <w:spacing w:line="360" w:lineRule="auto"/>
        <w:ind w:firstLine="482"/>
        <w:rPr>
          <w:rFonts w:hint="default"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地址：</w:t>
      </w:r>
    </w:p>
    <w:p w14:paraId="4FA4D1C1">
      <w:pPr>
        <w:spacing w:line="360" w:lineRule="auto"/>
        <w:ind w:firstLine="482"/>
        <w:rPr>
          <w:rFonts w:hint="default" w:ascii="宋体" w:hAnsi="宋体" w:eastAsia="宋体" w:cs="宋体"/>
          <w:b/>
          <w:bCs/>
          <w:color w:val="auto"/>
          <w:sz w:val="24"/>
          <w:szCs w:val="24"/>
          <w:highlight w:val="none"/>
        </w:rPr>
      </w:pPr>
    </w:p>
    <w:p w14:paraId="4F3EA987">
      <w:pPr>
        <w:tabs>
          <w:tab w:val="left" w:pos="840"/>
          <w:tab w:val="left" w:pos="1155"/>
        </w:tabs>
        <w:spacing w:line="360" w:lineRule="auto"/>
        <w:ind w:firstLine="480"/>
        <w:rPr>
          <w:rFonts w:hint="default" w:ascii="宋体" w:hAnsi="宋体" w:eastAsia="宋体"/>
          <w:bCs/>
          <w:color w:val="auto"/>
          <w:sz w:val="24"/>
          <w:szCs w:val="24"/>
          <w:highlight w:val="none"/>
        </w:rPr>
      </w:pPr>
      <w:r>
        <w:rPr>
          <w:rFonts w:hint="eastAsia" w:ascii="宋体" w:hAnsi="宋体" w:eastAsia="宋体"/>
          <w:bCs/>
          <w:color w:val="auto"/>
          <w:sz w:val="24"/>
          <w:szCs w:val="24"/>
          <w:highlight w:val="none"/>
          <w:lang w:bidi="zh-CN"/>
        </w:rPr>
        <w:t>甲乙双方根据《中华人民共和国民法典》及其他有关法律规定，遵循自愿、公平、诚实信用的原则，经平等协商，订立本合同，以兹双方共同遵守：</w:t>
      </w:r>
    </w:p>
    <w:p w14:paraId="63D701CF">
      <w:pPr>
        <w:spacing w:line="360" w:lineRule="auto"/>
        <w:ind w:firstLine="482"/>
        <w:rPr>
          <w:rFonts w:hint="default" w:ascii="宋体" w:hAnsi="宋体" w:eastAsia="宋体"/>
          <w:b/>
          <w:color w:val="auto"/>
          <w:sz w:val="24"/>
          <w:szCs w:val="24"/>
          <w:highlight w:val="none"/>
        </w:rPr>
      </w:pPr>
      <w:r>
        <w:rPr>
          <w:rFonts w:hint="eastAsia" w:ascii="宋体" w:hAnsi="宋体" w:eastAsia="宋体"/>
          <w:b/>
          <w:color w:val="auto"/>
          <w:sz w:val="24"/>
          <w:szCs w:val="24"/>
          <w:highlight w:val="none"/>
        </w:rPr>
        <w:t>一、合同内容：</w:t>
      </w:r>
    </w:p>
    <w:p w14:paraId="68A8EC96">
      <w:pPr>
        <w:spacing w:line="360" w:lineRule="auto"/>
        <w:ind w:firstLine="480"/>
        <w:rPr>
          <w:rFonts w:hint="default" w:ascii="宋体" w:hAnsi="宋体" w:eastAsia="宋体"/>
          <w:color w:val="auto"/>
          <w:sz w:val="24"/>
          <w:szCs w:val="24"/>
          <w:highlight w:val="none"/>
        </w:rPr>
      </w:pPr>
      <w:r>
        <w:rPr>
          <w:rFonts w:hint="eastAsia" w:ascii="宋体" w:hAnsi="宋体" w:eastAsia="宋体"/>
          <w:color w:val="auto"/>
          <w:sz w:val="24"/>
          <w:szCs w:val="24"/>
          <w:highlight w:val="none"/>
        </w:rPr>
        <w:t>1、乙方负责完成甲方的服务工作。</w:t>
      </w:r>
    </w:p>
    <w:p w14:paraId="5ECAEA05">
      <w:pPr>
        <w:spacing w:line="360" w:lineRule="auto"/>
        <w:ind w:firstLine="480"/>
        <w:rPr>
          <w:rFonts w:hint="default" w:ascii="宋体" w:hAnsi="宋体" w:eastAsia="宋体"/>
          <w:color w:val="auto"/>
          <w:sz w:val="24"/>
          <w:szCs w:val="24"/>
          <w:highlight w:val="none"/>
        </w:rPr>
      </w:pPr>
      <w:r>
        <w:rPr>
          <w:rFonts w:hint="eastAsia" w:ascii="宋体" w:hAnsi="宋体" w:eastAsia="宋体"/>
          <w:color w:val="auto"/>
          <w:sz w:val="24"/>
          <w:szCs w:val="24"/>
          <w:highlight w:val="none"/>
        </w:rPr>
        <w:t>2、下列文件为本合同不可分割部分：</w:t>
      </w:r>
    </w:p>
    <w:p w14:paraId="63545888">
      <w:pPr>
        <w:numPr>
          <w:ilvl w:val="0"/>
          <w:numId w:val="4"/>
        </w:numPr>
        <w:tabs>
          <w:tab w:val="clear" w:pos="1240"/>
        </w:tabs>
        <w:spacing w:line="360" w:lineRule="auto"/>
        <w:ind w:left="0" w:firstLine="480"/>
        <w:rPr>
          <w:rFonts w:hint="default" w:ascii="宋体" w:hAnsi="宋体" w:eastAsia="宋体"/>
          <w:color w:val="auto"/>
          <w:sz w:val="24"/>
          <w:szCs w:val="24"/>
          <w:highlight w:val="none"/>
        </w:rPr>
      </w:pPr>
      <w:r>
        <w:rPr>
          <w:rFonts w:hint="eastAsia" w:ascii="宋体" w:hAnsi="宋体" w:eastAsia="宋体"/>
          <w:color w:val="auto"/>
          <w:sz w:val="24"/>
          <w:szCs w:val="24"/>
          <w:highlight w:val="none"/>
        </w:rPr>
        <w:t>中标通知书；</w:t>
      </w:r>
    </w:p>
    <w:p w14:paraId="281FA5C6">
      <w:pPr>
        <w:numPr>
          <w:ilvl w:val="0"/>
          <w:numId w:val="4"/>
        </w:numPr>
        <w:tabs>
          <w:tab w:val="clear" w:pos="1240"/>
        </w:tabs>
        <w:spacing w:line="360" w:lineRule="auto"/>
        <w:ind w:left="0" w:firstLine="480"/>
        <w:rPr>
          <w:rFonts w:hint="default" w:ascii="宋体" w:hAnsi="宋体" w:eastAsia="宋体"/>
          <w:color w:val="auto"/>
          <w:sz w:val="24"/>
          <w:szCs w:val="24"/>
          <w:highlight w:val="none"/>
        </w:rPr>
      </w:pPr>
      <w:r>
        <w:rPr>
          <w:rFonts w:hint="eastAsia" w:ascii="宋体" w:hAnsi="宋体" w:eastAsia="宋体"/>
          <w:color w:val="auto"/>
          <w:sz w:val="24"/>
          <w:szCs w:val="24"/>
          <w:highlight w:val="none"/>
        </w:rPr>
        <w:t>投标文件；</w:t>
      </w:r>
    </w:p>
    <w:p w14:paraId="314D9749">
      <w:pPr>
        <w:numPr>
          <w:ilvl w:val="0"/>
          <w:numId w:val="4"/>
        </w:numPr>
        <w:tabs>
          <w:tab w:val="clear" w:pos="1240"/>
        </w:tabs>
        <w:spacing w:line="360" w:lineRule="auto"/>
        <w:ind w:left="0" w:firstLine="480"/>
        <w:rPr>
          <w:rFonts w:hint="default" w:ascii="宋体" w:hAnsi="宋体" w:eastAsia="宋体"/>
          <w:color w:val="auto"/>
          <w:sz w:val="24"/>
          <w:szCs w:val="24"/>
          <w:highlight w:val="none"/>
        </w:rPr>
      </w:pPr>
      <w:r>
        <w:rPr>
          <w:rFonts w:hint="eastAsia" w:ascii="宋体" w:hAnsi="宋体" w:eastAsia="宋体"/>
          <w:color w:val="auto"/>
          <w:sz w:val="24"/>
          <w:szCs w:val="24"/>
          <w:highlight w:val="none"/>
        </w:rPr>
        <w:t>乙方在投标过程中所作的其它承诺、声明、书面澄清等；</w:t>
      </w:r>
    </w:p>
    <w:p w14:paraId="1342E7C7">
      <w:pPr>
        <w:numPr>
          <w:ilvl w:val="0"/>
          <w:numId w:val="4"/>
        </w:numPr>
        <w:tabs>
          <w:tab w:val="clear" w:pos="1240"/>
        </w:tabs>
        <w:spacing w:line="360" w:lineRule="auto"/>
        <w:ind w:left="0" w:firstLine="480"/>
        <w:rPr>
          <w:rFonts w:hint="default" w:ascii="宋体" w:hAnsi="宋体" w:eastAsia="宋体"/>
          <w:color w:val="auto"/>
          <w:sz w:val="24"/>
          <w:szCs w:val="24"/>
          <w:highlight w:val="none"/>
        </w:rPr>
      </w:pPr>
      <w:r>
        <w:rPr>
          <w:rFonts w:hint="eastAsia" w:ascii="宋体" w:hAnsi="宋体" w:eastAsia="宋体"/>
          <w:color w:val="auto"/>
          <w:sz w:val="24"/>
          <w:szCs w:val="24"/>
          <w:highlight w:val="none"/>
        </w:rPr>
        <w:t>采购文件及采购需求。</w:t>
      </w:r>
    </w:p>
    <w:p w14:paraId="21633804">
      <w:pPr>
        <w:spacing w:line="360" w:lineRule="auto"/>
        <w:ind w:firstLine="480" w:firstLineChars="200"/>
        <w:rPr>
          <w:rFonts w:hint="default" w:ascii="宋体" w:hAnsi="宋体" w:eastAsia="宋体"/>
          <w:color w:val="auto"/>
          <w:sz w:val="24"/>
          <w:szCs w:val="24"/>
          <w:highlight w:val="none"/>
        </w:rPr>
      </w:pPr>
      <w:r>
        <w:rPr>
          <w:rFonts w:hint="eastAsia" w:ascii="宋体" w:hAnsi="宋体" w:eastAsia="宋体"/>
          <w:color w:val="auto"/>
          <w:sz w:val="24"/>
          <w:szCs w:val="24"/>
          <w:highlight w:val="none"/>
        </w:rPr>
        <w:t>3、服务内容：（1）</w:t>
      </w:r>
      <w:bookmarkStart w:id="40" w:name="OLE_LINK4"/>
      <w:bookmarkStart w:id="41" w:name="OLE_LINK5"/>
      <w:r>
        <w:rPr>
          <w:rFonts w:hint="eastAsia" w:ascii="宋体" w:hAnsi="宋体" w:eastAsia="宋体"/>
          <w:color w:val="auto"/>
          <w:sz w:val="24"/>
          <w:szCs w:val="24"/>
          <w:highlight w:val="none"/>
          <w:lang w:val="zh-CN"/>
        </w:rPr>
        <w:t>集中编目服务</w:t>
      </w:r>
      <w:bookmarkEnd w:id="40"/>
      <w:r>
        <w:rPr>
          <w:rFonts w:hint="eastAsia" w:ascii="宋体" w:hAnsi="宋体" w:eastAsia="宋体"/>
          <w:color w:val="auto"/>
          <w:sz w:val="24"/>
          <w:szCs w:val="24"/>
          <w:highlight w:val="none"/>
          <w:lang w:val="zh-CN"/>
        </w:rPr>
        <w:t>：建设市级集约编目中心，采用</w:t>
      </w:r>
      <w:r>
        <w:rPr>
          <w:rFonts w:hint="default" w:ascii="宋体" w:hAnsi="宋体" w:eastAsia="宋体"/>
          <w:color w:val="auto"/>
          <w:sz w:val="24"/>
          <w:szCs w:val="24"/>
          <w:highlight w:val="none"/>
          <w:lang w:val="zh-CN"/>
        </w:rPr>
        <w:t>“</w:t>
      </w:r>
      <w:r>
        <w:rPr>
          <w:rFonts w:hint="eastAsia" w:ascii="宋体" w:hAnsi="宋体" w:eastAsia="宋体"/>
          <w:color w:val="auto"/>
          <w:sz w:val="24"/>
          <w:szCs w:val="24"/>
          <w:highlight w:val="none"/>
          <w:lang w:val="zh-CN"/>
        </w:rPr>
        <w:t>分散扫描、集中编目、统一归档</w:t>
      </w:r>
      <w:r>
        <w:rPr>
          <w:rFonts w:hint="default" w:ascii="宋体" w:hAnsi="宋体" w:eastAsia="宋体"/>
          <w:color w:val="auto"/>
          <w:sz w:val="24"/>
          <w:szCs w:val="24"/>
          <w:highlight w:val="none"/>
          <w:lang w:val="zh-CN"/>
        </w:rPr>
        <w:t>”</w:t>
      </w:r>
      <w:r>
        <w:rPr>
          <w:rFonts w:hint="eastAsia" w:ascii="宋体" w:hAnsi="宋体" w:eastAsia="宋体"/>
          <w:color w:val="auto"/>
          <w:sz w:val="24"/>
          <w:szCs w:val="24"/>
          <w:highlight w:val="none"/>
          <w:lang w:val="zh-CN"/>
        </w:rPr>
        <w:t>模式，以</w:t>
      </w:r>
      <w:r>
        <w:rPr>
          <w:rFonts w:hint="default" w:ascii="宋体" w:hAnsi="宋体" w:eastAsia="宋体"/>
          <w:color w:val="auto"/>
          <w:sz w:val="24"/>
          <w:szCs w:val="24"/>
          <w:highlight w:val="none"/>
          <w:lang w:val="zh-CN"/>
        </w:rPr>
        <w:t>“</w:t>
      </w:r>
      <w:r>
        <w:rPr>
          <w:rFonts w:hint="eastAsia" w:ascii="宋体" w:hAnsi="宋体" w:eastAsia="宋体"/>
          <w:color w:val="auto"/>
          <w:sz w:val="24"/>
          <w:szCs w:val="24"/>
          <w:highlight w:val="none"/>
          <w:lang w:val="zh-CN"/>
        </w:rPr>
        <w:t>自动编目为主、人工校对为辅</w:t>
      </w:r>
      <w:r>
        <w:rPr>
          <w:rFonts w:hint="default" w:ascii="宋体" w:hAnsi="宋体" w:eastAsia="宋体"/>
          <w:color w:val="auto"/>
          <w:sz w:val="24"/>
          <w:szCs w:val="24"/>
          <w:highlight w:val="none"/>
          <w:lang w:val="zh-CN"/>
        </w:rPr>
        <w:t>”</w:t>
      </w:r>
      <w:r>
        <w:rPr>
          <w:rFonts w:hint="eastAsia" w:ascii="宋体" w:hAnsi="宋体" w:eastAsia="宋体"/>
          <w:color w:val="auto"/>
          <w:sz w:val="24"/>
          <w:szCs w:val="24"/>
          <w:highlight w:val="none"/>
          <w:lang w:val="zh-CN"/>
        </w:rPr>
        <w:t>，实现卷宗智能命名、精准归目，提供无锡全市两级共8家法院合同期内立案的审判一审二审和执行等案件完成材料精细化名称标注和归目质检服务，同时对各基层院随案扫描团队进行材料整理、材料分类排序、材料扫描等操作培训服务。（2）基础性配套服务：乙方随服务提供精细化编目系统和编目数据可视化平台，并承诺集中编目系统与无锡法院现用审判业务管理系统、执行流程案件管理系统和电子卷宗深度应用系统进行数据对接，实现系统互联互通和数据共享交互服务；甲方接受数据加工相关服务同时无需为集中编目系统配合最高院“一张网”改造单独付费。</w:t>
      </w:r>
      <w:bookmarkEnd w:id="41"/>
    </w:p>
    <w:p w14:paraId="38AAF717">
      <w:pPr>
        <w:spacing w:line="360" w:lineRule="auto"/>
        <w:ind w:firstLine="480"/>
        <w:rPr>
          <w:rFonts w:hint="default" w:ascii="宋体" w:hAnsi="宋体" w:eastAsia="宋体"/>
          <w:color w:val="auto"/>
          <w:sz w:val="24"/>
          <w:szCs w:val="24"/>
          <w:highlight w:val="none"/>
        </w:rPr>
      </w:pPr>
      <w:r>
        <w:rPr>
          <w:rFonts w:hint="eastAsia" w:ascii="宋体" w:hAnsi="宋体" w:eastAsia="宋体"/>
          <w:color w:val="auto"/>
          <w:sz w:val="24"/>
          <w:szCs w:val="24"/>
          <w:highlight w:val="none"/>
        </w:rPr>
        <w:t>4、服务期限：三年。</w:t>
      </w:r>
      <w:r>
        <w:rPr>
          <w:rFonts w:hint="eastAsia" w:ascii="宋体" w:hAnsi="宋体" w:eastAsia="宋体"/>
          <w:bCs/>
          <w:color w:val="auto"/>
          <w:sz w:val="24"/>
          <w:szCs w:val="24"/>
          <w:highlight w:val="none"/>
        </w:rPr>
        <w:t>（</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年</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月</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日至</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年</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月</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日）</w:t>
      </w:r>
    </w:p>
    <w:p w14:paraId="2C4A5BD1">
      <w:pPr>
        <w:spacing w:line="360" w:lineRule="auto"/>
        <w:ind w:firstLine="482"/>
        <w:rPr>
          <w:rFonts w:hint="default" w:ascii="宋体" w:hAnsi="宋体" w:eastAsia="宋体"/>
          <w:b/>
          <w:color w:val="auto"/>
          <w:sz w:val="24"/>
          <w:szCs w:val="24"/>
          <w:highlight w:val="none"/>
        </w:rPr>
      </w:pPr>
      <w:r>
        <w:rPr>
          <w:rFonts w:hint="eastAsia" w:ascii="宋体" w:hAnsi="宋体" w:eastAsia="宋体"/>
          <w:b/>
          <w:color w:val="auto"/>
          <w:sz w:val="24"/>
          <w:szCs w:val="24"/>
          <w:highlight w:val="none"/>
          <w:lang w:val="zh-CN"/>
        </w:rPr>
        <w:t>二、</w:t>
      </w:r>
      <w:r>
        <w:rPr>
          <w:rFonts w:hint="eastAsia" w:ascii="宋体" w:hAnsi="宋体" w:eastAsia="宋体"/>
          <w:b/>
          <w:color w:val="auto"/>
          <w:sz w:val="24"/>
          <w:szCs w:val="24"/>
          <w:highlight w:val="none"/>
        </w:rPr>
        <w:t>合同</w:t>
      </w:r>
      <w:r>
        <w:rPr>
          <w:rFonts w:hint="eastAsia" w:ascii="宋体" w:hAnsi="宋体" w:eastAsia="宋体"/>
          <w:b/>
          <w:color w:val="auto"/>
          <w:sz w:val="24"/>
          <w:szCs w:val="24"/>
          <w:highlight w:val="none"/>
          <w:lang w:val="zh-CN"/>
        </w:rPr>
        <w:t>价格与支付</w:t>
      </w:r>
      <w:r>
        <w:rPr>
          <w:rFonts w:hint="eastAsia" w:ascii="宋体" w:hAnsi="宋体" w:eastAsia="宋体"/>
          <w:b/>
          <w:color w:val="auto"/>
          <w:sz w:val="24"/>
          <w:szCs w:val="24"/>
          <w:highlight w:val="none"/>
        </w:rPr>
        <w:t>：</w:t>
      </w:r>
    </w:p>
    <w:p w14:paraId="1F15E229">
      <w:pPr>
        <w:spacing w:line="360" w:lineRule="auto"/>
        <w:ind w:firstLine="480"/>
        <w:rPr>
          <w:rFonts w:hint="default" w:ascii="宋体" w:hAnsi="宋体" w:eastAsia="宋体"/>
          <w:color w:val="auto"/>
          <w:sz w:val="24"/>
          <w:szCs w:val="24"/>
          <w:highlight w:val="none"/>
        </w:rPr>
      </w:pPr>
      <w:r>
        <w:rPr>
          <w:rFonts w:hint="eastAsia" w:ascii="宋体" w:hAnsi="宋体" w:eastAsia="宋体"/>
          <w:color w:val="auto"/>
          <w:sz w:val="24"/>
          <w:szCs w:val="24"/>
          <w:highlight w:val="none"/>
        </w:rPr>
        <w:t>1、合同总金额：</w:t>
      </w:r>
      <w:r>
        <w:rPr>
          <w:rFonts w:hint="eastAsia" w:ascii="宋体" w:hAnsi="宋体" w:eastAsia="宋体"/>
          <w:b/>
          <w:color w:val="auto"/>
          <w:sz w:val="24"/>
          <w:szCs w:val="24"/>
          <w:highlight w:val="none"/>
          <w:u w:val="single"/>
        </w:rPr>
        <w:t xml:space="preserve">         元/年</w:t>
      </w:r>
      <w:r>
        <w:rPr>
          <w:rFonts w:hint="eastAsia" w:ascii="宋体" w:hAnsi="宋体" w:eastAsia="宋体"/>
          <w:color w:val="auto"/>
          <w:sz w:val="24"/>
          <w:szCs w:val="24"/>
          <w:highlight w:val="none"/>
          <w:u w:val="single"/>
        </w:rPr>
        <w:t xml:space="preserve">，        </w:t>
      </w:r>
      <w:r>
        <w:rPr>
          <w:rFonts w:hint="eastAsia" w:ascii="宋体" w:hAnsi="宋体" w:eastAsia="宋体"/>
          <w:b/>
          <w:color w:val="auto"/>
          <w:sz w:val="24"/>
          <w:szCs w:val="24"/>
          <w:highlight w:val="none"/>
          <w:u w:val="single"/>
        </w:rPr>
        <w:t xml:space="preserve"> 元/3年，合同单价：     元/页</w:t>
      </w:r>
      <w:r>
        <w:rPr>
          <w:rFonts w:hint="eastAsia" w:ascii="宋体" w:hAnsi="宋体" w:eastAsia="宋体"/>
          <w:color w:val="auto"/>
          <w:sz w:val="24"/>
          <w:szCs w:val="24"/>
          <w:highlight w:val="none"/>
        </w:rPr>
        <w:t xml:space="preserve">。 </w:t>
      </w:r>
    </w:p>
    <w:p w14:paraId="4241E24C">
      <w:pPr>
        <w:spacing w:line="360" w:lineRule="auto"/>
        <w:ind w:firstLine="480"/>
        <w:rPr>
          <w:rFonts w:hint="default" w:ascii="宋体" w:hAnsi="宋体" w:eastAsia="宋体"/>
          <w:color w:val="auto"/>
          <w:sz w:val="24"/>
          <w:szCs w:val="24"/>
          <w:highlight w:val="none"/>
          <w:lang w:val="zh-CN"/>
        </w:rPr>
      </w:pPr>
      <w:r>
        <w:rPr>
          <w:rFonts w:hint="eastAsia" w:ascii="宋体" w:hAnsi="宋体" w:eastAsia="宋体"/>
          <w:color w:val="auto"/>
          <w:sz w:val="24"/>
          <w:szCs w:val="24"/>
          <w:highlight w:val="none"/>
        </w:rPr>
        <w:t>2、</w:t>
      </w:r>
      <w:r>
        <w:rPr>
          <w:rFonts w:hint="eastAsia" w:ascii="宋体" w:hAnsi="宋体" w:eastAsia="宋体"/>
          <w:color w:val="auto"/>
          <w:sz w:val="24"/>
          <w:szCs w:val="24"/>
          <w:highlight w:val="none"/>
          <w:lang w:val="zh-CN"/>
        </w:rPr>
        <w:t>本项目由甲方按上述第1条中的单价与乙方进行结算，量按实际调整，但实际支付金额不超过合同价，且每年支付总金额不超过当年的财政预算（具体金额以甲方属地财政部门当年批准的预算为准）</w:t>
      </w:r>
      <w:r>
        <w:rPr>
          <w:rFonts w:hint="eastAsia" w:ascii="宋体" w:hAnsi="宋体" w:eastAsia="宋体"/>
          <w:color w:val="auto"/>
          <w:sz w:val="24"/>
          <w:szCs w:val="24"/>
          <w:highlight w:val="none"/>
        </w:rPr>
        <w:t>。</w:t>
      </w:r>
      <w:r>
        <w:rPr>
          <w:rFonts w:hint="eastAsia" w:ascii="宋体" w:hAnsi="宋体" w:eastAsia="宋体"/>
          <w:color w:val="auto"/>
          <w:sz w:val="24"/>
          <w:szCs w:val="24"/>
          <w:highlight w:val="none"/>
          <w:lang w:val="zh-CN"/>
        </w:rPr>
        <w:t>合同金额应包括但不限于完成该项目所有的服务、人工、差旅、住宿、设备、通讯、利润、税金、技术支持与培训、专利、政策性文件规定及合同包含的所有风险、责任等一切费用。</w:t>
      </w:r>
    </w:p>
    <w:p w14:paraId="7C8EFCC1">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hint="eastAsia" w:ascii="宋体" w:hAnsi="宋体" w:eastAsia="宋体"/>
          <w:color w:val="auto"/>
          <w:sz w:val="24"/>
          <w:szCs w:val="24"/>
          <w:highlight w:val="none"/>
          <w:lang w:val="zh-CN"/>
        </w:rPr>
        <w:t>付款方式：合</w:t>
      </w:r>
      <w:r>
        <w:rPr>
          <w:rFonts w:hint="eastAsia" w:ascii="宋体" w:hAnsi="宋体" w:eastAsia="宋体"/>
          <w:color w:val="auto"/>
          <w:sz w:val="24"/>
          <w:szCs w:val="24"/>
          <w:highlight w:val="none"/>
        </w:rPr>
        <w:t>同签订后，每季度由甲方组织考核，考核标准参照附件2，考核合格后乙方开具与实际编目数量*单价等额的发票，甲方向乙方支付项目款。</w:t>
      </w:r>
    </w:p>
    <w:p w14:paraId="55BA1E2A">
      <w:pPr>
        <w:spacing w:line="360" w:lineRule="auto"/>
        <w:ind w:firstLine="480"/>
        <w:rPr>
          <w:rFonts w:hint="default" w:ascii="宋体" w:hAnsi="宋体" w:eastAsia="宋体"/>
          <w:color w:val="auto"/>
          <w:sz w:val="24"/>
          <w:szCs w:val="24"/>
          <w:highlight w:val="none"/>
        </w:rPr>
      </w:pPr>
      <w:r>
        <w:rPr>
          <w:rFonts w:hint="eastAsia" w:ascii="宋体" w:hAnsi="宋体" w:eastAsia="宋体"/>
          <w:color w:val="auto"/>
          <w:sz w:val="24"/>
          <w:szCs w:val="24"/>
          <w:highlight w:val="none"/>
        </w:rPr>
        <w:t>4、合同涉及所有服务内容实际产生的总金额不得超过预算总价。</w:t>
      </w:r>
    </w:p>
    <w:p w14:paraId="5AF4DD6B">
      <w:pPr>
        <w:spacing w:line="360" w:lineRule="auto"/>
        <w:ind w:firstLine="480"/>
        <w:rPr>
          <w:rFonts w:hint="default" w:ascii="宋体" w:hAnsi="宋体" w:eastAsia="宋体"/>
          <w:color w:val="auto"/>
          <w:sz w:val="24"/>
          <w:szCs w:val="24"/>
          <w:highlight w:val="none"/>
        </w:rPr>
      </w:pPr>
      <w:r>
        <w:rPr>
          <w:rFonts w:hint="eastAsia" w:ascii="宋体" w:hAnsi="宋体" w:eastAsia="宋体"/>
          <w:color w:val="auto"/>
          <w:sz w:val="24"/>
          <w:szCs w:val="24"/>
          <w:highlight w:val="none"/>
        </w:rPr>
        <w:t>5、合同价中</w:t>
      </w:r>
      <w:r>
        <w:rPr>
          <w:rFonts w:hint="default" w:ascii="宋体" w:hAnsi="宋体" w:eastAsia="宋体"/>
          <w:color w:val="auto"/>
          <w:sz w:val="24"/>
          <w:szCs w:val="24"/>
          <w:highlight w:val="none"/>
        </w:rPr>
        <w:t>包含</w:t>
      </w:r>
      <w:r>
        <w:rPr>
          <w:rFonts w:hint="eastAsia" w:ascii="宋体" w:hAnsi="宋体" w:eastAsia="宋体"/>
          <w:color w:val="auto"/>
          <w:sz w:val="24"/>
          <w:szCs w:val="24"/>
          <w:highlight w:val="none"/>
        </w:rPr>
        <w:t>采购</w:t>
      </w:r>
      <w:r>
        <w:rPr>
          <w:rFonts w:hint="default" w:ascii="宋体" w:hAnsi="宋体" w:eastAsia="宋体"/>
          <w:color w:val="auto"/>
          <w:sz w:val="24"/>
          <w:szCs w:val="24"/>
          <w:highlight w:val="none"/>
        </w:rPr>
        <w:t>代理费，</w:t>
      </w:r>
      <w:r>
        <w:rPr>
          <w:rFonts w:hint="eastAsia" w:ascii="宋体" w:hAnsi="宋体" w:eastAsia="宋体"/>
          <w:color w:val="auto"/>
          <w:sz w:val="24"/>
          <w:szCs w:val="24"/>
          <w:highlight w:val="none"/>
        </w:rPr>
        <w:t>乙方已将采购</w:t>
      </w:r>
      <w:r>
        <w:rPr>
          <w:rFonts w:hint="default" w:ascii="宋体" w:hAnsi="宋体" w:eastAsia="宋体"/>
          <w:color w:val="auto"/>
          <w:sz w:val="24"/>
          <w:szCs w:val="24"/>
          <w:highlight w:val="none"/>
        </w:rPr>
        <w:t>代理费充分考虑进</w:t>
      </w:r>
      <w:r>
        <w:rPr>
          <w:rFonts w:hint="eastAsia" w:ascii="宋体" w:hAnsi="宋体" w:eastAsia="宋体"/>
          <w:color w:val="auto"/>
          <w:sz w:val="24"/>
          <w:szCs w:val="24"/>
          <w:highlight w:val="none"/>
        </w:rPr>
        <w:t>入本次合同价。</w:t>
      </w:r>
    </w:p>
    <w:p w14:paraId="2AD2D502">
      <w:pPr>
        <w:spacing w:line="360" w:lineRule="auto"/>
        <w:ind w:firstLine="482"/>
        <w:rPr>
          <w:rFonts w:hint="default" w:ascii="宋体" w:hAnsi="宋体" w:eastAsia="宋体"/>
          <w:b/>
          <w:color w:val="auto"/>
          <w:sz w:val="24"/>
          <w:szCs w:val="24"/>
          <w:highlight w:val="none"/>
        </w:rPr>
      </w:pPr>
      <w:r>
        <w:rPr>
          <w:rFonts w:hint="eastAsia" w:ascii="宋体" w:hAnsi="宋体" w:eastAsia="宋体"/>
          <w:b/>
          <w:color w:val="auto"/>
          <w:sz w:val="24"/>
          <w:szCs w:val="24"/>
          <w:highlight w:val="none"/>
        </w:rPr>
        <w:t>三、甲、乙双方的权利与责任</w:t>
      </w:r>
    </w:p>
    <w:p w14:paraId="02301E9D">
      <w:pPr>
        <w:spacing w:line="360" w:lineRule="auto"/>
        <w:ind w:firstLine="480"/>
        <w:rPr>
          <w:rFonts w:hint="default" w:ascii="宋体" w:hAnsi="宋体" w:eastAsia="宋体"/>
          <w:color w:val="auto"/>
          <w:sz w:val="24"/>
          <w:szCs w:val="24"/>
          <w:highlight w:val="none"/>
        </w:rPr>
      </w:pPr>
      <w:r>
        <w:rPr>
          <w:rFonts w:hint="eastAsia" w:ascii="宋体" w:hAnsi="宋体" w:eastAsia="宋体"/>
          <w:color w:val="auto"/>
          <w:sz w:val="24"/>
          <w:szCs w:val="24"/>
          <w:highlight w:val="none"/>
        </w:rPr>
        <w:t>（一）甲方权利与责任：</w:t>
      </w:r>
    </w:p>
    <w:p w14:paraId="049E1C9F">
      <w:pPr>
        <w:spacing w:line="360" w:lineRule="auto"/>
        <w:ind w:firstLine="480"/>
        <w:rPr>
          <w:rFonts w:hint="default" w:ascii="宋体" w:hAnsi="宋体" w:eastAsia="宋体"/>
          <w:color w:val="auto"/>
          <w:sz w:val="24"/>
          <w:szCs w:val="24"/>
          <w:highlight w:val="none"/>
        </w:rPr>
      </w:pPr>
      <w:r>
        <w:rPr>
          <w:rFonts w:hint="eastAsia" w:ascii="宋体" w:hAnsi="宋体" w:eastAsia="宋体"/>
          <w:color w:val="auto"/>
          <w:sz w:val="24"/>
          <w:szCs w:val="24"/>
          <w:highlight w:val="none"/>
        </w:rPr>
        <w:t>1、为乙方提供相关资料，并指定专人作为甲方联系人予以协调工作。加强与乙方勾通，交流情况，互通信息。</w:t>
      </w:r>
    </w:p>
    <w:p w14:paraId="7C1FF31A">
      <w:pPr>
        <w:spacing w:line="360" w:lineRule="auto"/>
        <w:ind w:firstLine="480"/>
        <w:rPr>
          <w:rFonts w:hint="default" w:ascii="宋体" w:hAnsi="宋体" w:eastAsia="宋体"/>
          <w:color w:val="auto"/>
          <w:sz w:val="24"/>
          <w:szCs w:val="24"/>
          <w:highlight w:val="none"/>
        </w:rPr>
      </w:pPr>
      <w:r>
        <w:rPr>
          <w:rFonts w:hint="eastAsia" w:ascii="宋体" w:hAnsi="宋体" w:eastAsia="宋体"/>
          <w:color w:val="auto"/>
          <w:sz w:val="24"/>
          <w:szCs w:val="24"/>
          <w:highlight w:val="none"/>
        </w:rPr>
        <w:t>2、甲方应尊重乙方工作人员的劳动成果，积极配合乙方工作人员履行好合同所规定的职责和义务。</w:t>
      </w:r>
    </w:p>
    <w:p w14:paraId="2460907A">
      <w:pPr>
        <w:spacing w:line="360" w:lineRule="auto"/>
        <w:ind w:firstLine="480"/>
        <w:rPr>
          <w:rFonts w:hint="default" w:ascii="宋体" w:hAnsi="宋体" w:eastAsia="宋体"/>
          <w:color w:val="auto"/>
          <w:sz w:val="24"/>
          <w:szCs w:val="24"/>
          <w:highlight w:val="none"/>
        </w:rPr>
      </w:pPr>
      <w:r>
        <w:rPr>
          <w:rFonts w:hint="eastAsia" w:ascii="宋体" w:hAnsi="宋体" w:eastAsia="宋体"/>
          <w:color w:val="auto"/>
          <w:sz w:val="24"/>
          <w:szCs w:val="24"/>
          <w:highlight w:val="none"/>
        </w:rPr>
        <w:t>3、批准或认可乙方的服务工作计划和工程量，为乙方工作人员提供工作上的便利条件，协助乙方开展工作。</w:t>
      </w:r>
    </w:p>
    <w:p w14:paraId="76947915">
      <w:pPr>
        <w:spacing w:line="360" w:lineRule="auto"/>
        <w:ind w:firstLine="480"/>
        <w:rPr>
          <w:rFonts w:hint="default" w:ascii="宋体" w:hAnsi="宋体" w:eastAsia="宋体"/>
          <w:color w:val="auto"/>
          <w:sz w:val="24"/>
          <w:szCs w:val="24"/>
          <w:highlight w:val="none"/>
        </w:rPr>
      </w:pPr>
      <w:r>
        <w:rPr>
          <w:rFonts w:hint="eastAsia" w:ascii="宋体" w:hAnsi="宋体" w:eastAsia="宋体"/>
          <w:color w:val="auto"/>
          <w:sz w:val="24"/>
          <w:szCs w:val="24"/>
          <w:highlight w:val="none"/>
        </w:rPr>
        <w:t>4、甲方对服务期、质量、人员和服务进行监督检查，对不符合技术要求的工作，有权要求责任方自费进行返工。</w:t>
      </w:r>
    </w:p>
    <w:p w14:paraId="7C4E8640">
      <w:pPr>
        <w:spacing w:line="360" w:lineRule="auto"/>
        <w:ind w:firstLine="480"/>
        <w:rPr>
          <w:rFonts w:hint="default" w:ascii="宋体" w:hAnsi="宋体" w:eastAsia="宋体"/>
          <w:color w:val="auto"/>
          <w:sz w:val="24"/>
          <w:szCs w:val="24"/>
          <w:highlight w:val="none"/>
        </w:rPr>
      </w:pPr>
      <w:r>
        <w:rPr>
          <w:rFonts w:hint="eastAsia" w:ascii="宋体" w:hAnsi="宋体" w:eastAsia="宋体"/>
          <w:color w:val="auto"/>
          <w:sz w:val="24"/>
          <w:szCs w:val="24"/>
          <w:highlight w:val="none"/>
        </w:rPr>
        <w:t>5、根据本合同规定按时付款；</w:t>
      </w:r>
    </w:p>
    <w:p w14:paraId="4F6955C7">
      <w:pPr>
        <w:spacing w:line="360" w:lineRule="auto"/>
        <w:ind w:firstLine="480"/>
        <w:rPr>
          <w:rFonts w:hint="default" w:ascii="宋体" w:hAnsi="宋体" w:eastAsia="宋体"/>
          <w:color w:val="auto"/>
          <w:sz w:val="24"/>
          <w:szCs w:val="24"/>
          <w:highlight w:val="none"/>
        </w:rPr>
      </w:pPr>
      <w:r>
        <w:rPr>
          <w:rFonts w:hint="eastAsia" w:ascii="宋体" w:hAnsi="宋体" w:eastAsia="宋体"/>
          <w:color w:val="auto"/>
          <w:sz w:val="24"/>
          <w:szCs w:val="24"/>
          <w:highlight w:val="none"/>
        </w:rPr>
        <w:t>6、在约定的时间内就乙方书面提交并要求作出决定的一切事宜作出书面决定。</w:t>
      </w:r>
    </w:p>
    <w:p w14:paraId="5B25B6DB">
      <w:pPr>
        <w:spacing w:line="360" w:lineRule="auto"/>
        <w:ind w:firstLine="480"/>
        <w:rPr>
          <w:rFonts w:hint="default" w:ascii="宋体" w:hAnsi="宋体" w:eastAsia="宋体"/>
          <w:color w:val="auto"/>
          <w:sz w:val="24"/>
          <w:szCs w:val="24"/>
          <w:highlight w:val="none"/>
        </w:rPr>
      </w:pPr>
      <w:r>
        <w:rPr>
          <w:rFonts w:hint="eastAsia" w:ascii="宋体" w:hAnsi="宋体" w:eastAsia="宋体"/>
          <w:color w:val="auto"/>
          <w:sz w:val="24"/>
          <w:szCs w:val="24"/>
          <w:highlight w:val="none"/>
        </w:rPr>
        <w:t>7、甲方有权否定任何在服务过程中，乙方人员作出损害甲方利益的决定和行为，并有权向乙方人员索赔或追究法律责任；</w:t>
      </w:r>
    </w:p>
    <w:p w14:paraId="40ED5735">
      <w:pPr>
        <w:spacing w:line="360" w:lineRule="auto"/>
        <w:ind w:firstLine="480"/>
        <w:rPr>
          <w:rFonts w:hint="default" w:ascii="宋体" w:hAnsi="宋体" w:eastAsia="宋体"/>
          <w:color w:val="auto"/>
          <w:sz w:val="24"/>
          <w:szCs w:val="24"/>
          <w:highlight w:val="none"/>
        </w:rPr>
      </w:pPr>
      <w:r>
        <w:rPr>
          <w:rFonts w:hint="eastAsia" w:ascii="宋体" w:hAnsi="宋体" w:eastAsia="宋体"/>
          <w:color w:val="auto"/>
          <w:sz w:val="24"/>
          <w:szCs w:val="24"/>
          <w:highlight w:val="none"/>
        </w:rPr>
        <w:t>8、如乙方不能有效地履行合同职责，或严重违反国家有关法规，甲方有权终止本协议，并追究由此造成的一切损失。</w:t>
      </w:r>
    </w:p>
    <w:p w14:paraId="3711E6A5">
      <w:pPr>
        <w:spacing w:line="360" w:lineRule="auto"/>
        <w:ind w:firstLine="480"/>
        <w:rPr>
          <w:rFonts w:hint="default" w:ascii="宋体" w:hAnsi="宋体" w:eastAsia="宋体"/>
          <w:color w:val="auto"/>
          <w:sz w:val="24"/>
          <w:szCs w:val="24"/>
          <w:highlight w:val="none"/>
        </w:rPr>
      </w:pPr>
      <w:r>
        <w:rPr>
          <w:rFonts w:hint="eastAsia" w:ascii="宋体" w:hAnsi="宋体" w:eastAsia="宋体"/>
          <w:color w:val="auto"/>
          <w:sz w:val="24"/>
          <w:szCs w:val="24"/>
          <w:highlight w:val="none"/>
        </w:rPr>
        <w:t>（二）乙方权利与责任：</w:t>
      </w:r>
    </w:p>
    <w:p w14:paraId="4E20A482">
      <w:pPr>
        <w:spacing w:line="360" w:lineRule="auto"/>
        <w:ind w:firstLine="480"/>
        <w:rPr>
          <w:rFonts w:hint="default" w:ascii="宋体" w:hAnsi="宋体" w:eastAsia="宋体"/>
          <w:color w:val="auto"/>
          <w:sz w:val="24"/>
          <w:szCs w:val="24"/>
          <w:highlight w:val="none"/>
        </w:rPr>
      </w:pPr>
      <w:r>
        <w:rPr>
          <w:rFonts w:hint="eastAsia" w:ascii="宋体" w:hAnsi="宋体" w:eastAsia="宋体"/>
          <w:color w:val="auto"/>
          <w:sz w:val="24"/>
          <w:szCs w:val="24"/>
          <w:highlight w:val="none"/>
        </w:rPr>
        <w:t>1、乙方在从服务工作中应当做到文明工作、安全生产，合同期内若发生安全事故由乙方承担，与甲方无关。</w:t>
      </w:r>
    </w:p>
    <w:p w14:paraId="684F0CB3">
      <w:pPr>
        <w:spacing w:line="360" w:lineRule="auto"/>
        <w:ind w:firstLine="480"/>
        <w:rPr>
          <w:rFonts w:hint="default" w:ascii="宋体" w:hAnsi="宋体" w:eastAsia="宋体"/>
          <w:color w:val="auto"/>
          <w:sz w:val="24"/>
          <w:szCs w:val="24"/>
          <w:highlight w:val="none"/>
        </w:rPr>
      </w:pPr>
      <w:r>
        <w:rPr>
          <w:rFonts w:hint="eastAsia" w:ascii="宋体" w:hAnsi="宋体" w:eastAsia="宋体"/>
          <w:color w:val="auto"/>
          <w:sz w:val="24"/>
          <w:szCs w:val="24"/>
          <w:highlight w:val="none"/>
        </w:rPr>
        <w:t>2、乙方应及时调整不适应工作需求的人员。如甲方认为该员工不能胜任本职工作的，必须调整。</w:t>
      </w:r>
    </w:p>
    <w:p w14:paraId="0EF5C597">
      <w:pPr>
        <w:spacing w:line="360" w:lineRule="auto"/>
        <w:ind w:firstLine="480"/>
        <w:rPr>
          <w:rFonts w:hint="default" w:ascii="宋体" w:hAnsi="宋体" w:eastAsia="宋体"/>
          <w:color w:val="auto"/>
          <w:sz w:val="24"/>
          <w:szCs w:val="24"/>
          <w:highlight w:val="none"/>
        </w:rPr>
      </w:pPr>
      <w:r>
        <w:rPr>
          <w:rFonts w:hint="eastAsia" w:ascii="宋体" w:hAnsi="宋体" w:eastAsia="宋体"/>
          <w:color w:val="auto"/>
          <w:sz w:val="24"/>
          <w:szCs w:val="24"/>
          <w:highlight w:val="none"/>
        </w:rPr>
        <w:t>3、乙方应经常对员工进行岗位职责和安全教育，加强岗位责任考核，因乙方原因对甲方造成一定损失的，乙方需承担相应的赔偿责任。具体办法于合同签订后经甲乙双方协商后确定。</w:t>
      </w:r>
    </w:p>
    <w:p w14:paraId="63CA8983">
      <w:pPr>
        <w:spacing w:line="360" w:lineRule="auto"/>
        <w:ind w:firstLine="480"/>
        <w:rPr>
          <w:rFonts w:hint="default" w:ascii="宋体" w:hAnsi="宋体" w:eastAsia="宋体"/>
          <w:color w:val="auto"/>
          <w:sz w:val="24"/>
          <w:szCs w:val="24"/>
          <w:highlight w:val="none"/>
        </w:rPr>
      </w:pPr>
      <w:r>
        <w:rPr>
          <w:rFonts w:hint="eastAsia" w:ascii="宋体" w:hAnsi="宋体" w:eastAsia="宋体"/>
          <w:color w:val="auto"/>
          <w:sz w:val="24"/>
          <w:szCs w:val="24"/>
          <w:highlight w:val="none"/>
        </w:rPr>
        <w:t>4、乙方负责派驻点服务人员的人事管理。</w:t>
      </w:r>
    </w:p>
    <w:p w14:paraId="087B9A0C">
      <w:pPr>
        <w:spacing w:line="360" w:lineRule="auto"/>
        <w:ind w:firstLine="480"/>
        <w:rPr>
          <w:rFonts w:hint="default" w:ascii="宋体" w:hAnsi="宋体" w:eastAsia="宋体"/>
          <w:color w:val="auto"/>
          <w:sz w:val="24"/>
          <w:szCs w:val="24"/>
          <w:highlight w:val="none"/>
        </w:rPr>
      </w:pPr>
      <w:r>
        <w:rPr>
          <w:rFonts w:hint="eastAsia" w:ascii="宋体" w:hAnsi="宋体" w:eastAsia="宋体"/>
          <w:color w:val="auto"/>
          <w:sz w:val="24"/>
          <w:szCs w:val="24"/>
          <w:highlight w:val="none"/>
        </w:rPr>
        <w:t>5、乙方要设立项目负责人，制定适合无锡市中级人民法院及全市基层法院服务工作特点的详细工作服务流程与方案，制定对服务人员的考核办法。</w:t>
      </w:r>
    </w:p>
    <w:p w14:paraId="011E2EA6">
      <w:pPr>
        <w:spacing w:line="360" w:lineRule="auto"/>
        <w:ind w:firstLine="480"/>
        <w:rPr>
          <w:rFonts w:hint="default" w:ascii="宋体" w:hAnsi="宋体" w:eastAsia="宋体"/>
          <w:color w:val="auto"/>
          <w:sz w:val="24"/>
          <w:szCs w:val="24"/>
          <w:highlight w:val="none"/>
        </w:rPr>
      </w:pPr>
      <w:r>
        <w:rPr>
          <w:rFonts w:hint="eastAsia" w:ascii="宋体" w:hAnsi="宋体" w:eastAsia="宋体"/>
          <w:color w:val="auto"/>
          <w:sz w:val="24"/>
          <w:szCs w:val="24"/>
          <w:highlight w:val="none"/>
        </w:rPr>
        <w:t>6、乙方要加强对服务人员的管理与培训，并保证服务人员的稳定性，未经甲方允许不得擅自更换服务人员。</w:t>
      </w:r>
    </w:p>
    <w:p w14:paraId="0E8CE677">
      <w:pPr>
        <w:spacing w:line="360" w:lineRule="auto"/>
        <w:ind w:firstLine="480"/>
        <w:rPr>
          <w:rFonts w:hint="default" w:ascii="宋体" w:hAnsi="宋体" w:eastAsia="宋体"/>
          <w:color w:val="auto"/>
          <w:sz w:val="24"/>
          <w:szCs w:val="24"/>
          <w:highlight w:val="none"/>
        </w:rPr>
      </w:pPr>
      <w:r>
        <w:rPr>
          <w:rFonts w:hint="eastAsia" w:ascii="宋体" w:hAnsi="宋体" w:eastAsia="宋体"/>
          <w:color w:val="auto"/>
          <w:sz w:val="24"/>
          <w:szCs w:val="24"/>
          <w:highlight w:val="none"/>
        </w:rPr>
        <w:t>7、服务人员要遵守甲方的劳动考勤纪律及其它相关规章制度，接受甲方的工作安排与指导，做好本职工作。</w:t>
      </w:r>
    </w:p>
    <w:p w14:paraId="747F0B75">
      <w:pPr>
        <w:spacing w:line="360" w:lineRule="auto"/>
        <w:ind w:firstLine="480"/>
        <w:rPr>
          <w:rFonts w:hint="default" w:ascii="宋体" w:hAnsi="宋体" w:eastAsia="宋体"/>
          <w:color w:val="auto"/>
          <w:sz w:val="24"/>
          <w:szCs w:val="24"/>
          <w:highlight w:val="none"/>
        </w:rPr>
      </w:pPr>
      <w:r>
        <w:rPr>
          <w:rFonts w:hint="eastAsia" w:ascii="宋体" w:hAnsi="宋体" w:eastAsia="宋体"/>
          <w:color w:val="auto"/>
          <w:sz w:val="24"/>
          <w:szCs w:val="24"/>
          <w:highlight w:val="none"/>
        </w:rPr>
        <w:t>8、服务人员必须做好相关信息保密工作。不得对外透露在工作中接触到的参保人员及业务相关单位或个人隐私信息。</w:t>
      </w:r>
    </w:p>
    <w:p w14:paraId="6C468E99">
      <w:pPr>
        <w:spacing w:line="360" w:lineRule="auto"/>
        <w:ind w:firstLine="480"/>
        <w:rPr>
          <w:rFonts w:hint="default" w:ascii="宋体" w:hAnsi="宋体" w:eastAsia="宋体"/>
          <w:color w:val="auto"/>
          <w:sz w:val="24"/>
          <w:szCs w:val="24"/>
          <w:highlight w:val="none"/>
        </w:rPr>
      </w:pPr>
      <w:r>
        <w:rPr>
          <w:rFonts w:hint="eastAsia" w:ascii="宋体" w:hAnsi="宋体" w:eastAsia="宋体"/>
          <w:color w:val="auto"/>
          <w:sz w:val="24"/>
          <w:szCs w:val="24"/>
          <w:highlight w:val="none"/>
        </w:rPr>
        <w:t>9、服务人员要忠于职守，坚决维护以无锡市中级人民法院及全市基层法院服务为中心的团队形象，礼貌待人，文明服务，尊重和保护纳税人的权利，依法接受监督。服务人员不得兼职、不得谋取不正当利益等等。</w:t>
      </w:r>
    </w:p>
    <w:p w14:paraId="0D954E42">
      <w:pPr>
        <w:spacing w:line="360" w:lineRule="auto"/>
        <w:ind w:firstLine="472"/>
        <w:rPr>
          <w:rFonts w:hint="default" w:ascii="宋体" w:hAnsi="宋体" w:eastAsia="宋体"/>
          <w:b/>
          <w:color w:val="auto"/>
          <w:sz w:val="24"/>
          <w:szCs w:val="24"/>
          <w:highlight w:val="none"/>
        </w:rPr>
      </w:pPr>
      <w:r>
        <w:rPr>
          <w:rFonts w:hint="eastAsia" w:ascii="宋体" w:hAnsi="宋体" w:eastAsia="宋体"/>
          <w:b/>
          <w:color w:val="auto"/>
          <w:sz w:val="24"/>
          <w:szCs w:val="24"/>
          <w:highlight w:val="none"/>
        </w:rPr>
        <w:t>四、违约责任</w:t>
      </w:r>
    </w:p>
    <w:p w14:paraId="718E7CDE">
      <w:pPr>
        <w:spacing w:line="360" w:lineRule="auto"/>
        <w:ind w:firstLine="470"/>
        <w:rPr>
          <w:rFonts w:hint="default" w:ascii="宋体" w:hAnsi="宋体" w:eastAsia="宋体"/>
          <w:b/>
          <w:color w:val="auto"/>
          <w:sz w:val="24"/>
          <w:szCs w:val="24"/>
          <w:highlight w:val="none"/>
        </w:rPr>
      </w:pPr>
      <w:r>
        <w:rPr>
          <w:rFonts w:hint="eastAsia" w:ascii="宋体" w:hAnsi="宋体" w:eastAsia="宋体"/>
          <w:color w:val="auto"/>
          <w:sz w:val="24"/>
          <w:szCs w:val="24"/>
          <w:highlight w:val="none"/>
        </w:rPr>
        <w:t>4.1乙方不履行合同义务或者履行合同义务不符合约定的，应当承担继续履行、采取补救措施或赔偿损失等违约责任。</w:t>
      </w:r>
    </w:p>
    <w:p w14:paraId="03ADA834">
      <w:pPr>
        <w:spacing w:line="360" w:lineRule="auto"/>
        <w:ind w:firstLine="482"/>
        <w:rPr>
          <w:rFonts w:hint="default" w:ascii="宋体" w:hAnsi="宋体" w:eastAsia="宋体"/>
          <w:color w:val="auto"/>
          <w:sz w:val="24"/>
          <w:szCs w:val="24"/>
          <w:highlight w:val="none"/>
        </w:rPr>
      </w:pPr>
      <w:r>
        <w:rPr>
          <w:rFonts w:hint="eastAsia" w:ascii="宋体" w:hAnsi="宋体" w:eastAsia="宋体"/>
          <w:color w:val="auto"/>
          <w:sz w:val="24"/>
          <w:szCs w:val="24"/>
          <w:highlight w:val="none"/>
        </w:rPr>
        <w:t>4.2乙方逾期提供服务的，应在服务前与甲方协商，甲方仍需求的，乙方应立即响应，按每天</w:t>
      </w:r>
      <w:r>
        <w:rPr>
          <w:rFonts w:hint="default" w:ascii="宋体" w:hAnsi="宋体" w:eastAsia="宋体"/>
          <w:color w:val="auto"/>
          <w:sz w:val="24"/>
          <w:szCs w:val="24"/>
          <w:highlight w:val="none"/>
        </w:rPr>
        <w:t>5000</w:t>
      </w:r>
      <w:r>
        <w:rPr>
          <w:rFonts w:hint="eastAsia" w:ascii="宋体" w:hAnsi="宋体" w:eastAsia="宋体"/>
          <w:color w:val="auto"/>
          <w:sz w:val="24"/>
          <w:szCs w:val="24"/>
          <w:highlight w:val="none"/>
        </w:rPr>
        <w:t>元支付逾期交货违约金，同时承担甲方因此遭致的损失费用。</w:t>
      </w:r>
    </w:p>
    <w:p w14:paraId="49AA345F">
      <w:pPr>
        <w:spacing w:line="360" w:lineRule="auto"/>
        <w:ind w:firstLine="482"/>
        <w:rPr>
          <w:rFonts w:hint="default" w:ascii="宋体" w:hAnsi="宋体" w:eastAsia="宋体"/>
          <w:b/>
          <w:color w:val="auto"/>
          <w:sz w:val="24"/>
          <w:szCs w:val="24"/>
          <w:highlight w:val="none"/>
        </w:rPr>
      </w:pPr>
      <w:r>
        <w:rPr>
          <w:rFonts w:hint="eastAsia" w:ascii="宋体" w:hAnsi="宋体" w:eastAsia="宋体"/>
          <w:b/>
          <w:color w:val="auto"/>
          <w:sz w:val="24"/>
          <w:szCs w:val="24"/>
          <w:highlight w:val="none"/>
        </w:rPr>
        <w:t>五、不可抗力</w:t>
      </w:r>
    </w:p>
    <w:p w14:paraId="7DAD4B39">
      <w:pPr>
        <w:spacing w:line="360" w:lineRule="auto"/>
        <w:ind w:firstLine="482"/>
        <w:rPr>
          <w:rFonts w:hint="default" w:ascii="宋体" w:hAnsi="宋体" w:eastAsia="宋体"/>
          <w:color w:val="auto"/>
          <w:sz w:val="24"/>
          <w:szCs w:val="24"/>
          <w:highlight w:val="none"/>
        </w:rPr>
      </w:pPr>
      <w:r>
        <w:rPr>
          <w:rFonts w:hint="eastAsia" w:ascii="宋体" w:hAnsi="宋体" w:eastAsia="宋体"/>
          <w:color w:val="auto"/>
          <w:sz w:val="24"/>
          <w:szCs w:val="24"/>
          <w:highlight w:val="none"/>
        </w:rPr>
        <w:t>5.1 因不可抗力不能履行合同的，根据不可抗力的影响，部分或者全部免除责任。但合同一方延迟履行后发生不可抗力的，不能免除责任。</w:t>
      </w:r>
    </w:p>
    <w:p w14:paraId="456E977F">
      <w:pPr>
        <w:spacing w:line="360" w:lineRule="auto"/>
        <w:ind w:firstLine="482"/>
        <w:rPr>
          <w:rFonts w:hint="default" w:ascii="宋体" w:hAnsi="宋体" w:eastAsia="宋体"/>
          <w:color w:val="auto"/>
          <w:sz w:val="24"/>
          <w:szCs w:val="24"/>
          <w:highlight w:val="none"/>
        </w:rPr>
      </w:pPr>
      <w:r>
        <w:rPr>
          <w:rFonts w:hint="eastAsia" w:ascii="宋体" w:hAnsi="宋体" w:eastAsia="宋体"/>
          <w:color w:val="auto"/>
          <w:sz w:val="24"/>
          <w:szCs w:val="24"/>
          <w:highlight w:val="none"/>
        </w:rPr>
        <w:t>5.2 合同一方因不可抗力不能履行合同的，应当及时通知对方，以减轻可能给对方造成的损失，并应当在合理期限内提供证明。</w:t>
      </w:r>
    </w:p>
    <w:p w14:paraId="003232C2">
      <w:pPr>
        <w:spacing w:line="360" w:lineRule="auto"/>
        <w:ind w:firstLine="482"/>
        <w:rPr>
          <w:rFonts w:hint="default" w:ascii="宋体" w:hAnsi="宋体" w:eastAsia="宋体"/>
          <w:b/>
          <w:color w:val="auto"/>
          <w:sz w:val="24"/>
          <w:szCs w:val="24"/>
          <w:highlight w:val="none"/>
        </w:rPr>
      </w:pPr>
      <w:r>
        <w:rPr>
          <w:rFonts w:hint="eastAsia" w:ascii="宋体" w:hAnsi="宋体" w:eastAsia="宋体"/>
          <w:b/>
          <w:color w:val="auto"/>
          <w:sz w:val="24"/>
          <w:szCs w:val="24"/>
          <w:highlight w:val="none"/>
        </w:rPr>
        <w:t>六、合同的解除和转让</w:t>
      </w:r>
    </w:p>
    <w:p w14:paraId="477B6A71">
      <w:pPr>
        <w:spacing w:line="360" w:lineRule="auto"/>
        <w:ind w:firstLine="482"/>
        <w:rPr>
          <w:rFonts w:hint="default" w:ascii="宋体" w:hAnsi="宋体" w:eastAsia="宋体"/>
          <w:color w:val="auto"/>
          <w:sz w:val="24"/>
          <w:szCs w:val="24"/>
          <w:highlight w:val="none"/>
        </w:rPr>
      </w:pPr>
      <w:r>
        <w:rPr>
          <w:rFonts w:hint="eastAsia" w:ascii="宋体" w:hAnsi="宋体" w:eastAsia="宋体"/>
          <w:color w:val="auto"/>
          <w:sz w:val="24"/>
          <w:szCs w:val="24"/>
          <w:highlight w:val="none"/>
        </w:rPr>
        <w:t>6.1 甲方和乙方协商一致，可以解除合同。</w:t>
      </w:r>
    </w:p>
    <w:p w14:paraId="09872C52">
      <w:pPr>
        <w:spacing w:line="360" w:lineRule="auto"/>
        <w:ind w:firstLine="482"/>
        <w:rPr>
          <w:rFonts w:hint="default" w:ascii="宋体" w:hAnsi="宋体" w:eastAsia="宋体"/>
          <w:color w:val="auto"/>
          <w:sz w:val="24"/>
          <w:szCs w:val="24"/>
          <w:highlight w:val="none"/>
        </w:rPr>
      </w:pPr>
      <w:r>
        <w:rPr>
          <w:rFonts w:hint="eastAsia" w:ascii="宋体" w:hAnsi="宋体" w:eastAsia="宋体"/>
          <w:color w:val="auto"/>
          <w:sz w:val="24"/>
          <w:szCs w:val="24"/>
          <w:highlight w:val="none"/>
        </w:rPr>
        <w:t>6.2 有下列情形之一，合同一方可以解除合同：</w:t>
      </w:r>
    </w:p>
    <w:p w14:paraId="50A50FE1">
      <w:pPr>
        <w:spacing w:line="360" w:lineRule="auto"/>
        <w:ind w:firstLine="482"/>
        <w:rPr>
          <w:rFonts w:hint="default" w:ascii="宋体" w:hAnsi="宋体" w:eastAsia="宋体"/>
          <w:color w:val="auto"/>
          <w:sz w:val="24"/>
          <w:szCs w:val="24"/>
          <w:highlight w:val="none"/>
        </w:rPr>
      </w:pPr>
      <w:r>
        <w:rPr>
          <w:rFonts w:hint="eastAsia" w:ascii="宋体" w:hAnsi="宋体" w:eastAsia="宋体"/>
          <w:color w:val="auto"/>
          <w:sz w:val="24"/>
          <w:szCs w:val="24"/>
          <w:highlight w:val="none"/>
        </w:rPr>
        <w:t>6.2.1 因不可抗力致使不能实现合同目的，未受不可抗力影响的一方有权解除合同；</w:t>
      </w:r>
    </w:p>
    <w:p w14:paraId="7A191469">
      <w:pPr>
        <w:spacing w:line="360" w:lineRule="auto"/>
        <w:ind w:firstLine="482"/>
        <w:rPr>
          <w:rFonts w:hint="default" w:ascii="宋体" w:hAnsi="宋体" w:eastAsia="宋体"/>
          <w:color w:val="auto"/>
          <w:sz w:val="24"/>
          <w:szCs w:val="24"/>
          <w:highlight w:val="none"/>
        </w:rPr>
      </w:pPr>
      <w:r>
        <w:rPr>
          <w:rFonts w:hint="eastAsia" w:ascii="宋体" w:hAnsi="宋体" w:eastAsia="宋体"/>
          <w:color w:val="auto"/>
          <w:sz w:val="24"/>
          <w:szCs w:val="24"/>
          <w:highlight w:val="none"/>
        </w:rPr>
        <w:t>6.2.2 因合同一方违约导致合同不能履行，另一方有权解除合同；</w:t>
      </w:r>
    </w:p>
    <w:p w14:paraId="792E65E4">
      <w:pPr>
        <w:spacing w:line="360" w:lineRule="auto"/>
        <w:ind w:firstLine="482"/>
        <w:rPr>
          <w:rFonts w:hint="default" w:ascii="宋体" w:hAnsi="宋体" w:eastAsia="宋体"/>
          <w:color w:val="auto"/>
          <w:sz w:val="24"/>
          <w:szCs w:val="24"/>
          <w:highlight w:val="none"/>
        </w:rPr>
      </w:pPr>
      <w:r>
        <w:rPr>
          <w:rFonts w:hint="eastAsia" w:ascii="宋体" w:hAnsi="宋体" w:eastAsia="宋体"/>
          <w:color w:val="auto"/>
          <w:sz w:val="24"/>
          <w:szCs w:val="24"/>
          <w:highlight w:val="none"/>
        </w:rPr>
        <w:t>6.2.3 有权解除合同的一方，应当在违约事实或不可抗力发生之后三十天内书面通知对方以主张解除合同，合同在书面通知到达对方时解除。</w:t>
      </w:r>
    </w:p>
    <w:p w14:paraId="5160A714">
      <w:pPr>
        <w:spacing w:line="360" w:lineRule="auto"/>
        <w:ind w:firstLine="482"/>
        <w:rPr>
          <w:rFonts w:hint="default" w:ascii="宋体" w:hAnsi="宋体" w:eastAsia="宋体"/>
          <w:color w:val="auto"/>
          <w:sz w:val="24"/>
          <w:szCs w:val="24"/>
          <w:highlight w:val="none"/>
        </w:rPr>
      </w:pPr>
      <w:r>
        <w:rPr>
          <w:rFonts w:hint="eastAsia" w:ascii="宋体" w:hAnsi="宋体" w:eastAsia="宋体"/>
          <w:color w:val="auto"/>
          <w:sz w:val="24"/>
          <w:szCs w:val="24"/>
          <w:highlight w:val="none"/>
        </w:rPr>
        <w:t>6.3 合同的部分和全部都不得转让。</w:t>
      </w:r>
    </w:p>
    <w:p w14:paraId="2D68CBDA">
      <w:pPr>
        <w:spacing w:line="360" w:lineRule="auto"/>
        <w:ind w:firstLine="482"/>
        <w:rPr>
          <w:rFonts w:hint="default" w:ascii="宋体" w:hAnsi="宋体" w:eastAsia="宋体"/>
          <w:b/>
          <w:color w:val="auto"/>
          <w:sz w:val="24"/>
          <w:szCs w:val="24"/>
          <w:highlight w:val="none"/>
        </w:rPr>
      </w:pPr>
      <w:r>
        <w:rPr>
          <w:rFonts w:hint="eastAsia" w:ascii="宋体" w:hAnsi="宋体" w:eastAsia="宋体"/>
          <w:b/>
          <w:color w:val="auto"/>
          <w:sz w:val="24"/>
          <w:szCs w:val="24"/>
          <w:highlight w:val="none"/>
        </w:rPr>
        <w:t>七、合同的生效</w:t>
      </w:r>
    </w:p>
    <w:p w14:paraId="491961EC">
      <w:pPr>
        <w:spacing w:line="360" w:lineRule="auto"/>
        <w:ind w:left="450" w:hanging="240"/>
        <w:rPr>
          <w:rFonts w:hint="default" w:ascii="宋体" w:hAnsi="宋体" w:eastAsia="宋体"/>
          <w:color w:val="auto"/>
          <w:sz w:val="24"/>
          <w:szCs w:val="24"/>
          <w:highlight w:val="none"/>
        </w:rPr>
      </w:pPr>
      <w:r>
        <w:rPr>
          <w:rFonts w:hint="default" w:ascii="宋体" w:hAnsi="宋体" w:eastAsia="宋体"/>
          <w:color w:val="auto"/>
          <w:sz w:val="24"/>
          <w:szCs w:val="24"/>
          <w:highlight w:val="none"/>
        </w:rPr>
        <w:t>合同经供需双方代表签字并盖章，且在</w:t>
      </w:r>
      <w:r>
        <w:rPr>
          <w:rFonts w:hint="eastAsia" w:ascii="宋体" w:hAnsi="宋体" w:eastAsia="宋体"/>
          <w:color w:val="auto"/>
          <w:sz w:val="24"/>
          <w:szCs w:val="24"/>
          <w:highlight w:val="none"/>
        </w:rPr>
        <w:t>无锡众邦技术咨询有限公司</w:t>
      </w:r>
      <w:r>
        <w:rPr>
          <w:rFonts w:hint="default" w:ascii="宋体" w:hAnsi="宋体" w:eastAsia="宋体"/>
          <w:color w:val="auto"/>
          <w:sz w:val="24"/>
          <w:szCs w:val="24"/>
          <w:highlight w:val="none"/>
        </w:rPr>
        <w:t>见证后即生效。</w:t>
      </w:r>
    </w:p>
    <w:p w14:paraId="53316A4C">
      <w:pPr>
        <w:spacing w:line="360" w:lineRule="auto"/>
        <w:ind w:left="420"/>
        <w:rPr>
          <w:rFonts w:hint="default" w:ascii="宋体" w:hAnsi="宋体" w:eastAsia="宋体"/>
          <w:b/>
          <w:color w:val="auto"/>
          <w:sz w:val="24"/>
          <w:szCs w:val="24"/>
          <w:highlight w:val="none"/>
        </w:rPr>
      </w:pPr>
      <w:r>
        <w:rPr>
          <w:rFonts w:hint="eastAsia" w:ascii="宋体" w:hAnsi="宋体" w:eastAsia="宋体"/>
          <w:b/>
          <w:color w:val="auto"/>
          <w:sz w:val="24"/>
          <w:szCs w:val="24"/>
          <w:highlight w:val="none"/>
        </w:rPr>
        <w:t>八、争议的解决</w:t>
      </w:r>
    </w:p>
    <w:p w14:paraId="745FCE5A">
      <w:pPr>
        <w:spacing w:line="360" w:lineRule="auto"/>
        <w:ind w:firstLine="482"/>
        <w:rPr>
          <w:rFonts w:hint="default" w:ascii="宋体" w:hAnsi="宋体" w:eastAsia="宋体"/>
          <w:color w:val="auto"/>
          <w:sz w:val="24"/>
          <w:szCs w:val="24"/>
          <w:highlight w:val="none"/>
        </w:rPr>
      </w:pPr>
      <w:r>
        <w:rPr>
          <w:rFonts w:hint="eastAsia" w:ascii="宋体" w:hAnsi="宋体" w:eastAsia="宋体"/>
          <w:color w:val="auto"/>
          <w:sz w:val="24"/>
          <w:szCs w:val="24"/>
          <w:highlight w:val="none"/>
        </w:rPr>
        <w:t>甲乙双方因合同发生争议，另行协商，协商不成，可以向甲方所在地人民法院起诉。</w:t>
      </w:r>
    </w:p>
    <w:p w14:paraId="6E1CBD3E">
      <w:pPr>
        <w:spacing w:line="360" w:lineRule="auto"/>
        <w:ind w:firstLine="482"/>
        <w:rPr>
          <w:rFonts w:hint="default" w:ascii="宋体" w:hAnsi="宋体" w:eastAsia="宋体"/>
          <w:b/>
          <w:color w:val="auto"/>
          <w:sz w:val="24"/>
          <w:szCs w:val="24"/>
          <w:highlight w:val="none"/>
        </w:rPr>
      </w:pPr>
      <w:r>
        <w:rPr>
          <w:rFonts w:hint="eastAsia" w:ascii="宋体" w:hAnsi="宋体" w:eastAsia="宋体"/>
          <w:b/>
          <w:color w:val="auto"/>
          <w:sz w:val="24"/>
          <w:szCs w:val="24"/>
          <w:highlight w:val="none"/>
        </w:rPr>
        <w:t>九、附则</w:t>
      </w:r>
    </w:p>
    <w:p w14:paraId="287E41D7">
      <w:pPr>
        <w:spacing w:line="360" w:lineRule="auto"/>
        <w:ind w:firstLine="482"/>
        <w:rPr>
          <w:rFonts w:hint="default" w:ascii="宋体" w:hAnsi="宋体" w:eastAsia="宋体"/>
          <w:color w:val="auto"/>
          <w:sz w:val="24"/>
          <w:szCs w:val="24"/>
          <w:highlight w:val="none"/>
        </w:rPr>
      </w:pPr>
      <w:r>
        <w:rPr>
          <w:rFonts w:hint="eastAsia" w:ascii="宋体" w:hAnsi="宋体" w:eastAsia="宋体"/>
          <w:color w:val="auto"/>
          <w:sz w:val="24"/>
          <w:szCs w:val="24"/>
          <w:highlight w:val="none"/>
        </w:rPr>
        <w:t>9.1 合同份数：本合同一式四份，甲乙双方各执二份。</w:t>
      </w:r>
    </w:p>
    <w:p w14:paraId="643EAFE7">
      <w:pPr>
        <w:spacing w:line="360" w:lineRule="auto"/>
        <w:ind w:firstLine="482"/>
        <w:rPr>
          <w:rFonts w:hint="default" w:ascii="宋体" w:hAnsi="宋体" w:eastAsia="宋体"/>
          <w:color w:val="auto"/>
          <w:sz w:val="24"/>
          <w:szCs w:val="24"/>
          <w:highlight w:val="none"/>
        </w:rPr>
      </w:pPr>
      <w:r>
        <w:rPr>
          <w:rFonts w:hint="eastAsia" w:ascii="宋体" w:hAnsi="宋体" w:eastAsia="宋体"/>
          <w:color w:val="auto"/>
          <w:sz w:val="24"/>
          <w:szCs w:val="24"/>
          <w:highlight w:val="none"/>
        </w:rPr>
        <w:t>9.2 本合同文件使用中文书写、解释和说明。</w:t>
      </w:r>
    </w:p>
    <w:p w14:paraId="29D3D8C1">
      <w:pPr>
        <w:spacing w:line="360" w:lineRule="auto"/>
        <w:ind w:firstLine="482"/>
        <w:rPr>
          <w:rFonts w:hint="default" w:ascii="宋体" w:hAnsi="宋体" w:eastAsia="宋体"/>
          <w:color w:val="auto"/>
          <w:sz w:val="24"/>
          <w:szCs w:val="24"/>
          <w:highlight w:val="none"/>
        </w:rPr>
      </w:pPr>
      <w:r>
        <w:rPr>
          <w:rFonts w:hint="eastAsia" w:ascii="宋体" w:hAnsi="宋体" w:eastAsia="宋体"/>
          <w:color w:val="auto"/>
          <w:sz w:val="24"/>
          <w:szCs w:val="24"/>
          <w:highlight w:val="none"/>
        </w:rPr>
        <w:t>9.3 本合同履行过程中产生的纪要、协议以及中标通知书、投标文件和招标文件（含采购需求）为本合同的附件，与合同具有同等效力。</w:t>
      </w:r>
    </w:p>
    <w:p w14:paraId="1C8D5CFD">
      <w:pPr>
        <w:spacing w:line="360" w:lineRule="auto"/>
        <w:ind w:firstLine="482"/>
        <w:rPr>
          <w:rFonts w:hint="default" w:ascii="宋体" w:hAnsi="宋体" w:eastAsia="宋体"/>
          <w:color w:val="auto"/>
          <w:sz w:val="24"/>
          <w:szCs w:val="24"/>
          <w:highlight w:val="none"/>
        </w:rPr>
      </w:pPr>
      <w:r>
        <w:rPr>
          <w:rFonts w:hint="eastAsia" w:ascii="宋体" w:hAnsi="宋体" w:eastAsia="宋体"/>
          <w:color w:val="auto"/>
          <w:sz w:val="24"/>
          <w:szCs w:val="24"/>
          <w:highlight w:val="none"/>
        </w:rPr>
        <w:t>9.4 未尽事宜</w:t>
      </w:r>
    </w:p>
    <w:p w14:paraId="3037CD06">
      <w:pPr>
        <w:spacing w:line="360" w:lineRule="auto"/>
        <w:ind w:firstLine="482"/>
        <w:rPr>
          <w:rFonts w:hint="default" w:ascii="宋体" w:hAnsi="宋体" w:eastAsia="宋体"/>
          <w:color w:val="auto"/>
          <w:sz w:val="24"/>
          <w:szCs w:val="24"/>
          <w:highlight w:val="none"/>
        </w:rPr>
      </w:pPr>
      <w:r>
        <w:rPr>
          <w:rFonts w:hint="eastAsia" w:ascii="宋体" w:hAnsi="宋体" w:eastAsia="宋体"/>
          <w:color w:val="auto"/>
          <w:sz w:val="24"/>
          <w:szCs w:val="24"/>
          <w:highlight w:val="none"/>
        </w:rPr>
        <w:t>本合同未尽事宜应按照《中华人民共和国民法典》、《中华人民共和国政府采购法》之规定解释。</w:t>
      </w:r>
    </w:p>
    <w:p w14:paraId="676131F0">
      <w:pPr>
        <w:rPr>
          <w:rFonts w:hint="default" w:ascii="Times New Roman" w:hAnsi="Times New Roman" w:eastAsia="宋体"/>
          <w:color w:val="auto"/>
          <w:szCs w:val="24"/>
          <w:highlight w:val="none"/>
        </w:rPr>
      </w:pPr>
    </w:p>
    <w:p w14:paraId="274E5D82">
      <w:pPr>
        <w:spacing w:line="440" w:lineRule="exact"/>
        <w:rPr>
          <w:rFonts w:hint="default" w:ascii="宋体" w:hAnsi="宋体" w:eastAsia="宋体"/>
          <w:bCs/>
          <w:color w:val="auto"/>
          <w:sz w:val="24"/>
          <w:szCs w:val="24"/>
          <w:highlight w:val="none"/>
          <w:u w:val="single"/>
        </w:rPr>
      </w:pPr>
      <w:r>
        <w:rPr>
          <w:rFonts w:hint="eastAsia" w:ascii="宋体" w:hAnsi="宋体" w:eastAsia="宋体"/>
          <w:bCs/>
          <w:color w:val="auto"/>
          <w:sz w:val="24"/>
          <w:szCs w:val="24"/>
          <w:highlight w:val="none"/>
        </w:rPr>
        <w:t>甲方（采购人）：</w:t>
      </w:r>
      <w:r>
        <w:rPr>
          <w:rFonts w:hint="default"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（盖章）</w:t>
      </w:r>
      <w:r>
        <w:rPr>
          <w:rFonts w:hint="default" w:ascii="宋体" w:hAnsi="宋体" w:eastAsia="宋体"/>
          <w:bCs/>
          <w:color w:val="auto"/>
          <w:sz w:val="24"/>
          <w:szCs w:val="24"/>
          <w:highlight w:val="none"/>
        </w:rPr>
        <w:t xml:space="preserve">   </w:t>
      </w:r>
      <w:r>
        <w:rPr>
          <w:rFonts w:hint="eastAsia" w:ascii="宋体" w:hAnsi="宋体" w:eastAsia="宋体"/>
          <w:bCs/>
          <w:color w:val="auto"/>
          <w:sz w:val="24"/>
          <w:szCs w:val="24"/>
          <w:highlight w:val="none"/>
        </w:rPr>
        <w:t xml:space="preserve">  乙方（成交方）：</w:t>
      </w:r>
      <w:r>
        <w:rPr>
          <w:rFonts w:hint="default"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（盖章）</w:t>
      </w:r>
    </w:p>
    <w:p w14:paraId="5AB88515">
      <w:pPr>
        <w:spacing w:line="440" w:lineRule="exact"/>
        <w:rPr>
          <w:rFonts w:hint="default" w:ascii="宋体" w:hAnsi="宋体" w:eastAsia="宋体"/>
          <w:bCs/>
          <w:color w:val="auto"/>
          <w:sz w:val="24"/>
          <w:szCs w:val="24"/>
          <w:highlight w:val="none"/>
          <w:u w:val="single"/>
        </w:rPr>
      </w:pPr>
      <w:r>
        <w:rPr>
          <w:rFonts w:hint="eastAsia" w:ascii="宋体" w:hAnsi="宋体" w:eastAsia="宋体"/>
          <w:bCs/>
          <w:color w:val="auto"/>
          <w:sz w:val="24"/>
          <w:szCs w:val="24"/>
          <w:highlight w:val="none"/>
        </w:rPr>
        <w:t>法定（授权）代表人：</w:t>
      </w:r>
      <w:r>
        <w:rPr>
          <w:rFonts w:hint="default" w:ascii="宋体" w:hAnsi="宋体" w:eastAsia="宋体"/>
          <w:bCs/>
          <w:color w:val="auto"/>
          <w:sz w:val="24"/>
          <w:szCs w:val="24"/>
          <w:highlight w:val="none"/>
          <w:u w:val="single"/>
        </w:rPr>
        <w:t xml:space="preserve">                  </w:t>
      </w:r>
      <w:r>
        <w:rPr>
          <w:rFonts w:hint="default" w:ascii="宋体" w:hAnsi="宋体" w:eastAsia="宋体"/>
          <w:bCs/>
          <w:color w:val="auto"/>
          <w:sz w:val="24"/>
          <w:szCs w:val="24"/>
          <w:highlight w:val="none"/>
        </w:rPr>
        <w:t xml:space="preserve">    </w:t>
      </w:r>
      <w:r>
        <w:rPr>
          <w:rFonts w:hint="eastAsia" w:ascii="宋体" w:hAnsi="宋体" w:eastAsia="宋体"/>
          <w:bCs/>
          <w:color w:val="auto"/>
          <w:sz w:val="24"/>
          <w:szCs w:val="24"/>
          <w:highlight w:val="none"/>
        </w:rPr>
        <w:t>法定（授权）代表人：</w:t>
      </w:r>
      <w:r>
        <w:rPr>
          <w:rFonts w:hint="default" w:ascii="宋体" w:hAnsi="宋体" w:eastAsia="宋体"/>
          <w:bCs/>
          <w:color w:val="auto"/>
          <w:sz w:val="24"/>
          <w:szCs w:val="24"/>
          <w:highlight w:val="none"/>
          <w:u w:val="single"/>
        </w:rPr>
        <w:t xml:space="preserve">                   </w:t>
      </w:r>
    </w:p>
    <w:p w14:paraId="29739A7E">
      <w:pPr>
        <w:spacing w:line="440" w:lineRule="exact"/>
        <w:rPr>
          <w:rFonts w:hint="default" w:ascii="宋体" w:hAnsi="宋体" w:eastAsia="宋体"/>
          <w:bCs/>
          <w:color w:val="auto"/>
          <w:sz w:val="24"/>
          <w:szCs w:val="24"/>
          <w:highlight w:val="none"/>
          <w:u w:val="single"/>
        </w:rPr>
      </w:pPr>
      <w:r>
        <w:rPr>
          <w:rFonts w:hint="eastAsia" w:ascii="宋体" w:hAnsi="宋体" w:eastAsia="宋体"/>
          <w:bCs/>
          <w:color w:val="auto"/>
          <w:sz w:val="24"/>
          <w:szCs w:val="24"/>
          <w:highlight w:val="none"/>
        </w:rPr>
        <w:t>地址：</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 xml:space="preserve">     地址：</w:t>
      </w:r>
      <w:r>
        <w:rPr>
          <w:rFonts w:hint="eastAsia" w:ascii="宋体" w:hAnsi="宋体" w:eastAsia="宋体"/>
          <w:bCs/>
          <w:color w:val="auto"/>
          <w:sz w:val="24"/>
          <w:szCs w:val="24"/>
          <w:highlight w:val="none"/>
          <w:u w:val="single"/>
        </w:rPr>
        <w:t xml:space="preserve">                               </w:t>
      </w:r>
    </w:p>
    <w:p w14:paraId="431606DD">
      <w:pPr>
        <w:spacing w:line="440" w:lineRule="exact"/>
        <w:rPr>
          <w:rFonts w:hint="default" w:ascii="宋体" w:hAnsi="宋体" w:eastAsia="宋体"/>
          <w:bCs/>
          <w:color w:val="auto"/>
          <w:sz w:val="24"/>
          <w:szCs w:val="24"/>
          <w:highlight w:val="none"/>
          <w:u w:val="single"/>
        </w:rPr>
      </w:pPr>
      <w:r>
        <w:rPr>
          <w:rFonts w:hint="default" w:ascii="宋体" w:hAnsi="宋体" w:eastAsia="宋体"/>
          <w:bCs/>
          <w:color w:val="auto"/>
          <w:sz w:val="24"/>
          <w:szCs w:val="24"/>
          <w:highlight w:val="none"/>
        </w:rPr>
        <w:t xml:space="preserve"> </w:t>
      </w:r>
      <w:r>
        <w:rPr>
          <w:rFonts w:hint="eastAsia" w:ascii="宋体" w:hAnsi="宋体" w:eastAsia="宋体"/>
          <w:bCs/>
          <w:color w:val="auto"/>
          <w:sz w:val="24"/>
          <w:szCs w:val="24"/>
          <w:highlight w:val="none"/>
        </w:rPr>
        <w:t xml:space="preserve">       </w:t>
      </w:r>
      <w:r>
        <w:rPr>
          <w:rFonts w:hint="eastAsia" w:ascii="宋体" w:hAnsi="宋体" w:eastAsia="宋体"/>
          <w:bCs/>
          <w:color w:val="auto"/>
          <w:sz w:val="24"/>
          <w:szCs w:val="24"/>
          <w:highlight w:val="none"/>
          <w:u w:val="single"/>
        </w:rPr>
        <w:t xml:space="preserve"> </w:t>
      </w:r>
      <w:r>
        <w:rPr>
          <w:rFonts w:hint="default"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年</w:t>
      </w:r>
      <w:r>
        <w:rPr>
          <w:rFonts w:hint="default"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月</w:t>
      </w:r>
      <w:r>
        <w:rPr>
          <w:rFonts w:hint="default"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日</w:t>
      </w:r>
      <w:r>
        <w:rPr>
          <w:rFonts w:hint="default" w:ascii="宋体" w:hAnsi="宋体" w:eastAsia="宋体"/>
          <w:bCs/>
          <w:color w:val="auto"/>
          <w:sz w:val="24"/>
          <w:szCs w:val="24"/>
          <w:highlight w:val="none"/>
        </w:rPr>
        <w:t xml:space="preserve">               </w:t>
      </w:r>
      <w:r>
        <w:rPr>
          <w:rFonts w:hint="default"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年</w:t>
      </w:r>
      <w:r>
        <w:rPr>
          <w:rFonts w:hint="default"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月</w:t>
      </w:r>
      <w:r>
        <w:rPr>
          <w:rFonts w:hint="default"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日</w:t>
      </w:r>
    </w:p>
    <w:p w14:paraId="4E9F0FC1">
      <w:pPr>
        <w:spacing w:line="440" w:lineRule="exact"/>
        <w:ind w:firstLine="480"/>
        <w:rPr>
          <w:rFonts w:hint="default" w:ascii="宋体" w:hAnsi="宋体" w:eastAsia="宋体"/>
          <w:bCs/>
          <w:color w:val="auto"/>
          <w:sz w:val="24"/>
          <w:szCs w:val="24"/>
          <w:highlight w:val="none"/>
          <w:u w:val="single"/>
        </w:rPr>
      </w:pPr>
      <w:r>
        <w:rPr>
          <w:rFonts w:hint="default" w:ascii="宋体" w:hAnsi="宋体" w:eastAsia="宋体"/>
          <w:bCs/>
          <w:color w:val="auto"/>
          <w:sz w:val="24"/>
          <w:szCs w:val="24"/>
          <w:highlight w:val="none"/>
        </w:rPr>
        <w:t xml:space="preserve">                               </w:t>
      </w:r>
    </w:p>
    <w:p w14:paraId="0D8D538B">
      <w:pPr>
        <w:spacing w:line="440" w:lineRule="exact"/>
        <w:rPr>
          <w:rFonts w:hint="default" w:ascii="宋体" w:hAnsi="宋体" w:eastAsia="宋体"/>
          <w:bCs/>
          <w:color w:val="auto"/>
          <w:sz w:val="24"/>
          <w:szCs w:val="24"/>
          <w:highlight w:val="none"/>
          <w:u w:val="single"/>
        </w:rPr>
      </w:pPr>
      <w:r>
        <w:rPr>
          <w:rFonts w:hint="default" w:ascii="宋体" w:hAnsi="宋体" w:eastAsia="宋体"/>
          <w:bCs/>
          <w:color w:val="auto"/>
          <w:sz w:val="24"/>
          <w:szCs w:val="24"/>
          <w:highlight w:val="none"/>
        </w:rPr>
        <w:t xml:space="preserve">                                  </w:t>
      </w:r>
      <w:r>
        <w:rPr>
          <w:rFonts w:hint="eastAsia" w:ascii="宋体" w:hAnsi="宋体" w:eastAsia="宋体"/>
          <w:bCs/>
          <w:color w:val="auto"/>
          <w:sz w:val="24"/>
          <w:szCs w:val="24"/>
          <w:highlight w:val="none"/>
        </w:rPr>
        <w:t xml:space="preserve">     </w:t>
      </w:r>
      <w:r>
        <w:rPr>
          <w:rFonts w:hint="default" w:ascii="宋体" w:hAnsi="宋体" w:eastAsia="宋体"/>
          <w:bCs/>
          <w:color w:val="auto"/>
          <w:sz w:val="24"/>
          <w:szCs w:val="24"/>
          <w:highlight w:val="none"/>
        </w:rPr>
        <w:t xml:space="preserve">   </w:t>
      </w:r>
      <w:r>
        <w:rPr>
          <w:rFonts w:hint="eastAsia" w:ascii="宋体" w:hAnsi="宋体" w:eastAsia="宋体"/>
          <w:bCs/>
          <w:color w:val="auto"/>
          <w:sz w:val="24"/>
          <w:szCs w:val="24"/>
          <w:highlight w:val="none"/>
        </w:rPr>
        <w:t>乙方户名：</w:t>
      </w:r>
      <w:r>
        <w:rPr>
          <w:rFonts w:hint="default" w:ascii="宋体" w:hAnsi="宋体" w:eastAsia="宋体"/>
          <w:bCs/>
          <w:color w:val="auto"/>
          <w:sz w:val="24"/>
          <w:szCs w:val="24"/>
          <w:highlight w:val="none"/>
          <w:u w:val="single"/>
        </w:rPr>
        <w:t xml:space="preserve">                             </w:t>
      </w:r>
    </w:p>
    <w:p w14:paraId="05F51238">
      <w:pPr>
        <w:spacing w:line="440" w:lineRule="exact"/>
        <w:rPr>
          <w:rFonts w:hint="default" w:ascii="宋体" w:hAnsi="宋体" w:eastAsia="宋体"/>
          <w:bCs/>
          <w:color w:val="auto"/>
          <w:sz w:val="24"/>
          <w:szCs w:val="24"/>
          <w:highlight w:val="none"/>
          <w:u w:val="single"/>
        </w:rPr>
      </w:pPr>
      <w:r>
        <w:rPr>
          <w:rFonts w:hint="default" w:ascii="宋体" w:hAnsi="宋体" w:eastAsia="宋体"/>
          <w:bCs/>
          <w:color w:val="auto"/>
          <w:sz w:val="24"/>
          <w:szCs w:val="24"/>
          <w:highlight w:val="none"/>
        </w:rPr>
        <w:t xml:space="preserve">                                          </w:t>
      </w:r>
      <w:r>
        <w:rPr>
          <w:rFonts w:hint="eastAsia" w:ascii="宋体" w:hAnsi="宋体" w:eastAsia="宋体"/>
          <w:bCs/>
          <w:color w:val="auto"/>
          <w:sz w:val="24"/>
          <w:szCs w:val="24"/>
          <w:highlight w:val="none"/>
        </w:rPr>
        <w:t>乙方开户银行：</w:t>
      </w:r>
      <w:r>
        <w:rPr>
          <w:rFonts w:hint="default" w:ascii="宋体" w:hAnsi="宋体" w:eastAsia="宋体"/>
          <w:bCs/>
          <w:color w:val="auto"/>
          <w:sz w:val="24"/>
          <w:szCs w:val="24"/>
          <w:highlight w:val="none"/>
          <w:u w:val="single"/>
        </w:rPr>
        <w:t xml:space="preserve">                         </w:t>
      </w:r>
    </w:p>
    <w:p w14:paraId="4A69AB41">
      <w:pPr>
        <w:spacing w:line="440" w:lineRule="exact"/>
        <w:rPr>
          <w:rFonts w:hint="default" w:ascii="宋体" w:hAnsi="宋体" w:eastAsia="宋体"/>
          <w:bCs/>
          <w:color w:val="auto"/>
          <w:sz w:val="24"/>
          <w:szCs w:val="24"/>
          <w:highlight w:val="none"/>
          <w:u w:val="single"/>
        </w:rPr>
      </w:pPr>
      <w:r>
        <w:rPr>
          <w:rFonts w:hint="default" w:ascii="宋体" w:hAnsi="宋体" w:eastAsia="宋体"/>
          <w:bCs/>
          <w:color w:val="auto"/>
          <w:sz w:val="24"/>
          <w:szCs w:val="24"/>
          <w:highlight w:val="none"/>
        </w:rPr>
        <w:t xml:space="preserve">                                          </w:t>
      </w:r>
      <w:r>
        <w:rPr>
          <w:rFonts w:hint="eastAsia" w:ascii="宋体" w:hAnsi="宋体" w:eastAsia="宋体"/>
          <w:bCs/>
          <w:color w:val="auto"/>
          <w:sz w:val="24"/>
          <w:szCs w:val="24"/>
          <w:highlight w:val="none"/>
        </w:rPr>
        <w:t>乙方账号：</w:t>
      </w:r>
      <w:r>
        <w:rPr>
          <w:rFonts w:hint="default" w:ascii="宋体" w:hAnsi="宋体" w:eastAsia="宋体"/>
          <w:bCs/>
          <w:color w:val="auto"/>
          <w:sz w:val="24"/>
          <w:szCs w:val="24"/>
          <w:highlight w:val="none"/>
          <w:u w:val="single"/>
        </w:rPr>
        <w:t xml:space="preserve">                             </w:t>
      </w:r>
    </w:p>
    <w:p w14:paraId="1BA6D125">
      <w:pPr>
        <w:spacing w:line="440" w:lineRule="exact"/>
        <w:ind w:firstLine="1440"/>
        <w:rPr>
          <w:rFonts w:hint="default" w:ascii="宋体" w:hAnsi="宋体" w:eastAsia="宋体"/>
          <w:bCs/>
          <w:color w:val="auto"/>
          <w:sz w:val="24"/>
          <w:szCs w:val="24"/>
          <w:highlight w:val="none"/>
        </w:rPr>
      </w:pPr>
    </w:p>
    <w:p w14:paraId="4636FEF7">
      <w:pPr>
        <w:ind w:left="1260"/>
        <w:rPr>
          <w:rFonts w:hint="default" w:ascii="宋体" w:hAnsi="宋体" w:eastAsia="宋体"/>
          <w:color w:val="auto"/>
          <w:sz w:val="24"/>
          <w:szCs w:val="24"/>
          <w:highlight w:val="none"/>
        </w:rPr>
      </w:pPr>
    </w:p>
    <w:p w14:paraId="7FC05680">
      <w:pPr>
        <w:rPr>
          <w:rFonts w:hint="default" w:ascii="宋体" w:hAnsi="宋体" w:eastAsia="宋体"/>
          <w:color w:val="auto"/>
          <w:sz w:val="24"/>
          <w:szCs w:val="24"/>
          <w:highlight w:val="none"/>
        </w:rPr>
      </w:pPr>
      <w:r>
        <w:rPr>
          <w:rFonts w:hint="eastAsia" w:ascii="宋体" w:hAnsi="宋体" w:eastAsia="宋体"/>
          <w:bCs/>
          <w:color w:val="auto"/>
          <w:sz w:val="24"/>
          <w:szCs w:val="24"/>
          <w:highlight w:val="none"/>
        </w:rPr>
        <w:t>见证方：（盖章）</w:t>
      </w:r>
    </w:p>
    <w:p w14:paraId="5C88F2D7">
      <w:pPr>
        <w:ind w:left="1260"/>
        <w:rPr>
          <w:rFonts w:hint="default" w:ascii="Times New Roman" w:hAnsi="Times New Roman" w:eastAsia="宋体"/>
          <w:color w:val="auto"/>
          <w:szCs w:val="20"/>
          <w:highlight w:val="none"/>
        </w:rPr>
      </w:pPr>
      <w:r>
        <w:rPr>
          <w:rFonts w:hint="default" w:ascii="宋体" w:hAnsi="宋体" w:eastAsia="宋体"/>
          <w:bCs/>
          <w:color w:val="auto"/>
          <w:sz w:val="24"/>
          <w:szCs w:val="20"/>
          <w:highlight w:val="none"/>
          <w:u w:val="single"/>
        </w:rPr>
        <w:t xml:space="preserve">        </w:t>
      </w:r>
      <w:r>
        <w:rPr>
          <w:rFonts w:hint="eastAsia" w:ascii="宋体" w:hAnsi="宋体" w:eastAsia="宋体"/>
          <w:bCs/>
          <w:color w:val="auto"/>
          <w:sz w:val="24"/>
          <w:szCs w:val="20"/>
          <w:highlight w:val="none"/>
        </w:rPr>
        <w:t>年</w:t>
      </w:r>
      <w:r>
        <w:rPr>
          <w:rFonts w:hint="default" w:ascii="宋体" w:hAnsi="宋体" w:eastAsia="宋体"/>
          <w:bCs/>
          <w:color w:val="auto"/>
          <w:sz w:val="24"/>
          <w:szCs w:val="20"/>
          <w:highlight w:val="none"/>
          <w:u w:val="single"/>
        </w:rPr>
        <w:t xml:space="preserve">      </w:t>
      </w:r>
      <w:r>
        <w:rPr>
          <w:rFonts w:hint="eastAsia" w:ascii="宋体" w:hAnsi="宋体" w:eastAsia="宋体"/>
          <w:bCs/>
          <w:color w:val="auto"/>
          <w:sz w:val="24"/>
          <w:szCs w:val="20"/>
          <w:highlight w:val="none"/>
        </w:rPr>
        <w:t>月</w:t>
      </w:r>
      <w:r>
        <w:rPr>
          <w:rFonts w:hint="default" w:ascii="宋体" w:hAnsi="宋体" w:eastAsia="宋体"/>
          <w:bCs/>
          <w:color w:val="auto"/>
          <w:sz w:val="24"/>
          <w:szCs w:val="20"/>
          <w:highlight w:val="none"/>
          <w:u w:val="single"/>
        </w:rPr>
        <w:t xml:space="preserve">       </w:t>
      </w:r>
      <w:r>
        <w:rPr>
          <w:rFonts w:hint="eastAsia" w:ascii="宋体" w:hAnsi="宋体" w:eastAsia="宋体"/>
          <w:bCs/>
          <w:color w:val="auto"/>
          <w:sz w:val="24"/>
          <w:szCs w:val="20"/>
          <w:highlight w:val="none"/>
        </w:rPr>
        <w:t>日</w:t>
      </w:r>
    </w:p>
    <w:p w14:paraId="2CD7F6F3">
      <w:pPr>
        <w:rPr>
          <w:rFonts w:hint="default" w:ascii="仿宋_GB2312" w:hAnsi="Times New Roman" w:eastAsia="仿宋_GB2312"/>
          <w:color w:val="auto"/>
          <w:sz w:val="28"/>
          <w:szCs w:val="20"/>
          <w:highlight w:val="none"/>
        </w:rPr>
      </w:pPr>
    </w:p>
    <w:p w14:paraId="6852D6D9">
      <w:pPr>
        <w:rPr>
          <w:rFonts w:hint="default" w:ascii="宋体" w:hAnsi="宋体" w:eastAsia="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bCs/>
          <w:color w:val="auto"/>
          <w:sz w:val="24"/>
          <w:szCs w:val="24"/>
          <w:highlight w:val="none"/>
        </w:rPr>
        <w:t>附件1：保密协议</w:t>
      </w:r>
    </w:p>
    <w:p w14:paraId="6A512DFE">
      <w:pPr>
        <w:keepNext/>
        <w:widowControl w:val="0"/>
        <w:spacing w:line="360" w:lineRule="auto"/>
        <w:jc w:val="center"/>
        <w:outlineLvl w:val="0"/>
        <w:rPr>
          <w:rFonts w:ascii="宋体" w:hAnsi="Times New Roman" w:eastAsia="楷体_GB2312" w:cs="Times New Roman"/>
          <w:b/>
          <w:color w:val="auto"/>
          <w:sz w:val="32"/>
          <w:szCs w:val="32"/>
          <w:highlight w:val="none"/>
          <w:lang w:val="en-US" w:eastAsia="zh-CN" w:bidi="ar-SA"/>
        </w:rPr>
      </w:pPr>
      <w:r>
        <w:rPr>
          <w:rFonts w:hint="eastAsia" w:ascii="宋体" w:hAnsi="宋体" w:eastAsia="楷体_GB2312" w:cs="宋体"/>
          <w:b/>
          <w:color w:val="auto"/>
          <w:sz w:val="32"/>
          <w:szCs w:val="32"/>
          <w:highlight w:val="none"/>
          <w:lang w:val="en-US" w:eastAsia="zh-CN" w:bidi="ar-SA"/>
        </w:rPr>
        <w:t>保密协议书</w:t>
      </w:r>
    </w:p>
    <w:p w14:paraId="113B606F">
      <w:pPr>
        <w:rPr>
          <w:rFonts w:hint="default"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项目：</w:t>
      </w:r>
      <w:r>
        <w:rPr>
          <w:rFonts w:hint="default" w:asciiTheme="minorEastAsia" w:hAnsiTheme="minorEastAsia" w:eastAsiaTheme="minorEastAsia"/>
          <w:color w:val="auto"/>
          <w:sz w:val="24"/>
          <w:szCs w:val="24"/>
          <w:highlight w:val="none"/>
        </w:rPr>
        <w:t xml:space="preserve"> </w:t>
      </w:r>
    </w:p>
    <w:p w14:paraId="2979EAFE">
      <w:pPr>
        <w:rPr>
          <w:rFonts w:hint="default"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甲方：无锡市中级人民法院（以下简称“甲方”）</w:t>
      </w:r>
    </w:p>
    <w:p w14:paraId="01DCF9DC">
      <w:pPr>
        <w:rPr>
          <w:rFonts w:hint="default"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乙方：                              （以下简称“乙方”）</w:t>
      </w:r>
    </w:p>
    <w:p w14:paraId="40EAF4A5">
      <w:pPr>
        <w:ind w:firstLine="480" w:firstLineChars="200"/>
        <w:rPr>
          <w:rFonts w:hint="default"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鉴于甲方委托乙方“无锡法院集中编目服务采购项目”项目，涉及涉密内容，特制定本协议，约束乙方承担保密责任。</w:t>
      </w:r>
    </w:p>
    <w:p w14:paraId="7215F6A0">
      <w:pPr>
        <w:numPr>
          <w:ilvl w:val="0"/>
          <w:numId w:val="5"/>
        </w:numPr>
        <w:spacing w:line="460" w:lineRule="exact"/>
        <w:ind w:firstLine="198"/>
        <w:jc w:val="left"/>
        <w:rPr>
          <w:rFonts w:hint="default"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本协议以乙方为责任方，参与项目服务的乙方人员为相关责任人员。</w:t>
      </w:r>
    </w:p>
    <w:p w14:paraId="3649EFAA">
      <w:pPr>
        <w:numPr>
          <w:ilvl w:val="0"/>
          <w:numId w:val="5"/>
        </w:numPr>
        <w:spacing w:line="460" w:lineRule="exact"/>
        <w:ind w:firstLine="198"/>
        <w:jc w:val="left"/>
        <w:rPr>
          <w:rFonts w:hint="default"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本协议的保密文件包括本项目涉及的所有书面资料及其复印件、由此派生的相关资料，以及存放此类资料的计算机、磁盘、光盘等介质。保密内容包括上述物件及其所承载的信息、项目应用情况、施工场所情况、甲方明示的有关涉密内容。</w:t>
      </w:r>
    </w:p>
    <w:p w14:paraId="457FEC42">
      <w:pPr>
        <w:numPr>
          <w:ilvl w:val="0"/>
          <w:numId w:val="5"/>
        </w:numPr>
        <w:spacing w:line="460" w:lineRule="exact"/>
        <w:ind w:firstLine="198"/>
        <w:jc w:val="left"/>
        <w:rPr>
          <w:rFonts w:hint="default"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乙方在项目实施过程中使用的软盘、光盘等介质，以及所有电子资料、书面资料，必须由项目实施人员妥善使用和保管，不得带出甲方指定区域。项目实施的各类计算机应当设立开机密码、固定目录存放保密内容，只供项目实施人员专用。项目施工使用的电脑不得连接互联网。在未经甲方同意许可下，乙方不得向第三方泄露和使用上述保密物件和内容。</w:t>
      </w:r>
    </w:p>
    <w:p w14:paraId="6749606B">
      <w:pPr>
        <w:numPr>
          <w:ilvl w:val="0"/>
          <w:numId w:val="5"/>
        </w:numPr>
        <w:spacing w:line="460" w:lineRule="exact"/>
        <w:ind w:firstLine="198"/>
        <w:jc w:val="left"/>
        <w:rPr>
          <w:rFonts w:hint="default"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乙方应甄选政治可靠、思想进步、作风正派、技术合格的人员承担甲方涉密计算机系统的建设、维护工作，并保持该部人员的相对稳定。</w:t>
      </w:r>
    </w:p>
    <w:p w14:paraId="47FB515C">
      <w:pPr>
        <w:numPr>
          <w:ilvl w:val="0"/>
          <w:numId w:val="5"/>
        </w:numPr>
        <w:spacing w:line="460" w:lineRule="exact"/>
        <w:ind w:firstLine="198"/>
        <w:jc w:val="left"/>
        <w:rPr>
          <w:rFonts w:hint="default"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乙方施工人员应在甲方指定的区域、时间范围里活动，未经甲方同意，不得私自到施工区以外的场所进行与本项目无关的活动。</w:t>
      </w:r>
    </w:p>
    <w:p w14:paraId="23F3C511">
      <w:pPr>
        <w:numPr>
          <w:ilvl w:val="0"/>
          <w:numId w:val="5"/>
        </w:numPr>
        <w:spacing w:line="460" w:lineRule="exact"/>
        <w:ind w:firstLine="198"/>
        <w:jc w:val="left"/>
        <w:rPr>
          <w:rFonts w:hint="default"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在项目实施过程中，与项目有关的涉密物件不得通过抄录、摄影、录像等方式予以复制、保存，使用完毕后均须按规定交由甲方或进行销毁处理。项目完工后，乙方施工人员不得在任何时间、地点，以任何方式公开、发布、出版、传播、转让在施工过程中知悉的档案信息等涉密内容。</w:t>
      </w:r>
    </w:p>
    <w:p w14:paraId="1980DB79">
      <w:pPr>
        <w:numPr>
          <w:ilvl w:val="0"/>
          <w:numId w:val="5"/>
        </w:numPr>
        <w:spacing w:line="460" w:lineRule="exact"/>
        <w:ind w:firstLine="198"/>
        <w:jc w:val="left"/>
        <w:rPr>
          <w:rFonts w:hint="default"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如乙方违反上述约定，故意或过失造成甲方相关保密内容泄露，经查证属实的，将视情处以合同标的</w:t>
      </w:r>
      <w:r>
        <w:rPr>
          <w:rFonts w:hint="default" w:cs="仿宋_GB2312" w:asciiTheme="minorEastAsia" w:hAnsiTheme="minorEastAsia" w:eastAsiaTheme="minorEastAsia"/>
          <w:color w:val="auto"/>
          <w:sz w:val="24"/>
          <w:szCs w:val="24"/>
          <w:highlight w:val="none"/>
        </w:rPr>
        <w:t>5%-20%</w:t>
      </w:r>
      <w:r>
        <w:rPr>
          <w:rFonts w:hint="eastAsia" w:cs="仿宋_GB2312" w:asciiTheme="minorEastAsia" w:hAnsiTheme="minorEastAsia" w:eastAsiaTheme="minorEastAsia"/>
          <w:color w:val="auto"/>
          <w:sz w:val="24"/>
          <w:szCs w:val="24"/>
          <w:highlight w:val="none"/>
        </w:rPr>
        <w:t>的罚款；情节严重的，将依法追究其法律责任。</w:t>
      </w:r>
    </w:p>
    <w:p w14:paraId="5239BE6D">
      <w:pPr>
        <w:numPr>
          <w:ilvl w:val="0"/>
          <w:numId w:val="5"/>
        </w:numPr>
        <w:spacing w:line="460" w:lineRule="exact"/>
        <w:ind w:firstLine="198"/>
        <w:jc w:val="left"/>
        <w:rPr>
          <w:rFonts w:hint="default"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本协议自双方代表签订之日起生效。若有未尽事宜，由双方另行协商解决。</w:t>
      </w:r>
    </w:p>
    <w:p w14:paraId="13527FDD">
      <w:pPr>
        <w:jc w:val="left"/>
        <w:rPr>
          <w:rFonts w:hint="default" w:cs="仿宋_GB2312" w:asciiTheme="minorEastAsia" w:hAnsiTheme="minorEastAsia" w:eastAsiaTheme="minorEastAsia"/>
          <w:color w:val="auto"/>
          <w:sz w:val="24"/>
          <w:szCs w:val="24"/>
          <w:highlight w:val="none"/>
        </w:rPr>
      </w:pPr>
    </w:p>
    <w:p w14:paraId="00569D47">
      <w:pPr>
        <w:rPr>
          <w:rFonts w:hint="default"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甲方：无锡市中级人民法院</w:t>
      </w:r>
      <w:r>
        <w:rPr>
          <w:rFonts w:hint="default" w:cs="仿宋_GB2312" w:asciiTheme="minorEastAsia" w:hAnsiTheme="minorEastAsia" w:eastAsiaTheme="minorEastAsia"/>
          <w:color w:val="auto"/>
          <w:sz w:val="24"/>
          <w:szCs w:val="24"/>
          <w:highlight w:val="none"/>
        </w:rPr>
        <w:t xml:space="preserve">  </w:t>
      </w:r>
      <w:r>
        <w:rPr>
          <w:rFonts w:hint="default" w:asciiTheme="minorEastAsia" w:hAnsiTheme="minorEastAsia" w:eastAsiaTheme="minorEastAsia"/>
          <w:color w:val="auto"/>
          <w:sz w:val="24"/>
          <w:szCs w:val="24"/>
          <w:highlight w:val="none"/>
        </w:rPr>
        <w:tab/>
      </w:r>
      <w:r>
        <w:rPr>
          <w:rFonts w:hint="default" w:asciiTheme="minorEastAsia" w:hAnsiTheme="minorEastAsia" w:eastAsiaTheme="minorEastAsia"/>
          <w:color w:val="auto"/>
          <w:sz w:val="24"/>
          <w:szCs w:val="24"/>
          <w:highlight w:val="none"/>
        </w:rPr>
        <w:tab/>
      </w:r>
      <w:r>
        <w:rPr>
          <w:rFonts w:hint="default" w:asciiTheme="minorEastAsia" w:hAnsiTheme="minorEastAsia" w:eastAsiaTheme="minorEastAsia"/>
          <w:color w:val="auto"/>
          <w:sz w:val="24"/>
          <w:szCs w:val="24"/>
          <w:highlight w:val="none"/>
        </w:rPr>
        <w:tab/>
      </w:r>
      <w:r>
        <w:rPr>
          <w:rFonts w:hint="default" w:asciiTheme="minorEastAsia" w:hAnsiTheme="minorEastAsia" w:eastAsiaTheme="minorEastAsia"/>
          <w:color w:val="auto"/>
          <w:sz w:val="24"/>
          <w:szCs w:val="24"/>
          <w:highlight w:val="none"/>
        </w:rPr>
        <w:tab/>
      </w:r>
      <w:r>
        <w:rPr>
          <w:rFonts w:hint="default" w:asciiTheme="minorEastAsia" w:hAnsiTheme="minorEastAsia" w:eastAsiaTheme="minorEastAsia"/>
          <w:color w:val="auto"/>
          <w:sz w:val="24"/>
          <w:szCs w:val="24"/>
          <w:highlight w:val="none"/>
        </w:rPr>
        <w:tab/>
      </w:r>
      <w:r>
        <w:rPr>
          <w:rFonts w:hint="default" w:asciiTheme="minorEastAsia" w:hAnsiTheme="minorEastAsia" w:eastAsiaTheme="minorEastAsia"/>
          <w:color w:val="auto"/>
          <w:sz w:val="24"/>
          <w:szCs w:val="24"/>
          <w:highlight w:val="none"/>
        </w:rPr>
        <w:tab/>
      </w:r>
      <w:r>
        <w:rPr>
          <w:rFonts w:hint="default" w:asciiTheme="minorEastAsia" w:hAnsiTheme="minorEastAsia" w:eastAsiaTheme="minorEastAsia"/>
          <w:color w:val="auto"/>
          <w:sz w:val="24"/>
          <w:szCs w:val="24"/>
          <w:highlight w:val="none"/>
        </w:rPr>
        <w:t xml:space="preserve"> </w:t>
      </w:r>
      <w:r>
        <w:rPr>
          <w:rFonts w:hint="eastAsia" w:asciiTheme="minorEastAsia" w:hAnsiTheme="minorEastAsia" w:eastAsiaTheme="minorEastAsia"/>
          <w:color w:val="auto"/>
          <w:sz w:val="24"/>
          <w:szCs w:val="24"/>
          <w:highlight w:val="none"/>
        </w:rPr>
        <w:t xml:space="preserve"> 乙</w:t>
      </w:r>
      <w:r>
        <w:rPr>
          <w:rFonts w:hint="eastAsia" w:cs="仿宋_GB2312" w:asciiTheme="minorEastAsia" w:hAnsiTheme="minorEastAsia" w:eastAsiaTheme="minorEastAsia"/>
          <w:color w:val="auto"/>
          <w:sz w:val="24"/>
          <w:szCs w:val="24"/>
          <w:highlight w:val="none"/>
        </w:rPr>
        <w:t>方：</w:t>
      </w:r>
    </w:p>
    <w:p w14:paraId="7F88B6D6">
      <w:pPr>
        <w:rPr>
          <w:rFonts w:hint="default" w:asciiTheme="minorEastAsia" w:hAnsiTheme="minorEastAsia" w:eastAsiaTheme="minorEastAsia"/>
          <w:color w:val="auto"/>
          <w:sz w:val="24"/>
          <w:szCs w:val="24"/>
          <w:highlight w:val="none"/>
        </w:rPr>
      </w:pPr>
      <w:r>
        <w:rPr>
          <w:rFonts w:hint="default" w:cs="仿宋_GB2312" w:asciiTheme="minorEastAsia" w:hAnsiTheme="minorEastAsia" w:eastAsiaTheme="minorEastAsia"/>
          <w:color w:val="auto"/>
          <w:sz w:val="24"/>
          <w:szCs w:val="24"/>
          <w:highlight w:val="none"/>
        </w:rPr>
        <w:t xml:space="preserve"> </w:t>
      </w:r>
      <w:r>
        <w:rPr>
          <w:rFonts w:hint="eastAsia" w:cs="仿宋_GB2312" w:asciiTheme="minorEastAsia" w:hAnsiTheme="minorEastAsia" w:eastAsiaTheme="minorEastAsia"/>
          <w:color w:val="auto"/>
          <w:sz w:val="24"/>
          <w:szCs w:val="24"/>
          <w:highlight w:val="none"/>
        </w:rPr>
        <w:t>代表：</w:t>
      </w:r>
      <w:r>
        <w:rPr>
          <w:rFonts w:hint="default" w:asciiTheme="minorEastAsia" w:hAnsiTheme="minorEastAsia" w:eastAsiaTheme="minorEastAsia"/>
          <w:color w:val="auto"/>
          <w:sz w:val="24"/>
          <w:szCs w:val="24"/>
          <w:highlight w:val="none"/>
        </w:rPr>
        <w:tab/>
      </w:r>
      <w:r>
        <w:rPr>
          <w:rFonts w:hint="default" w:asciiTheme="minorEastAsia" w:hAnsiTheme="minorEastAsia" w:eastAsiaTheme="minorEastAsia"/>
          <w:color w:val="auto"/>
          <w:sz w:val="24"/>
          <w:szCs w:val="24"/>
          <w:highlight w:val="none"/>
        </w:rPr>
        <w:tab/>
      </w:r>
      <w:r>
        <w:rPr>
          <w:rFonts w:hint="default" w:asciiTheme="minorEastAsia" w:hAnsiTheme="minorEastAsia" w:eastAsiaTheme="minorEastAsia"/>
          <w:color w:val="auto"/>
          <w:sz w:val="24"/>
          <w:szCs w:val="24"/>
          <w:highlight w:val="none"/>
        </w:rPr>
        <w:t xml:space="preserve"> </w:t>
      </w:r>
      <w:r>
        <w:rPr>
          <w:rFonts w:hint="eastAsia" w:asciiTheme="minorEastAsia" w:hAnsiTheme="minorEastAsia" w:eastAsiaTheme="minorEastAsia"/>
          <w:color w:val="auto"/>
          <w:sz w:val="24"/>
          <w:szCs w:val="24"/>
          <w:highlight w:val="none"/>
        </w:rPr>
        <w:t xml:space="preserve">                                </w:t>
      </w:r>
      <w:r>
        <w:rPr>
          <w:rFonts w:hint="eastAsia" w:cs="仿宋_GB2312" w:asciiTheme="minorEastAsia" w:hAnsiTheme="minorEastAsia" w:eastAsiaTheme="minorEastAsia"/>
          <w:color w:val="auto"/>
          <w:sz w:val="24"/>
          <w:szCs w:val="24"/>
          <w:highlight w:val="none"/>
        </w:rPr>
        <w:t>代表：</w:t>
      </w:r>
    </w:p>
    <w:p w14:paraId="108AEA27">
      <w:pPr>
        <w:rPr>
          <w:rFonts w:hint="default" w:ascii="仿宋_GB2312" w:hAnsi="Calibri" w:eastAsia="仿宋_GB2312"/>
          <w:color w:val="auto"/>
          <w:sz w:val="30"/>
          <w:szCs w:val="30"/>
          <w:highlight w:val="none"/>
        </w:rPr>
      </w:pPr>
      <w:r>
        <w:rPr>
          <w:rFonts w:hint="eastAsia" w:cs="仿宋_GB2312" w:asciiTheme="minorEastAsia" w:hAnsiTheme="minorEastAsia" w:eastAsiaTheme="minorEastAsia"/>
          <w:color w:val="auto"/>
          <w:sz w:val="24"/>
          <w:szCs w:val="24"/>
          <w:highlight w:val="none"/>
        </w:rPr>
        <w:t>日期：</w:t>
      </w:r>
      <w:r>
        <w:rPr>
          <w:rFonts w:hint="default" w:cs="仿宋_GB2312" w:asciiTheme="minorEastAsia" w:hAnsiTheme="minorEastAsia" w:eastAsiaTheme="minorEastAsia"/>
          <w:color w:val="auto"/>
          <w:sz w:val="24"/>
          <w:szCs w:val="24"/>
          <w:highlight w:val="none"/>
        </w:rPr>
        <w:t>20</w:t>
      </w:r>
      <w:r>
        <w:rPr>
          <w:rFonts w:hint="eastAsia" w:cs="仿宋_GB2312" w:asciiTheme="minorEastAsia" w:hAnsiTheme="minorEastAsia" w:eastAsiaTheme="minorEastAsia"/>
          <w:color w:val="auto"/>
          <w:sz w:val="24"/>
          <w:szCs w:val="24"/>
          <w:highlight w:val="none"/>
        </w:rPr>
        <w:t>2</w:t>
      </w:r>
      <w:r>
        <w:rPr>
          <w:rFonts w:hint="default" w:cs="仿宋_GB2312" w:asciiTheme="minorEastAsia" w:hAnsiTheme="minorEastAsia" w:eastAsiaTheme="minorEastAsia"/>
          <w:color w:val="auto"/>
          <w:sz w:val="24"/>
          <w:szCs w:val="24"/>
          <w:highlight w:val="none"/>
        </w:rPr>
        <w:t>6</w:t>
      </w:r>
      <w:r>
        <w:rPr>
          <w:rFonts w:hint="eastAsia" w:cs="仿宋_GB2312" w:asciiTheme="minorEastAsia" w:hAnsiTheme="minorEastAsia" w:eastAsiaTheme="minorEastAsia"/>
          <w:color w:val="auto"/>
          <w:sz w:val="24"/>
          <w:szCs w:val="24"/>
          <w:highlight w:val="none"/>
        </w:rPr>
        <w:t>年  月  日</w:t>
      </w:r>
      <w:r>
        <w:rPr>
          <w:rFonts w:hint="default" w:asciiTheme="minorEastAsia" w:hAnsiTheme="minorEastAsia" w:eastAsiaTheme="minorEastAsia"/>
          <w:color w:val="auto"/>
          <w:sz w:val="24"/>
          <w:szCs w:val="24"/>
          <w:highlight w:val="none"/>
        </w:rPr>
        <w:tab/>
      </w:r>
      <w:r>
        <w:rPr>
          <w:rFonts w:hint="default" w:asciiTheme="minorEastAsia" w:hAnsiTheme="minorEastAsia" w:eastAsiaTheme="minorEastAsia"/>
          <w:color w:val="auto"/>
          <w:sz w:val="24"/>
          <w:szCs w:val="24"/>
          <w:highlight w:val="none"/>
        </w:rPr>
        <w:t xml:space="preserve"> </w:t>
      </w:r>
      <w:r>
        <w:rPr>
          <w:rFonts w:hint="eastAsia" w:asciiTheme="minorEastAsia" w:hAnsiTheme="minorEastAsia" w:eastAsiaTheme="minorEastAsia"/>
          <w:color w:val="auto"/>
          <w:sz w:val="24"/>
          <w:szCs w:val="24"/>
          <w:highlight w:val="none"/>
        </w:rPr>
        <w:t xml:space="preserve">                         </w:t>
      </w:r>
      <w:r>
        <w:rPr>
          <w:rFonts w:hint="eastAsia" w:cs="仿宋_GB2312" w:asciiTheme="minorEastAsia" w:hAnsiTheme="minorEastAsia" w:eastAsiaTheme="minorEastAsia"/>
          <w:color w:val="auto"/>
          <w:sz w:val="24"/>
          <w:szCs w:val="24"/>
          <w:highlight w:val="none"/>
        </w:rPr>
        <w:t>日期：</w:t>
      </w:r>
      <w:r>
        <w:rPr>
          <w:rFonts w:hint="default" w:cs="仿宋_GB2312" w:asciiTheme="minorEastAsia" w:hAnsiTheme="minorEastAsia" w:eastAsiaTheme="minorEastAsia"/>
          <w:color w:val="auto"/>
          <w:sz w:val="24"/>
          <w:szCs w:val="24"/>
          <w:highlight w:val="none"/>
        </w:rPr>
        <w:t>20</w:t>
      </w:r>
      <w:r>
        <w:rPr>
          <w:rFonts w:hint="eastAsia" w:cs="仿宋_GB2312" w:asciiTheme="minorEastAsia" w:hAnsiTheme="minorEastAsia" w:eastAsiaTheme="minorEastAsia"/>
          <w:color w:val="auto"/>
          <w:sz w:val="24"/>
          <w:szCs w:val="24"/>
          <w:highlight w:val="none"/>
        </w:rPr>
        <w:t>2</w:t>
      </w:r>
      <w:r>
        <w:rPr>
          <w:rFonts w:hint="default" w:cs="仿宋_GB2312" w:asciiTheme="minorEastAsia" w:hAnsiTheme="minorEastAsia" w:eastAsiaTheme="minorEastAsia"/>
          <w:color w:val="auto"/>
          <w:sz w:val="24"/>
          <w:szCs w:val="24"/>
          <w:highlight w:val="none"/>
        </w:rPr>
        <w:t>6</w:t>
      </w:r>
      <w:r>
        <w:rPr>
          <w:rFonts w:hint="eastAsia" w:cs="仿宋_GB2312" w:asciiTheme="minorEastAsia" w:hAnsiTheme="minorEastAsia" w:eastAsiaTheme="minorEastAsia"/>
          <w:color w:val="auto"/>
          <w:sz w:val="24"/>
          <w:szCs w:val="24"/>
          <w:highlight w:val="none"/>
        </w:rPr>
        <w:t>年  月   日</w:t>
      </w:r>
    </w:p>
    <w:p w14:paraId="5979BC41">
      <w:pPr>
        <w:spacing w:line="360" w:lineRule="auto"/>
        <w:ind w:firstLine="420"/>
        <w:rPr>
          <w:rFonts w:hint="default" w:ascii="宋体" w:hAnsi="宋体" w:eastAsia="宋体" w:cs="宋体"/>
          <w:color w:val="auto"/>
          <w:szCs w:val="24"/>
          <w:highlight w:val="none"/>
        </w:rPr>
      </w:pPr>
    </w:p>
    <w:p w14:paraId="67E0F87D">
      <w:pPr>
        <w:spacing w:line="360" w:lineRule="auto"/>
        <w:ind w:firstLine="420"/>
        <w:rPr>
          <w:rFonts w:hint="default" w:ascii="宋体" w:hAnsi="宋体" w:eastAsia="宋体" w:cs="宋体"/>
          <w:color w:val="auto"/>
          <w:szCs w:val="24"/>
          <w:highlight w:val="none"/>
        </w:rPr>
      </w:pPr>
    </w:p>
    <w:p w14:paraId="1FA3F216">
      <w:pPr>
        <w:spacing w:line="360" w:lineRule="auto"/>
        <w:ind w:firstLine="420"/>
        <w:rPr>
          <w:rFonts w:hint="default" w:ascii="宋体" w:hAnsi="宋体" w:eastAsia="宋体" w:cs="宋体"/>
          <w:color w:val="auto"/>
          <w:szCs w:val="24"/>
          <w:highlight w:val="none"/>
        </w:rPr>
      </w:pPr>
    </w:p>
    <w:p w14:paraId="27072914">
      <w:pPr>
        <w:spacing w:line="360" w:lineRule="auto"/>
        <w:ind w:firstLine="482"/>
        <w:jc w:val="right"/>
        <w:rPr>
          <w:rFonts w:hint="default" w:ascii="宋体" w:hAnsi="宋体" w:eastAsia="宋体"/>
          <w:color w:val="auto"/>
          <w:sz w:val="24"/>
          <w:szCs w:val="24"/>
          <w:highlight w:val="none"/>
        </w:rPr>
      </w:pPr>
    </w:p>
    <w:p w14:paraId="47E5EA4D">
      <w:pPr>
        <w:spacing w:line="360" w:lineRule="auto"/>
        <w:ind w:left="480"/>
        <w:rPr>
          <w:rFonts w:hint="default" w:ascii="黑体" w:hAnsi="Calibri" w:eastAsia="黑体"/>
          <w:bCs/>
          <w:color w:val="auto"/>
          <w:sz w:val="36"/>
          <w:szCs w:val="36"/>
          <w:highlight w:val="none"/>
        </w:rPr>
      </w:pPr>
    </w:p>
    <w:p w14:paraId="1BD1EAD4">
      <w:pPr>
        <w:widowControl w:val="0"/>
        <w:spacing w:after="20" w:line="360" w:lineRule="auto"/>
        <w:ind w:firstLine="480"/>
        <w:jc w:val="both"/>
        <w:rPr>
          <w:rFonts w:ascii="宋体" w:hAnsi="宋体" w:eastAsia="宋体" w:cs="宋体"/>
          <w:color w:val="auto"/>
          <w:sz w:val="24"/>
          <w:szCs w:val="24"/>
          <w:highlight w:val="none"/>
          <w:lang w:val="en-US" w:eastAsia="zh-CN" w:bidi="ar-SA"/>
        </w:rPr>
      </w:pPr>
    </w:p>
    <w:p w14:paraId="431F0BF9">
      <w:pP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br w:type="page"/>
      </w:r>
    </w:p>
    <w:p w14:paraId="4E7E64DA">
      <w:pPr>
        <w:rPr>
          <w:rFonts w:hint="default" w:ascii="宋体" w:hAnsi="宋体" w:eastAsia="宋体"/>
          <w:bCs/>
          <w:color w:val="auto"/>
          <w:sz w:val="24"/>
          <w:szCs w:val="24"/>
          <w:highlight w:val="none"/>
        </w:rPr>
      </w:pPr>
      <w:r>
        <w:rPr>
          <w:rFonts w:hint="eastAsia" w:ascii="宋体" w:hAnsi="宋体" w:eastAsia="宋体"/>
          <w:bCs/>
          <w:color w:val="auto"/>
          <w:sz w:val="24"/>
          <w:szCs w:val="24"/>
          <w:highlight w:val="none"/>
        </w:rPr>
        <w:t>附件2：考核标准</w:t>
      </w:r>
    </w:p>
    <w:tbl>
      <w:tblPr>
        <w:tblStyle w:val="38"/>
        <w:tblW w:w="9371" w:type="dxa"/>
        <w:tblInd w:w="0" w:type="dxa"/>
        <w:tblLayout w:type="autofit"/>
        <w:tblCellMar>
          <w:top w:w="0" w:type="dxa"/>
          <w:left w:w="0" w:type="dxa"/>
          <w:bottom w:w="0" w:type="dxa"/>
          <w:right w:w="0" w:type="dxa"/>
        </w:tblCellMar>
      </w:tblPr>
      <w:tblGrid>
        <w:gridCol w:w="1080"/>
        <w:gridCol w:w="6165"/>
        <w:gridCol w:w="1275"/>
        <w:gridCol w:w="851"/>
      </w:tblGrid>
      <w:tr w14:paraId="2EEF1B51">
        <w:tblPrEx>
          <w:tblCellMar>
            <w:top w:w="0" w:type="dxa"/>
            <w:left w:w="0" w:type="dxa"/>
            <w:bottom w:w="0" w:type="dxa"/>
            <w:right w:w="0" w:type="dxa"/>
          </w:tblCellMar>
        </w:tblPrEx>
        <w:trPr>
          <w:trHeight w:val="315" w:hRule="atLeast"/>
        </w:trPr>
        <w:tc>
          <w:tcPr>
            <w:tcW w:w="1080" w:type="dxa"/>
            <w:tcBorders>
              <w:top w:val="single" w:color="000000" w:sz="8" w:space="0"/>
              <w:left w:val="single" w:color="auto" w:sz="4" w:space="0"/>
              <w:bottom w:val="single" w:color="000000" w:sz="8" w:space="0"/>
              <w:right w:val="single" w:color="000000" w:sz="8" w:space="0"/>
            </w:tcBorders>
            <w:shd w:val="clear" w:color="auto" w:fill="auto"/>
            <w:tcMar>
              <w:top w:w="15" w:type="dxa"/>
              <w:left w:w="15" w:type="dxa"/>
              <w:bottom w:w="0" w:type="dxa"/>
              <w:right w:w="15" w:type="dxa"/>
            </w:tcMar>
            <w:vAlign w:val="center"/>
          </w:tcPr>
          <w:p w14:paraId="137C3460">
            <w:pPr>
              <w:jc w:val="center"/>
              <w:rPr>
                <w:rFonts w:hint="default" w:ascii="微软雅黑" w:hAnsi="微软雅黑" w:eastAsia="微软雅黑" w:cs="宋体"/>
                <w:b/>
                <w:bCs/>
                <w:color w:val="auto"/>
                <w:sz w:val="22"/>
                <w:szCs w:val="22"/>
                <w:highlight w:val="none"/>
              </w:rPr>
            </w:pPr>
            <w:r>
              <w:rPr>
                <w:rFonts w:hint="eastAsia" w:ascii="微软雅黑" w:hAnsi="微软雅黑" w:eastAsia="微软雅黑"/>
                <w:b/>
                <w:bCs/>
                <w:color w:val="auto"/>
                <w:sz w:val="22"/>
                <w:szCs w:val="22"/>
                <w:highlight w:val="none"/>
              </w:rPr>
              <w:t>考核指标</w:t>
            </w:r>
          </w:p>
        </w:tc>
        <w:tc>
          <w:tcPr>
            <w:tcW w:w="6165" w:type="dxa"/>
            <w:tcBorders>
              <w:top w:val="single" w:color="000000" w:sz="8" w:space="0"/>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32232066">
            <w:pPr>
              <w:jc w:val="center"/>
              <w:rPr>
                <w:rFonts w:hint="default" w:ascii="微软雅黑" w:hAnsi="微软雅黑" w:eastAsia="微软雅黑" w:cs="宋体"/>
                <w:b/>
                <w:bCs/>
                <w:color w:val="auto"/>
                <w:sz w:val="22"/>
                <w:szCs w:val="22"/>
                <w:highlight w:val="none"/>
              </w:rPr>
            </w:pPr>
            <w:r>
              <w:rPr>
                <w:rFonts w:hint="eastAsia" w:ascii="微软雅黑" w:hAnsi="微软雅黑" w:eastAsia="微软雅黑"/>
                <w:b/>
                <w:bCs/>
                <w:color w:val="auto"/>
                <w:sz w:val="22"/>
                <w:szCs w:val="22"/>
                <w:highlight w:val="none"/>
              </w:rPr>
              <w:t>考核标准</w:t>
            </w:r>
          </w:p>
        </w:tc>
        <w:tc>
          <w:tcPr>
            <w:tcW w:w="1275" w:type="dxa"/>
            <w:tcBorders>
              <w:top w:val="single" w:color="000000" w:sz="8" w:space="0"/>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59C9A404">
            <w:pPr>
              <w:jc w:val="center"/>
              <w:rPr>
                <w:rFonts w:hint="default" w:ascii="微软雅黑" w:hAnsi="微软雅黑" w:eastAsia="微软雅黑" w:cs="宋体"/>
                <w:b/>
                <w:bCs/>
                <w:color w:val="auto"/>
                <w:sz w:val="22"/>
                <w:szCs w:val="22"/>
                <w:highlight w:val="none"/>
              </w:rPr>
            </w:pPr>
            <w:r>
              <w:rPr>
                <w:rFonts w:hint="eastAsia" w:ascii="微软雅黑" w:hAnsi="微软雅黑" w:eastAsia="微软雅黑"/>
                <w:b/>
                <w:bCs/>
                <w:color w:val="auto"/>
                <w:sz w:val="22"/>
                <w:szCs w:val="22"/>
                <w:highlight w:val="none"/>
              </w:rPr>
              <w:t>得分</w:t>
            </w:r>
          </w:p>
        </w:tc>
        <w:tc>
          <w:tcPr>
            <w:tcW w:w="851" w:type="dxa"/>
            <w:tcBorders>
              <w:top w:val="single" w:color="000000" w:sz="8" w:space="0"/>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059F026A">
            <w:pPr>
              <w:jc w:val="center"/>
              <w:rPr>
                <w:rFonts w:hint="default" w:ascii="微软雅黑" w:hAnsi="微软雅黑" w:eastAsia="微软雅黑" w:cs="宋体"/>
                <w:b/>
                <w:bCs/>
                <w:color w:val="auto"/>
                <w:sz w:val="22"/>
                <w:szCs w:val="22"/>
                <w:highlight w:val="none"/>
              </w:rPr>
            </w:pPr>
            <w:r>
              <w:rPr>
                <w:rFonts w:hint="eastAsia" w:ascii="微软雅黑" w:hAnsi="微软雅黑" w:eastAsia="微软雅黑"/>
                <w:b/>
                <w:bCs/>
                <w:color w:val="auto"/>
                <w:sz w:val="22"/>
                <w:szCs w:val="22"/>
                <w:highlight w:val="none"/>
              </w:rPr>
              <w:t>扣分说明</w:t>
            </w:r>
          </w:p>
        </w:tc>
      </w:tr>
      <w:tr w14:paraId="476B4699">
        <w:tblPrEx>
          <w:tblCellMar>
            <w:top w:w="0" w:type="dxa"/>
            <w:left w:w="0" w:type="dxa"/>
            <w:bottom w:w="0" w:type="dxa"/>
            <w:right w:w="0" w:type="dxa"/>
          </w:tblCellMar>
        </w:tblPrEx>
        <w:trPr>
          <w:trHeight w:val="675" w:hRule="atLeast"/>
        </w:trPr>
        <w:tc>
          <w:tcPr>
            <w:tcW w:w="1080" w:type="dxa"/>
            <w:vMerge w:val="restart"/>
            <w:tcBorders>
              <w:top w:val="nil"/>
              <w:left w:val="single" w:color="000000" w:sz="8" w:space="0"/>
              <w:bottom w:val="single" w:color="000000" w:sz="8" w:space="0"/>
              <w:right w:val="single" w:color="000000" w:sz="8" w:space="0"/>
            </w:tcBorders>
            <w:shd w:val="clear" w:color="auto" w:fill="auto"/>
            <w:tcMar>
              <w:top w:w="15" w:type="dxa"/>
              <w:left w:w="15" w:type="dxa"/>
              <w:bottom w:w="0" w:type="dxa"/>
              <w:right w:w="15" w:type="dxa"/>
            </w:tcMar>
            <w:vAlign w:val="center"/>
          </w:tcPr>
          <w:p w14:paraId="16AB8C28">
            <w:pPr>
              <w:jc w:val="cente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一、服务质量(40分)</w:t>
            </w:r>
          </w:p>
        </w:tc>
        <w:tc>
          <w:tcPr>
            <w:tcW w:w="616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69EEE38B">
            <w:pP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考核周期内编目正确率≥99%得满分；每低1%扣2分，扣完为止；低于95%本项不得分</w:t>
            </w:r>
          </w:p>
        </w:tc>
        <w:tc>
          <w:tcPr>
            <w:tcW w:w="127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0D7F562A">
            <w:pPr>
              <w:jc w:val="cente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10分</w:t>
            </w:r>
          </w:p>
        </w:tc>
        <w:tc>
          <w:tcPr>
            <w:tcW w:w="851"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7603A501">
            <w:pPr>
              <w:jc w:val="center"/>
              <w:rPr>
                <w:rFonts w:hint="default"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w:t>
            </w:r>
          </w:p>
        </w:tc>
      </w:tr>
      <w:tr w14:paraId="2FA58400">
        <w:tblPrEx>
          <w:tblCellMar>
            <w:top w:w="0" w:type="dxa"/>
            <w:left w:w="0" w:type="dxa"/>
            <w:bottom w:w="0" w:type="dxa"/>
            <w:right w:w="0" w:type="dxa"/>
          </w:tblCellMar>
        </w:tblPrEx>
        <w:trPr>
          <w:trHeight w:val="345" w:hRule="atLeast"/>
        </w:trPr>
        <w:tc>
          <w:tcPr>
            <w:tcW w:w="0" w:type="auto"/>
            <w:vMerge w:val="continue"/>
            <w:tcBorders>
              <w:top w:val="nil"/>
              <w:left w:val="single" w:color="000000" w:sz="8" w:space="0"/>
              <w:bottom w:val="single" w:color="000000" w:sz="8" w:space="0"/>
              <w:right w:val="single" w:color="000000" w:sz="8" w:space="0"/>
            </w:tcBorders>
            <w:vAlign w:val="center"/>
          </w:tcPr>
          <w:p w14:paraId="6EE8952C">
            <w:pPr>
              <w:rPr>
                <w:rFonts w:hint="default" w:cs="宋体" w:asciiTheme="minorEastAsia" w:hAnsiTheme="minorEastAsia" w:eastAsiaTheme="minorEastAsia"/>
                <w:color w:val="auto"/>
                <w:sz w:val="24"/>
                <w:szCs w:val="24"/>
                <w:highlight w:val="none"/>
              </w:rPr>
            </w:pPr>
          </w:p>
        </w:tc>
        <w:tc>
          <w:tcPr>
            <w:tcW w:w="616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4925F885">
            <w:pP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卷宗材料归目准确率100%得满分；每出现1处错误扣1分，扣完为止</w:t>
            </w:r>
          </w:p>
        </w:tc>
        <w:tc>
          <w:tcPr>
            <w:tcW w:w="127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6EE4BD83">
            <w:pPr>
              <w:jc w:val="cente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8分</w:t>
            </w:r>
          </w:p>
        </w:tc>
        <w:tc>
          <w:tcPr>
            <w:tcW w:w="851"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03B63A4D">
            <w:pPr>
              <w:jc w:val="center"/>
              <w:rPr>
                <w:rFonts w:hint="default"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w:t>
            </w:r>
          </w:p>
        </w:tc>
      </w:tr>
      <w:tr w14:paraId="68943B89">
        <w:tblPrEx>
          <w:tblCellMar>
            <w:top w:w="0" w:type="dxa"/>
            <w:left w:w="0" w:type="dxa"/>
            <w:bottom w:w="0" w:type="dxa"/>
            <w:right w:w="0" w:type="dxa"/>
          </w:tblCellMar>
        </w:tblPrEx>
        <w:trPr>
          <w:trHeight w:val="675" w:hRule="atLeast"/>
        </w:trPr>
        <w:tc>
          <w:tcPr>
            <w:tcW w:w="0" w:type="auto"/>
            <w:vMerge w:val="continue"/>
            <w:tcBorders>
              <w:top w:val="nil"/>
              <w:left w:val="single" w:color="000000" w:sz="8" w:space="0"/>
              <w:bottom w:val="single" w:color="000000" w:sz="8" w:space="0"/>
              <w:right w:val="single" w:color="000000" w:sz="8" w:space="0"/>
            </w:tcBorders>
            <w:vAlign w:val="center"/>
          </w:tcPr>
          <w:p w14:paraId="53419AAB">
            <w:pPr>
              <w:rPr>
                <w:rFonts w:hint="default" w:cs="宋体" w:asciiTheme="minorEastAsia" w:hAnsiTheme="minorEastAsia" w:eastAsiaTheme="minorEastAsia"/>
                <w:color w:val="auto"/>
                <w:sz w:val="24"/>
                <w:szCs w:val="24"/>
                <w:highlight w:val="none"/>
              </w:rPr>
            </w:pPr>
          </w:p>
        </w:tc>
        <w:tc>
          <w:tcPr>
            <w:tcW w:w="616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425022BA">
            <w:pP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案件要素信息提取准确率≥99%得满分；每低1%扣1分，扣完为止；低于95%本项不得分</w:t>
            </w:r>
          </w:p>
        </w:tc>
        <w:tc>
          <w:tcPr>
            <w:tcW w:w="127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774D71C4">
            <w:pPr>
              <w:jc w:val="cente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6分</w:t>
            </w:r>
          </w:p>
        </w:tc>
        <w:tc>
          <w:tcPr>
            <w:tcW w:w="851"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22656A34">
            <w:pPr>
              <w:jc w:val="center"/>
              <w:rPr>
                <w:rFonts w:hint="default"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w:t>
            </w:r>
          </w:p>
        </w:tc>
      </w:tr>
      <w:tr w14:paraId="36D76D55">
        <w:tblPrEx>
          <w:tblCellMar>
            <w:top w:w="0" w:type="dxa"/>
            <w:left w:w="0" w:type="dxa"/>
            <w:bottom w:w="0" w:type="dxa"/>
            <w:right w:w="0" w:type="dxa"/>
          </w:tblCellMar>
        </w:tblPrEx>
        <w:trPr>
          <w:trHeight w:val="675" w:hRule="atLeast"/>
        </w:trPr>
        <w:tc>
          <w:tcPr>
            <w:tcW w:w="0" w:type="auto"/>
            <w:vMerge w:val="continue"/>
            <w:tcBorders>
              <w:top w:val="nil"/>
              <w:left w:val="single" w:color="000000" w:sz="8" w:space="0"/>
              <w:bottom w:val="single" w:color="000000" w:sz="8" w:space="0"/>
              <w:right w:val="single" w:color="000000" w:sz="8" w:space="0"/>
            </w:tcBorders>
            <w:vAlign w:val="center"/>
          </w:tcPr>
          <w:p w14:paraId="17903636">
            <w:pPr>
              <w:rPr>
                <w:rFonts w:hint="default" w:cs="宋体" w:asciiTheme="minorEastAsia" w:hAnsiTheme="minorEastAsia" w:eastAsiaTheme="minorEastAsia"/>
                <w:color w:val="auto"/>
                <w:sz w:val="24"/>
                <w:szCs w:val="24"/>
                <w:highlight w:val="none"/>
              </w:rPr>
            </w:pPr>
          </w:p>
        </w:tc>
        <w:tc>
          <w:tcPr>
            <w:tcW w:w="616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65893A38">
            <w:pP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抽查、纠错分析指导质检机制得满分；未执行抽查制度扣3分，抽查发现问题未当日整改扣2分</w:t>
            </w:r>
          </w:p>
        </w:tc>
        <w:tc>
          <w:tcPr>
            <w:tcW w:w="127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434DF354">
            <w:pPr>
              <w:jc w:val="cente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6分</w:t>
            </w:r>
          </w:p>
        </w:tc>
        <w:tc>
          <w:tcPr>
            <w:tcW w:w="851"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697249C9">
            <w:pPr>
              <w:jc w:val="center"/>
              <w:rPr>
                <w:rFonts w:hint="default"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w:t>
            </w:r>
          </w:p>
        </w:tc>
      </w:tr>
      <w:tr w14:paraId="751F6BD7">
        <w:tblPrEx>
          <w:tblCellMar>
            <w:top w:w="0" w:type="dxa"/>
            <w:left w:w="0" w:type="dxa"/>
            <w:bottom w:w="0" w:type="dxa"/>
            <w:right w:w="0" w:type="dxa"/>
          </w:tblCellMar>
        </w:tblPrEx>
        <w:trPr>
          <w:trHeight w:val="675" w:hRule="atLeast"/>
        </w:trPr>
        <w:tc>
          <w:tcPr>
            <w:tcW w:w="0" w:type="auto"/>
            <w:vMerge w:val="continue"/>
            <w:tcBorders>
              <w:top w:val="nil"/>
              <w:left w:val="single" w:color="000000" w:sz="8" w:space="0"/>
              <w:bottom w:val="single" w:color="000000" w:sz="8" w:space="0"/>
              <w:right w:val="single" w:color="000000" w:sz="8" w:space="0"/>
            </w:tcBorders>
            <w:vAlign w:val="center"/>
          </w:tcPr>
          <w:p w14:paraId="7E9E96C0">
            <w:pPr>
              <w:rPr>
                <w:rFonts w:hint="default" w:cs="宋体" w:asciiTheme="minorEastAsia" w:hAnsiTheme="minorEastAsia" w:eastAsiaTheme="minorEastAsia"/>
                <w:color w:val="auto"/>
                <w:sz w:val="24"/>
                <w:szCs w:val="24"/>
                <w:highlight w:val="none"/>
              </w:rPr>
            </w:pPr>
          </w:p>
        </w:tc>
        <w:tc>
          <w:tcPr>
            <w:tcW w:w="616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7C50FEAC">
            <w:pP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根据反馈优化编目规范，形成适配无锡法院的编目标准得满分；未开展回访扣3分，未形成优化规范扣2分</w:t>
            </w:r>
          </w:p>
        </w:tc>
        <w:tc>
          <w:tcPr>
            <w:tcW w:w="127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163A7CA3">
            <w:pPr>
              <w:jc w:val="cente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5分</w:t>
            </w:r>
          </w:p>
        </w:tc>
        <w:tc>
          <w:tcPr>
            <w:tcW w:w="851"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108810DE">
            <w:pPr>
              <w:jc w:val="center"/>
              <w:rPr>
                <w:rFonts w:hint="default"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w:t>
            </w:r>
          </w:p>
        </w:tc>
      </w:tr>
      <w:tr w14:paraId="18FDCBD3">
        <w:tblPrEx>
          <w:tblCellMar>
            <w:top w:w="0" w:type="dxa"/>
            <w:left w:w="0" w:type="dxa"/>
            <w:bottom w:w="0" w:type="dxa"/>
            <w:right w:w="0" w:type="dxa"/>
          </w:tblCellMar>
        </w:tblPrEx>
        <w:trPr>
          <w:trHeight w:val="675" w:hRule="atLeast"/>
        </w:trPr>
        <w:tc>
          <w:tcPr>
            <w:tcW w:w="0" w:type="auto"/>
            <w:vMerge w:val="continue"/>
            <w:tcBorders>
              <w:top w:val="nil"/>
              <w:left w:val="single" w:color="000000" w:sz="8" w:space="0"/>
              <w:bottom w:val="single" w:color="000000" w:sz="8" w:space="0"/>
              <w:right w:val="single" w:color="000000" w:sz="8" w:space="0"/>
            </w:tcBorders>
            <w:vAlign w:val="center"/>
          </w:tcPr>
          <w:p w14:paraId="01647329">
            <w:pPr>
              <w:rPr>
                <w:rFonts w:hint="default" w:cs="宋体" w:asciiTheme="minorEastAsia" w:hAnsiTheme="minorEastAsia" w:eastAsiaTheme="minorEastAsia"/>
                <w:color w:val="auto"/>
                <w:sz w:val="24"/>
                <w:szCs w:val="24"/>
                <w:highlight w:val="none"/>
              </w:rPr>
            </w:pPr>
          </w:p>
        </w:tc>
        <w:tc>
          <w:tcPr>
            <w:tcW w:w="6165" w:type="dxa"/>
            <w:tcBorders>
              <w:top w:val="nil"/>
              <w:left w:val="nil"/>
              <w:bottom w:val="nil"/>
              <w:right w:val="single" w:color="000000" w:sz="8" w:space="0"/>
            </w:tcBorders>
            <w:shd w:val="clear" w:color="auto" w:fill="auto"/>
            <w:tcMar>
              <w:top w:w="15" w:type="dxa"/>
              <w:left w:w="15" w:type="dxa"/>
              <w:bottom w:w="0" w:type="dxa"/>
              <w:right w:w="15" w:type="dxa"/>
            </w:tcMar>
            <w:vAlign w:val="center"/>
          </w:tcPr>
          <w:p w14:paraId="1EDA0495">
            <w:pP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严格按照法院规范完成卷宗材料排序得满分；每出现1处排序错误扣1分，扣完为止</w:t>
            </w:r>
          </w:p>
        </w:tc>
        <w:tc>
          <w:tcPr>
            <w:tcW w:w="127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0DD496BA">
            <w:pPr>
              <w:jc w:val="cente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5分</w:t>
            </w:r>
          </w:p>
        </w:tc>
        <w:tc>
          <w:tcPr>
            <w:tcW w:w="851"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5AFF6BD8">
            <w:pPr>
              <w:jc w:val="center"/>
              <w:rPr>
                <w:rFonts w:hint="default"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w:t>
            </w:r>
          </w:p>
        </w:tc>
      </w:tr>
      <w:tr w14:paraId="3EC59A2D">
        <w:tblPrEx>
          <w:tblCellMar>
            <w:top w:w="0" w:type="dxa"/>
            <w:left w:w="0" w:type="dxa"/>
            <w:bottom w:w="0" w:type="dxa"/>
            <w:right w:w="0" w:type="dxa"/>
          </w:tblCellMar>
        </w:tblPrEx>
        <w:trPr>
          <w:trHeight w:val="345" w:hRule="atLeast"/>
        </w:trPr>
        <w:tc>
          <w:tcPr>
            <w:tcW w:w="1080" w:type="dxa"/>
            <w:vMerge w:val="restart"/>
            <w:tcBorders>
              <w:top w:val="nil"/>
              <w:left w:val="single" w:color="000000" w:sz="8" w:space="0"/>
              <w:bottom w:val="single" w:color="000000" w:sz="8" w:space="0"/>
              <w:right w:val="single" w:color="000000" w:sz="8" w:space="0"/>
            </w:tcBorders>
            <w:shd w:val="clear" w:color="auto" w:fill="auto"/>
            <w:tcMar>
              <w:top w:w="15" w:type="dxa"/>
              <w:left w:w="15" w:type="dxa"/>
              <w:bottom w:w="0" w:type="dxa"/>
              <w:right w:w="15" w:type="dxa"/>
            </w:tcMar>
            <w:vAlign w:val="center"/>
          </w:tcPr>
          <w:p w14:paraId="3151122A">
            <w:pPr>
              <w:jc w:val="cente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二、服务时效性(20分)</w:t>
            </w:r>
          </w:p>
        </w:tc>
        <w:tc>
          <w:tcPr>
            <w:tcW w:w="616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1DB82430">
            <w:pP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材料移送当日完成名称标注及质检得满分；每出现1单超时扣1分，扣完为止</w:t>
            </w:r>
          </w:p>
        </w:tc>
        <w:tc>
          <w:tcPr>
            <w:tcW w:w="127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73D8AD56">
            <w:pPr>
              <w:jc w:val="cente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6分</w:t>
            </w:r>
          </w:p>
        </w:tc>
        <w:tc>
          <w:tcPr>
            <w:tcW w:w="851"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5DFD39AE">
            <w:pPr>
              <w:jc w:val="center"/>
              <w:rPr>
                <w:rFonts w:hint="default"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w:t>
            </w:r>
          </w:p>
        </w:tc>
      </w:tr>
      <w:tr w14:paraId="05673841">
        <w:tblPrEx>
          <w:tblCellMar>
            <w:top w:w="0" w:type="dxa"/>
            <w:left w:w="0" w:type="dxa"/>
            <w:bottom w:w="0" w:type="dxa"/>
            <w:right w:w="0" w:type="dxa"/>
          </w:tblCellMar>
        </w:tblPrEx>
        <w:trPr>
          <w:trHeight w:val="345" w:hRule="atLeast"/>
        </w:trPr>
        <w:tc>
          <w:tcPr>
            <w:tcW w:w="0" w:type="auto"/>
            <w:vMerge w:val="continue"/>
            <w:tcBorders>
              <w:top w:val="nil"/>
              <w:left w:val="single" w:color="000000" w:sz="8" w:space="0"/>
              <w:bottom w:val="single" w:color="000000" w:sz="8" w:space="0"/>
              <w:right w:val="single" w:color="000000" w:sz="8" w:space="0"/>
            </w:tcBorders>
            <w:vAlign w:val="center"/>
          </w:tcPr>
          <w:p w14:paraId="54A33E62">
            <w:pPr>
              <w:rPr>
                <w:rFonts w:hint="default" w:cs="宋体" w:asciiTheme="minorEastAsia" w:hAnsiTheme="minorEastAsia" w:eastAsiaTheme="minorEastAsia"/>
                <w:color w:val="auto"/>
                <w:sz w:val="24"/>
                <w:szCs w:val="24"/>
                <w:highlight w:val="none"/>
              </w:rPr>
            </w:pPr>
          </w:p>
        </w:tc>
        <w:tc>
          <w:tcPr>
            <w:tcW w:w="6165" w:type="dxa"/>
            <w:tcBorders>
              <w:top w:val="nil"/>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49C09C66">
            <w:pP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案件材料要素信息核对24小时内完成得满分；每出现1单超时扣1分，扣完为止</w:t>
            </w:r>
          </w:p>
        </w:tc>
        <w:tc>
          <w:tcPr>
            <w:tcW w:w="127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25EA8FB0">
            <w:pPr>
              <w:jc w:val="cente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5分</w:t>
            </w:r>
          </w:p>
        </w:tc>
        <w:tc>
          <w:tcPr>
            <w:tcW w:w="851"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0ACEC880">
            <w:pPr>
              <w:jc w:val="center"/>
              <w:rPr>
                <w:rFonts w:hint="default"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w:t>
            </w:r>
          </w:p>
        </w:tc>
      </w:tr>
      <w:tr w14:paraId="5FF5BB33">
        <w:tblPrEx>
          <w:tblCellMar>
            <w:top w:w="0" w:type="dxa"/>
            <w:left w:w="0" w:type="dxa"/>
            <w:bottom w:w="0" w:type="dxa"/>
            <w:right w:w="0" w:type="dxa"/>
          </w:tblCellMar>
        </w:tblPrEx>
        <w:trPr>
          <w:trHeight w:val="675" w:hRule="atLeast"/>
        </w:trPr>
        <w:tc>
          <w:tcPr>
            <w:tcW w:w="0" w:type="auto"/>
            <w:vMerge w:val="continue"/>
            <w:tcBorders>
              <w:top w:val="nil"/>
              <w:left w:val="single" w:color="000000" w:sz="8" w:space="0"/>
              <w:bottom w:val="single" w:color="000000" w:sz="8" w:space="0"/>
              <w:right w:val="single" w:color="000000" w:sz="8" w:space="0"/>
            </w:tcBorders>
            <w:vAlign w:val="center"/>
          </w:tcPr>
          <w:p w14:paraId="63BA59B3">
            <w:pPr>
              <w:rPr>
                <w:rFonts w:hint="default" w:cs="宋体" w:asciiTheme="minorEastAsia" w:hAnsiTheme="minorEastAsia" w:eastAsiaTheme="minorEastAsia"/>
                <w:color w:val="auto"/>
                <w:sz w:val="24"/>
                <w:szCs w:val="24"/>
                <w:highlight w:val="none"/>
              </w:rPr>
            </w:pPr>
          </w:p>
        </w:tc>
        <w:tc>
          <w:tcPr>
            <w:tcW w:w="6165" w:type="dxa"/>
            <w:tcBorders>
              <w:top w:val="nil"/>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4E2223A4">
            <w:pP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法院提出的问题30分钟内响应，24小时内给出解决方案得满分；每出现1次响应超时扣2分，扣完为止</w:t>
            </w:r>
          </w:p>
        </w:tc>
        <w:tc>
          <w:tcPr>
            <w:tcW w:w="127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064C30C1">
            <w:pPr>
              <w:jc w:val="cente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5分</w:t>
            </w:r>
          </w:p>
        </w:tc>
        <w:tc>
          <w:tcPr>
            <w:tcW w:w="851"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1AB2651A">
            <w:pPr>
              <w:jc w:val="center"/>
              <w:rPr>
                <w:rFonts w:hint="default"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w:t>
            </w:r>
          </w:p>
        </w:tc>
      </w:tr>
      <w:tr w14:paraId="0B9C0A3E">
        <w:tblPrEx>
          <w:tblCellMar>
            <w:top w:w="0" w:type="dxa"/>
            <w:left w:w="0" w:type="dxa"/>
            <w:bottom w:w="0" w:type="dxa"/>
            <w:right w:w="0" w:type="dxa"/>
          </w:tblCellMar>
        </w:tblPrEx>
        <w:trPr>
          <w:trHeight w:val="345" w:hRule="atLeast"/>
        </w:trPr>
        <w:tc>
          <w:tcPr>
            <w:tcW w:w="0" w:type="auto"/>
            <w:vMerge w:val="continue"/>
            <w:tcBorders>
              <w:top w:val="nil"/>
              <w:left w:val="single" w:color="000000" w:sz="8" w:space="0"/>
              <w:bottom w:val="single" w:color="000000" w:sz="8" w:space="0"/>
              <w:right w:val="single" w:color="000000" w:sz="8" w:space="0"/>
            </w:tcBorders>
            <w:vAlign w:val="center"/>
          </w:tcPr>
          <w:p w14:paraId="06B75A2F">
            <w:pPr>
              <w:rPr>
                <w:rFonts w:hint="default" w:cs="宋体" w:asciiTheme="minorEastAsia" w:hAnsiTheme="minorEastAsia" w:eastAsiaTheme="minorEastAsia"/>
                <w:color w:val="auto"/>
                <w:sz w:val="24"/>
                <w:szCs w:val="24"/>
                <w:highlight w:val="none"/>
              </w:rPr>
            </w:pPr>
          </w:p>
        </w:tc>
        <w:tc>
          <w:tcPr>
            <w:tcW w:w="6165" w:type="dxa"/>
            <w:tcBorders>
              <w:top w:val="nil"/>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7984AFFF">
            <w:pP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抽检发现的问题当日完成整改得满分；每出现1次整改超时扣1分，扣完为止</w:t>
            </w:r>
          </w:p>
        </w:tc>
        <w:tc>
          <w:tcPr>
            <w:tcW w:w="127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5D0A5D4A">
            <w:pPr>
              <w:jc w:val="cente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4分</w:t>
            </w:r>
          </w:p>
        </w:tc>
        <w:tc>
          <w:tcPr>
            <w:tcW w:w="851"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0580030B">
            <w:pPr>
              <w:jc w:val="center"/>
              <w:rPr>
                <w:rFonts w:hint="default"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w:t>
            </w:r>
          </w:p>
        </w:tc>
      </w:tr>
      <w:tr w14:paraId="3DDC8155">
        <w:tblPrEx>
          <w:tblCellMar>
            <w:top w:w="0" w:type="dxa"/>
            <w:left w:w="0" w:type="dxa"/>
            <w:bottom w:w="0" w:type="dxa"/>
            <w:right w:w="0" w:type="dxa"/>
          </w:tblCellMar>
        </w:tblPrEx>
        <w:trPr>
          <w:trHeight w:val="675" w:hRule="atLeast"/>
        </w:trPr>
        <w:tc>
          <w:tcPr>
            <w:tcW w:w="1080" w:type="dxa"/>
            <w:vMerge w:val="restart"/>
            <w:tcBorders>
              <w:top w:val="nil"/>
              <w:left w:val="single" w:color="000000" w:sz="8" w:space="0"/>
              <w:right w:val="single" w:color="000000" w:sz="8" w:space="0"/>
            </w:tcBorders>
            <w:shd w:val="clear" w:color="auto" w:fill="auto"/>
            <w:tcMar>
              <w:top w:w="15" w:type="dxa"/>
              <w:left w:w="15" w:type="dxa"/>
              <w:bottom w:w="0" w:type="dxa"/>
              <w:right w:w="15" w:type="dxa"/>
            </w:tcMar>
            <w:vAlign w:val="center"/>
          </w:tcPr>
          <w:p w14:paraId="6C76D0FB">
            <w:pPr>
              <w:jc w:val="cente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三、人员管理(15分)</w:t>
            </w:r>
          </w:p>
          <w:p w14:paraId="5590405C">
            <w:pPr>
              <w:jc w:val="cente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w:t>
            </w:r>
          </w:p>
        </w:tc>
        <w:tc>
          <w:tcPr>
            <w:tcW w:w="616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2D3F37E3">
            <w:pP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常驻服务人员≥10名，配置项目负责人、现场主管、技术工程师得满分；人员数量不足扣2分，关键岗位缺人扣2分</w:t>
            </w:r>
          </w:p>
        </w:tc>
        <w:tc>
          <w:tcPr>
            <w:tcW w:w="127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2950FEDA">
            <w:pPr>
              <w:jc w:val="cente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4分</w:t>
            </w:r>
          </w:p>
        </w:tc>
        <w:tc>
          <w:tcPr>
            <w:tcW w:w="851"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5AB17947">
            <w:pPr>
              <w:jc w:val="center"/>
              <w:rPr>
                <w:rFonts w:hint="default"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w:t>
            </w:r>
          </w:p>
        </w:tc>
      </w:tr>
      <w:tr w14:paraId="28C3FBCD">
        <w:tblPrEx>
          <w:tblCellMar>
            <w:top w:w="0" w:type="dxa"/>
            <w:left w:w="0" w:type="dxa"/>
            <w:bottom w:w="0" w:type="dxa"/>
            <w:right w:w="0" w:type="dxa"/>
          </w:tblCellMar>
        </w:tblPrEx>
        <w:trPr>
          <w:trHeight w:val="675" w:hRule="atLeast"/>
        </w:trPr>
        <w:tc>
          <w:tcPr>
            <w:tcW w:w="0" w:type="auto"/>
            <w:vMerge w:val="continue"/>
            <w:tcBorders>
              <w:left w:val="single" w:color="000000" w:sz="8" w:space="0"/>
              <w:right w:val="single" w:color="000000" w:sz="8" w:space="0"/>
            </w:tcBorders>
            <w:vAlign w:val="center"/>
          </w:tcPr>
          <w:p w14:paraId="110B9434">
            <w:pPr>
              <w:jc w:val="center"/>
              <w:rPr>
                <w:rFonts w:hint="default" w:cs="宋体" w:asciiTheme="minorEastAsia" w:hAnsiTheme="minorEastAsia" w:eastAsiaTheme="minorEastAsia"/>
                <w:color w:val="auto"/>
                <w:sz w:val="24"/>
                <w:szCs w:val="24"/>
                <w:highlight w:val="none"/>
              </w:rPr>
            </w:pPr>
          </w:p>
        </w:tc>
        <w:tc>
          <w:tcPr>
            <w:tcW w:w="616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0CF8310A">
            <w:pP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考核周期内核心岗位人员无擅自更换得满分；擅自更换每人次扣2分，普通人员流失率≥20%扣1分</w:t>
            </w:r>
          </w:p>
        </w:tc>
        <w:tc>
          <w:tcPr>
            <w:tcW w:w="127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20CB943E">
            <w:pPr>
              <w:jc w:val="cente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3分</w:t>
            </w:r>
          </w:p>
        </w:tc>
        <w:tc>
          <w:tcPr>
            <w:tcW w:w="851"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203D5B19">
            <w:pPr>
              <w:jc w:val="center"/>
              <w:rPr>
                <w:rFonts w:hint="default"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w:t>
            </w:r>
          </w:p>
        </w:tc>
      </w:tr>
      <w:tr w14:paraId="5CC75A9F">
        <w:tblPrEx>
          <w:tblCellMar>
            <w:top w:w="0" w:type="dxa"/>
            <w:left w:w="0" w:type="dxa"/>
            <w:bottom w:w="0" w:type="dxa"/>
            <w:right w:w="0" w:type="dxa"/>
          </w:tblCellMar>
        </w:tblPrEx>
        <w:trPr>
          <w:trHeight w:val="675" w:hRule="atLeast"/>
        </w:trPr>
        <w:tc>
          <w:tcPr>
            <w:tcW w:w="0" w:type="auto"/>
            <w:vMerge w:val="continue"/>
            <w:tcBorders>
              <w:left w:val="single" w:color="000000" w:sz="8" w:space="0"/>
              <w:right w:val="single" w:color="000000" w:sz="8" w:space="0"/>
            </w:tcBorders>
            <w:vAlign w:val="center"/>
          </w:tcPr>
          <w:p w14:paraId="5BF5A82F">
            <w:pPr>
              <w:jc w:val="center"/>
              <w:rPr>
                <w:rFonts w:hint="default" w:cs="宋体" w:asciiTheme="minorEastAsia" w:hAnsiTheme="minorEastAsia" w:eastAsiaTheme="minorEastAsia"/>
                <w:color w:val="auto"/>
                <w:sz w:val="24"/>
                <w:szCs w:val="24"/>
                <w:highlight w:val="none"/>
              </w:rPr>
            </w:pPr>
          </w:p>
        </w:tc>
        <w:tc>
          <w:tcPr>
            <w:tcW w:w="616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77E0C80E">
            <w:pP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按要求完成内部培训、法院端培训，人员熟悉业务流程及系统操作得满分；未按计划培训扣2分，人员考核不合格扣1分</w:t>
            </w:r>
          </w:p>
        </w:tc>
        <w:tc>
          <w:tcPr>
            <w:tcW w:w="127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079F3A14">
            <w:pPr>
              <w:jc w:val="cente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3分</w:t>
            </w:r>
          </w:p>
        </w:tc>
        <w:tc>
          <w:tcPr>
            <w:tcW w:w="851"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45DE03AF">
            <w:pPr>
              <w:jc w:val="center"/>
              <w:rPr>
                <w:rFonts w:hint="default"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w:t>
            </w:r>
          </w:p>
        </w:tc>
      </w:tr>
      <w:tr w14:paraId="38A6948E">
        <w:tblPrEx>
          <w:tblCellMar>
            <w:top w:w="0" w:type="dxa"/>
            <w:left w:w="0" w:type="dxa"/>
            <w:bottom w:w="0" w:type="dxa"/>
            <w:right w:w="0" w:type="dxa"/>
          </w:tblCellMar>
        </w:tblPrEx>
        <w:trPr>
          <w:trHeight w:val="675" w:hRule="atLeast"/>
        </w:trPr>
        <w:tc>
          <w:tcPr>
            <w:tcW w:w="1080" w:type="dxa"/>
            <w:vMerge w:val="continue"/>
            <w:tcBorders>
              <w:left w:val="single" w:color="000000" w:sz="8" w:space="0"/>
              <w:right w:val="single" w:color="000000" w:sz="8" w:space="0"/>
            </w:tcBorders>
            <w:shd w:val="clear" w:color="auto" w:fill="auto"/>
            <w:tcMar>
              <w:top w:w="15" w:type="dxa"/>
              <w:left w:w="15" w:type="dxa"/>
              <w:bottom w:w="0" w:type="dxa"/>
              <w:right w:w="15" w:type="dxa"/>
            </w:tcMar>
            <w:vAlign w:val="center"/>
          </w:tcPr>
          <w:p w14:paraId="7DFE2295">
            <w:pPr>
              <w:jc w:val="center"/>
              <w:rPr>
                <w:rFonts w:hint="default" w:cs="宋体" w:asciiTheme="minorEastAsia" w:hAnsiTheme="minorEastAsia" w:eastAsiaTheme="minorEastAsia"/>
                <w:color w:val="auto"/>
                <w:sz w:val="24"/>
                <w:szCs w:val="24"/>
                <w:highlight w:val="none"/>
              </w:rPr>
            </w:pPr>
          </w:p>
        </w:tc>
        <w:tc>
          <w:tcPr>
            <w:tcW w:w="616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4EB72835">
            <w:pP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严格执行考勤制度，人员准时到岗得满分；每出现1人次迟到早退扣0.5分，旷工扣1分，扣完为止</w:t>
            </w:r>
          </w:p>
        </w:tc>
        <w:tc>
          <w:tcPr>
            <w:tcW w:w="127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3B2F6769">
            <w:pPr>
              <w:jc w:val="cente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3分</w:t>
            </w:r>
          </w:p>
        </w:tc>
        <w:tc>
          <w:tcPr>
            <w:tcW w:w="851"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4FD169FB">
            <w:pPr>
              <w:jc w:val="center"/>
              <w:rPr>
                <w:rFonts w:hint="default"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w:t>
            </w:r>
          </w:p>
        </w:tc>
      </w:tr>
      <w:tr w14:paraId="5C3696AE">
        <w:tblPrEx>
          <w:tblCellMar>
            <w:top w:w="0" w:type="dxa"/>
            <w:left w:w="0" w:type="dxa"/>
            <w:bottom w:w="0" w:type="dxa"/>
            <w:right w:w="0" w:type="dxa"/>
          </w:tblCellMar>
        </w:tblPrEx>
        <w:trPr>
          <w:trHeight w:val="675" w:hRule="atLeast"/>
        </w:trPr>
        <w:tc>
          <w:tcPr>
            <w:tcW w:w="0" w:type="auto"/>
            <w:vMerge w:val="continue"/>
            <w:tcBorders>
              <w:left w:val="single" w:color="000000" w:sz="8" w:space="0"/>
              <w:bottom w:val="single" w:color="000000" w:sz="8" w:space="0"/>
              <w:right w:val="single" w:color="000000" w:sz="8" w:space="0"/>
            </w:tcBorders>
            <w:vAlign w:val="center"/>
          </w:tcPr>
          <w:p w14:paraId="6CD5C0C0">
            <w:pPr>
              <w:rPr>
                <w:rFonts w:hint="default" w:cs="宋体" w:asciiTheme="minorEastAsia" w:hAnsiTheme="minorEastAsia" w:eastAsiaTheme="minorEastAsia"/>
                <w:color w:val="auto"/>
                <w:sz w:val="24"/>
                <w:szCs w:val="24"/>
                <w:highlight w:val="none"/>
              </w:rPr>
            </w:pPr>
          </w:p>
        </w:tc>
        <w:tc>
          <w:tcPr>
            <w:tcW w:w="616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444440A9">
            <w:pP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建立人员考核机制，不合格人员按要求及时替换得满分；未建立考核机制扣1分，不合格人员未及时替换扣1分</w:t>
            </w:r>
          </w:p>
        </w:tc>
        <w:tc>
          <w:tcPr>
            <w:tcW w:w="127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08B6E8E4">
            <w:pPr>
              <w:jc w:val="cente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2分</w:t>
            </w:r>
          </w:p>
        </w:tc>
        <w:tc>
          <w:tcPr>
            <w:tcW w:w="851"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2EDDA203">
            <w:pPr>
              <w:jc w:val="center"/>
              <w:rPr>
                <w:rFonts w:hint="default"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w:t>
            </w:r>
          </w:p>
        </w:tc>
      </w:tr>
      <w:tr w14:paraId="42FDD7C2">
        <w:tblPrEx>
          <w:tblCellMar>
            <w:top w:w="0" w:type="dxa"/>
            <w:left w:w="0" w:type="dxa"/>
            <w:bottom w:w="0" w:type="dxa"/>
            <w:right w:w="0" w:type="dxa"/>
          </w:tblCellMar>
        </w:tblPrEx>
        <w:trPr>
          <w:trHeight w:val="675" w:hRule="atLeast"/>
        </w:trPr>
        <w:tc>
          <w:tcPr>
            <w:tcW w:w="1080" w:type="dxa"/>
            <w:vMerge w:val="restart"/>
            <w:tcBorders>
              <w:top w:val="nil"/>
              <w:left w:val="single" w:color="000000" w:sz="8" w:space="0"/>
              <w:bottom w:val="single" w:color="000000" w:sz="8" w:space="0"/>
              <w:right w:val="single" w:color="000000" w:sz="8" w:space="0"/>
            </w:tcBorders>
            <w:shd w:val="clear" w:color="auto" w:fill="auto"/>
            <w:tcMar>
              <w:top w:w="15" w:type="dxa"/>
              <w:left w:w="15" w:type="dxa"/>
              <w:bottom w:w="0" w:type="dxa"/>
              <w:right w:w="15" w:type="dxa"/>
            </w:tcMar>
            <w:vAlign w:val="center"/>
          </w:tcPr>
          <w:p w14:paraId="2061537D">
            <w:pPr>
              <w:jc w:val="cente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四、安全保密(10分)</w:t>
            </w:r>
          </w:p>
        </w:tc>
        <w:tc>
          <w:tcPr>
            <w:tcW w:w="616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25C36B0F">
            <w:pP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严格遵守国家保密法规及法院保密规定，签订保密协议得满分；未执行保密制度扣3分</w:t>
            </w:r>
          </w:p>
        </w:tc>
        <w:tc>
          <w:tcPr>
            <w:tcW w:w="127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1FE0DB5E">
            <w:pPr>
              <w:jc w:val="cente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3分</w:t>
            </w:r>
          </w:p>
        </w:tc>
        <w:tc>
          <w:tcPr>
            <w:tcW w:w="851"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27E80D34">
            <w:pPr>
              <w:jc w:val="center"/>
              <w:rPr>
                <w:rFonts w:hint="default"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w:t>
            </w:r>
          </w:p>
        </w:tc>
      </w:tr>
      <w:tr w14:paraId="3D87F6F6">
        <w:tblPrEx>
          <w:tblCellMar>
            <w:top w:w="0" w:type="dxa"/>
            <w:left w:w="0" w:type="dxa"/>
            <w:bottom w:w="0" w:type="dxa"/>
            <w:right w:w="0" w:type="dxa"/>
          </w:tblCellMar>
        </w:tblPrEx>
        <w:trPr>
          <w:trHeight w:val="675" w:hRule="atLeast"/>
        </w:trPr>
        <w:tc>
          <w:tcPr>
            <w:tcW w:w="0" w:type="auto"/>
            <w:vMerge w:val="continue"/>
            <w:tcBorders>
              <w:top w:val="nil"/>
              <w:left w:val="single" w:color="000000" w:sz="8" w:space="0"/>
              <w:bottom w:val="single" w:color="000000" w:sz="8" w:space="0"/>
              <w:right w:val="single" w:color="000000" w:sz="8" w:space="0"/>
            </w:tcBorders>
            <w:vAlign w:val="center"/>
          </w:tcPr>
          <w:p w14:paraId="77754628">
            <w:pPr>
              <w:rPr>
                <w:rFonts w:hint="default" w:cs="宋体" w:asciiTheme="minorEastAsia" w:hAnsiTheme="minorEastAsia" w:eastAsiaTheme="minorEastAsia"/>
                <w:color w:val="auto"/>
                <w:sz w:val="24"/>
                <w:szCs w:val="24"/>
                <w:highlight w:val="none"/>
              </w:rPr>
            </w:pPr>
          </w:p>
        </w:tc>
        <w:tc>
          <w:tcPr>
            <w:tcW w:w="616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7E89D35A">
            <w:pP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无卷宗遗失、损坏，无数据泄露、违规复制得满分；出现卷宗损坏扣2分，出现数据泄露本项不得分</w:t>
            </w:r>
          </w:p>
        </w:tc>
        <w:tc>
          <w:tcPr>
            <w:tcW w:w="127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4F01A5BF">
            <w:pPr>
              <w:jc w:val="cente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3分</w:t>
            </w:r>
          </w:p>
        </w:tc>
        <w:tc>
          <w:tcPr>
            <w:tcW w:w="851"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6E0060C0">
            <w:pPr>
              <w:jc w:val="center"/>
              <w:rPr>
                <w:rFonts w:hint="default"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w:t>
            </w:r>
          </w:p>
        </w:tc>
      </w:tr>
      <w:tr w14:paraId="446BFD76">
        <w:tblPrEx>
          <w:tblCellMar>
            <w:top w:w="0" w:type="dxa"/>
            <w:left w:w="0" w:type="dxa"/>
            <w:bottom w:w="0" w:type="dxa"/>
            <w:right w:w="0" w:type="dxa"/>
          </w:tblCellMar>
        </w:tblPrEx>
        <w:trPr>
          <w:trHeight w:val="675" w:hRule="atLeast"/>
        </w:trPr>
        <w:tc>
          <w:tcPr>
            <w:tcW w:w="0" w:type="auto"/>
            <w:vMerge w:val="continue"/>
            <w:tcBorders>
              <w:top w:val="nil"/>
              <w:left w:val="single" w:color="000000" w:sz="8" w:space="0"/>
              <w:bottom w:val="single" w:color="000000" w:sz="8" w:space="0"/>
              <w:right w:val="single" w:color="000000" w:sz="8" w:space="0"/>
            </w:tcBorders>
            <w:vAlign w:val="center"/>
          </w:tcPr>
          <w:p w14:paraId="41B4E947">
            <w:pPr>
              <w:rPr>
                <w:rFonts w:hint="default" w:cs="宋体" w:asciiTheme="minorEastAsia" w:hAnsiTheme="minorEastAsia" w:eastAsiaTheme="minorEastAsia"/>
                <w:color w:val="auto"/>
                <w:sz w:val="24"/>
                <w:szCs w:val="24"/>
                <w:highlight w:val="none"/>
              </w:rPr>
            </w:pPr>
          </w:p>
        </w:tc>
        <w:tc>
          <w:tcPr>
            <w:tcW w:w="616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4A0BFE2F">
            <w:pP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严格执行场所进出管理规定，无违规携带物品进出工作区得满分；每出现1次违规扣1分，扣完为止</w:t>
            </w:r>
          </w:p>
        </w:tc>
        <w:tc>
          <w:tcPr>
            <w:tcW w:w="127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38B61B14">
            <w:pPr>
              <w:jc w:val="cente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2分</w:t>
            </w:r>
          </w:p>
        </w:tc>
        <w:tc>
          <w:tcPr>
            <w:tcW w:w="851"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7A2474FE">
            <w:pPr>
              <w:jc w:val="center"/>
              <w:rPr>
                <w:rFonts w:hint="default"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w:t>
            </w:r>
          </w:p>
        </w:tc>
      </w:tr>
      <w:tr w14:paraId="78DB0B5D">
        <w:tblPrEx>
          <w:tblCellMar>
            <w:top w:w="0" w:type="dxa"/>
            <w:left w:w="0" w:type="dxa"/>
            <w:bottom w:w="0" w:type="dxa"/>
            <w:right w:w="0" w:type="dxa"/>
          </w:tblCellMar>
        </w:tblPrEx>
        <w:trPr>
          <w:trHeight w:val="675" w:hRule="atLeast"/>
        </w:trPr>
        <w:tc>
          <w:tcPr>
            <w:tcW w:w="0" w:type="auto"/>
            <w:vMerge w:val="continue"/>
            <w:tcBorders>
              <w:top w:val="nil"/>
              <w:left w:val="single" w:color="000000" w:sz="8" w:space="0"/>
              <w:bottom w:val="single" w:color="000000" w:sz="8" w:space="0"/>
              <w:right w:val="single" w:color="000000" w:sz="8" w:space="0"/>
            </w:tcBorders>
            <w:vAlign w:val="center"/>
          </w:tcPr>
          <w:p w14:paraId="30DD3343">
            <w:pPr>
              <w:rPr>
                <w:rFonts w:hint="default" w:cs="宋体" w:asciiTheme="minorEastAsia" w:hAnsiTheme="minorEastAsia" w:eastAsiaTheme="minorEastAsia"/>
                <w:color w:val="auto"/>
                <w:sz w:val="24"/>
                <w:szCs w:val="24"/>
                <w:highlight w:val="none"/>
              </w:rPr>
            </w:pPr>
          </w:p>
        </w:tc>
        <w:tc>
          <w:tcPr>
            <w:tcW w:w="616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093B8B2A">
            <w:pP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定期开展保密培训，人员持有有效保密教育培训证书得满分；未开展培训扣1分，人员证书不全扣1分</w:t>
            </w:r>
          </w:p>
        </w:tc>
        <w:tc>
          <w:tcPr>
            <w:tcW w:w="127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1218B741">
            <w:pPr>
              <w:jc w:val="cente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2分</w:t>
            </w:r>
          </w:p>
        </w:tc>
        <w:tc>
          <w:tcPr>
            <w:tcW w:w="851"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788EC6C2">
            <w:pPr>
              <w:jc w:val="center"/>
              <w:rPr>
                <w:rFonts w:hint="default"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w:t>
            </w:r>
          </w:p>
        </w:tc>
      </w:tr>
      <w:tr w14:paraId="5A5AAE78">
        <w:tblPrEx>
          <w:tblCellMar>
            <w:top w:w="0" w:type="dxa"/>
            <w:left w:w="0" w:type="dxa"/>
            <w:bottom w:w="0" w:type="dxa"/>
            <w:right w:w="0" w:type="dxa"/>
          </w:tblCellMar>
        </w:tblPrEx>
        <w:trPr>
          <w:trHeight w:val="675" w:hRule="atLeast"/>
        </w:trPr>
        <w:tc>
          <w:tcPr>
            <w:tcW w:w="1080" w:type="dxa"/>
            <w:vMerge w:val="restart"/>
            <w:tcBorders>
              <w:top w:val="nil"/>
              <w:left w:val="single" w:color="000000" w:sz="8" w:space="0"/>
              <w:bottom w:val="single" w:color="000000" w:sz="8" w:space="0"/>
              <w:right w:val="single" w:color="000000" w:sz="8" w:space="0"/>
            </w:tcBorders>
            <w:shd w:val="clear" w:color="auto" w:fill="auto"/>
            <w:tcMar>
              <w:top w:w="15" w:type="dxa"/>
              <w:left w:w="15" w:type="dxa"/>
              <w:bottom w:w="0" w:type="dxa"/>
              <w:right w:w="15" w:type="dxa"/>
            </w:tcMar>
            <w:vAlign w:val="center"/>
          </w:tcPr>
          <w:p w14:paraId="3ACFDB00">
            <w:pPr>
              <w:jc w:val="cente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五、系统与配套服务(10分)</w:t>
            </w:r>
          </w:p>
        </w:tc>
        <w:tc>
          <w:tcPr>
            <w:tcW w:w="616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5A9B2F36">
            <w:pP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编目系统与法院现有业务系统无缝对接，性能满足要求得满分；系统对接异常扣2分，性能不达标扣2分</w:t>
            </w:r>
          </w:p>
        </w:tc>
        <w:tc>
          <w:tcPr>
            <w:tcW w:w="127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51B10202">
            <w:pPr>
              <w:jc w:val="cente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4分</w:t>
            </w:r>
          </w:p>
        </w:tc>
        <w:tc>
          <w:tcPr>
            <w:tcW w:w="851"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332232AB">
            <w:pPr>
              <w:jc w:val="center"/>
              <w:rPr>
                <w:rFonts w:hint="default"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w:t>
            </w:r>
          </w:p>
        </w:tc>
      </w:tr>
      <w:tr w14:paraId="52F43963">
        <w:tblPrEx>
          <w:tblCellMar>
            <w:top w:w="0" w:type="dxa"/>
            <w:left w:w="0" w:type="dxa"/>
            <w:bottom w:w="0" w:type="dxa"/>
            <w:right w:w="0" w:type="dxa"/>
          </w:tblCellMar>
        </w:tblPrEx>
        <w:trPr>
          <w:trHeight w:val="675" w:hRule="atLeast"/>
        </w:trPr>
        <w:tc>
          <w:tcPr>
            <w:tcW w:w="0" w:type="auto"/>
            <w:vMerge w:val="continue"/>
            <w:tcBorders>
              <w:top w:val="nil"/>
              <w:left w:val="single" w:color="000000" w:sz="8" w:space="0"/>
              <w:bottom w:val="single" w:color="000000" w:sz="8" w:space="0"/>
              <w:right w:val="single" w:color="000000" w:sz="8" w:space="0"/>
            </w:tcBorders>
            <w:vAlign w:val="center"/>
          </w:tcPr>
          <w:p w14:paraId="397027C6">
            <w:pPr>
              <w:rPr>
                <w:rFonts w:hint="default" w:cs="宋体" w:asciiTheme="minorEastAsia" w:hAnsiTheme="minorEastAsia" w:eastAsiaTheme="minorEastAsia"/>
                <w:color w:val="auto"/>
                <w:sz w:val="24"/>
                <w:szCs w:val="24"/>
                <w:highlight w:val="none"/>
              </w:rPr>
            </w:pPr>
          </w:p>
        </w:tc>
        <w:tc>
          <w:tcPr>
            <w:tcW w:w="616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60E2C368">
            <w:pP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可视化平台完整实现合同约定的统计、展示、预警功能得满分；每缺失1项核心功能扣1分，扣完为止</w:t>
            </w:r>
          </w:p>
        </w:tc>
        <w:tc>
          <w:tcPr>
            <w:tcW w:w="127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0ABDB964">
            <w:pPr>
              <w:jc w:val="cente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3分</w:t>
            </w:r>
          </w:p>
        </w:tc>
        <w:tc>
          <w:tcPr>
            <w:tcW w:w="851"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1A8AD9C9">
            <w:pPr>
              <w:jc w:val="center"/>
              <w:rPr>
                <w:rFonts w:hint="default"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w:t>
            </w:r>
          </w:p>
        </w:tc>
      </w:tr>
      <w:tr w14:paraId="518AB779">
        <w:tblPrEx>
          <w:tblCellMar>
            <w:top w:w="0" w:type="dxa"/>
            <w:left w:w="0" w:type="dxa"/>
            <w:bottom w:w="0" w:type="dxa"/>
            <w:right w:w="0" w:type="dxa"/>
          </w:tblCellMar>
        </w:tblPrEx>
        <w:trPr>
          <w:trHeight w:val="675" w:hRule="atLeast"/>
        </w:trPr>
        <w:tc>
          <w:tcPr>
            <w:tcW w:w="0" w:type="auto"/>
            <w:vMerge w:val="continue"/>
            <w:tcBorders>
              <w:top w:val="nil"/>
              <w:left w:val="single" w:color="000000" w:sz="8" w:space="0"/>
              <w:bottom w:val="single" w:color="000000" w:sz="8" w:space="0"/>
              <w:right w:val="single" w:color="000000" w:sz="8" w:space="0"/>
            </w:tcBorders>
            <w:vAlign w:val="center"/>
          </w:tcPr>
          <w:p w14:paraId="209033A4">
            <w:pPr>
              <w:rPr>
                <w:rFonts w:hint="default" w:cs="宋体" w:asciiTheme="minorEastAsia" w:hAnsiTheme="minorEastAsia" w:eastAsiaTheme="minorEastAsia"/>
                <w:color w:val="auto"/>
                <w:sz w:val="24"/>
                <w:szCs w:val="24"/>
                <w:highlight w:val="none"/>
              </w:rPr>
            </w:pPr>
          </w:p>
        </w:tc>
        <w:tc>
          <w:tcPr>
            <w:tcW w:w="616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6E28705D">
            <w:pP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提供7×24小时技术支持，问题及时解决得满分；每出现1次技术支持响应不及时扣1分，扣完为止</w:t>
            </w:r>
          </w:p>
        </w:tc>
        <w:tc>
          <w:tcPr>
            <w:tcW w:w="127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1E822DBA">
            <w:pPr>
              <w:jc w:val="cente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3分</w:t>
            </w:r>
          </w:p>
        </w:tc>
        <w:tc>
          <w:tcPr>
            <w:tcW w:w="851"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5038EF26">
            <w:pPr>
              <w:jc w:val="center"/>
              <w:rPr>
                <w:rFonts w:hint="default"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w:t>
            </w:r>
          </w:p>
        </w:tc>
      </w:tr>
      <w:tr w14:paraId="20A314E1">
        <w:tblPrEx>
          <w:tblCellMar>
            <w:top w:w="0" w:type="dxa"/>
            <w:left w:w="0" w:type="dxa"/>
            <w:bottom w:w="0" w:type="dxa"/>
            <w:right w:w="0" w:type="dxa"/>
          </w:tblCellMar>
        </w:tblPrEx>
        <w:trPr>
          <w:trHeight w:val="675" w:hRule="atLeast"/>
        </w:trPr>
        <w:tc>
          <w:tcPr>
            <w:tcW w:w="1080" w:type="dxa"/>
            <w:vMerge w:val="restart"/>
            <w:tcBorders>
              <w:top w:val="nil"/>
              <w:left w:val="single" w:color="auto" w:sz="4" w:space="0"/>
              <w:bottom w:val="single" w:color="000000" w:sz="8" w:space="0"/>
              <w:right w:val="single" w:color="000000" w:sz="8" w:space="0"/>
            </w:tcBorders>
            <w:shd w:val="clear" w:color="auto" w:fill="auto"/>
            <w:tcMar>
              <w:top w:w="15" w:type="dxa"/>
              <w:left w:w="15" w:type="dxa"/>
              <w:bottom w:w="0" w:type="dxa"/>
              <w:right w:w="15" w:type="dxa"/>
            </w:tcMar>
            <w:vAlign w:val="center"/>
          </w:tcPr>
          <w:p w14:paraId="1FE46539">
            <w:pPr>
              <w:jc w:val="cente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六、履约与服务保障(5分)</w:t>
            </w:r>
          </w:p>
        </w:tc>
        <w:tc>
          <w:tcPr>
            <w:tcW w:w="616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296651F2">
            <w:pP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按要求完成法院人员培训，确保相关人员熟练操作得满分；未按要求完成培训扣2分</w:t>
            </w:r>
          </w:p>
        </w:tc>
        <w:tc>
          <w:tcPr>
            <w:tcW w:w="127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63021872">
            <w:pPr>
              <w:jc w:val="cente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2分</w:t>
            </w:r>
          </w:p>
        </w:tc>
        <w:tc>
          <w:tcPr>
            <w:tcW w:w="851"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73BD18F4">
            <w:pPr>
              <w:jc w:val="center"/>
              <w:rPr>
                <w:rFonts w:hint="default"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w:t>
            </w:r>
          </w:p>
        </w:tc>
      </w:tr>
      <w:tr w14:paraId="36F4C7FB">
        <w:tblPrEx>
          <w:tblCellMar>
            <w:top w:w="0" w:type="dxa"/>
            <w:left w:w="0" w:type="dxa"/>
            <w:bottom w:w="0" w:type="dxa"/>
            <w:right w:w="0" w:type="dxa"/>
          </w:tblCellMar>
        </w:tblPrEx>
        <w:trPr>
          <w:trHeight w:val="675" w:hRule="atLeast"/>
        </w:trPr>
        <w:tc>
          <w:tcPr>
            <w:tcW w:w="0" w:type="auto"/>
            <w:vMerge w:val="continue"/>
            <w:tcBorders>
              <w:top w:val="nil"/>
              <w:left w:val="single" w:color="auto" w:sz="4" w:space="0"/>
              <w:bottom w:val="single" w:color="000000" w:sz="8" w:space="0"/>
              <w:right w:val="single" w:color="000000" w:sz="8" w:space="0"/>
            </w:tcBorders>
            <w:vAlign w:val="center"/>
          </w:tcPr>
          <w:p w14:paraId="3F920780">
            <w:pPr>
              <w:rPr>
                <w:rFonts w:hint="default" w:cs="宋体" w:asciiTheme="minorEastAsia" w:hAnsiTheme="minorEastAsia" w:eastAsiaTheme="minorEastAsia"/>
                <w:color w:val="auto"/>
                <w:sz w:val="24"/>
                <w:szCs w:val="24"/>
                <w:highlight w:val="none"/>
              </w:rPr>
            </w:pPr>
          </w:p>
        </w:tc>
        <w:tc>
          <w:tcPr>
            <w:tcW w:w="616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70BE416A">
            <w:pP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建立应急处理机制，及时处置突发情况得满分；未建立应急机制扣1分，应急处置不当扣1分</w:t>
            </w:r>
          </w:p>
        </w:tc>
        <w:tc>
          <w:tcPr>
            <w:tcW w:w="127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36F8DAD6">
            <w:pPr>
              <w:jc w:val="cente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2分</w:t>
            </w:r>
          </w:p>
        </w:tc>
        <w:tc>
          <w:tcPr>
            <w:tcW w:w="851"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2DA7E7CB">
            <w:pPr>
              <w:jc w:val="center"/>
              <w:rPr>
                <w:rFonts w:hint="default"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w:t>
            </w:r>
          </w:p>
        </w:tc>
      </w:tr>
      <w:tr w14:paraId="0D09D7FA">
        <w:tblPrEx>
          <w:tblCellMar>
            <w:top w:w="0" w:type="dxa"/>
            <w:left w:w="0" w:type="dxa"/>
            <w:bottom w:w="0" w:type="dxa"/>
            <w:right w:w="0" w:type="dxa"/>
          </w:tblCellMar>
        </w:tblPrEx>
        <w:trPr>
          <w:trHeight w:val="345" w:hRule="atLeast"/>
        </w:trPr>
        <w:tc>
          <w:tcPr>
            <w:tcW w:w="0" w:type="auto"/>
            <w:vMerge w:val="continue"/>
            <w:tcBorders>
              <w:top w:val="nil"/>
              <w:left w:val="single" w:color="auto" w:sz="4" w:space="0"/>
              <w:bottom w:val="single" w:color="000000" w:sz="8" w:space="0"/>
              <w:right w:val="single" w:color="000000" w:sz="8" w:space="0"/>
            </w:tcBorders>
            <w:vAlign w:val="center"/>
          </w:tcPr>
          <w:p w14:paraId="57454683">
            <w:pPr>
              <w:rPr>
                <w:rFonts w:hint="default" w:cs="宋体" w:asciiTheme="minorEastAsia" w:hAnsiTheme="minorEastAsia" w:eastAsiaTheme="minorEastAsia"/>
                <w:color w:val="auto"/>
                <w:sz w:val="24"/>
                <w:szCs w:val="24"/>
                <w:highlight w:val="none"/>
              </w:rPr>
            </w:pPr>
          </w:p>
        </w:tc>
        <w:tc>
          <w:tcPr>
            <w:tcW w:w="616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23BBA220">
            <w:pP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积极配合法院各项工作，无推诿扯皮得满分；出现1次不配合扣1分</w:t>
            </w:r>
          </w:p>
        </w:tc>
        <w:tc>
          <w:tcPr>
            <w:tcW w:w="127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0FA0427B">
            <w:pPr>
              <w:jc w:val="center"/>
              <w:rPr>
                <w:rFonts w:hint="default"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1分</w:t>
            </w:r>
          </w:p>
        </w:tc>
        <w:tc>
          <w:tcPr>
            <w:tcW w:w="851"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21DEC71E">
            <w:pPr>
              <w:jc w:val="center"/>
              <w:rPr>
                <w:rFonts w:hint="default" w:ascii="微软雅黑" w:hAnsi="微软雅黑" w:eastAsia="微软雅黑" w:cs="宋体"/>
                <w:color w:val="auto"/>
                <w:sz w:val="20"/>
                <w:szCs w:val="20"/>
                <w:highlight w:val="none"/>
              </w:rPr>
            </w:pPr>
            <w:r>
              <w:rPr>
                <w:rFonts w:hint="eastAsia" w:ascii="微软雅黑" w:hAnsi="微软雅黑" w:eastAsia="微软雅黑"/>
                <w:color w:val="auto"/>
                <w:sz w:val="20"/>
                <w:szCs w:val="20"/>
                <w:highlight w:val="none"/>
              </w:rPr>
              <w:t>　</w:t>
            </w:r>
          </w:p>
        </w:tc>
      </w:tr>
      <w:tr w14:paraId="62956BDF">
        <w:tblPrEx>
          <w:tblCellMar>
            <w:top w:w="0" w:type="dxa"/>
            <w:left w:w="0" w:type="dxa"/>
            <w:bottom w:w="0" w:type="dxa"/>
            <w:right w:w="0" w:type="dxa"/>
          </w:tblCellMar>
        </w:tblPrEx>
        <w:trPr>
          <w:trHeight w:val="315" w:hRule="atLeast"/>
        </w:trPr>
        <w:tc>
          <w:tcPr>
            <w:tcW w:w="7245" w:type="dxa"/>
            <w:gridSpan w:val="2"/>
            <w:tcBorders>
              <w:top w:val="single" w:color="000000" w:sz="8" w:space="0"/>
              <w:left w:val="single" w:color="auto" w:sz="4" w:space="0"/>
              <w:bottom w:val="single" w:color="000000" w:sz="8" w:space="0"/>
              <w:right w:val="single" w:color="000000" w:sz="8" w:space="0"/>
            </w:tcBorders>
            <w:shd w:val="clear" w:color="auto" w:fill="auto"/>
            <w:tcMar>
              <w:top w:w="15" w:type="dxa"/>
              <w:left w:w="15" w:type="dxa"/>
              <w:bottom w:w="0" w:type="dxa"/>
              <w:right w:w="15" w:type="dxa"/>
            </w:tcMar>
            <w:vAlign w:val="center"/>
          </w:tcPr>
          <w:p w14:paraId="4CFB28D0">
            <w:pPr>
              <w:rPr>
                <w:rFonts w:hint="default" w:cs="宋体"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w:t>
            </w:r>
            <w:r>
              <w:rPr>
                <w:rFonts w:hint="eastAsia" w:asciiTheme="minorEastAsia" w:hAnsiTheme="minorEastAsia" w:eastAsiaTheme="minorEastAsia"/>
                <w:color w:val="auto"/>
                <w:sz w:val="24"/>
                <w:szCs w:val="24"/>
                <w:highlight w:val="none"/>
              </w:rPr>
              <w:t>备注：甲方对于日常例行检查中发现的问题，以书面形式向中标供应商提出整改要求，经双方确认后，作为考核的依据之一。如得分低于90分（不含），视为乙方不合格，扣年度合同价款的10%，且采购人有权解除合同。</w:t>
            </w:r>
          </w:p>
        </w:tc>
        <w:tc>
          <w:tcPr>
            <w:tcW w:w="1275"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0AB59EAC">
            <w:pPr>
              <w:rPr>
                <w:rFonts w:hint="default" w:cs="宋体"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100分</w:t>
            </w:r>
          </w:p>
        </w:tc>
        <w:tc>
          <w:tcPr>
            <w:tcW w:w="851" w:type="dxa"/>
            <w:tcBorders>
              <w:top w:val="nil"/>
              <w:left w:val="nil"/>
              <w:bottom w:val="single" w:color="000000" w:sz="8" w:space="0"/>
              <w:right w:val="single" w:color="000000" w:sz="8" w:space="0"/>
            </w:tcBorders>
            <w:shd w:val="clear" w:color="auto" w:fill="auto"/>
            <w:tcMar>
              <w:top w:w="15" w:type="dxa"/>
              <w:left w:w="15" w:type="dxa"/>
              <w:bottom w:w="0" w:type="dxa"/>
              <w:right w:w="15" w:type="dxa"/>
            </w:tcMar>
            <w:vAlign w:val="center"/>
          </w:tcPr>
          <w:p w14:paraId="137C0A9D">
            <w:pPr>
              <w:rPr>
                <w:rFonts w:hint="default" w:ascii="微软雅黑" w:hAnsi="微软雅黑" w:eastAsia="微软雅黑" w:cs="宋体"/>
                <w:b/>
                <w:bCs/>
                <w:color w:val="auto"/>
                <w:sz w:val="22"/>
                <w:szCs w:val="22"/>
                <w:highlight w:val="none"/>
              </w:rPr>
            </w:pPr>
            <w:r>
              <w:rPr>
                <w:rFonts w:hint="eastAsia" w:ascii="微软雅黑" w:hAnsi="微软雅黑" w:eastAsia="微软雅黑"/>
                <w:b/>
                <w:bCs/>
                <w:color w:val="auto"/>
                <w:sz w:val="22"/>
                <w:szCs w:val="22"/>
                <w:highlight w:val="none"/>
              </w:rPr>
              <w:t>　</w:t>
            </w:r>
          </w:p>
        </w:tc>
      </w:tr>
    </w:tbl>
    <w:p w14:paraId="3A2945C7">
      <w:pPr>
        <w:rPr>
          <w:rFonts w:hint="default"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注：</w:t>
      </w:r>
    </w:p>
    <w:p w14:paraId="6E095FC5">
      <w:pPr>
        <w:rPr>
          <w:rFonts w:hint="default"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1、出现重大保密事故、审判秘密泄露的，直接判定为不合格。</w:t>
      </w:r>
    </w:p>
    <w:p w14:paraId="6C743CC4">
      <w:pPr>
        <w:rPr>
          <w:rFonts w:hint="default"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2、出现卷宗遗失、损毁等重大事故的，直接判定为不合格。</w:t>
      </w:r>
    </w:p>
    <w:p w14:paraId="2AC0AC60">
      <w:pPr>
        <w:rPr>
          <w:rFonts w:hint="default"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3、未经法院同意擅自更换核心服务人员，影响服务开展的，直接判定为不合格。</w:t>
      </w:r>
    </w:p>
    <w:p w14:paraId="30DEC3DB">
      <w:pPr>
        <w:rPr>
          <w:rFonts w:hint="default"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4、违反国家法律法规，被追究法律责任的，直接判定为不合格。</w:t>
      </w:r>
    </w:p>
    <w:p w14:paraId="49F8885F">
      <w:pPr>
        <w:spacing w:line="360" w:lineRule="auto"/>
        <w:jc w:val="center"/>
        <w:outlineLvl w:val="0"/>
        <w:rPr>
          <w:rFonts w:ascii="宋体" w:hAnsi="宋体" w:cs="宋体"/>
          <w:bCs/>
          <w:sz w:val="24"/>
          <w:szCs w:val="24"/>
          <w:highlight w:val="none"/>
        </w:rPr>
      </w:pPr>
    </w:p>
    <w:p w14:paraId="2996B46D">
      <w:pPr>
        <w:spacing w:line="360" w:lineRule="auto"/>
        <w:jc w:val="center"/>
        <w:outlineLvl w:val="0"/>
        <w:rPr>
          <w:rFonts w:ascii="宋体" w:hAnsi="宋体" w:cs="宋体"/>
          <w:bCs/>
          <w:sz w:val="24"/>
          <w:szCs w:val="24"/>
          <w:highlight w:val="none"/>
        </w:rPr>
      </w:pPr>
    </w:p>
    <w:p w14:paraId="49882EB7">
      <w:pPr>
        <w:spacing w:line="360" w:lineRule="auto"/>
        <w:jc w:val="center"/>
        <w:outlineLvl w:val="0"/>
        <w:rPr>
          <w:rFonts w:ascii="宋体" w:hAnsi="宋体" w:cs="宋体"/>
          <w:bCs/>
          <w:sz w:val="24"/>
          <w:szCs w:val="24"/>
          <w:highlight w:val="none"/>
        </w:rPr>
      </w:pPr>
    </w:p>
    <w:p w14:paraId="57663AB4">
      <w:pPr>
        <w:spacing w:line="360" w:lineRule="auto"/>
        <w:jc w:val="center"/>
        <w:outlineLvl w:val="0"/>
        <w:rPr>
          <w:rFonts w:ascii="宋体" w:hAnsi="宋体" w:cs="宋体"/>
          <w:bCs/>
          <w:sz w:val="24"/>
          <w:szCs w:val="24"/>
          <w:highlight w:val="none"/>
        </w:rPr>
      </w:pPr>
    </w:p>
    <w:p w14:paraId="69DFF152">
      <w:pPr>
        <w:spacing w:line="360" w:lineRule="auto"/>
        <w:jc w:val="center"/>
        <w:outlineLvl w:val="0"/>
        <w:rPr>
          <w:rFonts w:ascii="宋体" w:hAnsi="宋体" w:cs="宋体"/>
          <w:bCs/>
          <w:sz w:val="24"/>
          <w:szCs w:val="24"/>
          <w:highlight w:val="none"/>
        </w:rPr>
      </w:pPr>
    </w:p>
    <w:p w14:paraId="55ED14DC">
      <w:pPr>
        <w:spacing w:line="360" w:lineRule="auto"/>
        <w:jc w:val="center"/>
        <w:outlineLvl w:val="0"/>
        <w:rPr>
          <w:rFonts w:ascii="宋体" w:hAnsi="宋体" w:cs="宋体"/>
          <w:bCs/>
          <w:sz w:val="24"/>
          <w:szCs w:val="24"/>
          <w:highlight w:val="none"/>
        </w:rPr>
      </w:pPr>
    </w:p>
    <w:p w14:paraId="2D430B56">
      <w:pPr>
        <w:spacing w:line="360" w:lineRule="auto"/>
        <w:jc w:val="center"/>
        <w:outlineLvl w:val="0"/>
        <w:rPr>
          <w:rFonts w:ascii="宋体" w:hAnsi="宋体" w:cs="宋体"/>
          <w:bCs/>
          <w:sz w:val="24"/>
          <w:szCs w:val="24"/>
          <w:highlight w:val="none"/>
        </w:rPr>
      </w:pPr>
    </w:p>
    <w:p w14:paraId="74F0C1E3">
      <w:pPr>
        <w:spacing w:line="360" w:lineRule="auto"/>
        <w:jc w:val="center"/>
        <w:outlineLvl w:val="0"/>
        <w:rPr>
          <w:rFonts w:ascii="宋体" w:hAnsi="宋体" w:cs="宋体"/>
          <w:bCs/>
          <w:sz w:val="24"/>
          <w:szCs w:val="24"/>
          <w:highlight w:val="none"/>
        </w:rPr>
      </w:pPr>
    </w:p>
    <w:p w14:paraId="0A0A67F1">
      <w:pPr>
        <w:spacing w:line="360" w:lineRule="auto"/>
        <w:jc w:val="center"/>
        <w:outlineLvl w:val="0"/>
        <w:rPr>
          <w:rFonts w:ascii="宋体" w:hAnsi="宋体" w:cs="宋体"/>
          <w:bCs/>
          <w:sz w:val="24"/>
          <w:szCs w:val="24"/>
          <w:highlight w:val="none"/>
        </w:rPr>
      </w:pPr>
    </w:p>
    <w:p w14:paraId="65877B5C">
      <w:pPr>
        <w:spacing w:line="360" w:lineRule="auto"/>
        <w:jc w:val="center"/>
        <w:outlineLvl w:val="0"/>
        <w:rPr>
          <w:rFonts w:ascii="宋体" w:hAnsi="宋体" w:cs="宋体"/>
          <w:bCs/>
          <w:sz w:val="24"/>
          <w:szCs w:val="24"/>
          <w:highlight w:val="none"/>
        </w:rPr>
      </w:pPr>
    </w:p>
    <w:p w14:paraId="2328AA7C">
      <w:pPr>
        <w:spacing w:line="360" w:lineRule="auto"/>
        <w:jc w:val="center"/>
        <w:outlineLvl w:val="0"/>
        <w:rPr>
          <w:rFonts w:ascii="宋体" w:hAnsi="宋体" w:cs="宋体"/>
          <w:bCs/>
          <w:sz w:val="24"/>
          <w:szCs w:val="24"/>
          <w:highlight w:val="none"/>
        </w:rPr>
      </w:pPr>
    </w:p>
    <w:p w14:paraId="3564DDB2">
      <w:pPr>
        <w:spacing w:line="360" w:lineRule="auto"/>
        <w:jc w:val="center"/>
        <w:outlineLvl w:val="0"/>
        <w:rPr>
          <w:rFonts w:ascii="宋体" w:hAnsi="宋体" w:cs="宋体"/>
          <w:bCs/>
          <w:sz w:val="24"/>
          <w:szCs w:val="24"/>
          <w:highlight w:val="none"/>
        </w:rPr>
      </w:pPr>
    </w:p>
    <w:p w14:paraId="0FADCAD5">
      <w:pPr>
        <w:rPr>
          <w:rFonts w:hint="eastAsia" w:ascii="宋体" w:hAnsi="宋体" w:cs="宋体"/>
          <w:b/>
          <w:bCs/>
          <w:sz w:val="28"/>
          <w:szCs w:val="28"/>
          <w:highlight w:val="none"/>
        </w:rPr>
      </w:pPr>
      <w:r>
        <w:rPr>
          <w:rFonts w:hint="eastAsia" w:ascii="宋体" w:hAnsi="宋体" w:cs="宋体"/>
          <w:b/>
          <w:bCs/>
          <w:sz w:val="28"/>
          <w:szCs w:val="28"/>
          <w:highlight w:val="none"/>
        </w:rPr>
        <w:br w:type="page"/>
      </w:r>
    </w:p>
    <w:p w14:paraId="48BC06F7">
      <w:pPr>
        <w:spacing w:line="360" w:lineRule="auto"/>
        <w:jc w:val="center"/>
        <w:outlineLvl w:val="0"/>
        <w:rPr>
          <w:rFonts w:ascii="宋体" w:hAnsi="宋体" w:cs="宋体"/>
          <w:b/>
          <w:bCs/>
          <w:sz w:val="24"/>
          <w:szCs w:val="24"/>
          <w:highlight w:val="none"/>
        </w:rPr>
      </w:pPr>
      <w:r>
        <w:rPr>
          <w:rFonts w:hint="eastAsia" w:ascii="宋体" w:hAnsi="宋体" w:cs="宋体"/>
          <w:b/>
          <w:bCs/>
          <w:sz w:val="28"/>
          <w:szCs w:val="28"/>
          <w:highlight w:val="none"/>
        </w:rPr>
        <w:t>五、附件</w:t>
      </w:r>
      <w:bookmarkEnd w:id="37"/>
      <w:bookmarkEnd w:id="38"/>
      <w:bookmarkEnd w:id="39"/>
    </w:p>
    <w:p w14:paraId="07F92CD6">
      <w:pPr>
        <w:spacing w:line="360" w:lineRule="auto"/>
        <w:jc w:val="left"/>
        <w:outlineLvl w:val="1"/>
        <w:rPr>
          <w:rFonts w:ascii="宋体" w:hAnsi="宋体" w:cs="宋体"/>
          <w:bCs/>
          <w:sz w:val="24"/>
          <w:szCs w:val="24"/>
          <w:highlight w:val="none"/>
        </w:rPr>
      </w:pPr>
      <w:r>
        <w:rPr>
          <w:rFonts w:hint="eastAsia" w:ascii="宋体" w:hAnsi="宋体" w:cs="宋体"/>
          <w:bCs/>
          <w:sz w:val="24"/>
          <w:szCs w:val="24"/>
          <w:highlight w:val="none"/>
        </w:rPr>
        <w:t>附件一：</w:t>
      </w:r>
    </w:p>
    <w:p w14:paraId="2437194A">
      <w:pPr>
        <w:spacing w:line="360" w:lineRule="auto"/>
        <w:ind w:firstLine="480"/>
        <w:jc w:val="left"/>
        <w:outlineLvl w:val="2"/>
        <w:rPr>
          <w:rFonts w:ascii="宋体" w:hAnsi="宋体" w:cs="宋体"/>
          <w:bCs/>
          <w:sz w:val="24"/>
          <w:szCs w:val="24"/>
          <w:highlight w:val="none"/>
        </w:rPr>
      </w:pPr>
      <w:r>
        <w:rPr>
          <w:rFonts w:hint="eastAsia" w:ascii="宋体" w:hAnsi="宋体" w:cs="宋体"/>
          <w:bCs/>
          <w:sz w:val="24"/>
          <w:szCs w:val="24"/>
          <w:highlight w:val="none"/>
        </w:rPr>
        <w:t>一、评标方法</w:t>
      </w:r>
    </w:p>
    <w:p w14:paraId="18295D1F">
      <w:pPr>
        <w:tabs>
          <w:tab w:val="left" w:pos="945"/>
          <w:tab w:val="left" w:pos="1155"/>
        </w:tabs>
        <w:spacing w:line="360" w:lineRule="auto"/>
        <w:ind w:firstLine="480"/>
        <w:jc w:val="left"/>
        <w:rPr>
          <w:rFonts w:ascii="宋体" w:hAnsi="宋体" w:cs="宋体"/>
          <w:bCs/>
          <w:sz w:val="24"/>
          <w:szCs w:val="24"/>
        </w:rPr>
      </w:pPr>
      <w:r>
        <w:rPr>
          <w:rFonts w:hint="eastAsia" w:ascii="宋体" w:hAnsi="宋体" w:cs="宋体"/>
          <w:bCs/>
          <w:sz w:val="24"/>
          <w:szCs w:val="24"/>
          <w:highlight w:val="none"/>
        </w:rPr>
        <w:t>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w:t>
      </w:r>
      <w:r>
        <w:rPr>
          <w:rFonts w:hint="eastAsia" w:ascii="宋体" w:hAnsi="宋体" w:cs="宋体"/>
          <w:bCs/>
          <w:sz w:val="24"/>
          <w:szCs w:val="24"/>
        </w:rPr>
        <w:t>标文件全部实质性要求，且按照评审因素的量化指标评审得分最高的投标供应商为排名第一的中标候选人，得分次高的投标供应商为排名第二的中标候选人，得分排列第三的投标供应商为排名第三的中标候选人。未列入本评分标准的其他条件不作为评分内容。</w:t>
      </w:r>
    </w:p>
    <w:p w14:paraId="421DF0EF">
      <w:pPr>
        <w:spacing w:line="360" w:lineRule="auto"/>
        <w:ind w:firstLine="480"/>
        <w:jc w:val="left"/>
        <w:outlineLvl w:val="2"/>
        <w:rPr>
          <w:rFonts w:ascii="宋体" w:hAnsi="宋体" w:cs="宋体"/>
          <w:bCs/>
          <w:sz w:val="24"/>
          <w:szCs w:val="24"/>
        </w:rPr>
      </w:pPr>
      <w:r>
        <w:rPr>
          <w:rFonts w:hint="eastAsia" w:ascii="宋体" w:hAnsi="宋体" w:cs="宋体"/>
          <w:bCs/>
          <w:sz w:val="24"/>
          <w:szCs w:val="24"/>
        </w:rPr>
        <w:t>二、评分标准</w:t>
      </w:r>
    </w:p>
    <w:p w14:paraId="0F9D771E">
      <w:pPr>
        <w:spacing w:line="360" w:lineRule="auto"/>
        <w:ind w:firstLine="480"/>
        <w:jc w:val="left"/>
        <w:rPr>
          <w:rFonts w:ascii="宋体" w:hAnsi="宋体" w:cs="宋体"/>
          <w:sz w:val="24"/>
          <w:szCs w:val="24"/>
        </w:rPr>
      </w:pPr>
      <w:r>
        <w:rPr>
          <w:rFonts w:hint="eastAsia" w:ascii="宋体" w:hAnsi="宋体" w:cs="宋体"/>
          <w:sz w:val="24"/>
          <w:szCs w:val="24"/>
        </w:rPr>
        <w:t>（一）评分项目及分值（总分100分）</w:t>
      </w:r>
    </w:p>
    <w:p w14:paraId="56CCF868">
      <w:pPr>
        <w:spacing w:line="360" w:lineRule="auto"/>
        <w:ind w:firstLine="480"/>
        <w:jc w:val="left"/>
        <w:rPr>
          <w:rFonts w:ascii="宋体" w:hAnsi="宋体" w:cs="宋体"/>
          <w:b/>
          <w:sz w:val="24"/>
          <w:szCs w:val="24"/>
        </w:rPr>
      </w:pPr>
      <w:r>
        <w:rPr>
          <w:rFonts w:hint="eastAsia" w:ascii="宋体" w:hAnsi="宋体" w:cs="宋体"/>
          <w:b/>
          <w:sz w:val="24"/>
          <w:szCs w:val="24"/>
        </w:rPr>
        <w:t>1、</w:t>
      </w:r>
      <w:r>
        <w:rPr>
          <w:rFonts w:hint="eastAsia" w:ascii="宋体" w:hAnsi="宋体" w:cs="宋体"/>
          <w:b/>
          <w:bCs/>
          <w:sz w:val="24"/>
          <w:szCs w:val="24"/>
        </w:rPr>
        <w:t>价格分</w:t>
      </w:r>
      <w:r>
        <w:rPr>
          <w:rFonts w:hint="eastAsia" w:ascii="宋体" w:hAnsi="宋体" w:cs="宋体"/>
          <w:b/>
          <w:sz w:val="24"/>
          <w:szCs w:val="24"/>
        </w:rPr>
        <w:t xml:space="preserve">                                   </w:t>
      </w:r>
      <w:r>
        <w:rPr>
          <w:rFonts w:hint="eastAsia" w:ascii="宋体" w:hAnsi="宋体" w:cs="宋体"/>
          <w:b/>
          <w:sz w:val="24"/>
          <w:szCs w:val="24"/>
          <w:lang w:val="en-US" w:eastAsia="zh-CN"/>
        </w:rPr>
        <w:t>20</w:t>
      </w:r>
      <w:r>
        <w:rPr>
          <w:rFonts w:hint="eastAsia" w:ascii="宋体" w:hAnsi="宋体" w:cs="宋体"/>
          <w:b/>
          <w:sz w:val="24"/>
          <w:szCs w:val="24"/>
        </w:rPr>
        <w:t>分</w:t>
      </w:r>
    </w:p>
    <w:p w14:paraId="20AE0A8C">
      <w:pPr>
        <w:spacing w:line="360" w:lineRule="auto"/>
        <w:ind w:firstLine="480"/>
        <w:jc w:val="left"/>
        <w:rPr>
          <w:rFonts w:ascii="宋体" w:hAnsi="宋体" w:cs="宋体"/>
          <w:b/>
          <w:sz w:val="24"/>
          <w:szCs w:val="24"/>
        </w:rPr>
      </w:pPr>
      <w:r>
        <w:rPr>
          <w:rFonts w:hint="eastAsia" w:ascii="宋体" w:hAnsi="宋体" w:cs="宋体"/>
          <w:b/>
          <w:sz w:val="24"/>
          <w:szCs w:val="24"/>
        </w:rPr>
        <w:t>2、</w:t>
      </w:r>
      <w:r>
        <w:rPr>
          <w:rFonts w:hint="eastAsia" w:ascii="宋体" w:hAnsi="宋体" w:cs="宋体"/>
          <w:b/>
          <w:sz w:val="24"/>
          <w:szCs w:val="24"/>
          <w:lang w:val="en-US" w:eastAsia="zh-CN"/>
        </w:rPr>
        <w:t xml:space="preserve">商务部分          </w:t>
      </w:r>
      <w:r>
        <w:rPr>
          <w:rFonts w:hint="eastAsia" w:ascii="宋体" w:hAnsi="宋体" w:cs="宋体"/>
          <w:b/>
          <w:sz w:val="24"/>
          <w:szCs w:val="24"/>
        </w:rPr>
        <w:t xml:space="preserve">                       </w:t>
      </w:r>
      <w:r>
        <w:rPr>
          <w:rFonts w:hint="eastAsia" w:ascii="宋体" w:hAnsi="宋体" w:cs="宋体"/>
          <w:b/>
          <w:sz w:val="24"/>
          <w:szCs w:val="24"/>
          <w:lang w:val="en-US" w:eastAsia="zh-CN"/>
        </w:rPr>
        <w:t>20</w:t>
      </w:r>
      <w:r>
        <w:rPr>
          <w:rFonts w:hint="eastAsia" w:ascii="宋体" w:hAnsi="宋体" w:cs="宋体"/>
          <w:b/>
          <w:sz w:val="24"/>
          <w:szCs w:val="24"/>
        </w:rPr>
        <w:t>分</w:t>
      </w:r>
    </w:p>
    <w:p w14:paraId="350789EA">
      <w:pPr>
        <w:spacing w:line="360" w:lineRule="auto"/>
        <w:ind w:firstLine="480"/>
        <w:jc w:val="left"/>
        <w:rPr>
          <w:rFonts w:ascii="宋体" w:hAnsi="宋体" w:cs="宋体"/>
          <w:b/>
          <w:sz w:val="24"/>
          <w:szCs w:val="24"/>
        </w:rPr>
      </w:pPr>
      <w:r>
        <w:rPr>
          <w:rFonts w:hint="eastAsia" w:ascii="宋体" w:hAnsi="宋体" w:cs="宋体"/>
          <w:b/>
          <w:sz w:val="24"/>
          <w:szCs w:val="24"/>
          <w:lang w:val="en-US" w:eastAsia="zh-CN"/>
        </w:rPr>
        <w:t>3</w:t>
      </w:r>
      <w:r>
        <w:rPr>
          <w:rFonts w:hint="eastAsia" w:ascii="宋体" w:hAnsi="宋体" w:cs="宋体"/>
          <w:b/>
          <w:sz w:val="24"/>
          <w:szCs w:val="24"/>
        </w:rPr>
        <w:t>、</w:t>
      </w:r>
      <w:r>
        <w:rPr>
          <w:rFonts w:hint="eastAsia" w:ascii="宋体" w:hAnsi="宋体" w:cs="宋体"/>
          <w:b/>
          <w:bCs/>
          <w:sz w:val="24"/>
          <w:szCs w:val="24"/>
        </w:rPr>
        <w:t>技术</w:t>
      </w:r>
      <w:r>
        <w:rPr>
          <w:rFonts w:hint="eastAsia" w:ascii="宋体" w:hAnsi="宋体" w:cs="宋体"/>
          <w:b/>
          <w:bCs/>
          <w:color w:val="000000"/>
          <w:sz w:val="24"/>
          <w:szCs w:val="24"/>
        </w:rPr>
        <w:t>服务</w:t>
      </w:r>
      <w:r>
        <w:rPr>
          <w:rFonts w:hint="eastAsia" w:ascii="宋体" w:hAnsi="宋体" w:cs="宋体"/>
          <w:b/>
          <w:bCs/>
          <w:sz w:val="24"/>
          <w:szCs w:val="24"/>
        </w:rPr>
        <w:t>方案</w:t>
      </w:r>
      <w:r>
        <w:rPr>
          <w:rFonts w:hint="eastAsia" w:ascii="宋体" w:hAnsi="宋体" w:cs="宋体"/>
          <w:b/>
          <w:bCs/>
          <w:sz w:val="24"/>
          <w:szCs w:val="24"/>
          <w:lang w:eastAsia="zh-CN"/>
        </w:rPr>
        <w:t>（</w:t>
      </w:r>
      <w:r>
        <w:rPr>
          <w:rFonts w:hint="eastAsia" w:ascii="宋体" w:hAnsi="宋体" w:cs="宋体"/>
          <w:b/>
          <w:bCs/>
          <w:sz w:val="24"/>
          <w:szCs w:val="24"/>
          <w:lang w:val="en-US" w:eastAsia="zh-CN"/>
        </w:rPr>
        <w:t>暗标</w:t>
      </w:r>
      <w:r>
        <w:rPr>
          <w:rFonts w:hint="eastAsia" w:ascii="宋体" w:hAnsi="宋体" w:cs="宋体"/>
          <w:b/>
          <w:bCs/>
          <w:sz w:val="24"/>
          <w:szCs w:val="24"/>
          <w:lang w:eastAsia="zh-CN"/>
        </w:rPr>
        <w:t>）</w:t>
      </w:r>
      <w:r>
        <w:rPr>
          <w:rFonts w:hint="eastAsia" w:ascii="宋体" w:hAnsi="宋体" w:cs="宋体"/>
          <w:b/>
          <w:sz w:val="24"/>
          <w:szCs w:val="24"/>
        </w:rPr>
        <w:t xml:space="preserve">                     </w:t>
      </w:r>
      <w:r>
        <w:rPr>
          <w:rFonts w:hint="eastAsia" w:ascii="宋体" w:hAnsi="宋体" w:cs="宋体"/>
          <w:b/>
          <w:sz w:val="24"/>
          <w:szCs w:val="24"/>
          <w:lang w:val="en-US" w:eastAsia="zh-CN"/>
        </w:rPr>
        <w:t>60</w:t>
      </w:r>
      <w:r>
        <w:rPr>
          <w:rFonts w:hint="eastAsia" w:ascii="宋体" w:hAnsi="宋体" w:cs="宋体"/>
          <w:b/>
          <w:sz w:val="24"/>
          <w:szCs w:val="24"/>
        </w:rPr>
        <w:t>分</w:t>
      </w:r>
    </w:p>
    <w:p w14:paraId="68F6690D">
      <w:pPr>
        <w:spacing w:line="360" w:lineRule="auto"/>
        <w:ind w:firstLine="480"/>
        <w:jc w:val="left"/>
        <w:rPr>
          <w:rFonts w:ascii="宋体" w:hAnsi="宋体" w:cs="宋体"/>
          <w:sz w:val="24"/>
          <w:szCs w:val="24"/>
        </w:rPr>
      </w:pPr>
      <w:r>
        <w:rPr>
          <w:rFonts w:hint="eastAsia" w:ascii="宋体" w:hAnsi="宋体" w:cs="宋体"/>
          <w:sz w:val="24"/>
          <w:szCs w:val="24"/>
        </w:rPr>
        <w:t>（二)各项目评分标准</w:t>
      </w:r>
    </w:p>
    <w:p w14:paraId="68FB92D4">
      <w:pPr>
        <w:pStyle w:val="278"/>
        <w:spacing w:after="0" w:line="360" w:lineRule="auto"/>
        <w:ind w:firstLine="480"/>
        <w:jc w:val="left"/>
        <w:outlineLvl w:val="3"/>
        <w:rPr>
          <w:rFonts w:ascii="宋体" w:hAnsi="宋体" w:cs="宋体"/>
          <w:b/>
          <w:sz w:val="24"/>
        </w:rPr>
      </w:pPr>
      <w:r>
        <w:rPr>
          <w:rFonts w:hint="eastAsia" w:ascii="宋体" w:hAnsi="宋体" w:cs="宋体"/>
          <w:b/>
          <w:sz w:val="24"/>
        </w:rPr>
        <w:t>1、价格分（</w:t>
      </w:r>
      <w:r>
        <w:rPr>
          <w:rFonts w:hint="eastAsia" w:ascii="宋体" w:hAnsi="宋体" w:cs="宋体"/>
          <w:b/>
          <w:sz w:val="24"/>
          <w:lang w:val="en-US" w:eastAsia="zh-CN"/>
        </w:rPr>
        <w:t>20</w:t>
      </w:r>
      <w:r>
        <w:rPr>
          <w:rFonts w:hint="eastAsia" w:ascii="宋体" w:hAnsi="宋体" w:cs="宋体"/>
          <w:b/>
          <w:sz w:val="24"/>
        </w:rPr>
        <w:t>分）</w:t>
      </w:r>
    </w:p>
    <w:p w14:paraId="5135DBC7">
      <w:pPr>
        <w:tabs>
          <w:tab w:val="left" w:pos="945"/>
          <w:tab w:val="left" w:pos="1155"/>
        </w:tabs>
        <w:spacing w:line="360" w:lineRule="auto"/>
        <w:ind w:firstLine="480"/>
        <w:rPr>
          <w:rFonts w:ascii="宋体" w:hAnsi="宋体" w:cs="宋体"/>
          <w:bCs/>
          <w:sz w:val="24"/>
          <w:szCs w:val="24"/>
        </w:rPr>
      </w:pPr>
      <w:r>
        <w:rPr>
          <w:rFonts w:hint="eastAsia" w:ascii="宋体" w:hAnsi="宋体" w:cs="宋体"/>
          <w:bCs/>
          <w:sz w:val="24"/>
          <w:szCs w:val="24"/>
        </w:rPr>
        <w:t>采用低价优先法计算，即满足招标文件要求且投标价格最低的投标报价为评标基准价，其价格分为满分。其他投标供应商的价格分统一按照下列公式计算：</w:t>
      </w:r>
    </w:p>
    <w:p w14:paraId="67485B5D">
      <w:pPr>
        <w:tabs>
          <w:tab w:val="left" w:pos="945"/>
          <w:tab w:val="left" w:pos="1155"/>
        </w:tabs>
        <w:spacing w:line="360" w:lineRule="auto"/>
        <w:ind w:firstLine="480"/>
        <w:jc w:val="left"/>
        <w:rPr>
          <w:rFonts w:ascii="宋体" w:hAnsi="宋体" w:cs="宋体"/>
          <w:bCs/>
          <w:sz w:val="24"/>
          <w:szCs w:val="24"/>
        </w:rPr>
      </w:pPr>
      <w:r>
        <w:rPr>
          <w:rFonts w:hint="eastAsia" w:ascii="宋体" w:hAnsi="宋体" w:cs="宋体"/>
          <w:bCs/>
          <w:sz w:val="24"/>
          <w:szCs w:val="24"/>
        </w:rPr>
        <w:t>投标报价得分=(评标基准价／投标报价)×价格权值×100。</w:t>
      </w:r>
    </w:p>
    <w:p w14:paraId="26F13D41">
      <w:pPr>
        <w:tabs>
          <w:tab w:val="left" w:pos="945"/>
          <w:tab w:val="left" w:pos="1155"/>
        </w:tabs>
        <w:spacing w:line="360" w:lineRule="auto"/>
        <w:ind w:firstLine="482"/>
        <w:rPr>
          <w:rFonts w:ascii="宋体" w:hAnsi="宋体" w:cs="宋体"/>
          <w:b/>
          <w:color w:val="000000"/>
          <w:sz w:val="24"/>
          <w:szCs w:val="24"/>
          <w:highlight w:val="none"/>
        </w:rPr>
      </w:pPr>
      <w:r>
        <w:rPr>
          <w:rFonts w:hint="eastAsia" w:ascii="宋体" w:hAnsi="宋体" w:cs="宋体"/>
          <w:b/>
          <w:color w:val="000000"/>
          <w:sz w:val="24"/>
          <w:szCs w:val="24"/>
          <w:highlight w:val="none"/>
        </w:rPr>
        <w:t>价格扣除：本项目专门面向中小企业/小微企业或监狱企业或残疾人福利企业，不再进行价格扣除。</w:t>
      </w:r>
    </w:p>
    <w:p w14:paraId="764BAFCF">
      <w:pPr>
        <w:tabs>
          <w:tab w:val="left" w:pos="840"/>
          <w:tab w:val="left" w:pos="1050"/>
        </w:tabs>
        <w:spacing w:line="360" w:lineRule="auto"/>
        <w:ind w:firstLine="480"/>
        <w:rPr>
          <w:rFonts w:ascii="宋体" w:hAnsi="宋体" w:cs="宋体"/>
          <w:sz w:val="24"/>
          <w:szCs w:val="24"/>
        </w:rPr>
      </w:pPr>
      <w:r>
        <w:rPr>
          <w:rFonts w:hint="eastAsia" w:ascii="宋体" w:hAnsi="宋体" w:cs="宋体"/>
          <w:sz w:val="24"/>
          <w:szCs w:val="24"/>
        </w:rPr>
        <w:t>评标委员会认为投标供应商的报价明显低于其他通过符合性审查投标供应商的报价，有可能影响产品质量或者不能诚信履约的，将要求其在评标现场合理的时间内（60分钟内）提供书面说明，必要时提交相关证明材料；投标供应商不能证明其报价合理性的，评标委员会将其作为无效投标处理。</w:t>
      </w:r>
    </w:p>
    <w:p w14:paraId="180AAEC4">
      <w:pPr>
        <w:pStyle w:val="278"/>
        <w:spacing w:after="0" w:line="360" w:lineRule="auto"/>
        <w:ind w:firstLine="480"/>
        <w:jc w:val="left"/>
        <w:outlineLvl w:val="3"/>
        <w:rPr>
          <w:rFonts w:ascii="宋体" w:hAnsi="宋体" w:cs="宋体"/>
          <w:b/>
          <w:sz w:val="24"/>
          <w:lang w:val="zh-CN"/>
        </w:rPr>
      </w:pPr>
      <w:r>
        <w:rPr>
          <w:rFonts w:hint="eastAsia" w:ascii="宋体" w:hAnsi="宋体" w:cs="宋体"/>
          <w:b/>
          <w:sz w:val="24"/>
        </w:rPr>
        <w:t>2、</w:t>
      </w:r>
      <w:r>
        <w:rPr>
          <w:rFonts w:hint="eastAsia" w:ascii="宋体" w:hAnsi="宋体" w:eastAsia="宋体" w:cs="宋体"/>
          <w:b/>
          <w:color w:val="auto"/>
          <w:sz w:val="24"/>
          <w:highlight w:val="none"/>
        </w:rPr>
        <w:t>商务</w:t>
      </w:r>
      <w:r>
        <w:rPr>
          <w:rFonts w:hint="eastAsia" w:ascii="宋体" w:hAnsi="宋体" w:cs="宋体"/>
          <w:b/>
          <w:color w:val="auto"/>
          <w:sz w:val="24"/>
          <w:highlight w:val="none"/>
          <w:lang w:val="en-US" w:eastAsia="zh-CN"/>
        </w:rPr>
        <w:t>部分</w:t>
      </w:r>
      <w:r>
        <w:rPr>
          <w:rFonts w:hint="eastAsia" w:ascii="宋体" w:hAnsi="宋体" w:cs="宋体"/>
          <w:b/>
          <w:sz w:val="24"/>
          <w:lang w:val="zh-CN"/>
        </w:rPr>
        <w:t>（</w:t>
      </w:r>
      <w:r>
        <w:rPr>
          <w:rFonts w:hint="eastAsia" w:ascii="宋体" w:hAnsi="宋体" w:cs="宋体"/>
          <w:b/>
          <w:sz w:val="24"/>
          <w:lang w:val="en-US" w:eastAsia="zh-CN"/>
        </w:rPr>
        <w:t>20</w:t>
      </w:r>
      <w:r>
        <w:rPr>
          <w:rFonts w:hint="eastAsia" w:ascii="宋体" w:hAnsi="宋体" w:cs="宋体"/>
          <w:b/>
          <w:sz w:val="24"/>
          <w:lang w:val="zh-CN"/>
        </w:rPr>
        <w:t>分）</w:t>
      </w:r>
    </w:p>
    <w:p w14:paraId="515A3937">
      <w:pPr>
        <w:spacing w:line="360" w:lineRule="auto"/>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1）企业业绩（1分）</w:t>
      </w:r>
    </w:p>
    <w:p w14:paraId="3087A5C3">
      <w:pPr>
        <w:spacing w:line="360" w:lineRule="auto"/>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投标人2023年1月1日（以合同签订时间为准）至投标截止日有类似项目的业绩，每有一个得0.5分，满分1分。</w:t>
      </w:r>
    </w:p>
    <w:p w14:paraId="7FB07EED">
      <w:pPr>
        <w:spacing w:line="360" w:lineRule="auto"/>
        <w:ind w:firstLine="480"/>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注：投标时提供合同</w:t>
      </w:r>
      <w:r>
        <w:rPr>
          <w:rFonts w:hint="eastAsia" w:ascii="宋体" w:hAnsi="宋体" w:eastAsia="宋体" w:cs="宋体"/>
          <w:color w:val="auto"/>
          <w:sz w:val="24"/>
          <w:szCs w:val="22"/>
          <w:highlight w:val="none"/>
        </w:rPr>
        <w:t>扫描件上传系统并加盖公章，不提供或提供不符合要求均不得分</w:t>
      </w:r>
      <w:r>
        <w:rPr>
          <w:rFonts w:hint="eastAsia" w:ascii="宋体" w:hAnsi="宋体" w:eastAsia="宋体" w:cs="宋体"/>
          <w:color w:val="auto"/>
          <w:sz w:val="24"/>
          <w:szCs w:val="24"/>
          <w:highlight w:val="none"/>
          <w:lang w:bidi="ar"/>
        </w:rPr>
        <w:t>。</w:t>
      </w:r>
    </w:p>
    <w:p w14:paraId="0997017F">
      <w:pPr>
        <w:numPr>
          <w:ilvl w:val="0"/>
          <w:numId w:val="6"/>
        </w:numPr>
        <w:spacing w:line="360" w:lineRule="auto"/>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软件实力（3分）</w:t>
      </w:r>
    </w:p>
    <w:p w14:paraId="56C41CB7">
      <w:pPr>
        <w:spacing w:line="360" w:lineRule="auto"/>
        <w:ind w:left="481" w:leftChars="229" w:firstLine="480" w:firstLineChars="20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根据提供随服务自带软件系统进行综合评审：智能标注编目类似系统、</w:t>
      </w:r>
      <w:r>
        <w:rPr>
          <w:rFonts w:hint="default" w:ascii="宋体" w:hAnsi="宋体" w:eastAsia="宋体" w:cs="宋体"/>
          <w:color w:val="auto"/>
          <w:sz w:val="24"/>
          <w:szCs w:val="24"/>
          <w:highlight w:val="none"/>
        </w:rPr>
        <w:t>OCR识别及校验</w:t>
      </w:r>
      <w:r>
        <w:rPr>
          <w:rFonts w:hint="eastAsia" w:ascii="宋体" w:hAnsi="宋体" w:eastAsia="宋体" w:cs="宋体"/>
          <w:color w:val="auto"/>
          <w:sz w:val="24"/>
          <w:szCs w:val="24"/>
          <w:highlight w:val="none"/>
        </w:rPr>
        <w:t>类似</w:t>
      </w:r>
      <w:r>
        <w:rPr>
          <w:rFonts w:hint="default" w:ascii="宋体" w:hAnsi="宋体" w:eastAsia="宋体" w:cs="宋体"/>
          <w:color w:val="auto"/>
          <w:sz w:val="24"/>
          <w:szCs w:val="24"/>
          <w:highlight w:val="none"/>
        </w:rPr>
        <w:t>系统软件、</w:t>
      </w:r>
      <w:r>
        <w:rPr>
          <w:rFonts w:hint="eastAsia" w:ascii="宋体" w:hAnsi="宋体" w:eastAsia="宋体" w:cs="宋体"/>
          <w:color w:val="auto"/>
          <w:sz w:val="24"/>
          <w:szCs w:val="24"/>
          <w:highlight w:val="none"/>
        </w:rPr>
        <w:t>电子卷宗集中编目与质检类似系统软件、电子档案图像质量检测类似系统软件、大模型样本采集与标注训练类似系统、卷宗材料智能标注编目数据可视化平台类似系统；每提供1个/0.5分，最高得3分。</w:t>
      </w:r>
    </w:p>
    <w:p w14:paraId="357EC6CF">
      <w:pPr>
        <w:adjustRightInd w:val="0"/>
        <w:snapToGrid w:val="0"/>
        <w:spacing w:line="360" w:lineRule="auto"/>
        <w:ind w:firstLine="482" w:firstLineChars="200"/>
        <w:jc w:val="left"/>
        <w:rPr>
          <w:rFonts w:hint="default" w:ascii="宋体" w:hAnsi="宋体" w:eastAsia="宋体" w:cs="宋体"/>
          <w:color w:val="auto"/>
          <w:kern w:val="2"/>
          <w:sz w:val="24"/>
          <w:szCs w:val="24"/>
          <w:highlight w:val="none"/>
        </w:rPr>
      </w:pPr>
      <w:r>
        <w:rPr>
          <w:rFonts w:hint="eastAsia" w:ascii="宋体" w:hAnsi="宋体" w:eastAsia="宋体" w:cs="宋体"/>
          <w:b/>
          <w:color w:val="auto"/>
          <w:kern w:val="2"/>
          <w:sz w:val="24"/>
          <w:szCs w:val="24"/>
          <w:highlight w:val="none"/>
        </w:rPr>
        <w:t>注：</w:t>
      </w:r>
      <w:r>
        <w:rPr>
          <w:rFonts w:hint="eastAsia" w:ascii="宋体" w:hAnsi="宋体" w:eastAsia="宋体" w:cs="宋体"/>
          <w:color w:val="auto"/>
          <w:kern w:val="2"/>
          <w:sz w:val="24"/>
          <w:szCs w:val="24"/>
          <w:highlight w:val="none"/>
        </w:rPr>
        <w:t>如为自有的，提供计算机软件著作权登记证书复印件（证书著作权人名称须与投标人名称一致）；如为购买的，提供计算机软件著作权登记证书复印件和购买合同复印件；如为授权使用许可的，提供计算机软件著作权登记证书复印件和授权许可使用合同复印件；</w:t>
      </w:r>
    </w:p>
    <w:p w14:paraId="0140AB67">
      <w:pPr>
        <w:spacing w:line="360" w:lineRule="auto"/>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3）项目拟配人员（12分）：</w:t>
      </w:r>
    </w:p>
    <w:p w14:paraId="6B670DC4">
      <w:pPr>
        <w:adjustRightInd w:val="0"/>
        <w:snapToGrid w:val="0"/>
        <w:spacing w:line="360" w:lineRule="auto"/>
        <w:ind w:firstLine="480" w:firstLineChars="200"/>
        <w:jc w:val="left"/>
        <w:rPr>
          <w:rFonts w:hint="default"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①</w:t>
      </w:r>
      <w:r>
        <w:rPr>
          <w:rFonts w:hint="eastAsia" w:ascii="宋体" w:hAnsi="宋体" w:eastAsia="宋体" w:cs="宋体"/>
          <w:color w:val="auto"/>
          <w:kern w:val="2"/>
          <w:sz w:val="24"/>
          <w:szCs w:val="24"/>
          <w:highlight w:val="none"/>
        </w:rPr>
        <w:t>为满足项目实际需要，拟投入本项目的项目经理资质要求如下（3分）：</w:t>
      </w:r>
    </w:p>
    <w:p w14:paraId="469628D9">
      <w:pPr>
        <w:adjustRightInd w:val="0"/>
        <w:snapToGrid w:val="0"/>
        <w:spacing w:line="360" w:lineRule="auto"/>
        <w:ind w:firstLine="480" w:firstLineChars="200"/>
        <w:jc w:val="left"/>
        <w:rPr>
          <w:rFonts w:hint="default" w:ascii="Calibri" w:hAnsi="Calibri" w:eastAsia="Arial"/>
          <w:color w:val="auto"/>
          <w:szCs w:val="22"/>
          <w:highlight w:val="none"/>
        </w:rPr>
      </w:pPr>
      <w:r>
        <w:rPr>
          <w:rFonts w:hint="eastAsia" w:ascii="宋体" w:hAnsi="宋体" w:eastAsia="宋体" w:cs="宋体"/>
          <w:color w:val="auto"/>
          <w:kern w:val="2"/>
          <w:sz w:val="24"/>
          <w:szCs w:val="24"/>
          <w:highlight w:val="none"/>
        </w:rPr>
        <w:t>（1）具有国家档案局档案干部教育中心颁发的档案岗位资格培训证书的，得1分。</w:t>
      </w:r>
    </w:p>
    <w:p w14:paraId="4285D40D">
      <w:pPr>
        <w:adjustRightInd w:val="0"/>
        <w:snapToGrid w:val="0"/>
        <w:spacing w:line="360" w:lineRule="auto"/>
        <w:ind w:firstLine="480" w:firstLineChars="200"/>
        <w:jc w:val="left"/>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（2）具有人力资源和社会保障部门颁发的档案专业中级及以上职称的，得1分；</w:t>
      </w:r>
    </w:p>
    <w:p w14:paraId="3675CE24">
      <w:pPr>
        <w:adjustRightInd w:val="0"/>
        <w:snapToGrid w:val="0"/>
        <w:spacing w:line="360" w:lineRule="auto"/>
        <w:ind w:firstLine="480" w:firstLineChars="200"/>
        <w:jc w:val="left"/>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（3）具有市级及以上保密部门颁发的安全保密管理员证书，得1分；</w:t>
      </w:r>
    </w:p>
    <w:p w14:paraId="7E155864">
      <w:pPr>
        <w:adjustRightInd w:val="0"/>
        <w:snapToGrid w:val="0"/>
        <w:spacing w:line="360" w:lineRule="auto"/>
        <w:ind w:firstLine="480" w:firstLineChars="200"/>
        <w:jc w:val="left"/>
        <w:rPr>
          <w:rFonts w:hint="default" w:ascii="宋体" w:hAnsi="宋体" w:eastAsia="宋体" w:cs="宋体"/>
          <w:color w:val="auto"/>
          <w:kern w:val="2"/>
          <w:sz w:val="24"/>
          <w:szCs w:val="24"/>
          <w:highlight w:val="none"/>
        </w:rPr>
      </w:pPr>
      <w:r>
        <w:rPr>
          <w:rFonts w:hint="eastAsia" w:ascii="宋体" w:hAnsi="宋体" w:eastAsia="宋体" w:cs="宋体"/>
          <w:color w:val="auto"/>
          <w:sz w:val="24"/>
          <w:szCs w:val="24"/>
          <w:highlight w:val="none"/>
          <w:lang w:bidi="ar"/>
        </w:rPr>
        <w:t>②</w:t>
      </w:r>
      <w:r>
        <w:rPr>
          <w:rFonts w:hint="eastAsia" w:ascii="宋体" w:hAnsi="宋体" w:eastAsia="宋体" w:cs="宋体"/>
          <w:color w:val="auto"/>
          <w:sz w:val="24"/>
          <w:szCs w:val="24"/>
          <w:highlight w:val="none"/>
        </w:rPr>
        <w:t>为满足项目实际需要，拟投入本项目的现场服务主管资质要求如下</w:t>
      </w:r>
      <w:r>
        <w:rPr>
          <w:rFonts w:hint="eastAsia" w:ascii="宋体" w:hAnsi="宋体" w:eastAsia="宋体" w:cs="宋体"/>
          <w:color w:val="auto"/>
          <w:kern w:val="2"/>
          <w:sz w:val="24"/>
          <w:szCs w:val="24"/>
          <w:highlight w:val="none"/>
        </w:rPr>
        <w:t>（3分）</w:t>
      </w:r>
      <w:r>
        <w:rPr>
          <w:rFonts w:hint="eastAsia" w:ascii="宋体" w:hAnsi="宋体" w:eastAsia="宋体" w:cs="宋体"/>
          <w:color w:val="auto"/>
          <w:sz w:val="24"/>
          <w:szCs w:val="24"/>
          <w:highlight w:val="none"/>
        </w:rPr>
        <w:t>：</w:t>
      </w:r>
    </w:p>
    <w:p w14:paraId="746F9599">
      <w:pPr>
        <w:adjustRightInd w:val="0"/>
        <w:snapToGrid w:val="0"/>
        <w:spacing w:line="360" w:lineRule="auto"/>
        <w:ind w:firstLine="480" w:firstLineChars="200"/>
        <w:jc w:val="left"/>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(1)取得法学专业研究生学历或法学专业硕士学位，得1分；取得法学专业本科学历得0.5分；</w:t>
      </w:r>
    </w:p>
    <w:p w14:paraId="2A6B1DFB">
      <w:pPr>
        <w:adjustRightInd w:val="0"/>
        <w:snapToGrid w:val="0"/>
        <w:spacing w:line="360" w:lineRule="auto"/>
        <w:ind w:firstLine="480" w:firstLineChars="200"/>
        <w:jc w:val="left"/>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(2)具有国家档案局档案干部教育中心颁发的档案岗位资格培训证书的，得1分。</w:t>
      </w:r>
    </w:p>
    <w:p w14:paraId="79AC3BF9">
      <w:pPr>
        <w:adjustRightInd w:val="0"/>
        <w:snapToGrid w:val="0"/>
        <w:spacing w:line="360" w:lineRule="auto"/>
        <w:ind w:firstLine="240" w:firstLineChars="100"/>
        <w:jc w:val="left"/>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xml:space="preserve"> （3）具有人力资源和社会保障部门颁发的档案专业中级及以上职称的，得1分；</w:t>
      </w:r>
    </w:p>
    <w:p w14:paraId="63280135">
      <w:pPr>
        <w:adjustRightInd w:val="0"/>
        <w:snapToGrid w:val="0"/>
        <w:spacing w:line="360" w:lineRule="auto"/>
        <w:ind w:firstLine="240" w:firstLineChars="100"/>
        <w:jc w:val="left"/>
        <w:rPr>
          <w:rFonts w:hint="default" w:ascii="宋体" w:hAnsi="宋体" w:eastAsia="宋体" w:cs="宋体"/>
          <w:color w:val="auto"/>
          <w:kern w:val="2"/>
          <w:sz w:val="24"/>
          <w:szCs w:val="24"/>
          <w:highlight w:val="none"/>
        </w:rPr>
      </w:pPr>
      <w:r>
        <w:rPr>
          <w:rFonts w:hint="eastAsia" w:ascii="宋体" w:hAnsi="宋体" w:eastAsia="宋体" w:cs="宋体"/>
          <w:color w:val="auto"/>
          <w:sz w:val="24"/>
          <w:szCs w:val="24"/>
          <w:highlight w:val="none"/>
          <w:lang w:bidi="ar"/>
        </w:rPr>
        <w:t>③</w:t>
      </w:r>
      <w:r>
        <w:rPr>
          <w:rFonts w:hint="eastAsia" w:ascii="宋体" w:hAnsi="宋体" w:eastAsia="宋体" w:cs="宋体"/>
          <w:color w:val="auto"/>
          <w:sz w:val="24"/>
          <w:szCs w:val="24"/>
          <w:highlight w:val="none"/>
        </w:rPr>
        <w:t>为满足项目</w:t>
      </w:r>
      <w:r>
        <w:rPr>
          <w:rFonts w:hint="eastAsia" w:ascii="宋体" w:hAnsi="宋体" w:eastAsia="宋体" w:cs="宋体"/>
          <w:color w:val="auto"/>
          <w:kern w:val="2"/>
          <w:sz w:val="24"/>
          <w:szCs w:val="24"/>
          <w:highlight w:val="none"/>
        </w:rPr>
        <w:t>技术运营需要，拟投入本项目的技术支持工程师资质要求如下（3分）：</w:t>
      </w:r>
    </w:p>
    <w:p w14:paraId="7C9F06C5">
      <w:pPr>
        <w:adjustRightInd w:val="0"/>
        <w:snapToGrid w:val="0"/>
        <w:spacing w:line="360" w:lineRule="auto"/>
        <w:ind w:firstLine="360" w:firstLineChars="150"/>
        <w:jc w:val="left"/>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(1)取得计算机专业研究生学历或计算机专业硕士学位，得1分；取得计算机专业本科学历得0.5分；</w:t>
      </w:r>
    </w:p>
    <w:p w14:paraId="4B5F1D0F">
      <w:pPr>
        <w:adjustRightInd w:val="0"/>
        <w:snapToGrid w:val="0"/>
        <w:spacing w:line="360" w:lineRule="auto"/>
        <w:ind w:firstLine="360" w:firstLineChars="150"/>
        <w:jc w:val="left"/>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(2)具有国家档案局档案干部教育中心颁发的档案岗位资格培训证书的，得1分；</w:t>
      </w:r>
    </w:p>
    <w:p w14:paraId="502AF25F">
      <w:pPr>
        <w:adjustRightInd w:val="0"/>
        <w:snapToGrid w:val="0"/>
        <w:spacing w:line="360" w:lineRule="auto"/>
        <w:ind w:firstLine="360" w:firstLineChars="150"/>
        <w:jc w:val="left"/>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(3)具有计算机或电子工程专业中级及以上资格证书的，得1分；</w:t>
      </w:r>
    </w:p>
    <w:p w14:paraId="4D8632BB">
      <w:pPr>
        <w:spacing w:line="360" w:lineRule="auto"/>
        <w:ind w:firstLine="480" w:firstLineChars="200"/>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④为满足项目安全稳定运行需要，拟派现场服务人员同时具有“保密教育培训证书”和“档案上岗证”，人数≥10人，得3分；6≤人数＜10，得2分；3≤人数＜6，得1分；其他不得分；</w:t>
      </w:r>
    </w:p>
    <w:p w14:paraId="23F2BC47">
      <w:pPr>
        <w:spacing w:line="360" w:lineRule="auto"/>
        <w:ind w:firstLine="482" w:firstLineChars="200"/>
        <w:rPr>
          <w:rFonts w:hint="default"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w:t>
      </w:r>
      <w:r>
        <w:rPr>
          <w:rFonts w:hint="eastAsia" w:ascii="宋体" w:hAnsi="宋体" w:eastAsia="宋体" w:cs="宋体"/>
          <w:color w:val="auto"/>
          <w:sz w:val="24"/>
          <w:szCs w:val="24"/>
          <w:highlight w:val="none"/>
        </w:rPr>
        <w:t>提供以上人员相关证书及证明材料</w:t>
      </w:r>
      <w:r>
        <w:rPr>
          <w:rFonts w:hint="eastAsia" w:ascii="宋体" w:hAnsi="宋体" w:eastAsia="宋体" w:cs="宋体"/>
          <w:color w:val="auto"/>
          <w:sz w:val="24"/>
          <w:szCs w:val="22"/>
          <w:highlight w:val="none"/>
        </w:rPr>
        <w:t>扫描件上传系统并加盖公章，不提供或提供不符合要求均不得分</w:t>
      </w:r>
      <w:r>
        <w:rPr>
          <w:rFonts w:hint="eastAsia" w:ascii="宋体" w:hAnsi="宋体" w:eastAsia="宋体" w:cs="宋体"/>
          <w:color w:val="auto"/>
          <w:sz w:val="24"/>
          <w:szCs w:val="24"/>
          <w:highlight w:val="none"/>
        </w:rPr>
        <w:t>；供应商需填写《</w:t>
      </w:r>
      <w:r>
        <w:rPr>
          <w:rFonts w:hint="eastAsia" w:ascii="宋体" w:hAnsi="宋体" w:eastAsia="宋体" w:cs="宋体"/>
          <w:bCs/>
          <w:color w:val="auto"/>
          <w:sz w:val="24"/>
          <w:szCs w:val="24"/>
          <w:highlight w:val="none"/>
        </w:rPr>
        <w:t>人员配置表</w:t>
      </w:r>
      <w:r>
        <w:rPr>
          <w:rFonts w:hint="eastAsia" w:ascii="宋体" w:hAnsi="宋体" w:eastAsia="宋体" w:cs="宋体"/>
          <w:color w:val="auto"/>
          <w:sz w:val="24"/>
          <w:szCs w:val="24"/>
          <w:highlight w:val="none"/>
        </w:rPr>
        <w:t>》（格式见附件）同时需提供由供应商与该人员签订的劳动合同或本企业为其依法缴纳的近一年中任意一个月（不含投标当月）的社会保障资金的相关材料（提供相关主管部门证明或银行代扣证明）。</w:t>
      </w:r>
    </w:p>
    <w:p w14:paraId="43D92B2F">
      <w:pPr>
        <w:spacing w:line="360" w:lineRule="auto"/>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4）管理体系证书（2分）：</w:t>
      </w:r>
    </w:p>
    <w:p w14:paraId="6936DDF3">
      <w:pPr>
        <w:spacing w:line="360" w:lineRule="auto"/>
        <w:ind w:firstLine="480" w:firstLineChars="200"/>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投标人</w:t>
      </w:r>
      <w:r>
        <w:rPr>
          <w:rFonts w:hint="eastAsia" w:ascii="宋体" w:hAnsi="宋体" w:eastAsia="宋体" w:cs="宋体"/>
          <w:color w:val="auto"/>
          <w:sz w:val="24"/>
          <w:szCs w:val="24"/>
          <w:highlight w:val="none"/>
        </w:rPr>
        <w:t>具有经中国国家认证认可监督管理委员会认证机构颁发有效的数据存储安全管理体系认证证书、档案数字化服务管理体系认证证书、业务连续性管理体系认证证书、隐私信息管理体系认证证书；每个证书得0.5分，未提供不得分，本项最高得2分。</w:t>
      </w:r>
    </w:p>
    <w:p w14:paraId="230336CA">
      <w:pPr>
        <w:spacing w:line="360" w:lineRule="auto"/>
        <w:ind w:firstLine="480" w:firstLineChars="20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说明：投标文件中提供全国认证认可信息公共服务平台官网认证信息查询截图和证书复印件，</w:t>
      </w:r>
      <w:r>
        <w:rPr>
          <w:rFonts w:hint="default" w:ascii="宋体" w:hAnsi="宋体" w:eastAsia="宋体" w:cs="宋体"/>
          <w:color w:val="auto"/>
          <w:sz w:val="24"/>
          <w:szCs w:val="24"/>
          <w:highlight w:val="none"/>
        </w:rPr>
        <w:t>不提供或提供的认证证书不符合本评分项要求的不得分</w:t>
      </w:r>
      <w:r>
        <w:rPr>
          <w:rFonts w:hint="eastAsia" w:ascii="宋体" w:hAnsi="宋体" w:eastAsia="宋体" w:cs="宋体"/>
          <w:color w:val="auto"/>
          <w:sz w:val="24"/>
          <w:szCs w:val="24"/>
          <w:highlight w:val="none"/>
        </w:rPr>
        <w:t>。</w:t>
      </w:r>
    </w:p>
    <w:p w14:paraId="6F4A47D4">
      <w:pPr>
        <w:numPr>
          <w:ilvl w:val="0"/>
          <w:numId w:val="7"/>
        </w:numPr>
        <w:spacing w:line="360" w:lineRule="auto"/>
        <w:ind w:firstLine="480" w:firstLineChars="200"/>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资质证书（2分）：</w:t>
      </w:r>
      <w:bookmarkStart w:id="42" w:name="OLE_LINK12"/>
    </w:p>
    <w:p w14:paraId="24A93F2B">
      <w:pPr>
        <w:adjustRightInd w:val="0"/>
        <w:snapToGrid w:val="0"/>
        <w:spacing w:line="360" w:lineRule="auto"/>
        <w:ind w:firstLine="360" w:firstLineChars="150"/>
        <w:jc w:val="left"/>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default" w:ascii="宋体" w:hAnsi="宋体" w:eastAsia="宋体" w:cs="宋体"/>
          <w:color w:val="auto"/>
          <w:kern w:val="2"/>
          <w:sz w:val="24"/>
          <w:szCs w:val="24"/>
          <w:highlight w:val="none"/>
        </w:rPr>
        <w:t>投标人具有</w:t>
      </w:r>
      <w:r>
        <w:rPr>
          <w:rFonts w:hint="eastAsia" w:ascii="宋体" w:hAnsi="宋体" w:eastAsia="宋体" w:cs="宋体"/>
          <w:color w:val="auto"/>
          <w:kern w:val="2"/>
          <w:sz w:val="24"/>
          <w:szCs w:val="24"/>
          <w:highlight w:val="none"/>
        </w:rPr>
        <w:t>市级以上档案中介机构备案证书</w:t>
      </w:r>
      <w:r>
        <w:rPr>
          <w:rFonts w:hint="default" w:ascii="宋体" w:hAnsi="宋体" w:eastAsia="宋体" w:cs="宋体"/>
          <w:color w:val="auto"/>
          <w:kern w:val="2"/>
          <w:sz w:val="24"/>
          <w:szCs w:val="24"/>
          <w:highlight w:val="none"/>
        </w:rPr>
        <w:t>的得</w:t>
      </w:r>
      <w:r>
        <w:rPr>
          <w:rFonts w:hint="eastAsia" w:ascii="宋体" w:hAnsi="宋体" w:eastAsia="宋体" w:cs="宋体"/>
          <w:color w:val="auto"/>
          <w:kern w:val="2"/>
          <w:sz w:val="24"/>
          <w:szCs w:val="24"/>
          <w:highlight w:val="none"/>
        </w:rPr>
        <w:t>1</w:t>
      </w:r>
      <w:r>
        <w:rPr>
          <w:rFonts w:hint="default" w:ascii="宋体" w:hAnsi="宋体" w:eastAsia="宋体" w:cs="宋体"/>
          <w:color w:val="auto"/>
          <w:kern w:val="2"/>
          <w:sz w:val="24"/>
          <w:szCs w:val="24"/>
          <w:highlight w:val="none"/>
        </w:rPr>
        <w:t>分，未提供不得分。</w:t>
      </w:r>
    </w:p>
    <w:p w14:paraId="2D901F6B">
      <w:pPr>
        <w:adjustRightInd w:val="0"/>
        <w:snapToGrid w:val="0"/>
        <w:spacing w:line="360" w:lineRule="auto"/>
        <w:ind w:firstLine="360" w:firstLineChars="150"/>
        <w:jc w:val="left"/>
        <w:rPr>
          <w:rFonts w:hint="default" w:ascii="宋体" w:hAnsi="宋体" w:eastAsia="宋体" w:cs="宋体"/>
          <w:color w:val="auto"/>
          <w:kern w:val="2"/>
          <w:sz w:val="24"/>
          <w:szCs w:val="24"/>
          <w:highlight w:val="none"/>
        </w:rPr>
      </w:pPr>
      <w:r>
        <w:rPr>
          <w:rFonts w:hint="default"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rPr>
        <w:t>2</w:t>
      </w:r>
      <w:r>
        <w:rPr>
          <w:rFonts w:hint="default" w:ascii="宋体" w:hAnsi="宋体" w:eastAsia="宋体" w:cs="宋体"/>
          <w:color w:val="auto"/>
          <w:kern w:val="2"/>
          <w:sz w:val="24"/>
          <w:szCs w:val="24"/>
          <w:highlight w:val="none"/>
        </w:rPr>
        <w:t>）投标人取得</w:t>
      </w:r>
      <w:r>
        <w:rPr>
          <w:rFonts w:hint="eastAsia" w:ascii="宋体" w:hAnsi="宋体" w:eastAsia="宋体" w:cs="宋体"/>
          <w:color w:val="auto"/>
          <w:kern w:val="2"/>
          <w:sz w:val="24"/>
          <w:szCs w:val="24"/>
          <w:highlight w:val="none"/>
        </w:rPr>
        <w:t>档案涉密类企业安全等级资质证书（甲级）</w:t>
      </w:r>
      <w:r>
        <w:rPr>
          <w:rFonts w:hint="default" w:ascii="宋体" w:hAnsi="宋体" w:eastAsia="宋体" w:cs="宋体"/>
          <w:color w:val="auto"/>
          <w:kern w:val="2"/>
          <w:sz w:val="24"/>
          <w:szCs w:val="24"/>
          <w:highlight w:val="none"/>
        </w:rPr>
        <w:t>的得</w:t>
      </w:r>
      <w:r>
        <w:rPr>
          <w:rFonts w:hint="eastAsia" w:ascii="宋体" w:hAnsi="宋体" w:eastAsia="宋体" w:cs="宋体"/>
          <w:color w:val="auto"/>
          <w:kern w:val="2"/>
          <w:sz w:val="24"/>
          <w:szCs w:val="24"/>
          <w:highlight w:val="none"/>
        </w:rPr>
        <w:t>1</w:t>
      </w:r>
      <w:r>
        <w:rPr>
          <w:rFonts w:hint="default" w:ascii="宋体" w:hAnsi="宋体" w:eastAsia="宋体" w:cs="宋体"/>
          <w:color w:val="auto"/>
          <w:kern w:val="2"/>
          <w:sz w:val="24"/>
          <w:szCs w:val="24"/>
          <w:highlight w:val="none"/>
        </w:rPr>
        <w:t>分，取得</w:t>
      </w:r>
      <w:r>
        <w:rPr>
          <w:rFonts w:hint="eastAsia" w:ascii="宋体" w:hAnsi="宋体" w:eastAsia="宋体" w:cs="宋体"/>
          <w:color w:val="auto"/>
          <w:kern w:val="2"/>
          <w:sz w:val="24"/>
          <w:szCs w:val="24"/>
          <w:highlight w:val="none"/>
        </w:rPr>
        <w:t>档案涉密类企业安全等级资质证书</w:t>
      </w:r>
      <w:r>
        <w:rPr>
          <w:rFonts w:hint="default" w:ascii="宋体" w:hAnsi="宋体" w:eastAsia="宋体" w:cs="宋体"/>
          <w:color w:val="auto"/>
          <w:kern w:val="2"/>
          <w:sz w:val="24"/>
          <w:szCs w:val="24"/>
          <w:highlight w:val="none"/>
        </w:rPr>
        <w:t>（乙级）的得</w:t>
      </w:r>
      <w:r>
        <w:rPr>
          <w:rFonts w:hint="eastAsia" w:ascii="宋体" w:hAnsi="宋体" w:eastAsia="宋体" w:cs="宋体"/>
          <w:color w:val="auto"/>
          <w:kern w:val="2"/>
          <w:sz w:val="24"/>
          <w:szCs w:val="24"/>
          <w:highlight w:val="none"/>
        </w:rPr>
        <w:t>0.5分，</w:t>
      </w:r>
      <w:r>
        <w:rPr>
          <w:rFonts w:hint="default" w:ascii="宋体" w:hAnsi="宋体" w:eastAsia="宋体" w:cs="宋体"/>
          <w:color w:val="auto"/>
          <w:kern w:val="2"/>
          <w:sz w:val="24"/>
          <w:szCs w:val="24"/>
          <w:highlight w:val="none"/>
        </w:rPr>
        <w:t>不提供者不得分。</w:t>
      </w:r>
    </w:p>
    <w:p w14:paraId="4AB6AD23">
      <w:pPr>
        <w:spacing w:line="360" w:lineRule="auto"/>
        <w:ind w:firstLine="480" w:firstLineChars="200"/>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说明：提供相关证书复印件并加盖公章</w:t>
      </w:r>
      <w:bookmarkEnd w:id="42"/>
      <w:r>
        <w:rPr>
          <w:rFonts w:hint="eastAsia" w:ascii="宋体" w:hAnsi="宋体" w:eastAsia="宋体" w:cs="宋体"/>
          <w:color w:val="auto"/>
          <w:sz w:val="24"/>
          <w:szCs w:val="24"/>
          <w:highlight w:val="none"/>
        </w:rPr>
        <w:t>。</w:t>
      </w:r>
    </w:p>
    <w:p w14:paraId="0AD62008">
      <w:pPr>
        <w:tabs>
          <w:tab w:val="left" w:pos="945"/>
          <w:tab w:val="left" w:pos="1155"/>
        </w:tabs>
        <w:spacing w:line="360" w:lineRule="auto"/>
        <w:ind w:firstLine="480"/>
        <w:jc w:val="left"/>
        <w:rPr>
          <w:rFonts w:ascii="宋体" w:hAnsi="宋体" w:cs="宋体"/>
          <w:b/>
          <w:sz w:val="24"/>
          <w:szCs w:val="24"/>
          <w:highlight w:val="none"/>
        </w:rPr>
      </w:pPr>
      <w:r>
        <w:rPr>
          <w:rFonts w:hint="eastAsia" w:ascii="宋体" w:hAnsi="宋体" w:cs="宋体"/>
          <w:b/>
          <w:bCs/>
          <w:sz w:val="24"/>
          <w:szCs w:val="24"/>
          <w:highlight w:val="none"/>
          <w:lang w:val="en-US" w:eastAsia="zh-CN"/>
        </w:rPr>
        <w:t>3</w:t>
      </w:r>
      <w:r>
        <w:rPr>
          <w:rFonts w:hint="eastAsia" w:ascii="宋体" w:hAnsi="宋体" w:cs="宋体"/>
          <w:b/>
          <w:bCs/>
          <w:sz w:val="24"/>
          <w:szCs w:val="24"/>
          <w:highlight w:val="none"/>
        </w:rPr>
        <w:t>、技术</w:t>
      </w:r>
      <w:r>
        <w:rPr>
          <w:rFonts w:hint="eastAsia" w:ascii="宋体" w:hAnsi="宋体" w:cs="宋体"/>
          <w:b/>
          <w:bCs/>
          <w:color w:val="000000"/>
          <w:sz w:val="24"/>
          <w:szCs w:val="24"/>
          <w:highlight w:val="none"/>
        </w:rPr>
        <w:t>服务</w:t>
      </w:r>
      <w:r>
        <w:rPr>
          <w:rFonts w:hint="eastAsia" w:ascii="宋体" w:hAnsi="宋体" w:cs="宋体"/>
          <w:b/>
          <w:bCs/>
          <w:sz w:val="24"/>
          <w:szCs w:val="24"/>
          <w:highlight w:val="none"/>
        </w:rPr>
        <w:t>方案（</w:t>
      </w:r>
      <w:r>
        <w:rPr>
          <w:rFonts w:hint="eastAsia" w:ascii="宋体" w:hAnsi="宋体" w:cs="宋体"/>
          <w:b/>
          <w:bCs/>
          <w:sz w:val="24"/>
          <w:szCs w:val="24"/>
          <w:highlight w:val="none"/>
          <w:lang w:val="en-US" w:eastAsia="zh-CN"/>
        </w:rPr>
        <w:t>60</w:t>
      </w:r>
      <w:r>
        <w:rPr>
          <w:rFonts w:hint="eastAsia" w:ascii="宋体" w:hAnsi="宋体" w:cs="宋体"/>
          <w:b/>
          <w:bCs/>
          <w:sz w:val="24"/>
          <w:szCs w:val="24"/>
          <w:highlight w:val="none"/>
        </w:rPr>
        <w:t>分）</w:t>
      </w:r>
      <w:r>
        <w:rPr>
          <w:rFonts w:hint="eastAsia" w:ascii="宋体" w:hAnsi="宋体" w:cs="宋体"/>
          <w:sz w:val="24"/>
          <w:szCs w:val="24"/>
          <w:highlight w:val="none"/>
        </w:rPr>
        <w:t>暗标，无方案不得分，不得有体现投标供应商身份的内容，否则将被视为无效投标文件。</w:t>
      </w:r>
    </w:p>
    <w:p w14:paraId="333CE7A0">
      <w:pPr>
        <w:spacing w:line="360" w:lineRule="auto"/>
        <w:ind w:firstLine="482" w:firstLineChars="200"/>
        <w:rPr>
          <w:rFonts w:ascii="宋体" w:hAnsi="宋体" w:eastAsia="宋体"/>
          <w:b/>
          <w:bCs/>
          <w:color w:val="auto"/>
          <w:sz w:val="24"/>
          <w:szCs w:val="24"/>
          <w:highlight w:val="none"/>
          <w:lang w:bidi="zh-TW"/>
        </w:rPr>
      </w:pPr>
      <w:r>
        <w:rPr>
          <w:rFonts w:hint="eastAsia" w:ascii="宋体" w:hAnsi="宋体" w:eastAsia="宋体"/>
          <w:b/>
          <w:bCs/>
          <w:color w:val="auto"/>
          <w:sz w:val="24"/>
          <w:szCs w:val="24"/>
          <w:highlight w:val="none"/>
        </w:rPr>
        <w:t>1）无纸化项目理解方案</w:t>
      </w:r>
      <w:r>
        <w:rPr>
          <w:rFonts w:hint="eastAsia" w:ascii="宋体" w:hAnsi="宋体" w:eastAsia="宋体"/>
          <w:b/>
          <w:bCs/>
          <w:color w:val="auto"/>
          <w:sz w:val="24"/>
          <w:szCs w:val="24"/>
          <w:highlight w:val="none"/>
          <w:lang w:bidi="zh-TW"/>
        </w:rPr>
        <w:t>（4分）</w:t>
      </w:r>
    </w:p>
    <w:p w14:paraId="330B6F66">
      <w:pPr>
        <w:adjustRightInd w:val="0"/>
        <w:snapToGrid w:val="0"/>
        <w:spacing w:line="360" w:lineRule="auto"/>
        <w:ind w:firstLine="480" w:firstLineChars="200"/>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根据投标人提供的项目理解方案进行评审：包含但不限于：①项目概述、②项目需求分析、③无纸化办案理解和建议、④无纸化办案配套服务整体设计思路；上述方案进行综合评议。</w:t>
      </w:r>
    </w:p>
    <w:p w14:paraId="6E39CD11">
      <w:pPr>
        <w:spacing w:line="360" w:lineRule="auto"/>
        <w:ind w:firstLine="480"/>
        <w:outlineLvl w:val="0"/>
        <w:rPr>
          <w:rFonts w:ascii="宋体" w:hAnsi="宋体" w:cs="宋体"/>
          <w:sz w:val="24"/>
          <w:szCs w:val="24"/>
        </w:rPr>
      </w:pPr>
      <w:r>
        <w:rPr>
          <w:rFonts w:hint="eastAsia" w:ascii="宋体" w:hAnsi="宋体" w:eastAsia="宋体" w:cs="宋体"/>
          <w:color w:val="auto"/>
          <w:kern w:val="2"/>
          <w:sz w:val="24"/>
          <w:szCs w:val="24"/>
          <w:highlight w:val="none"/>
        </w:rPr>
        <w:t>方案</w:t>
      </w:r>
      <w:r>
        <w:rPr>
          <w:rFonts w:hint="eastAsia" w:ascii="宋体" w:hAnsi="宋体" w:cs="宋体"/>
          <w:sz w:val="24"/>
          <w:szCs w:val="24"/>
          <w:highlight w:val="none"/>
        </w:rPr>
        <w:t>详实、需求贴合度高且条理清晰的得</w:t>
      </w:r>
      <w:r>
        <w:rPr>
          <w:rFonts w:hint="eastAsia" w:ascii="宋体" w:hAnsi="宋体" w:cs="宋体"/>
          <w:sz w:val="24"/>
          <w:szCs w:val="24"/>
          <w:highlight w:val="none"/>
          <w:lang w:val="en-US" w:eastAsia="zh-CN"/>
        </w:rPr>
        <w:t>4</w:t>
      </w:r>
      <w:r>
        <w:rPr>
          <w:rFonts w:hint="eastAsia" w:ascii="宋体" w:hAnsi="宋体" w:cs="宋体"/>
          <w:sz w:val="24"/>
          <w:szCs w:val="24"/>
          <w:highlight w:val="none"/>
        </w:rPr>
        <w:t>分；</w:t>
      </w:r>
      <w:r>
        <w:rPr>
          <w:rFonts w:hint="eastAsia" w:ascii="宋体" w:hAnsi="宋体" w:eastAsia="宋体" w:cs="宋体"/>
          <w:color w:val="auto"/>
          <w:kern w:val="2"/>
          <w:sz w:val="24"/>
          <w:szCs w:val="24"/>
          <w:highlight w:val="none"/>
        </w:rPr>
        <w:t>方案</w:t>
      </w:r>
      <w:r>
        <w:rPr>
          <w:rFonts w:hint="eastAsia" w:ascii="宋体" w:hAnsi="宋体" w:cs="宋体"/>
          <w:sz w:val="24"/>
          <w:szCs w:val="24"/>
          <w:highlight w:val="none"/>
        </w:rPr>
        <w:t>较为简单、可行、细节待完善的得</w:t>
      </w:r>
      <w:r>
        <w:rPr>
          <w:rFonts w:hint="eastAsia" w:ascii="宋体" w:hAnsi="宋体" w:cs="宋体"/>
          <w:sz w:val="24"/>
          <w:szCs w:val="24"/>
          <w:highlight w:val="none"/>
          <w:lang w:val="en-US" w:eastAsia="zh-CN"/>
        </w:rPr>
        <w:t>2</w:t>
      </w:r>
      <w:r>
        <w:rPr>
          <w:rFonts w:hint="eastAsia" w:ascii="宋体" w:hAnsi="宋体" w:cs="宋体"/>
          <w:sz w:val="24"/>
          <w:szCs w:val="24"/>
          <w:highlight w:val="none"/>
        </w:rPr>
        <w:t>分；</w:t>
      </w:r>
      <w:r>
        <w:rPr>
          <w:rFonts w:hint="eastAsia" w:ascii="宋体" w:hAnsi="宋体" w:eastAsia="宋体" w:cs="宋体"/>
          <w:color w:val="auto"/>
          <w:kern w:val="2"/>
          <w:sz w:val="24"/>
          <w:szCs w:val="24"/>
          <w:highlight w:val="none"/>
        </w:rPr>
        <w:t>方案</w:t>
      </w:r>
      <w:r>
        <w:rPr>
          <w:rFonts w:hint="eastAsia" w:ascii="宋体" w:hAnsi="宋体"/>
          <w:bCs/>
          <w:color w:val="000000"/>
          <w:sz w:val="24"/>
          <w:highlight w:val="none"/>
        </w:rPr>
        <w:t>粗糙、无针对性、基本满足采购需求的得</w:t>
      </w:r>
      <w:r>
        <w:rPr>
          <w:rFonts w:hint="eastAsia" w:ascii="宋体" w:hAnsi="宋体"/>
          <w:bCs/>
          <w:color w:val="000000"/>
          <w:sz w:val="24"/>
          <w:highlight w:val="none"/>
          <w:lang w:val="en-US" w:eastAsia="zh-CN"/>
        </w:rPr>
        <w:t>1分</w:t>
      </w:r>
      <w:r>
        <w:rPr>
          <w:rFonts w:hint="eastAsia" w:ascii="宋体" w:hAnsi="宋体" w:eastAsia="宋体" w:cs="宋体"/>
          <w:color w:val="auto"/>
          <w:kern w:val="2"/>
          <w:sz w:val="24"/>
          <w:szCs w:val="24"/>
          <w:highlight w:val="none"/>
        </w:rPr>
        <w:t>；无则不得分</w:t>
      </w:r>
      <w:r>
        <w:rPr>
          <w:rFonts w:hint="eastAsia" w:ascii="宋体" w:hAnsi="宋体" w:cs="宋体"/>
          <w:sz w:val="24"/>
          <w:szCs w:val="24"/>
          <w:highlight w:val="none"/>
          <w:lang w:eastAsia="zh-CN"/>
        </w:rPr>
        <w:t>。</w:t>
      </w:r>
      <w:r>
        <w:rPr>
          <w:rFonts w:hint="eastAsia" w:ascii="宋体" w:hAnsi="宋体" w:cs="宋体"/>
          <w:sz w:val="24"/>
          <w:szCs w:val="24"/>
        </w:rPr>
        <w:t xml:space="preserve"> </w:t>
      </w:r>
    </w:p>
    <w:p w14:paraId="62F477E4">
      <w:pPr>
        <w:spacing w:line="360" w:lineRule="auto"/>
        <w:ind w:firstLine="482" w:firstLineChars="20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2）精细化集中编目服务方案（20分）</w:t>
      </w:r>
    </w:p>
    <w:p w14:paraId="5CD7EAFD">
      <w:pPr>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根据投标人提供的编目质检服务方案进行评审：包含但不限于①编目规范方案②材料名称编目规范手册（含民初，民终、财保、民特、刑初，刑终、执、执恢、执保、行初、行终、司救执等）③精细化编目服务④编目质检服务⑤编目服务流程⑥编目时效性方案⑦归目服务方案⑧编目服务岗位职责⑨要素信息提取服务⑩大模型标注训练；上述方案进行综合评议，每项2分，共计20分，每有一项内容不完整或有缺陷的扣1分，扣完为止，未提供不得分。</w:t>
      </w:r>
    </w:p>
    <w:p w14:paraId="763FA56E">
      <w:pPr>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注：内容不完整或有缺陷是指：非专门针对本项目或不适用本项目需求的情形、套用其他项目方案、内容前后矛盾、涉及的规范及标准错误等及其他情形。</w:t>
      </w:r>
    </w:p>
    <w:p w14:paraId="626B1937">
      <w:pPr>
        <w:spacing w:line="360" w:lineRule="auto"/>
        <w:ind w:firstLine="482" w:firstLineChars="20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3）核心能力配套方案（10分）</w:t>
      </w:r>
    </w:p>
    <w:p w14:paraId="47278873">
      <w:pPr>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根据投标人拟投入本项目配套服务软件从主要功能系统截图综合评审：</w:t>
      </w:r>
    </w:p>
    <w:p w14:paraId="1638AD0E">
      <w:pPr>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根据投标人随服务提供的智能编目引擎能力进行评分：提供①对同份材料自动合并封装生成整份PDF文件②针对重点材料如保全申请、鉴定申请等材料在编目入卷时自动推送站内消息，提醒书记员与承办法官该重点材料已入卷③支持根据材料来源、案件类型、业务类型自动甄别紧急程度并优先自动分派④支持可视化编目规则配置和自定义材料命名拼接规范，四个核心业务场景每提供一个业务场景描述和操作步骤截图得1分，只有业务场景描述或只有截图不得分，本项最高得分4分，未提供不得分。</w:t>
      </w:r>
    </w:p>
    <w:p w14:paraId="17504C55">
      <w:pPr>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根据投标人提供的卷宗材料智能标注编目数据可视化平台进行评审：提供①实时展示两级法院电子卷宗随案生成率、卷宗规范率；②统计各法院扫描收办总量、页数、处理时长、时效达标率；③展示编目总量、日均工单、人均产能、任务完成率；④追踪材料接收、编目、归档全流程耗时，识别超时环节；⑤按日/周/月/季度输出业务趋势，自动计算同比、环比；⑥针对编目效率、时效达标率等关键指标自动预警；每提供一个功能截图得1分，本项最高得分6分，未提供不得分。</w:t>
      </w:r>
    </w:p>
    <w:p w14:paraId="5B358769">
      <w:pPr>
        <w:spacing w:line="360" w:lineRule="auto"/>
        <w:ind w:firstLine="482" w:firstLineChars="200"/>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注：提供相关功能截图作为证明材料。</w:t>
      </w:r>
      <w:r>
        <w:rPr>
          <w:rFonts w:hint="eastAsia" w:ascii="宋体" w:hAnsi="宋体" w:eastAsia="宋体" w:cs="宋体"/>
          <w:color w:val="auto"/>
          <w:sz w:val="24"/>
          <w:szCs w:val="24"/>
          <w:highlight w:val="none"/>
        </w:rPr>
        <w:t xml:space="preserve"> </w:t>
      </w:r>
    </w:p>
    <w:p w14:paraId="2B3BDA47">
      <w:pPr>
        <w:spacing w:line="360" w:lineRule="auto"/>
        <w:ind w:firstLine="482" w:firstLineChars="20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4）服务标准和服务质量方案（6分）</w:t>
      </w:r>
    </w:p>
    <w:p w14:paraId="2A5B12EF">
      <w:pPr>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根据投标人提供的服务标准方案进行评审：包含但不限于①电子卷宗随案同步生成标准②精细化编目标准规范（无锡地区）③案件卷宗排序标准；上述方案进行综合评议，每项1分，共计3分，每有一项缺项的扣1分，每有一项内容不完整或有缺陷的扣0.5分，扣完为止，未提供不得分。</w:t>
      </w:r>
    </w:p>
    <w:p w14:paraId="66A425A7">
      <w:pPr>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根据投标人提供的服务绩效方案进行评审：包含但不限于①集中编目各岗位绩效考核体系②绩效考核管理办法③集中编目服务数据监管、统计与上报方案；上述方案进行综合评议，每项1分，共计3分，每有一项缺项的扣1分，每有一项内容不完整或有缺陷的扣0.5分，扣完为止，未提供不得分。</w:t>
      </w:r>
    </w:p>
    <w:p w14:paraId="1131BC1C">
      <w:pPr>
        <w:spacing w:line="360" w:lineRule="auto"/>
        <w:ind w:firstLine="480" w:firstLineChars="200"/>
        <w:rPr>
          <w:rFonts w:ascii="宋体" w:hAnsi="宋体" w:eastAsia="宋体"/>
          <w:color w:val="auto"/>
          <w:sz w:val="24"/>
          <w:szCs w:val="24"/>
          <w:highlight w:val="none"/>
        </w:rPr>
      </w:pPr>
      <w:r>
        <w:rPr>
          <w:rFonts w:hint="eastAsia" w:ascii="宋体" w:hAnsi="宋体" w:eastAsia="宋体" w:cs="宋体"/>
          <w:color w:val="auto"/>
          <w:sz w:val="24"/>
          <w:szCs w:val="24"/>
          <w:highlight w:val="none"/>
        </w:rPr>
        <w:t>注：内容不完整或有缺陷是指：非专门针对本项目或不适用本项目需求的情形、套用其他项目方案、内容前后矛盾、涉及的规范及标准错误等及其他情形。</w:t>
      </w:r>
    </w:p>
    <w:p w14:paraId="6CA25897">
      <w:pPr>
        <w:spacing w:line="360" w:lineRule="auto"/>
        <w:ind w:firstLine="482" w:firstLineChars="20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5）项目组织方案（4分）</w:t>
      </w:r>
    </w:p>
    <w:p w14:paraId="2FD89324">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根据投标人提供的项目组织方案进行评审：包含但不限于①项目进度计划②内部管理架构③管理规章制度；上述方案进行综合评议。</w:t>
      </w:r>
    </w:p>
    <w:p w14:paraId="79FA6EAE">
      <w:pPr>
        <w:spacing w:line="360" w:lineRule="auto"/>
        <w:ind w:firstLine="480"/>
        <w:outlineLvl w:val="0"/>
        <w:rPr>
          <w:rFonts w:ascii="宋体" w:hAnsi="宋体" w:eastAsia="宋体"/>
          <w:color w:val="auto"/>
          <w:sz w:val="24"/>
          <w:szCs w:val="24"/>
          <w:highlight w:val="none"/>
        </w:rPr>
      </w:pPr>
      <w:r>
        <w:rPr>
          <w:rFonts w:hint="eastAsia" w:ascii="宋体" w:hAnsi="宋体" w:eastAsia="宋体" w:cs="宋体"/>
          <w:color w:val="auto"/>
          <w:kern w:val="2"/>
          <w:sz w:val="24"/>
          <w:szCs w:val="24"/>
          <w:highlight w:val="none"/>
        </w:rPr>
        <w:t>方案</w:t>
      </w:r>
      <w:r>
        <w:rPr>
          <w:rFonts w:hint="eastAsia" w:ascii="宋体" w:hAnsi="宋体" w:cs="宋体"/>
          <w:sz w:val="24"/>
          <w:szCs w:val="24"/>
          <w:highlight w:val="none"/>
        </w:rPr>
        <w:t>详实、需求贴合度高且条理清晰的得</w:t>
      </w:r>
      <w:r>
        <w:rPr>
          <w:rFonts w:hint="eastAsia" w:ascii="宋体" w:hAnsi="宋体" w:cs="宋体"/>
          <w:sz w:val="24"/>
          <w:szCs w:val="24"/>
          <w:highlight w:val="none"/>
          <w:lang w:val="en-US" w:eastAsia="zh-CN"/>
        </w:rPr>
        <w:t>4</w:t>
      </w:r>
      <w:r>
        <w:rPr>
          <w:rFonts w:hint="eastAsia" w:ascii="宋体" w:hAnsi="宋体" w:cs="宋体"/>
          <w:sz w:val="24"/>
          <w:szCs w:val="24"/>
          <w:highlight w:val="none"/>
        </w:rPr>
        <w:t>分；</w:t>
      </w:r>
      <w:r>
        <w:rPr>
          <w:rFonts w:hint="eastAsia" w:ascii="宋体" w:hAnsi="宋体" w:eastAsia="宋体" w:cs="宋体"/>
          <w:color w:val="auto"/>
          <w:kern w:val="2"/>
          <w:sz w:val="24"/>
          <w:szCs w:val="24"/>
          <w:highlight w:val="none"/>
        </w:rPr>
        <w:t>方案</w:t>
      </w:r>
      <w:r>
        <w:rPr>
          <w:rFonts w:hint="eastAsia" w:ascii="宋体" w:hAnsi="宋体" w:cs="宋体"/>
          <w:sz w:val="24"/>
          <w:szCs w:val="24"/>
          <w:highlight w:val="none"/>
        </w:rPr>
        <w:t>较为简单、可行、细节待完善的得</w:t>
      </w:r>
      <w:r>
        <w:rPr>
          <w:rFonts w:hint="eastAsia" w:ascii="宋体" w:hAnsi="宋体" w:cs="宋体"/>
          <w:sz w:val="24"/>
          <w:szCs w:val="24"/>
          <w:highlight w:val="none"/>
          <w:lang w:val="en-US" w:eastAsia="zh-CN"/>
        </w:rPr>
        <w:t>2</w:t>
      </w:r>
      <w:r>
        <w:rPr>
          <w:rFonts w:hint="eastAsia" w:ascii="宋体" w:hAnsi="宋体" w:cs="宋体"/>
          <w:sz w:val="24"/>
          <w:szCs w:val="24"/>
          <w:highlight w:val="none"/>
        </w:rPr>
        <w:t>分；</w:t>
      </w:r>
      <w:r>
        <w:rPr>
          <w:rFonts w:hint="eastAsia" w:ascii="宋体" w:hAnsi="宋体" w:eastAsia="宋体" w:cs="宋体"/>
          <w:color w:val="auto"/>
          <w:kern w:val="2"/>
          <w:sz w:val="24"/>
          <w:szCs w:val="24"/>
          <w:highlight w:val="none"/>
        </w:rPr>
        <w:t>方案</w:t>
      </w:r>
      <w:r>
        <w:rPr>
          <w:rFonts w:hint="eastAsia" w:ascii="宋体" w:hAnsi="宋体"/>
          <w:bCs/>
          <w:color w:val="000000"/>
          <w:sz w:val="24"/>
          <w:highlight w:val="none"/>
        </w:rPr>
        <w:t>粗糙、无针对性、基本满足采购需求的得</w:t>
      </w:r>
      <w:r>
        <w:rPr>
          <w:rFonts w:hint="eastAsia" w:ascii="宋体" w:hAnsi="宋体"/>
          <w:bCs/>
          <w:color w:val="000000"/>
          <w:sz w:val="24"/>
          <w:highlight w:val="none"/>
          <w:lang w:val="en-US" w:eastAsia="zh-CN"/>
        </w:rPr>
        <w:t>1分</w:t>
      </w:r>
      <w:r>
        <w:rPr>
          <w:rFonts w:hint="eastAsia" w:ascii="宋体" w:hAnsi="宋体" w:eastAsia="宋体" w:cs="宋体"/>
          <w:color w:val="auto"/>
          <w:kern w:val="2"/>
          <w:sz w:val="24"/>
          <w:szCs w:val="24"/>
          <w:highlight w:val="none"/>
        </w:rPr>
        <w:t>；无则不得分</w:t>
      </w:r>
      <w:r>
        <w:rPr>
          <w:rFonts w:hint="eastAsia" w:ascii="宋体" w:hAnsi="宋体" w:cs="宋体"/>
          <w:sz w:val="24"/>
          <w:szCs w:val="24"/>
          <w:highlight w:val="none"/>
          <w:lang w:eastAsia="zh-CN"/>
        </w:rPr>
        <w:t>。</w:t>
      </w:r>
      <w:r>
        <w:rPr>
          <w:rFonts w:hint="eastAsia" w:ascii="宋体" w:hAnsi="宋体" w:cs="宋体"/>
          <w:sz w:val="24"/>
          <w:szCs w:val="24"/>
        </w:rPr>
        <w:t xml:space="preserve"> </w:t>
      </w:r>
    </w:p>
    <w:p w14:paraId="74B5041C">
      <w:pPr>
        <w:spacing w:line="360" w:lineRule="auto"/>
        <w:ind w:firstLine="482" w:firstLineChars="20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6）培训方案（4分）</w:t>
      </w:r>
    </w:p>
    <w:p w14:paraId="12E215D1">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根据投标人提供的培训方案进行评审：包含但不限于①内部培训②法院端培训③员工培训管理制度；上述方案进行综合评议。</w:t>
      </w:r>
    </w:p>
    <w:p w14:paraId="12450DFA">
      <w:pPr>
        <w:spacing w:line="360" w:lineRule="auto"/>
        <w:ind w:firstLine="480"/>
        <w:outlineLvl w:val="0"/>
        <w:rPr>
          <w:rFonts w:ascii="宋体" w:hAnsi="宋体" w:cs="宋体"/>
          <w:sz w:val="24"/>
          <w:szCs w:val="24"/>
        </w:rPr>
      </w:pPr>
      <w:r>
        <w:rPr>
          <w:rFonts w:hint="eastAsia" w:ascii="宋体" w:hAnsi="宋体" w:eastAsia="宋体" w:cs="宋体"/>
          <w:color w:val="auto"/>
          <w:kern w:val="2"/>
          <w:sz w:val="24"/>
          <w:szCs w:val="24"/>
          <w:highlight w:val="none"/>
        </w:rPr>
        <w:t>方案</w:t>
      </w:r>
      <w:r>
        <w:rPr>
          <w:rFonts w:hint="eastAsia" w:ascii="宋体" w:hAnsi="宋体" w:cs="宋体"/>
          <w:sz w:val="24"/>
          <w:szCs w:val="24"/>
          <w:highlight w:val="none"/>
        </w:rPr>
        <w:t>详实、需求贴合度高且条理清晰的得</w:t>
      </w:r>
      <w:r>
        <w:rPr>
          <w:rFonts w:hint="eastAsia" w:ascii="宋体" w:hAnsi="宋体" w:cs="宋体"/>
          <w:sz w:val="24"/>
          <w:szCs w:val="24"/>
          <w:highlight w:val="none"/>
          <w:lang w:val="en-US" w:eastAsia="zh-CN"/>
        </w:rPr>
        <w:t>4</w:t>
      </w:r>
      <w:r>
        <w:rPr>
          <w:rFonts w:hint="eastAsia" w:ascii="宋体" w:hAnsi="宋体" w:cs="宋体"/>
          <w:sz w:val="24"/>
          <w:szCs w:val="24"/>
          <w:highlight w:val="none"/>
        </w:rPr>
        <w:t>分；</w:t>
      </w:r>
      <w:r>
        <w:rPr>
          <w:rFonts w:hint="eastAsia" w:ascii="宋体" w:hAnsi="宋体" w:eastAsia="宋体" w:cs="宋体"/>
          <w:color w:val="auto"/>
          <w:kern w:val="2"/>
          <w:sz w:val="24"/>
          <w:szCs w:val="24"/>
          <w:highlight w:val="none"/>
        </w:rPr>
        <w:t>方案</w:t>
      </w:r>
      <w:r>
        <w:rPr>
          <w:rFonts w:hint="eastAsia" w:ascii="宋体" w:hAnsi="宋体" w:cs="宋体"/>
          <w:sz w:val="24"/>
          <w:szCs w:val="24"/>
          <w:highlight w:val="none"/>
        </w:rPr>
        <w:t>较为简单、可行、细节待完善的得</w:t>
      </w:r>
      <w:r>
        <w:rPr>
          <w:rFonts w:hint="eastAsia" w:ascii="宋体" w:hAnsi="宋体" w:cs="宋体"/>
          <w:sz w:val="24"/>
          <w:szCs w:val="24"/>
          <w:highlight w:val="none"/>
          <w:lang w:val="en-US" w:eastAsia="zh-CN"/>
        </w:rPr>
        <w:t>2</w:t>
      </w:r>
      <w:r>
        <w:rPr>
          <w:rFonts w:hint="eastAsia" w:ascii="宋体" w:hAnsi="宋体" w:cs="宋体"/>
          <w:sz w:val="24"/>
          <w:szCs w:val="24"/>
          <w:highlight w:val="none"/>
        </w:rPr>
        <w:t>分；</w:t>
      </w:r>
      <w:r>
        <w:rPr>
          <w:rFonts w:hint="eastAsia" w:ascii="宋体" w:hAnsi="宋体" w:eastAsia="宋体" w:cs="宋体"/>
          <w:color w:val="auto"/>
          <w:kern w:val="2"/>
          <w:sz w:val="24"/>
          <w:szCs w:val="24"/>
          <w:highlight w:val="none"/>
        </w:rPr>
        <w:t>方案</w:t>
      </w:r>
      <w:r>
        <w:rPr>
          <w:rFonts w:hint="eastAsia" w:ascii="宋体" w:hAnsi="宋体"/>
          <w:bCs/>
          <w:color w:val="000000"/>
          <w:sz w:val="24"/>
          <w:highlight w:val="none"/>
        </w:rPr>
        <w:t>粗糙、无针对性、基本满足采购需求的得</w:t>
      </w:r>
      <w:r>
        <w:rPr>
          <w:rFonts w:hint="eastAsia" w:ascii="宋体" w:hAnsi="宋体"/>
          <w:bCs/>
          <w:color w:val="000000"/>
          <w:sz w:val="24"/>
          <w:highlight w:val="none"/>
          <w:lang w:val="en-US" w:eastAsia="zh-CN"/>
        </w:rPr>
        <w:t>1分</w:t>
      </w:r>
      <w:r>
        <w:rPr>
          <w:rFonts w:hint="eastAsia" w:ascii="宋体" w:hAnsi="宋体" w:eastAsia="宋体" w:cs="宋体"/>
          <w:color w:val="auto"/>
          <w:kern w:val="2"/>
          <w:sz w:val="24"/>
          <w:szCs w:val="24"/>
          <w:highlight w:val="none"/>
        </w:rPr>
        <w:t>；无则不得分</w:t>
      </w:r>
      <w:r>
        <w:rPr>
          <w:rFonts w:hint="eastAsia" w:ascii="宋体" w:hAnsi="宋体" w:cs="宋体"/>
          <w:sz w:val="24"/>
          <w:szCs w:val="24"/>
          <w:highlight w:val="none"/>
          <w:lang w:eastAsia="zh-CN"/>
        </w:rPr>
        <w:t>。</w:t>
      </w:r>
      <w:r>
        <w:rPr>
          <w:rFonts w:hint="eastAsia" w:ascii="宋体" w:hAnsi="宋体" w:cs="宋体"/>
          <w:sz w:val="24"/>
          <w:szCs w:val="24"/>
        </w:rPr>
        <w:t xml:space="preserve"> </w:t>
      </w:r>
    </w:p>
    <w:p w14:paraId="5645C47F">
      <w:pPr>
        <w:spacing w:line="360" w:lineRule="auto"/>
        <w:ind w:firstLine="482" w:firstLineChars="20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7）人力资源保障措施（4分）</w:t>
      </w:r>
    </w:p>
    <w:p w14:paraId="2365B7EF">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根据投标人提供的人力资源保障措施方案进行评审：包含但不限于①员工入离职管理制度②薪酬制度规范③员工晋升机制④员工奖惩制度；上述方案进行综合评议。</w:t>
      </w:r>
    </w:p>
    <w:p w14:paraId="36B9A775">
      <w:pPr>
        <w:spacing w:line="360" w:lineRule="auto"/>
        <w:ind w:firstLine="480"/>
        <w:outlineLvl w:val="0"/>
        <w:rPr>
          <w:rFonts w:ascii="宋体" w:hAnsi="宋体" w:cs="宋体"/>
          <w:sz w:val="24"/>
          <w:szCs w:val="24"/>
        </w:rPr>
      </w:pPr>
      <w:r>
        <w:rPr>
          <w:rFonts w:hint="eastAsia" w:ascii="宋体" w:hAnsi="宋体" w:eastAsia="宋体" w:cs="宋体"/>
          <w:color w:val="auto"/>
          <w:kern w:val="2"/>
          <w:sz w:val="24"/>
          <w:szCs w:val="24"/>
          <w:highlight w:val="none"/>
        </w:rPr>
        <w:t>方案</w:t>
      </w:r>
      <w:r>
        <w:rPr>
          <w:rFonts w:hint="eastAsia" w:ascii="宋体" w:hAnsi="宋体" w:cs="宋体"/>
          <w:sz w:val="24"/>
          <w:szCs w:val="24"/>
          <w:highlight w:val="none"/>
        </w:rPr>
        <w:t>详实、需求贴合度高且条理清晰的得</w:t>
      </w:r>
      <w:r>
        <w:rPr>
          <w:rFonts w:hint="eastAsia" w:ascii="宋体" w:hAnsi="宋体" w:cs="宋体"/>
          <w:sz w:val="24"/>
          <w:szCs w:val="24"/>
          <w:highlight w:val="none"/>
          <w:lang w:val="en-US" w:eastAsia="zh-CN"/>
        </w:rPr>
        <w:t>4</w:t>
      </w:r>
      <w:r>
        <w:rPr>
          <w:rFonts w:hint="eastAsia" w:ascii="宋体" w:hAnsi="宋体" w:cs="宋体"/>
          <w:sz w:val="24"/>
          <w:szCs w:val="24"/>
          <w:highlight w:val="none"/>
        </w:rPr>
        <w:t>分；</w:t>
      </w:r>
      <w:r>
        <w:rPr>
          <w:rFonts w:hint="eastAsia" w:ascii="宋体" w:hAnsi="宋体" w:eastAsia="宋体" w:cs="宋体"/>
          <w:color w:val="auto"/>
          <w:kern w:val="2"/>
          <w:sz w:val="24"/>
          <w:szCs w:val="24"/>
          <w:highlight w:val="none"/>
        </w:rPr>
        <w:t>方案</w:t>
      </w:r>
      <w:r>
        <w:rPr>
          <w:rFonts w:hint="eastAsia" w:ascii="宋体" w:hAnsi="宋体" w:cs="宋体"/>
          <w:sz w:val="24"/>
          <w:szCs w:val="24"/>
          <w:highlight w:val="none"/>
        </w:rPr>
        <w:t>较为简单、可行、细节待完善的得</w:t>
      </w:r>
      <w:r>
        <w:rPr>
          <w:rFonts w:hint="eastAsia" w:ascii="宋体" w:hAnsi="宋体" w:cs="宋体"/>
          <w:sz w:val="24"/>
          <w:szCs w:val="24"/>
          <w:highlight w:val="none"/>
          <w:lang w:val="en-US" w:eastAsia="zh-CN"/>
        </w:rPr>
        <w:t>2</w:t>
      </w:r>
      <w:r>
        <w:rPr>
          <w:rFonts w:hint="eastAsia" w:ascii="宋体" w:hAnsi="宋体" w:cs="宋体"/>
          <w:sz w:val="24"/>
          <w:szCs w:val="24"/>
          <w:highlight w:val="none"/>
        </w:rPr>
        <w:t>分；</w:t>
      </w:r>
      <w:r>
        <w:rPr>
          <w:rFonts w:hint="eastAsia" w:ascii="宋体" w:hAnsi="宋体" w:eastAsia="宋体" w:cs="宋体"/>
          <w:color w:val="auto"/>
          <w:kern w:val="2"/>
          <w:sz w:val="24"/>
          <w:szCs w:val="24"/>
          <w:highlight w:val="none"/>
        </w:rPr>
        <w:t>方案</w:t>
      </w:r>
      <w:r>
        <w:rPr>
          <w:rFonts w:hint="eastAsia" w:ascii="宋体" w:hAnsi="宋体"/>
          <w:bCs/>
          <w:color w:val="000000"/>
          <w:sz w:val="24"/>
          <w:highlight w:val="none"/>
        </w:rPr>
        <w:t>粗糙、无针对性、基本满足采购需求的得</w:t>
      </w:r>
      <w:r>
        <w:rPr>
          <w:rFonts w:hint="eastAsia" w:ascii="宋体" w:hAnsi="宋体"/>
          <w:bCs/>
          <w:color w:val="000000"/>
          <w:sz w:val="24"/>
          <w:highlight w:val="none"/>
          <w:lang w:val="en-US" w:eastAsia="zh-CN"/>
        </w:rPr>
        <w:t>1分</w:t>
      </w:r>
      <w:r>
        <w:rPr>
          <w:rFonts w:hint="eastAsia" w:ascii="宋体" w:hAnsi="宋体" w:eastAsia="宋体" w:cs="宋体"/>
          <w:color w:val="auto"/>
          <w:kern w:val="2"/>
          <w:sz w:val="24"/>
          <w:szCs w:val="24"/>
          <w:highlight w:val="none"/>
        </w:rPr>
        <w:t>；无则不得分</w:t>
      </w:r>
      <w:r>
        <w:rPr>
          <w:rFonts w:hint="eastAsia" w:ascii="宋体" w:hAnsi="宋体" w:cs="宋体"/>
          <w:sz w:val="24"/>
          <w:szCs w:val="24"/>
          <w:highlight w:val="none"/>
          <w:lang w:eastAsia="zh-CN"/>
        </w:rPr>
        <w:t>。</w:t>
      </w:r>
      <w:r>
        <w:rPr>
          <w:rFonts w:hint="eastAsia" w:ascii="宋体" w:hAnsi="宋体" w:cs="宋体"/>
          <w:sz w:val="24"/>
          <w:szCs w:val="24"/>
        </w:rPr>
        <w:t xml:space="preserve"> </w:t>
      </w:r>
    </w:p>
    <w:p w14:paraId="563572B6">
      <w:pPr>
        <w:spacing w:line="360" w:lineRule="auto"/>
        <w:ind w:firstLine="482" w:firstLineChars="20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8）应急情况处理方案（4分）</w:t>
      </w:r>
    </w:p>
    <w:p w14:paraId="77F1CE88">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根据投标人提供的应急情况处理方案进行评审：包含但不限于①应急事项的处理流程和处理方法②日常预防机制；上述方案进行综合评议。</w:t>
      </w:r>
    </w:p>
    <w:p w14:paraId="5ABBBDB3">
      <w:pPr>
        <w:spacing w:line="360" w:lineRule="auto"/>
        <w:ind w:firstLine="480"/>
        <w:outlineLvl w:val="0"/>
        <w:rPr>
          <w:rFonts w:ascii="宋体" w:hAnsi="宋体" w:cs="宋体"/>
          <w:sz w:val="24"/>
          <w:szCs w:val="24"/>
        </w:rPr>
      </w:pPr>
      <w:r>
        <w:rPr>
          <w:rFonts w:hint="eastAsia" w:ascii="宋体" w:hAnsi="宋体" w:eastAsia="宋体" w:cs="宋体"/>
          <w:color w:val="auto"/>
          <w:kern w:val="2"/>
          <w:sz w:val="24"/>
          <w:szCs w:val="24"/>
          <w:highlight w:val="none"/>
        </w:rPr>
        <w:t>方案</w:t>
      </w:r>
      <w:r>
        <w:rPr>
          <w:rFonts w:hint="eastAsia" w:ascii="宋体" w:hAnsi="宋体" w:cs="宋体"/>
          <w:sz w:val="24"/>
          <w:szCs w:val="24"/>
          <w:highlight w:val="none"/>
        </w:rPr>
        <w:t>详实、需求贴合度高且条理清晰的得</w:t>
      </w:r>
      <w:r>
        <w:rPr>
          <w:rFonts w:hint="eastAsia" w:ascii="宋体" w:hAnsi="宋体" w:cs="宋体"/>
          <w:sz w:val="24"/>
          <w:szCs w:val="24"/>
          <w:highlight w:val="none"/>
          <w:lang w:val="en-US" w:eastAsia="zh-CN"/>
        </w:rPr>
        <w:t>4</w:t>
      </w:r>
      <w:r>
        <w:rPr>
          <w:rFonts w:hint="eastAsia" w:ascii="宋体" w:hAnsi="宋体" w:cs="宋体"/>
          <w:sz w:val="24"/>
          <w:szCs w:val="24"/>
          <w:highlight w:val="none"/>
        </w:rPr>
        <w:t>分；</w:t>
      </w:r>
      <w:r>
        <w:rPr>
          <w:rFonts w:hint="eastAsia" w:ascii="宋体" w:hAnsi="宋体" w:eastAsia="宋体" w:cs="宋体"/>
          <w:color w:val="auto"/>
          <w:kern w:val="2"/>
          <w:sz w:val="24"/>
          <w:szCs w:val="24"/>
          <w:highlight w:val="none"/>
        </w:rPr>
        <w:t>方案</w:t>
      </w:r>
      <w:r>
        <w:rPr>
          <w:rFonts w:hint="eastAsia" w:ascii="宋体" w:hAnsi="宋体" w:cs="宋体"/>
          <w:sz w:val="24"/>
          <w:szCs w:val="24"/>
          <w:highlight w:val="none"/>
        </w:rPr>
        <w:t>较为简单、可行、细节待完善的得</w:t>
      </w:r>
      <w:r>
        <w:rPr>
          <w:rFonts w:hint="eastAsia" w:ascii="宋体" w:hAnsi="宋体" w:cs="宋体"/>
          <w:sz w:val="24"/>
          <w:szCs w:val="24"/>
          <w:highlight w:val="none"/>
          <w:lang w:val="en-US" w:eastAsia="zh-CN"/>
        </w:rPr>
        <w:t>2</w:t>
      </w:r>
      <w:r>
        <w:rPr>
          <w:rFonts w:hint="eastAsia" w:ascii="宋体" w:hAnsi="宋体" w:cs="宋体"/>
          <w:sz w:val="24"/>
          <w:szCs w:val="24"/>
          <w:highlight w:val="none"/>
        </w:rPr>
        <w:t>分；</w:t>
      </w:r>
      <w:r>
        <w:rPr>
          <w:rFonts w:hint="eastAsia" w:ascii="宋体" w:hAnsi="宋体" w:eastAsia="宋体" w:cs="宋体"/>
          <w:color w:val="auto"/>
          <w:kern w:val="2"/>
          <w:sz w:val="24"/>
          <w:szCs w:val="24"/>
          <w:highlight w:val="none"/>
        </w:rPr>
        <w:t>方案</w:t>
      </w:r>
      <w:r>
        <w:rPr>
          <w:rFonts w:hint="eastAsia" w:ascii="宋体" w:hAnsi="宋体"/>
          <w:bCs/>
          <w:color w:val="000000"/>
          <w:sz w:val="24"/>
          <w:highlight w:val="none"/>
        </w:rPr>
        <w:t>粗糙、无针对性、基本满足采购需求的得</w:t>
      </w:r>
      <w:r>
        <w:rPr>
          <w:rFonts w:hint="eastAsia" w:ascii="宋体" w:hAnsi="宋体"/>
          <w:bCs/>
          <w:color w:val="000000"/>
          <w:sz w:val="24"/>
          <w:highlight w:val="none"/>
          <w:lang w:val="en-US" w:eastAsia="zh-CN"/>
        </w:rPr>
        <w:t>1分</w:t>
      </w:r>
      <w:r>
        <w:rPr>
          <w:rFonts w:hint="eastAsia" w:ascii="宋体" w:hAnsi="宋体" w:eastAsia="宋体" w:cs="宋体"/>
          <w:color w:val="auto"/>
          <w:kern w:val="2"/>
          <w:sz w:val="24"/>
          <w:szCs w:val="24"/>
          <w:highlight w:val="none"/>
        </w:rPr>
        <w:t>；无则不得分</w:t>
      </w:r>
      <w:r>
        <w:rPr>
          <w:rFonts w:hint="eastAsia" w:ascii="宋体" w:hAnsi="宋体" w:cs="宋体"/>
          <w:sz w:val="24"/>
          <w:szCs w:val="24"/>
          <w:highlight w:val="none"/>
          <w:lang w:eastAsia="zh-CN"/>
        </w:rPr>
        <w:t>。</w:t>
      </w:r>
      <w:r>
        <w:rPr>
          <w:rFonts w:hint="eastAsia" w:ascii="宋体" w:hAnsi="宋体" w:cs="宋体"/>
          <w:sz w:val="24"/>
          <w:szCs w:val="24"/>
        </w:rPr>
        <w:t xml:space="preserve"> </w:t>
      </w:r>
    </w:p>
    <w:p w14:paraId="43B0B0D1">
      <w:pPr>
        <w:spacing w:line="360" w:lineRule="auto"/>
        <w:ind w:firstLine="482" w:firstLineChars="200"/>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9）安全保密方案（4分）</w:t>
      </w:r>
    </w:p>
    <w:p w14:paraId="031E5161">
      <w:pPr>
        <w:spacing w:line="360" w:lineRule="auto"/>
        <w:ind w:firstLine="480"/>
        <w:outlineLvl w:val="0"/>
        <w:rPr>
          <w:rFonts w:ascii="宋体" w:hAnsi="宋体" w:cs="宋体"/>
          <w:sz w:val="24"/>
          <w:szCs w:val="24"/>
        </w:rPr>
      </w:pPr>
      <w:r>
        <w:rPr>
          <w:rFonts w:hint="eastAsia" w:ascii="宋体" w:hAnsi="宋体" w:eastAsia="宋体" w:cs="宋体"/>
          <w:color w:val="auto"/>
          <w:sz w:val="24"/>
          <w:szCs w:val="24"/>
          <w:highlight w:val="none"/>
        </w:rPr>
        <w:t>根据投标人提供的安全保密方案进行评审：包含但不限于①保密安全管理制度②保密安全管理规范③保密安全管理措施；上述方案进行综合评议，</w:t>
      </w:r>
      <w:r>
        <w:rPr>
          <w:rFonts w:hint="eastAsia" w:ascii="宋体" w:hAnsi="宋体" w:eastAsia="宋体" w:cs="宋体"/>
          <w:color w:val="auto"/>
          <w:kern w:val="2"/>
          <w:sz w:val="24"/>
          <w:szCs w:val="24"/>
          <w:highlight w:val="none"/>
        </w:rPr>
        <w:t>方案</w:t>
      </w:r>
      <w:r>
        <w:rPr>
          <w:rFonts w:hint="eastAsia" w:ascii="宋体" w:hAnsi="宋体" w:cs="宋体"/>
          <w:sz w:val="24"/>
          <w:szCs w:val="24"/>
          <w:highlight w:val="none"/>
        </w:rPr>
        <w:t>详实、需求贴合度高且条理清晰的得</w:t>
      </w:r>
      <w:r>
        <w:rPr>
          <w:rFonts w:hint="eastAsia" w:ascii="宋体" w:hAnsi="宋体" w:cs="宋体"/>
          <w:sz w:val="24"/>
          <w:szCs w:val="24"/>
          <w:highlight w:val="none"/>
          <w:lang w:val="en-US" w:eastAsia="zh-CN"/>
        </w:rPr>
        <w:t>4</w:t>
      </w:r>
      <w:r>
        <w:rPr>
          <w:rFonts w:hint="eastAsia" w:ascii="宋体" w:hAnsi="宋体" w:cs="宋体"/>
          <w:sz w:val="24"/>
          <w:szCs w:val="24"/>
          <w:highlight w:val="none"/>
        </w:rPr>
        <w:t>分；</w:t>
      </w:r>
      <w:r>
        <w:rPr>
          <w:rFonts w:hint="eastAsia" w:ascii="宋体" w:hAnsi="宋体" w:eastAsia="宋体" w:cs="宋体"/>
          <w:color w:val="auto"/>
          <w:kern w:val="2"/>
          <w:sz w:val="24"/>
          <w:szCs w:val="24"/>
          <w:highlight w:val="none"/>
        </w:rPr>
        <w:t>方案</w:t>
      </w:r>
      <w:r>
        <w:rPr>
          <w:rFonts w:hint="eastAsia" w:ascii="宋体" w:hAnsi="宋体" w:cs="宋体"/>
          <w:sz w:val="24"/>
          <w:szCs w:val="24"/>
          <w:highlight w:val="none"/>
        </w:rPr>
        <w:t>较为简单、可行、细节待完善的得</w:t>
      </w:r>
      <w:r>
        <w:rPr>
          <w:rFonts w:hint="eastAsia" w:ascii="宋体" w:hAnsi="宋体" w:cs="宋体"/>
          <w:sz w:val="24"/>
          <w:szCs w:val="24"/>
          <w:highlight w:val="none"/>
          <w:lang w:val="en-US" w:eastAsia="zh-CN"/>
        </w:rPr>
        <w:t>2</w:t>
      </w:r>
      <w:r>
        <w:rPr>
          <w:rFonts w:hint="eastAsia" w:ascii="宋体" w:hAnsi="宋体" w:cs="宋体"/>
          <w:sz w:val="24"/>
          <w:szCs w:val="24"/>
          <w:highlight w:val="none"/>
        </w:rPr>
        <w:t>分；</w:t>
      </w:r>
      <w:r>
        <w:rPr>
          <w:rFonts w:hint="eastAsia" w:ascii="宋体" w:hAnsi="宋体" w:eastAsia="宋体" w:cs="宋体"/>
          <w:color w:val="auto"/>
          <w:kern w:val="2"/>
          <w:sz w:val="24"/>
          <w:szCs w:val="24"/>
          <w:highlight w:val="none"/>
        </w:rPr>
        <w:t>方案</w:t>
      </w:r>
      <w:r>
        <w:rPr>
          <w:rFonts w:hint="eastAsia" w:ascii="宋体" w:hAnsi="宋体"/>
          <w:bCs/>
          <w:color w:val="000000"/>
          <w:sz w:val="24"/>
          <w:highlight w:val="none"/>
        </w:rPr>
        <w:t>粗糙、无针对性、基本满足采购需求的得</w:t>
      </w:r>
      <w:r>
        <w:rPr>
          <w:rFonts w:hint="eastAsia" w:ascii="宋体" w:hAnsi="宋体"/>
          <w:bCs/>
          <w:color w:val="000000"/>
          <w:sz w:val="24"/>
          <w:highlight w:val="none"/>
          <w:lang w:val="en-US" w:eastAsia="zh-CN"/>
        </w:rPr>
        <w:t>1分</w:t>
      </w:r>
      <w:r>
        <w:rPr>
          <w:rFonts w:hint="eastAsia" w:ascii="宋体" w:hAnsi="宋体" w:eastAsia="宋体" w:cs="宋体"/>
          <w:color w:val="auto"/>
          <w:kern w:val="2"/>
          <w:sz w:val="24"/>
          <w:szCs w:val="24"/>
          <w:highlight w:val="none"/>
        </w:rPr>
        <w:t>；无则不得分</w:t>
      </w:r>
      <w:r>
        <w:rPr>
          <w:rFonts w:hint="eastAsia" w:ascii="宋体" w:hAnsi="宋体" w:cs="宋体"/>
          <w:sz w:val="24"/>
          <w:szCs w:val="24"/>
          <w:highlight w:val="none"/>
          <w:lang w:eastAsia="zh-CN"/>
        </w:rPr>
        <w:t>。</w:t>
      </w:r>
      <w:r>
        <w:rPr>
          <w:rFonts w:hint="eastAsia" w:ascii="宋体" w:hAnsi="宋体" w:cs="宋体"/>
          <w:sz w:val="24"/>
          <w:szCs w:val="24"/>
        </w:rPr>
        <w:t xml:space="preserve"> </w:t>
      </w:r>
    </w:p>
    <w:p w14:paraId="2441A07A">
      <w:pPr>
        <w:spacing w:line="360" w:lineRule="auto"/>
        <w:jc w:val="left"/>
        <w:outlineLvl w:val="1"/>
        <w:rPr>
          <w:rFonts w:hint="eastAsia" w:ascii="宋体" w:hAnsi="宋体" w:cs="宋体"/>
          <w:bCs/>
          <w:sz w:val="24"/>
          <w:szCs w:val="24"/>
        </w:rPr>
      </w:pPr>
    </w:p>
    <w:p w14:paraId="0D6D391D">
      <w:pPr>
        <w:spacing w:line="360" w:lineRule="auto"/>
        <w:jc w:val="left"/>
        <w:outlineLvl w:val="1"/>
        <w:rPr>
          <w:rFonts w:hint="eastAsia" w:ascii="宋体" w:hAnsi="宋体" w:cs="宋体"/>
          <w:bCs/>
          <w:sz w:val="24"/>
          <w:szCs w:val="24"/>
        </w:rPr>
      </w:pPr>
    </w:p>
    <w:p w14:paraId="38380684">
      <w:pPr>
        <w:spacing w:line="360" w:lineRule="auto"/>
        <w:jc w:val="left"/>
        <w:outlineLvl w:val="1"/>
        <w:rPr>
          <w:rFonts w:hint="eastAsia" w:ascii="宋体" w:hAnsi="宋体" w:cs="宋体"/>
          <w:bCs/>
          <w:sz w:val="24"/>
          <w:szCs w:val="24"/>
        </w:rPr>
      </w:pPr>
    </w:p>
    <w:p w14:paraId="25D86D2C">
      <w:pPr>
        <w:spacing w:line="360" w:lineRule="auto"/>
        <w:jc w:val="left"/>
        <w:outlineLvl w:val="1"/>
        <w:rPr>
          <w:rFonts w:hint="eastAsia" w:ascii="宋体" w:hAnsi="宋体" w:cs="宋体"/>
          <w:bCs/>
          <w:sz w:val="24"/>
          <w:szCs w:val="24"/>
        </w:rPr>
      </w:pPr>
    </w:p>
    <w:p w14:paraId="6A19D80C">
      <w:pPr>
        <w:spacing w:line="360" w:lineRule="auto"/>
        <w:jc w:val="left"/>
        <w:outlineLvl w:val="1"/>
        <w:rPr>
          <w:rFonts w:hint="eastAsia" w:ascii="宋体" w:hAnsi="宋体" w:cs="宋体"/>
          <w:bCs/>
          <w:sz w:val="24"/>
          <w:szCs w:val="24"/>
        </w:rPr>
      </w:pPr>
    </w:p>
    <w:p w14:paraId="29950847">
      <w:pPr>
        <w:spacing w:line="360" w:lineRule="auto"/>
        <w:jc w:val="left"/>
        <w:outlineLvl w:val="1"/>
        <w:rPr>
          <w:rFonts w:hint="eastAsia" w:ascii="宋体" w:hAnsi="宋体" w:cs="宋体"/>
          <w:bCs/>
          <w:sz w:val="24"/>
          <w:szCs w:val="24"/>
        </w:rPr>
      </w:pPr>
    </w:p>
    <w:p w14:paraId="0631E9AC">
      <w:pPr>
        <w:spacing w:line="360" w:lineRule="auto"/>
        <w:jc w:val="left"/>
        <w:outlineLvl w:val="1"/>
        <w:rPr>
          <w:rFonts w:hint="eastAsia" w:ascii="宋体" w:hAnsi="宋体" w:cs="宋体"/>
          <w:bCs/>
          <w:sz w:val="24"/>
          <w:szCs w:val="24"/>
        </w:rPr>
      </w:pPr>
    </w:p>
    <w:p w14:paraId="568B54BF">
      <w:pPr>
        <w:rPr>
          <w:rFonts w:hint="eastAsia" w:ascii="宋体" w:hAnsi="宋体" w:cs="宋体"/>
          <w:bCs/>
          <w:sz w:val="24"/>
          <w:szCs w:val="24"/>
        </w:rPr>
      </w:pPr>
      <w:r>
        <w:rPr>
          <w:rFonts w:hint="eastAsia" w:ascii="宋体" w:hAnsi="宋体" w:cs="宋体"/>
          <w:bCs/>
          <w:sz w:val="24"/>
          <w:szCs w:val="24"/>
        </w:rPr>
        <w:br w:type="page"/>
      </w:r>
    </w:p>
    <w:p w14:paraId="054AE77F">
      <w:pPr>
        <w:spacing w:line="360" w:lineRule="auto"/>
        <w:jc w:val="left"/>
        <w:outlineLvl w:val="1"/>
        <w:rPr>
          <w:rFonts w:ascii="宋体" w:hAnsi="宋体" w:cs="宋体"/>
          <w:bCs/>
          <w:sz w:val="24"/>
          <w:szCs w:val="24"/>
        </w:rPr>
      </w:pPr>
      <w:r>
        <w:rPr>
          <w:rFonts w:hint="eastAsia" w:ascii="宋体" w:hAnsi="宋体" w:cs="宋体"/>
          <w:bCs/>
          <w:sz w:val="24"/>
          <w:szCs w:val="24"/>
        </w:rPr>
        <w:t>附件二：投标文件格式</w:t>
      </w:r>
    </w:p>
    <w:p w14:paraId="5A228B64">
      <w:pPr>
        <w:pStyle w:val="324"/>
        <w:spacing w:before="0" w:after="0"/>
        <w:ind w:firstLine="0"/>
        <w:rPr>
          <w:rFonts w:cs="Arial"/>
          <w:b/>
          <w:color w:val="auto"/>
          <w:sz w:val="28"/>
          <w:szCs w:val="28"/>
          <w:highlight w:val="none"/>
        </w:rPr>
      </w:pPr>
      <w:r>
        <w:rPr>
          <w:rFonts w:hint="eastAsia" w:cs="Arial"/>
          <w:b/>
          <w:color w:val="auto"/>
          <w:sz w:val="28"/>
          <w:szCs w:val="28"/>
          <w:highlight w:val="none"/>
        </w:rPr>
        <w:t>一、封面格式（参考格式）：</w:t>
      </w:r>
    </w:p>
    <w:p w14:paraId="2824DDE5">
      <w:pPr>
        <w:rPr>
          <w:rFonts w:ascii="宋体" w:hAnsi="宋体" w:cs="宋体"/>
          <w:bCs/>
          <w:sz w:val="24"/>
          <w:szCs w:val="24"/>
        </w:rPr>
      </w:pPr>
    </w:p>
    <w:p w14:paraId="123DD477">
      <w:pPr>
        <w:jc w:val="center"/>
        <w:rPr>
          <w:rFonts w:ascii="宋体" w:hAnsi="宋体" w:cs="宋体"/>
          <w:b/>
          <w:sz w:val="36"/>
          <w:szCs w:val="36"/>
        </w:rPr>
      </w:pPr>
    </w:p>
    <w:p w14:paraId="1BD0D3CA">
      <w:pPr>
        <w:jc w:val="center"/>
        <w:rPr>
          <w:rFonts w:ascii="宋体" w:hAnsi="宋体" w:cs="宋体"/>
          <w:b/>
          <w:sz w:val="36"/>
          <w:szCs w:val="36"/>
        </w:rPr>
      </w:pPr>
    </w:p>
    <w:p w14:paraId="20532FED">
      <w:pPr>
        <w:jc w:val="center"/>
        <w:rPr>
          <w:rFonts w:ascii="宋体" w:hAnsi="宋体" w:cs="宋体"/>
          <w:b/>
          <w:sz w:val="36"/>
          <w:szCs w:val="36"/>
        </w:rPr>
      </w:pPr>
    </w:p>
    <w:p w14:paraId="0A52F9CA">
      <w:pPr>
        <w:jc w:val="center"/>
        <w:rPr>
          <w:rFonts w:ascii="宋体" w:hAnsi="宋体" w:cs="宋体"/>
          <w:b/>
          <w:sz w:val="36"/>
          <w:szCs w:val="36"/>
        </w:rPr>
      </w:pPr>
    </w:p>
    <w:p w14:paraId="0FE111ED">
      <w:pPr>
        <w:jc w:val="center"/>
        <w:rPr>
          <w:rFonts w:ascii="宋体" w:hAnsi="宋体" w:cs="宋体"/>
          <w:b/>
          <w:sz w:val="36"/>
          <w:szCs w:val="36"/>
        </w:rPr>
      </w:pPr>
    </w:p>
    <w:p w14:paraId="250C47A9">
      <w:pPr>
        <w:jc w:val="center"/>
        <w:rPr>
          <w:rFonts w:ascii="宋体" w:hAnsi="宋体" w:cs="宋体"/>
          <w:b/>
          <w:sz w:val="36"/>
          <w:szCs w:val="36"/>
        </w:rPr>
      </w:pPr>
    </w:p>
    <w:p w14:paraId="119A4742">
      <w:pPr>
        <w:jc w:val="center"/>
        <w:rPr>
          <w:rFonts w:ascii="宋体" w:hAnsi="宋体" w:cs="宋体"/>
          <w:b/>
          <w:sz w:val="36"/>
          <w:szCs w:val="36"/>
        </w:rPr>
      </w:pPr>
      <w:r>
        <w:rPr>
          <w:rFonts w:hint="eastAsia" w:ascii="宋体" w:hAnsi="宋体" w:cs="宋体"/>
          <w:b/>
          <w:sz w:val="36"/>
          <w:szCs w:val="36"/>
        </w:rPr>
        <w:t>投</w:t>
      </w:r>
    </w:p>
    <w:p w14:paraId="162D8A62">
      <w:pPr>
        <w:jc w:val="center"/>
        <w:rPr>
          <w:rFonts w:ascii="宋体" w:hAnsi="宋体" w:cs="宋体"/>
          <w:b/>
          <w:sz w:val="36"/>
          <w:szCs w:val="36"/>
        </w:rPr>
      </w:pPr>
    </w:p>
    <w:p w14:paraId="08D78D14">
      <w:pPr>
        <w:jc w:val="center"/>
        <w:rPr>
          <w:rFonts w:ascii="宋体" w:hAnsi="宋体" w:cs="宋体"/>
          <w:b/>
          <w:sz w:val="36"/>
          <w:szCs w:val="36"/>
        </w:rPr>
      </w:pPr>
      <w:r>
        <w:rPr>
          <w:rFonts w:hint="eastAsia" w:ascii="宋体" w:hAnsi="宋体" w:cs="宋体"/>
          <w:b/>
          <w:sz w:val="36"/>
          <w:szCs w:val="36"/>
        </w:rPr>
        <w:t>标</w:t>
      </w:r>
    </w:p>
    <w:p w14:paraId="739F1D94">
      <w:pPr>
        <w:jc w:val="center"/>
        <w:rPr>
          <w:rFonts w:ascii="宋体" w:hAnsi="宋体" w:cs="宋体"/>
          <w:b/>
          <w:sz w:val="36"/>
          <w:szCs w:val="36"/>
        </w:rPr>
      </w:pPr>
    </w:p>
    <w:p w14:paraId="099CA3CC">
      <w:pPr>
        <w:jc w:val="center"/>
        <w:rPr>
          <w:rFonts w:ascii="宋体" w:hAnsi="宋体" w:cs="宋体"/>
          <w:b/>
          <w:sz w:val="36"/>
          <w:szCs w:val="36"/>
        </w:rPr>
      </w:pPr>
      <w:r>
        <w:rPr>
          <w:rFonts w:hint="eastAsia" w:ascii="宋体" w:hAnsi="宋体" w:cs="宋体"/>
          <w:b/>
          <w:sz w:val="36"/>
          <w:szCs w:val="36"/>
        </w:rPr>
        <w:t>文</w:t>
      </w:r>
    </w:p>
    <w:p w14:paraId="21127CC2">
      <w:pPr>
        <w:jc w:val="center"/>
        <w:rPr>
          <w:rFonts w:ascii="宋体" w:hAnsi="宋体" w:cs="宋体"/>
          <w:b/>
          <w:sz w:val="36"/>
          <w:szCs w:val="36"/>
        </w:rPr>
      </w:pPr>
    </w:p>
    <w:p w14:paraId="6D6190EF">
      <w:pPr>
        <w:jc w:val="center"/>
        <w:rPr>
          <w:rFonts w:ascii="宋体" w:hAnsi="宋体" w:cs="宋体"/>
          <w:b/>
          <w:sz w:val="36"/>
          <w:szCs w:val="36"/>
        </w:rPr>
      </w:pPr>
      <w:r>
        <w:rPr>
          <w:rFonts w:hint="eastAsia" w:ascii="宋体" w:hAnsi="宋体" w:cs="宋体"/>
          <w:b/>
          <w:sz w:val="36"/>
          <w:szCs w:val="36"/>
        </w:rPr>
        <w:t>件</w:t>
      </w:r>
    </w:p>
    <w:p w14:paraId="544CAAAC">
      <w:pPr>
        <w:jc w:val="center"/>
        <w:rPr>
          <w:rFonts w:ascii="宋体" w:hAnsi="宋体" w:cs="宋体"/>
          <w:b/>
          <w:sz w:val="36"/>
          <w:szCs w:val="36"/>
        </w:rPr>
      </w:pPr>
    </w:p>
    <w:p w14:paraId="5604667A">
      <w:pPr>
        <w:pStyle w:val="265"/>
        <w:jc w:val="center"/>
        <w:rPr>
          <w:rFonts w:ascii="宋体" w:hAnsi="宋体" w:cs="宋体"/>
          <w:bCs/>
          <w:sz w:val="24"/>
          <w:szCs w:val="24"/>
        </w:rPr>
      </w:pPr>
      <w:r>
        <w:rPr>
          <w:rFonts w:hint="eastAsia" w:ascii="宋体" w:hAnsi="宋体" w:cs="宋体"/>
          <w:bCs/>
          <w:sz w:val="24"/>
          <w:szCs w:val="24"/>
        </w:rPr>
        <w:t xml:space="preserve"> </w:t>
      </w:r>
    </w:p>
    <w:p w14:paraId="5D375612">
      <w:pPr>
        <w:rPr>
          <w:rFonts w:ascii="宋体" w:hAnsi="宋体" w:cs="宋体"/>
          <w:sz w:val="24"/>
          <w:szCs w:val="24"/>
        </w:rPr>
      </w:pPr>
    </w:p>
    <w:p w14:paraId="20D621B6">
      <w:pPr>
        <w:rPr>
          <w:rFonts w:ascii="宋体" w:hAnsi="宋体" w:cs="宋体"/>
          <w:sz w:val="24"/>
          <w:szCs w:val="24"/>
        </w:rPr>
      </w:pPr>
    </w:p>
    <w:p w14:paraId="371FBAD6">
      <w:pPr>
        <w:rPr>
          <w:rFonts w:ascii="宋体" w:hAnsi="宋体" w:cs="宋体"/>
          <w:sz w:val="24"/>
          <w:szCs w:val="24"/>
        </w:rPr>
      </w:pPr>
    </w:p>
    <w:p w14:paraId="09BF5091">
      <w:pPr>
        <w:rPr>
          <w:rFonts w:ascii="宋体" w:hAnsi="宋体" w:cs="宋体"/>
          <w:sz w:val="24"/>
          <w:szCs w:val="24"/>
        </w:rPr>
      </w:pPr>
    </w:p>
    <w:p w14:paraId="7F1913FD">
      <w:pPr>
        <w:spacing w:line="360" w:lineRule="auto"/>
        <w:rPr>
          <w:rFonts w:ascii="宋体" w:hAnsi="宋体" w:cs="宋体"/>
          <w:bCs/>
          <w:sz w:val="24"/>
          <w:szCs w:val="24"/>
        </w:rPr>
      </w:pPr>
      <w:bookmarkStart w:id="43" w:name="_Toc3725"/>
      <w:bookmarkStart w:id="44" w:name="_Toc31708"/>
      <w:r>
        <w:rPr>
          <w:rFonts w:hint="eastAsia" w:ascii="宋体" w:hAnsi="宋体" w:cs="宋体"/>
          <w:bCs/>
          <w:sz w:val="24"/>
          <w:szCs w:val="24"/>
        </w:rPr>
        <w:t>采购项目编号：</w:t>
      </w:r>
      <w:bookmarkEnd w:id="43"/>
      <w:bookmarkEnd w:id="44"/>
      <w:r>
        <w:rPr>
          <w:rFonts w:hint="eastAsia" w:ascii="宋体" w:hAnsi="宋体" w:cs="宋体"/>
          <w:sz w:val="24"/>
          <w:szCs w:val="24"/>
        </w:rPr>
        <w:t xml:space="preserve"> </w:t>
      </w:r>
    </w:p>
    <w:p w14:paraId="24271F66">
      <w:pPr>
        <w:spacing w:line="360" w:lineRule="auto"/>
        <w:ind w:left="1680" w:hanging="1680"/>
        <w:rPr>
          <w:rFonts w:hint="eastAsia" w:ascii="宋体" w:hAnsi="宋体" w:eastAsia="宋体" w:cs="宋体"/>
          <w:bCs/>
          <w:sz w:val="24"/>
          <w:szCs w:val="24"/>
          <w:lang w:eastAsia="zh-CN"/>
        </w:rPr>
      </w:pPr>
      <w:r>
        <w:rPr>
          <w:rFonts w:hint="eastAsia" w:ascii="宋体" w:hAnsi="宋体" w:cs="宋体"/>
          <w:bCs/>
          <w:sz w:val="24"/>
          <w:szCs w:val="24"/>
        </w:rPr>
        <w:t>采购项目名称：</w:t>
      </w:r>
      <w:r>
        <w:rPr>
          <w:rFonts w:hint="eastAsia" w:ascii="宋体" w:hAnsi="宋体" w:cs="宋体"/>
          <w:bCs/>
          <w:sz w:val="24"/>
          <w:szCs w:val="24"/>
          <w:lang w:eastAsia="zh-CN"/>
        </w:rPr>
        <w:t>无锡法院集中编目服务采购项目</w:t>
      </w:r>
    </w:p>
    <w:p w14:paraId="7C2ACB16">
      <w:pPr>
        <w:spacing w:line="360" w:lineRule="auto"/>
        <w:rPr>
          <w:rFonts w:ascii="宋体" w:hAnsi="宋体" w:cs="宋体"/>
          <w:bCs/>
          <w:sz w:val="24"/>
          <w:szCs w:val="24"/>
        </w:rPr>
      </w:pPr>
      <w:r>
        <w:rPr>
          <w:rFonts w:hint="eastAsia" w:ascii="宋体" w:hAnsi="宋体" w:cs="宋体"/>
          <w:bCs/>
          <w:sz w:val="24"/>
          <w:szCs w:val="24"/>
        </w:rPr>
        <w:t>投标供应商：</w:t>
      </w:r>
    </w:p>
    <w:p w14:paraId="36459496">
      <w:pPr>
        <w:spacing w:line="360" w:lineRule="auto"/>
        <w:jc w:val="center"/>
        <w:rPr>
          <w:rFonts w:ascii="宋体" w:hAnsi="宋体" w:cs="宋体"/>
          <w:bCs/>
          <w:sz w:val="24"/>
          <w:szCs w:val="24"/>
        </w:rPr>
      </w:pPr>
      <w:r>
        <w:rPr>
          <w:rFonts w:hint="eastAsia" w:ascii="宋体" w:hAnsi="宋体" w:cs="宋体"/>
          <w:bCs/>
          <w:sz w:val="24"/>
          <w:szCs w:val="24"/>
        </w:rPr>
        <w:t>年  月  日</w:t>
      </w:r>
      <w:bookmarkStart w:id="45" w:name="一．报价函（格式）"/>
      <w:bookmarkEnd w:id="45"/>
    </w:p>
    <w:p w14:paraId="786319E1">
      <w:pPr>
        <w:spacing w:line="360" w:lineRule="auto"/>
        <w:jc w:val="center"/>
        <w:rPr>
          <w:rFonts w:ascii="宋体" w:hAnsi="宋体" w:cs="宋体"/>
          <w:bCs/>
          <w:sz w:val="24"/>
          <w:szCs w:val="24"/>
        </w:rPr>
        <w:sectPr>
          <w:footerReference r:id="rId14" w:type="first"/>
          <w:headerReference r:id="rId12" w:type="default"/>
          <w:footerReference r:id="rId13" w:type="default"/>
          <w:pgSz w:w="11906" w:h="16838"/>
          <w:pgMar w:top="1440" w:right="1800" w:bottom="1440" w:left="1800" w:header="624" w:footer="907" w:gutter="0"/>
          <w:cols w:space="1701" w:num="1"/>
          <w:titlePg/>
          <w:docGrid w:linePitch="360" w:charSpace="0"/>
        </w:sectPr>
      </w:pPr>
    </w:p>
    <w:p w14:paraId="7C3A00ED">
      <w:pPr>
        <w:spacing w:line="360" w:lineRule="auto"/>
        <w:rPr>
          <w:rFonts w:hint="default" w:ascii="宋体" w:hAnsi="宋体" w:eastAsia="Arial" w:cs="宋体"/>
          <w:b/>
          <w:bCs/>
          <w:color w:val="auto"/>
          <w:sz w:val="28"/>
          <w:szCs w:val="28"/>
          <w:highlight w:val="none"/>
        </w:rPr>
      </w:pPr>
      <w:r>
        <w:rPr>
          <w:rFonts w:hint="eastAsia" w:ascii="宋体" w:hAnsi="宋体" w:eastAsia="Arial" w:cs="宋体"/>
          <w:b/>
          <w:color w:val="auto"/>
          <w:sz w:val="28"/>
          <w:szCs w:val="28"/>
          <w:highlight w:val="none"/>
        </w:rPr>
        <w:t>二、授权委托书（给定格式）：</w:t>
      </w:r>
    </w:p>
    <w:p w14:paraId="6788F982">
      <w:pPr>
        <w:spacing w:line="360" w:lineRule="auto"/>
        <w:jc w:val="center"/>
        <w:outlineLvl w:val="0"/>
        <w:rPr>
          <w:rFonts w:hint="default" w:ascii="黑体" w:hAnsi="Calibri" w:eastAsia="黑体"/>
          <w:bCs/>
          <w:color w:val="auto"/>
          <w:sz w:val="28"/>
          <w:szCs w:val="28"/>
          <w:highlight w:val="none"/>
        </w:rPr>
      </w:pPr>
    </w:p>
    <w:p w14:paraId="6ECF74CB">
      <w:pPr>
        <w:jc w:val="center"/>
        <w:outlineLvl w:val="0"/>
        <w:rPr>
          <w:rFonts w:hint="default" w:ascii="宋体" w:hAnsi="宋体" w:eastAsia="Arial"/>
          <w:color w:val="auto"/>
          <w:sz w:val="24"/>
          <w:szCs w:val="22"/>
          <w:highlight w:val="none"/>
          <w:shd w:val="clear" w:color="FFFFFF" w:fill="D9D9D9"/>
        </w:rPr>
      </w:pPr>
      <w:r>
        <w:rPr>
          <w:rFonts w:hint="eastAsia" w:ascii="黑体" w:hAnsi="Calibri" w:eastAsia="黑体"/>
          <w:bCs/>
          <w:color w:val="auto"/>
          <w:sz w:val="28"/>
          <w:szCs w:val="28"/>
          <w:highlight w:val="none"/>
        </w:rPr>
        <w:t>授权委托书</w:t>
      </w:r>
    </w:p>
    <w:p w14:paraId="2A506538">
      <w:pPr>
        <w:widowControl w:val="0"/>
        <w:spacing w:line="360" w:lineRule="auto"/>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我公司（单位、联合体）针对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项目，兹授权：</w:t>
      </w:r>
    </w:p>
    <w:p w14:paraId="1FF522B0">
      <w:pPr>
        <w:widowControl w:val="0"/>
        <w:spacing w:line="360" w:lineRule="auto"/>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被授权人的姓名：</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；性别：</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；年龄：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；职务：</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w:t>
      </w:r>
    </w:p>
    <w:p w14:paraId="1408E245">
      <w:pPr>
        <w:widowControl w:val="0"/>
        <w:spacing w:line="360" w:lineRule="auto"/>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被授权人的身份证号码：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；联系方式：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w:t>
      </w:r>
    </w:p>
    <w:p w14:paraId="5DC76A4D">
      <w:pPr>
        <w:widowControl w:val="0"/>
        <w:spacing w:line="360" w:lineRule="auto"/>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为我方合法代理人，以本单位名义全权处理</w:t>
      </w:r>
      <w:r>
        <w:rPr>
          <w:rFonts w:hint="eastAsia" w:ascii="宋体" w:hAnsi="宋体" w:eastAsia="宋体" w:cs="宋体"/>
          <w:bCs/>
          <w:color w:val="auto"/>
          <w:sz w:val="24"/>
          <w:szCs w:val="24"/>
          <w:highlight w:val="none"/>
          <w:lang w:val="en-US" w:eastAsia="zh-CN" w:bidi="ar-SA"/>
        </w:rPr>
        <w:t>针对本次项目的投标、参与开标、评标、签约等具体工作，并签署全部有关的文件、协议及合同以及其他</w:t>
      </w:r>
      <w:r>
        <w:rPr>
          <w:rFonts w:hint="eastAsia" w:ascii="宋体" w:hAnsi="宋体" w:eastAsia="宋体" w:cs="宋体"/>
          <w:color w:val="auto"/>
          <w:sz w:val="24"/>
          <w:szCs w:val="24"/>
          <w:highlight w:val="none"/>
          <w:lang w:val="en-US" w:eastAsia="zh-CN" w:bidi="ar-SA"/>
        </w:rPr>
        <w:t>一切与该项目采购有关的事务。</w:t>
      </w:r>
    </w:p>
    <w:p w14:paraId="160C743F">
      <w:pPr>
        <w:widowControl w:val="0"/>
        <w:spacing w:line="360" w:lineRule="auto"/>
        <w:ind w:firstLine="480"/>
        <w:jc w:val="both"/>
        <w:rPr>
          <w:rFonts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本授权委托书自授权之日起生效，</w:t>
      </w:r>
      <w:r>
        <w:rPr>
          <w:rFonts w:hint="eastAsia" w:ascii="宋体" w:hAnsi="宋体" w:eastAsia="宋体" w:cs="宋体"/>
          <w:bCs/>
          <w:color w:val="auto"/>
          <w:sz w:val="24"/>
          <w:szCs w:val="24"/>
          <w:highlight w:val="none"/>
          <w:lang w:val="en-US" w:eastAsia="zh-CN" w:bidi="ar-SA"/>
        </w:rPr>
        <w:t>在撤销授权的书面通知送达你处以前，本授权书一直有效，被授权人签署的所有文件（在</w:t>
      </w:r>
      <w:r>
        <w:rPr>
          <w:rFonts w:hint="eastAsia" w:ascii="宋体" w:hAnsi="宋体" w:eastAsia="宋体" w:cs="宋体"/>
          <w:color w:val="auto"/>
          <w:sz w:val="24"/>
          <w:szCs w:val="24"/>
          <w:highlight w:val="none"/>
          <w:lang w:val="en-US" w:eastAsia="zh-CN" w:bidi="ar-SA"/>
        </w:rPr>
        <w:t>授权委托</w:t>
      </w:r>
      <w:r>
        <w:rPr>
          <w:rFonts w:hint="eastAsia" w:ascii="宋体" w:hAnsi="宋体" w:eastAsia="宋体" w:cs="宋体"/>
          <w:bCs/>
          <w:color w:val="auto"/>
          <w:sz w:val="24"/>
          <w:szCs w:val="24"/>
          <w:highlight w:val="none"/>
          <w:lang w:val="en-US" w:eastAsia="zh-CN" w:bidi="ar-SA"/>
        </w:rPr>
        <w:t>书有效期内签署的）不因授权的撤销而失效。</w:t>
      </w:r>
    </w:p>
    <w:p w14:paraId="1A7B9A34">
      <w:pPr>
        <w:widowControl w:val="0"/>
        <w:spacing w:line="360" w:lineRule="auto"/>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特此授权委托。</w:t>
      </w:r>
    </w:p>
    <w:p w14:paraId="1041847D">
      <w:pPr>
        <w:widowControl w:val="0"/>
        <w:spacing w:line="360" w:lineRule="auto"/>
        <w:ind w:firstLine="0"/>
        <w:jc w:val="both"/>
        <w:rPr>
          <w:rFonts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授权日期：</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日                     投标人名称</w:t>
      </w:r>
      <w:r>
        <w:rPr>
          <w:rFonts w:hint="eastAsia" w:ascii="宋体" w:hAnsi="宋体" w:eastAsia="宋体" w:cs="宋体"/>
          <w:bCs/>
          <w:color w:val="auto"/>
          <w:sz w:val="24"/>
          <w:szCs w:val="24"/>
          <w:highlight w:val="none"/>
          <w:lang w:val="en-US" w:eastAsia="zh-CN" w:bidi="ar-SA"/>
        </w:rPr>
        <w:t>（盖章）</w:t>
      </w:r>
      <w:r>
        <w:rPr>
          <w:rFonts w:hint="eastAsia" w:ascii="宋体" w:hAnsi="宋体" w:eastAsia="宋体" w:cs="宋体"/>
          <w:color w:val="auto"/>
          <w:sz w:val="24"/>
          <w:szCs w:val="24"/>
          <w:highlight w:val="none"/>
          <w:lang w:val="en-US" w:eastAsia="zh-CN" w:bidi="ar-SA"/>
        </w:rPr>
        <w:t>：</w:t>
      </w:r>
    </w:p>
    <w:p w14:paraId="7D219118">
      <w:pPr>
        <w:widowControl w:val="0"/>
        <w:spacing w:line="360" w:lineRule="auto"/>
        <w:ind w:firstLine="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法定代表人签字或盖章：</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被授权人签字或盖章：</w:t>
      </w:r>
      <w:r>
        <w:rPr>
          <w:rFonts w:hint="eastAsia" w:ascii="宋体" w:hAnsi="宋体" w:eastAsia="宋体" w:cs="宋体"/>
          <w:color w:val="auto"/>
          <w:sz w:val="24"/>
          <w:szCs w:val="24"/>
          <w:highlight w:val="none"/>
          <w:u w:val="single"/>
          <w:lang w:val="en-US" w:eastAsia="zh-CN" w:bidi="ar-SA"/>
        </w:rPr>
        <w:t xml:space="preserve">        </w:t>
      </w:r>
    </w:p>
    <w:p w14:paraId="180ABA9F">
      <w:pPr>
        <w:widowControl w:val="0"/>
        <w:spacing w:line="360" w:lineRule="auto"/>
        <w:ind w:firstLine="0"/>
        <w:jc w:val="both"/>
        <w:rPr>
          <w:rFonts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（被授权人身份证原件扫描件附后）</w:t>
      </w:r>
    </w:p>
    <w:p w14:paraId="11B85CDC">
      <w:pPr>
        <w:widowControl w:val="0"/>
        <w:spacing w:line="360" w:lineRule="auto"/>
        <w:ind w:firstLine="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说明：</w:t>
      </w:r>
    </w:p>
    <w:p w14:paraId="632116B2">
      <w:pPr>
        <w:widowControl w:val="0"/>
        <w:numPr>
          <w:ilvl w:val="0"/>
          <w:numId w:val="8"/>
        </w:numPr>
        <w:spacing w:line="360" w:lineRule="auto"/>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若投标人为事业单位或其他组织或分支机构，则法定代表人处的签字人可为单位负责人。</w:t>
      </w:r>
    </w:p>
    <w:p w14:paraId="58D46F7F">
      <w:pPr>
        <w:widowControl w:val="0"/>
        <w:numPr>
          <w:ilvl w:val="0"/>
          <w:numId w:val="8"/>
        </w:numPr>
        <w:spacing w:line="360" w:lineRule="auto"/>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当被授权人为法定代表人（或上述情况的单位负责人）时，只需在法定代表人处签字或盖章即可。</w:t>
      </w:r>
    </w:p>
    <w:p w14:paraId="40F336BE">
      <w:pPr>
        <w:widowControl w:val="0"/>
        <w:numPr>
          <w:ilvl w:val="0"/>
          <w:numId w:val="8"/>
        </w:numPr>
        <w:spacing w:line="360" w:lineRule="auto"/>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投标人为自然人情形的，可不提供本《授权委托书》。</w:t>
      </w:r>
    </w:p>
    <w:p w14:paraId="48F8E39B">
      <w:pPr>
        <w:widowControl w:val="0"/>
        <w:numPr>
          <w:ilvl w:val="0"/>
          <w:numId w:val="8"/>
        </w:numPr>
        <w:spacing w:line="360" w:lineRule="auto"/>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被授权人为外籍、港、澳、台地区人士的，其身份证明须提供有效的护照或港澳同胞来往内地通行证、台湾同胞来往大陆通行证，或其他可在中国大陆有效居留的许可证明。</w:t>
      </w:r>
    </w:p>
    <w:p w14:paraId="474FAB77">
      <w:pPr>
        <w:widowControl w:val="0"/>
        <w:ind w:firstLine="0"/>
        <w:jc w:val="both"/>
        <w:rPr>
          <w:rFonts w:ascii="宋体" w:hAnsi="宋体" w:eastAsia="宋体" w:cs="宋体"/>
          <w:b/>
          <w:color w:val="auto"/>
          <w:sz w:val="28"/>
          <w:szCs w:val="28"/>
          <w:highlight w:val="none"/>
          <w:lang w:val="en-US" w:eastAsia="zh-CN" w:bidi="ar-SA"/>
        </w:rPr>
      </w:pPr>
      <w:r>
        <w:rPr>
          <w:rFonts w:hint="eastAsia" w:ascii="宋体" w:hAnsi="宋体" w:eastAsia="宋体" w:cs="Times New Roman"/>
          <w:bCs/>
          <w:color w:val="auto"/>
          <w:sz w:val="24"/>
          <w:szCs w:val="24"/>
          <w:highlight w:val="none"/>
          <w:lang w:val="en-US" w:eastAsia="zh-CN" w:bidi="ar-SA"/>
        </w:rPr>
        <w:br w:type="page" w:clear="all"/>
      </w:r>
      <w:r>
        <w:rPr>
          <w:rFonts w:hint="eastAsia" w:ascii="宋体" w:hAnsi="宋体" w:eastAsia="宋体" w:cs="宋体"/>
          <w:b/>
          <w:color w:val="auto"/>
          <w:sz w:val="28"/>
          <w:szCs w:val="28"/>
          <w:highlight w:val="none"/>
          <w:lang w:val="en-US" w:eastAsia="zh-CN" w:bidi="ar-SA"/>
        </w:rPr>
        <w:t>三、资格声明函（给定格式）：</w:t>
      </w:r>
    </w:p>
    <w:p w14:paraId="6F457081">
      <w:pPr>
        <w:jc w:val="center"/>
        <w:outlineLvl w:val="0"/>
        <w:rPr>
          <w:rFonts w:hint="default" w:ascii="黑体" w:hAnsi="Calibri" w:eastAsia="黑体"/>
          <w:bCs/>
          <w:color w:val="auto"/>
          <w:sz w:val="28"/>
          <w:szCs w:val="28"/>
          <w:highlight w:val="none"/>
        </w:rPr>
      </w:pPr>
      <w:bookmarkStart w:id="46" w:name="报价方关于资格的声明函（格式）"/>
      <w:bookmarkEnd w:id="46"/>
      <w:r>
        <w:rPr>
          <w:rFonts w:hint="eastAsia" w:ascii="黑体" w:hAnsi="Calibri" w:eastAsia="黑体"/>
          <w:bCs/>
          <w:color w:val="auto"/>
          <w:sz w:val="28"/>
          <w:szCs w:val="28"/>
          <w:highlight w:val="none"/>
        </w:rPr>
        <w:t>资格声明函</w:t>
      </w:r>
    </w:p>
    <w:p w14:paraId="518289B9">
      <w:pPr>
        <w:spacing w:line="480" w:lineRule="auto"/>
        <w:jc w:val="center"/>
        <w:rPr>
          <w:rFonts w:hint="default" w:ascii="宋体" w:hAnsi="Calibri" w:eastAsia="Arial"/>
          <w:bCs/>
          <w:color w:val="auto"/>
          <w:sz w:val="24"/>
          <w:szCs w:val="24"/>
          <w:highlight w:val="none"/>
        </w:rPr>
      </w:pPr>
    </w:p>
    <w:p w14:paraId="50ED2549">
      <w:pPr>
        <w:spacing w:line="480" w:lineRule="auto"/>
        <w:rPr>
          <w:rFonts w:hint="default" w:ascii="宋体" w:hAnsi="Calibri" w:eastAsia="Arial"/>
          <w:bCs/>
          <w:color w:val="auto"/>
          <w:sz w:val="24"/>
          <w:szCs w:val="24"/>
          <w:highlight w:val="none"/>
        </w:rPr>
      </w:pPr>
      <w:r>
        <w:rPr>
          <w:rFonts w:hint="eastAsia" w:ascii="宋体" w:hAnsi="宋体" w:eastAsia="宋体"/>
          <w:bCs/>
          <w:color w:val="auto"/>
          <w:sz w:val="24"/>
          <w:szCs w:val="24"/>
          <w:highlight w:val="none"/>
        </w:rPr>
        <w:t>无锡众邦技术咨询有限公司</w:t>
      </w:r>
      <w:r>
        <w:rPr>
          <w:rFonts w:hint="eastAsia" w:ascii="宋体" w:hAnsi="宋体" w:eastAsia="Arial"/>
          <w:bCs/>
          <w:color w:val="auto"/>
          <w:sz w:val="24"/>
          <w:szCs w:val="24"/>
          <w:highlight w:val="none"/>
        </w:rPr>
        <w:t>：</w:t>
      </w:r>
    </w:p>
    <w:p w14:paraId="6D2823CC">
      <w:pPr>
        <w:spacing w:line="480" w:lineRule="auto"/>
        <w:ind w:firstLine="480"/>
        <w:rPr>
          <w:rFonts w:hint="default" w:ascii="宋体" w:hAnsi="宋体" w:eastAsia="Arial"/>
          <w:bCs/>
          <w:color w:val="auto"/>
          <w:sz w:val="24"/>
          <w:szCs w:val="24"/>
          <w:highlight w:val="none"/>
        </w:rPr>
      </w:pPr>
      <w:r>
        <w:rPr>
          <w:rFonts w:hint="eastAsia" w:ascii="宋体" w:hAnsi="宋体" w:eastAsia="Arial"/>
          <w:bCs/>
          <w:color w:val="auto"/>
          <w:sz w:val="24"/>
          <w:szCs w:val="24"/>
          <w:highlight w:val="none"/>
        </w:rPr>
        <w:t>我公司（单位、联合体）针对本次项目</w:t>
      </w:r>
      <w:r>
        <w:rPr>
          <w:rFonts w:hint="eastAsia" w:ascii="宋体" w:hAnsi="宋体" w:eastAsia="宋体"/>
          <w:bCs/>
          <w:color w:val="auto"/>
          <w:sz w:val="24"/>
          <w:szCs w:val="24"/>
          <w:highlight w:val="none"/>
          <w:u w:val="single"/>
        </w:rPr>
        <w:t xml:space="preserve">               </w:t>
      </w:r>
      <w:r>
        <w:rPr>
          <w:rFonts w:hint="eastAsia" w:ascii="宋体" w:hAnsi="宋体" w:eastAsia="Arial"/>
          <w:bCs/>
          <w:color w:val="auto"/>
          <w:sz w:val="24"/>
          <w:szCs w:val="24"/>
          <w:highlight w:val="none"/>
        </w:rPr>
        <w:t>进行投标，并作如下声明</w:t>
      </w:r>
    </w:p>
    <w:p w14:paraId="3E96C9ED">
      <w:pPr>
        <w:spacing w:line="480" w:lineRule="auto"/>
        <w:ind w:firstLine="480"/>
        <w:rPr>
          <w:rFonts w:hint="default" w:ascii="宋体" w:hAnsi="宋体" w:eastAsia="Arial"/>
          <w:bCs/>
          <w:color w:val="auto"/>
          <w:sz w:val="24"/>
          <w:szCs w:val="24"/>
          <w:highlight w:val="none"/>
        </w:rPr>
      </w:pPr>
      <w:r>
        <w:rPr>
          <w:rFonts w:hint="eastAsia" w:ascii="宋体" w:hAnsi="宋体" w:eastAsia="Arial"/>
          <w:bCs/>
          <w:color w:val="auto"/>
          <w:sz w:val="24"/>
          <w:szCs w:val="24"/>
          <w:highlight w:val="none"/>
        </w:rPr>
        <w:t>1.我公司（单位、联合体）参加本次项目政府采购活动前三年内，在经营活动中没有重大违法（因违法经营受到刑事处罚或者责令停产停业、吊销许可证或者执照、较大数额罚款等行政处罚）记录。</w:t>
      </w:r>
    </w:p>
    <w:p w14:paraId="65BC6559">
      <w:pPr>
        <w:spacing w:line="480" w:lineRule="auto"/>
        <w:ind w:firstLine="480"/>
        <w:rPr>
          <w:rFonts w:hint="default" w:ascii="宋体" w:hAnsi="宋体" w:eastAsia="Arial"/>
          <w:bCs/>
          <w:color w:val="auto"/>
          <w:sz w:val="24"/>
          <w:szCs w:val="24"/>
          <w:highlight w:val="none"/>
        </w:rPr>
      </w:pPr>
      <w:r>
        <w:rPr>
          <w:rFonts w:hint="eastAsia" w:ascii="宋体" w:hAnsi="宋体" w:eastAsia="Arial"/>
          <w:bCs/>
          <w:color w:val="auto"/>
          <w:sz w:val="24"/>
          <w:szCs w:val="24"/>
          <w:highlight w:val="none"/>
        </w:rPr>
        <w:t>2.本公司（单位、联合体）具备本次项目履行合同所必需的设备和专业技术能力。</w:t>
      </w:r>
    </w:p>
    <w:p w14:paraId="1354B91B">
      <w:pPr>
        <w:spacing w:line="480" w:lineRule="auto"/>
        <w:ind w:firstLine="480"/>
        <w:rPr>
          <w:rFonts w:hint="default" w:ascii="宋体" w:hAnsi="宋体" w:eastAsia="Arial"/>
          <w:bCs/>
          <w:color w:val="auto"/>
          <w:sz w:val="24"/>
          <w:szCs w:val="24"/>
          <w:highlight w:val="none"/>
        </w:rPr>
      </w:pPr>
      <w:r>
        <w:rPr>
          <w:rFonts w:hint="eastAsia" w:ascii="宋体" w:hAnsi="宋体" w:eastAsia="Arial"/>
          <w:bCs/>
          <w:color w:val="auto"/>
          <w:sz w:val="24"/>
          <w:szCs w:val="24"/>
          <w:highlight w:val="none"/>
        </w:rPr>
        <w:t>3.本公司（单位、联合体）</w:t>
      </w:r>
      <w:r>
        <w:rPr>
          <w:rFonts w:hint="eastAsia" w:ascii="宋体" w:hAnsi="宋体" w:eastAsia="宋体"/>
          <w:bCs/>
          <w:color w:val="auto"/>
          <w:sz w:val="24"/>
          <w:szCs w:val="24"/>
          <w:highlight w:val="none"/>
        </w:rPr>
        <w:t>未</w:t>
      </w:r>
      <w:r>
        <w:rPr>
          <w:rFonts w:hint="eastAsia" w:ascii="宋体" w:hAnsi="宋体" w:eastAsia="Arial"/>
          <w:bCs/>
          <w:color w:val="auto"/>
          <w:sz w:val="24"/>
          <w:szCs w:val="24"/>
          <w:highlight w:val="none"/>
        </w:rPr>
        <w:t>被“信用中国”网站（www.creditchina.gov.cn）、中国政府采购网</w:t>
      </w:r>
      <w:r>
        <w:rPr>
          <w:rFonts w:hint="eastAsia" w:ascii="宋体" w:hAnsi="宋体" w:eastAsia="宋体"/>
          <w:bCs/>
          <w:color w:val="auto"/>
          <w:sz w:val="24"/>
          <w:szCs w:val="24"/>
          <w:highlight w:val="none"/>
        </w:rPr>
        <w:t>（</w:t>
      </w:r>
      <w:r>
        <w:rPr>
          <w:rFonts w:hint="eastAsia" w:ascii="宋体" w:hAnsi="宋体" w:eastAsia="Arial"/>
          <w:bCs/>
          <w:color w:val="auto"/>
          <w:sz w:val="24"/>
          <w:szCs w:val="24"/>
          <w:highlight w:val="none"/>
        </w:rPr>
        <w:t>www.ccgp.gov.cn</w:t>
      </w:r>
      <w:r>
        <w:rPr>
          <w:rFonts w:hint="eastAsia" w:ascii="宋体" w:hAnsi="宋体" w:eastAsia="宋体"/>
          <w:bCs/>
          <w:color w:val="auto"/>
          <w:sz w:val="24"/>
          <w:szCs w:val="24"/>
          <w:highlight w:val="none"/>
        </w:rPr>
        <w:t>）</w:t>
      </w:r>
      <w:r>
        <w:rPr>
          <w:rFonts w:hint="eastAsia" w:ascii="宋体" w:hAnsi="宋体" w:eastAsia="Arial"/>
          <w:bCs/>
          <w:color w:val="auto"/>
          <w:sz w:val="24"/>
          <w:szCs w:val="24"/>
          <w:highlight w:val="none"/>
        </w:rPr>
        <w:t>列入失信被执行人、</w:t>
      </w:r>
      <w:r>
        <w:rPr>
          <w:rFonts w:hint="eastAsia" w:ascii="宋体" w:hAnsi="宋体" w:eastAsia="宋体"/>
          <w:bCs/>
          <w:color w:val="auto"/>
          <w:sz w:val="24"/>
          <w:szCs w:val="24"/>
          <w:highlight w:val="none"/>
        </w:rPr>
        <w:t>重大税收违法失信主体</w:t>
      </w:r>
      <w:r>
        <w:rPr>
          <w:rFonts w:hint="eastAsia" w:ascii="宋体" w:hAnsi="宋体" w:eastAsia="Arial"/>
          <w:bCs/>
          <w:color w:val="auto"/>
          <w:sz w:val="24"/>
          <w:szCs w:val="24"/>
          <w:highlight w:val="none"/>
        </w:rPr>
        <w:t>、政府采购严重失信行为记录名单及其他不符合《中华人民共和国政府采购法》第二十二条规定条件的信用记录。</w:t>
      </w:r>
    </w:p>
    <w:p w14:paraId="48E08451">
      <w:pPr>
        <w:spacing w:line="480" w:lineRule="auto"/>
        <w:ind w:firstLine="480"/>
        <w:rPr>
          <w:rFonts w:hint="default" w:ascii="宋体" w:hAnsi="Calibri" w:eastAsia="Arial"/>
          <w:bCs/>
          <w:color w:val="auto"/>
          <w:sz w:val="24"/>
          <w:szCs w:val="24"/>
          <w:highlight w:val="none"/>
        </w:rPr>
      </w:pPr>
      <w:r>
        <w:rPr>
          <w:rFonts w:hint="eastAsia" w:ascii="宋体" w:hAnsi="宋体" w:eastAsia="Arial"/>
          <w:bCs/>
          <w:color w:val="auto"/>
          <w:sz w:val="24"/>
          <w:szCs w:val="24"/>
          <w:highlight w:val="none"/>
        </w:rPr>
        <w:t>我公司（单位、联合体）针对本次项目的上述声明以及投标文件中所有关于投标资格的文件、证明、陈述均是真实的、准确的。若有违背，我公司（单位、联合体）愿意承担由此而产生的一切后果。</w:t>
      </w:r>
    </w:p>
    <w:p w14:paraId="2D5FD333">
      <w:pPr>
        <w:spacing w:line="480" w:lineRule="auto"/>
        <w:rPr>
          <w:rFonts w:hint="default" w:ascii="宋体" w:hAnsi="Calibri" w:eastAsia="Arial"/>
          <w:bCs/>
          <w:color w:val="auto"/>
          <w:sz w:val="24"/>
          <w:szCs w:val="24"/>
          <w:highlight w:val="none"/>
        </w:rPr>
      </w:pPr>
    </w:p>
    <w:p w14:paraId="3DCBF90E">
      <w:pPr>
        <w:spacing w:line="480" w:lineRule="auto"/>
        <w:rPr>
          <w:rFonts w:hint="default" w:ascii="宋体" w:hAnsi="Calibri" w:eastAsia="Arial"/>
          <w:bCs/>
          <w:color w:val="auto"/>
          <w:sz w:val="24"/>
          <w:szCs w:val="24"/>
          <w:highlight w:val="none"/>
        </w:rPr>
      </w:pPr>
      <w:r>
        <w:rPr>
          <w:rFonts w:hint="eastAsia" w:ascii="宋体" w:hAnsi="宋体" w:eastAsia="Arial"/>
          <w:bCs/>
          <w:color w:val="auto"/>
          <w:sz w:val="24"/>
          <w:szCs w:val="24"/>
          <w:highlight w:val="none"/>
        </w:rPr>
        <w:t>投标人名称（盖章）：</w:t>
      </w:r>
    </w:p>
    <w:p w14:paraId="2D529A76">
      <w:pPr>
        <w:spacing w:line="360" w:lineRule="auto"/>
        <w:jc w:val="left"/>
        <w:rPr>
          <w:rFonts w:hint="default" w:ascii="Calibri" w:hAnsi="宋体" w:eastAsia="Arial" w:cs="宋体"/>
          <w:color w:val="auto"/>
          <w:sz w:val="24"/>
          <w:szCs w:val="22"/>
          <w:highlight w:val="none"/>
        </w:rPr>
      </w:pPr>
      <w:r>
        <w:rPr>
          <w:rFonts w:hint="eastAsia" w:ascii="宋体" w:hAnsi="宋体" w:eastAsia="Arial" w:cs="宋体"/>
          <w:color w:val="auto"/>
          <w:sz w:val="24"/>
          <w:szCs w:val="22"/>
          <w:highlight w:val="none"/>
        </w:rPr>
        <w:t>日期：</w:t>
      </w:r>
      <w:r>
        <w:rPr>
          <w:rFonts w:hint="eastAsia" w:ascii="宋体" w:hAnsi="宋体" w:eastAsia="宋体" w:cs="宋体"/>
          <w:color w:val="auto"/>
          <w:sz w:val="24"/>
          <w:szCs w:val="22"/>
          <w:highlight w:val="none"/>
        </w:rPr>
        <w:t xml:space="preserve"> </w:t>
      </w:r>
    </w:p>
    <w:p w14:paraId="6AAE147D">
      <w:pPr>
        <w:spacing w:line="360" w:lineRule="auto"/>
        <w:rPr>
          <w:rFonts w:hint="default" w:ascii="宋体" w:hAnsi="宋体" w:eastAsia="宋体" w:cs="宋体"/>
          <w:bCs/>
          <w:color w:val="auto"/>
          <w:szCs w:val="22"/>
          <w:highlight w:val="none"/>
        </w:rPr>
      </w:pPr>
    </w:p>
    <w:p w14:paraId="14CA831C">
      <w:pPr>
        <w:spacing w:line="360" w:lineRule="auto"/>
        <w:rPr>
          <w:rFonts w:hint="default" w:ascii="宋体" w:hAnsi="宋体" w:eastAsia="宋体" w:cs="宋体"/>
          <w:bCs/>
          <w:color w:val="auto"/>
          <w:szCs w:val="22"/>
          <w:highlight w:val="none"/>
        </w:rPr>
      </w:pPr>
    </w:p>
    <w:p w14:paraId="1F0FFFBC">
      <w:pPr>
        <w:spacing w:line="360" w:lineRule="auto"/>
        <w:jc w:val="left"/>
        <w:rPr>
          <w:rFonts w:hint="default" w:ascii="宋体" w:hAnsi="宋体" w:eastAsia="Arial" w:cs="宋体"/>
          <w:b/>
          <w:color w:val="auto"/>
          <w:sz w:val="28"/>
          <w:szCs w:val="28"/>
          <w:highlight w:val="none"/>
        </w:rPr>
      </w:pPr>
      <w:r>
        <w:rPr>
          <w:rFonts w:hint="eastAsia" w:ascii="宋体" w:hAnsi="宋体" w:eastAsia="宋体" w:cs="宋体"/>
          <w:bCs/>
          <w:color w:val="auto"/>
          <w:szCs w:val="22"/>
          <w:highlight w:val="none"/>
        </w:rPr>
        <w:t>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hint="default" w:ascii="宋体" w:hAnsi="Calibri" w:eastAsia="Arial"/>
          <w:bCs/>
          <w:color w:val="auto"/>
          <w:sz w:val="24"/>
          <w:szCs w:val="24"/>
          <w:highlight w:val="none"/>
        </w:rPr>
        <w:br w:type="page" w:clear="all"/>
      </w:r>
      <w:r>
        <w:rPr>
          <w:rFonts w:hint="eastAsia" w:ascii="宋体" w:hAnsi="宋体" w:eastAsia="Arial" w:cs="宋体"/>
          <w:b/>
          <w:color w:val="auto"/>
          <w:sz w:val="28"/>
          <w:szCs w:val="28"/>
          <w:highlight w:val="none"/>
        </w:rPr>
        <w:t xml:space="preserve">四、中小企业声明函（给定格式）： </w:t>
      </w:r>
    </w:p>
    <w:p w14:paraId="41B598D0">
      <w:pPr>
        <w:spacing w:line="360" w:lineRule="auto"/>
        <w:ind w:firstLine="560"/>
        <w:jc w:val="center"/>
        <w:rPr>
          <w:rFonts w:hint="default" w:ascii="黑体" w:hAnsi="Calibri" w:eastAsia="黑体"/>
          <w:bCs/>
          <w:color w:val="auto"/>
          <w:sz w:val="28"/>
          <w:szCs w:val="28"/>
          <w:highlight w:val="none"/>
        </w:rPr>
      </w:pPr>
      <w:r>
        <w:rPr>
          <w:rFonts w:hint="default" w:ascii="黑体" w:hAnsi="Calibri" w:eastAsia="黑体"/>
          <w:bCs/>
          <w:color w:val="auto"/>
          <w:sz w:val="28"/>
          <w:szCs w:val="28"/>
          <w:highlight w:val="none"/>
        </w:rPr>
        <w:t>中小企业声明函（服务）</w:t>
      </w:r>
    </w:p>
    <w:p w14:paraId="7AD1A402">
      <w:pPr>
        <w:spacing w:line="360" w:lineRule="auto"/>
        <w:ind w:firstLine="480"/>
        <w:rPr>
          <w:rFonts w:hint="default" w:ascii="宋体" w:hAnsi="宋体" w:eastAsia="Arial"/>
          <w:bCs/>
          <w:color w:val="auto"/>
          <w:sz w:val="24"/>
          <w:szCs w:val="22"/>
          <w:highlight w:val="none"/>
        </w:rPr>
      </w:pPr>
      <w:r>
        <w:rPr>
          <w:rFonts w:hint="default" w:ascii="宋体" w:hAnsi="宋体" w:eastAsia="Arial"/>
          <w:bCs/>
          <w:color w:val="auto"/>
          <w:sz w:val="24"/>
          <w:szCs w:val="22"/>
          <w:highlight w:val="none"/>
        </w:rPr>
        <w:t>本公司（联合体）郑重声明</w:t>
      </w:r>
      <w:r>
        <w:rPr>
          <w:rFonts w:hint="eastAsia" w:ascii="宋体" w:hAnsi="宋体" w:eastAsia="Arial"/>
          <w:bCs/>
          <w:color w:val="auto"/>
          <w:sz w:val="24"/>
          <w:szCs w:val="22"/>
          <w:highlight w:val="none"/>
        </w:rPr>
        <w:t>，</w:t>
      </w:r>
      <w:r>
        <w:rPr>
          <w:rFonts w:hint="default" w:ascii="宋体" w:hAnsi="宋体" w:eastAsia="Arial"/>
          <w:bCs/>
          <w:color w:val="auto"/>
          <w:sz w:val="24"/>
          <w:szCs w:val="22"/>
          <w:highlight w:val="none"/>
        </w:rPr>
        <w:t>根据《政府采购促进中小企业发展管理办法》（财库﹝2020﹞46 号）的规定</w:t>
      </w:r>
      <w:r>
        <w:rPr>
          <w:rFonts w:hint="eastAsia" w:ascii="宋体" w:hAnsi="宋体" w:eastAsia="Arial"/>
          <w:bCs/>
          <w:color w:val="auto"/>
          <w:sz w:val="24"/>
          <w:szCs w:val="22"/>
          <w:highlight w:val="none"/>
        </w:rPr>
        <w:t>，</w:t>
      </w:r>
      <w:r>
        <w:rPr>
          <w:rFonts w:hint="default" w:ascii="宋体" w:hAnsi="宋体" w:eastAsia="Arial"/>
          <w:bCs/>
          <w:color w:val="auto"/>
          <w:sz w:val="24"/>
          <w:szCs w:val="22"/>
          <w:highlight w:val="none"/>
        </w:rPr>
        <w:t xml:space="preserve">本公司 </w:t>
      </w:r>
      <w:r>
        <w:rPr>
          <w:rFonts w:hint="default" w:ascii="宋体" w:hAnsi="宋体" w:eastAsia="Arial"/>
          <w:bCs/>
          <w:color w:val="auto"/>
          <w:sz w:val="24"/>
          <w:szCs w:val="22"/>
          <w:highlight w:val="none"/>
          <w:u w:val="single"/>
        </w:rPr>
        <w:t>（联合体）</w:t>
      </w:r>
      <w:r>
        <w:rPr>
          <w:rFonts w:hint="default" w:ascii="宋体" w:hAnsi="宋体" w:eastAsia="Arial"/>
          <w:bCs/>
          <w:color w:val="auto"/>
          <w:sz w:val="24"/>
          <w:szCs w:val="22"/>
          <w:highlight w:val="none"/>
        </w:rPr>
        <w:t>参加</w:t>
      </w:r>
      <w:r>
        <w:rPr>
          <w:rFonts w:hint="default" w:ascii="宋体" w:hAnsi="宋体" w:eastAsia="Arial"/>
          <w:bCs/>
          <w:color w:val="auto"/>
          <w:sz w:val="24"/>
          <w:szCs w:val="22"/>
          <w:highlight w:val="none"/>
          <w:u w:val="single"/>
        </w:rPr>
        <w:t>（单位名称）</w:t>
      </w:r>
      <w:r>
        <w:rPr>
          <w:rFonts w:hint="default" w:ascii="宋体" w:hAnsi="宋体" w:eastAsia="Arial"/>
          <w:bCs/>
          <w:color w:val="auto"/>
          <w:sz w:val="24"/>
          <w:szCs w:val="22"/>
          <w:highlight w:val="none"/>
        </w:rPr>
        <w:t>的</w:t>
      </w:r>
      <w:r>
        <w:rPr>
          <w:rFonts w:hint="default" w:ascii="宋体" w:hAnsi="宋体" w:eastAsia="Arial"/>
          <w:bCs/>
          <w:color w:val="auto"/>
          <w:sz w:val="24"/>
          <w:szCs w:val="22"/>
          <w:highlight w:val="none"/>
          <w:u w:val="single"/>
        </w:rPr>
        <w:t>（项目名称）</w:t>
      </w:r>
      <w:r>
        <w:rPr>
          <w:rFonts w:hint="default" w:ascii="宋体" w:hAnsi="宋体" w:eastAsia="Arial"/>
          <w:bCs/>
          <w:color w:val="auto"/>
          <w:sz w:val="24"/>
          <w:szCs w:val="22"/>
          <w:highlight w:val="none"/>
        </w:rPr>
        <w:t>采购活动</w:t>
      </w:r>
      <w:r>
        <w:rPr>
          <w:rFonts w:hint="eastAsia" w:ascii="宋体" w:hAnsi="宋体" w:eastAsia="Arial"/>
          <w:bCs/>
          <w:color w:val="auto"/>
          <w:sz w:val="24"/>
          <w:szCs w:val="22"/>
          <w:highlight w:val="none"/>
        </w:rPr>
        <w:t>，</w:t>
      </w:r>
      <w:r>
        <w:rPr>
          <w:rFonts w:hint="default" w:ascii="宋体" w:hAnsi="宋体" w:eastAsia="Arial"/>
          <w:bCs/>
          <w:color w:val="auto"/>
          <w:sz w:val="24"/>
          <w:szCs w:val="22"/>
          <w:highlight w:val="none"/>
        </w:rPr>
        <w:t>服务全部由符合政策要求的中小企业承接</w:t>
      </w:r>
      <w:r>
        <w:rPr>
          <w:rFonts w:hint="eastAsia" w:ascii="宋体" w:hAnsi="宋体" w:eastAsia="Arial"/>
          <w:bCs/>
          <w:color w:val="auto"/>
          <w:sz w:val="24"/>
          <w:szCs w:val="22"/>
          <w:highlight w:val="none"/>
        </w:rPr>
        <w:t>。</w:t>
      </w:r>
      <w:r>
        <w:rPr>
          <w:rFonts w:hint="default" w:ascii="宋体" w:hAnsi="宋体" w:eastAsia="Arial"/>
          <w:bCs/>
          <w:color w:val="auto"/>
          <w:sz w:val="24"/>
          <w:szCs w:val="22"/>
          <w:highlight w:val="none"/>
        </w:rPr>
        <w:t>相关企业（含联合体中的中小企业、签订分包意向协议的中小企业）的具体情况如下</w:t>
      </w:r>
      <w:r>
        <w:rPr>
          <w:rFonts w:hint="eastAsia" w:ascii="宋体" w:hAnsi="宋体" w:eastAsia="Arial"/>
          <w:bCs/>
          <w:color w:val="auto"/>
          <w:sz w:val="24"/>
          <w:szCs w:val="22"/>
          <w:highlight w:val="none"/>
        </w:rPr>
        <w:t>：</w:t>
      </w:r>
    </w:p>
    <w:p w14:paraId="309DF950">
      <w:pPr>
        <w:spacing w:line="360" w:lineRule="auto"/>
        <w:ind w:firstLine="480"/>
        <w:rPr>
          <w:rFonts w:hint="default" w:ascii="宋体" w:hAnsi="宋体" w:eastAsia="Arial"/>
          <w:bCs/>
          <w:color w:val="auto"/>
          <w:sz w:val="24"/>
          <w:szCs w:val="22"/>
          <w:highlight w:val="none"/>
        </w:rPr>
      </w:pPr>
      <w:r>
        <w:rPr>
          <w:rFonts w:hint="default" w:ascii="宋体" w:hAnsi="宋体" w:eastAsia="Arial"/>
          <w:bCs/>
          <w:color w:val="auto"/>
          <w:sz w:val="24"/>
          <w:szCs w:val="22"/>
          <w:highlight w:val="none"/>
        </w:rPr>
        <w:t>1.</w:t>
      </w:r>
      <w:r>
        <w:rPr>
          <w:rFonts w:hint="default" w:ascii="宋体" w:hAnsi="宋体" w:eastAsia="Arial"/>
          <w:bCs/>
          <w:color w:val="auto"/>
          <w:sz w:val="24"/>
          <w:szCs w:val="22"/>
          <w:highlight w:val="none"/>
          <w:u w:val="single"/>
        </w:rPr>
        <w:t xml:space="preserve"> （标的名称） </w:t>
      </w:r>
      <w:r>
        <w:rPr>
          <w:rFonts w:hint="eastAsia" w:ascii="宋体" w:hAnsi="宋体" w:eastAsia="Arial"/>
          <w:bCs/>
          <w:color w:val="auto"/>
          <w:sz w:val="24"/>
          <w:szCs w:val="22"/>
          <w:highlight w:val="none"/>
        </w:rPr>
        <w:t>，</w:t>
      </w:r>
      <w:r>
        <w:rPr>
          <w:rFonts w:hint="default" w:ascii="宋体" w:hAnsi="宋体" w:eastAsia="Arial"/>
          <w:bCs/>
          <w:color w:val="auto"/>
          <w:sz w:val="24"/>
          <w:szCs w:val="22"/>
          <w:highlight w:val="none"/>
        </w:rPr>
        <w:t>属于</w:t>
      </w:r>
      <w:r>
        <w:rPr>
          <w:rFonts w:hint="default" w:ascii="宋体" w:hAnsi="宋体" w:eastAsia="Arial"/>
          <w:bCs/>
          <w:color w:val="auto"/>
          <w:sz w:val="24"/>
          <w:szCs w:val="22"/>
          <w:highlight w:val="none"/>
          <w:u w:val="single"/>
        </w:rPr>
        <w:t>（</w:t>
      </w:r>
      <w:r>
        <w:rPr>
          <w:rFonts w:hint="eastAsia" w:ascii="宋体" w:hAnsi="宋体" w:eastAsia="Arial"/>
          <w:bCs/>
          <w:color w:val="auto"/>
          <w:sz w:val="24"/>
          <w:szCs w:val="22"/>
          <w:highlight w:val="none"/>
          <w:u w:val="single"/>
        </w:rPr>
        <w:t>招标</w:t>
      </w:r>
      <w:r>
        <w:rPr>
          <w:rFonts w:hint="default" w:ascii="宋体" w:hAnsi="宋体" w:eastAsia="Arial"/>
          <w:bCs/>
          <w:color w:val="auto"/>
          <w:sz w:val="24"/>
          <w:szCs w:val="22"/>
          <w:highlight w:val="none"/>
          <w:u w:val="single"/>
        </w:rPr>
        <w:t>文件中明确的所属行业）</w:t>
      </w:r>
      <w:r>
        <w:rPr>
          <w:rFonts w:hint="eastAsia" w:ascii="宋体" w:hAnsi="宋体" w:eastAsia="Arial"/>
          <w:bCs/>
          <w:color w:val="auto"/>
          <w:sz w:val="24"/>
          <w:szCs w:val="22"/>
          <w:highlight w:val="none"/>
        </w:rPr>
        <w:t>；</w:t>
      </w:r>
      <w:r>
        <w:rPr>
          <w:rFonts w:hint="default" w:ascii="宋体" w:hAnsi="宋体" w:eastAsia="Arial"/>
          <w:bCs/>
          <w:color w:val="auto"/>
          <w:sz w:val="24"/>
          <w:szCs w:val="22"/>
          <w:highlight w:val="none"/>
        </w:rPr>
        <w:t xml:space="preserve"> 承建（承接）企业为</w:t>
      </w:r>
      <w:r>
        <w:rPr>
          <w:rFonts w:hint="default" w:ascii="宋体" w:hAnsi="宋体" w:eastAsia="Arial"/>
          <w:bCs/>
          <w:color w:val="auto"/>
          <w:sz w:val="24"/>
          <w:szCs w:val="22"/>
          <w:highlight w:val="none"/>
          <w:u w:val="single"/>
        </w:rPr>
        <w:t>（企业名称）</w:t>
      </w:r>
      <w:r>
        <w:rPr>
          <w:rFonts w:hint="eastAsia" w:ascii="宋体" w:hAnsi="宋体" w:eastAsia="Arial"/>
          <w:bCs/>
          <w:color w:val="auto"/>
          <w:sz w:val="24"/>
          <w:szCs w:val="22"/>
          <w:highlight w:val="none"/>
        </w:rPr>
        <w:t>，</w:t>
      </w:r>
      <w:r>
        <w:rPr>
          <w:rFonts w:hint="default" w:ascii="宋体" w:hAnsi="宋体" w:eastAsia="Arial"/>
          <w:bCs/>
          <w:color w:val="auto"/>
          <w:sz w:val="24"/>
          <w:szCs w:val="22"/>
          <w:highlight w:val="none"/>
        </w:rPr>
        <w:t>从业人员</w:t>
      </w:r>
      <w:r>
        <w:rPr>
          <w:rFonts w:hint="eastAsia" w:ascii="宋体" w:hAnsi="宋体" w:eastAsia="宋体"/>
          <w:bCs/>
          <w:color w:val="auto"/>
          <w:sz w:val="24"/>
          <w:szCs w:val="22"/>
          <w:highlight w:val="none"/>
          <w:u w:val="single"/>
        </w:rPr>
        <w:t xml:space="preserve">       </w:t>
      </w:r>
      <w:r>
        <w:rPr>
          <w:rFonts w:hint="default" w:ascii="宋体" w:hAnsi="宋体" w:eastAsia="Arial"/>
          <w:bCs/>
          <w:color w:val="auto"/>
          <w:sz w:val="24"/>
          <w:szCs w:val="22"/>
          <w:highlight w:val="none"/>
        </w:rPr>
        <w:t>人</w:t>
      </w:r>
      <w:r>
        <w:rPr>
          <w:rFonts w:hint="eastAsia" w:ascii="宋体" w:hAnsi="宋体" w:eastAsia="Arial"/>
          <w:bCs/>
          <w:color w:val="auto"/>
          <w:sz w:val="24"/>
          <w:szCs w:val="22"/>
          <w:highlight w:val="none"/>
        </w:rPr>
        <w:t>，</w:t>
      </w:r>
      <w:r>
        <w:rPr>
          <w:rFonts w:hint="default" w:ascii="宋体" w:hAnsi="宋体" w:eastAsia="Arial"/>
          <w:bCs/>
          <w:color w:val="auto"/>
          <w:sz w:val="24"/>
          <w:szCs w:val="22"/>
          <w:highlight w:val="none"/>
        </w:rPr>
        <w:t>营业收入为</w:t>
      </w:r>
      <w:r>
        <w:rPr>
          <w:rFonts w:hint="eastAsia" w:ascii="宋体" w:hAnsi="宋体" w:eastAsia="宋体"/>
          <w:bCs/>
          <w:color w:val="auto"/>
          <w:sz w:val="24"/>
          <w:szCs w:val="22"/>
          <w:highlight w:val="none"/>
          <w:u w:val="single"/>
        </w:rPr>
        <w:t xml:space="preserve">      </w:t>
      </w:r>
      <w:r>
        <w:rPr>
          <w:rFonts w:hint="default" w:ascii="宋体" w:hAnsi="宋体" w:eastAsia="Arial"/>
          <w:bCs/>
          <w:color w:val="auto"/>
          <w:sz w:val="24"/>
          <w:szCs w:val="22"/>
          <w:highlight w:val="none"/>
        </w:rPr>
        <w:t>万元</w:t>
      </w:r>
      <w:r>
        <w:rPr>
          <w:rFonts w:hint="eastAsia" w:ascii="宋体" w:hAnsi="宋体" w:eastAsia="Arial"/>
          <w:bCs/>
          <w:color w:val="auto"/>
          <w:sz w:val="24"/>
          <w:szCs w:val="22"/>
          <w:highlight w:val="none"/>
        </w:rPr>
        <w:t>，</w:t>
      </w:r>
      <w:r>
        <w:rPr>
          <w:rFonts w:hint="default" w:ascii="宋体" w:hAnsi="宋体" w:eastAsia="Arial"/>
          <w:bCs/>
          <w:color w:val="auto"/>
          <w:sz w:val="24"/>
          <w:szCs w:val="22"/>
          <w:highlight w:val="none"/>
        </w:rPr>
        <w:t>资产总额为</w:t>
      </w:r>
      <w:r>
        <w:rPr>
          <w:rFonts w:hint="eastAsia" w:ascii="宋体" w:hAnsi="宋体" w:eastAsia="宋体"/>
          <w:bCs/>
          <w:color w:val="auto"/>
          <w:sz w:val="24"/>
          <w:szCs w:val="22"/>
          <w:highlight w:val="none"/>
          <w:u w:val="single"/>
        </w:rPr>
        <w:t xml:space="preserve">      </w:t>
      </w:r>
      <w:r>
        <w:rPr>
          <w:rFonts w:hint="default" w:ascii="宋体" w:hAnsi="宋体" w:eastAsia="Arial"/>
          <w:bCs/>
          <w:color w:val="auto"/>
          <w:sz w:val="24"/>
          <w:szCs w:val="22"/>
          <w:highlight w:val="none"/>
        </w:rPr>
        <w:t>万元</w:t>
      </w:r>
      <w:r>
        <w:rPr>
          <w:rFonts w:hint="eastAsia" w:ascii="宋体" w:hAnsi="宋体" w:eastAsia="Arial"/>
          <w:bCs/>
          <w:color w:val="auto"/>
          <w:sz w:val="24"/>
          <w:szCs w:val="22"/>
          <w:highlight w:val="none"/>
        </w:rPr>
        <w:t>，</w:t>
      </w:r>
      <w:r>
        <w:rPr>
          <w:rFonts w:hint="default" w:ascii="宋体" w:hAnsi="宋体" w:eastAsia="Arial"/>
          <w:bCs/>
          <w:color w:val="auto"/>
          <w:sz w:val="24"/>
          <w:szCs w:val="22"/>
          <w:highlight w:val="none"/>
        </w:rPr>
        <w:t>属于</w:t>
      </w:r>
      <w:r>
        <w:rPr>
          <w:rFonts w:hint="default" w:ascii="宋体" w:hAnsi="宋体" w:eastAsia="Arial"/>
          <w:bCs/>
          <w:color w:val="auto"/>
          <w:sz w:val="24"/>
          <w:szCs w:val="22"/>
          <w:highlight w:val="none"/>
          <w:u w:val="single"/>
        </w:rPr>
        <w:t>（中型企业、 小型企业、微型企业）</w:t>
      </w:r>
      <w:r>
        <w:rPr>
          <w:rFonts w:hint="eastAsia" w:ascii="宋体" w:hAnsi="宋体" w:eastAsia="Arial"/>
          <w:bCs/>
          <w:color w:val="auto"/>
          <w:sz w:val="24"/>
          <w:szCs w:val="22"/>
          <w:highlight w:val="none"/>
        </w:rPr>
        <w:t>；</w:t>
      </w:r>
    </w:p>
    <w:p w14:paraId="355E5693">
      <w:pPr>
        <w:spacing w:line="360" w:lineRule="auto"/>
        <w:ind w:firstLine="480"/>
        <w:rPr>
          <w:rFonts w:hint="default" w:ascii="宋体" w:hAnsi="宋体" w:eastAsia="Arial"/>
          <w:bCs/>
          <w:color w:val="auto"/>
          <w:sz w:val="24"/>
          <w:szCs w:val="22"/>
          <w:highlight w:val="none"/>
        </w:rPr>
      </w:pPr>
      <w:r>
        <w:rPr>
          <w:rFonts w:hint="eastAsia" w:ascii="宋体" w:hAnsi="宋体" w:eastAsia="Arial"/>
          <w:bCs/>
          <w:color w:val="auto"/>
          <w:sz w:val="24"/>
          <w:szCs w:val="22"/>
          <w:highlight w:val="none"/>
        </w:rPr>
        <w:t>2.</w:t>
      </w:r>
      <w:r>
        <w:rPr>
          <w:rFonts w:hint="default" w:ascii="宋体" w:hAnsi="宋体" w:eastAsia="Arial"/>
          <w:bCs/>
          <w:color w:val="auto"/>
          <w:sz w:val="24"/>
          <w:szCs w:val="22"/>
          <w:highlight w:val="none"/>
          <w:u w:val="single"/>
        </w:rPr>
        <w:t xml:space="preserve"> （标的名称） </w:t>
      </w:r>
      <w:r>
        <w:rPr>
          <w:rFonts w:hint="eastAsia" w:ascii="宋体" w:hAnsi="宋体" w:eastAsia="Arial"/>
          <w:bCs/>
          <w:color w:val="auto"/>
          <w:sz w:val="24"/>
          <w:szCs w:val="22"/>
          <w:highlight w:val="none"/>
        </w:rPr>
        <w:t>，</w:t>
      </w:r>
      <w:r>
        <w:rPr>
          <w:rFonts w:hint="default" w:ascii="宋体" w:hAnsi="宋体" w:eastAsia="Arial"/>
          <w:bCs/>
          <w:color w:val="auto"/>
          <w:sz w:val="24"/>
          <w:szCs w:val="22"/>
          <w:highlight w:val="none"/>
        </w:rPr>
        <w:t>属于</w:t>
      </w:r>
      <w:r>
        <w:rPr>
          <w:rFonts w:hint="default" w:ascii="宋体" w:hAnsi="宋体" w:eastAsia="Arial"/>
          <w:bCs/>
          <w:color w:val="auto"/>
          <w:sz w:val="24"/>
          <w:szCs w:val="22"/>
          <w:highlight w:val="none"/>
          <w:u w:val="single"/>
        </w:rPr>
        <w:t>（</w:t>
      </w:r>
      <w:r>
        <w:rPr>
          <w:rFonts w:hint="eastAsia" w:ascii="宋体" w:hAnsi="宋体" w:eastAsia="Arial"/>
          <w:bCs/>
          <w:color w:val="auto"/>
          <w:sz w:val="24"/>
          <w:szCs w:val="22"/>
          <w:highlight w:val="none"/>
          <w:u w:val="single"/>
        </w:rPr>
        <w:t>招标</w:t>
      </w:r>
      <w:r>
        <w:rPr>
          <w:rFonts w:hint="default" w:ascii="宋体" w:hAnsi="宋体" w:eastAsia="Arial"/>
          <w:bCs/>
          <w:color w:val="auto"/>
          <w:sz w:val="24"/>
          <w:szCs w:val="22"/>
          <w:highlight w:val="none"/>
          <w:u w:val="single"/>
        </w:rPr>
        <w:t>文件中明确的所属行业）</w:t>
      </w:r>
      <w:r>
        <w:rPr>
          <w:rFonts w:hint="eastAsia" w:ascii="宋体" w:hAnsi="宋体" w:eastAsia="Arial"/>
          <w:bCs/>
          <w:color w:val="auto"/>
          <w:sz w:val="24"/>
          <w:szCs w:val="22"/>
          <w:highlight w:val="none"/>
        </w:rPr>
        <w:t>；</w:t>
      </w:r>
      <w:r>
        <w:rPr>
          <w:rFonts w:hint="default" w:ascii="宋体" w:hAnsi="宋体" w:eastAsia="Arial"/>
          <w:bCs/>
          <w:color w:val="auto"/>
          <w:sz w:val="24"/>
          <w:szCs w:val="22"/>
          <w:highlight w:val="none"/>
        </w:rPr>
        <w:t xml:space="preserve"> 承建（承接）企业为</w:t>
      </w:r>
      <w:r>
        <w:rPr>
          <w:rFonts w:hint="default" w:ascii="宋体" w:hAnsi="宋体" w:eastAsia="Arial"/>
          <w:bCs/>
          <w:color w:val="auto"/>
          <w:sz w:val="24"/>
          <w:szCs w:val="22"/>
          <w:highlight w:val="none"/>
          <w:u w:val="single"/>
        </w:rPr>
        <w:t>（企业名称）</w:t>
      </w:r>
      <w:r>
        <w:rPr>
          <w:rFonts w:hint="eastAsia" w:ascii="宋体" w:hAnsi="宋体" w:eastAsia="Arial"/>
          <w:bCs/>
          <w:color w:val="auto"/>
          <w:sz w:val="24"/>
          <w:szCs w:val="22"/>
          <w:highlight w:val="none"/>
        </w:rPr>
        <w:t>，</w:t>
      </w:r>
      <w:r>
        <w:rPr>
          <w:rFonts w:hint="default" w:ascii="宋体" w:hAnsi="宋体" w:eastAsia="Arial"/>
          <w:bCs/>
          <w:color w:val="auto"/>
          <w:sz w:val="24"/>
          <w:szCs w:val="22"/>
          <w:highlight w:val="none"/>
        </w:rPr>
        <w:t>从业人员</w:t>
      </w:r>
      <w:r>
        <w:rPr>
          <w:rFonts w:hint="eastAsia" w:ascii="宋体" w:hAnsi="宋体" w:eastAsia="宋体"/>
          <w:bCs/>
          <w:color w:val="auto"/>
          <w:sz w:val="24"/>
          <w:szCs w:val="22"/>
          <w:highlight w:val="none"/>
          <w:u w:val="single"/>
        </w:rPr>
        <w:t xml:space="preserve">       </w:t>
      </w:r>
      <w:r>
        <w:rPr>
          <w:rFonts w:hint="default" w:ascii="宋体" w:hAnsi="宋体" w:eastAsia="Arial"/>
          <w:bCs/>
          <w:color w:val="auto"/>
          <w:sz w:val="24"/>
          <w:szCs w:val="22"/>
          <w:highlight w:val="none"/>
        </w:rPr>
        <w:t>人</w:t>
      </w:r>
      <w:r>
        <w:rPr>
          <w:rFonts w:hint="eastAsia" w:ascii="宋体" w:hAnsi="宋体" w:eastAsia="Arial"/>
          <w:bCs/>
          <w:color w:val="auto"/>
          <w:sz w:val="24"/>
          <w:szCs w:val="22"/>
          <w:highlight w:val="none"/>
        </w:rPr>
        <w:t>，</w:t>
      </w:r>
      <w:r>
        <w:rPr>
          <w:rFonts w:hint="default" w:ascii="宋体" w:hAnsi="宋体" w:eastAsia="Arial"/>
          <w:bCs/>
          <w:color w:val="auto"/>
          <w:sz w:val="24"/>
          <w:szCs w:val="22"/>
          <w:highlight w:val="none"/>
        </w:rPr>
        <w:t>营业收入为</w:t>
      </w:r>
      <w:r>
        <w:rPr>
          <w:rFonts w:hint="eastAsia" w:ascii="宋体" w:hAnsi="宋体" w:eastAsia="宋体"/>
          <w:bCs/>
          <w:color w:val="auto"/>
          <w:sz w:val="24"/>
          <w:szCs w:val="22"/>
          <w:highlight w:val="none"/>
          <w:u w:val="single"/>
        </w:rPr>
        <w:t xml:space="preserve">      </w:t>
      </w:r>
      <w:r>
        <w:rPr>
          <w:rFonts w:hint="default" w:ascii="宋体" w:hAnsi="宋体" w:eastAsia="Arial"/>
          <w:bCs/>
          <w:color w:val="auto"/>
          <w:sz w:val="24"/>
          <w:szCs w:val="22"/>
          <w:highlight w:val="none"/>
        </w:rPr>
        <w:t>万元</w:t>
      </w:r>
      <w:r>
        <w:rPr>
          <w:rFonts w:hint="eastAsia" w:ascii="宋体" w:hAnsi="宋体" w:eastAsia="Arial"/>
          <w:bCs/>
          <w:color w:val="auto"/>
          <w:sz w:val="24"/>
          <w:szCs w:val="22"/>
          <w:highlight w:val="none"/>
        </w:rPr>
        <w:t>，</w:t>
      </w:r>
      <w:r>
        <w:rPr>
          <w:rFonts w:hint="default" w:ascii="宋体" w:hAnsi="宋体" w:eastAsia="Arial"/>
          <w:bCs/>
          <w:color w:val="auto"/>
          <w:sz w:val="24"/>
          <w:szCs w:val="22"/>
          <w:highlight w:val="none"/>
        </w:rPr>
        <w:t>资产总额为</w:t>
      </w:r>
      <w:r>
        <w:rPr>
          <w:rFonts w:hint="eastAsia" w:ascii="宋体" w:hAnsi="宋体" w:eastAsia="宋体"/>
          <w:bCs/>
          <w:color w:val="auto"/>
          <w:sz w:val="24"/>
          <w:szCs w:val="22"/>
          <w:highlight w:val="none"/>
          <w:u w:val="single"/>
        </w:rPr>
        <w:t xml:space="preserve">      </w:t>
      </w:r>
      <w:r>
        <w:rPr>
          <w:rFonts w:hint="default" w:ascii="宋体" w:hAnsi="宋体" w:eastAsia="Arial"/>
          <w:bCs/>
          <w:color w:val="auto"/>
          <w:sz w:val="24"/>
          <w:szCs w:val="22"/>
          <w:highlight w:val="none"/>
        </w:rPr>
        <w:t>万元</w:t>
      </w:r>
      <w:r>
        <w:rPr>
          <w:rFonts w:hint="eastAsia" w:ascii="宋体" w:hAnsi="宋体" w:eastAsia="Arial"/>
          <w:bCs/>
          <w:color w:val="auto"/>
          <w:sz w:val="24"/>
          <w:szCs w:val="22"/>
          <w:highlight w:val="none"/>
        </w:rPr>
        <w:t>，</w:t>
      </w:r>
      <w:r>
        <w:rPr>
          <w:rFonts w:hint="default" w:ascii="宋体" w:hAnsi="宋体" w:eastAsia="Arial"/>
          <w:bCs/>
          <w:color w:val="auto"/>
          <w:sz w:val="24"/>
          <w:szCs w:val="22"/>
          <w:highlight w:val="none"/>
        </w:rPr>
        <w:t>属于</w:t>
      </w:r>
      <w:r>
        <w:rPr>
          <w:rFonts w:hint="default" w:ascii="宋体" w:hAnsi="宋体" w:eastAsia="Arial"/>
          <w:bCs/>
          <w:color w:val="auto"/>
          <w:sz w:val="24"/>
          <w:szCs w:val="22"/>
          <w:highlight w:val="none"/>
          <w:u w:val="single"/>
        </w:rPr>
        <w:t>（中型企业、 小型企业、微型企业）</w:t>
      </w:r>
      <w:r>
        <w:rPr>
          <w:rFonts w:hint="eastAsia" w:ascii="宋体" w:hAnsi="宋体" w:eastAsia="Arial"/>
          <w:bCs/>
          <w:color w:val="auto"/>
          <w:sz w:val="24"/>
          <w:szCs w:val="22"/>
          <w:highlight w:val="none"/>
        </w:rPr>
        <w:t>；</w:t>
      </w:r>
    </w:p>
    <w:p w14:paraId="4CF8D001">
      <w:pPr>
        <w:spacing w:line="360" w:lineRule="auto"/>
        <w:ind w:firstLine="480"/>
        <w:rPr>
          <w:rFonts w:hint="default" w:ascii="宋体" w:hAnsi="宋体" w:eastAsia="Arial"/>
          <w:bCs/>
          <w:color w:val="auto"/>
          <w:sz w:val="24"/>
          <w:szCs w:val="22"/>
          <w:highlight w:val="none"/>
        </w:rPr>
      </w:pPr>
      <w:r>
        <w:rPr>
          <w:rFonts w:hint="default" w:ascii="宋体" w:hAnsi="宋体" w:eastAsia="Arial"/>
          <w:bCs/>
          <w:color w:val="auto"/>
          <w:sz w:val="24"/>
          <w:szCs w:val="22"/>
          <w:highlight w:val="none"/>
        </w:rPr>
        <w:t>……</w:t>
      </w:r>
    </w:p>
    <w:p w14:paraId="09341C34">
      <w:pPr>
        <w:spacing w:line="360" w:lineRule="auto"/>
        <w:ind w:firstLine="480"/>
        <w:rPr>
          <w:rFonts w:hint="default" w:ascii="宋体" w:hAnsi="宋体" w:eastAsia="Arial"/>
          <w:bCs/>
          <w:color w:val="auto"/>
          <w:sz w:val="24"/>
          <w:szCs w:val="22"/>
          <w:highlight w:val="none"/>
        </w:rPr>
      </w:pPr>
      <w:r>
        <w:rPr>
          <w:rFonts w:hint="default" w:ascii="宋体" w:hAnsi="宋体" w:eastAsia="Arial"/>
          <w:bCs/>
          <w:color w:val="auto"/>
          <w:sz w:val="24"/>
          <w:szCs w:val="22"/>
          <w:highlight w:val="none"/>
        </w:rPr>
        <w:t>以上企业</w:t>
      </w:r>
      <w:r>
        <w:rPr>
          <w:rFonts w:hint="eastAsia" w:ascii="宋体" w:hAnsi="宋体" w:eastAsia="Arial"/>
          <w:bCs/>
          <w:color w:val="auto"/>
          <w:sz w:val="24"/>
          <w:szCs w:val="22"/>
          <w:highlight w:val="none"/>
        </w:rPr>
        <w:t>，</w:t>
      </w:r>
      <w:r>
        <w:rPr>
          <w:rFonts w:hint="default" w:ascii="宋体" w:hAnsi="宋体" w:eastAsia="Arial"/>
          <w:bCs/>
          <w:color w:val="auto"/>
          <w:sz w:val="24"/>
          <w:szCs w:val="22"/>
          <w:highlight w:val="none"/>
        </w:rPr>
        <w:t>不属于大企业的分支机构</w:t>
      </w:r>
      <w:r>
        <w:rPr>
          <w:rFonts w:hint="eastAsia" w:ascii="宋体" w:hAnsi="宋体" w:eastAsia="Arial"/>
          <w:bCs/>
          <w:color w:val="auto"/>
          <w:sz w:val="24"/>
          <w:szCs w:val="22"/>
          <w:highlight w:val="none"/>
        </w:rPr>
        <w:t>，</w:t>
      </w:r>
      <w:r>
        <w:rPr>
          <w:rFonts w:hint="default" w:ascii="宋体" w:hAnsi="宋体" w:eastAsia="Arial"/>
          <w:bCs/>
          <w:color w:val="auto"/>
          <w:sz w:val="24"/>
          <w:szCs w:val="22"/>
          <w:highlight w:val="none"/>
        </w:rPr>
        <w:t>不存在控股股东为大企业的情形</w:t>
      </w:r>
      <w:r>
        <w:rPr>
          <w:rFonts w:hint="eastAsia" w:ascii="宋体" w:hAnsi="宋体" w:eastAsia="Arial"/>
          <w:bCs/>
          <w:color w:val="auto"/>
          <w:sz w:val="24"/>
          <w:szCs w:val="22"/>
          <w:highlight w:val="none"/>
        </w:rPr>
        <w:t>，</w:t>
      </w:r>
      <w:r>
        <w:rPr>
          <w:rFonts w:hint="default" w:ascii="宋体" w:hAnsi="宋体" w:eastAsia="Arial"/>
          <w:bCs/>
          <w:color w:val="auto"/>
          <w:sz w:val="24"/>
          <w:szCs w:val="22"/>
          <w:highlight w:val="none"/>
        </w:rPr>
        <w:t>也不存在与大企业的负责人为同一人的情形</w:t>
      </w:r>
      <w:r>
        <w:rPr>
          <w:rFonts w:hint="eastAsia" w:ascii="宋体" w:hAnsi="宋体" w:eastAsia="Arial"/>
          <w:bCs/>
          <w:color w:val="auto"/>
          <w:sz w:val="24"/>
          <w:szCs w:val="22"/>
          <w:highlight w:val="none"/>
        </w:rPr>
        <w:t>。</w:t>
      </w:r>
      <w:r>
        <w:rPr>
          <w:rFonts w:hint="default" w:ascii="宋体" w:hAnsi="宋体" w:eastAsia="Arial"/>
          <w:bCs/>
          <w:color w:val="auto"/>
          <w:sz w:val="24"/>
          <w:szCs w:val="22"/>
          <w:highlight w:val="none"/>
        </w:rPr>
        <w:t xml:space="preserve"> 本企业对上述声明内容的真实性负责</w:t>
      </w:r>
      <w:r>
        <w:rPr>
          <w:rFonts w:hint="eastAsia" w:ascii="宋体" w:hAnsi="宋体" w:eastAsia="Arial"/>
          <w:bCs/>
          <w:color w:val="auto"/>
          <w:sz w:val="24"/>
          <w:szCs w:val="22"/>
          <w:highlight w:val="none"/>
        </w:rPr>
        <w:t>。</w:t>
      </w:r>
      <w:r>
        <w:rPr>
          <w:rFonts w:hint="default" w:ascii="宋体" w:hAnsi="宋体" w:eastAsia="Arial"/>
          <w:bCs/>
          <w:color w:val="auto"/>
          <w:sz w:val="24"/>
          <w:szCs w:val="22"/>
          <w:highlight w:val="none"/>
        </w:rPr>
        <w:t>如有虚假</w:t>
      </w:r>
      <w:r>
        <w:rPr>
          <w:rFonts w:hint="eastAsia" w:ascii="宋体" w:hAnsi="宋体" w:eastAsia="Arial"/>
          <w:bCs/>
          <w:color w:val="auto"/>
          <w:sz w:val="24"/>
          <w:szCs w:val="22"/>
          <w:highlight w:val="none"/>
        </w:rPr>
        <w:t>，</w:t>
      </w:r>
      <w:r>
        <w:rPr>
          <w:rFonts w:hint="default" w:ascii="宋体" w:hAnsi="宋体" w:eastAsia="Arial"/>
          <w:bCs/>
          <w:color w:val="auto"/>
          <w:sz w:val="24"/>
          <w:szCs w:val="22"/>
          <w:highlight w:val="none"/>
        </w:rPr>
        <w:t>将依 法承担相应责任</w:t>
      </w:r>
      <w:r>
        <w:rPr>
          <w:rFonts w:hint="eastAsia" w:ascii="宋体" w:hAnsi="宋体" w:eastAsia="Arial"/>
          <w:bCs/>
          <w:color w:val="auto"/>
          <w:sz w:val="24"/>
          <w:szCs w:val="22"/>
          <w:highlight w:val="none"/>
        </w:rPr>
        <w:t>。</w:t>
      </w:r>
    </w:p>
    <w:p w14:paraId="7C640B33">
      <w:pPr>
        <w:spacing w:line="360" w:lineRule="auto"/>
        <w:ind w:firstLine="4800"/>
        <w:rPr>
          <w:rFonts w:hint="default" w:ascii="宋体" w:hAnsi="宋体" w:eastAsia="Arial"/>
          <w:bCs/>
          <w:color w:val="auto"/>
          <w:sz w:val="24"/>
          <w:szCs w:val="22"/>
          <w:highlight w:val="none"/>
        </w:rPr>
      </w:pPr>
      <w:r>
        <w:rPr>
          <w:rFonts w:hint="eastAsia" w:ascii="宋体" w:hAnsi="宋体" w:eastAsia="Arial"/>
          <w:bCs/>
          <w:color w:val="auto"/>
          <w:sz w:val="24"/>
          <w:szCs w:val="22"/>
          <w:highlight w:val="none"/>
        </w:rPr>
        <w:t>企业名称（签章）：</w:t>
      </w:r>
    </w:p>
    <w:p w14:paraId="047CA2D8">
      <w:pPr>
        <w:spacing w:line="360" w:lineRule="auto"/>
        <w:ind w:firstLine="4800"/>
        <w:rPr>
          <w:rFonts w:hint="default" w:ascii="宋体" w:hAnsi="宋体" w:eastAsia="Arial"/>
          <w:bCs/>
          <w:color w:val="auto"/>
          <w:sz w:val="24"/>
          <w:szCs w:val="22"/>
          <w:highlight w:val="none"/>
        </w:rPr>
      </w:pPr>
      <w:r>
        <w:rPr>
          <w:rFonts w:hint="eastAsia" w:ascii="宋体" w:hAnsi="宋体" w:eastAsia="Arial"/>
          <w:bCs/>
          <w:color w:val="auto"/>
          <w:sz w:val="24"/>
          <w:szCs w:val="22"/>
          <w:highlight w:val="none"/>
        </w:rPr>
        <w:t>日　　　　　　期：</w:t>
      </w:r>
    </w:p>
    <w:p w14:paraId="6D7FFB6C">
      <w:pPr>
        <w:spacing w:line="288" w:lineRule="auto"/>
        <w:rPr>
          <w:rFonts w:hint="default"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77839BA4">
      <w:pPr>
        <w:spacing w:line="288" w:lineRule="auto"/>
        <w:rPr>
          <w:rFonts w:hint="default"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（2）从业人员、营业收入、资产总额填报上一年度数据，无上一年度数据的新成立企业可不填报。</w:t>
      </w:r>
    </w:p>
    <w:p w14:paraId="4136A16F">
      <w:pPr>
        <w:spacing w:line="288" w:lineRule="auto"/>
        <w:rPr>
          <w:rFonts w:hint="default"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3）中标人的《中小企业声明函》将随中标公告进行公示。投标人按照本办法规定提供声明函内容不实的，属于提供虚假材料谋取中标、成交，依照《中华人民共和国政府采购法》等国家有关规定追究相应责任。</w:t>
      </w:r>
    </w:p>
    <w:p w14:paraId="185EE171">
      <w:pPr>
        <w:rPr>
          <w:rFonts w:hint="default" w:ascii="宋体" w:hAnsi="宋体" w:eastAsia="Arial" w:cs="宋体"/>
          <w:b/>
          <w:bCs/>
          <w:color w:val="auto"/>
          <w:sz w:val="28"/>
          <w:szCs w:val="28"/>
          <w:highlight w:val="none"/>
        </w:rPr>
      </w:pPr>
      <w:r>
        <w:rPr>
          <w:rFonts w:hint="eastAsia" w:ascii="宋体" w:hAnsi="宋体" w:eastAsia="Arial" w:cs="宋体"/>
          <w:b/>
          <w:color w:val="auto"/>
          <w:sz w:val="28"/>
          <w:szCs w:val="28"/>
          <w:highlight w:val="none"/>
        </w:rPr>
        <w:br w:type="page" w:clear="all"/>
      </w:r>
    </w:p>
    <w:p w14:paraId="72BD93D9">
      <w:pPr>
        <w:spacing w:line="360" w:lineRule="auto"/>
        <w:rPr>
          <w:rFonts w:hint="default" w:ascii="宋体" w:hAnsi="宋体" w:eastAsia="Arial" w:cs="宋体"/>
          <w:b/>
          <w:bCs/>
          <w:color w:val="auto"/>
          <w:sz w:val="28"/>
          <w:szCs w:val="28"/>
          <w:highlight w:val="none"/>
        </w:rPr>
      </w:pPr>
      <w:r>
        <w:rPr>
          <w:rFonts w:hint="eastAsia" w:ascii="Calibri" w:hAnsi="Calibri" w:eastAsia="Arial"/>
          <w:b/>
          <w:color w:val="auto"/>
          <w:sz w:val="28"/>
          <w:szCs w:val="28"/>
          <w:highlight w:val="none"/>
        </w:rPr>
        <w:t>五</w:t>
      </w:r>
      <w:r>
        <w:rPr>
          <w:rFonts w:hint="eastAsia" w:ascii="宋体" w:hAnsi="宋体" w:eastAsia="Arial" w:cs="宋体"/>
          <w:b/>
          <w:color w:val="auto"/>
          <w:sz w:val="28"/>
          <w:szCs w:val="28"/>
          <w:highlight w:val="none"/>
        </w:rPr>
        <w:t>、残疾人福利性单位声明函（给定格式）：</w:t>
      </w:r>
    </w:p>
    <w:p w14:paraId="2506C444">
      <w:pPr>
        <w:spacing w:line="360" w:lineRule="auto"/>
        <w:ind w:firstLine="482"/>
        <w:rPr>
          <w:rFonts w:hint="default" w:ascii="Arial" w:hAnsi="Arial" w:eastAsia="Arial"/>
          <w:b/>
          <w:color w:val="auto"/>
          <w:sz w:val="24"/>
          <w:szCs w:val="22"/>
          <w:highlight w:val="none"/>
        </w:rPr>
      </w:pPr>
    </w:p>
    <w:p w14:paraId="1F28AC39">
      <w:pPr>
        <w:spacing w:line="360" w:lineRule="auto"/>
        <w:jc w:val="center"/>
        <w:rPr>
          <w:rFonts w:hint="default" w:ascii="黑体" w:hAnsi="Calibri" w:eastAsia="黑体"/>
          <w:bCs/>
          <w:color w:val="auto"/>
          <w:sz w:val="28"/>
          <w:szCs w:val="28"/>
          <w:highlight w:val="none"/>
        </w:rPr>
      </w:pPr>
      <w:r>
        <w:rPr>
          <w:rFonts w:hint="eastAsia" w:ascii="黑体" w:hAnsi="Calibri" w:eastAsia="黑体"/>
          <w:bCs/>
          <w:color w:val="auto"/>
          <w:sz w:val="28"/>
          <w:szCs w:val="28"/>
          <w:highlight w:val="none"/>
        </w:rPr>
        <w:t>残疾人福利性单位声明函</w:t>
      </w:r>
    </w:p>
    <w:p w14:paraId="2635F53A">
      <w:pPr>
        <w:spacing w:line="360" w:lineRule="auto"/>
        <w:jc w:val="center"/>
        <w:rPr>
          <w:rFonts w:hint="default" w:ascii="黑体" w:hAnsi="Calibri" w:eastAsia="黑体"/>
          <w:bCs/>
          <w:color w:val="auto"/>
          <w:sz w:val="28"/>
          <w:szCs w:val="28"/>
          <w:highlight w:val="none"/>
        </w:rPr>
      </w:pPr>
    </w:p>
    <w:p w14:paraId="48FE17DE">
      <w:pPr>
        <w:spacing w:line="360" w:lineRule="auto"/>
        <w:ind w:firstLine="480"/>
        <w:rPr>
          <w:rFonts w:hint="default" w:ascii="宋体" w:hAnsi="宋体" w:eastAsia="Arial"/>
          <w:bCs/>
          <w:color w:val="auto"/>
          <w:sz w:val="24"/>
          <w:szCs w:val="24"/>
          <w:highlight w:val="none"/>
        </w:rPr>
      </w:pPr>
      <w:r>
        <w:rPr>
          <w:rFonts w:hint="eastAsia" w:ascii="宋体" w:hAnsi="宋体" w:eastAsia="Arial"/>
          <w:bCs/>
          <w:color w:val="auto"/>
          <w:sz w:val="24"/>
          <w:szCs w:val="24"/>
          <w:highlight w:val="none"/>
        </w:rPr>
        <w:t>本单位郑重声明，根据《财政部 民政部 中国残疾人联合会关于促进残疾人就业政府采购政策的通知》（财库</w:t>
      </w:r>
      <w:r>
        <w:rPr>
          <w:rFonts w:hint="eastAsia" w:ascii="宋体" w:hAnsi="宋体" w:eastAsia="宋体"/>
          <w:bCs/>
          <w:color w:val="auto"/>
          <w:sz w:val="24"/>
          <w:szCs w:val="24"/>
          <w:highlight w:val="none"/>
        </w:rPr>
        <w:t>〔2017〕141号</w:t>
      </w:r>
      <w:r>
        <w:rPr>
          <w:rFonts w:hint="eastAsia" w:ascii="宋体" w:hAnsi="宋体" w:eastAsia="Arial"/>
          <w:bCs/>
          <w:color w:val="auto"/>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EB7E20F">
      <w:pPr>
        <w:spacing w:line="360" w:lineRule="auto"/>
        <w:ind w:firstLine="480"/>
        <w:rPr>
          <w:rFonts w:hint="default" w:ascii="宋体" w:hAnsi="宋体" w:eastAsia="Arial"/>
          <w:bCs/>
          <w:color w:val="auto"/>
          <w:sz w:val="24"/>
          <w:szCs w:val="24"/>
          <w:highlight w:val="none"/>
        </w:rPr>
      </w:pPr>
      <w:r>
        <w:rPr>
          <w:rFonts w:hint="eastAsia" w:ascii="宋体" w:hAnsi="宋体" w:eastAsia="Arial"/>
          <w:bCs/>
          <w:color w:val="auto"/>
          <w:sz w:val="24"/>
          <w:szCs w:val="24"/>
          <w:highlight w:val="none"/>
        </w:rPr>
        <w:t>本单位对上述声明的真实性负责。如有虚假，将依法承担相应责任。</w:t>
      </w:r>
    </w:p>
    <w:p w14:paraId="6796E1EE">
      <w:pPr>
        <w:spacing w:line="360" w:lineRule="auto"/>
        <w:ind w:firstLine="480"/>
        <w:rPr>
          <w:rFonts w:hint="default" w:ascii="宋体" w:hAnsi="宋体" w:eastAsia="Arial"/>
          <w:bCs/>
          <w:color w:val="auto"/>
          <w:sz w:val="24"/>
          <w:szCs w:val="24"/>
          <w:highlight w:val="none"/>
        </w:rPr>
      </w:pPr>
    </w:p>
    <w:p w14:paraId="215EBAC5">
      <w:pPr>
        <w:spacing w:line="360" w:lineRule="auto"/>
        <w:ind w:firstLine="480"/>
        <w:rPr>
          <w:rFonts w:hint="default" w:ascii="宋体" w:hAnsi="宋体" w:eastAsia="Arial"/>
          <w:bCs/>
          <w:color w:val="auto"/>
          <w:sz w:val="24"/>
          <w:szCs w:val="24"/>
          <w:highlight w:val="none"/>
        </w:rPr>
      </w:pPr>
    </w:p>
    <w:p w14:paraId="30ED86EE">
      <w:pPr>
        <w:spacing w:line="360" w:lineRule="auto"/>
        <w:ind w:firstLine="480"/>
        <w:rPr>
          <w:rFonts w:hint="default" w:ascii="宋体" w:hAnsi="宋体" w:eastAsia="Arial"/>
          <w:bCs/>
          <w:color w:val="auto"/>
          <w:sz w:val="24"/>
          <w:szCs w:val="24"/>
          <w:highlight w:val="none"/>
        </w:rPr>
      </w:pPr>
      <w:r>
        <w:rPr>
          <w:rFonts w:hint="eastAsia" w:ascii="宋体" w:hAnsi="宋体" w:eastAsia="Arial"/>
          <w:bCs/>
          <w:color w:val="auto"/>
          <w:sz w:val="24"/>
          <w:szCs w:val="24"/>
          <w:highlight w:val="none"/>
        </w:rPr>
        <w:t>单位名称（盖章）：</w:t>
      </w:r>
    </w:p>
    <w:p w14:paraId="1EBF9854">
      <w:pPr>
        <w:spacing w:line="360" w:lineRule="auto"/>
        <w:ind w:firstLine="480"/>
        <w:rPr>
          <w:rFonts w:hint="default" w:ascii="宋体" w:hAnsi="宋体" w:eastAsia="Arial"/>
          <w:bCs/>
          <w:color w:val="auto"/>
          <w:sz w:val="24"/>
          <w:szCs w:val="24"/>
          <w:highlight w:val="none"/>
        </w:rPr>
      </w:pPr>
      <w:r>
        <w:rPr>
          <w:rFonts w:hint="eastAsia" w:ascii="宋体" w:hAnsi="宋体" w:eastAsia="Arial"/>
          <w:bCs/>
          <w:color w:val="auto"/>
          <w:sz w:val="24"/>
          <w:szCs w:val="24"/>
          <w:highlight w:val="none"/>
        </w:rPr>
        <w:t>日  期：</w:t>
      </w:r>
    </w:p>
    <w:p w14:paraId="2ABBAB2F">
      <w:pPr>
        <w:rPr>
          <w:rFonts w:hint="default" w:ascii="Calibri" w:hAnsi="Calibri" w:eastAsia="Arial"/>
          <w:b/>
          <w:color w:val="auto"/>
          <w:sz w:val="30"/>
          <w:szCs w:val="30"/>
          <w:highlight w:val="none"/>
        </w:rPr>
      </w:pPr>
      <w:r>
        <w:rPr>
          <w:rFonts w:hint="eastAsia" w:ascii="Calibri" w:hAnsi="Calibri" w:eastAsia="Arial"/>
          <w:b/>
          <w:color w:val="auto"/>
          <w:sz w:val="30"/>
          <w:szCs w:val="30"/>
          <w:highlight w:val="none"/>
        </w:rPr>
        <w:br w:type="page" w:clear="all"/>
      </w:r>
    </w:p>
    <w:p w14:paraId="5BCE3FC4">
      <w:pPr>
        <w:spacing w:line="360" w:lineRule="auto"/>
        <w:rPr>
          <w:rFonts w:hint="default" w:ascii="Calibri" w:hAnsi="Calibri" w:eastAsia="Arial"/>
          <w:b/>
          <w:color w:val="auto"/>
          <w:sz w:val="28"/>
          <w:szCs w:val="28"/>
          <w:highlight w:val="none"/>
        </w:rPr>
      </w:pPr>
      <w:r>
        <w:rPr>
          <w:rFonts w:hint="eastAsia" w:ascii="Calibri" w:hAnsi="Calibri" w:eastAsia="宋体"/>
          <w:b/>
          <w:color w:val="auto"/>
          <w:sz w:val="28"/>
          <w:szCs w:val="28"/>
          <w:highlight w:val="none"/>
        </w:rPr>
        <w:t>六</w:t>
      </w:r>
      <w:r>
        <w:rPr>
          <w:rFonts w:hint="default" w:ascii="Calibri" w:hAnsi="Calibri" w:eastAsia="Arial"/>
          <w:b/>
          <w:color w:val="auto"/>
          <w:sz w:val="28"/>
          <w:szCs w:val="28"/>
          <w:highlight w:val="none"/>
        </w:rPr>
        <w:t>、投标函</w:t>
      </w:r>
      <w:r>
        <w:rPr>
          <w:rFonts w:hint="eastAsia" w:ascii="Calibri" w:hAnsi="Calibri" w:eastAsia="Arial"/>
          <w:b/>
          <w:color w:val="auto"/>
          <w:sz w:val="28"/>
          <w:szCs w:val="28"/>
          <w:highlight w:val="none"/>
        </w:rPr>
        <w:t>（给定格式）：</w:t>
      </w:r>
    </w:p>
    <w:p w14:paraId="38514BFC">
      <w:pPr>
        <w:spacing w:line="360" w:lineRule="auto"/>
        <w:rPr>
          <w:rFonts w:hint="default" w:ascii="Calibri" w:hAnsi="Calibri" w:eastAsia="Arial"/>
          <w:b/>
          <w:color w:val="auto"/>
          <w:sz w:val="30"/>
          <w:szCs w:val="30"/>
          <w:highlight w:val="none"/>
        </w:rPr>
      </w:pPr>
    </w:p>
    <w:p w14:paraId="4D2DFD49">
      <w:pPr>
        <w:spacing w:line="360" w:lineRule="auto"/>
        <w:jc w:val="center"/>
        <w:rPr>
          <w:rFonts w:hint="default" w:ascii="宋体" w:hAnsi="Calibri" w:eastAsia="Arial"/>
          <w:bCs/>
          <w:color w:val="auto"/>
          <w:sz w:val="24"/>
          <w:szCs w:val="24"/>
          <w:highlight w:val="none"/>
        </w:rPr>
      </w:pPr>
      <w:r>
        <w:rPr>
          <w:rFonts w:hint="eastAsia" w:ascii="黑体" w:hAnsi="Calibri" w:eastAsia="黑体"/>
          <w:bCs/>
          <w:color w:val="auto"/>
          <w:sz w:val="28"/>
          <w:szCs w:val="28"/>
          <w:highlight w:val="none"/>
        </w:rPr>
        <w:t>投标函</w:t>
      </w:r>
    </w:p>
    <w:p w14:paraId="78776E4F">
      <w:pPr>
        <w:spacing w:line="360" w:lineRule="auto"/>
        <w:rPr>
          <w:rFonts w:hint="default" w:ascii="宋体" w:hAnsi="Calibri" w:eastAsia="Arial"/>
          <w:bCs/>
          <w:color w:val="auto"/>
          <w:sz w:val="24"/>
          <w:szCs w:val="24"/>
          <w:highlight w:val="none"/>
        </w:rPr>
      </w:pPr>
      <w:r>
        <w:rPr>
          <w:rFonts w:hint="eastAsia" w:ascii="宋体" w:hAnsi="宋体" w:eastAsia="Arial"/>
          <w:bCs/>
          <w:color w:val="auto"/>
          <w:sz w:val="24"/>
          <w:szCs w:val="24"/>
          <w:highlight w:val="none"/>
        </w:rPr>
        <w:t>致</w:t>
      </w:r>
      <w:r>
        <w:rPr>
          <w:rFonts w:hint="eastAsia" w:ascii="宋体" w:hAnsi="宋体" w:eastAsia="宋体"/>
          <w:bCs/>
          <w:color w:val="auto"/>
          <w:sz w:val="24"/>
          <w:szCs w:val="24"/>
          <w:highlight w:val="none"/>
        </w:rPr>
        <w:t>无锡众邦技术咨询有限公司</w:t>
      </w:r>
      <w:r>
        <w:rPr>
          <w:rFonts w:hint="eastAsia" w:ascii="宋体" w:hAnsi="宋体" w:eastAsia="Arial"/>
          <w:bCs/>
          <w:color w:val="auto"/>
          <w:sz w:val="24"/>
          <w:szCs w:val="24"/>
          <w:highlight w:val="none"/>
        </w:rPr>
        <w:t>：</w:t>
      </w:r>
    </w:p>
    <w:p w14:paraId="74D4EECB">
      <w:pPr>
        <w:spacing w:line="360" w:lineRule="auto"/>
        <w:ind w:firstLine="480"/>
        <w:rPr>
          <w:rFonts w:hint="default" w:ascii="宋体" w:hAnsi="Calibri" w:eastAsia="Arial"/>
          <w:bCs/>
          <w:color w:val="auto"/>
          <w:sz w:val="24"/>
          <w:szCs w:val="24"/>
          <w:highlight w:val="none"/>
        </w:rPr>
      </w:pPr>
      <w:r>
        <w:rPr>
          <w:rFonts w:hint="eastAsia" w:ascii="宋体" w:hAnsi="宋体" w:eastAsia="Arial"/>
          <w:bCs/>
          <w:color w:val="auto"/>
          <w:sz w:val="24"/>
          <w:szCs w:val="24"/>
          <w:highlight w:val="none"/>
        </w:rPr>
        <w:t>我方收到贵方编号</w:t>
      </w:r>
      <w:r>
        <w:rPr>
          <w:rFonts w:hint="eastAsia" w:ascii="宋体" w:hAnsi="宋体" w:eastAsia="宋体"/>
          <w:bCs/>
          <w:color w:val="auto"/>
          <w:sz w:val="24"/>
          <w:szCs w:val="24"/>
          <w:highlight w:val="none"/>
          <w:u w:val="single"/>
        </w:rPr>
        <w:t xml:space="preserve">           </w:t>
      </w:r>
      <w:r>
        <w:rPr>
          <w:rFonts w:hint="eastAsia" w:ascii="宋体" w:hAnsi="宋体" w:eastAsia="Arial"/>
          <w:bCs/>
          <w:color w:val="auto"/>
          <w:sz w:val="24"/>
          <w:szCs w:val="24"/>
          <w:highlight w:val="none"/>
        </w:rPr>
        <w:t>招标文件，经仔细阅读和研究，我方决定参加此项目的投标。</w:t>
      </w:r>
    </w:p>
    <w:p w14:paraId="543CD56A">
      <w:pPr>
        <w:numPr>
          <w:ilvl w:val="0"/>
          <w:numId w:val="9"/>
        </w:numPr>
        <w:tabs>
          <w:tab w:val="left" w:pos="315"/>
          <w:tab w:val="left" w:pos="840"/>
          <w:tab w:val="left" w:pos="945"/>
          <w:tab w:val="left" w:pos="1050"/>
          <w:tab w:val="left" w:pos="1260"/>
        </w:tabs>
        <w:spacing w:line="360" w:lineRule="auto"/>
        <w:ind w:left="0" w:firstLine="525"/>
        <w:rPr>
          <w:rFonts w:hint="default" w:ascii="宋体" w:hAnsi="Calibri" w:eastAsia="Arial"/>
          <w:bCs/>
          <w:color w:val="auto"/>
          <w:sz w:val="24"/>
          <w:szCs w:val="24"/>
          <w:highlight w:val="none"/>
        </w:rPr>
      </w:pPr>
      <w:r>
        <w:rPr>
          <w:rFonts w:hint="eastAsia" w:ascii="宋体" w:hAnsi="宋体" w:eastAsia="Arial"/>
          <w:bCs/>
          <w:color w:val="auto"/>
          <w:sz w:val="24"/>
          <w:szCs w:val="24"/>
          <w:highlight w:val="none"/>
        </w:rPr>
        <w:t>我方愿意按照招标文件的一切要求，提供本项目的投标</w:t>
      </w:r>
      <w:r>
        <w:rPr>
          <w:rFonts w:hint="default" w:ascii="宋体" w:hAnsi="宋体" w:eastAsia="Arial"/>
          <w:bCs/>
          <w:color w:val="auto"/>
          <w:sz w:val="24"/>
          <w:szCs w:val="24"/>
          <w:highlight w:val="none"/>
        </w:rPr>
        <w:t>，投标</w:t>
      </w:r>
      <w:r>
        <w:rPr>
          <w:rFonts w:hint="eastAsia" w:ascii="宋体" w:hAnsi="宋体" w:eastAsia="宋体"/>
          <w:bCs/>
          <w:color w:val="auto"/>
          <w:sz w:val="24"/>
          <w:szCs w:val="24"/>
          <w:highlight w:val="none"/>
        </w:rPr>
        <w:t>报价</w:t>
      </w:r>
      <w:r>
        <w:rPr>
          <w:rFonts w:hint="default" w:ascii="宋体" w:hAnsi="宋体" w:eastAsia="Arial"/>
          <w:bCs/>
          <w:color w:val="auto"/>
          <w:sz w:val="24"/>
          <w:szCs w:val="24"/>
          <w:highlight w:val="none"/>
        </w:rPr>
        <w:t>见《</w:t>
      </w:r>
      <w:r>
        <w:rPr>
          <w:rFonts w:hint="eastAsia" w:ascii="宋体" w:hAnsi="宋体" w:eastAsia="Arial"/>
          <w:bCs/>
          <w:color w:val="auto"/>
          <w:sz w:val="24"/>
          <w:szCs w:val="24"/>
          <w:highlight w:val="none"/>
        </w:rPr>
        <w:t>开标一览表》。</w:t>
      </w:r>
    </w:p>
    <w:p w14:paraId="6D2B16A6">
      <w:pPr>
        <w:numPr>
          <w:ilvl w:val="0"/>
          <w:numId w:val="9"/>
        </w:numPr>
        <w:tabs>
          <w:tab w:val="left" w:pos="0"/>
          <w:tab w:val="left" w:pos="315"/>
          <w:tab w:val="left" w:pos="525"/>
          <w:tab w:val="left" w:pos="840"/>
          <w:tab w:val="left" w:pos="945"/>
          <w:tab w:val="left" w:pos="1050"/>
        </w:tabs>
        <w:spacing w:line="360" w:lineRule="auto"/>
        <w:ind w:left="0" w:firstLine="523"/>
        <w:rPr>
          <w:rStyle w:val="316"/>
          <w:rFonts w:hint="default" w:ascii="Calibri" w:hAnsi="Calibri" w:eastAsia="Arial"/>
          <w:bCs/>
          <w:color w:val="auto"/>
          <w:szCs w:val="22"/>
          <w:highlight w:val="none"/>
        </w:rPr>
      </w:pPr>
      <w:r>
        <w:rPr>
          <w:rFonts w:hint="eastAsia" w:ascii="宋体" w:hAnsi="宋体" w:eastAsia="Arial"/>
          <w:bCs/>
          <w:color w:val="auto"/>
          <w:sz w:val="24"/>
          <w:szCs w:val="24"/>
          <w:highlight w:val="none"/>
        </w:rPr>
        <w:t>我方愿意提供</w:t>
      </w:r>
      <w:r>
        <w:rPr>
          <w:rFonts w:hint="eastAsia" w:ascii="宋体" w:hAnsi="宋体" w:eastAsia="宋体"/>
          <w:bCs/>
          <w:color w:val="auto"/>
          <w:sz w:val="24"/>
          <w:szCs w:val="24"/>
          <w:highlight w:val="none"/>
        </w:rPr>
        <w:t>无锡众邦技术咨询有限公司</w:t>
      </w:r>
      <w:r>
        <w:rPr>
          <w:rFonts w:hint="eastAsia" w:ascii="宋体" w:hAnsi="宋体" w:eastAsia="Arial"/>
          <w:bCs/>
          <w:color w:val="auto"/>
          <w:sz w:val="24"/>
          <w:szCs w:val="24"/>
          <w:highlight w:val="none"/>
        </w:rPr>
        <w:t>在招标文件中要求的文件、资料。</w:t>
      </w:r>
    </w:p>
    <w:p w14:paraId="0A157C8C">
      <w:pPr>
        <w:numPr>
          <w:ilvl w:val="0"/>
          <w:numId w:val="9"/>
        </w:numPr>
        <w:tabs>
          <w:tab w:val="left" w:pos="0"/>
          <w:tab w:val="left" w:pos="315"/>
          <w:tab w:val="left" w:pos="525"/>
          <w:tab w:val="left" w:pos="945"/>
          <w:tab w:val="left" w:pos="1050"/>
        </w:tabs>
        <w:spacing w:line="360" w:lineRule="auto"/>
        <w:ind w:left="0" w:firstLine="523"/>
        <w:rPr>
          <w:rFonts w:hint="default" w:ascii="宋体" w:hAnsi="Calibri" w:eastAsia="Arial"/>
          <w:bCs/>
          <w:color w:val="auto"/>
          <w:sz w:val="24"/>
          <w:szCs w:val="24"/>
          <w:highlight w:val="none"/>
        </w:rPr>
      </w:pPr>
      <w:r>
        <w:rPr>
          <w:rFonts w:hint="eastAsia" w:ascii="宋体" w:hAnsi="宋体" w:eastAsia="Arial"/>
          <w:bCs/>
          <w:color w:val="auto"/>
          <w:sz w:val="24"/>
          <w:szCs w:val="24"/>
          <w:highlight w:val="none"/>
        </w:rPr>
        <w:t>我方同意</w:t>
      </w:r>
      <w:r>
        <w:rPr>
          <w:rFonts w:hint="eastAsia" w:ascii="宋体" w:hAnsi="宋体" w:eastAsia="宋体"/>
          <w:bCs/>
          <w:color w:val="auto"/>
          <w:sz w:val="24"/>
          <w:szCs w:val="24"/>
          <w:highlight w:val="none"/>
        </w:rPr>
        <w:t>按照</w:t>
      </w:r>
      <w:r>
        <w:rPr>
          <w:rFonts w:hint="eastAsia" w:ascii="宋体" w:hAnsi="宋体" w:eastAsia="Arial"/>
          <w:bCs/>
          <w:color w:val="auto"/>
          <w:sz w:val="24"/>
          <w:szCs w:val="24"/>
          <w:highlight w:val="none"/>
        </w:rPr>
        <w:t>招标文件中的规定，从规定的开标日期起遵循本投标文件，并在规定的投标有效期期满之前均具有约束力。</w:t>
      </w:r>
    </w:p>
    <w:p w14:paraId="684B807D">
      <w:pPr>
        <w:numPr>
          <w:ilvl w:val="0"/>
          <w:numId w:val="9"/>
        </w:numPr>
        <w:tabs>
          <w:tab w:val="left" w:pos="0"/>
          <w:tab w:val="left" w:pos="315"/>
          <w:tab w:val="left" w:pos="525"/>
          <w:tab w:val="left" w:pos="945"/>
          <w:tab w:val="left" w:pos="1050"/>
        </w:tabs>
        <w:spacing w:line="360" w:lineRule="auto"/>
        <w:ind w:left="0" w:firstLine="523"/>
        <w:rPr>
          <w:rFonts w:hint="default" w:ascii="宋体" w:hAnsi="Calibri" w:eastAsia="Arial"/>
          <w:bCs/>
          <w:color w:val="auto"/>
          <w:sz w:val="24"/>
          <w:szCs w:val="24"/>
          <w:highlight w:val="none"/>
        </w:rPr>
      </w:pPr>
      <w:r>
        <w:rPr>
          <w:rFonts w:hint="eastAsia" w:ascii="宋体" w:hAnsi="宋体" w:eastAsia="Arial"/>
          <w:bCs/>
          <w:color w:val="auto"/>
          <w:sz w:val="24"/>
          <w:szCs w:val="24"/>
          <w:highlight w:val="none"/>
        </w:rPr>
        <w:t>如果我方的投标文件被接受，我方将履行招标文件中规定的每一项要求，按期、按质、按量，完成交货任务。</w:t>
      </w:r>
    </w:p>
    <w:p w14:paraId="169A2989">
      <w:pPr>
        <w:numPr>
          <w:ilvl w:val="0"/>
          <w:numId w:val="9"/>
        </w:numPr>
        <w:tabs>
          <w:tab w:val="left" w:pos="0"/>
          <w:tab w:val="left" w:pos="315"/>
          <w:tab w:val="left" w:pos="525"/>
          <w:tab w:val="left" w:pos="945"/>
          <w:tab w:val="left" w:pos="1050"/>
        </w:tabs>
        <w:spacing w:line="360" w:lineRule="auto"/>
        <w:ind w:left="0" w:firstLine="523"/>
        <w:rPr>
          <w:rFonts w:hint="default" w:ascii="宋体" w:hAnsi="Calibri" w:eastAsia="Arial"/>
          <w:bCs/>
          <w:color w:val="auto"/>
          <w:sz w:val="24"/>
          <w:szCs w:val="24"/>
          <w:highlight w:val="none"/>
        </w:rPr>
      </w:pPr>
      <w:r>
        <w:rPr>
          <w:rFonts w:hint="eastAsia" w:ascii="宋体" w:hAnsi="宋体" w:eastAsia="Arial"/>
          <w:bCs/>
          <w:color w:val="auto"/>
          <w:sz w:val="24"/>
          <w:szCs w:val="24"/>
          <w:highlight w:val="none"/>
        </w:rPr>
        <w:t>我方完全同意招标文件规定的决定中标者的方式。</w:t>
      </w:r>
    </w:p>
    <w:p w14:paraId="5964C900">
      <w:pPr>
        <w:numPr>
          <w:ilvl w:val="0"/>
          <w:numId w:val="9"/>
        </w:numPr>
        <w:tabs>
          <w:tab w:val="left" w:pos="0"/>
          <w:tab w:val="left" w:pos="315"/>
          <w:tab w:val="left" w:pos="525"/>
          <w:tab w:val="left" w:pos="945"/>
          <w:tab w:val="left" w:pos="1050"/>
        </w:tabs>
        <w:spacing w:line="360" w:lineRule="auto"/>
        <w:ind w:left="0" w:firstLine="523"/>
        <w:rPr>
          <w:rFonts w:hint="default" w:ascii="宋体" w:hAnsi="Calibri" w:eastAsia="Arial"/>
          <w:bCs/>
          <w:color w:val="auto"/>
          <w:sz w:val="24"/>
          <w:szCs w:val="24"/>
          <w:highlight w:val="none"/>
        </w:rPr>
      </w:pPr>
      <w:r>
        <w:rPr>
          <w:rFonts w:hint="eastAsia" w:ascii="宋体" w:hAnsi="宋体" w:eastAsia="Arial"/>
          <w:bCs/>
          <w:color w:val="auto"/>
          <w:sz w:val="24"/>
          <w:szCs w:val="24"/>
          <w:highlight w:val="none"/>
        </w:rPr>
        <w:t>我方愿意遵守《中华人民共和国政府采购法》，并按《中华人民共和国民法典》、财政部《政府采购货物和服务招标投标管理办法》等相关法律法规</w:t>
      </w:r>
      <w:r>
        <w:rPr>
          <w:rFonts w:hint="eastAsia" w:ascii="宋体" w:hAnsi="宋体" w:eastAsia="Arial"/>
          <w:color w:val="auto"/>
          <w:sz w:val="24"/>
          <w:szCs w:val="24"/>
          <w:highlight w:val="none"/>
        </w:rPr>
        <w:t>和</w:t>
      </w:r>
      <w:r>
        <w:rPr>
          <w:rFonts w:hint="eastAsia" w:ascii="宋体" w:hAnsi="宋体" w:eastAsia="Arial"/>
          <w:bCs/>
          <w:color w:val="auto"/>
          <w:sz w:val="24"/>
          <w:szCs w:val="24"/>
          <w:highlight w:val="none"/>
        </w:rPr>
        <w:t>合同条款履行自己的全部责任。</w:t>
      </w:r>
    </w:p>
    <w:p w14:paraId="1FD9DBC6">
      <w:pPr>
        <w:numPr>
          <w:ilvl w:val="0"/>
          <w:numId w:val="9"/>
        </w:numPr>
        <w:tabs>
          <w:tab w:val="left" w:pos="0"/>
          <w:tab w:val="left" w:pos="315"/>
          <w:tab w:val="left" w:pos="525"/>
          <w:tab w:val="left" w:pos="945"/>
          <w:tab w:val="left" w:pos="1050"/>
        </w:tabs>
        <w:spacing w:line="360" w:lineRule="auto"/>
        <w:ind w:left="0" w:firstLine="523"/>
        <w:rPr>
          <w:rFonts w:hint="default" w:ascii="宋体" w:hAnsi="Calibri" w:eastAsia="Arial"/>
          <w:bCs/>
          <w:color w:val="auto"/>
          <w:sz w:val="24"/>
          <w:szCs w:val="24"/>
          <w:highlight w:val="none"/>
        </w:rPr>
      </w:pPr>
      <w:r>
        <w:rPr>
          <w:rFonts w:hint="eastAsia" w:ascii="宋体" w:hAnsi="宋体" w:eastAsia="Arial"/>
          <w:bCs/>
          <w:color w:val="auto"/>
          <w:sz w:val="24"/>
          <w:szCs w:val="24"/>
          <w:highlight w:val="none"/>
        </w:rPr>
        <w:t>我方已详细审核全部招标文件及其有效补充文件，我们知道必须放弃提出含糊不清或误解问题的权利。</w:t>
      </w:r>
    </w:p>
    <w:p w14:paraId="5ED91788">
      <w:pPr>
        <w:numPr>
          <w:ilvl w:val="0"/>
          <w:numId w:val="9"/>
        </w:numPr>
        <w:tabs>
          <w:tab w:val="left" w:pos="0"/>
          <w:tab w:val="left" w:pos="315"/>
          <w:tab w:val="left" w:pos="525"/>
          <w:tab w:val="left" w:pos="945"/>
          <w:tab w:val="left" w:pos="1050"/>
        </w:tabs>
        <w:spacing w:line="360" w:lineRule="auto"/>
        <w:ind w:left="0" w:firstLine="523"/>
        <w:rPr>
          <w:rFonts w:hint="default" w:ascii="宋体" w:hAnsi="Calibri" w:eastAsia="Arial"/>
          <w:bCs/>
          <w:color w:val="auto"/>
          <w:sz w:val="24"/>
          <w:szCs w:val="24"/>
          <w:highlight w:val="none"/>
        </w:rPr>
      </w:pPr>
      <w:r>
        <w:rPr>
          <w:rFonts w:hint="eastAsia" w:ascii="宋体" w:hAnsi="宋体" w:eastAsia="Arial"/>
          <w:bCs/>
          <w:color w:val="auto"/>
          <w:sz w:val="24"/>
          <w:szCs w:val="24"/>
          <w:highlight w:val="none"/>
        </w:rPr>
        <w:t>如我方在投标截止期后撤回投标及中标后拒绝遵守投标承诺或拒绝在规定的时间内与采购人签订合同，则接受政府采购监督管理部门的处理。</w:t>
      </w:r>
    </w:p>
    <w:p w14:paraId="2BBEFD33">
      <w:pPr>
        <w:numPr>
          <w:ilvl w:val="0"/>
          <w:numId w:val="9"/>
        </w:numPr>
        <w:tabs>
          <w:tab w:val="left" w:pos="0"/>
          <w:tab w:val="left" w:pos="315"/>
          <w:tab w:val="left" w:pos="525"/>
          <w:tab w:val="left" w:pos="945"/>
          <w:tab w:val="left" w:pos="1050"/>
        </w:tabs>
        <w:spacing w:line="360" w:lineRule="auto"/>
        <w:ind w:left="0" w:firstLine="523"/>
        <w:rPr>
          <w:rFonts w:hint="default" w:ascii="宋体" w:hAnsi="Calibri" w:eastAsia="Arial"/>
          <w:bCs/>
          <w:color w:val="auto"/>
          <w:sz w:val="24"/>
          <w:szCs w:val="24"/>
          <w:highlight w:val="none"/>
        </w:rPr>
      </w:pPr>
      <w:r>
        <w:rPr>
          <w:rFonts w:hint="default" w:ascii="宋体" w:hAnsi="宋体" w:eastAsia="Arial"/>
          <w:bCs/>
          <w:color w:val="auto"/>
          <w:sz w:val="24"/>
          <w:szCs w:val="24"/>
          <w:highlight w:val="none"/>
        </w:rPr>
        <w:t>如果我方被确定为中标</w:t>
      </w:r>
      <w:r>
        <w:rPr>
          <w:rFonts w:hint="eastAsia" w:ascii="宋体" w:hAnsi="宋体" w:eastAsia="宋体"/>
          <w:bCs/>
          <w:color w:val="auto"/>
          <w:sz w:val="24"/>
          <w:szCs w:val="24"/>
          <w:highlight w:val="none"/>
        </w:rPr>
        <w:t>人并签订合同后，</w:t>
      </w:r>
      <w:r>
        <w:rPr>
          <w:rFonts w:hint="default" w:ascii="宋体" w:hAnsi="宋体" w:eastAsia="Arial"/>
          <w:bCs/>
          <w:color w:val="auto"/>
          <w:sz w:val="24"/>
          <w:szCs w:val="24"/>
          <w:highlight w:val="none"/>
        </w:rPr>
        <w:t>如无不可</w:t>
      </w:r>
      <w:r>
        <w:rPr>
          <w:rFonts w:hint="eastAsia" w:ascii="宋体" w:hAnsi="宋体" w:eastAsia="Arial"/>
          <w:bCs/>
          <w:color w:val="auto"/>
          <w:sz w:val="24"/>
          <w:szCs w:val="24"/>
          <w:highlight w:val="none"/>
        </w:rPr>
        <w:t>抗力，又未履行招标文件、投标文件和合同条款的，一经查实，我方愿意赔偿由此而造成的一切损失，并同意接受按招标文件的相关要求对我方进行的处理。</w:t>
      </w:r>
    </w:p>
    <w:p w14:paraId="01716665">
      <w:pPr>
        <w:numPr>
          <w:ilvl w:val="0"/>
          <w:numId w:val="9"/>
        </w:numPr>
        <w:tabs>
          <w:tab w:val="left" w:pos="0"/>
          <w:tab w:val="left" w:pos="315"/>
          <w:tab w:val="left" w:pos="525"/>
          <w:tab w:val="left" w:pos="945"/>
          <w:tab w:val="left" w:pos="1050"/>
        </w:tabs>
        <w:spacing w:line="360" w:lineRule="auto"/>
        <w:ind w:left="0" w:firstLine="523"/>
        <w:rPr>
          <w:rFonts w:hint="default" w:ascii="宋体" w:hAnsi="宋体" w:eastAsia="Arial"/>
          <w:bCs/>
          <w:color w:val="auto"/>
          <w:sz w:val="24"/>
          <w:szCs w:val="24"/>
          <w:highlight w:val="none"/>
        </w:rPr>
      </w:pPr>
      <w:r>
        <w:rPr>
          <w:rFonts w:hint="eastAsia" w:ascii="宋体" w:hAnsi="宋体" w:eastAsia="Arial"/>
          <w:bCs/>
          <w:color w:val="auto"/>
          <w:sz w:val="24"/>
          <w:szCs w:val="24"/>
          <w:highlight w:val="none"/>
        </w:rPr>
        <w:t>我方决不提供虚假材料谋取中标、决不采取不正当手段诋毁、排挤其他供应商、决不与采购人、</w:t>
      </w:r>
      <w:r>
        <w:rPr>
          <w:rFonts w:hint="eastAsia" w:ascii="宋体" w:hAnsi="宋体" w:eastAsia="宋体"/>
          <w:bCs/>
          <w:color w:val="auto"/>
          <w:sz w:val="24"/>
          <w:szCs w:val="24"/>
          <w:highlight w:val="none"/>
        </w:rPr>
        <w:t>其他</w:t>
      </w:r>
      <w:r>
        <w:rPr>
          <w:rFonts w:hint="eastAsia" w:ascii="宋体" w:hAnsi="宋体" w:eastAsia="Arial"/>
          <w:bCs/>
          <w:color w:val="auto"/>
          <w:sz w:val="24"/>
          <w:szCs w:val="24"/>
          <w:highlight w:val="none"/>
        </w:rPr>
        <w:t>供应商或者</w:t>
      </w:r>
      <w:r>
        <w:rPr>
          <w:rFonts w:hint="eastAsia" w:ascii="宋体" w:hAnsi="宋体" w:eastAsia="宋体"/>
          <w:bCs/>
          <w:color w:val="auto"/>
          <w:sz w:val="24"/>
          <w:szCs w:val="24"/>
          <w:highlight w:val="none"/>
        </w:rPr>
        <w:t>采购代理机构</w:t>
      </w:r>
      <w:r>
        <w:rPr>
          <w:rFonts w:hint="eastAsia" w:ascii="宋体" w:hAnsi="宋体" w:eastAsia="Arial"/>
          <w:bCs/>
          <w:color w:val="auto"/>
          <w:sz w:val="24"/>
          <w:szCs w:val="24"/>
          <w:highlight w:val="none"/>
        </w:rPr>
        <w:t>恶意串通、决不向采购人、</w:t>
      </w:r>
      <w:r>
        <w:rPr>
          <w:rFonts w:hint="eastAsia" w:ascii="宋体" w:hAnsi="宋体" w:eastAsia="宋体"/>
          <w:bCs/>
          <w:color w:val="auto"/>
          <w:sz w:val="24"/>
          <w:szCs w:val="24"/>
          <w:highlight w:val="none"/>
        </w:rPr>
        <w:t>采购代理机构</w:t>
      </w:r>
      <w:r>
        <w:rPr>
          <w:rFonts w:hint="eastAsia" w:ascii="宋体" w:hAnsi="宋体" w:eastAsia="Arial"/>
          <w:bCs/>
          <w:color w:val="auto"/>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0EFC3716">
      <w:pPr>
        <w:spacing w:line="360" w:lineRule="auto"/>
        <w:ind w:firstLine="480"/>
        <w:rPr>
          <w:rFonts w:hint="default" w:ascii="宋体" w:hAnsi="Calibri" w:eastAsia="Arial"/>
          <w:bCs/>
          <w:color w:val="auto"/>
          <w:sz w:val="24"/>
          <w:szCs w:val="24"/>
          <w:highlight w:val="none"/>
        </w:rPr>
      </w:pPr>
      <w:r>
        <w:rPr>
          <w:rFonts w:hint="eastAsia" w:ascii="宋体" w:hAnsi="宋体" w:eastAsia="Arial"/>
          <w:bCs/>
          <w:color w:val="auto"/>
          <w:sz w:val="24"/>
          <w:szCs w:val="24"/>
          <w:highlight w:val="none"/>
        </w:rPr>
        <w:t>电话：</w:t>
      </w:r>
      <w:r>
        <w:rPr>
          <w:rFonts w:hint="eastAsia" w:ascii="宋体" w:hAnsi="宋体" w:eastAsia="宋体"/>
          <w:bCs/>
          <w:color w:val="auto"/>
          <w:sz w:val="24"/>
          <w:szCs w:val="24"/>
          <w:highlight w:val="none"/>
          <w:u w:val="single"/>
        </w:rPr>
        <w:t xml:space="preserve">             </w:t>
      </w:r>
      <w:r>
        <w:rPr>
          <w:rFonts w:hint="eastAsia" w:ascii="宋体" w:hAnsi="宋体" w:eastAsia="Arial"/>
          <w:bCs/>
          <w:color w:val="auto"/>
          <w:sz w:val="24"/>
          <w:szCs w:val="24"/>
          <w:highlight w:val="none"/>
        </w:rPr>
        <w:t>；传真：</w:t>
      </w:r>
      <w:r>
        <w:rPr>
          <w:rFonts w:hint="eastAsia" w:ascii="宋体" w:hAnsi="宋体" w:eastAsia="宋体"/>
          <w:bCs/>
          <w:color w:val="auto"/>
          <w:sz w:val="24"/>
          <w:szCs w:val="24"/>
          <w:highlight w:val="none"/>
          <w:u w:val="single"/>
        </w:rPr>
        <w:t xml:space="preserve">         </w:t>
      </w:r>
      <w:r>
        <w:rPr>
          <w:rFonts w:hint="eastAsia" w:ascii="宋体" w:hAnsi="宋体" w:eastAsia="Arial"/>
          <w:bCs/>
          <w:color w:val="auto"/>
          <w:sz w:val="24"/>
          <w:szCs w:val="24"/>
          <w:highlight w:val="none"/>
        </w:rPr>
        <w:t>；邮编：</w:t>
      </w:r>
      <w:r>
        <w:rPr>
          <w:rFonts w:hint="eastAsia" w:ascii="宋体" w:hAnsi="宋体" w:eastAsia="宋体"/>
          <w:bCs/>
          <w:color w:val="auto"/>
          <w:sz w:val="24"/>
          <w:szCs w:val="24"/>
          <w:highlight w:val="none"/>
          <w:u w:val="single"/>
        </w:rPr>
        <w:t xml:space="preserve">            </w:t>
      </w:r>
      <w:r>
        <w:rPr>
          <w:rFonts w:hint="eastAsia" w:ascii="宋体" w:hAnsi="宋体" w:eastAsia="Arial"/>
          <w:bCs/>
          <w:color w:val="auto"/>
          <w:sz w:val="24"/>
          <w:szCs w:val="24"/>
          <w:highlight w:val="none"/>
        </w:rPr>
        <w:t>；</w:t>
      </w:r>
    </w:p>
    <w:p w14:paraId="13C8EBD9">
      <w:pPr>
        <w:spacing w:line="360" w:lineRule="auto"/>
        <w:ind w:firstLine="480"/>
        <w:rPr>
          <w:rFonts w:hint="default" w:ascii="宋体" w:hAnsi="宋体" w:eastAsia="Arial"/>
          <w:bCs/>
          <w:color w:val="auto"/>
          <w:sz w:val="24"/>
          <w:szCs w:val="24"/>
          <w:highlight w:val="none"/>
          <w:u w:val="single"/>
        </w:rPr>
      </w:pPr>
      <w:r>
        <w:rPr>
          <w:rFonts w:hint="eastAsia" w:ascii="宋体" w:hAnsi="宋体" w:eastAsia="Arial"/>
          <w:bCs/>
          <w:color w:val="auto"/>
          <w:sz w:val="24"/>
          <w:szCs w:val="24"/>
          <w:highlight w:val="none"/>
        </w:rPr>
        <w:t>通讯地址：</w:t>
      </w:r>
      <w:r>
        <w:rPr>
          <w:rFonts w:hint="eastAsia" w:ascii="宋体" w:hAnsi="宋体" w:eastAsia="宋体"/>
          <w:bCs/>
          <w:color w:val="auto"/>
          <w:sz w:val="24"/>
          <w:szCs w:val="24"/>
          <w:highlight w:val="none"/>
          <w:u w:val="single"/>
        </w:rPr>
        <w:t xml:space="preserve">                                   </w:t>
      </w:r>
      <w:r>
        <w:rPr>
          <w:rFonts w:hint="eastAsia" w:ascii="宋体" w:hAnsi="宋体" w:eastAsia="Arial"/>
          <w:bCs/>
          <w:color w:val="auto"/>
          <w:sz w:val="24"/>
          <w:szCs w:val="24"/>
          <w:highlight w:val="none"/>
        </w:rPr>
        <w:t>；</w:t>
      </w:r>
    </w:p>
    <w:p w14:paraId="6F1E5005">
      <w:pPr>
        <w:spacing w:line="360" w:lineRule="auto"/>
        <w:ind w:firstLine="480"/>
        <w:rPr>
          <w:rFonts w:hint="default" w:ascii="宋体" w:hAnsi="宋体" w:eastAsia="Arial"/>
          <w:bCs/>
          <w:color w:val="auto"/>
          <w:sz w:val="24"/>
          <w:szCs w:val="24"/>
          <w:highlight w:val="none"/>
        </w:rPr>
      </w:pPr>
      <w:r>
        <w:rPr>
          <w:rFonts w:hint="eastAsia" w:ascii="宋体" w:hAnsi="宋体" w:eastAsia="Arial"/>
          <w:bCs/>
          <w:color w:val="auto"/>
          <w:sz w:val="24"/>
          <w:szCs w:val="24"/>
          <w:highlight w:val="none"/>
        </w:rPr>
        <w:t>投标人名称（盖章）：</w:t>
      </w:r>
    </w:p>
    <w:p w14:paraId="0BA13ACB">
      <w:pPr>
        <w:spacing w:line="360" w:lineRule="auto"/>
        <w:rPr>
          <w:rFonts w:hint="default" w:ascii="Calibri" w:hAnsi="Calibri" w:eastAsia="Arial"/>
          <w:b/>
          <w:color w:val="auto"/>
          <w:sz w:val="28"/>
          <w:szCs w:val="28"/>
          <w:highlight w:val="none"/>
        </w:rPr>
      </w:pPr>
      <w:r>
        <w:rPr>
          <w:rFonts w:hint="eastAsia" w:ascii="宋体" w:hAnsi="宋体" w:eastAsia="Arial"/>
          <w:bCs/>
          <w:color w:val="auto"/>
          <w:sz w:val="24"/>
          <w:szCs w:val="24"/>
          <w:highlight w:val="none"/>
        </w:rPr>
        <w:br w:type="page" w:clear="all"/>
      </w:r>
      <w:r>
        <w:rPr>
          <w:rFonts w:hint="eastAsia" w:ascii="Calibri" w:hAnsi="Calibri" w:eastAsia="宋体"/>
          <w:b/>
          <w:color w:val="auto"/>
          <w:sz w:val="28"/>
          <w:szCs w:val="28"/>
          <w:highlight w:val="none"/>
        </w:rPr>
        <w:t>七</w:t>
      </w:r>
      <w:r>
        <w:rPr>
          <w:rFonts w:hint="eastAsia" w:ascii="Calibri" w:hAnsi="Calibri" w:eastAsia="Arial"/>
          <w:b/>
          <w:color w:val="auto"/>
          <w:sz w:val="28"/>
          <w:szCs w:val="28"/>
          <w:highlight w:val="none"/>
        </w:rPr>
        <w:t>、承诺书（给定格式）：</w:t>
      </w:r>
    </w:p>
    <w:p w14:paraId="03368FDB">
      <w:pPr>
        <w:spacing w:line="360" w:lineRule="auto"/>
        <w:jc w:val="center"/>
        <w:rPr>
          <w:rFonts w:hint="default" w:ascii="黑体" w:hAnsi="Calibri" w:eastAsia="黑体"/>
          <w:bCs/>
          <w:color w:val="auto"/>
          <w:sz w:val="28"/>
          <w:szCs w:val="28"/>
          <w:highlight w:val="none"/>
        </w:rPr>
      </w:pPr>
      <w:r>
        <w:rPr>
          <w:rFonts w:hint="eastAsia" w:ascii="黑体" w:hAnsi="Calibri" w:eastAsia="黑体"/>
          <w:bCs/>
          <w:color w:val="auto"/>
          <w:sz w:val="28"/>
          <w:szCs w:val="28"/>
          <w:highlight w:val="none"/>
        </w:rPr>
        <w:t>承诺书(一)</w:t>
      </w:r>
    </w:p>
    <w:p w14:paraId="49E082CD">
      <w:pPr>
        <w:spacing w:line="360" w:lineRule="auto"/>
        <w:ind w:firstLine="240"/>
        <w:rPr>
          <w:rFonts w:hint="default" w:ascii="宋体" w:hAnsi="宋体" w:eastAsia="Arial"/>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宋体" w:hAnsi="宋体" w:eastAsia="Arial"/>
          <w:color w:val="auto"/>
          <w:sz w:val="24"/>
          <w:szCs w:val="22"/>
          <w:highlight w:val="none"/>
          <w:u w:val="single"/>
        </w:rPr>
        <w:t>投标人</w:t>
      </w:r>
      <w:r>
        <w:rPr>
          <w:rFonts w:hint="eastAsia" w:ascii="宋体" w:hAnsi="宋体" w:eastAsia="Arial"/>
          <w:color w:val="auto"/>
          <w:sz w:val="24"/>
          <w:szCs w:val="24"/>
          <w:highlight w:val="none"/>
          <w:u w:val="single"/>
        </w:rPr>
        <w:t>名称）</w:t>
      </w:r>
      <w:r>
        <w:rPr>
          <w:rFonts w:hint="eastAsia" w:ascii="宋体" w:hAnsi="宋体" w:eastAsia="宋体"/>
          <w:color w:val="auto"/>
          <w:sz w:val="24"/>
          <w:szCs w:val="24"/>
          <w:highlight w:val="none"/>
          <w:u w:val="single"/>
        </w:rPr>
        <w:t xml:space="preserve">    </w:t>
      </w:r>
      <w:r>
        <w:rPr>
          <w:rFonts w:hint="eastAsia" w:ascii="宋体" w:hAnsi="宋体" w:eastAsia="Arial"/>
          <w:color w:val="auto"/>
          <w:sz w:val="24"/>
          <w:szCs w:val="24"/>
          <w:highlight w:val="none"/>
        </w:rPr>
        <w:t>针对本项目</w:t>
      </w:r>
      <w:r>
        <w:rPr>
          <w:rFonts w:hint="eastAsia" w:ascii="宋体" w:hAnsi="宋体" w:eastAsia="Arial"/>
          <w:bCs/>
          <w:color w:val="auto"/>
          <w:sz w:val="24"/>
          <w:szCs w:val="24"/>
          <w:highlight w:val="none"/>
        </w:rPr>
        <w:t>编号</w:t>
      </w:r>
      <w:r>
        <w:rPr>
          <w:rFonts w:hint="eastAsia" w:ascii="宋体" w:hAnsi="宋体" w:eastAsia="宋体"/>
          <w:bCs/>
          <w:color w:val="auto"/>
          <w:sz w:val="24"/>
          <w:szCs w:val="24"/>
          <w:highlight w:val="none"/>
          <w:u w:val="single"/>
        </w:rPr>
        <w:t xml:space="preserve">                 </w:t>
      </w:r>
      <w:r>
        <w:rPr>
          <w:rFonts w:hint="eastAsia" w:ascii="宋体" w:hAnsi="宋体" w:eastAsia="Arial"/>
          <w:color w:val="auto"/>
          <w:sz w:val="24"/>
          <w:szCs w:val="24"/>
          <w:highlight w:val="none"/>
        </w:rPr>
        <w:t>在此承诺：</w:t>
      </w:r>
    </w:p>
    <w:p w14:paraId="1A99079F">
      <w:pPr>
        <w:spacing w:line="360" w:lineRule="auto"/>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1.本公司（单位</w:t>
      </w:r>
      <w:r>
        <w:rPr>
          <w:rFonts w:hint="eastAsia" w:ascii="宋体" w:hAnsi="宋体" w:eastAsia="宋体"/>
          <w:bCs/>
          <w:color w:val="auto"/>
          <w:sz w:val="24"/>
          <w:szCs w:val="24"/>
          <w:highlight w:val="none"/>
        </w:rPr>
        <w:t>、联合体</w:t>
      </w:r>
      <w:r>
        <w:rPr>
          <w:rFonts w:hint="eastAsia" w:ascii="宋体" w:hAnsi="宋体" w:eastAsia="宋体" w:cs="宋体"/>
          <w:color w:val="auto"/>
          <w:sz w:val="24"/>
          <w:szCs w:val="24"/>
          <w:highlight w:val="none"/>
        </w:rPr>
        <w:t>）对本项目所提供的服务符合招标文件要求；</w:t>
      </w:r>
    </w:p>
    <w:p w14:paraId="04E29980">
      <w:pPr>
        <w:spacing w:line="360" w:lineRule="auto"/>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2.本公司（单位</w:t>
      </w:r>
      <w:r>
        <w:rPr>
          <w:rFonts w:hint="eastAsia" w:ascii="宋体" w:hAnsi="宋体" w:eastAsia="宋体"/>
          <w:bCs/>
          <w:color w:val="auto"/>
          <w:sz w:val="24"/>
          <w:szCs w:val="24"/>
          <w:highlight w:val="none"/>
        </w:rPr>
        <w:t>、联合体</w:t>
      </w:r>
      <w:r>
        <w:rPr>
          <w:rFonts w:hint="eastAsia" w:ascii="宋体" w:hAnsi="宋体" w:eastAsia="宋体" w:cs="宋体"/>
          <w:color w:val="auto"/>
          <w:sz w:val="24"/>
          <w:szCs w:val="24"/>
          <w:highlight w:val="none"/>
        </w:rPr>
        <w:t>）保证中标并合同签订生效后，将按招标文件要求及所投的投标文件中做出的相应承诺将相关人员及时配置到位。</w:t>
      </w:r>
    </w:p>
    <w:p w14:paraId="09202C65">
      <w:pPr>
        <w:spacing w:line="360" w:lineRule="auto"/>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3.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p>
    <w:p w14:paraId="318497B6">
      <w:pPr>
        <w:spacing w:line="360" w:lineRule="auto"/>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kern w:val="2"/>
          <w:sz w:val="24"/>
          <w:szCs w:val="24"/>
          <w:highlight w:val="none"/>
        </w:rPr>
        <w:t xml:space="preserve"> </w:t>
      </w:r>
      <w:r>
        <w:rPr>
          <w:rFonts w:hint="eastAsia" w:ascii="宋体" w:hAnsi="宋体" w:eastAsia="宋体" w:cs="宋体"/>
          <w:color w:val="auto"/>
          <w:sz w:val="24"/>
          <w:szCs w:val="24"/>
          <w:highlight w:val="none"/>
        </w:rPr>
        <w:t>本公司（单位</w:t>
      </w:r>
      <w:r>
        <w:rPr>
          <w:rFonts w:hint="eastAsia" w:ascii="宋体" w:hAnsi="宋体" w:eastAsia="宋体"/>
          <w:bCs/>
          <w:color w:val="auto"/>
          <w:sz w:val="24"/>
          <w:szCs w:val="24"/>
          <w:highlight w:val="none"/>
        </w:rPr>
        <w:t>、联合体</w:t>
      </w:r>
      <w:r>
        <w:rPr>
          <w:rFonts w:hint="eastAsia" w:ascii="宋体" w:hAnsi="宋体" w:eastAsia="宋体" w:cs="宋体"/>
          <w:color w:val="auto"/>
          <w:sz w:val="24"/>
          <w:szCs w:val="24"/>
          <w:highlight w:val="none"/>
        </w:rPr>
        <w:t>）</w:t>
      </w:r>
      <w:r>
        <w:rPr>
          <w:rFonts w:hint="eastAsia" w:ascii="宋体" w:hAnsi="宋体" w:eastAsia="宋体" w:cs="宋体"/>
          <w:color w:val="auto"/>
          <w:kern w:val="2"/>
          <w:sz w:val="24"/>
          <w:szCs w:val="24"/>
          <w:highlight w:val="none"/>
        </w:rPr>
        <w:t>随服务提供精细化编目系统和编目数据可视化平台，并承诺集中编目系统与无锡法院现用审判业务管理系统、执行流程案件管理系统和电子卷宗深度应用系统进行数据对接，实现系统互联互通和数据共享交互服务；采购人接受数据加工相关服务同时无需为集中编目系统配合最高院“一张网”改造单独付费。</w:t>
      </w:r>
    </w:p>
    <w:p w14:paraId="62DE57FD">
      <w:pPr>
        <w:spacing w:line="360" w:lineRule="auto"/>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p w14:paraId="6BE59916">
      <w:pPr>
        <w:tabs>
          <w:tab w:val="left" w:pos="945"/>
        </w:tabs>
        <w:spacing w:line="360" w:lineRule="auto"/>
        <w:ind w:firstLine="465"/>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p w14:paraId="4DF36B2B">
      <w:pPr>
        <w:spacing w:line="480" w:lineRule="auto"/>
        <w:ind w:firstLine="960"/>
        <w:rPr>
          <w:rFonts w:hint="default" w:ascii="宋体" w:hAnsi="宋体" w:eastAsia="宋体"/>
          <w:bCs/>
          <w:color w:val="auto"/>
          <w:sz w:val="24"/>
          <w:szCs w:val="24"/>
          <w:highlight w:val="none"/>
        </w:rPr>
      </w:pPr>
      <w:r>
        <w:rPr>
          <w:rFonts w:hint="default" w:ascii="宋体" w:hAnsi="宋体" w:eastAsia="宋体"/>
          <w:bCs/>
          <w:color w:val="auto"/>
          <w:sz w:val="24"/>
          <w:szCs w:val="24"/>
          <w:highlight w:val="none"/>
        </w:rPr>
        <w:t>…………………</w:t>
      </w:r>
    </w:p>
    <w:p w14:paraId="575DC6E9">
      <w:pPr>
        <w:spacing w:line="480" w:lineRule="auto"/>
        <w:ind w:firstLine="960"/>
        <w:rPr>
          <w:rFonts w:hint="default" w:ascii="宋体" w:hAnsi="宋体" w:eastAsia="宋体"/>
          <w:bCs/>
          <w:color w:val="auto"/>
          <w:sz w:val="24"/>
          <w:szCs w:val="24"/>
          <w:highlight w:val="none"/>
        </w:rPr>
      </w:pPr>
      <w:r>
        <w:rPr>
          <w:rFonts w:hint="eastAsia" w:ascii="宋体" w:hAnsi="宋体" w:eastAsia="宋体"/>
          <w:bCs/>
          <w:color w:val="auto"/>
          <w:sz w:val="24"/>
          <w:szCs w:val="24"/>
          <w:highlight w:val="none"/>
        </w:rPr>
        <w:t>如违背上述承诺，本公司</w:t>
      </w:r>
      <w:r>
        <w:rPr>
          <w:rFonts w:hint="eastAsia" w:ascii="宋体" w:hAnsi="宋体" w:eastAsia="宋体"/>
          <w:color w:val="auto"/>
          <w:sz w:val="24"/>
          <w:szCs w:val="24"/>
          <w:highlight w:val="none"/>
        </w:rPr>
        <w:t>（单位</w:t>
      </w:r>
      <w:r>
        <w:rPr>
          <w:rFonts w:hint="eastAsia" w:ascii="宋体" w:hAnsi="宋体" w:eastAsia="宋体"/>
          <w:bCs/>
          <w:color w:val="auto"/>
          <w:sz w:val="24"/>
          <w:szCs w:val="24"/>
          <w:highlight w:val="none"/>
        </w:rPr>
        <w:t>、联合体</w:t>
      </w:r>
      <w:r>
        <w:rPr>
          <w:rFonts w:hint="eastAsia" w:ascii="宋体" w:hAnsi="宋体" w:eastAsia="宋体"/>
          <w:color w:val="auto"/>
          <w:sz w:val="24"/>
          <w:szCs w:val="24"/>
          <w:highlight w:val="none"/>
        </w:rPr>
        <w:t>）</w:t>
      </w:r>
      <w:r>
        <w:rPr>
          <w:rFonts w:hint="eastAsia" w:ascii="宋体" w:hAnsi="宋体" w:eastAsia="宋体"/>
          <w:bCs/>
          <w:color w:val="auto"/>
          <w:sz w:val="24"/>
          <w:szCs w:val="24"/>
          <w:highlight w:val="none"/>
        </w:rPr>
        <w:t>将承担一切法律责任。</w:t>
      </w:r>
    </w:p>
    <w:p w14:paraId="3145681C">
      <w:pPr>
        <w:spacing w:line="480" w:lineRule="auto"/>
        <w:rPr>
          <w:rFonts w:hint="default" w:ascii="宋体" w:hAnsi="宋体" w:eastAsia="宋体"/>
          <w:bCs/>
          <w:color w:val="auto"/>
          <w:sz w:val="24"/>
          <w:szCs w:val="24"/>
          <w:highlight w:val="none"/>
        </w:rPr>
      </w:pPr>
    </w:p>
    <w:p w14:paraId="61A72803">
      <w:pPr>
        <w:spacing w:line="480" w:lineRule="auto"/>
        <w:ind w:firstLine="3720"/>
        <w:rPr>
          <w:rFonts w:hint="default" w:ascii="宋体" w:hAnsi="宋体" w:eastAsia="宋体"/>
          <w:bCs/>
          <w:color w:val="auto"/>
          <w:sz w:val="24"/>
          <w:szCs w:val="24"/>
          <w:highlight w:val="none"/>
        </w:rPr>
      </w:pPr>
      <w:r>
        <w:rPr>
          <w:rFonts w:hint="eastAsia" w:ascii="宋体" w:hAnsi="宋体" w:eastAsia="宋体"/>
          <w:color w:val="auto"/>
          <w:sz w:val="24"/>
          <w:szCs w:val="24"/>
          <w:highlight w:val="none"/>
        </w:rPr>
        <w:t>投标人名称</w:t>
      </w:r>
      <w:r>
        <w:rPr>
          <w:rFonts w:hint="eastAsia" w:ascii="宋体" w:hAnsi="宋体" w:eastAsia="宋体"/>
          <w:bCs/>
          <w:color w:val="auto"/>
          <w:sz w:val="24"/>
          <w:szCs w:val="24"/>
          <w:highlight w:val="none"/>
        </w:rPr>
        <w:t>（盖章）：</w:t>
      </w:r>
    </w:p>
    <w:p w14:paraId="76D7A096">
      <w:pPr>
        <w:spacing w:line="480" w:lineRule="auto"/>
        <w:ind w:firstLine="480"/>
        <w:rPr>
          <w:rFonts w:hint="default" w:ascii="宋体" w:hAnsi="宋体" w:eastAsia="宋体"/>
          <w:bCs/>
          <w:color w:val="auto"/>
          <w:sz w:val="24"/>
          <w:szCs w:val="24"/>
          <w:highlight w:val="none"/>
        </w:rPr>
      </w:pPr>
    </w:p>
    <w:p w14:paraId="75765D08">
      <w:pPr>
        <w:spacing w:line="480" w:lineRule="auto"/>
        <w:ind w:firstLine="420"/>
        <w:rPr>
          <w:rFonts w:hint="default" w:ascii="宋体" w:hAnsi="Times New Roman" w:eastAsia="宋体"/>
          <w:bCs/>
          <w:color w:val="auto"/>
          <w:sz w:val="24"/>
          <w:szCs w:val="24"/>
          <w:highlight w:val="none"/>
        </w:rPr>
      </w:pPr>
      <w:r>
        <w:rPr>
          <w:rFonts w:hint="eastAsia" w:ascii="宋体" w:hAnsi="宋体" w:eastAsia="宋体"/>
          <w:bCs/>
          <w:color w:val="auto"/>
          <w:szCs w:val="21"/>
          <w:highlight w:val="none"/>
        </w:rPr>
        <w:t>（注：以上内容由投标单位根据采购要求自行完善。）</w:t>
      </w:r>
    </w:p>
    <w:p w14:paraId="5C2D684A">
      <w:pPr>
        <w:spacing w:line="360" w:lineRule="auto"/>
        <w:outlineLvl w:val="0"/>
        <w:rPr>
          <w:rFonts w:hint="default" w:ascii="宋体" w:hAnsi="宋体" w:eastAsia="Arial"/>
          <w:bCs/>
          <w:color w:val="auto"/>
          <w:sz w:val="24"/>
          <w:szCs w:val="24"/>
          <w:highlight w:val="none"/>
        </w:rPr>
      </w:pPr>
    </w:p>
    <w:p w14:paraId="79BF28C8">
      <w:pPr>
        <w:rPr>
          <w:rFonts w:hint="default" w:ascii="Calibri" w:hAnsi="Calibri" w:eastAsia="宋体"/>
          <w:b/>
          <w:color w:val="auto"/>
          <w:sz w:val="28"/>
          <w:szCs w:val="28"/>
          <w:highlight w:val="none"/>
        </w:rPr>
      </w:pPr>
      <w:r>
        <w:rPr>
          <w:rFonts w:hint="eastAsia" w:ascii="Calibri" w:hAnsi="Calibri" w:eastAsia="宋体"/>
          <w:b/>
          <w:color w:val="auto"/>
          <w:sz w:val="28"/>
          <w:szCs w:val="28"/>
          <w:highlight w:val="none"/>
        </w:rPr>
        <w:br w:type="page"/>
      </w:r>
    </w:p>
    <w:p w14:paraId="5D4D9229">
      <w:pPr>
        <w:widowControl w:val="0"/>
        <w:jc w:val="both"/>
        <w:rPr>
          <w:rFonts w:ascii="华文中宋" w:hAnsi="Times New Roman" w:eastAsia="华文中宋" w:cs="Times New Roman"/>
          <w:bCs/>
          <w:color w:val="auto"/>
          <w:sz w:val="28"/>
          <w:szCs w:val="20"/>
          <w:highlight w:val="none"/>
          <w:lang w:val="en-US" w:eastAsia="zh-CN" w:bidi="ar-SA"/>
        </w:rPr>
      </w:pPr>
    </w:p>
    <w:p w14:paraId="228194C2">
      <w:pPr>
        <w:spacing w:line="360" w:lineRule="auto"/>
        <w:jc w:val="center"/>
        <w:rPr>
          <w:rFonts w:hint="default" w:ascii="黑体" w:hAnsi="Calibri" w:eastAsia="黑体"/>
          <w:bCs/>
          <w:color w:val="auto"/>
          <w:sz w:val="28"/>
          <w:szCs w:val="28"/>
          <w:highlight w:val="none"/>
        </w:rPr>
      </w:pPr>
      <w:r>
        <w:rPr>
          <w:rFonts w:hint="default" w:ascii="黑体" w:hAnsi="Calibri" w:eastAsia="黑体"/>
          <w:bCs/>
          <w:color w:val="auto"/>
          <w:sz w:val="28"/>
          <w:szCs w:val="28"/>
          <w:highlight w:val="none"/>
        </w:rPr>
        <w:br w:type="textWrapping"/>
      </w:r>
      <w:r>
        <w:rPr>
          <w:rFonts w:hint="eastAsia" w:ascii="黑体" w:hAnsi="Calibri" w:eastAsia="黑体"/>
          <w:bCs/>
          <w:color w:val="auto"/>
          <w:sz w:val="28"/>
          <w:szCs w:val="28"/>
          <w:highlight w:val="none"/>
        </w:rPr>
        <w:t>承诺书(二)</w:t>
      </w:r>
    </w:p>
    <w:p w14:paraId="2B5B3823">
      <w:pPr>
        <w:widowControl w:val="0"/>
        <w:spacing w:after="20" w:line="360" w:lineRule="auto"/>
        <w:ind w:firstLine="480"/>
        <w:jc w:val="both"/>
        <w:rPr>
          <w:rFonts w:ascii="宋体" w:hAnsi="宋体" w:eastAsia="宋体" w:cs="宋体"/>
          <w:color w:val="auto"/>
          <w:sz w:val="24"/>
          <w:szCs w:val="24"/>
          <w:highlight w:val="none"/>
          <w:lang w:val="en-US" w:eastAsia="zh-CN" w:bidi="ar-SA"/>
        </w:rPr>
      </w:pPr>
    </w:p>
    <w:p w14:paraId="060D4B23">
      <w:pPr>
        <w:widowControl w:val="0"/>
        <w:spacing w:after="20" w:line="360" w:lineRule="auto"/>
        <w:ind w:firstLine="480"/>
        <w:jc w:val="both"/>
        <w:rPr>
          <w:rFonts w:ascii="宋体" w:hAnsi="宋体" w:eastAsia="宋体" w:cs="宋体"/>
          <w:color w:val="auto"/>
          <w:sz w:val="24"/>
          <w:szCs w:val="24"/>
          <w:highlight w:val="none"/>
          <w:lang w:val="en-US" w:eastAsia="zh-CN" w:bidi="ar-SA"/>
        </w:rPr>
      </w:pPr>
    </w:p>
    <w:p w14:paraId="249250C2">
      <w:pPr>
        <w:widowControl w:val="0"/>
        <w:spacing w:after="20" w:line="360" w:lineRule="auto"/>
        <w:ind w:firstLine="480"/>
        <w:jc w:val="both"/>
        <w:rPr>
          <w:rFonts w:ascii="宋体" w:hAnsi="宋体" w:eastAsia="宋体" w:cs="宋体"/>
          <w:color w:val="auto"/>
          <w:sz w:val="24"/>
          <w:szCs w:val="24"/>
          <w:highlight w:val="none"/>
          <w:lang w:val="en-US" w:eastAsia="zh-CN" w:bidi="ar-SA"/>
        </w:rPr>
      </w:pPr>
    </w:p>
    <w:p w14:paraId="04F3F636">
      <w:pPr>
        <w:widowControl w:val="0"/>
        <w:spacing w:after="20" w:line="360" w:lineRule="auto"/>
        <w:ind w:firstLine="48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我单位已知晓本项目预算金额中包含采购代理费，我单位已将采购</w:t>
      </w:r>
      <w:r>
        <w:rPr>
          <w:rFonts w:ascii="宋体" w:hAnsi="宋体" w:eastAsia="宋体" w:cs="宋体"/>
          <w:color w:val="auto"/>
          <w:sz w:val="24"/>
          <w:szCs w:val="24"/>
          <w:highlight w:val="none"/>
          <w:lang w:val="en-US" w:eastAsia="zh-CN" w:bidi="ar-SA"/>
        </w:rPr>
        <w:t>代理费充分考虑进</w:t>
      </w:r>
      <w:r>
        <w:rPr>
          <w:rFonts w:hint="eastAsia" w:ascii="宋体" w:hAnsi="宋体" w:cs="宋体" w:eastAsiaTheme="minorEastAsia"/>
          <w:color w:val="auto"/>
          <w:sz w:val="24"/>
          <w:szCs w:val="24"/>
          <w:highlight w:val="none"/>
          <w:lang w:val="en-US" w:eastAsia="zh-CN" w:bidi="ar-SA"/>
        </w:rPr>
        <w:t>入</w:t>
      </w:r>
      <w:r>
        <w:rPr>
          <w:rFonts w:ascii="宋体" w:hAnsi="宋体" w:eastAsia="宋体" w:cs="宋体"/>
          <w:color w:val="auto"/>
          <w:sz w:val="24"/>
          <w:szCs w:val="24"/>
          <w:highlight w:val="none"/>
          <w:lang w:val="en-US" w:eastAsia="zh-CN" w:bidi="ar-SA"/>
        </w:rPr>
        <w:t>项目报价，如果我单位中标，</w:t>
      </w:r>
      <w:r>
        <w:rPr>
          <w:rFonts w:hint="eastAsia" w:ascii="宋体" w:hAnsi="宋体" w:eastAsia="宋体" w:cs="宋体"/>
          <w:color w:val="auto"/>
          <w:sz w:val="24"/>
          <w:szCs w:val="24"/>
          <w:highlight w:val="none"/>
          <w:lang w:val="en-US" w:eastAsia="zh-CN" w:bidi="ar-SA"/>
        </w:rPr>
        <w:t>采购</w:t>
      </w:r>
      <w:r>
        <w:rPr>
          <w:rFonts w:ascii="宋体" w:hAnsi="宋体" w:eastAsia="宋体" w:cs="宋体"/>
          <w:color w:val="auto"/>
          <w:sz w:val="24"/>
          <w:szCs w:val="24"/>
          <w:highlight w:val="none"/>
          <w:lang w:val="en-US" w:eastAsia="zh-CN" w:bidi="ar-SA"/>
        </w:rPr>
        <w:t>代理费</w:t>
      </w:r>
      <w:r>
        <w:rPr>
          <w:rFonts w:hint="eastAsia" w:ascii="宋体" w:hAnsi="宋体" w:eastAsia="宋体" w:cs="宋体"/>
          <w:color w:val="auto"/>
          <w:sz w:val="24"/>
          <w:szCs w:val="24"/>
          <w:highlight w:val="none"/>
          <w:lang w:val="en-US" w:eastAsia="zh-CN" w:bidi="ar-SA"/>
        </w:rPr>
        <w:t>由我</w:t>
      </w:r>
      <w:r>
        <w:rPr>
          <w:rFonts w:ascii="宋体" w:hAnsi="宋体" w:eastAsia="宋体" w:cs="宋体"/>
          <w:color w:val="auto"/>
          <w:sz w:val="24"/>
          <w:szCs w:val="24"/>
          <w:highlight w:val="none"/>
          <w:lang w:val="en-US" w:eastAsia="zh-CN" w:bidi="ar-SA"/>
        </w:rPr>
        <w:t>单位在领取中标通知书时</w:t>
      </w:r>
      <w:r>
        <w:rPr>
          <w:rFonts w:hint="eastAsia" w:ascii="宋体" w:hAnsi="宋体" w:eastAsia="宋体" w:cs="宋体"/>
          <w:color w:val="auto"/>
          <w:sz w:val="24"/>
          <w:szCs w:val="24"/>
          <w:highlight w:val="none"/>
          <w:lang w:val="en-US" w:eastAsia="zh-CN" w:bidi="ar-SA"/>
        </w:rPr>
        <w:t>支付</w:t>
      </w:r>
      <w:r>
        <w:rPr>
          <w:rFonts w:ascii="宋体" w:hAnsi="宋体" w:eastAsia="宋体" w:cs="宋体"/>
          <w:color w:val="auto"/>
          <w:sz w:val="24"/>
          <w:szCs w:val="24"/>
          <w:highlight w:val="none"/>
          <w:lang w:val="en-US" w:eastAsia="zh-CN" w:bidi="ar-SA"/>
        </w:rPr>
        <w:t>。</w:t>
      </w:r>
    </w:p>
    <w:p w14:paraId="12530422">
      <w:pPr>
        <w:spacing w:line="480" w:lineRule="auto"/>
        <w:ind w:firstLine="960"/>
        <w:rPr>
          <w:rFonts w:hint="default" w:ascii="宋体" w:hAnsi="宋体" w:eastAsia="宋体"/>
          <w:bCs/>
          <w:color w:val="auto"/>
          <w:sz w:val="24"/>
          <w:szCs w:val="24"/>
          <w:highlight w:val="none"/>
        </w:rPr>
      </w:pPr>
    </w:p>
    <w:p w14:paraId="27C5D1A6">
      <w:pPr>
        <w:spacing w:line="480" w:lineRule="auto"/>
        <w:ind w:firstLine="960"/>
        <w:rPr>
          <w:rFonts w:hint="default" w:ascii="宋体" w:hAnsi="宋体" w:eastAsia="宋体"/>
          <w:bCs/>
          <w:color w:val="auto"/>
          <w:sz w:val="24"/>
          <w:szCs w:val="24"/>
          <w:highlight w:val="none"/>
        </w:rPr>
      </w:pPr>
    </w:p>
    <w:p w14:paraId="2CB80CE9">
      <w:pPr>
        <w:spacing w:line="480" w:lineRule="auto"/>
        <w:ind w:firstLine="960"/>
        <w:rPr>
          <w:rFonts w:hint="default" w:ascii="宋体" w:hAnsi="宋体" w:eastAsia="宋体"/>
          <w:bCs/>
          <w:color w:val="auto"/>
          <w:sz w:val="24"/>
          <w:szCs w:val="24"/>
          <w:highlight w:val="none"/>
        </w:rPr>
      </w:pPr>
    </w:p>
    <w:p w14:paraId="54961B0F">
      <w:pPr>
        <w:spacing w:line="480" w:lineRule="auto"/>
        <w:ind w:firstLine="960"/>
        <w:rPr>
          <w:rFonts w:hint="default" w:ascii="宋体" w:hAnsi="宋体" w:eastAsia="宋体"/>
          <w:bCs/>
          <w:color w:val="auto"/>
          <w:sz w:val="24"/>
          <w:szCs w:val="24"/>
          <w:highlight w:val="none"/>
        </w:rPr>
      </w:pPr>
    </w:p>
    <w:p w14:paraId="2E15D80F">
      <w:pPr>
        <w:widowControl w:val="0"/>
        <w:jc w:val="both"/>
        <w:rPr>
          <w:rFonts w:ascii="华文中宋" w:hAnsi="Times New Roman" w:eastAsia="华文中宋" w:cs="Times New Roman"/>
          <w:bCs/>
          <w:color w:val="auto"/>
          <w:sz w:val="28"/>
          <w:szCs w:val="20"/>
          <w:highlight w:val="none"/>
          <w:lang w:val="en-US" w:eastAsia="zh-CN" w:bidi="ar-SA"/>
        </w:rPr>
      </w:pPr>
    </w:p>
    <w:p w14:paraId="566B232A">
      <w:pPr>
        <w:widowControl w:val="0"/>
        <w:spacing w:after="20" w:line="360" w:lineRule="auto"/>
        <w:ind w:firstLine="480"/>
        <w:jc w:val="both"/>
        <w:rPr>
          <w:rFonts w:ascii="宋体" w:hAnsi="宋体" w:eastAsia="宋体" w:cs="宋体"/>
          <w:color w:val="auto"/>
          <w:sz w:val="24"/>
          <w:szCs w:val="24"/>
          <w:highlight w:val="none"/>
          <w:lang w:val="en-US" w:eastAsia="zh-CN" w:bidi="ar-SA"/>
        </w:rPr>
      </w:pPr>
    </w:p>
    <w:p w14:paraId="614C0CAA">
      <w:pPr>
        <w:widowControl w:val="0"/>
        <w:spacing w:after="20" w:line="360" w:lineRule="auto"/>
        <w:ind w:firstLine="480"/>
        <w:jc w:val="both"/>
        <w:rPr>
          <w:rFonts w:ascii="宋体" w:hAnsi="宋体" w:eastAsia="宋体" w:cs="宋体"/>
          <w:color w:val="auto"/>
          <w:sz w:val="24"/>
          <w:szCs w:val="24"/>
          <w:highlight w:val="none"/>
          <w:lang w:val="en-US" w:eastAsia="zh-CN" w:bidi="ar-SA"/>
        </w:rPr>
      </w:pPr>
    </w:p>
    <w:p w14:paraId="6340DAE4">
      <w:pPr>
        <w:widowControl w:val="0"/>
        <w:spacing w:after="20" w:line="360" w:lineRule="auto"/>
        <w:ind w:firstLine="480"/>
        <w:jc w:val="both"/>
        <w:rPr>
          <w:rFonts w:ascii="宋体" w:hAnsi="宋体" w:eastAsia="宋体" w:cs="宋体"/>
          <w:color w:val="auto"/>
          <w:sz w:val="24"/>
          <w:szCs w:val="24"/>
          <w:highlight w:val="none"/>
          <w:lang w:val="en-US" w:eastAsia="zh-CN" w:bidi="ar-SA"/>
        </w:rPr>
      </w:pPr>
    </w:p>
    <w:p w14:paraId="356DD114">
      <w:pPr>
        <w:widowControl w:val="0"/>
        <w:spacing w:after="20" w:line="360" w:lineRule="auto"/>
        <w:ind w:firstLine="480"/>
        <w:jc w:val="both"/>
        <w:rPr>
          <w:rFonts w:ascii="宋体" w:hAnsi="宋体" w:eastAsia="宋体" w:cs="宋体"/>
          <w:color w:val="auto"/>
          <w:sz w:val="24"/>
          <w:szCs w:val="24"/>
          <w:highlight w:val="none"/>
          <w:lang w:val="en-US" w:eastAsia="zh-CN" w:bidi="ar-SA"/>
        </w:rPr>
      </w:pPr>
    </w:p>
    <w:p w14:paraId="3B88B3B6">
      <w:pPr>
        <w:spacing w:line="480" w:lineRule="auto"/>
        <w:ind w:firstLine="960"/>
        <w:jc w:val="right"/>
        <w:rPr>
          <w:rFonts w:hint="default" w:ascii="宋体" w:hAnsi="宋体" w:eastAsia="宋体"/>
          <w:bCs/>
          <w:color w:val="auto"/>
          <w:sz w:val="24"/>
          <w:szCs w:val="24"/>
          <w:highlight w:val="none"/>
        </w:rPr>
      </w:pPr>
      <w:r>
        <w:rPr>
          <w:rFonts w:hint="eastAsia" w:ascii="宋体" w:hAnsi="宋体" w:eastAsia="宋体"/>
          <w:bCs/>
          <w:color w:val="auto"/>
          <w:sz w:val="24"/>
          <w:szCs w:val="24"/>
          <w:highlight w:val="none"/>
        </w:rPr>
        <w:t>如违背上述承诺，本公司</w:t>
      </w:r>
      <w:r>
        <w:rPr>
          <w:rFonts w:hint="eastAsia" w:ascii="宋体" w:hAnsi="宋体" w:eastAsia="宋体"/>
          <w:color w:val="auto"/>
          <w:sz w:val="24"/>
          <w:szCs w:val="24"/>
          <w:highlight w:val="none"/>
        </w:rPr>
        <w:t>（单位</w:t>
      </w:r>
      <w:r>
        <w:rPr>
          <w:rFonts w:hint="eastAsia" w:ascii="宋体" w:hAnsi="宋体" w:eastAsia="宋体"/>
          <w:bCs/>
          <w:color w:val="auto"/>
          <w:sz w:val="24"/>
          <w:szCs w:val="24"/>
          <w:highlight w:val="none"/>
        </w:rPr>
        <w:t>、联合体</w:t>
      </w:r>
      <w:r>
        <w:rPr>
          <w:rFonts w:hint="eastAsia" w:ascii="宋体" w:hAnsi="宋体" w:eastAsia="宋体"/>
          <w:color w:val="auto"/>
          <w:sz w:val="24"/>
          <w:szCs w:val="24"/>
          <w:highlight w:val="none"/>
        </w:rPr>
        <w:t>）</w:t>
      </w:r>
      <w:r>
        <w:rPr>
          <w:rFonts w:hint="eastAsia" w:ascii="宋体" w:hAnsi="宋体" w:eastAsia="宋体"/>
          <w:bCs/>
          <w:color w:val="auto"/>
          <w:sz w:val="24"/>
          <w:szCs w:val="24"/>
          <w:highlight w:val="none"/>
        </w:rPr>
        <w:t>将承担一切法律责任。</w:t>
      </w:r>
    </w:p>
    <w:p w14:paraId="6D0907A6">
      <w:pPr>
        <w:spacing w:line="480" w:lineRule="auto"/>
        <w:jc w:val="right"/>
        <w:rPr>
          <w:rFonts w:hint="default" w:ascii="宋体" w:hAnsi="宋体" w:eastAsia="宋体"/>
          <w:bCs/>
          <w:color w:val="auto"/>
          <w:sz w:val="24"/>
          <w:szCs w:val="24"/>
          <w:highlight w:val="none"/>
        </w:rPr>
      </w:pPr>
    </w:p>
    <w:p w14:paraId="79D81708">
      <w:pPr>
        <w:spacing w:line="480" w:lineRule="auto"/>
        <w:ind w:firstLine="3720"/>
        <w:jc w:val="right"/>
        <w:rPr>
          <w:rFonts w:hint="default" w:ascii="宋体" w:hAnsi="宋体" w:eastAsia="宋体"/>
          <w:bCs/>
          <w:color w:val="auto"/>
          <w:sz w:val="24"/>
          <w:szCs w:val="24"/>
          <w:highlight w:val="none"/>
        </w:rPr>
      </w:pPr>
      <w:r>
        <w:rPr>
          <w:rFonts w:hint="eastAsia" w:ascii="宋体" w:hAnsi="宋体" w:eastAsia="宋体"/>
          <w:color w:val="auto"/>
          <w:sz w:val="24"/>
          <w:szCs w:val="24"/>
          <w:highlight w:val="none"/>
        </w:rPr>
        <w:t>投标人名称</w:t>
      </w:r>
      <w:r>
        <w:rPr>
          <w:rFonts w:hint="eastAsia" w:ascii="宋体" w:hAnsi="宋体" w:eastAsia="宋体"/>
          <w:bCs/>
          <w:color w:val="auto"/>
          <w:sz w:val="24"/>
          <w:szCs w:val="24"/>
          <w:highlight w:val="none"/>
        </w:rPr>
        <w:t>（盖章）：</w:t>
      </w:r>
    </w:p>
    <w:p w14:paraId="4134E877">
      <w:pPr>
        <w:widowControl w:val="0"/>
        <w:spacing w:after="20" w:line="360" w:lineRule="auto"/>
        <w:ind w:firstLine="480"/>
        <w:jc w:val="both"/>
        <w:rPr>
          <w:rFonts w:ascii="宋体" w:hAnsi="宋体" w:eastAsia="宋体" w:cs="宋体"/>
          <w:color w:val="auto"/>
          <w:sz w:val="24"/>
          <w:szCs w:val="24"/>
          <w:highlight w:val="none"/>
          <w:lang w:val="en-US" w:eastAsia="zh-CN" w:bidi="ar-SA"/>
        </w:rPr>
      </w:pPr>
    </w:p>
    <w:p w14:paraId="6EB91806">
      <w:pPr>
        <w:widowControl w:val="0"/>
        <w:spacing w:after="20" w:line="360" w:lineRule="auto"/>
        <w:ind w:firstLine="480"/>
        <w:jc w:val="both"/>
        <w:rPr>
          <w:rFonts w:ascii="宋体" w:hAnsi="宋体" w:eastAsia="宋体" w:cs="宋体"/>
          <w:color w:val="auto"/>
          <w:sz w:val="24"/>
          <w:szCs w:val="24"/>
          <w:highlight w:val="none"/>
          <w:lang w:val="en-US" w:eastAsia="zh-CN" w:bidi="ar-SA"/>
        </w:rPr>
      </w:pPr>
    </w:p>
    <w:p w14:paraId="70F1B47F">
      <w:pPr>
        <w:widowControl w:val="0"/>
        <w:spacing w:after="20" w:line="360" w:lineRule="auto"/>
        <w:ind w:firstLine="480"/>
        <w:jc w:val="both"/>
        <w:rPr>
          <w:rFonts w:ascii="宋体" w:hAnsi="宋体" w:eastAsia="宋体" w:cs="宋体"/>
          <w:color w:val="auto"/>
          <w:sz w:val="24"/>
          <w:szCs w:val="24"/>
          <w:highlight w:val="none"/>
          <w:lang w:val="en-US" w:eastAsia="zh-CN" w:bidi="ar-SA"/>
        </w:rPr>
      </w:pPr>
    </w:p>
    <w:p w14:paraId="6BFE26A3">
      <w:pPr>
        <w:widowControl w:val="0"/>
        <w:spacing w:after="20" w:line="360" w:lineRule="auto"/>
        <w:ind w:firstLine="480"/>
        <w:jc w:val="both"/>
        <w:rPr>
          <w:rFonts w:ascii="宋体" w:hAnsi="宋体" w:eastAsia="宋体" w:cs="宋体"/>
          <w:color w:val="auto"/>
          <w:sz w:val="24"/>
          <w:szCs w:val="24"/>
          <w:highlight w:val="none"/>
          <w:lang w:val="en-US" w:eastAsia="zh-CN" w:bidi="ar-SA"/>
        </w:rPr>
      </w:pPr>
    </w:p>
    <w:p w14:paraId="04CB950F">
      <w:pPr>
        <w:widowControl w:val="0"/>
        <w:spacing w:after="20" w:line="360" w:lineRule="auto"/>
        <w:ind w:firstLine="480"/>
        <w:jc w:val="both"/>
        <w:rPr>
          <w:rFonts w:ascii="宋体" w:hAnsi="宋体" w:eastAsia="宋体" w:cs="宋体"/>
          <w:color w:val="auto"/>
          <w:sz w:val="24"/>
          <w:szCs w:val="24"/>
          <w:highlight w:val="none"/>
          <w:lang w:val="en-US" w:eastAsia="zh-CN" w:bidi="ar-SA"/>
        </w:rPr>
      </w:pPr>
    </w:p>
    <w:p w14:paraId="6397BC8A">
      <w:pPr>
        <w:widowControl w:val="0"/>
        <w:spacing w:after="20" w:line="360" w:lineRule="auto"/>
        <w:ind w:firstLine="480"/>
        <w:jc w:val="both"/>
        <w:rPr>
          <w:rFonts w:ascii="宋体" w:hAnsi="宋体" w:eastAsia="宋体" w:cs="宋体"/>
          <w:color w:val="auto"/>
          <w:sz w:val="24"/>
          <w:szCs w:val="24"/>
          <w:highlight w:val="none"/>
          <w:lang w:val="en-US" w:eastAsia="zh-CN" w:bidi="ar-SA"/>
        </w:rPr>
      </w:pPr>
    </w:p>
    <w:p w14:paraId="328C844A">
      <w:pPr>
        <w:widowControl w:val="0"/>
        <w:spacing w:after="20" w:line="360" w:lineRule="auto"/>
        <w:ind w:firstLine="480"/>
        <w:jc w:val="both"/>
        <w:rPr>
          <w:rFonts w:ascii="宋体" w:hAnsi="宋体" w:eastAsia="宋体" w:cs="宋体"/>
          <w:color w:val="auto"/>
          <w:sz w:val="24"/>
          <w:szCs w:val="24"/>
          <w:highlight w:val="none"/>
          <w:lang w:val="en-US" w:eastAsia="zh-CN" w:bidi="ar-SA"/>
        </w:rPr>
      </w:pPr>
    </w:p>
    <w:p w14:paraId="3831F8A1">
      <w:pPr>
        <w:widowControl w:val="0"/>
        <w:spacing w:after="20" w:line="360" w:lineRule="auto"/>
        <w:ind w:firstLine="480"/>
        <w:jc w:val="both"/>
        <w:rPr>
          <w:rFonts w:ascii="宋体" w:hAnsi="宋体" w:eastAsia="宋体" w:cs="宋体"/>
          <w:color w:val="auto"/>
          <w:sz w:val="24"/>
          <w:szCs w:val="24"/>
          <w:highlight w:val="none"/>
          <w:lang w:val="en-US" w:eastAsia="zh-CN" w:bidi="ar-SA"/>
        </w:rPr>
      </w:pPr>
    </w:p>
    <w:p w14:paraId="4A29036B">
      <w:pPr>
        <w:spacing w:line="360" w:lineRule="auto"/>
        <w:rPr>
          <w:rFonts w:hint="default" w:ascii="Calibri" w:hAnsi="Calibri" w:eastAsia="Arial"/>
          <w:b/>
          <w:color w:val="auto"/>
          <w:sz w:val="28"/>
          <w:szCs w:val="28"/>
          <w:highlight w:val="none"/>
        </w:rPr>
      </w:pPr>
      <w:r>
        <w:rPr>
          <w:rFonts w:hint="eastAsia" w:ascii="Calibri" w:hAnsi="Calibri" w:eastAsia="宋体"/>
          <w:b/>
          <w:color w:val="auto"/>
          <w:sz w:val="28"/>
          <w:szCs w:val="28"/>
          <w:highlight w:val="none"/>
        </w:rPr>
        <w:t>八</w:t>
      </w:r>
      <w:r>
        <w:rPr>
          <w:rFonts w:hint="eastAsia" w:ascii="Calibri" w:hAnsi="Calibri" w:eastAsia="Arial"/>
          <w:b/>
          <w:color w:val="auto"/>
          <w:sz w:val="28"/>
          <w:szCs w:val="28"/>
          <w:highlight w:val="none"/>
        </w:rPr>
        <w:t>、开标一览表（给定格式）：</w:t>
      </w:r>
    </w:p>
    <w:p w14:paraId="3381C436">
      <w:pPr>
        <w:spacing w:line="360" w:lineRule="auto"/>
        <w:ind w:firstLine="482"/>
        <w:rPr>
          <w:rFonts w:hint="default" w:ascii="Arial" w:hAnsi="Arial" w:eastAsia="Arial"/>
          <w:b/>
          <w:color w:val="auto"/>
          <w:sz w:val="24"/>
          <w:szCs w:val="22"/>
          <w:highlight w:val="none"/>
        </w:rPr>
      </w:pPr>
    </w:p>
    <w:p w14:paraId="780A3522">
      <w:pPr>
        <w:spacing w:line="360" w:lineRule="auto"/>
        <w:jc w:val="center"/>
        <w:outlineLvl w:val="0"/>
        <w:rPr>
          <w:rFonts w:hint="default" w:ascii="黑体" w:hAnsi="Calibri" w:eastAsia="黑体"/>
          <w:bCs/>
          <w:color w:val="auto"/>
          <w:sz w:val="28"/>
          <w:szCs w:val="28"/>
          <w:highlight w:val="none"/>
        </w:rPr>
      </w:pPr>
      <w:r>
        <w:rPr>
          <w:rFonts w:hint="eastAsia" w:ascii="黑体" w:hAnsi="Calibri" w:eastAsia="黑体"/>
          <w:bCs/>
          <w:color w:val="auto"/>
          <w:sz w:val="28"/>
          <w:szCs w:val="28"/>
          <w:highlight w:val="none"/>
        </w:rPr>
        <w:t>开标一览表</w:t>
      </w:r>
    </w:p>
    <w:p w14:paraId="3CD77A5F">
      <w:pPr>
        <w:spacing w:line="360" w:lineRule="auto"/>
        <w:ind w:firstLine="480"/>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投标人名称：</w:t>
      </w:r>
    </w:p>
    <w:p w14:paraId="730E14FB">
      <w:pPr>
        <w:spacing w:line="360" w:lineRule="auto"/>
        <w:ind w:firstLine="480"/>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                                             </w:t>
      </w:r>
    </w:p>
    <w:tbl>
      <w:tblPr>
        <w:tblStyle w:val="38"/>
        <w:tblW w:w="4997" w:type="pct"/>
        <w:jc w:val="center"/>
        <w:tblCellSpacing w:w="15"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top w:w="15" w:type="dxa"/>
          <w:left w:w="15" w:type="dxa"/>
          <w:bottom w:w="15" w:type="dxa"/>
          <w:right w:w="15" w:type="dxa"/>
        </w:tblCellMar>
      </w:tblPr>
      <w:tblGrid>
        <w:gridCol w:w="1332"/>
        <w:gridCol w:w="3530"/>
        <w:gridCol w:w="3559"/>
      </w:tblGrid>
      <w:tr w14:paraId="7AA9B06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15" w:type="dxa"/>
            <w:left w:w="15" w:type="dxa"/>
            <w:bottom w:w="15" w:type="dxa"/>
            <w:right w:w="15" w:type="dxa"/>
          </w:tblCellMar>
        </w:tblPrEx>
        <w:trPr>
          <w:trHeight w:val="904" w:hRule="atLeast"/>
          <w:tblCellSpacing w:w="15" w:type="dxa"/>
          <w:jc w:val="center"/>
        </w:trPr>
        <w:tc>
          <w:tcPr>
            <w:tcW w:w="768" w:type="pct"/>
            <w:tcBorders>
              <w:top w:val="single" w:color="auto" w:sz="6" w:space="0"/>
              <w:left w:val="single" w:color="auto" w:sz="6" w:space="0"/>
              <w:bottom w:val="single" w:color="auto" w:sz="6" w:space="0"/>
              <w:right w:val="single" w:color="auto" w:sz="6" w:space="0"/>
            </w:tcBorders>
            <w:vAlign w:val="center"/>
          </w:tcPr>
          <w:p w14:paraId="5B3BAB7E">
            <w:pPr>
              <w:widowControl/>
              <w:spacing w:before="100" w:beforeAutospacing="1" w:after="100" w:afterAutospacing="1"/>
              <w:jc w:val="center"/>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项目名称</w:t>
            </w:r>
          </w:p>
        </w:tc>
        <w:tc>
          <w:tcPr>
            <w:tcW w:w="2088" w:type="pct"/>
            <w:tcBorders>
              <w:top w:val="single" w:color="auto" w:sz="6" w:space="0"/>
              <w:left w:val="single" w:color="auto" w:sz="6" w:space="0"/>
              <w:bottom w:val="single" w:color="auto" w:sz="6" w:space="0"/>
              <w:right w:val="single" w:color="auto" w:sz="6" w:space="0"/>
            </w:tcBorders>
            <w:vAlign w:val="center"/>
          </w:tcPr>
          <w:p w14:paraId="017ACD30">
            <w:pPr>
              <w:widowControl/>
              <w:spacing w:before="100" w:beforeAutospacing="1" w:after="100" w:afterAutospacing="1"/>
              <w:jc w:val="center"/>
              <w:rPr>
                <w:rFonts w:hint="default" w:ascii="宋体" w:hAnsi="宋体" w:eastAsia="宋体" w:cs="宋体"/>
                <w:color w:val="auto"/>
                <w:sz w:val="24"/>
                <w:szCs w:val="22"/>
                <w:highlight w:val="none"/>
              </w:rPr>
            </w:pPr>
            <w:r>
              <w:rPr>
                <w:rFonts w:hint="eastAsia" w:ascii="宋体" w:hAnsi="宋体" w:eastAsia="宋体" w:cs="宋体"/>
                <w:bCs/>
                <w:color w:val="auto"/>
                <w:sz w:val="24"/>
                <w:szCs w:val="24"/>
                <w:highlight w:val="none"/>
              </w:rPr>
              <w:t>项目内容</w:t>
            </w:r>
          </w:p>
        </w:tc>
        <w:tc>
          <w:tcPr>
            <w:tcW w:w="2080" w:type="pct"/>
            <w:tcBorders>
              <w:top w:val="single" w:color="auto" w:sz="6" w:space="0"/>
              <w:left w:val="single" w:color="auto" w:sz="6" w:space="0"/>
              <w:bottom w:val="single" w:color="auto" w:sz="6" w:space="0"/>
              <w:right w:val="single" w:color="auto" w:sz="6" w:space="0"/>
            </w:tcBorders>
            <w:vAlign w:val="center"/>
          </w:tcPr>
          <w:p w14:paraId="18CB573F">
            <w:pPr>
              <w:widowControl/>
              <w:spacing w:before="100" w:beforeAutospacing="1" w:after="100" w:afterAutospacing="1"/>
              <w:jc w:val="center"/>
              <w:rPr>
                <w:rFonts w:hint="default" w:ascii="宋体" w:hAnsi="宋体" w:eastAsia="宋体" w:cs="宋体"/>
                <w:bCs/>
                <w:color w:val="auto"/>
                <w:sz w:val="24"/>
                <w:szCs w:val="24"/>
                <w:highlight w:val="none"/>
              </w:rPr>
            </w:pPr>
            <w:r>
              <w:rPr>
                <w:rFonts w:hint="eastAsia" w:ascii="宋体" w:hAnsi="宋体" w:eastAsia="宋体" w:cs="宋体"/>
                <w:color w:val="auto"/>
                <w:sz w:val="24"/>
                <w:szCs w:val="24"/>
                <w:highlight w:val="none"/>
              </w:rPr>
              <w:t>投标总价</w:t>
            </w:r>
          </w:p>
        </w:tc>
      </w:tr>
      <w:tr w14:paraId="3A26329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15" w:type="dxa"/>
            <w:left w:w="15" w:type="dxa"/>
            <w:bottom w:w="15" w:type="dxa"/>
            <w:right w:w="15" w:type="dxa"/>
          </w:tblCellMar>
        </w:tblPrEx>
        <w:trPr>
          <w:trHeight w:val="921" w:hRule="atLeast"/>
          <w:tblCellSpacing w:w="15" w:type="dxa"/>
          <w:jc w:val="center"/>
        </w:trPr>
        <w:tc>
          <w:tcPr>
            <w:tcW w:w="768" w:type="pct"/>
            <w:tcBorders>
              <w:top w:val="single" w:color="auto" w:sz="6" w:space="0"/>
              <w:left w:val="single" w:color="auto" w:sz="6" w:space="0"/>
              <w:bottom w:val="single" w:color="auto" w:sz="6" w:space="0"/>
              <w:right w:val="single" w:color="auto" w:sz="6" w:space="0"/>
            </w:tcBorders>
            <w:vAlign w:val="center"/>
          </w:tcPr>
          <w:p w14:paraId="177736D1">
            <w:pPr>
              <w:spacing w:line="360" w:lineRule="auto"/>
              <w:jc w:val="center"/>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项目名称</w:t>
            </w:r>
          </w:p>
        </w:tc>
        <w:tc>
          <w:tcPr>
            <w:tcW w:w="2088" w:type="pct"/>
            <w:tcBorders>
              <w:top w:val="single" w:color="auto" w:sz="6" w:space="0"/>
              <w:left w:val="single" w:color="auto" w:sz="6" w:space="0"/>
              <w:bottom w:val="single" w:color="auto" w:sz="6" w:space="0"/>
              <w:right w:val="single" w:color="auto" w:sz="6" w:space="0"/>
            </w:tcBorders>
            <w:vAlign w:val="center"/>
          </w:tcPr>
          <w:p w14:paraId="0095F17D">
            <w:pPr>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rPr>
                <w:rFonts w:hint="default" w:ascii="宋体" w:hAnsi="宋体" w:eastAsia="宋体" w:cs="宋体"/>
                <w:color w:val="auto"/>
                <w:sz w:val="24"/>
                <w:szCs w:val="24"/>
                <w:highlight w:val="none"/>
              </w:rPr>
              <w:t>详见投标文件</w:t>
            </w:r>
          </w:p>
        </w:tc>
        <w:tc>
          <w:tcPr>
            <w:tcW w:w="2080" w:type="pct"/>
            <w:tcBorders>
              <w:top w:val="single" w:color="auto" w:sz="6" w:space="0"/>
              <w:left w:val="single" w:color="auto" w:sz="6" w:space="0"/>
              <w:bottom w:val="single" w:color="auto" w:sz="6" w:space="0"/>
              <w:right w:val="single" w:color="auto" w:sz="6" w:space="0"/>
            </w:tcBorders>
            <w:vAlign w:val="center"/>
          </w:tcPr>
          <w:p w14:paraId="476ED234">
            <w:pPr>
              <w:spacing w:line="360" w:lineRule="auto"/>
              <w:jc w:val="center"/>
              <w:rPr>
                <w:rFonts w:hint="default" w:ascii="宋体" w:hAnsi="宋体" w:eastAsia="宋体" w:cs="宋体"/>
                <w:color w:val="auto"/>
                <w:sz w:val="24"/>
                <w:szCs w:val="22"/>
                <w:highlight w:val="none"/>
              </w:rPr>
            </w:pPr>
          </w:p>
        </w:tc>
      </w:tr>
      <w:tr w14:paraId="71C1693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15" w:type="dxa"/>
            <w:left w:w="15" w:type="dxa"/>
            <w:bottom w:w="15" w:type="dxa"/>
            <w:right w:w="15" w:type="dxa"/>
          </w:tblCellMar>
        </w:tblPrEx>
        <w:trPr>
          <w:trHeight w:val="921" w:hRule="atLeast"/>
          <w:tblCellSpacing w:w="15" w:type="dxa"/>
          <w:jc w:val="center"/>
        </w:trPr>
        <w:tc>
          <w:tcPr>
            <w:tcW w:w="768" w:type="pct"/>
            <w:tcBorders>
              <w:top w:val="single" w:color="auto" w:sz="6" w:space="0"/>
              <w:left w:val="single" w:color="auto" w:sz="6" w:space="0"/>
              <w:bottom w:val="single" w:color="auto" w:sz="6" w:space="0"/>
              <w:right w:val="single" w:color="auto" w:sz="6" w:space="0"/>
            </w:tcBorders>
            <w:vAlign w:val="center"/>
          </w:tcPr>
          <w:p w14:paraId="70D1F2ED">
            <w:pPr>
              <w:spacing w:line="360" w:lineRule="auto"/>
              <w:jc w:val="left"/>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大写：</w:t>
            </w:r>
          </w:p>
        </w:tc>
        <w:tc>
          <w:tcPr>
            <w:tcW w:w="4184" w:type="pct"/>
            <w:gridSpan w:val="2"/>
            <w:tcBorders>
              <w:top w:val="single" w:color="auto" w:sz="6" w:space="0"/>
              <w:left w:val="single" w:color="auto" w:sz="6" w:space="0"/>
              <w:bottom w:val="single" w:color="auto" w:sz="6" w:space="0"/>
              <w:right w:val="single" w:color="auto" w:sz="6" w:space="0"/>
            </w:tcBorders>
            <w:vAlign w:val="center"/>
          </w:tcPr>
          <w:p w14:paraId="4DC978E8">
            <w:pPr>
              <w:spacing w:line="360" w:lineRule="auto"/>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金额大写</w:t>
            </w:r>
          </w:p>
        </w:tc>
      </w:tr>
    </w:tbl>
    <w:p w14:paraId="341E9D9C">
      <w:pPr>
        <w:spacing w:line="360" w:lineRule="auto"/>
        <w:rPr>
          <w:rFonts w:hint="default" w:ascii="宋体" w:hAnsi="宋体" w:eastAsia="宋体" w:cs="宋体"/>
          <w:bCs/>
          <w:color w:val="auto"/>
          <w:sz w:val="24"/>
          <w:szCs w:val="24"/>
          <w:highlight w:val="none"/>
        </w:rPr>
      </w:pPr>
    </w:p>
    <w:p w14:paraId="0C0F93F7">
      <w:pPr>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投标人名称（盖章）：</w:t>
      </w:r>
    </w:p>
    <w:p w14:paraId="4ABB3E18">
      <w:pPr>
        <w:spacing w:line="360" w:lineRule="auto"/>
        <w:ind w:firstLine="482"/>
        <w:rPr>
          <w:rFonts w:hint="default"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1C1AB4FB">
      <w:pPr>
        <w:tabs>
          <w:tab w:val="left" w:pos="525"/>
          <w:tab w:val="left" w:pos="630"/>
          <w:tab w:val="left" w:pos="735"/>
          <w:tab w:val="left" w:pos="945"/>
        </w:tabs>
        <w:spacing w:line="360" w:lineRule="auto"/>
        <w:ind w:firstLine="482"/>
        <w:rPr>
          <w:rFonts w:hint="default" w:ascii="宋体" w:hAnsi="宋体" w:eastAsia="宋体" w:cs="宋体"/>
          <w:b/>
          <w:color w:val="auto"/>
          <w:sz w:val="24"/>
          <w:szCs w:val="24"/>
          <w:highlight w:val="none"/>
        </w:rPr>
      </w:pPr>
    </w:p>
    <w:p w14:paraId="0D7CD8AA">
      <w:pPr>
        <w:spacing w:line="360" w:lineRule="auto"/>
        <w:ind w:firstLine="482"/>
        <w:rPr>
          <w:rFonts w:hint="default" w:ascii="宋体" w:hAnsi="宋体" w:eastAsia="宋体" w:cs="宋体"/>
          <w:b/>
          <w:color w:val="auto"/>
          <w:sz w:val="24"/>
          <w:szCs w:val="24"/>
          <w:highlight w:val="none"/>
        </w:rPr>
      </w:pPr>
    </w:p>
    <w:p w14:paraId="411EC179">
      <w:pPr>
        <w:spacing w:line="360" w:lineRule="auto"/>
        <w:ind w:firstLine="482"/>
        <w:rPr>
          <w:rFonts w:hint="default" w:ascii="宋体" w:hAnsi="宋体" w:eastAsia="Arial"/>
          <w:b/>
          <w:color w:val="auto"/>
          <w:sz w:val="24"/>
          <w:szCs w:val="22"/>
          <w:highlight w:val="none"/>
        </w:rPr>
      </w:pPr>
    </w:p>
    <w:p w14:paraId="43901312">
      <w:pPr>
        <w:spacing w:line="360" w:lineRule="auto"/>
        <w:rPr>
          <w:rFonts w:hint="default" w:ascii="黑体" w:hAnsi="Calibri" w:eastAsia="黑体"/>
          <w:bCs/>
          <w:color w:val="auto"/>
          <w:sz w:val="24"/>
          <w:szCs w:val="24"/>
          <w:highlight w:val="none"/>
        </w:rPr>
      </w:pPr>
    </w:p>
    <w:p w14:paraId="15BE3054">
      <w:pPr>
        <w:spacing w:line="360" w:lineRule="auto"/>
        <w:rPr>
          <w:rFonts w:hint="default" w:ascii="Times New Roman" w:hAnsi="Calibri" w:eastAsia="宋体"/>
          <w:b/>
          <w:color w:val="auto"/>
          <w:sz w:val="28"/>
          <w:szCs w:val="28"/>
          <w:highlight w:val="none"/>
        </w:rPr>
      </w:pPr>
      <w:r>
        <w:rPr>
          <w:rFonts w:hint="eastAsia" w:ascii="黑体" w:hAnsi="Calibri" w:eastAsia="黑体"/>
          <w:bCs/>
          <w:color w:val="auto"/>
          <w:sz w:val="24"/>
          <w:szCs w:val="24"/>
          <w:highlight w:val="none"/>
        </w:rPr>
        <w:br w:type="page" w:clear="all"/>
      </w:r>
      <w:r>
        <w:rPr>
          <w:rFonts w:hint="eastAsia" w:ascii="Calibri" w:hAnsi="Calibri" w:eastAsia="黑体"/>
          <w:b/>
          <w:color w:val="auto"/>
          <w:sz w:val="28"/>
          <w:szCs w:val="28"/>
          <w:highlight w:val="none"/>
        </w:rPr>
        <w:t>九</w:t>
      </w:r>
      <w:r>
        <w:rPr>
          <w:rFonts w:hint="eastAsia" w:ascii="Calibri" w:hAnsi="Calibri" w:eastAsia="Arial"/>
          <w:b/>
          <w:color w:val="auto"/>
          <w:sz w:val="28"/>
          <w:szCs w:val="28"/>
          <w:highlight w:val="none"/>
        </w:rPr>
        <w:t>、分项</w:t>
      </w:r>
      <w:r>
        <w:rPr>
          <w:rFonts w:hint="default" w:ascii="Calibri" w:hAnsi="Calibri" w:eastAsia="Arial"/>
          <w:b/>
          <w:color w:val="auto"/>
          <w:sz w:val="28"/>
          <w:szCs w:val="28"/>
          <w:highlight w:val="none"/>
        </w:rPr>
        <w:t>报价表</w:t>
      </w:r>
      <w:r>
        <w:rPr>
          <w:rFonts w:hint="eastAsia" w:ascii="Calibri" w:hAnsi="Calibri" w:eastAsia="Arial"/>
          <w:b/>
          <w:color w:val="auto"/>
          <w:sz w:val="28"/>
          <w:szCs w:val="28"/>
          <w:highlight w:val="none"/>
        </w:rPr>
        <w:t>（给定格式）：</w:t>
      </w:r>
      <w:bookmarkStart w:id="47" w:name="_Toc120614284"/>
    </w:p>
    <w:p w14:paraId="52345012">
      <w:pPr>
        <w:pBdr>
          <w:top w:val="none" w:color="000000" w:sz="0" w:space="0"/>
          <w:left w:val="none" w:color="000000" w:sz="0" w:space="0"/>
          <w:bottom w:val="none" w:color="000000" w:sz="0" w:space="0"/>
          <w:right w:val="none" w:color="000000" w:sz="0" w:space="0"/>
        </w:pBdr>
        <w:spacing w:line="360" w:lineRule="auto"/>
        <w:jc w:val="center"/>
        <w:rPr>
          <w:rFonts w:hint="default" w:ascii="Calibri" w:hAnsi="Calibri" w:eastAsia="Arial"/>
          <w:color w:val="auto"/>
          <w:szCs w:val="22"/>
          <w:highlight w:val="none"/>
        </w:rPr>
      </w:pPr>
      <w:r>
        <w:rPr>
          <w:rFonts w:hint="eastAsia" w:ascii="黑体" w:hAnsi="Calibri" w:eastAsia="黑体"/>
          <w:bCs/>
          <w:color w:val="auto"/>
          <w:sz w:val="28"/>
          <w:szCs w:val="28"/>
          <w:highlight w:val="none"/>
        </w:rPr>
        <w:t>分项报价表</w:t>
      </w:r>
    </w:p>
    <w:p w14:paraId="075BFAC5">
      <w:pPr>
        <w:pBdr>
          <w:top w:val="none" w:color="000000" w:sz="0" w:space="0"/>
          <w:left w:val="none" w:color="000000" w:sz="0" w:space="0"/>
          <w:bottom w:val="none" w:color="000000" w:sz="0" w:space="0"/>
          <w:right w:val="none" w:color="000000" w:sz="0" w:space="0"/>
        </w:pBdr>
        <w:spacing w:line="360" w:lineRule="auto"/>
        <w:rPr>
          <w:rFonts w:hint="default" w:ascii="Calibri" w:hAnsi="Calibri" w:eastAsia="Arial"/>
          <w:color w:val="auto"/>
          <w:szCs w:val="22"/>
          <w:highlight w:val="none"/>
        </w:rPr>
      </w:pPr>
      <w:r>
        <w:rPr>
          <w:rFonts w:hint="default" w:ascii="黑体" w:hAnsi="黑体" w:eastAsia="黑体" w:cs="黑体"/>
          <w:color w:val="auto"/>
          <w:sz w:val="24"/>
          <w:szCs w:val="22"/>
          <w:highlight w:val="none"/>
        </w:rPr>
        <w:t>项目编号：</w:t>
      </w:r>
    </w:p>
    <w:tbl>
      <w:tblPr>
        <w:tblStyle w:val="38"/>
        <w:tblpPr w:leftFromText="180" w:rightFromText="180" w:vertAnchor="text" w:horzAnchor="page" w:tblpX="1465" w:tblpY="472"/>
        <w:tblOverlap w:val="never"/>
        <w:tblW w:w="9523" w:type="dxa"/>
        <w:tblInd w:w="0" w:type="dxa"/>
        <w:tblLayout w:type="fixed"/>
        <w:tblCellMar>
          <w:top w:w="0" w:type="dxa"/>
          <w:left w:w="108" w:type="dxa"/>
          <w:bottom w:w="0" w:type="dxa"/>
          <w:right w:w="108" w:type="dxa"/>
        </w:tblCellMar>
      </w:tblPr>
      <w:tblGrid>
        <w:gridCol w:w="840"/>
        <w:gridCol w:w="3192"/>
        <w:gridCol w:w="1321"/>
        <w:gridCol w:w="1529"/>
        <w:gridCol w:w="1230"/>
        <w:gridCol w:w="1411"/>
      </w:tblGrid>
      <w:tr w14:paraId="09DE9CB3">
        <w:tblPrEx>
          <w:tblCellMar>
            <w:top w:w="0" w:type="dxa"/>
            <w:left w:w="108" w:type="dxa"/>
            <w:bottom w:w="0" w:type="dxa"/>
            <w:right w:w="108" w:type="dxa"/>
          </w:tblCellMar>
        </w:tblPrEx>
        <w:trPr>
          <w:trHeight w:val="728"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73EB6">
            <w:pPr>
              <w:widowControl/>
              <w:jc w:val="center"/>
              <w:textAlignment w:val="center"/>
              <w:rPr>
                <w:rFonts w:hint="default"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序号</w:t>
            </w:r>
          </w:p>
        </w:tc>
        <w:tc>
          <w:tcPr>
            <w:tcW w:w="3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9CD89">
            <w:pPr>
              <w:widowControl/>
              <w:jc w:val="center"/>
              <w:textAlignment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单位名称</w:t>
            </w:r>
          </w:p>
        </w:tc>
        <w:tc>
          <w:tcPr>
            <w:tcW w:w="1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E5EE0">
            <w:pPr>
              <w:widowControl/>
              <w:jc w:val="center"/>
              <w:textAlignment w:val="center"/>
              <w:rPr>
                <w:rFonts w:hint="default" w:ascii="宋体" w:hAnsi="宋体" w:eastAsia="宋体" w:cs="宋体"/>
                <w:b/>
                <w:bCs/>
                <w:color w:val="auto"/>
                <w:sz w:val="24"/>
                <w:szCs w:val="24"/>
                <w:highlight w:val="none"/>
              </w:rPr>
            </w:pPr>
            <w:bookmarkStart w:id="48" w:name="OLE_LINK16"/>
            <w:bookmarkStart w:id="49" w:name="OLE_LINK15"/>
            <w:r>
              <w:rPr>
                <w:rFonts w:hint="eastAsia" w:ascii="宋体" w:hAnsi="宋体" w:eastAsia="宋体" w:cs="宋体"/>
                <w:b/>
                <w:bCs/>
                <w:color w:val="auto"/>
                <w:sz w:val="24"/>
                <w:szCs w:val="24"/>
                <w:highlight w:val="none"/>
                <w:lang w:bidi="ar"/>
              </w:rPr>
              <w:t>单价</w:t>
            </w:r>
            <w:bookmarkEnd w:id="48"/>
            <w:bookmarkEnd w:id="49"/>
            <w:r>
              <w:rPr>
                <w:rFonts w:hint="eastAsia" w:ascii="宋体" w:hAnsi="宋体" w:eastAsia="宋体" w:cs="宋体"/>
                <w:b/>
                <w:bCs/>
                <w:color w:val="auto"/>
                <w:sz w:val="24"/>
                <w:szCs w:val="24"/>
                <w:highlight w:val="none"/>
                <w:lang w:bidi="ar"/>
              </w:rPr>
              <w:t xml:space="preserve">（元/页） </w:t>
            </w:r>
          </w:p>
        </w:tc>
        <w:tc>
          <w:tcPr>
            <w:tcW w:w="1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4FF95">
            <w:pPr>
              <w:widowControl/>
              <w:jc w:val="center"/>
              <w:textAlignment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预估量（页/年）</w:t>
            </w:r>
          </w:p>
        </w:tc>
        <w:tc>
          <w:tcPr>
            <w:tcW w:w="1230" w:type="dxa"/>
            <w:tcBorders>
              <w:top w:val="single" w:color="000000" w:sz="4" w:space="0"/>
              <w:left w:val="single" w:color="000000" w:sz="4" w:space="0"/>
              <w:bottom w:val="single" w:color="000000" w:sz="4" w:space="0"/>
              <w:right w:val="single" w:color="auto" w:sz="4" w:space="0"/>
            </w:tcBorders>
            <w:shd w:val="clear" w:color="auto" w:fill="auto"/>
            <w:vAlign w:val="center"/>
          </w:tcPr>
          <w:p w14:paraId="4B9A641E">
            <w:pPr>
              <w:widowControl/>
              <w:jc w:val="center"/>
              <w:textAlignment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投标报价总价（元/年）</w:t>
            </w:r>
          </w:p>
        </w:tc>
        <w:tc>
          <w:tcPr>
            <w:tcW w:w="1411" w:type="dxa"/>
            <w:tcBorders>
              <w:top w:val="single" w:color="000000" w:sz="4" w:space="0"/>
              <w:left w:val="single" w:color="auto" w:sz="4" w:space="0"/>
              <w:bottom w:val="single" w:color="000000" w:sz="4" w:space="0"/>
              <w:right w:val="single" w:color="000000" w:sz="4" w:space="0"/>
            </w:tcBorders>
            <w:shd w:val="clear" w:color="auto" w:fill="auto"/>
            <w:vAlign w:val="center"/>
          </w:tcPr>
          <w:p w14:paraId="74733BAA">
            <w:pPr>
              <w:widowControl/>
              <w:jc w:val="center"/>
              <w:textAlignment w:val="center"/>
              <w:rPr>
                <w:rFonts w:hint="default"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投标报价总价（元/3年）</w:t>
            </w:r>
          </w:p>
        </w:tc>
      </w:tr>
      <w:tr w14:paraId="47FE3ABD">
        <w:tblPrEx>
          <w:tblCellMar>
            <w:top w:w="0" w:type="dxa"/>
            <w:left w:w="108" w:type="dxa"/>
            <w:bottom w:w="0" w:type="dxa"/>
            <w:right w:w="108" w:type="dxa"/>
          </w:tblCellMar>
        </w:tblPrEx>
        <w:trPr>
          <w:trHeight w:val="467"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F36F9">
            <w:pPr>
              <w:widowControl/>
              <w:jc w:val="center"/>
              <w:textAlignment w:val="center"/>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w:t>
            </w:r>
          </w:p>
        </w:tc>
        <w:tc>
          <w:tcPr>
            <w:tcW w:w="3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77C15">
            <w:pPr>
              <w:widowControl/>
              <w:jc w:val="left"/>
              <w:textAlignment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江苏省无锡市中级人民法院单位</w:t>
            </w:r>
          </w:p>
        </w:tc>
        <w:tc>
          <w:tcPr>
            <w:tcW w:w="1321" w:type="dxa"/>
            <w:vMerge w:val="restart"/>
            <w:tcBorders>
              <w:top w:val="single" w:color="000000" w:sz="4" w:space="0"/>
              <w:left w:val="single" w:color="000000" w:sz="4" w:space="0"/>
              <w:right w:val="single" w:color="000000" w:sz="4" w:space="0"/>
            </w:tcBorders>
            <w:shd w:val="clear" w:color="auto" w:fill="auto"/>
            <w:noWrap/>
            <w:vAlign w:val="center"/>
          </w:tcPr>
          <w:p w14:paraId="79FCABC2">
            <w:pPr>
              <w:widowControl/>
              <w:jc w:val="center"/>
              <w:textAlignment w:val="center"/>
              <w:rPr>
                <w:rFonts w:hint="default" w:ascii="宋体" w:hAnsi="宋体" w:eastAsia="宋体" w:cs="宋体"/>
                <w:color w:val="auto"/>
                <w:sz w:val="24"/>
                <w:szCs w:val="24"/>
                <w:highlight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03CF7">
            <w:pPr>
              <w:widowControl/>
              <w:jc w:val="center"/>
              <w:textAlignment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566666 </w:t>
            </w:r>
          </w:p>
        </w:tc>
        <w:tc>
          <w:tcPr>
            <w:tcW w:w="1230"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790DBFA3">
            <w:pPr>
              <w:widowControl/>
              <w:jc w:val="center"/>
              <w:textAlignment w:val="center"/>
              <w:rPr>
                <w:rFonts w:hint="default" w:ascii="宋体" w:hAnsi="宋体" w:eastAsia="宋体" w:cs="宋体"/>
                <w:color w:val="auto"/>
                <w:sz w:val="24"/>
                <w:szCs w:val="24"/>
                <w:highlight w:val="none"/>
              </w:rPr>
            </w:pPr>
          </w:p>
        </w:tc>
        <w:tc>
          <w:tcPr>
            <w:tcW w:w="1411"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75F5AC12">
            <w:pPr>
              <w:widowControl/>
              <w:jc w:val="center"/>
              <w:textAlignment w:val="center"/>
              <w:rPr>
                <w:rFonts w:hint="default" w:ascii="宋体" w:hAnsi="宋体" w:eastAsia="宋体" w:cs="宋体"/>
                <w:color w:val="auto"/>
                <w:sz w:val="24"/>
                <w:szCs w:val="24"/>
                <w:highlight w:val="none"/>
                <w:lang w:bidi="ar"/>
              </w:rPr>
            </w:pPr>
          </w:p>
        </w:tc>
      </w:tr>
      <w:tr w14:paraId="0A014B85">
        <w:tblPrEx>
          <w:tblCellMar>
            <w:top w:w="0" w:type="dxa"/>
            <w:left w:w="108" w:type="dxa"/>
            <w:bottom w:w="0" w:type="dxa"/>
            <w:right w:w="108" w:type="dxa"/>
          </w:tblCellMar>
        </w:tblPrEx>
        <w:trPr>
          <w:trHeight w:val="605"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A0CC0">
            <w:pPr>
              <w:widowControl/>
              <w:jc w:val="center"/>
              <w:textAlignment w:val="center"/>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w:t>
            </w:r>
          </w:p>
        </w:tc>
        <w:tc>
          <w:tcPr>
            <w:tcW w:w="3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E0B83">
            <w:pPr>
              <w:widowControl/>
              <w:jc w:val="left"/>
              <w:textAlignment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江苏省无锡市江阴市人民法院单位</w:t>
            </w:r>
          </w:p>
        </w:tc>
        <w:tc>
          <w:tcPr>
            <w:tcW w:w="1321" w:type="dxa"/>
            <w:vMerge w:val="continue"/>
            <w:tcBorders>
              <w:left w:val="single" w:color="000000" w:sz="4" w:space="0"/>
              <w:right w:val="single" w:color="000000" w:sz="4" w:space="0"/>
            </w:tcBorders>
            <w:shd w:val="clear" w:color="auto" w:fill="auto"/>
            <w:noWrap/>
            <w:vAlign w:val="center"/>
          </w:tcPr>
          <w:p w14:paraId="4BBE6697">
            <w:pPr>
              <w:widowControl/>
              <w:jc w:val="center"/>
              <w:textAlignment w:val="center"/>
              <w:rPr>
                <w:rFonts w:hint="default" w:ascii="宋体" w:hAnsi="宋体" w:eastAsia="宋体" w:cs="宋体"/>
                <w:color w:val="auto"/>
                <w:sz w:val="24"/>
                <w:szCs w:val="24"/>
                <w:highlight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2CD1D">
            <w:pPr>
              <w:widowControl/>
              <w:jc w:val="center"/>
              <w:textAlignment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1666666</w:t>
            </w:r>
          </w:p>
        </w:tc>
        <w:tc>
          <w:tcPr>
            <w:tcW w:w="1230"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1580ADED">
            <w:pPr>
              <w:widowControl/>
              <w:jc w:val="center"/>
              <w:textAlignment w:val="center"/>
              <w:rPr>
                <w:rFonts w:hint="default" w:ascii="宋体" w:hAnsi="宋体" w:eastAsia="宋体" w:cs="宋体"/>
                <w:color w:val="auto"/>
                <w:sz w:val="24"/>
                <w:szCs w:val="24"/>
                <w:highlight w:val="none"/>
              </w:rPr>
            </w:pPr>
          </w:p>
        </w:tc>
        <w:tc>
          <w:tcPr>
            <w:tcW w:w="1411"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7CDF4688">
            <w:pPr>
              <w:widowControl/>
              <w:jc w:val="center"/>
              <w:textAlignment w:val="center"/>
              <w:rPr>
                <w:rFonts w:hint="default" w:ascii="宋体" w:hAnsi="宋体" w:eastAsia="宋体" w:cs="宋体"/>
                <w:color w:val="auto"/>
                <w:sz w:val="24"/>
                <w:szCs w:val="24"/>
                <w:highlight w:val="none"/>
                <w:lang w:bidi="ar"/>
              </w:rPr>
            </w:pPr>
          </w:p>
        </w:tc>
      </w:tr>
      <w:tr w14:paraId="62C78A1E">
        <w:tblPrEx>
          <w:tblCellMar>
            <w:top w:w="0" w:type="dxa"/>
            <w:left w:w="108" w:type="dxa"/>
            <w:bottom w:w="0" w:type="dxa"/>
            <w:right w:w="108" w:type="dxa"/>
          </w:tblCellMar>
        </w:tblPrEx>
        <w:trPr>
          <w:trHeight w:val="467"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0E3CA">
            <w:pPr>
              <w:widowControl/>
              <w:jc w:val="center"/>
              <w:textAlignment w:val="center"/>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3</w:t>
            </w:r>
          </w:p>
        </w:tc>
        <w:tc>
          <w:tcPr>
            <w:tcW w:w="3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F3F2C">
            <w:pPr>
              <w:widowControl/>
              <w:jc w:val="left"/>
              <w:textAlignment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江苏省无锡市宜兴市人民法院单位</w:t>
            </w:r>
          </w:p>
        </w:tc>
        <w:tc>
          <w:tcPr>
            <w:tcW w:w="1321" w:type="dxa"/>
            <w:vMerge w:val="continue"/>
            <w:tcBorders>
              <w:left w:val="single" w:color="000000" w:sz="4" w:space="0"/>
              <w:right w:val="single" w:color="000000" w:sz="4" w:space="0"/>
            </w:tcBorders>
            <w:shd w:val="clear" w:color="auto" w:fill="auto"/>
            <w:noWrap/>
            <w:vAlign w:val="center"/>
          </w:tcPr>
          <w:p w14:paraId="2A3BE1A0">
            <w:pPr>
              <w:widowControl/>
              <w:jc w:val="center"/>
              <w:textAlignment w:val="center"/>
              <w:rPr>
                <w:rFonts w:hint="default" w:ascii="宋体" w:hAnsi="宋体" w:eastAsia="宋体" w:cs="宋体"/>
                <w:color w:val="auto"/>
                <w:sz w:val="24"/>
                <w:szCs w:val="24"/>
                <w:highlight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87871">
            <w:pPr>
              <w:widowControl/>
              <w:jc w:val="center"/>
              <w:textAlignment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1866666 </w:t>
            </w:r>
          </w:p>
        </w:tc>
        <w:tc>
          <w:tcPr>
            <w:tcW w:w="1230"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682AB783">
            <w:pPr>
              <w:widowControl/>
              <w:jc w:val="center"/>
              <w:textAlignment w:val="center"/>
              <w:rPr>
                <w:rFonts w:hint="default" w:ascii="宋体" w:hAnsi="宋体" w:eastAsia="宋体" w:cs="宋体"/>
                <w:color w:val="auto"/>
                <w:sz w:val="24"/>
                <w:szCs w:val="24"/>
                <w:highlight w:val="none"/>
              </w:rPr>
            </w:pPr>
          </w:p>
        </w:tc>
        <w:tc>
          <w:tcPr>
            <w:tcW w:w="1411"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384247BA">
            <w:pPr>
              <w:widowControl/>
              <w:jc w:val="center"/>
              <w:textAlignment w:val="center"/>
              <w:rPr>
                <w:rFonts w:hint="default" w:ascii="宋体" w:hAnsi="宋体" w:eastAsia="宋体" w:cs="宋体"/>
                <w:color w:val="auto"/>
                <w:sz w:val="24"/>
                <w:szCs w:val="24"/>
                <w:highlight w:val="none"/>
                <w:lang w:bidi="ar"/>
              </w:rPr>
            </w:pPr>
          </w:p>
        </w:tc>
      </w:tr>
      <w:tr w14:paraId="3F2EEBED">
        <w:tblPrEx>
          <w:tblCellMar>
            <w:top w:w="0" w:type="dxa"/>
            <w:left w:w="108" w:type="dxa"/>
            <w:bottom w:w="0" w:type="dxa"/>
            <w:right w:w="108" w:type="dxa"/>
          </w:tblCellMar>
        </w:tblPrEx>
        <w:trPr>
          <w:trHeight w:val="467"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BA805">
            <w:pPr>
              <w:widowControl/>
              <w:jc w:val="center"/>
              <w:textAlignment w:val="center"/>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4</w:t>
            </w:r>
          </w:p>
        </w:tc>
        <w:tc>
          <w:tcPr>
            <w:tcW w:w="3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B25C3">
            <w:pPr>
              <w:widowControl/>
              <w:jc w:val="left"/>
              <w:textAlignment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江苏省无锡市梁溪区人民法院单位</w:t>
            </w:r>
          </w:p>
        </w:tc>
        <w:tc>
          <w:tcPr>
            <w:tcW w:w="1321" w:type="dxa"/>
            <w:vMerge w:val="continue"/>
            <w:tcBorders>
              <w:left w:val="single" w:color="000000" w:sz="4" w:space="0"/>
              <w:right w:val="single" w:color="000000" w:sz="4" w:space="0"/>
            </w:tcBorders>
            <w:shd w:val="clear" w:color="auto" w:fill="auto"/>
            <w:noWrap/>
            <w:vAlign w:val="center"/>
          </w:tcPr>
          <w:p w14:paraId="22F49E0B">
            <w:pPr>
              <w:widowControl/>
              <w:jc w:val="center"/>
              <w:textAlignment w:val="center"/>
              <w:rPr>
                <w:rFonts w:hint="default" w:ascii="宋体" w:hAnsi="宋体" w:eastAsia="宋体" w:cs="宋体"/>
                <w:color w:val="auto"/>
                <w:sz w:val="24"/>
                <w:szCs w:val="24"/>
                <w:highlight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04DD8">
            <w:pPr>
              <w:widowControl/>
              <w:jc w:val="center"/>
              <w:textAlignment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2066666 </w:t>
            </w:r>
          </w:p>
        </w:tc>
        <w:tc>
          <w:tcPr>
            <w:tcW w:w="1230"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302E3EA8">
            <w:pPr>
              <w:widowControl/>
              <w:jc w:val="center"/>
              <w:textAlignment w:val="center"/>
              <w:rPr>
                <w:rFonts w:hint="default" w:ascii="宋体" w:hAnsi="宋体" w:eastAsia="宋体" w:cs="宋体"/>
                <w:color w:val="auto"/>
                <w:sz w:val="24"/>
                <w:szCs w:val="24"/>
                <w:highlight w:val="none"/>
              </w:rPr>
            </w:pPr>
          </w:p>
        </w:tc>
        <w:tc>
          <w:tcPr>
            <w:tcW w:w="1411"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5D4AE711">
            <w:pPr>
              <w:widowControl/>
              <w:jc w:val="center"/>
              <w:textAlignment w:val="center"/>
              <w:rPr>
                <w:rFonts w:hint="default" w:ascii="宋体" w:hAnsi="宋体" w:eastAsia="宋体" w:cs="宋体"/>
                <w:color w:val="auto"/>
                <w:sz w:val="24"/>
                <w:szCs w:val="24"/>
                <w:highlight w:val="none"/>
                <w:lang w:bidi="ar"/>
              </w:rPr>
            </w:pPr>
          </w:p>
        </w:tc>
      </w:tr>
      <w:tr w14:paraId="1B874557">
        <w:tblPrEx>
          <w:tblCellMar>
            <w:top w:w="0" w:type="dxa"/>
            <w:left w:w="108" w:type="dxa"/>
            <w:bottom w:w="0" w:type="dxa"/>
            <w:right w:w="108" w:type="dxa"/>
          </w:tblCellMar>
        </w:tblPrEx>
        <w:trPr>
          <w:trHeight w:val="467"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6FA1A">
            <w:pPr>
              <w:widowControl/>
              <w:jc w:val="center"/>
              <w:textAlignment w:val="center"/>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5</w:t>
            </w:r>
          </w:p>
        </w:tc>
        <w:tc>
          <w:tcPr>
            <w:tcW w:w="3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60705">
            <w:pPr>
              <w:widowControl/>
              <w:jc w:val="left"/>
              <w:textAlignment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江苏省无锡市锡山区人民法院单位</w:t>
            </w:r>
          </w:p>
        </w:tc>
        <w:tc>
          <w:tcPr>
            <w:tcW w:w="1321" w:type="dxa"/>
            <w:vMerge w:val="continue"/>
            <w:tcBorders>
              <w:left w:val="single" w:color="000000" w:sz="4" w:space="0"/>
              <w:right w:val="single" w:color="000000" w:sz="4" w:space="0"/>
            </w:tcBorders>
            <w:shd w:val="clear" w:color="auto" w:fill="auto"/>
            <w:noWrap/>
            <w:vAlign w:val="center"/>
          </w:tcPr>
          <w:p w14:paraId="4B6356C4">
            <w:pPr>
              <w:widowControl/>
              <w:jc w:val="center"/>
              <w:textAlignment w:val="center"/>
              <w:rPr>
                <w:rFonts w:hint="default" w:ascii="宋体" w:hAnsi="宋体" w:eastAsia="宋体" w:cs="宋体"/>
                <w:color w:val="auto"/>
                <w:sz w:val="24"/>
                <w:szCs w:val="24"/>
                <w:highlight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C4472">
            <w:pPr>
              <w:widowControl/>
              <w:jc w:val="center"/>
              <w:textAlignment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1066666 </w:t>
            </w:r>
          </w:p>
        </w:tc>
        <w:tc>
          <w:tcPr>
            <w:tcW w:w="1230"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3008B292">
            <w:pPr>
              <w:widowControl/>
              <w:jc w:val="center"/>
              <w:textAlignment w:val="center"/>
              <w:rPr>
                <w:rFonts w:hint="default" w:ascii="宋体" w:hAnsi="宋体" w:eastAsia="宋体" w:cs="宋体"/>
                <w:color w:val="auto"/>
                <w:sz w:val="24"/>
                <w:szCs w:val="24"/>
                <w:highlight w:val="none"/>
              </w:rPr>
            </w:pPr>
          </w:p>
        </w:tc>
        <w:tc>
          <w:tcPr>
            <w:tcW w:w="1411"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36463405">
            <w:pPr>
              <w:widowControl/>
              <w:jc w:val="center"/>
              <w:textAlignment w:val="center"/>
              <w:rPr>
                <w:rFonts w:hint="default" w:ascii="宋体" w:hAnsi="宋体" w:eastAsia="宋体" w:cs="宋体"/>
                <w:color w:val="auto"/>
                <w:sz w:val="24"/>
                <w:szCs w:val="24"/>
                <w:highlight w:val="none"/>
                <w:lang w:bidi="ar"/>
              </w:rPr>
            </w:pPr>
          </w:p>
        </w:tc>
      </w:tr>
      <w:tr w14:paraId="019500AF">
        <w:tblPrEx>
          <w:tblCellMar>
            <w:top w:w="0" w:type="dxa"/>
            <w:left w:w="108" w:type="dxa"/>
            <w:bottom w:w="0" w:type="dxa"/>
            <w:right w:w="108" w:type="dxa"/>
          </w:tblCellMar>
        </w:tblPrEx>
        <w:trPr>
          <w:trHeight w:val="467"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EDD78">
            <w:pPr>
              <w:widowControl/>
              <w:jc w:val="center"/>
              <w:textAlignment w:val="center"/>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6</w:t>
            </w:r>
          </w:p>
        </w:tc>
        <w:tc>
          <w:tcPr>
            <w:tcW w:w="3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AB726">
            <w:pPr>
              <w:widowControl/>
              <w:jc w:val="left"/>
              <w:textAlignment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江苏省无锡市惠山区人民法院单位</w:t>
            </w:r>
          </w:p>
        </w:tc>
        <w:tc>
          <w:tcPr>
            <w:tcW w:w="1321" w:type="dxa"/>
            <w:vMerge w:val="continue"/>
            <w:tcBorders>
              <w:left w:val="single" w:color="000000" w:sz="4" w:space="0"/>
              <w:right w:val="single" w:color="000000" w:sz="4" w:space="0"/>
            </w:tcBorders>
            <w:shd w:val="clear" w:color="auto" w:fill="auto"/>
            <w:noWrap/>
            <w:vAlign w:val="center"/>
          </w:tcPr>
          <w:p w14:paraId="58E9422D">
            <w:pPr>
              <w:widowControl/>
              <w:jc w:val="center"/>
              <w:textAlignment w:val="center"/>
              <w:rPr>
                <w:rFonts w:hint="default" w:ascii="宋体" w:hAnsi="宋体" w:eastAsia="宋体" w:cs="宋体"/>
                <w:color w:val="auto"/>
                <w:sz w:val="24"/>
                <w:szCs w:val="24"/>
                <w:highlight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B2767">
            <w:pPr>
              <w:widowControl/>
              <w:jc w:val="center"/>
              <w:textAlignment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2066666 </w:t>
            </w:r>
          </w:p>
        </w:tc>
        <w:tc>
          <w:tcPr>
            <w:tcW w:w="1230"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2583AC80">
            <w:pPr>
              <w:widowControl/>
              <w:jc w:val="center"/>
              <w:textAlignment w:val="center"/>
              <w:rPr>
                <w:rFonts w:hint="default" w:ascii="宋体" w:hAnsi="宋体" w:eastAsia="宋体" w:cs="宋体"/>
                <w:color w:val="auto"/>
                <w:sz w:val="24"/>
                <w:szCs w:val="24"/>
                <w:highlight w:val="none"/>
              </w:rPr>
            </w:pPr>
          </w:p>
        </w:tc>
        <w:tc>
          <w:tcPr>
            <w:tcW w:w="1411"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6C5278F0">
            <w:pPr>
              <w:widowControl/>
              <w:jc w:val="center"/>
              <w:textAlignment w:val="center"/>
              <w:rPr>
                <w:rFonts w:hint="default" w:ascii="宋体" w:hAnsi="宋体" w:eastAsia="宋体" w:cs="宋体"/>
                <w:color w:val="auto"/>
                <w:sz w:val="24"/>
                <w:szCs w:val="24"/>
                <w:highlight w:val="none"/>
                <w:lang w:bidi="ar"/>
              </w:rPr>
            </w:pPr>
          </w:p>
        </w:tc>
      </w:tr>
      <w:tr w14:paraId="2D6E90D7">
        <w:tblPrEx>
          <w:tblCellMar>
            <w:top w:w="0" w:type="dxa"/>
            <w:left w:w="108" w:type="dxa"/>
            <w:bottom w:w="0" w:type="dxa"/>
            <w:right w:w="108" w:type="dxa"/>
          </w:tblCellMar>
        </w:tblPrEx>
        <w:trPr>
          <w:trHeight w:val="467"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17EA0">
            <w:pPr>
              <w:widowControl/>
              <w:jc w:val="center"/>
              <w:textAlignment w:val="center"/>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7</w:t>
            </w:r>
          </w:p>
        </w:tc>
        <w:tc>
          <w:tcPr>
            <w:tcW w:w="31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4C2DE">
            <w:pPr>
              <w:widowControl/>
              <w:jc w:val="left"/>
              <w:textAlignment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江苏省无锡市滨湖区人民法院单位</w:t>
            </w:r>
          </w:p>
        </w:tc>
        <w:tc>
          <w:tcPr>
            <w:tcW w:w="1321" w:type="dxa"/>
            <w:vMerge w:val="continue"/>
            <w:tcBorders>
              <w:left w:val="single" w:color="000000" w:sz="4" w:space="0"/>
              <w:right w:val="single" w:color="000000" w:sz="4" w:space="0"/>
            </w:tcBorders>
            <w:shd w:val="clear" w:color="auto" w:fill="auto"/>
            <w:noWrap/>
            <w:vAlign w:val="center"/>
          </w:tcPr>
          <w:p w14:paraId="641AAD6E">
            <w:pPr>
              <w:widowControl/>
              <w:jc w:val="center"/>
              <w:textAlignment w:val="center"/>
              <w:rPr>
                <w:rFonts w:hint="default" w:ascii="宋体" w:hAnsi="宋体" w:eastAsia="宋体" w:cs="宋体"/>
                <w:color w:val="auto"/>
                <w:sz w:val="24"/>
                <w:szCs w:val="24"/>
                <w:highlight w:val="none"/>
              </w:rPr>
            </w:pP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5CD8F">
            <w:pPr>
              <w:widowControl/>
              <w:jc w:val="center"/>
              <w:textAlignment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1733333 </w:t>
            </w:r>
          </w:p>
        </w:tc>
        <w:tc>
          <w:tcPr>
            <w:tcW w:w="1230"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3EC36257">
            <w:pPr>
              <w:widowControl/>
              <w:jc w:val="center"/>
              <w:textAlignment w:val="center"/>
              <w:rPr>
                <w:rFonts w:hint="default" w:ascii="宋体" w:hAnsi="宋体" w:eastAsia="宋体" w:cs="宋体"/>
                <w:color w:val="auto"/>
                <w:sz w:val="24"/>
                <w:szCs w:val="24"/>
                <w:highlight w:val="none"/>
              </w:rPr>
            </w:pPr>
          </w:p>
        </w:tc>
        <w:tc>
          <w:tcPr>
            <w:tcW w:w="1411"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6A32E9B1">
            <w:pPr>
              <w:widowControl/>
              <w:jc w:val="center"/>
              <w:textAlignment w:val="center"/>
              <w:rPr>
                <w:rFonts w:hint="default" w:ascii="宋体" w:hAnsi="宋体" w:eastAsia="宋体" w:cs="宋体"/>
                <w:color w:val="auto"/>
                <w:sz w:val="24"/>
                <w:szCs w:val="24"/>
                <w:highlight w:val="none"/>
                <w:lang w:bidi="ar"/>
              </w:rPr>
            </w:pPr>
          </w:p>
        </w:tc>
      </w:tr>
      <w:tr w14:paraId="428596CE">
        <w:tblPrEx>
          <w:tblCellMar>
            <w:top w:w="0" w:type="dxa"/>
            <w:left w:w="108" w:type="dxa"/>
            <w:bottom w:w="0" w:type="dxa"/>
            <w:right w:w="108" w:type="dxa"/>
          </w:tblCellMar>
        </w:tblPrEx>
        <w:trPr>
          <w:trHeight w:val="353" w:hRule="atLeast"/>
        </w:trPr>
        <w:tc>
          <w:tcPr>
            <w:tcW w:w="840" w:type="dxa"/>
            <w:tcBorders>
              <w:top w:val="single" w:color="000000" w:sz="4" w:space="0"/>
              <w:left w:val="single" w:color="000000" w:sz="4" w:space="0"/>
              <w:bottom w:val="single" w:color="auto" w:sz="4" w:space="0"/>
              <w:right w:val="single" w:color="000000" w:sz="4" w:space="0"/>
            </w:tcBorders>
            <w:shd w:val="clear" w:color="auto" w:fill="auto"/>
            <w:vAlign w:val="center"/>
          </w:tcPr>
          <w:p w14:paraId="2AC40A75">
            <w:pPr>
              <w:widowControl/>
              <w:jc w:val="center"/>
              <w:textAlignment w:val="center"/>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8</w:t>
            </w:r>
          </w:p>
        </w:tc>
        <w:tc>
          <w:tcPr>
            <w:tcW w:w="3192" w:type="dxa"/>
            <w:tcBorders>
              <w:top w:val="single" w:color="000000" w:sz="4" w:space="0"/>
              <w:left w:val="single" w:color="000000" w:sz="4" w:space="0"/>
              <w:bottom w:val="single" w:color="auto" w:sz="4" w:space="0"/>
              <w:right w:val="single" w:color="000000" w:sz="4" w:space="0"/>
            </w:tcBorders>
            <w:shd w:val="clear" w:color="auto" w:fill="auto"/>
            <w:vAlign w:val="center"/>
          </w:tcPr>
          <w:p w14:paraId="3008A33F">
            <w:pPr>
              <w:widowControl/>
              <w:jc w:val="left"/>
              <w:textAlignment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江苏省无锡市新吴区人民法院单位</w:t>
            </w:r>
          </w:p>
        </w:tc>
        <w:tc>
          <w:tcPr>
            <w:tcW w:w="1321" w:type="dxa"/>
            <w:vMerge w:val="continue"/>
            <w:tcBorders>
              <w:left w:val="single" w:color="000000" w:sz="4" w:space="0"/>
              <w:bottom w:val="single" w:color="auto" w:sz="4" w:space="0"/>
              <w:right w:val="single" w:color="000000" w:sz="4" w:space="0"/>
            </w:tcBorders>
            <w:shd w:val="clear" w:color="auto" w:fill="auto"/>
            <w:noWrap/>
            <w:vAlign w:val="center"/>
          </w:tcPr>
          <w:p w14:paraId="46BF2B39">
            <w:pPr>
              <w:widowControl/>
              <w:jc w:val="center"/>
              <w:textAlignment w:val="center"/>
              <w:rPr>
                <w:rFonts w:hint="default" w:ascii="宋体" w:hAnsi="宋体" w:eastAsia="宋体" w:cs="宋体"/>
                <w:color w:val="auto"/>
                <w:sz w:val="24"/>
                <w:szCs w:val="24"/>
                <w:highlight w:val="none"/>
              </w:rPr>
            </w:pPr>
          </w:p>
        </w:tc>
        <w:tc>
          <w:tcPr>
            <w:tcW w:w="1529"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6778A4A">
            <w:pPr>
              <w:widowControl/>
              <w:jc w:val="center"/>
              <w:textAlignment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1300000 </w:t>
            </w:r>
          </w:p>
        </w:tc>
        <w:tc>
          <w:tcPr>
            <w:tcW w:w="1230" w:type="dxa"/>
            <w:tcBorders>
              <w:top w:val="single" w:color="000000" w:sz="4" w:space="0"/>
              <w:left w:val="single" w:color="000000" w:sz="4" w:space="0"/>
              <w:bottom w:val="single" w:color="auto" w:sz="4" w:space="0"/>
              <w:right w:val="single" w:color="auto" w:sz="4" w:space="0"/>
            </w:tcBorders>
            <w:shd w:val="clear" w:color="auto" w:fill="auto"/>
            <w:noWrap/>
            <w:vAlign w:val="center"/>
          </w:tcPr>
          <w:p w14:paraId="382A1CF7">
            <w:pPr>
              <w:widowControl/>
              <w:jc w:val="center"/>
              <w:textAlignment w:val="center"/>
              <w:rPr>
                <w:rFonts w:hint="default" w:ascii="宋体" w:hAnsi="宋体" w:eastAsia="宋体" w:cs="宋体"/>
                <w:color w:val="auto"/>
                <w:sz w:val="24"/>
                <w:szCs w:val="24"/>
                <w:highlight w:val="none"/>
              </w:rPr>
            </w:pPr>
          </w:p>
        </w:tc>
        <w:tc>
          <w:tcPr>
            <w:tcW w:w="1411" w:type="dxa"/>
            <w:tcBorders>
              <w:top w:val="single" w:color="000000" w:sz="4" w:space="0"/>
              <w:left w:val="single" w:color="auto" w:sz="4" w:space="0"/>
              <w:bottom w:val="single" w:color="auto" w:sz="4" w:space="0"/>
              <w:right w:val="single" w:color="000000" w:sz="4" w:space="0"/>
            </w:tcBorders>
            <w:shd w:val="clear" w:color="auto" w:fill="auto"/>
            <w:noWrap/>
            <w:vAlign w:val="center"/>
          </w:tcPr>
          <w:p w14:paraId="1DF6886A">
            <w:pPr>
              <w:widowControl/>
              <w:jc w:val="center"/>
              <w:textAlignment w:val="center"/>
              <w:rPr>
                <w:rFonts w:hint="default" w:ascii="宋体" w:hAnsi="宋体" w:eastAsia="宋体" w:cs="宋体"/>
                <w:color w:val="auto"/>
                <w:sz w:val="24"/>
                <w:szCs w:val="24"/>
                <w:highlight w:val="none"/>
                <w:lang w:bidi="ar"/>
              </w:rPr>
            </w:pPr>
          </w:p>
        </w:tc>
      </w:tr>
      <w:tr w14:paraId="0B81C2D6">
        <w:tblPrEx>
          <w:tblCellMar>
            <w:top w:w="0" w:type="dxa"/>
            <w:left w:w="108" w:type="dxa"/>
            <w:bottom w:w="0" w:type="dxa"/>
            <w:right w:w="108" w:type="dxa"/>
          </w:tblCellMar>
        </w:tblPrEx>
        <w:trPr>
          <w:trHeight w:val="716" w:hRule="atLeast"/>
        </w:trPr>
        <w:tc>
          <w:tcPr>
            <w:tcW w:w="840" w:type="dxa"/>
            <w:tcBorders>
              <w:top w:val="single" w:color="auto" w:sz="4" w:space="0"/>
              <w:left w:val="single" w:color="000000" w:sz="4" w:space="0"/>
              <w:bottom w:val="single" w:color="000000" w:sz="4" w:space="0"/>
              <w:right w:val="single" w:color="000000" w:sz="4" w:space="0"/>
            </w:tcBorders>
            <w:shd w:val="clear" w:color="auto" w:fill="auto"/>
            <w:vAlign w:val="center"/>
          </w:tcPr>
          <w:p w14:paraId="1A49A135">
            <w:pPr>
              <w:widowControl/>
              <w:jc w:val="center"/>
              <w:textAlignment w:val="center"/>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9</w:t>
            </w:r>
          </w:p>
        </w:tc>
        <w:tc>
          <w:tcPr>
            <w:tcW w:w="6042" w:type="dxa"/>
            <w:gridSpan w:val="3"/>
            <w:tcBorders>
              <w:top w:val="single" w:color="auto" w:sz="4" w:space="0"/>
              <w:left w:val="single" w:color="000000" w:sz="4" w:space="0"/>
              <w:bottom w:val="single" w:color="000000" w:sz="4" w:space="0"/>
              <w:right w:val="single" w:color="000000" w:sz="4" w:space="0"/>
            </w:tcBorders>
            <w:shd w:val="clear" w:color="auto" w:fill="auto"/>
            <w:vAlign w:val="center"/>
          </w:tcPr>
          <w:p w14:paraId="6475163A">
            <w:pPr>
              <w:widowControl/>
              <w:jc w:val="center"/>
              <w:textAlignment w:val="center"/>
              <w:rPr>
                <w:rFonts w:hint="default"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合计</w:t>
            </w:r>
          </w:p>
        </w:tc>
        <w:tc>
          <w:tcPr>
            <w:tcW w:w="1230" w:type="dxa"/>
            <w:tcBorders>
              <w:top w:val="single" w:color="auto" w:sz="4" w:space="0"/>
              <w:left w:val="single" w:color="000000" w:sz="4" w:space="0"/>
              <w:bottom w:val="single" w:color="000000" w:sz="4" w:space="0"/>
              <w:right w:val="single" w:color="auto" w:sz="4" w:space="0"/>
            </w:tcBorders>
            <w:shd w:val="clear" w:color="auto" w:fill="auto"/>
            <w:noWrap/>
            <w:vAlign w:val="center"/>
          </w:tcPr>
          <w:p w14:paraId="6CDF4F4B">
            <w:pPr>
              <w:widowControl/>
              <w:jc w:val="center"/>
              <w:textAlignment w:val="center"/>
              <w:rPr>
                <w:rFonts w:hint="default" w:ascii="宋体" w:hAnsi="宋体" w:eastAsia="宋体" w:cs="宋体"/>
                <w:color w:val="auto"/>
                <w:sz w:val="24"/>
                <w:szCs w:val="24"/>
                <w:highlight w:val="none"/>
                <w:lang w:bidi="ar"/>
              </w:rPr>
            </w:pPr>
          </w:p>
        </w:tc>
        <w:tc>
          <w:tcPr>
            <w:tcW w:w="1411" w:type="dxa"/>
            <w:tcBorders>
              <w:top w:val="single" w:color="auto" w:sz="4" w:space="0"/>
              <w:left w:val="single" w:color="auto" w:sz="4" w:space="0"/>
              <w:bottom w:val="single" w:color="000000" w:sz="4" w:space="0"/>
              <w:right w:val="single" w:color="000000" w:sz="4" w:space="0"/>
            </w:tcBorders>
            <w:shd w:val="clear" w:color="auto" w:fill="auto"/>
            <w:noWrap/>
            <w:vAlign w:val="center"/>
          </w:tcPr>
          <w:p w14:paraId="39AA89A4">
            <w:pPr>
              <w:widowControl/>
              <w:jc w:val="center"/>
              <w:textAlignment w:val="center"/>
              <w:rPr>
                <w:rFonts w:hint="default" w:ascii="宋体" w:hAnsi="宋体" w:eastAsia="宋体" w:cs="宋体"/>
                <w:color w:val="auto"/>
                <w:sz w:val="24"/>
                <w:szCs w:val="24"/>
                <w:highlight w:val="none"/>
                <w:lang w:bidi="ar"/>
              </w:rPr>
            </w:pPr>
          </w:p>
        </w:tc>
      </w:tr>
    </w:tbl>
    <w:p w14:paraId="0229C122">
      <w:pPr>
        <w:pBdr>
          <w:top w:val="none" w:color="000000" w:sz="0" w:space="0"/>
          <w:left w:val="none" w:color="000000" w:sz="0" w:space="0"/>
          <w:bottom w:val="none" w:color="000000" w:sz="0" w:space="0"/>
          <w:right w:val="none" w:color="000000" w:sz="0" w:space="0"/>
        </w:pBdr>
        <w:spacing w:before="5" w:line="360" w:lineRule="auto"/>
        <w:rPr>
          <w:rFonts w:hint="default" w:ascii="宋体" w:hAnsi="宋体" w:eastAsia="Arial" w:cs="宋体"/>
          <w:b/>
          <w:color w:val="auto"/>
          <w:sz w:val="24"/>
          <w:szCs w:val="22"/>
          <w:highlight w:val="none"/>
        </w:rPr>
      </w:pPr>
    </w:p>
    <w:p w14:paraId="0DD5328A">
      <w:pPr>
        <w:pBdr>
          <w:top w:val="none" w:color="000000" w:sz="0" w:space="0"/>
          <w:left w:val="none" w:color="000000" w:sz="0" w:space="0"/>
          <w:bottom w:val="none" w:color="000000" w:sz="0" w:space="0"/>
          <w:right w:val="none" w:color="000000" w:sz="0" w:space="0"/>
        </w:pBdr>
        <w:spacing w:before="5" w:line="360" w:lineRule="auto"/>
        <w:rPr>
          <w:rFonts w:hint="default" w:ascii="黑体" w:hAnsi="Calibri" w:eastAsia="黑体"/>
          <w:bCs/>
          <w:color w:val="auto"/>
          <w:sz w:val="24"/>
          <w:szCs w:val="24"/>
          <w:highlight w:val="none"/>
        </w:rPr>
      </w:pPr>
    </w:p>
    <w:p w14:paraId="48F96EC2">
      <w:pPr>
        <w:pBdr>
          <w:top w:val="none" w:color="000000" w:sz="0" w:space="0"/>
          <w:left w:val="none" w:color="000000" w:sz="0" w:space="0"/>
          <w:bottom w:val="none" w:color="000000" w:sz="0" w:space="0"/>
          <w:right w:val="none" w:color="000000" w:sz="0" w:space="0"/>
        </w:pBdr>
        <w:spacing w:before="5" w:line="360" w:lineRule="auto"/>
        <w:rPr>
          <w:rFonts w:hint="default" w:ascii="Calibri" w:hAnsi="Calibri" w:eastAsia="Arial"/>
          <w:color w:val="auto"/>
          <w:szCs w:val="22"/>
          <w:highlight w:val="none"/>
        </w:rPr>
      </w:pPr>
      <w:r>
        <w:rPr>
          <w:rFonts w:hint="eastAsia" w:ascii="黑体" w:hAnsi="Calibri" w:eastAsia="黑体"/>
          <w:bCs/>
          <w:color w:val="auto"/>
          <w:sz w:val="24"/>
          <w:szCs w:val="24"/>
          <w:highlight w:val="none"/>
        </w:rPr>
        <w:t>投标人名称（盖章）：</w:t>
      </w:r>
    </w:p>
    <w:p w14:paraId="1FF68FF4">
      <w:pPr>
        <w:spacing w:line="400" w:lineRule="exact"/>
        <w:outlineLvl w:val="0"/>
        <w:rPr>
          <w:rFonts w:hint="default" w:ascii="宋体" w:hAnsi="宋体" w:eastAsia="宋体" w:cs="宋体"/>
          <w:bCs/>
          <w:color w:val="auto"/>
          <w:szCs w:val="22"/>
          <w:highlight w:val="none"/>
        </w:rPr>
      </w:pPr>
      <w:r>
        <w:rPr>
          <w:rFonts w:hint="eastAsia" w:ascii="宋体" w:hAnsi="宋体" w:eastAsia="宋体" w:cs="宋体"/>
          <w:bCs/>
          <w:color w:val="auto"/>
          <w:szCs w:val="22"/>
          <w:highlight w:val="none"/>
        </w:rPr>
        <w:t>注：（1）供应商如为“中小企业”，提供供应商《中小企业声明函》，供应商如为“监狱企业”，必须提供由省级以上监狱管理局、戒毒管理局（含新疆生产建设兵团）出具的属于监狱企业的证明文件复印件，供应商如为“残疾人福利性单位”，应当按照《财政部、民政部、中国残疾人联合会关于促进残疾人就业政府采购政策的通知》（财库〔2017〕141号）的规定填写《残疾人福利性单位声明函》；如未按要求填写或相关内容表述不清的，不得享受价格扣除。供应商对所报相关数据的真实性负责，无锡众邦技术咨询有限公司有权将相关内容进行公示；</w:t>
      </w:r>
    </w:p>
    <w:p w14:paraId="587B3376">
      <w:pPr>
        <w:spacing w:line="400" w:lineRule="exact"/>
        <w:outlineLvl w:val="0"/>
        <w:rPr>
          <w:rFonts w:hint="default" w:ascii="宋体" w:hAnsi="宋体" w:eastAsia="宋体" w:cs="宋体"/>
          <w:bCs/>
          <w:color w:val="auto"/>
          <w:szCs w:val="22"/>
          <w:highlight w:val="none"/>
        </w:rPr>
      </w:pPr>
      <w:r>
        <w:rPr>
          <w:rFonts w:hint="eastAsia" w:ascii="宋体" w:hAnsi="宋体" w:eastAsia="宋体" w:cs="宋体"/>
          <w:bCs/>
          <w:color w:val="auto"/>
          <w:szCs w:val="22"/>
          <w:highlight w:val="none"/>
        </w:rPr>
        <w:t>（2）报价供应商应当根据“项目技术要求和有关说明”的内容在上表中详细填写；</w:t>
      </w:r>
    </w:p>
    <w:p w14:paraId="78162190">
      <w:pPr>
        <w:spacing w:line="400" w:lineRule="exact"/>
        <w:outlineLvl w:val="0"/>
        <w:rPr>
          <w:rFonts w:hint="default" w:ascii="宋体" w:hAnsi="宋体" w:eastAsia="宋体" w:cs="宋体"/>
          <w:bCs/>
          <w:color w:val="auto"/>
          <w:szCs w:val="22"/>
          <w:highlight w:val="none"/>
        </w:rPr>
      </w:pPr>
      <w:r>
        <w:rPr>
          <w:rFonts w:hint="eastAsia" w:ascii="宋体" w:hAnsi="宋体" w:eastAsia="宋体" w:cs="宋体"/>
          <w:bCs/>
          <w:color w:val="auto"/>
          <w:szCs w:val="22"/>
          <w:highlight w:val="none"/>
        </w:rPr>
        <w:t>（3）表格不够可自行延长。</w:t>
      </w:r>
    </w:p>
    <w:p w14:paraId="33E7BDE2">
      <w:pPr>
        <w:spacing w:line="400" w:lineRule="exact"/>
        <w:outlineLvl w:val="0"/>
        <w:rPr>
          <w:rFonts w:hint="default" w:ascii="宋体" w:hAnsi="宋体" w:eastAsia="宋体" w:cs="宋体"/>
          <w:bCs/>
          <w:color w:val="auto"/>
          <w:szCs w:val="22"/>
          <w:highlight w:val="none"/>
        </w:rPr>
      </w:pPr>
      <w:r>
        <w:rPr>
          <w:rFonts w:hint="eastAsia" w:ascii="宋体" w:hAnsi="宋体" w:eastAsia="宋体" w:cs="宋体"/>
          <w:bCs/>
          <w:color w:val="auto"/>
          <w:szCs w:val="22"/>
          <w:highlight w:val="none"/>
        </w:rPr>
        <w:t>（4）</w:t>
      </w:r>
      <w:bookmarkStart w:id="50" w:name="OLE_LINK19"/>
      <w:bookmarkStart w:id="51" w:name="OLE_LINK20"/>
      <w:r>
        <w:rPr>
          <w:rFonts w:hint="eastAsia" w:ascii="宋体" w:hAnsi="宋体" w:eastAsia="宋体" w:cs="宋体"/>
          <w:bCs/>
          <w:color w:val="auto"/>
          <w:szCs w:val="22"/>
          <w:highlight w:val="none"/>
        </w:rPr>
        <w:t>供应商</w:t>
      </w:r>
      <w:bookmarkEnd w:id="50"/>
      <w:bookmarkEnd w:id="51"/>
      <w:r>
        <w:rPr>
          <w:rFonts w:hint="eastAsia" w:ascii="宋体" w:hAnsi="宋体" w:eastAsia="宋体" w:cs="宋体"/>
          <w:bCs/>
          <w:color w:val="auto"/>
          <w:szCs w:val="22"/>
          <w:highlight w:val="none"/>
        </w:rPr>
        <w:t>对上述每个法院的所报单价必须一致。</w:t>
      </w:r>
    </w:p>
    <w:p w14:paraId="79C3B973">
      <w:pPr>
        <w:spacing w:line="400" w:lineRule="exact"/>
        <w:outlineLvl w:val="0"/>
        <w:rPr>
          <w:rFonts w:hint="default" w:ascii="宋体" w:hAnsi="宋体" w:eastAsia="宋体" w:cs="宋体"/>
          <w:bCs/>
          <w:color w:val="auto"/>
          <w:szCs w:val="22"/>
          <w:highlight w:val="none"/>
        </w:rPr>
      </w:pPr>
      <w:r>
        <w:rPr>
          <w:rFonts w:hint="eastAsia" w:ascii="宋体" w:hAnsi="宋体" w:eastAsia="宋体" w:cs="宋体"/>
          <w:bCs/>
          <w:color w:val="auto"/>
          <w:szCs w:val="22"/>
          <w:highlight w:val="none"/>
        </w:rPr>
        <w:t>（5）供应商已知晓预算金额中包含采购代理费，我单位已将采购代理费充分考虑进入本次报价。</w:t>
      </w:r>
    </w:p>
    <w:p w14:paraId="0D9DD322">
      <w:pPr>
        <w:widowControl w:val="0"/>
        <w:jc w:val="both"/>
        <w:rPr>
          <w:rFonts w:ascii="华文中宋" w:hAnsi="Times New Roman" w:eastAsia="华文中宋" w:cs="Times New Roman"/>
          <w:bCs/>
          <w:color w:val="auto"/>
          <w:sz w:val="28"/>
          <w:szCs w:val="20"/>
          <w:highlight w:val="none"/>
          <w:lang w:val="en-US" w:eastAsia="zh-CN" w:bidi="ar-SA"/>
        </w:rPr>
      </w:pPr>
    </w:p>
    <w:p w14:paraId="6C8074B9">
      <w:pPr>
        <w:rPr>
          <w:rFonts w:hint="eastAsia" w:ascii="Calibri" w:hAnsi="Calibri" w:eastAsia="Arial"/>
          <w:b/>
          <w:color w:val="auto"/>
          <w:sz w:val="28"/>
          <w:szCs w:val="28"/>
          <w:highlight w:val="none"/>
        </w:rPr>
      </w:pPr>
      <w:r>
        <w:rPr>
          <w:rFonts w:hint="eastAsia" w:ascii="Calibri" w:hAnsi="Calibri" w:eastAsia="Arial"/>
          <w:b/>
          <w:color w:val="auto"/>
          <w:sz w:val="28"/>
          <w:szCs w:val="28"/>
          <w:highlight w:val="none"/>
        </w:rPr>
        <w:br w:type="page"/>
      </w:r>
    </w:p>
    <w:p w14:paraId="206D9F52">
      <w:pPr>
        <w:spacing w:line="360" w:lineRule="auto"/>
        <w:rPr>
          <w:rFonts w:hint="default" w:ascii="Calibri" w:hAnsi="Calibri" w:eastAsia="Arial"/>
          <w:b/>
          <w:color w:val="auto"/>
          <w:sz w:val="28"/>
          <w:szCs w:val="28"/>
          <w:highlight w:val="none"/>
        </w:rPr>
      </w:pPr>
      <w:r>
        <w:rPr>
          <w:rFonts w:hint="eastAsia" w:ascii="Calibri" w:hAnsi="Calibri" w:eastAsia="Arial"/>
          <w:b/>
          <w:color w:val="auto"/>
          <w:sz w:val="28"/>
          <w:szCs w:val="28"/>
          <w:highlight w:val="none"/>
        </w:rPr>
        <w:t>十</w:t>
      </w:r>
      <w:r>
        <w:rPr>
          <w:rFonts w:hint="default" w:ascii="Calibri" w:hAnsi="Calibri" w:eastAsia="Arial"/>
          <w:b/>
          <w:color w:val="auto"/>
          <w:sz w:val="28"/>
          <w:szCs w:val="28"/>
          <w:highlight w:val="none"/>
        </w:rPr>
        <w:t>、</w:t>
      </w:r>
      <w:r>
        <w:rPr>
          <w:rFonts w:hint="eastAsia" w:ascii="Calibri" w:hAnsi="Calibri" w:eastAsia="Arial"/>
          <w:b/>
          <w:color w:val="auto"/>
          <w:sz w:val="28"/>
          <w:szCs w:val="28"/>
          <w:highlight w:val="none"/>
        </w:rPr>
        <w:t>投标偏离表（给定格式）：</w:t>
      </w:r>
    </w:p>
    <w:p w14:paraId="5DF93D7E">
      <w:pPr>
        <w:spacing w:line="360" w:lineRule="auto"/>
        <w:ind w:firstLine="490"/>
        <w:jc w:val="center"/>
        <w:outlineLvl w:val="0"/>
        <w:rPr>
          <w:rFonts w:hint="default" w:ascii="黑体" w:hAnsi="Calibri" w:eastAsia="黑体"/>
          <w:bCs/>
          <w:color w:val="auto"/>
          <w:sz w:val="28"/>
          <w:szCs w:val="28"/>
          <w:highlight w:val="none"/>
        </w:rPr>
      </w:pPr>
    </w:p>
    <w:p w14:paraId="4E893CBF">
      <w:pPr>
        <w:spacing w:line="360" w:lineRule="auto"/>
        <w:ind w:firstLine="490"/>
        <w:jc w:val="center"/>
        <w:outlineLvl w:val="0"/>
        <w:rPr>
          <w:rFonts w:hint="default" w:ascii="黑体" w:hAnsi="Calibri" w:eastAsia="黑体"/>
          <w:bCs/>
          <w:color w:val="auto"/>
          <w:sz w:val="28"/>
          <w:szCs w:val="28"/>
          <w:highlight w:val="none"/>
        </w:rPr>
      </w:pPr>
      <w:r>
        <w:rPr>
          <w:rFonts w:hint="eastAsia" w:ascii="黑体" w:hAnsi="Calibri" w:eastAsia="黑体"/>
          <w:bCs/>
          <w:color w:val="auto"/>
          <w:sz w:val="28"/>
          <w:szCs w:val="28"/>
          <w:highlight w:val="none"/>
        </w:rPr>
        <w:t>投标偏离表</w:t>
      </w:r>
    </w:p>
    <w:p w14:paraId="5AB69D03">
      <w:pPr>
        <w:spacing w:line="360" w:lineRule="auto"/>
        <w:jc w:val="center"/>
        <w:outlineLvl w:val="0"/>
        <w:rPr>
          <w:rFonts w:hint="default" w:ascii="黑体" w:hAnsi="Calibri" w:eastAsia="黑体"/>
          <w:bCs/>
          <w:color w:val="auto"/>
          <w:sz w:val="28"/>
          <w:szCs w:val="28"/>
          <w:highlight w:val="none"/>
        </w:rPr>
      </w:pPr>
    </w:p>
    <w:p w14:paraId="7570DA17">
      <w:pPr>
        <w:spacing w:line="360" w:lineRule="auto"/>
        <w:jc w:val="center"/>
        <w:outlineLvl w:val="0"/>
        <w:rPr>
          <w:rFonts w:hint="default" w:ascii="黑体" w:hAnsi="Calibri" w:eastAsia="黑体"/>
          <w:bCs/>
          <w:color w:val="auto"/>
          <w:sz w:val="28"/>
          <w:szCs w:val="28"/>
          <w:highlight w:val="none"/>
        </w:rPr>
      </w:pPr>
    </w:p>
    <w:p w14:paraId="50AB89AA">
      <w:pPr>
        <w:spacing w:line="360" w:lineRule="auto"/>
        <w:rPr>
          <w:rFonts w:hint="default" w:ascii="黑体" w:hAnsi="Calibri" w:eastAsia="黑体"/>
          <w:bCs/>
          <w:color w:val="auto"/>
          <w:sz w:val="24"/>
          <w:szCs w:val="24"/>
          <w:highlight w:val="none"/>
        </w:rPr>
      </w:pPr>
      <w:r>
        <w:rPr>
          <w:rFonts w:hint="eastAsia" w:ascii="黑体" w:hAnsi="Calibri" w:eastAsia="黑体"/>
          <w:bCs/>
          <w:color w:val="auto"/>
          <w:sz w:val="24"/>
          <w:szCs w:val="24"/>
          <w:highlight w:val="none"/>
        </w:rPr>
        <w:t>项目编号：</w:t>
      </w:r>
    </w:p>
    <w:tbl>
      <w:tblPr>
        <w:tblStyle w:val="38"/>
        <w:tblW w:w="9885" w:type="dxa"/>
        <w:jc w:val="center"/>
        <w:tblLayout w:type="fixed"/>
        <w:tblCellMar>
          <w:top w:w="15" w:type="dxa"/>
          <w:left w:w="15" w:type="dxa"/>
          <w:bottom w:w="0" w:type="dxa"/>
          <w:right w:w="15" w:type="dxa"/>
        </w:tblCellMar>
      </w:tblPr>
      <w:tblGrid>
        <w:gridCol w:w="1905"/>
        <w:gridCol w:w="2835"/>
        <w:gridCol w:w="2835"/>
        <w:gridCol w:w="2310"/>
      </w:tblGrid>
      <w:tr w14:paraId="41AD154B">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E0CA702">
            <w:pPr>
              <w:spacing w:line="360" w:lineRule="auto"/>
              <w:jc w:val="center"/>
              <w:rPr>
                <w:rFonts w:hint="default" w:ascii="宋体" w:hAnsi="Calibri" w:eastAsia="Arial"/>
                <w:b/>
                <w:bCs/>
                <w:color w:val="auto"/>
                <w:sz w:val="24"/>
                <w:szCs w:val="24"/>
                <w:highlight w:val="none"/>
              </w:rPr>
            </w:pPr>
            <w:r>
              <w:rPr>
                <w:rFonts w:hint="eastAsia" w:ascii="宋体" w:hAnsi="宋体" w:eastAsia="Arial"/>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7BABAD55">
            <w:pPr>
              <w:spacing w:line="360" w:lineRule="auto"/>
              <w:jc w:val="center"/>
              <w:rPr>
                <w:rFonts w:hint="default" w:ascii="宋体" w:hAnsi="Calibri" w:eastAsia="Arial"/>
                <w:b/>
                <w:bCs/>
                <w:color w:val="auto"/>
                <w:sz w:val="24"/>
                <w:szCs w:val="24"/>
                <w:highlight w:val="none"/>
              </w:rPr>
            </w:pPr>
            <w:r>
              <w:rPr>
                <w:rFonts w:hint="eastAsia" w:ascii="宋体" w:hAnsi="宋体" w:eastAsia="Arial"/>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6C0A6B62">
            <w:pPr>
              <w:spacing w:line="360" w:lineRule="auto"/>
              <w:jc w:val="center"/>
              <w:rPr>
                <w:rFonts w:hint="default" w:ascii="宋体" w:hAnsi="Calibri" w:eastAsia="Arial"/>
                <w:b/>
                <w:bCs/>
                <w:color w:val="auto"/>
                <w:sz w:val="24"/>
                <w:szCs w:val="24"/>
                <w:highlight w:val="none"/>
              </w:rPr>
            </w:pPr>
            <w:r>
              <w:rPr>
                <w:rFonts w:hint="eastAsia" w:ascii="宋体" w:hAnsi="宋体" w:eastAsia="Arial"/>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31D68575">
            <w:pPr>
              <w:spacing w:line="360" w:lineRule="auto"/>
              <w:jc w:val="center"/>
              <w:rPr>
                <w:rFonts w:hint="default" w:ascii="宋体" w:hAnsi="Calibri" w:eastAsia="Arial"/>
                <w:b/>
                <w:bCs/>
                <w:color w:val="auto"/>
                <w:sz w:val="24"/>
                <w:szCs w:val="24"/>
                <w:highlight w:val="none"/>
              </w:rPr>
            </w:pPr>
            <w:r>
              <w:rPr>
                <w:rFonts w:hint="eastAsia" w:ascii="宋体" w:hAnsi="宋体" w:eastAsia="Arial"/>
                <w:b/>
                <w:bCs/>
                <w:color w:val="auto"/>
                <w:sz w:val="24"/>
                <w:szCs w:val="24"/>
                <w:highlight w:val="none"/>
              </w:rPr>
              <w:t>偏离说明</w:t>
            </w:r>
          </w:p>
        </w:tc>
      </w:tr>
      <w:tr w14:paraId="5E1AEB1C">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7D5D8C9">
            <w:pPr>
              <w:spacing w:line="360" w:lineRule="auto"/>
              <w:jc w:val="center"/>
              <w:rPr>
                <w:rFonts w:hint="default" w:ascii="宋体" w:hAnsi="Calibri" w:eastAsia="Arial"/>
                <w:bCs/>
                <w:color w:val="auto"/>
                <w:szCs w:val="22"/>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08B6B1A6">
            <w:pPr>
              <w:spacing w:line="360" w:lineRule="auto"/>
              <w:rPr>
                <w:rFonts w:hint="default" w:ascii="宋体" w:hAnsi="Calibri" w:eastAsia="Arial"/>
                <w:bCs/>
                <w:color w:val="auto"/>
                <w:szCs w:val="22"/>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6C6F4F42">
            <w:pPr>
              <w:spacing w:line="360" w:lineRule="auto"/>
              <w:jc w:val="center"/>
              <w:rPr>
                <w:rFonts w:hint="default" w:ascii="宋体" w:hAnsi="Calibri" w:eastAsia="Arial"/>
                <w:bCs/>
                <w:color w:val="auto"/>
                <w:szCs w:val="22"/>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7A040A4D">
            <w:pPr>
              <w:spacing w:line="360" w:lineRule="auto"/>
              <w:jc w:val="center"/>
              <w:rPr>
                <w:rFonts w:hint="default" w:ascii="宋体" w:hAnsi="Calibri" w:eastAsia="Arial"/>
                <w:bCs/>
                <w:color w:val="auto"/>
                <w:szCs w:val="22"/>
                <w:highlight w:val="none"/>
              </w:rPr>
            </w:pPr>
          </w:p>
        </w:tc>
      </w:tr>
    </w:tbl>
    <w:p w14:paraId="686F9C48">
      <w:pPr>
        <w:spacing w:line="360" w:lineRule="auto"/>
        <w:rPr>
          <w:rFonts w:hint="default" w:ascii="黑体" w:hAnsi="Calibri" w:eastAsia="黑体"/>
          <w:bCs/>
          <w:color w:val="auto"/>
          <w:sz w:val="24"/>
          <w:szCs w:val="24"/>
          <w:highlight w:val="none"/>
        </w:rPr>
      </w:pPr>
    </w:p>
    <w:p w14:paraId="197F970B">
      <w:pPr>
        <w:spacing w:line="360" w:lineRule="auto"/>
        <w:rPr>
          <w:rFonts w:hint="default" w:ascii="宋体" w:hAnsi="Calibri" w:eastAsia="黑体"/>
          <w:b/>
          <w:color w:val="auto"/>
          <w:sz w:val="24"/>
          <w:szCs w:val="24"/>
          <w:highlight w:val="none"/>
        </w:rPr>
      </w:pPr>
      <w:r>
        <w:rPr>
          <w:rFonts w:hint="eastAsia" w:ascii="黑体" w:hAnsi="Calibri" w:eastAsia="黑体"/>
          <w:bCs/>
          <w:color w:val="auto"/>
          <w:sz w:val="24"/>
          <w:szCs w:val="24"/>
          <w:highlight w:val="none"/>
        </w:rPr>
        <w:t>投标人名称（盖章）：</w:t>
      </w:r>
    </w:p>
    <w:p w14:paraId="05EC67EF">
      <w:pPr>
        <w:spacing w:line="360" w:lineRule="auto"/>
        <w:ind w:firstLine="420"/>
        <w:outlineLvl w:val="0"/>
        <w:rPr>
          <w:rFonts w:hint="default" w:ascii="宋体" w:hAnsi="宋体" w:eastAsia="Arial"/>
          <w:bCs/>
          <w:color w:val="auto"/>
          <w:sz w:val="24"/>
          <w:szCs w:val="24"/>
          <w:highlight w:val="none"/>
        </w:rPr>
      </w:pPr>
    </w:p>
    <w:p w14:paraId="1846E31E">
      <w:pPr>
        <w:spacing w:line="360" w:lineRule="auto"/>
        <w:ind w:firstLine="420"/>
        <w:outlineLvl w:val="0"/>
        <w:rPr>
          <w:rFonts w:hint="default" w:ascii="宋体" w:hAnsi="宋体" w:eastAsia="Arial"/>
          <w:bCs/>
          <w:color w:val="auto"/>
          <w:sz w:val="24"/>
          <w:szCs w:val="24"/>
          <w:highlight w:val="none"/>
        </w:rPr>
      </w:pPr>
    </w:p>
    <w:p w14:paraId="7630A295">
      <w:pPr>
        <w:spacing w:line="360" w:lineRule="auto"/>
        <w:ind w:firstLine="420"/>
        <w:outlineLvl w:val="0"/>
        <w:rPr>
          <w:rFonts w:hint="default" w:ascii="宋体" w:hAnsi="宋体" w:eastAsia="Arial"/>
          <w:bCs/>
          <w:color w:val="auto"/>
          <w:sz w:val="24"/>
          <w:szCs w:val="24"/>
          <w:highlight w:val="none"/>
        </w:rPr>
      </w:pPr>
    </w:p>
    <w:p w14:paraId="3D4FCD23">
      <w:pPr>
        <w:spacing w:line="360" w:lineRule="auto"/>
        <w:ind w:firstLine="420"/>
        <w:outlineLvl w:val="0"/>
        <w:rPr>
          <w:rFonts w:hint="default" w:ascii="宋体" w:hAnsi="宋体" w:eastAsia="Arial"/>
          <w:bCs/>
          <w:color w:val="auto"/>
          <w:sz w:val="24"/>
          <w:szCs w:val="24"/>
          <w:highlight w:val="none"/>
        </w:rPr>
      </w:pPr>
    </w:p>
    <w:p w14:paraId="6D6930AD">
      <w:pPr>
        <w:spacing w:line="400" w:lineRule="exact"/>
        <w:outlineLvl w:val="0"/>
        <w:rPr>
          <w:rFonts w:hint="default" w:ascii="宋体" w:hAnsi="宋体" w:eastAsia="Arial"/>
          <w:bCs/>
          <w:color w:val="auto"/>
          <w:sz w:val="24"/>
          <w:szCs w:val="24"/>
          <w:highlight w:val="none"/>
        </w:rPr>
      </w:pPr>
      <w:r>
        <w:rPr>
          <w:rFonts w:hint="eastAsia" w:ascii="宋体" w:hAnsi="宋体" w:eastAsia="Arial"/>
          <w:bCs/>
          <w:color w:val="auto"/>
          <w:sz w:val="24"/>
          <w:szCs w:val="24"/>
          <w:highlight w:val="none"/>
        </w:rPr>
        <w:t>注：（1）本表不得删除；</w:t>
      </w:r>
    </w:p>
    <w:p w14:paraId="5624087C">
      <w:pPr>
        <w:spacing w:line="400" w:lineRule="exact"/>
        <w:ind w:firstLine="480"/>
        <w:outlineLvl w:val="0"/>
        <w:rPr>
          <w:rFonts w:hint="default" w:ascii="宋体" w:hAnsi="宋体" w:eastAsia="Arial"/>
          <w:bCs/>
          <w:color w:val="auto"/>
          <w:sz w:val="24"/>
          <w:szCs w:val="24"/>
          <w:highlight w:val="none"/>
        </w:rPr>
      </w:pPr>
      <w:r>
        <w:rPr>
          <w:rFonts w:hint="eastAsia" w:ascii="宋体" w:hAnsi="宋体" w:eastAsia="Arial"/>
          <w:bCs/>
          <w:color w:val="auto"/>
          <w:sz w:val="24"/>
          <w:szCs w:val="24"/>
          <w:highlight w:val="none"/>
        </w:rPr>
        <w:t>（2）如无任何偏离，请于本表 “偏离说明”中注明“无偏离”；</w:t>
      </w:r>
    </w:p>
    <w:p w14:paraId="04988B79">
      <w:pPr>
        <w:spacing w:line="400" w:lineRule="exact"/>
        <w:outlineLvl w:val="0"/>
        <w:rPr>
          <w:rFonts w:hint="default" w:ascii="宋体" w:hAnsi="宋体" w:eastAsia="Arial"/>
          <w:bCs/>
          <w:color w:val="auto"/>
          <w:sz w:val="24"/>
          <w:szCs w:val="24"/>
          <w:highlight w:val="none"/>
        </w:rPr>
      </w:pPr>
      <w:r>
        <w:rPr>
          <w:rFonts w:hint="eastAsia" w:ascii="宋体" w:hAnsi="宋体" w:eastAsia="Arial"/>
          <w:bCs/>
          <w:color w:val="auto"/>
          <w:sz w:val="24"/>
          <w:szCs w:val="24"/>
          <w:highlight w:val="none"/>
        </w:rPr>
        <w:t xml:space="preserve">    （3）如有</w:t>
      </w:r>
      <w:r>
        <w:rPr>
          <w:rFonts w:hint="eastAsia" w:ascii="宋体" w:hAnsi="宋体" w:eastAsia="宋体"/>
          <w:bCs/>
          <w:color w:val="auto"/>
          <w:sz w:val="24"/>
          <w:szCs w:val="24"/>
          <w:highlight w:val="none"/>
        </w:rPr>
        <w:t>任何</w:t>
      </w:r>
      <w:r>
        <w:rPr>
          <w:rFonts w:hint="eastAsia" w:ascii="宋体" w:hAnsi="宋体" w:eastAsia="Arial"/>
          <w:bCs/>
          <w:color w:val="auto"/>
          <w:sz w:val="24"/>
          <w:szCs w:val="24"/>
          <w:highlight w:val="none"/>
        </w:rPr>
        <w:t>偏离项，请于本表中列明偏离内容，如需要可自行延长，其余无偏离内容</w:t>
      </w:r>
      <w:r>
        <w:rPr>
          <w:rFonts w:hint="eastAsia" w:ascii="宋体" w:hAnsi="宋体" w:eastAsia="宋体"/>
          <w:bCs/>
          <w:color w:val="auto"/>
          <w:sz w:val="24"/>
          <w:szCs w:val="24"/>
          <w:highlight w:val="none"/>
        </w:rPr>
        <w:t>无需</w:t>
      </w:r>
      <w:r>
        <w:rPr>
          <w:rFonts w:hint="eastAsia" w:ascii="宋体" w:hAnsi="宋体" w:eastAsia="Arial"/>
          <w:bCs/>
          <w:color w:val="auto"/>
          <w:sz w:val="24"/>
          <w:szCs w:val="24"/>
          <w:highlight w:val="none"/>
        </w:rPr>
        <w:t>赘述。</w:t>
      </w:r>
      <w:bookmarkEnd w:id="47"/>
      <w:bookmarkStart w:id="52" w:name="_Hlt26955066"/>
      <w:bookmarkEnd w:id="52"/>
      <w:bookmarkStart w:id="53" w:name="_Hlt26671374"/>
      <w:bookmarkEnd w:id="53"/>
      <w:bookmarkStart w:id="54" w:name="_Hlt26609389"/>
      <w:bookmarkEnd w:id="54"/>
      <w:bookmarkStart w:id="55" w:name="_格式2__法定代表人授权书"/>
      <w:bookmarkEnd w:id="55"/>
    </w:p>
    <w:p w14:paraId="498263D7">
      <w:pPr>
        <w:spacing w:line="360" w:lineRule="auto"/>
        <w:ind w:firstLine="420"/>
        <w:outlineLvl w:val="0"/>
        <w:rPr>
          <w:rFonts w:hint="default" w:ascii="宋体" w:hAnsi="宋体" w:eastAsia="Arial"/>
          <w:bCs/>
          <w:color w:val="auto"/>
          <w:sz w:val="24"/>
          <w:szCs w:val="24"/>
          <w:highlight w:val="none"/>
        </w:rPr>
      </w:pPr>
    </w:p>
    <w:p w14:paraId="1D3773F0">
      <w:pPr>
        <w:spacing w:line="360" w:lineRule="auto"/>
        <w:ind w:firstLine="420"/>
        <w:outlineLvl w:val="0"/>
        <w:rPr>
          <w:rFonts w:hint="default" w:ascii="宋体" w:hAnsi="宋体" w:eastAsia="Arial"/>
          <w:bCs/>
          <w:color w:val="auto"/>
          <w:sz w:val="24"/>
          <w:szCs w:val="24"/>
          <w:highlight w:val="none"/>
        </w:rPr>
      </w:pPr>
    </w:p>
    <w:p w14:paraId="679D34BF">
      <w:pPr>
        <w:spacing w:line="360" w:lineRule="auto"/>
        <w:rPr>
          <w:rFonts w:hint="default" w:ascii="Calibri" w:hAnsi="Calibri" w:eastAsia="Arial"/>
          <w:color w:val="auto"/>
          <w:szCs w:val="22"/>
          <w:highlight w:val="none"/>
        </w:rPr>
      </w:pPr>
    </w:p>
    <w:p w14:paraId="6CADAF61">
      <w:pPr>
        <w:spacing w:line="360" w:lineRule="auto"/>
        <w:outlineLvl w:val="0"/>
        <w:rPr>
          <w:rFonts w:hint="default" w:ascii="Calibri" w:hAnsi="Calibri" w:eastAsia="Arial"/>
          <w:b/>
          <w:color w:val="auto"/>
          <w:sz w:val="28"/>
          <w:szCs w:val="28"/>
          <w:highlight w:val="none"/>
        </w:rPr>
      </w:pPr>
      <w:r>
        <w:rPr>
          <w:rFonts w:hint="default" w:ascii="宋体" w:hAnsi="宋体" w:eastAsia="Arial"/>
          <w:bCs/>
          <w:color w:val="auto"/>
          <w:sz w:val="24"/>
          <w:szCs w:val="24"/>
          <w:highlight w:val="none"/>
        </w:rPr>
        <w:br w:type="page" w:clear="all"/>
      </w:r>
      <w:r>
        <w:rPr>
          <w:rFonts w:hint="eastAsia" w:ascii="Calibri" w:hAnsi="Calibri" w:eastAsia="Arial"/>
          <w:b/>
          <w:color w:val="auto"/>
          <w:sz w:val="28"/>
          <w:szCs w:val="28"/>
          <w:highlight w:val="none"/>
        </w:rPr>
        <w:t>十</w:t>
      </w:r>
      <w:r>
        <w:rPr>
          <w:rFonts w:hint="eastAsia" w:ascii="Calibri" w:hAnsi="Calibri"/>
          <w:b/>
          <w:color w:val="auto"/>
          <w:sz w:val="28"/>
          <w:szCs w:val="28"/>
          <w:highlight w:val="none"/>
          <w:lang w:val="en-US" w:eastAsia="zh-CN"/>
        </w:rPr>
        <w:t>一</w:t>
      </w:r>
      <w:r>
        <w:rPr>
          <w:rFonts w:hint="eastAsia" w:ascii="Calibri" w:hAnsi="Calibri" w:eastAsia="Arial"/>
          <w:b/>
          <w:color w:val="auto"/>
          <w:sz w:val="28"/>
          <w:szCs w:val="28"/>
          <w:highlight w:val="none"/>
        </w:rPr>
        <w:t>、项目人员配置表（格式）</w:t>
      </w:r>
    </w:p>
    <w:p w14:paraId="0B424B6D">
      <w:pPr>
        <w:spacing w:line="360" w:lineRule="auto"/>
        <w:ind w:firstLine="420"/>
        <w:outlineLvl w:val="0"/>
        <w:rPr>
          <w:rFonts w:hint="default" w:ascii="黑体" w:hAnsi="宋体" w:eastAsia="黑体"/>
          <w:bCs/>
          <w:color w:val="auto"/>
          <w:sz w:val="24"/>
          <w:szCs w:val="24"/>
          <w:highlight w:val="none"/>
        </w:rPr>
      </w:pPr>
    </w:p>
    <w:p w14:paraId="6FCC92B2">
      <w:pPr>
        <w:spacing w:line="360" w:lineRule="auto"/>
        <w:ind w:firstLine="490"/>
        <w:jc w:val="center"/>
        <w:outlineLvl w:val="0"/>
        <w:rPr>
          <w:rFonts w:hint="default" w:ascii="黑体" w:hAnsi="宋体" w:eastAsia="黑体"/>
          <w:bCs/>
          <w:color w:val="auto"/>
          <w:sz w:val="24"/>
          <w:szCs w:val="24"/>
          <w:highlight w:val="none"/>
        </w:rPr>
      </w:pPr>
      <w:r>
        <w:rPr>
          <w:rFonts w:hint="eastAsia" w:ascii="黑体" w:hAnsi="Calibri" w:eastAsia="黑体"/>
          <w:bCs/>
          <w:color w:val="auto"/>
          <w:sz w:val="28"/>
          <w:szCs w:val="28"/>
          <w:highlight w:val="none"/>
        </w:rPr>
        <w:t>项目人员配置表</w:t>
      </w:r>
    </w:p>
    <w:p w14:paraId="53B7A64E">
      <w:pPr>
        <w:spacing w:line="360" w:lineRule="auto"/>
        <w:jc w:val="center"/>
        <w:rPr>
          <w:rFonts w:hint="default" w:ascii="黑体" w:hAnsi="Calibri" w:eastAsia="黑体"/>
          <w:bCs/>
          <w:color w:val="auto"/>
          <w:sz w:val="28"/>
          <w:szCs w:val="28"/>
          <w:highlight w:val="none"/>
        </w:rPr>
      </w:pPr>
    </w:p>
    <w:p w14:paraId="7BB6838E">
      <w:pPr>
        <w:spacing w:line="360" w:lineRule="auto"/>
        <w:ind w:firstLine="480"/>
        <w:rPr>
          <w:rFonts w:hint="default" w:ascii="黑体" w:hAnsi="Calibri" w:eastAsia="黑体"/>
          <w:bCs/>
          <w:color w:val="auto"/>
          <w:sz w:val="24"/>
          <w:szCs w:val="24"/>
          <w:highlight w:val="none"/>
        </w:rPr>
      </w:pPr>
      <w:r>
        <w:rPr>
          <w:rFonts w:hint="eastAsia" w:ascii="黑体" w:hAnsi="Calibri" w:eastAsia="黑体"/>
          <w:bCs/>
          <w:color w:val="auto"/>
          <w:sz w:val="24"/>
          <w:szCs w:val="24"/>
          <w:highlight w:val="none"/>
        </w:rPr>
        <w:t>项目编号：</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97"/>
        <w:gridCol w:w="1449"/>
        <w:gridCol w:w="713"/>
        <w:gridCol w:w="2465"/>
        <w:gridCol w:w="3198"/>
      </w:tblGrid>
      <w:tr w14:paraId="23891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04" w:type="dxa"/>
            <w:vAlign w:val="center"/>
          </w:tcPr>
          <w:p w14:paraId="68C21E03">
            <w:pPr>
              <w:jc w:val="center"/>
              <w:rPr>
                <w:rFonts w:hint="default" w:ascii="Calibri" w:hAnsi="Calibri" w:eastAsia="Arial"/>
                <w:b/>
                <w:color w:val="auto"/>
                <w:sz w:val="24"/>
                <w:szCs w:val="22"/>
                <w:highlight w:val="none"/>
              </w:rPr>
            </w:pPr>
            <w:r>
              <w:rPr>
                <w:rFonts w:hint="eastAsia" w:ascii="Calibri" w:hAnsi="Calibri" w:eastAsia="Arial"/>
                <w:b/>
                <w:color w:val="auto"/>
                <w:sz w:val="24"/>
                <w:szCs w:val="22"/>
                <w:highlight w:val="none"/>
              </w:rPr>
              <w:t>序号</w:t>
            </w:r>
          </w:p>
        </w:tc>
        <w:tc>
          <w:tcPr>
            <w:tcW w:w="1476" w:type="dxa"/>
            <w:vAlign w:val="center"/>
          </w:tcPr>
          <w:p w14:paraId="75F4FE63">
            <w:pPr>
              <w:jc w:val="center"/>
              <w:rPr>
                <w:rFonts w:hint="default" w:ascii="Calibri" w:hAnsi="Calibri" w:eastAsia="Arial"/>
                <w:b/>
                <w:color w:val="auto"/>
                <w:sz w:val="24"/>
                <w:szCs w:val="22"/>
                <w:highlight w:val="none"/>
              </w:rPr>
            </w:pPr>
            <w:r>
              <w:rPr>
                <w:rFonts w:hint="eastAsia" w:ascii="Calibri" w:hAnsi="Calibri" w:eastAsia="Arial"/>
                <w:b/>
                <w:color w:val="auto"/>
                <w:sz w:val="24"/>
                <w:szCs w:val="22"/>
                <w:highlight w:val="none"/>
              </w:rPr>
              <w:t>姓名</w:t>
            </w:r>
          </w:p>
        </w:tc>
        <w:tc>
          <w:tcPr>
            <w:tcW w:w="720" w:type="dxa"/>
            <w:vAlign w:val="center"/>
          </w:tcPr>
          <w:p w14:paraId="597B54FF">
            <w:pPr>
              <w:jc w:val="center"/>
              <w:rPr>
                <w:rFonts w:hint="default" w:ascii="Calibri" w:hAnsi="Calibri" w:eastAsia="Arial"/>
                <w:b/>
                <w:color w:val="auto"/>
                <w:sz w:val="24"/>
                <w:szCs w:val="22"/>
                <w:highlight w:val="none"/>
              </w:rPr>
            </w:pPr>
            <w:r>
              <w:rPr>
                <w:rFonts w:hint="eastAsia" w:ascii="Calibri" w:hAnsi="Calibri" w:eastAsia="Arial"/>
                <w:b/>
                <w:color w:val="auto"/>
                <w:sz w:val="24"/>
                <w:szCs w:val="22"/>
                <w:highlight w:val="none"/>
              </w:rPr>
              <w:t>年龄</w:t>
            </w:r>
          </w:p>
        </w:tc>
        <w:tc>
          <w:tcPr>
            <w:tcW w:w="2520" w:type="dxa"/>
            <w:vAlign w:val="center"/>
          </w:tcPr>
          <w:p w14:paraId="4F5EF3AD">
            <w:pPr>
              <w:jc w:val="center"/>
              <w:rPr>
                <w:rFonts w:hint="default" w:ascii="Calibri" w:hAnsi="Calibri" w:eastAsia="Arial"/>
                <w:b/>
                <w:color w:val="auto"/>
                <w:sz w:val="24"/>
                <w:szCs w:val="22"/>
                <w:highlight w:val="none"/>
              </w:rPr>
            </w:pPr>
            <w:r>
              <w:rPr>
                <w:rFonts w:hint="eastAsia" w:ascii="Calibri" w:hAnsi="Calibri" w:eastAsia="Arial"/>
                <w:b/>
                <w:color w:val="auto"/>
                <w:sz w:val="24"/>
                <w:szCs w:val="22"/>
                <w:highlight w:val="none"/>
              </w:rPr>
              <w:t>本项目职责</w:t>
            </w:r>
          </w:p>
        </w:tc>
        <w:tc>
          <w:tcPr>
            <w:tcW w:w="3274" w:type="dxa"/>
            <w:vAlign w:val="center"/>
          </w:tcPr>
          <w:p w14:paraId="7E51C9DE">
            <w:pPr>
              <w:jc w:val="center"/>
              <w:rPr>
                <w:rFonts w:hint="default" w:ascii="Calibri" w:hAnsi="Calibri" w:eastAsia="Arial"/>
                <w:b/>
                <w:color w:val="auto"/>
                <w:sz w:val="24"/>
                <w:szCs w:val="22"/>
                <w:highlight w:val="none"/>
              </w:rPr>
            </w:pPr>
            <w:r>
              <w:rPr>
                <w:rFonts w:hint="eastAsia" w:ascii="Calibri" w:hAnsi="Calibri" w:eastAsia="Arial"/>
                <w:b/>
                <w:color w:val="auto"/>
                <w:sz w:val="24"/>
                <w:szCs w:val="22"/>
                <w:highlight w:val="none"/>
              </w:rPr>
              <w:t>人员证书名称</w:t>
            </w:r>
          </w:p>
        </w:tc>
      </w:tr>
      <w:tr w14:paraId="03D510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tcPr>
          <w:p w14:paraId="35871B98">
            <w:pPr>
              <w:outlineLvl w:val="0"/>
              <w:rPr>
                <w:rFonts w:hint="default" w:ascii="黑体" w:hAnsi="Calibri" w:eastAsia="黑体"/>
                <w:bCs/>
                <w:color w:val="auto"/>
                <w:sz w:val="24"/>
                <w:szCs w:val="24"/>
                <w:highlight w:val="none"/>
              </w:rPr>
            </w:pPr>
          </w:p>
        </w:tc>
        <w:tc>
          <w:tcPr>
            <w:tcW w:w="1476" w:type="dxa"/>
          </w:tcPr>
          <w:p w14:paraId="1FE77DB1">
            <w:pPr>
              <w:outlineLvl w:val="0"/>
              <w:rPr>
                <w:rFonts w:hint="default" w:ascii="黑体" w:hAnsi="Calibri" w:eastAsia="黑体"/>
                <w:bCs/>
                <w:color w:val="auto"/>
                <w:sz w:val="24"/>
                <w:szCs w:val="24"/>
                <w:highlight w:val="none"/>
              </w:rPr>
            </w:pPr>
          </w:p>
        </w:tc>
        <w:tc>
          <w:tcPr>
            <w:tcW w:w="720" w:type="dxa"/>
          </w:tcPr>
          <w:p w14:paraId="51A60A1D">
            <w:pPr>
              <w:outlineLvl w:val="0"/>
              <w:rPr>
                <w:rFonts w:hint="default" w:ascii="黑体" w:hAnsi="Calibri" w:eastAsia="黑体"/>
                <w:bCs/>
                <w:color w:val="auto"/>
                <w:sz w:val="24"/>
                <w:szCs w:val="24"/>
                <w:highlight w:val="none"/>
              </w:rPr>
            </w:pPr>
          </w:p>
        </w:tc>
        <w:tc>
          <w:tcPr>
            <w:tcW w:w="2520" w:type="dxa"/>
          </w:tcPr>
          <w:p w14:paraId="486F8475">
            <w:pPr>
              <w:outlineLvl w:val="0"/>
              <w:rPr>
                <w:rFonts w:hint="default" w:ascii="黑体" w:hAnsi="Calibri" w:eastAsia="黑体"/>
                <w:bCs/>
                <w:color w:val="auto"/>
                <w:sz w:val="24"/>
                <w:szCs w:val="24"/>
                <w:highlight w:val="none"/>
              </w:rPr>
            </w:pPr>
          </w:p>
        </w:tc>
        <w:tc>
          <w:tcPr>
            <w:tcW w:w="3274" w:type="dxa"/>
          </w:tcPr>
          <w:p w14:paraId="393A6267">
            <w:pPr>
              <w:outlineLvl w:val="0"/>
              <w:rPr>
                <w:rFonts w:hint="default" w:ascii="黑体" w:hAnsi="Calibri" w:eastAsia="黑体"/>
                <w:bCs/>
                <w:color w:val="auto"/>
                <w:sz w:val="24"/>
                <w:szCs w:val="24"/>
                <w:highlight w:val="none"/>
              </w:rPr>
            </w:pPr>
          </w:p>
        </w:tc>
      </w:tr>
      <w:tr w14:paraId="7EA8CF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tcPr>
          <w:p w14:paraId="09E89DAB">
            <w:pPr>
              <w:outlineLvl w:val="0"/>
              <w:rPr>
                <w:rFonts w:hint="default" w:ascii="黑体" w:hAnsi="Calibri" w:eastAsia="黑体"/>
                <w:bCs/>
                <w:color w:val="auto"/>
                <w:sz w:val="24"/>
                <w:szCs w:val="24"/>
                <w:highlight w:val="none"/>
              </w:rPr>
            </w:pPr>
          </w:p>
        </w:tc>
        <w:tc>
          <w:tcPr>
            <w:tcW w:w="1476" w:type="dxa"/>
          </w:tcPr>
          <w:p w14:paraId="658FF599">
            <w:pPr>
              <w:outlineLvl w:val="0"/>
              <w:rPr>
                <w:rFonts w:hint="default" w:ascii="黑体" w:hAnsi="Calibri" w:eastAsia="黑体"/>
                <w:bCs/>
                <w:color w:val="auto"/>
                <w:sz w:val="24"/>
                <w:szCs w:val="24"/>
                <w:highlight w:val="none"/>
              </w:rPr>
            </w:pPr>
          </w:p>
        </w:tc>
        <w:tc>
          <w:tcPr>
            <w:tcW w:w="720" w:type="dxa"/>
          </w:tcPr>
          <w:p w14:paraId="634521AA">
            <w:pPr>
              <w:outlineLvl w:val="0"/>
              <w:rPr>
                <w:rFonts w:hint="default" w:ascii="黑体" w:hAnsi="Calibri" w:eastAsia="黑体"/>
                <w:bCs/>
                <w:color w:val="auto"/>
                <w:sz w:val="24"/>
                <w:szCs w:val="24"/>
                <w:highlight w:val="none"/>
              </w:rPr>
            </w:pPr>
          </w:p>
        </w:tc>
        <w:tc>
          <w:tcPr>
            <w:tcW w:w="2520" w:type="dxa"/>
          </w:tcPr>
          <w:p w14:paraId="6563BEFC">
            <w:pPr>
              <w:outlineLvl w:val="0"/>
              <w:rPr>
                <w:rFonts w:hint="default" w:ascii="黑体" w:hAnsi="Calibri" w:eastAsia="黑体"/>
                <w:bCs/>
                <w:color w:val="auto"/>
                <w:sz w:val="24"/>
                <w:szCs w:val="24"/>
                <w:highlight w:val="none"/>
              </w:rPr>
            </w:pPr>
          </w:p>
        </w:tc>
        <w:tc>
          <w:tcPr>
            <w:tcW w:w="3274" w:type="dxa"/>
          </w:tcPr>
          <w:p w14:paraId="6D01032D">
            <w:pPr>
              <w:outlineLvl w:val="0"/>
              <w:rPr>
                <w:rFonts w:hint="default" w:ascii="黑体" w:hAnsi="Calibri" w:eastAsia="黑体"/>
                <w:bCs/>
                <w:color w:val="auto"/>
                <w:sz w:val="24"/>
                <w:szCs w:val="24"/>
                <w:highlight w:val="none"/>
              </w:rPr>
            </w:pPr>
          </w:p>
        </w:tc>
      </w:tr>
      <w:tr w14:paraId="7EEDA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tcPr>
          <w:p w14:paraId="5FF840FC">
            <w:pPr>
              <w:outlineLvl w:val="0"/>
              <w:rPr>
                <w:rFonts w:hint="default" w:ascii="黑体" w:hAnsi="Calibri" w:eastAsia="黑体"/>
                <w:bCs/>
                <w:color w:val="auto"/>
                <w:sz w:val="24"/>
                <w:szCs w:val="24"/>
                <w:highlight w:val="none"/>
              </w:rPr>
            </w:pPr>
          </w:p>
        </w:tc>
        <w:tc>
          <w:tcPr>
            <w:tcW w:w="1476" w:type="dxa"/>
          </w:tcPr>
          <w:p w14:paraId="6D29AD3F">
            <w:pPr>
              <w:outlineLvl w:val="0"/>
              <w:rPr>
                <w:rFonts w:hint="default" w:ascii="黑体" w:hAnsi="Calibri" w:eastAsia="黑体"/>
                <w:bCs/>
                <w:color w:val="auto"/>
                <w:sz w:val="24"/>
                <w:szCs w:val="24"/>
                <w:highlight w:val="none"/>
              </w:rPr>
            </w:pPr>
          </w:p>
        </w:tc>
        <w:tc>
          <w:tcPr>
            <w:tcW w:w="720" w:type="dxa"/>
          </w:tcPr>
          <w:p w14:paraId="3E6DA800">
            <w:pPr>
              <w:outlineLvl w:val="0"/>
              <w:rPr>
                <w:rFonts w:hint="default" w:ascii="黑体" w:hAnsi="Calibri" w:eastAsia="黑体"/>
                <w:bCs/>
                <w:color w:val="auto"/>
                <w:sz w:val="24"/>
                <w:szCs w:val="24"/>
                <w:highlight w:val="none"/>
              </w:rPr>
            </w:pPr>
          </w:p>
        </w:tc>
        <w:tc>
          <w:tcPr>
            <w:tcW w:w="2520" w:type="dxa"/>
          </w:tcPr>
          <w:p w14:paraId="533FCD8E">
            <w:pPr>
              <w:outlineLvl w:val="0"/>
              <w:rPr>
                <w:rFonts w:hint="default" w:ascii="黑体" w:hAnsi="Calibri" w:eastAsia="黑体"/>
                <w:bCs/>
                <w:color w:val="auto"/>
                <w:sz w:val="24"/>
                <w:szCs w:val="24"/>
                <w:highlight w:val="none"/>
              </w:rPr>
            </w:pPr>
          </w:p>
        </w:tc>
        <w:tc>
          <w:tcPr>
            <w:tcW w:w="3274" w:type="dxa"/>
          </w:tcPr>
          <w:p w14:paraId="551AFB9D">
            <w:pPr>
              <w:outlineLvl w:val="0"/>
              <w:rPr>
                <w:rFonts w:hint="default" w:ascii="黑体" w:hAnsi="Calibri" w:eastAsia="黑体"/>
                <w:bCs/>
                <w:color w:val="auto"/>
                <w:sz w:val="24"/>
                <w:szCs w:val="24"/>
                <w:highlight w:val="none"/>
              </w:rPr>
            </w:pPr>
          </w:p>
        </w:tc>
      </w:tr>
      <w:tr w14:paraId="01BC20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tcPr>
          <w:p w14:paraId="3BA072AE">
            <w:pPr>
              <w:outlineLvl w:val="0"/>
              <w:rPr>
                <w:rFonts w:hint="default" w:ascii="黑体" w:hAnsi="Calibri" w:eastAsia="黑体"/>
                <w:bCs/>
                <w:color w:val="auto"/>
                <w:sz w:val="24"/>
                <w:szCs w:val="24"/>
                <w:highlight w:val="none"/>
              </w:rPr>
            </w:pPr>
          </w:p>
        </w:tc>
        <w:tc>
          <w:tcPr>
            <w:tcW w:w="1476" w:type="dxa"/>
          </w:tcPr>
          <w:p w14:paraId="50D78768">
            <w:pPr>
              <w:outlineLvl w:val="0"/>
              <w:rPr>
                <w:rFonts w:hint="default" w:ascii="黑体" w:hAnsi="Calibri" w:eastAsia="黑体"/>
                <w:bCs/>
                <w:color w:val="auto"/>
                <w:sz w:val="24"/>
                <w:szCs w:val="24"/>
                <w:highlight w:val="none"/>
              </w:rPr>
            </w:pPr>
          </w:p>
        </w:tc>
        <w:tc>
          <w:tcPr>
            <w:tcW w:w="720" w:type="dxa"/>
          </w:tcPr>
          <w:p w14:paraId="434F046F">
            <w:pPr>
              <w:outlineLvl w:val="0"/>
              <w:rPr>
                <w:rFonts w:hint="default" w:ascii="黑体" w:hAnsi="Calibri" w:eastAsia="黑体"/>
                <w:bCs/>
                <w:color w:val="auto"/>
                <w:sz w:val="24"/>
                <w:szCs w:val="24"/>
                <w:highlight w:val="none"/>
              </w:rPr>
            </w:pPr>
          </w:p>
        </w:tc>
        <w:tc>
          <w:tcPr>
            <w:tcW w:w="2520" w:type="dxa"/>
          </w:tcPr>
          <w:p w14:paraId="698EF5D4">
            <w:pPr>
              <w:outlineLvl w:val="0"/>
              <w:rPr>
                <w:rFonts w:hint="default" w:ascii="黑体" w:hAnsi="Calibri" w:eastAsia="黑体"/>
                <w:bCs/>
                <w:color w:val="auto"/>
                <w:sz w:val="24"/>
                <w:szCs w:val="24"/>
                <w:highlight w:val="none"/>
              </w:rPr>
            </w:pPr>
          </w:p>
        </w:tc>
        <w:tc>
          <w:tcPr>
            <w:tcW w:w="3274" w:type="dxa"/>
          </w:tcPr>
          <w:p w14:paraId="0B8E8A15">
            <w:pPr>
              <w:outlineLvl w:val="0"/>
              <w:rPr>
                <w:rFonts w:hint="default" w:ascii="黑体" w:hAnsi="Calibri" w:eastAsia="黑体"/>
                <w:bCs/>
                <w:color w:val="auto"/>
                <w:sz w:val="24"/>
                <w:szCs w:val="24"/>
                <w:highlight w:val="none"/>
              </w:rPr>
            </w:pPr>
          </w:p>
        </w:tc>
      </w:tr>
      <w:tr w14:paraId="568A6C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tcPr>
          <w:p w14:paraId="40BDFDAE">
            <w:pPr>
              <w:outlineLvl w:val="0"/>
              <w:rPr>
                <w:rFonts w:hint="default" w:ascii="黑体" w:hAnsi="Calibri" w:eastAsia="黑体"/>
                <w:bCs/>
                <w:color w:val="auto"/>
                <w:sz w:val="24"/>
                <w:szCs w:val="24"/>
                <w:highlight w:val="none"/>
              </w:rPr>
            </w:pPr>
          </w:p>
        </w:tc>
        <w:tc>
          <w:tcPr>
            <w:tcW w:w="1476" w:type="dxa"/>
          </w:tcPr>
          <w:p w14:paraId="6CF9EFB3">
            <w:pPr>
              <w:outlineLvl w:val="0"/>
              <w:rPr>
                <w:rFonts w:hint="default" w:ascii="黑体" w:hAnsi="Calibri" w:eastAsia="黑体"/>
                <w:bCs/>
                <w:color w:val="auto"/>
                <w:sz w:val="24"/>
                <w:szCs w:val="24"/>
                <w:highlight w:val="none"/>
              </w:rPr>
            </w:pPr>
          </w:p>
        </w:tc>
        <w:tc>
          <w:tcPr>
            <w:tcW w:w="720" w:type="dxa"/>
          </w:tcPr>
          <w:p w14:paraId="13421188">
            <w:pPr>
              <w:outlineLvl w:val="0"/>
              <w:rPr>
                <w:rFonts w:hint="default" w:ascii="黑体" w:hAnsi="Calibri" w:eastAsia="黑体"/>
                <w:bCs/>
                <w:color w:val="auto"/>
                <w:sz w:val="24"/>
                <w:szCs w:val="24"/>
                <w:highlight w:val="none"/>
              </w:rPr>
            </w:pPr>
          </w:p>
        </w:tc>
        <w:tc>
          <w:tcPr>
            <w:tcW w:w="2520" w:type="dxa"/>
          </w:tcPr>
          <w:p w14:paraId="4827DD56">
            <w:pPr>
              <w:outlineLvl w:val="0"/>
              <w:rPr>
                <w:rFonts w:hint="default" w:ascii="黑体" w:hAnsi="Calibri" w:eastAsia="黑体"/>
                <w:bCs/>
                <w:color w:val="auto"/>
                <w:sz w:val="24"/>
                <w:szCs w:val="24"/>
                <w:highlight w:val="none"/>
              </w:rPr>
            </w:pPr>
          </w:p>
        </w:tc>
        <w:tc>
          <w:tcPr>
            <w:tcW w:w="3274" w:type="dxa"/>
          </w:tcPr>
          <w:p w14:paraId="1FB724AD">
            <w:pPr>
              <w:outlineLvl w:val="0"/>
              <w:rPr>
                <w:rFonts w:hint="default" w:ascii="黑体" w:hAnsi="Calibri" w:eastAsia="黑体"/>
                <w:bCs/>
                <w:color w:val="auto"/>
                <w:sz w:val="24"/>
                <w:szCs w:val="24"/>
                <w:highlight w:val="none"/>
              </w:rPr>
            </w:pPr>
          </w:p>
        </w:tc>
      </w:tr>
    </w:tbl>
    <w:p w14:paraId="08B13460">
      <w:pPr>
        <w:spacing w:line="360" w:lineRule="auto"/>
        <w:rPr>
          <w:rFonts w:hint="default" w:ascii="黑体" w:hAnsi="Calibri" w:eastAsia="黑体"/>
          <w:bCs/>
          <w:color w:val="auto"/>
          <w:sz w:val="24"/>
          <w:szCs w:val="24"/>
          <w:highlight w:val="none"/>
        </w:rPr>
      </w:pPr>
    </w:p>
    <w:p w14:paraId="4598EB73">
      <w:pPr>
        <w:spacing w:line="360" w:lineRule="auto"/>
        <w:ind w:firstLine="720"/>
        <w:rPr>
          <w:rFonts w:hint="default" w:ascii="黑体" w:hAnsi="Calibri" w:eastAsia="黑体"/>
          <w:bCs/>
          <w:color w:val="auto"/>
          <w:sz w:val="24"/>
          <w:szCs w:val="24"/>
          <w:highlight w:val="none"/>
        </w:rPr>
      </w:pPr>
      <w:r>
        <w:rPr>
          <w:rFonts w:hint="eastAsia" w:ascii="黑体" w:hAnsi="Calibri" w:eastAsia="黑体"/>
          <w:bCs/>
          <w:color w:val="auto"/>
          <w:sz w:val="24"/>
          <w:szCs w:val="24"/>
          <w:highlight w:val="none"/>
        </w:rPr>
        <w:t>投标人名称（盖章）：</w:t>
      </w:r>
    </w:p>
    <w:p w14:paraId="386A7645">
      <w:pPr>
        <w:spacing w:line="360" w:lineRule="auto"/>
        <w:rPr>
          <w:rFonts w:hint="default" w:ascii="宋体" w:hAnsi="宋体" w:eastAsia="Arial"/>
          <w:bCs/>
          <w:color w:val="auto"/>
          <w:szCs w:val="22"/>
          <w:highlight w:val="none"/>
        </w:rPr>
      </w:pPr>
    </w:p>
    <w:p w14:paraId="345264B6">
      <w:pPr>
        <w:spacing w:line="360" w:lineRule="auto"/>
        <w:rPr>
          <w:rFonts w:hint="default" w:ascii="宋体" w:hAnsi="宋体" w:eastAsia="Arial"/>
          <w:bCs/>
          <w:color w:val="auto"/>
          <w:szCs w:val="22"/>
          <w:highlight w:val="none"/>
        </w:rPr>
      </w:pPr>
    </w:p>
    <w:p w14:paraId="3221F307">
      <w:pPr>
        <w:spacing w:line="360" w:lineRule="auto"/>
        <w:rPr>
          <w:rFonts w:hint="default" w:ascii="宋体" w:hAnsi="宋体" w:eastAsia="Arial"/>
          <w:bCs/>
          <w:color w:val="auto"/>
          <w:szCs w:val="22"/>
          <w:highlight w:val="none"/>
        </w:rPr>
      </w:pPr>
    </w:p>
    <w:p w14:paraId="1EC03F77">
      <w:pPr>
        <w:spacing w:line="360" w:lineRule="auto"/>
        <w:rPr>
          <w:rFonts w:hint="default" w:ascii="宋体" w:hAnsi="宋体" w:eastAsia="Arial"/>
          <w:bCs/>
          <w:color w:val="auto"/>
          <w:szCs w:val="22"/>
          <w:highlight w:val="none"/>
        </w:rPr>
      </w:pPr>
    </w:p>
    <w:p w14:paraId="729CFD72">
      <w:pPr>
        <w:spacing w:line="360" w:lineRule="auto"/>
        <w:rPr>
          <w:rFonts w:hint="default" w:ascii="宋体" w:hAnsi="宋体" w:eastAsia="Arial"/>
          <w:bCs/>
          <w:color w:val="auto"/>
          <w:szCs w:val="22"/>
          <w:highlight w:val="none"/>
        </w:rPr>
      </w:pPr>
      <w:r>
        <w:rPr>
          <w:rFonts w:hint="eastAsia" w:ascii="宋体" w:hAnsi="宋体" w:eastAsia="Arial"/>
          <w:bCs/>
          <w:color w:val="auto"/>
          <w:szCs w:val="22"/>
          <w:highlight w:val="none"/>
        </w:rPr>
        <w:t>注：本表对应项目人员配置情况，表格不够可自行延长。</w:t>
      </w:r>
    </w:p>
    <w:p w14:paraId="50191A5F">
      <w:pPr>
        <w:spacing w:line="360" w:lineRule="auto"/>
        <w:rPr>
          <w:rFonts w:hint="default" w:ascii="Arial" w:hAnsi="Arial" w:eastAsia="Arial"/>
          <w:bCs/>
          <w:color w:val="auto"/>
          <w:sz w:val="30"/>
          <w:szCs w:val="22"/>
          <w:highlight w:val="none"/>
        </w:rPr>
      </w:pPr>
    </w:p>
    <w:p w14:paraId="74C8E87E">
      <w:pPr>
        <w:pStyle w:val="37"/>
        <w:rPr>
          <w:rFonts w:hint="eastAsia" w:ascii="宋体" w:hAnsi="宋体" w:cs="宋体"/>
          <w:sz w:val="24"/>
          <w:szCs w:val="24"/>
        </w:rPr>
      </w:pPr>
    </w:p>
    <w:p w14:paraId="265E5FAB">
      <w:pPr>
        <w:pStyle w:val="37"/>
        <w:rPr>
          <w:rFonts w:hint="eastAsia" w:ascii="宋体" w:hAnsi="宋体" w:cs="宋体"/>
          <w:sz w:val="24"/>
          <w:szCs w:val="24"/>
        </w:rPr>
      </w:pPr>
    </w:p>
    <w:p w14:paraId="3A2CA4CC">
      <w:pPr>
        <w:rPr>
          <w:rFonts w:hint="eastAsia" w:ascii="宋体" w:hAnsi="宋体" w:cs="宋体"/>
          <w:b/>
          <w:sz w:val="24"/>
          <w:szCs w:val="24"/>
        </w:rPr>
      </w:pPr>
      <w:r>
        <w:rPr>
          <w:rFonts w:hint="eastAsia" w:ascii="宋体" w:hAnsi="宋体" w:cs="宋体"/>
          <w:b/>
          <w:sz w:val="24"/>
          <w:szCs w:val="24"/>
        </w:rPr>
        <w:br w:type="page"/>
      </w:r>
    </w:p>
    <w:p w14:paraId="22CE0535">
      <w:pPr>
        <w:spacing w:line="360" w:lineRule="auto"/>
        <w:outlineLvl w:val="0"/>
        <w:rPr>
          <w:rFonts w:hint="eastAsia" w:ascii="Calibri" w:hAnsi="Calibri" w:eastAsia="Arial"/>
          <w:b/>
          <w:color w:val="auto"/>
          <w:sz w:val="28"/>
          <w:szCs w:val="28"/>
          <w:highlight w:val="none"/>
        </w:rPr>
      </w:pPr>
      <w:r>
        <w:rPr>
          <w:rFonts w:hint="eastAsia" w:ascii="Calibri" w:hAnsi="Calibri" w:eastAsia="Arial"/>
          <w:b/>
          <w:color w:val="auto"/>
          <w:sz w:val="28"/>
          <w:szCs w:val="28"/>
          <w:highlight w:val="none"/>
        </w:rPr>
        <w:t>十</w:t>
      </w:r>
      <w:r>
        <w:rPr>
          <w:rFonts w:hint="eastAsia" w:ascii="Calibri" w:hAnsi="Calibri" w:eastAsia="Arial"/>
          <w:b/>
          <w:color w:val="auto"/>
          <w:sz w:val="28"/>
          <w:szCs w:val="28"/>
          <w:highlight w:val="none"/>
          <w:lang w:val="en-US" w:eastAsia="zh-CN"/>
        </w:rPr>
        <w:t>二、</w:t>
      </w:r>
      <w:r>
        <w:rPr>
          <w:rFonts w:hint="eastAsia" w:ascii="Calibri" w:hAnsi="Calibri" w:eastAsia="Arial"/>
          <w:b/>
          <w:color w:val="auto"/>
          <w:sz w:val="28"/>
          <w:szCs w:val="28"/>
          <w:highlight w:val="none"/>
        </w:rPr>
        <w:t>技术服务方案</w:t>
      </w:r>
      <w:r>
        <w:rPr>
          <w:rFonts w:hint="eastAsia" w:ascii="Calibri" w:hAnsi="Calibri" w:eastAsia="Arial"/>
          <w:b/>
          <w:color w:val="auto"/>
          <w:sz w:val="28"/>
          <w:szCs w:val="28"/>
          <w:highlight w:val="none"/>
          <w:lang w:eastAsia="zh-CN"/>
        </w:rPr>
        <w:t>（</w:t>
      </w:r>
      <w:r>
        <w:rPr>
          <w:rFonts w:hint="eastAsia" w:ascii="Calibri" w:hAnsi="Calibri" w:eastAsia="Arial"/>
          <w:b/>
          <w:color w:val="auto"/>
          <w:sz w:val="28"/>
          <w:szCs w:val="28"/>
          <w:highlight w:val="none"/>
          <w:lang w:val="en-US" w:eastAsia="zh-CN"/>
        </w:rPr>
        <w:t>暗标</w:t>
      </w:r>
      <w:r>
        <w:rPr>
          <w:rFonts w:hint="eastAsia" w:ascii="Calibri" w:hAnsi="Calibri" w:eastAsia="Arial"/>
          <w:b/>
          <w:color w:val="auto"/>
          <w:sz w:val="28"/>
          <w:szCs w:val="28"/>
          <w:highlight w:val="none"/>
          <w:lang w:eastAsia="zh-CN"/>
        </w:rPr>
        <w:t>）</w:t>
      </w:r>
      <w:r>
        <w:rPr>
          <w:rFonts w:hint="eastAsia" w:ascii="Calibri" w:hAnsi="Calibri" w:eastAsia="Arial"/>
          <w:b/>
          <w:color w:val="auto"/>
          <w:sz w:val="28"/>
          <w:szCs w:val="28"/>
          <w:highlight w:val="none"/>
        </w:rPr>
        <w:t>：</w:t>
      </w:r>
    </w:p>
    <w:p w14:paraId="5E31C73B">
      <w:pPr>
        <w:pStyle w:val="307"/>
        <w:ind w:firstLine="480"/>
        <w:rPr>
          <w:rFonts w:ascii="宋体" w:hAnsi="宋体" w:cs="宋体"/>
          <w:bCs/>
          <w:sz w:val="24"/>
          <w:szCs w:val="24"/>
        </w:rPr>
      </w:pPr>
    </w:p>
    <w:p w14:paraId="6A61097C">
      <w:pPr>
        <w:pStyle w:val="307"/>
        <w:ind w:firstLine="480"/>
        <w:rPr>
          <w:rFonts w:ascii="宋体" w:hAnsi="宋体" w:cs="宋体"/>
          <w:bCs/>
          <w:sz w:val="24"/>
          <w:szCs w:val="24"/>
        </w:rPr>
      </w:pPr>
    </w:p>
    <w:p w14:paraId="639577EE">
      <w:pPr>
        <w:spacing w:line="500" w:lineRule="exact"/>
        <w:ind w:firstLine="482"/>
        <w:rPr>
          <w:rFonts w:hint="eastAsia" w:ascii="宋体" w:hAnsi="宋体" w:eastAsia="宋体"/>
          <w:b/>
          <w:color w:val="000000"/>
          <w:sz w:val="24"/>
          <w:highlight w:val="none"/>
          <w:u w:val="none"/>
          <w:lang w:eastAsia="zh-CN"/>
        </w:rPr>
      </w:pPr>
      <w:r>
        <w:rPr>
          <w:rFonts w:hint="eastAsia" w:ascii="宋体" w:hAnsi="宋体"/>
          <w:b/>
          <w:color w:val="000000"/>
          <w:sz w:val="24"/>
          <w:highlight w:val="none"/>
          <w:u w:val="none"/>
        </w:rPr>
        <w:t>特别注意：</w:t>
      </w:r>
      <w:r>
        <w:rPr>
          <w:rFonts w:hint="eastAsia" w:ascii="宋体" w:hAnsi="宋体" w:cs="宋体"/>
          <w:b/>
          <w:sz w:val="24"/>
          <w:szCs w:val="24"/>
        </w:rPr>
        <w:t>在评分标准中除了投标报价外，还须包含明标（商务标部分）和暗标（技术标部分）两大部分，明标部分和暗标部分分别进行制作</w:t>
      </w:r>
      <w:r>
        <w:rPr>
          <w:rFonts w:hint="eastAsia" w:ascii="宋体" w:hAnsi="宋体" w:cs="宋体"/>
          <w:b/>
          <w:sz w:val="24"/>
          <w:szCs w:val="24"/>
          <w:lang w:eastAsia="zh-CN"/>
        </w:rPr>
        <w:t>。其中</w:t>
      </w:r>
      <w:r>
        <w:rPr>
          <w:rFonts w:hint="eastAsia" w:ascii="宋体" w:hAnsi="宋体" w:cs="宋体"/>
          <w:b/>
          <w:sz w:val="24"/>
          <w:szCs w:val="24"/>
        </w:rPr>
        <w:t>技术标部分</w:t>
      </w:r>
      <w:r>
        <w:rPr>
          <w:rFonts w:hint="eastAsia" w:ascii="宋体" w:hAnsi="宋体" w:cs="宋体"/>
          <w:b/>
          <w:sz w:val="24"/>
          <w:szCs w:val="24"/>
          <w:lang w:eastAsia="zh-CN"/>
        </w:rPr>
        <w:t>属于暗标，投标人在制作</w:t>
      </w:r>
      <w:r>
        <w:rPr>
          <w:rFonts w:hint="eastAsia" w:ascii="宋体" w:hAnsi="宋体" w:cs="宋体"/>
          <w:b/>
          <w:sz w:val="24"/>
          <w:szCs w:val="24"/>
        </w:rPr>
        <w:t>技术标部分</w:t>
      </w:r>
      <w:r>
        <w:rPr>
          <w:rFonts w:hint="eastAsia" w:ascii="宋体" w:hAnsi="宋体" w:cs="宋体"/>
          <w:b/>
          <w:sz w:val="24"/>
          <w:szCs w:val="24"/>
          <w:lang w:eastAsia="zh-CN"/>
        </w:rPr>
        <w:t>相关内容时不得有体现投标人身份的内容，否则投标无效。</w:t>
      </w:r>
    </w:p>
    <w:p w14:paraId="669BCCA0">
      <w:pPr>
        <w:spacing w:line="500" w:lineRule="exact"/>
        <w:ind w:firstLine="482"/>
        <w:rPr>
          <w:rFonts w:ascii="宋体" w:hAnsi="宋体"/>
          <w:b/>
          <w:color w:val="000000"/>
          <w:sz w:val="24"/>
          <w:highlight w:val="none"/>
          <w:u w:val="none"/>
        </w:rPr>
      </w:pPr>
      <w:r>
        <w:rPr>
          <w:rFonts w:hint="eastAsia" w:ascii="宋体" w:hAnsi="宋体"/>
          <w:b/>
          <w:color w:val="000000"/>
          <w:sz w:val="24"/>
          <w:highlight w:val="none"/>
          <w:u w:val="none"/>
        </w:rPr>
        <w:t>不得有体现投标人身份的内容是指：</w:t>
      </w:r>
    </w:p>
    <w:p w14:paraId="2819E98F">
      <w:pPr>
        <w:spacing w:line="500" w:lineRule="exact"/>
        <w:ind w:firstLine="482"/>
        <w:rPr>
          <w:rFonts w:hint="eastAsia" w:ascii="宋体" w:hAnsi="宋体" w:eastAsia="宋体"/>
          <w:b/>
          <w:color w:val="000000"/>
          <w:sz w:val="24"/>
          <w:highlight w:val="none"/>
          <w:u w:val="none"/>
          <w:lang w:eastAsia="zh-CN"/>
        </w:rPr>
      </w:pPr>
      <w:r>
        <w:rPr>
          <w:rFonts w:hint="eastAsia" w:ascii="宋体" w:hAnsi="宋体"/>
          <w:b/>
          <w:color w:val="000000"/>
          <w:sz w:val="24"/>
          <w:highlight w:val="none"/>
          <w:u w:val="none"/>
        </w:rPr>
        <w:t>技术部分不得出现能够体现投标人身份、名称的相关描述、材料、文件等内容</w:t>
      </w:r>
      <w:r>
        <w:rPr>
          <w:rFonts w:hint="eastAsia" w:ascii="宋体" w:hAnsi="宋体"/>
          <w:b/>
          <w:color w:val="000000"/>
          <w:sz w:val="24"/>
          <w:highlight w:val="none"/>
          <w:u w:val="none"/>
          <w:lang w:eastAsia="zh-CN"/>
        </w:rPr>
        <w:t>；</w:t>
      </w:r>
    </w:p>
    <w:p w14:paraId="6256C446">
      <w:pPr>
        <w:spacing w:line="500" w:lineRule="exact"/>
        <w:ind w:firstLine="482"/>
        <w:rPr>
          <w:rFonts w:hint="eastAsia" w:ascii="宋体" w:hAnsi="宋体" w:eastAsia="宋体"/>
          <w:b/>
          <w:color w:val="000000"/>
          <w:sz w:val="24"/>
          <w:highlight w:val="none"/>
          <w:lang w:eastAsia="zh-CN"/>
        </w:rPr>
      </w:pPr>
      <w:r>
        <w:rPr>
          <w:rFonts w:hint="eastAsia" w:ascii="宋体" w:hAnsi="宋体"/>
          <w:b/>
          <w:color w:val="000000"/>
          <w:sz w:val="24"/>
          <w:highlight w:val="none"/>
          <w:u w:val="none"/>
        </w:rPr>
        <w:t>技术部分不得更改</w:t>
      </w:r>
      <w:r>
        <w:rPr>
          <w:rFonts w:hint="eastAsia" w:ascii="宋体" w:hAnsi="宋体"/>
          <w:b/>
          <w:color w:val="000000"/>
          <w:sz w:val="24"/>
          <w:highlight w:val="none"/>
          <w:u w:val="none"/>
          <w:lang w:eastAsia="zh-CN"/>
        </w:rPr>
        <w:t>，</w:t>
      </w:r>
      <w:r>
        <w:rPr>
          <w:rFonts w:hint="eastAsia" w:ascii="宋体" w:hAnsi="宋体"/>
          <w:b/>
          <w:color w:val="000000"/>
          <w:sz w:val="24"/>
          <w:highlight w:val="none"/>
          <w:u w:val="none"/>
        </w:rPr>
        <w:t>不得在其中涂改</w:t>
      </w:r>
      <w:r>
        <w:rPr>
          <w:rFonts w:hint="eastAsia" w:ascii="宋体" w:hAnsi="宋体"/>
          <w:b/>
          <w:color w:val="000000"/>
          <w:sz w:val="24"/>
          <w:highlight w:val="none"/>
        </w:rPr>
        <w:t>、标注或做任何可以辨认投标人及所属人员身份的名称、印章、商标等标记</w:t>
      </w:r>
      <w:r>
        <w:rPr>
          <w:rFonts w:hint="eastAsia" w:ascii="宋体" w:hAnsi="宋体"/>
          <w:b/>
          <w:color w:val="000000"/>
          <w:sz w:val="24"/>
          <w:highlight w:val="none"/>
          <w:lang w:eastAsia="zh-CN"/>
        </w:rPr>
        <w:t>；</w:t>
      </w:r>
    </w:p>
    <w:p w14:paraId="6D4F7695">
      <w:pPr>
        <w:spacing w:line="500" w:lineRule="exact"/>
        <w:ind w:firstLine="482"/>
        <w:rPr>
          <w:rFonts w:hint="default" w:ascii="宋体" w:hAnsi="宋体"/>
          <w:b/>
          <w:color w:val="000000"/>
          <w:sz w:val="24"/>
          <w:highlight w:val="none"/>
          <w:u w:val="none"/>
          <w:lang w:val="en-US" w:eastAsia="zh-CN"/>
        </w:rPr>
      </w:pPr>
      <w:r>
        <w:rPr>
          <w:rFonts w:hint="eastAsia" w:ascii="宋体" w:hAnsi="宋体"/>
          <w:b/>
          <w:color w:val="000000"/>
          <w:sz w:val="24"/>
          <w:highlight w:val="none"/>
          <w:u w:val="none"/>
        </w:rPr>
        <w:t>技术部分</w:t>
      </w:r>
      <w:r>
        <w:rPr>
          <w:rFonts w:hint="default" w:ascii="宋体" w:hAnsi="宋体"/>
          <w:b/>
          <w:color w:val="000000"/>
          <w:sz w:val="24"/>
          <w:highlight w:val="none"/>
          <w:u w:val="none"/>
          <w:lang w:val="en-US" w:eastAsia="zh-CN"/>
        </w:rPr>
        <w:t>排版要求:字体为小四号宋体、黑色。单倍行间距，不得有任何加粗、斜体、下划线、边框、底纹、阴影等标记，不得设置页眉，页脚只准出现页码，页码采用小五号阿拉伯数字格式，设在页脚对中位置，页码应当连续，不得有空白页。功能截图中字体、字号不作限制。</w:t>
      </w:r>
    </w:p>
    <w:p w14:paraId="75A13E2C">
      <w:pPr>
        <w:spacing w:line="500" w:lineRule="exact"/>
        <w:ind w:firstLine="482"/>
        <w:rPr>
          <w:rFonts w:hint="eastAsia" w:ascii="宋体" w:hAnsi="宋体" w:cs="宋体"/>
          <w:sz w:val="24"/>
          <w:szCs w:val="24"/>
        </w:rPr>
      </w:pPr>
      <w:r>
        <w:rPr>
          <w:rFonts w:hint="eastAsia" w:ascii="宋体" w:hAnsi="宋体"/>
          <w:b/>
          <w:color w:val="000000"/>
          <w:sz w:val="24"/>
          <w:highlight w:val="none"/>
          <w:u w:val="none"/>
        </w:rPr>
        <w:t>不得有其他体现投标人身份的内容</w:t>
      </w:r>
      <w:r>
        <w:rPr>
          <w:rFonts w:hint="eastAsia" w:ascii="宋体" w:hAnsi="宋体"/>
          <w:b/>
          <w:color w:val="000000"/>
          <w:sz w:val="24"/>
          <w:highlight w:val="none"/>
          <w:u w:val="none"/>
          <w:lang w:eastAsia="zh-CN"/>
        </w:rPr>
        <w:t>。</w:t>
      </w:r>
    </w:p>
    <w:sectPr>
      <w:footerReference r:id="rId15" w:type="default"/>
      <w:footerReference r:id="rId16" w:type="even"/>
      <w:pgSz w:w="11906" w:h="16838"/>
      <w:pgMar w:top="1440" w:right="1800" w:bottom="1440" w:left="1800" w:header="567" w:footer="284"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S Sans Serif">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等线">
    <w:panose1 w:val="02010600030101010101"/>
    <w:charset w:val="86"/>
    <w:family w:val="auto"/>
    <w:pitch w:val="default"/>
    <w:sig w:usb0="A00002BF" w:usb1="38CF7CFA" w:usb2="00000016" w:usb3="00000000" w:csb0="0004000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0A001">
    <w:pPr>
      <w:pStyle w:val="265"/>
      <w:jc w:val="center"/>
      <w:rPr>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8FCDE3">
    <w:pPr>
      <w:pStyle w:val="265"/>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693ED">
    <w:pPr>
      <w:pStyle w:val="265"/>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16898783">
                          <w:pPr>
                            <w:pStyle w:val="265"/>
                            <w:tabs>
                              <w:tab w:val="clear" w:pos="4153"/>
                              <w:tab w:val="clear" w:pos="8306"/>
                            </w:tabs>
                          </w:pPr>
                          <w:r>
                            <w:fldChar w:fldCharType="begin"/>
                          </w:r>
                          <w:r>
                            <w:instrText xml:space="preserve"> PAGE  \* MERGEFORMAT </w:instrText>
                          </w:r>
                          <w:r>
                            <w:fldChar w:fldCharType="separate"/>
                          </w:r>
                          <w:r>
                            <w:t>1</w:t>
                          </w:r>
                          <w:r>
                            <w:fldChar w:fldCharType="end"/>
                          </w:r>
                        </w:p>
                        <w:p w14:paraId="6592B59D"/>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&#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DWRAu+1QEAALEDAAAOAAAAAAAAAAEAIAAAAB4B&#10;AABkcnMvZTJvRG9jLnhtbFBLBQYAAAAABgAGAFkBAABlBQAAAAA=&#10;">
              <v:fill on="f" focussize="0,0"/>
              <v:stroke on="f" joinstyle="miter"/>
              <v:imagedata o:title=""/>
              <o:lock v:ext="edit" aspectratio="f"/>
              <v:textbox inset="0mm,0mm,0mm,0mm" style="mso-fit-shape-to-text:t;">
                <w:txbxContent>
                  <w:p w14:paraId="16898783">
                    <w:pPr>
                      <w:pStyle w:val="265"/>
                      <w:tabs>
                        <w:tab w:val="clear" w:pos="4153"/>
                        <w:tab w:val="clear" w:pos="8306"/>
                      </w:tabs>
                    </w:pPr>
                    <w:r>
                      <w:fldChar w:fldCharType="begin"/>
                    </w:r>
                    <w:r>
                      <w:instrText xml:space="preserve"> PAGE  \* MERGEFORMAT </w:instrText>
                    </w:r>
                    <w:r>
                      <w:fldChar w:fldCharType="separate"/>
                    </w:r>
                    <w:r>
                      <w:t>1</w:t>
                    </w:r>
                    <w:r>
                      <w:fldChar w:fldCharType="end"/>
                    </w:r>
                  </w:p>
                  <w:p w14:paraId="6592B59D"/>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F6CFB">
    <w:pPr>
      <w:pStyle w:val="265"/>
      <w:framePr w:wrap="around" w:vAnchor="text" w:hAnchor="margin" w:xAlign="center" w:y="1"/>
      <w:rPr>
        <w:rStyle w:val="283"/>
      </w:rPr>
    </w:pPr>
    <w:r>
      <w:fldChar w:fldCharType="begin"/>
    </w:r>
    <w:r>
      <w:rPr>
        <w:rStyle w:val="283"/>
      </w:rPr>
      <w:instrText xml:space="preserve">PAGE  </w:instrText>
    </w:r>
    <w:r>
      <w:fldChar w:fldCharType="separate"/>
    </w:r>
    <w:r>
      <w:rPr>
        <w:rStyle w:val="283"/>
      </w:rPr>
      <w:t>1</w:t>
    </w:r>
    <w:r>
      <w:fldChar w:fldCharType="end"/>
    </w:r>
  </w:p>
  <w:p w14:paraId="6E70465E">
    <w:pPr>
      <w:pStyle w:val="265"/>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284A7B">
    <w:pPr>
      <w:pStyle w:val="265"/>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5C007663">
                          <w:pPr>
                            <w:pStyle w:val="265"/>
                            <w:tabs>
                              <w:tab w:val="clear" w:pos="4153"/>
                              <w:tab w:val="clear" w:pos="8306"/>
                            </w:tabs>
                          </w:pPr>
                          <w:r>
                            <w:fldChar w:fldCharType="begin"/>
                          </w:r>
                          <w:r>
                            <w:instrText xml:space="preserve"> PAGE  \* MERGEFORMAT </w:instrText>
                          </w:r>
                          <w:r>
                            <w:fldChar w:fldCharType="separate"/>
                          </w:r>
                          <w:r>
                            <w:t>1</w:t>
                          </w:r>
                          <w:r>
                            <w:fldChar w:fldCharType="end"/>
                          </w:r>
                        </w:p>
                        <w:p w14:paraId="70C0872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DqQ4Wm1QEAALEDAAAOAAAAAAAAAAEAIAAAAB4B&#10;AABkcnMvZTJvRG9jLnhtbFBLBQYAAAAABgAGAFkBAABlBQAAAAA=&#10;">
              <v:fill on="f" focussize="0,0"/>
              <v:stroke on="f" joinstyle="miter"/>
              <v:imagedata o:title=""/>
              <o:lock v:ext="edit" aspectratio="f"/>
              <v:textbox inset="0mm,0mm,0mm,0mm" style="mso-fit-shape-to-text:t;">
                <w:txbxContent>
                  <w:p w14:paraId="5C007663">
                    <w:pPr>
                      <w:pStyle w:val="265"/>
                      <w:tabs>
                        <w:tab w:val="clear" w:pos="4153"/>
                        <w:tab w:val="clear" w:pos="8306"/>
                      </w:tabs>
                    </w:pPr>
                    <w:r>
                      <w:fldChar w:fldCharType="begin"/>
                    </w:r>
                    <w:r>
                      <w:instrText xml:space="preserve"> PAGE  \* MERGEFORMAT </w:instrText>
                    </w:r>
                    <w:r>
                      <w:fldChar w:fldCharType="separate"/>
                    </w:r>
                    <w:r>
                      <w:t>1</w:t>
                    </w:r>
                    <w:r>
                      <w:fldChar w:fldCharType="end"/>
                    </w:r>
                  </w:p>
                  <w:p w14:paraId="70C08724"/>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42817">
    <w:pPr>
      <w:pStyle w:val="26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278B61CF">
                          <w:pPr>
                            <w:pStyle w:val="265"/>
                            <w:tabs>
                              <w:tab w:val="clear" w:pos="4153"/>
                              <w:tab w:val="clear" w:pos="8306"/>
                            </w:tabs>
                          </w:pPr>
                          <w:r>
                            <w:fldChar w:fldCharType="begin"/>
                          </w:r>
                          <w:r>
                            <w:instrText xml:space="preserve"> PAGE  \* MERGEFORMAT </w:instrText>
                          </w:r>
                          <w:r>
                            <w:fldChar w:fldCharType="separate"/>
                          </w:r>
                          <w:r>
                            <w:t>5</w:t>
                          </w:r>
                          <w:r>
                            <w:fldChar w:fldCharType="end"/>
                          </w:r>
                        </w:p>
                        <w:p w14:paraId="10D2EA3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wbwvGNYBAACxAwAADgAAAAAAAAABACAAAAAe&#10;AQAAZHJzL2Uyb0RvYy54bWxQSwUGAAAAAAYABgBZAQAAZgUAAAAA&#10;">
              <v:fill on="f" focussize="0,0"/>
              <v:stroke on="f" joinstyle="miter"/>
              <v:imagedata o:title=""/>
              <o:lock v:ext="edit" aspectratio="f"/>
              <v:textbox inset="0mm,0mm,0mm,0mm" style="mso-fit-shape-to-text:t;">
                <w:txbxContent>
                  <w:p w14:paraId="278B61CF">
                    <w:pPr>
                      <w:pStyle w:val="265"/>
                      <w:tabs>
                        <w:tab w:val="clear" w:pos="4153"/>
                        <w:tab w:val="clear" w:pos="8306"/>
                      </w:tabs>
                    </w:pPr>
                    <w:r>
                      <w:fldChar w:fldCharType="begin"/>
                    </w:r>
                    <w:r>
                      <w:instrText xml:space="preserve"> PAGE  \* MERGEFORMAT </w:instrText>
                    </w:r>
                    <w:r>
                      <w:fldChar w:fldCharType="separate"/>
                    </w:r>
                    <w:r>
                      <w:t>5</w:t>
                    </w:r>
                    <w:r>
                      <w:fldChar w:fldCharType="end"/>
                    </w:r>
                  </w:p>
                  <w:p w14:paraId="10D2EA38"/>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EF386">
    <w:pPr>
      <w:pStyle w:val="265"/>
      <w:jc w:val="both"/>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246B74BA">
                          <w:pPr>
                            <w:pStyle w:val="265"/>
                            <w:tabs>
                              <w:tab w:val="clear" w:pos="4153"/>
                              <w:tab w:val="clear" w:pos="8306"/>
                            </w:tabs>
                          </w:pPr>
                          <w:r>
                            <w:fldChar w:fldCharType="begin"/>
                          </w:r>
                          <w:r>
                            <w:instrText xml:space="preserve"> PAGE  \* MERGEFORMAT </w:instrText>
                          </w:r>
                          <w:r>
                            <w:fldChar w:fldCharType="separate"/>
                          </w:r>
                          <w:r>
                            <w:t>31</w:t>
                          </w:r>
                          <w:r>
                            <w:fldChar w:fldCharType="end"/>
                          </w:r>
                        </w:p>
                        <w:p w14:paraId="50557F56"/>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kk2Zl9YBAACxAwAADgAAAAAAAAABACAAAAAe&#10;AQAAZHJzL2Uyb0RvYy54bWxQSwUGAAAAAAYABgBZAQAAZgUAAAAA&#10;">
              <v:fill on="f" focussize="0,0"/>
              <v:stroke on="f" joinstyle="miter"/>
              <v:imagedata o:title=""/>
              <o:lock v:ext="edit" aspectratio="f"/>
              <v:textbox inset="0mm,0mm,0mm,0mm" style="mso-fit-shape-to-text:t;">
                <w:txbxContent>
                  <w:p w14:paraId="246B74BA">
                    <w:pPr>
                      <w:pStyle w:val="265"/>
                      <w:tabs>
                        <w:tab w:val="clear" w:pos="4153"/>
                        <w:tab w:val="clear" w:pos="8306"/>
                      </w:tabs>
                    </w:pPr>
                    <w:r>
                      <w:fldChar w:fldCharType="begin"/>
                    </w:r>
                    <w:r>
                      <w:instrText xml:space="preserve"> PAGE  \* MERGEFORMAT </w:instrText>
                    </w:r>
                    <w:r>
                      <w:fldChar w:fldCharType="separate"/>
                    </w:r>
                    <w:r>
                      <w:t>31</w:t>
                    </w:r>
                    <w:r>
                      <w:fldChar w:fldCharType="end"/>
                    </w:r>
                  </w:p>
                  <w:p w14:paraId="50557F56"/>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4278A">
    <w:pPr>
      <w:pStyle w:val="265"/>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7D0696D8">
                          <w:pPr>
                            <w:pStyle w:val="265"/>
                            <w:tabs>
                              <w:tab w:val="clear" w:pos="4153"/>
                              <w:tab w:val="clear" w:pos="8306"/>
                            </w:tabs>
                          </w:pPr>
                          <w:r>
                            <w:fldChar w:fldCharType="begin"/>
                          </w:r>
                          <w:r>
                            <w:instrText xml:space="preserve"> PAGE  \* MERGEFORMAT </w:instrText>
                          </w:r>
                          <w:r>
                            <w:fldChar w:fldCharType="separate"/>
                          </w:r>
                          <w:r>
                            <w:t>30</w:t>
                          </w:r>
                          <w:r>
                            <w:fldChar w:fldCharType="end"/>
                          </w:r>
                        </w:p>
                        <w:p w14:paraId="6FA1318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ubIzKdYBAACxAwAADgAAAAAAAAABACAAAAAe&#10;AQAAZHJzL2Uyb0RvYy54bWxQSwUGAAAAAAYABgBZAQAAZgUAAAAA&#10;">
              <v:fill on="f" focussize="0,0"/>
              <v:stroke on="f" joinstyle="miter"/>
              <v:imagedata o:title=""/>
              <o:lock v:ext="edit" aspectratio="f"/>
              <v:textbox inset="0mm,0mm,0mm,0mm" style="mso-fit-shape-to-text:t;">
                <w:txbxContent>
                  <w:p w14:paraId="7D0696D8">
                    <w:pPr>
                      <w:pStyle w:val="265"/>
                      <w:tabs>
                        <w:tab w:val="clear" w:pos="4153"/>
                        <w:tab w:val="clear" w:pos="8306"/>
                      </w:tabs>
                    </w:pPr>
                    <w:r>
                      <w:fldChar w:fldCharType="begin"/>
                    </w:r>
                    <w:r>
                      <w:instrText xml:space="preserve"> PAGE  \* MERGEFORMAT </w:instrText>
                    </w:r>
                    <w:r>
                      <w:fldChar w:fldCharType="separate"/>
                    </w:r>
                    <w:r>
                      <w:t>30</w:t>
                    </w:r>
                    <w:r>
                      <w:fldChar w:fldCharType="end"/>
                    </w:r>
                  </w:p>
                  <w:p w14:paraId="6FA13180"/>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422A5EEC"/>
                        <w:p w14:paraId="45E5ED21"/>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&#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CFtb0x1QEAALEDAAAOAAAAAAAAAAEAIAAAAB4B&#10;AABkcnMvZTJvRG9jLnhtbFBLBQYAAAAABgAGAFkBAABlBQAAAAA=&#10;">
              <v:fill on="f" focussize="0,0"/>
              <v:stroke on="f" joinstyle="miter"/>
              <v:imagedata o:title=""/>
              <o:lock v:ext="edit" aspectratio="f"/>
              <v:textbox inset="0mm,0mm,0mm,0mm" style="mso-fit-shape-to-text:t;">
                <w:txbxContent>
                  <w:p w14:paraId="422A5EEC"/>
                  <w:p w14:paraId="45E5ED21"/>
                </w:txbxContent>
              </v:textbox>
            </v:shape>
          </w:pict>
        </mc:Fallback>
      </mc:AlternateContent>
    </w: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18B666BC"/>
                        <w:p w14:paraId="508BED5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rkoXj9YBAACxAwAADgAAAAAAAAABACAAAAAe&#10;AQAAZHJzL2Uyb0RvYy54bWxQSwUGAAAAAAYABgBZAQAAZgUAAAAA&#10;">
              <v:fill on="f" focussize="0,0"/>
              <v:stroke on="f" joinstyle="miter"/>
              <v:imagedata o:title=""/>
              <o:lock v:ext="edit" aspectratio="f"/>
              <v:textbox inset="0mm,0mm,0mm,0mm" style="mso-fit-shape-to-text:t;">
                <w:txbxContent>
                  <w:p w14:paraId="18B666BC"/>
                  <w:p w14:paraId="508BED53"/>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3036570</wp:posOffset>
              </wp:positionH>
              <wp:positionV relativeFrom="paragraph">
                <wp:posOffset>-9525</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2E2D115A"/>
                        <w:p w14:paraId="7489B108"/>
                      </w:txbxContent>
                    </wps:txbx>
                    <wps:bodyPr wrap="none" lIns="0" tIns="0" rIns="0" bIns="0" upright="1">
                      <a:spAutoFit/>
                    </wps:bodyPr>
                  </wps:wsp>
                </a:graphicData>
              </a:graphic>
            </wp:anchor>
          </w:drawing>
        </mc:Choice>
        <mc:Fallback>
          <w:pict>
            <v:shape id="_x0000_s1026" o:spid="_x0000_s1026" o:spt="202" type="#_x0000_t202" style="position:absolute;left:0pt;margin-left:239.1pt;margin-top:-0.75pt;height:144pt;width:144pt;mso-position-horizontal-relative:margin;mso-wrap-style:none;z-index:251667456;mso-width-relative:page;mso-height-relative:page;" filled="f" stroked="f" coordsize="21600,21600" o:gfxdata="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VOjH6NcAAAAKAQAADwAAAAAAAAABACAA&#10;AAAiAAAAZHJzL2Rvd25yZXYueG1sUEsBAhQAFAAAAAgAh07iQGJRofXVAQAAsQMAAA4AAAAAAAAA&#10;AQAgAAAAJgEAAGRycy9lMm9Eb2MueG1sUEsFBgAAAAAGAAYAWQEAAG0FAAAAAA==&#10;">
              <v:fill on="f" focussize="0,0"/>
              <v:stroke on="f" joinstyle="miter"/>
              <v:imagedata o:title=""/>
              <o:lock v:ext="edit" aspectratio="f"/>
              <v:textbox inset="0mm,0mm,0mm,0mm" style="mso-fit-shape-to-text:t;">
                <w:txbxContent>
                  <w:p w14:paraId="2E2D115A"/>
                  <w:p w14:paraId="7489B108"/>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274722D6"/>
                        <w:p w14:paraId="09440FA6"/>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Sa4LS9YBAACxAwAADgAAAAAAAAABACAAAAAe&#10;AQAAZHJzL2Uyb0RvYy54bWxQSwUGAAAAAAYABgBZAQAAZgUAAAAA&#10;">
              <v:fill on="f" focussize="0,0"/>
              <v:stroke on="f" joinstyle="miter"/>
              <v:imagedata o:title=""/>
              <o:lock v:ext="edit" aspectratio="f"/>
              <v:textbox inset="0mm,0mm,0mm,0mm" style="mso-fit-shape-to-text:t;">
                <w:txbxContent>
                  <w:p w14:paraId="274722D6"/>
                  <w:p w14:paraId="09440FA6"/>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C2153">
    <w:pPr>
      <w:pStyle w:val="265"/>
      <w:tabs>
        <w:tab w:val="left" w:pos="780"/>
      </w:tabs>
      <w:spacing w:after="240"/>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44CBBC2F">
                          <w:pPr>
                            <w:pStyle w:val="265"/>
                            <w:tabs>
                              <w:tab w:val="clear" w:pos="4153"/>
                              <w:tab w:val="clear" w:pos="8306"/>
                            </w:tabs>
                          </w:pPr>
                          <w:r>
                            <w:fldChar w:fldCharType="begin"/>
                          </w:r>
                          <w:r>
                            <w:instrText xml:space="preserve"> PAGE  \* MERGEFORMAT </w:instrText>
                          </w:r>
                          <w:r>
                            <w:fldChar w:fldCharType="separate"/>
                          </w:r>
                          <w:r>
                            <w:t>49</w:t>
                          </w:r>
                          <w:r>
                            <w:fldChar w:fldCharType="end"/>
                          </w:r>
                        </w:p>
                        <w:p w14:paraId="6716812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3gv/UtYBAACzAwAADgAAAAAAAAABACAAAAAe&#10;AQAAZHJzL2Uyb0RvYy54bWxQSwUGAAAAAAYABgBZAQAAZgUAAAAA&#10;">
              <v:fill on="f" focussize="0,0"/>
              <v:stroke on="f" joinstyle="miter"/>
              <v:imagedata o:title=""/>
              <o:lock v:ext="edit" aspectratio="f"/>
              <v:textbox inset="0mm,0mm,0mm,0mm" style="mso-fit-shape-to-text:t;">
                <w:txbxContent>
                  <w:p w14:paraId="44CBBC2F">
                    <w:pPr>
                      <w:pStyle w:val="265"/>
                      <w:tabs>
                        <w:tab w:val="clear" w:pos="4153"/>
                        <w:tab w:val="clear" w:pos="8306"/>
                      </w:tabs>
                    </w:pPr>
                    <w:r>
                      <w:fldChar w:fldCharType="begin"/>
                    </w:r>
                    <w:r>
                      <w:instrText xml:space="preserve"> PAGE  \* MERGEFORMAT </w:instrText>
                    </w:r>
                    <w:r>
                      <w:fldChar w:fldCharType="separate"/>
                    </w:r>
                    <w:r>
                      <w:t>49</w:t>
                    </w:r>
                    <w:r>
                      <w:fldChar w:fldCharType="end"/>
                    </w:r>
                  </w:p>
                  <w:p w14:paraId="6716812B"/>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E7F91F">
    <w:pPr>
      <w:pStyle w:val="265"/>
      <w:framePr w:wrap="around" w:vAnchor="text" w:hAnchor="margin" w:xAlign="center" w:y="1"/>
      <w:spacing w:after="240"/>
      <w:rPr>
        <w:rStyle w:val="283"/>
      </w:rPr>
    </w:pPr>
    <w:r>
      <w:fldChar w:fldCharType="begin"/>
    </w:r>
    <w:r>
      <w:rPr>
        <w:rStyle w:val="283"/>
      </w:rPr>
      <w:instrText xml:space="preserve">PAGE  </w:instrText>
    </w:r>
    <w:r>
      <w:fldChar w:fldCharType="end"/>
    </w:r>
  </w:p>
  <w:p w14:paraId="4D333DF4">
    <w:pPr>
      <w:pStyle w:val="265"/>
      <w:spacing w:after="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0282F5">
    <w:pPr>
      <w:pStyle w:val="267"/>
      <w:pBdr>
        <w:bottom w:val="none" w:color="000000" w:sz="0" w:space="1"/>
      </w:pBdr>
      <w:jc w:val="both"/>
      <w:rPr>
        <w:rFonts w:eastAsia="楷体_GB2312"/>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7C590B">
    <w:pPr>
      <w:pStyle w:val="267"/>
      <w:pBdr>
        <w:bottom w:val="none" w:color="000000" w:sz="0" w:space="1"/>
      </w:pBdr>
      <w:jc w:val="both"/>
      <w:rPr>
        <w:rFonts w:eastAsia="楷体_GB231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2A0331">
    <w:pPr>
      <w:pStyle w:val="267"/>
      <w:pBdr>
        <w:bottom w:val="none" w:color="000000" w:sz="0" w:space="1"/>
      </w:pBdr>
      <w:jc w:val="both"/>
      <w:rPr>
        <w:rFonts w:ascii="等线" w:hAnsi="等线" w:eastAsia="楷体_GB231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29716">
    <w:pPr>
      <w:pStyle w:val="267"/>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2709F3"/>
    <w:multiLevelType w:val="singleLevel"/>
    <w:tmpl w:val="B72709F3"/>
    <w:lvl w:ilvl="0" w:tentative="0">
      <w:start w:val="5"/>
      <w:numFmt w:val="decimal"/>
      <w:suff w:val="nothing"/>
      <w:lvlText w:val="%1）"/>
      <w:lvlJc w:val="left"/>
    </w:lvl>
  </w:abstractNum>
  <w:abstractNum w:abstractNumId="1">
    <w:nsid w:val="CF092B84"/>
    <w:multiLevelType w:val="multilevel"/>
    <w:tmpl w:val="CF092B84"/>
    <w:lvl w:ilvl="0" w:tentative="0">
      <w:start w:val="1"/>
      <w:numFmt w:val="upperLetter"/>
      <w:pStyle w:val="235"/>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2">
    <w:nsid w:val="0053208E"/>
    <w:multiLevelType w:val="multilevel"/>
    <w:tmpl w:val="0053208E"/>
    <w:lvl w:ilvl="0" w:tentative="0">
      <w:start w:val="1"/>
      <w:numFmt w:val="bullet"/>
      <w:pStyle w:val="17"/>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483B14B6"/>
    <w:multiLevelType w:val="singleLevel"/>
    <w:tmpl w:val="483B14B6"/>
    <w:lvl w:ilvl="0" w:tentative="0">
      <w:start w:val="2"/>
      <w:numFmt w:val="decimal"/>
      <w:suff w:val="nothing"/>
      <w:lvlText w:val="%1）"/>
      <w:lvlJc w:val="left"/>
    </w:lvl>
  </w:abstractNum>
  <w:abstractNum w:abstractNumId="4">
    <w:nsid w:val="4C1BAE26"/>
    <w:multiLevelType w:val="multilevel"/>
    <w:tmpl w:val="4C1BAE26"/>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58765686"/>
    <w:multiLevelType w:val="multilevel"/>
    <w:tmpl w:val="58765686"/>
    <w:lvl w:ilvl="0" w:tentative="0">
      <w:start w:val="1"/>
      <w:numFmt w:val="decimalEnclosedCircle"/>
      <w:lvlText w:val="%1"/>
      <w:lvlJc w:val="left"/>
      <w:pPr>
        <w:tabs>
          <w:tab w:val="left" w:pos="1240"/>
        </w:tabs>
        <w:ind w:left="1240" w:hanging="360"/>
      </w:pPr>
    </w:lvl>
    <w:lvl w:ilvl="1" w:tentative="0">
      <w:start w:val="1"/>
      <w:numFmt w:val="lowerLetter"/>
      <w:lvlText w:val="%2)"/>
      <w:lvlJc w:val="left"/>
      <w:pPr>
        <w:tabs>
          <w:tab w:val="left" w:pos="1720"/>
        </w:tabs>
        <w:ind w:left="1720" w:hanging="420"/>
      </w:pPr>
    </w:lvl>
    <w:lvl w:ilvl="2" w:tentative="0">
      <w:start w:val="1"/>
      <w:numFmt w:val="lowerRoman"/>
      <w:lvlText w:val="%3."/>
      <w:lvlJc w:val="right"/>
      <w:pPr>
        <w:tabs>
          <w:tab w:val="left" w:pos="2140"/>
        </w:tabs>
        <w:ind w:left="2140" w:hanging="420"/>
      </w:pPr>
    </w:lvl>
    <w:lvl w:ilvl="3" w:tentative="0">
      <w:start w:val="1"/>
      <w:numFmt w:val="decimal"/>
      <w:lvlText w:val="%4."/>
      <w:lvlJc w:val="left"/>
      <w:pPr>
        <w:tabs>
          <w:tab w:val="left" w:pos="2560"/>
        </w:tabs>
        <w:ind w:left="2560" w:hanging="420"/>
      </w:pPr>
    </w:lvl>
    <w:lvl w:ilvl="4" w:tentative="0">
      <w:start w:val="1"/>
      <w:numFmt w:val="lowerLetter"/>
      <w:lvlText w:val="%5)"/>
      <w:lvlJc w:val="left"/>
      <w:pPr>
        <w:tabs>
          <w:tab w:val="left" w:pos="2980"/>
        </w:tabs>
        <w:ind w:left="2980" w:hanging="420"/>
      </w:pPr>
    </w:lvl>
    <w:lvl w:ilvl="5" w:tentative="0">
      <w:start w:val="1"/>
      <w:numFmt w:val="lowerRoman"/>
      <w:lvlText w:val="%6."/>
      <w:lvlJc w:val="right"/>
      <w:pPr>
        <w:tabs>
          <w:tab w:val="left" w:pos="3400"/>
        </w:tabs>
        <w:ind w:left="3400" w:hanging="420"/>
      </w:pPr>
    </w:lvl>
    <w:lvl w:ilvl="6" w:tentative="0">
      <w:start w:val="1"/>
      <w:numFmt w:val="decimal"/>
      <w:lvlText w:val="%7."/>
      <w:lvlJc w:val="left"/>
      <w:pPr>
        <w:tabs>
          <w:tab w:val="left" w:pos="3820"/>
        </w:tabs>
        <w:ind w:left="3820" w:hanging="420"/>
      </w:pPr>
    </w:lvl>
    <w:lvl w:ilvl="7" w:tentative="0">
      <w:start w:val="1"/>
      <w:numFmt w:val="lowerLetter"/>
      <w:lvlText w:val="%8)"/>
      <w:lvlJc w:val="left"/>
      <w:pPr>
        <w:tabs>
          <w:tab w:val="left" w:pos="4240"/>
        </w:tabs>
        <w:ind w:left="4240" w:hanging="420"/>
      </w:pPr>
    </w:lvl>
    <w:lvl w:ilvl="8" w:tentative="0">
      <w:start w:val="1"/>
      <w:numFmt w:val="lowerRoman"/>
      <w:lvlText w:val="%9."/>
      <w:lvlJc w:val="right"/>
      <w:pPr>
        <w:tabs>
          <w:tab w:val="left" w:pos="4660"/>
        </w:tabs>
        <w:ind w:left="4660" w:hanging="420"/>
      </w:pPr>
    </w:lvl>
  </w:abstractNum>
  <w:abstractNum w:abstractNumId="6">
    <w:nsid w:val="60382F6E"/>
    <w:multiLevelType w:val="multilevel"/>
    <w:tmpl w:val="60382F6E"/>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6BF7360F"/>
    <w:multiLevelType w:val="multilevel"/>
    <w:tmpl w:val="6BF7360F"/>
    <w:lvl w:ilvl="0" w:tentative="0">
      <w:start w:val="1"/>
      <w:numFmt w:val="decimal"/>
      <w:lvlText w:val="%1."/>
      <w:lvlJc w:val="left"/>
      <w:pPr>
        <w:tabs>
          <w:tab w:val="left" w:pos="0"/>
        </w:tabs>
      </w:pPr>
      <w:rPr>
        <w:rFonts w:hint="default"/>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7A2D5525"/>
    <w:multiLevelType w:val="multilevel"/>
    <w:tmpl w:val="7A2D5525"/>
    <w:lvl w:ilvl="0" w:tentative="0">
      <w:start w:val="1"/>
      <w:numFmt w:val="chineseCountingThousand"/>
      <w:suff w:val="space"/>
      <w:lvlText w:val="%1、"/>
      <w:lvlJc w:val="left"/>
      <w:pPr>
        <w:ind w:left="0" w:firstLine="0"/>
      </w:pPr>
      <w:rPr>
        <w:rFonts w:hint="eastAsia"/>
        <w:sz w:val="24"/>
        <w:szCs w:val="24"/>
      </w:rPr>
    </w:lvl>
    <w:lvl w:ilvl="1" w:tentative="0">
      <w:start w:val="1"/>
      <w:numFmt w:val="decimal"/>
      <w:suff w:val="space"/>
      <w:lvlText w:val="%2"/>
      <w:lvlJc w:val="left"/>
      <w:pPr>
        <w:ind w:left="0" w:firstLine="0"/>
      </w:pPr>
      <w:rPr>
        <w:rFonts w:hint="eastAsia"/>
      </w:rPr>
    </w:lvl>
    <w:lvl w:ilvl="2" w:tentative="0">
      <w:start w:val="1"/>
      <w:numFmt w:val="decimal"/>
      <w:suff w:val="space"/>
      <w:lvlText w:val="%2.%3"/>
      <w:lvlJc w:val="left"/>
      <w:pPr>
        <w:ind w:left="0" w:firstLine="0"/>
      </w:pPr>
      <w:rPr>
        <w:rFonts w:hint="eastAsia"/>
      </w:rPr>
    </w:lvl>
    <w:lvl w:ilvl="3" w:tentative="0">
      <w:start w:val="1"/>
      <w:numFmt w:val="decimal"/>
      <w:suff w:val="space"/>
      <w:lvlText w:val="%2.%3.%4"/>
      <w:lvlJc w:val="left"/>
      <w:pPr>
        <w:ind w:left="0" w:firstLine="0"/>
      </w:pPr>
      <w:rPr>
        <w:rFonts w:hint="eastAsia"/>
      </w:rPr>
    </w:lvl>
    <w:lvl w:ilvl="4" w:tentative="0">
      <w:start w:val="1"/>
      <w:numFmt w:val="decimal"/>
      <w:suff w:val="space"/>
      <w:lvlText w:val="%2.%3.%4.%5"/>
      <w:lvlJc w:val="left"/>
      <w:pPr>
        <w:ind w:left="0" w:firstLine="0"/>
      </w:pPr>
      <w:rPr>
        <w:rFonts w:hint="eastAsia"/>
      </w:rPr>
    </w:lvl>
    <w:lvl w:ilvl="5" w:tentative="0">
      <w:start w:val="1"/>
      <w:numFmt w:val="decimal"/>
      <w:suff w:val="space"/>
      <w:lvlText w:val="%2.%3.%4.%5.%6"/>
      <w:lvlJc w:val="left"/>
      <w:pPr>
        <w:ind w:left="0" w:firstLine="0"/>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2"/>
  </w:num>
  <w:num w:numId="2">
    <w:abstractNumId w:val="1"/>
  </w:num>
  <w:num w:numId="3">
    <w:abstractNumId w:val="8"/>
  </w:num>
  <w:num w:numId="4">
    <w:abstractNumId w:val="5"/>
  </w:num>
  <w:num w:numId="5">
    <w:abstractNumId w:val="7"/>
  </w:num>
  <w:num w:numId="6">
    <w:abstractNumId w:val="3"/>
  </w:num>
  <w:num w:numId="7">
    <w:abstractNumId w:val="0"/>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800137"/>
    <w:rsid w:val="0CE9485E"/>
    <w:rsid w:val="192D25B6"/>
    <w:rsid w:val="1B5A70A8"/>
    <w:rsid w:val="36A17977"/>
    <w:rsid w:val="44103433"/>
    <w:rsid w:val="4DA15D89"/>
    <w:rsid w:val="55773D5B"/>
    <w:rsid w:val="660E65E8"/>
    <w:rsid w:val="70D900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lang w:val="en-US" w:eastAsia="zh-CN" w:bidi="ar-SA"/>
    </w:rPr>
  </w:style>
  <w:style w:type="paragraph" w:styleId="4">
    <w:name w:val="heading 1"/>
    <w:basedOn w:val="1"/>
    <w:next w:val="1"/>
    <w:link w:val="84"/>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85"/>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86"/>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87"/>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88"/>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89"/>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90"/>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91"/>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92"/>
    <w:unhideWhenUsed/>
    <w:qFormat/>
    <w:uiPriority w:val="9"/>
    <w:pPr>
      <w:keepNext/>
      <w:keepLines/>
      <w:spacing w:before="320" w:after="200"/>
      <w:outlineLvl w:val="8"/>
    </w:pPr>
    <w:rPr>
      <w:rFonts w:ascii="Arial" w:hAnsi="Arial" w:eastAsia="Arial" w:cs="Arial"/>
      <w:i/>
      <w:iCs/>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semiHidden/>
    <w:qFormat/>
    <w:uiPriority w:val="0"/>
    <w:rPr>
      <w:rFonts w:ascii="宋体" w:hAnsi="宋体" w:cs="宋体"/>
      <w:sz w:val="24"/>
      <w:szCs w:val="24"/>
      <w:lang w:eastAsia="en-US"/>
    </w:rPr>
  </w:style>
  <w:style w:type="paragraph" w:styleId="3">
    <w:name w:val="List"/>
    <w:basedOn w:val="1"/>
    <w:qFormat/>
    <w:uiPriority w:val="0"/>
    <w:pPr>
      <w:tabs>
        <w:tab w:val="left" w:pos="420"/>
      </w:tabs>
      <w:spacing w:after="20" w:line="360" w:lineRule="auto"/>
      <w:ind w:firstLine="480"/>
    </w:pPr>
    <w:rPr>
      <w:rFonts w:ascii="宋体" w:hAnsi="宋体" w:eastAsia="宋体" w:cs="宋体"/>
      <w:sz w:val="24"/>
      <w:szCs w:val="24"/>
    </w:rPr>
  </w:style>
  <w:style w:type="paragraph" w:styleId="13">
    <w:name w:val="toc 7"/>
    <w:basedOn w:val="1"/>
    <w:next w:val="1"/>
    <w:unhideWhenUsed/>
    <w:qFormat/>
    <w:uiPriority w:val="39"/>
    <w:pPr>
      <w:spacing w:after="57"/>
      <w:ind w:left="1701"/>
    </w:pPr>
  </w:style>
  <w:style w:type="paragraph" w:styleId="14">
    <w:name w:val="Normal Indent"/>
    <w:basedOn w:val="1"/>
    <w:qFormat/>
    <w:uiPriority w:val="0"/>
    <w:pPr>
      <w:ind w:firstLine="420"/>
    </w:pPr>
    <w:rPr>
      <w:sz w:val="20"/>
      <w:lang w:eastAsia="en-US"/>
    </w:rPr>
  </w:style>
  <w:style w:type="paragraph" w:styleId="15">
    <w:name w:val="caption"/>
    <w:basedOn w:val="1"/>
    <w:next w:val="1"/>
    <w:semiHidden/>
    <w:unhideWhenUsed/>
    <w:qFormat/>
    <w:uiPriority w:val="35"/>
    <w:pPr>
      <w:spacing w:line="276" w:lineRule="auto"/>
    </w:pPr>
    <w:rPr>
      <w:b/>
      <w:bCs/>
      <w:color w:val="4F81BD"/>
      <w:sz w:val="18"/>
      <w:szCs w:val="18"/>
    </w:rPr>
  </w:style>
  <w:style w:type="paragraph" w:styleId="16">
    <w:name w:val="Body Text Indent"/>
    <w:basedOn w:val="1"/>
    <w:qFormat/>
    <w:uiPriority w:val="99"/>
    <w:pPr>
      <w:widowControl/>
      <w:spacing w:line="360" w:lineRule="auto"/>
      <w:ind w:firstLine="540"/>
    </w:pPr>
    <w:rPr>
      <w:rFonts w:ascii="宋体" w:hAnsi="MS Sans Serif"/>
      <w:spacing w:val="12"/>
      <w:sz w:val="24"/>
    </w:rPr>
  </w:style>
  <w:style w:type="paragraph" w:styleId="17">
    <w:name w:val="List Bullet 2"/>
    <w:basedOn w:val="1"/>
    <w:semiHidden/>
    <w:unhideWhenUsed/>
    <w:qFormat/>
    <w:uiPriority w:val="99"/>
    <w:pPr>
      <w:numPr>
        <w:ilvl w:val="0"/>
        <w:numId w:val="1"/>
      </w:numPr>
    </w:pPr>
  </w:style>
  <w:style w:type="paragraph" w:styleId="18">
    <w:name w:val="index 4"/>
    <w:basedOn w:val="1"/>
    <w:next w:val="1"/>
    <w:qFormat/>
    <w:uiPriority w:val="99"/>
    <w:pPr>
      <w:ind w:left="600"/>
    </w:pPr>
    <w:rPr>
      <w:szCs w:val="24"/>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qFormat/>
    <w:uiPriority w:val="99"/>
    <w:rPr>
      <w:rFonts w:ascii="宋体" w:hAnsi="Courier New"/>
    </w:rPr>
  </w:style>
  <w:style w:type="paragraph" w:styleId="22">
    <w:name w:val="toc 8"/>
    <w:basedOn w:val="1"/>
    <w:next w:val="1"/>
    <w:unhideWhenUsed/>
    <w:qFormat/>
    <w:uiPriority w:val="39"/>
    <w:pPr>
      <w:spacing w:after="57"/>
      <w:ind w:left="1984"/>
    </w:pPr>
  </w:style>
  <w:style w:type="paragraph" w:styleId="23">
    <w:name w:val="endnote text"/>
    <w:basedOn w:val="1"/>
    <w:link w:val="229"/>
    <w:semiHidden/>
    <w:unhideWhenUsed/>
    <w:qFormat/>
    <w:uiPriority w:val="99"/>
    <w:rPr>
      <w:sz w:val="20"/>
    </w:rPr>
  </w:style>
  <w:style w:type="paragraph" w:styleId="24">
    <w:name w:val="footer"/>
    <w:basedOn w:val="1"/>
    <w:next w:val="25"/>
    <w:link w:val="102"/>
    <w:unhideWhenUsed/>
    <w:qFormat/>
    <w:uiPriority w:val="99"/>
    <w:pPr>
      <w:tabs>
        <w:tab w:val="center" w:pos="7143"/>
        <w:tab w:val="right" w:pos="14287"/>
      </w:tabs>
    </w:pPr>
  </w:style>
  <w:style w:type="paragraph" w:customStyle="1" w:styleId="25">
    <w:name w:val="TOC Heading1"/>
    <w:next w:val="1"/>
    <w:qFormat/>
    <w:uiPriority w:val="0"/>
    <w:rPr>
      <w:rFonts w:hint="default" w:ascii="Times New Roman" w:hAnsi="Times New Roman" w:eastAsia="宋体" w:cs="Times New Roman"/>
      <w:sz w:val="32"/>
      <w:lang w:val="en-US" w:eastAsia="zh-CN" w:bidi="ar-SA"/>
    </w:rPr>
  </w:style>
  <w:style w:type="paragraph" w:styleId="26">
    <w:name w:val="header"/>
    <w:basedOn w:val="1"/>
    <w:link w:val="100"/>
    <w:unhideWhenUsed/>
    <w:qFormat/>
    <w:uiPriority w:val="99"/>
    <w:pPr>
      <w:tabs>
        <w:tab w:val="center" w:pos="7143"/>
        <w:tab w:val="right" w:pos="14287"/>
      </w:tabs>
    </w:p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95"/>
    <w:qFormat/>
    <w:uiPriority w:val="11"/>
    <w:pPr>
      <w:spacing w:before="200" w:after="200"/>
    </w:pPr>
    <w:rPr>
      <w:sz w:val="24"/>
      <w:szCs w:val="24"/>
    </w:rPr>
  </w:style>
  <w:style w:type="paragraph" w:styleId="30">
    <w:name w:val="footnote text"/>
    <w:basedOn w:val="1"/>
    <w:link w:val="228"/>
    <w:semiHidden/>
    <w:unhideWhenUsed/>
    <w:qFormat/>
    <w:uiPriority w:val="99"/>
    <w:pPr>
      <w:spacing w:after="40"/>
    </w:pPr>
    <w:rPr>
      <w:sz w:val="18"/>
    </w:rPr>
  </w:style>
  <w:style w:type="paragraph" w:styleId="31">
    <w:name w:val="toc 6"/>
    <w:basedOn w:val="1"/>
    <w:next w:val="1"/>
    <w:unhideWhenUsed/>
    <w:qFormat/>
    <w:uiPriority w:val="39"/>
    <w:pPr>
      <w:spacing w:after="57"/>
      <w:ind w:left="1417"/>
    </w:p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Normal (Web)"/>
    <w:basedOn w:val="1"/>
    <w:qFormat/>
    <w:uiPriority w:val="0"/>
    <w:pPr>
      <w:widowControl/>
      <w:spacing w:before="100" w:beforeAutospacing="1" w:after="100" w:afterAutospacing="1"/>
      <w:jc w:val="left"/>
    </w:pPr>
    <w:rPr>
      <w:rFonts w:ascii="宋体" w:hAnsi="宋体" w:cs="宋体"/>
      <w:sz w:val="24"/>
      <w:szCs w:val="24"/>
    </w:rPr>
  </w:style>
  <w:style w:type="paragraph" w:styleId="36">
    <w:name w:val="Title"/>
    <w:basedOn w:val="1"/>
    <w:next w:val="1"/>
    <w:link w:val="94"/>
    <w:qFormat/>
    <w:uiPriority w:val="10"/>
    <w:pPr>
      <w:spacing w:before="300" w:after="200"/>
      <w:contextualSpacing/>
    </w:pPr>
    <w:rPr>
      <w:sz w:val="48"/>
      <w:szCs w:val="48"/>
    </w:rPr>
  </w:style>
  <w:style w:type="paragraph" w:styleId="37">
    <w:name w:val="Body Text First Indent"/>
    <w:basedOn w:val="2"/>
    <w:unhideWhenUsed/>
    <w:qFormat/>
    <w:uiPriority w:val="0"/>
    <w:pPr>
      <w:spacing w:after="120"/>
      <w:ind w:firstLine="420"/>
    </w:pPr>
    <w:rPr>
      <w:rFonts w:ascii="等线" w:hAnsi="等线" w:eastAsia="等线"/>
      <w:sz w:val="21"/>
    </w:r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qFormat/>
    <w:uiPriority w:val="22"/>
    <w:rPr>
      <w:b/>
    </w:rPr>
  </w:style>
  <w:style w:type="character" w:styleId="42">
    <w:name w:val="endnote reference"/>
    <w:semiHidden/>
    <w:unhideWhenUsed/>
    <w:qFormat/>
    <w:uiPriority w:val="99"/>
    <w:rPr>
      <w:vertAlign w:val="superscript"/>
    </w:rPr>
  </w:style>
  <w:style w:type="character" w:styleId="43">
    <w:name w:val="page number"/>
    <w:qFormat/>
    <w:uiPriority w:val="0"/>
  </w:style>
  <w:style w:type="character" w:styleId="44">
    <w:name w:val="Hyperlink"/>
    <w:unhideWhenUsed/>
    <w:qFormat/>
    <w:uiPriority w:val="99"/>
    <w:rPr>
      <w:color w:val="0000FF"/>
      <w:u w:val="single"/>
    </w:rPr>
  </w:style>
  <w:style w:type="character" w:styleId="45">
    <w:name w:val="footnote reference"/>
    <w:unhideWhenUsed/>
    <w:qFormat/>
    <w:uiPriority w:val="99"/>
    <w:rPr>
      <w:vertAlign w:val="superscript"/>
    </w:rPr>
  </w:style>
  <w:style w:type="character" w:customStyle="1" w:styleId="46">
    <w:name w:val="Heading 1 Char"/>
    <w:basedOn w:val="40"/>
    <w:qFormat/>
    <w:uiPriority w:val="9"/>
    <w:rPr>
      <w:rFonts w:ascii="Arial" w:hAnsi="Arial" w:eastAsia="Arial" w:cs="Arial"/>
      <w:sz w:val="40"/>
      <w:szCs w:val="40"/>
    </w:rPr>
  </w:style>
  <w:style w:type="character" w:customStyle="1" w:styleId="47">
    <w:name w:val="Heading 2 Char"/>
    <w:basedOn w:val="40"/>
    <w:qFormat/>
    <w:uiPriority w:val="9"/>
    <w:rPr>
      <w:rFonts w:ascii="Arial" w:hAnsi="Arial" w:eastAsia="Arial" w:cs="Arial"/>
      <w:sz w:val="34"/>
    </w:rPr>
  </w:style>
  <w:style w:type="character" w:customStyle="1" w:styleId="48">
    <w:name w:val="Heading 3 Char"/>
    <w:basedOn w:val="40"/>
    <w:qFormat/>
    <w:uiPriority w:val="9"/>
    <w:rPr>
      <w:rFonts w:ascii="Arial" w:hAnsi="Arial" w:eastAsia="Arial" w:cs="Arial"/>
      <w:sz w:val="30"/>
      <w:szCs w:val="30"/>
    </w:rPr>
  </w:style>
  <w:style w:type="character" w:customStyle="1" w:styleId="49">
    <w:name w:val="Heading 4 Char"/>
    <w:basedOn w:val="40"/>
    <w:qFormat/>
    <w:uiPriority w:val="9"/>
    <w:rPr>
      <w:rFonts w:ascii="Arial" w:hAnsi="Arial" w:eastAsia="Arial" w:cs="Arial"/>
      <w:b/>
      <w:bCs/>
      <w:sz w:val="26"/>
      <w:szCs w:val="26"/>
    </w:rPr>
  </w:style>
  <w:style w:type="character" w:customStyle="1" w:styleId="50">
    <w:name w:val="Heading 5 Char"/>
    <w:basedOn w:val="40"/>
    <w:qFormat/>
    <w:uiPriority w:val="9"/>
    <w:rPr>
      <w:rFonts w:ascii="Arial" w:hAnsi="Arial" w:eastAsia="Arial" w:cs="Arial"/>
      <w:b/>
      <w:bCs/>
      <w:sz w:val="24"/>
      <w:szCs w:val="24"/>
    </w:rPr>
  </w:style>
  <w:style w:type="character" w:customStyle="1" w:styleId="51">
    <w:name w:val="Heading 6 Char"/>
    <w:basedOn w:val="40"/>
    <w:qFormat/>
    <w:uiPriority w:val="9"/>
    <w:rPr>
      <w:rFonts w:ascii="Arial" w:hAnsi="Arial" w:eastAsia="Arial" w:cs="Arial"/>
      <w:b/>
      <w:bCs/>
      <w:sz w:val="22"/>
      <w:szCs w:val="22"/>
    </w:rPr>
  </w:style>
  <w:style w:type="character" w:customStyle="1" w:styleId="52">
    <w:name w:val="Heading 7 Char"/>
    <w:basedOn w:val="40"/>
    <w:qFormat/>
    <w:uiPriority w:val="9"/>
    <w:rPr>
      <w:rFonts w:ascii="Arial" w:hAnsi="Arial" w:eastAsia="Arial" w:cs="Arial"/>
      <w:b/>
      <w:bCs/>
      <w:i/>
      <w:iCs/>
      <w:sz w:val="22"/>
      <w:szCs w:val="22"/>
    </w:rPr>
  </w:style>
  <w:style w:type="character" w:customStyle="1" w:styleId="53">
    <w:name w:val="Heading 8 Char"/>
    <w:basedOn w:val="40"/>
    <w:qFormat/>
    <w:uiPriority w:val="9"/>
    <w:rPr>
      <w:rFonts w:ascii="Arial" w:hAnsi="Arial" w:eastAsia="Arial" w:cs="Arial"/>
      <w:i/>
      <w:iCs/>
      <w:sz w:val="22"/>
      <w:szCs w:val="22"/>
    </w:rPr>
  </w:style>
  <w:style w:type="character" w:customStyle="1" w:styleId="54">
    <w:name w:val="Heading 9 Char"/>
    <w:basedOn w:val="40"/>
    <w:qFormat/>
    <w:uiPriority w:val="9"/>
    <w:rPr>
      <w:rFonts w:ascii="Arial" w:hAnsi="Arial" w:eastAsia="Arial" w:cs="Arial"/>
      <w:i/>
      <w:iCs/>
      <w:sz w:val="21"/>
      <w:szCs w:val="21"/>
    </w:rPr>
  </w:style>
  <w:style w:type="character" w:customStyle="1" w:styleId="55">
    <w:name w:val="Title Char"/>
    <w:basedOn w:val="40"/>
    <w:qFormat/>
    <w:uiPriority w:val="10"/>
    <w:rPr>
      <w:sz w:val="48"/>
      <w:szCs w:val="48"/>
    </w:rPr>
  </w:style>
  <w:style w:type="character" w:customStyle="1" w:styleId="56">
    <w:name w:val="Subtitle Char"/>
    <w:basedOn w:val="40"/>
    <w:qFormat/>
    <w:uiPriority w:val="11"/>
    <w:rPr>
      <w:sz w:val="24"/>
      <w:szCs w:val="24"/>
    </w:rPr>
  </w:style>
  <w:style w:type="character" w:customStyle="1" w:styleId="57">
    <w:name w:val="Quote Char"/>
    <w:qFormat/>
    <w:uiPriority w:val="29"/>
    <w:rPr>
      <w:i/>
    </w:rPr>
  </w:style>
  <w:style w:type="character" w:customStyle="1" w:styleId="58">
    <w:name w:val="Intense Quote Char"/>
    <w:qFormat/>
    <w:uiPriority w:val="30"/>
    <w:rPr>
      <w:i/>
    </w:rPr>
  </w:style>
  <w:style w:type="character" w:customStyle="1" w:styleId="59">
    <w:name w:val="Header Char"/>
    <w:basedOn w:val="40"/>
    <w:qFormat/>
    <w:uiPriority w:val="99"/>
  </w:style>
  <w:style w:type="character" w:customStyle="1" w:styleId="60">
    <w:name w:val="Caption Char"/>
    <w:qFormat/>
    <w:uiPriority w:val="99"/>
  </w:style>
  <w:style w:type="table" w:customStyle="1" w:styleId="61">
    <w:name w:val="Plain Table 1"/>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basedOn w:val="3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basedOn w:val="3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basedOn w:val="3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basedOn w:val="3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basedOn w:val="3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2"/>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3"/>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4"/>
    <w:basedOn w:val="3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5 Dark"/>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1">
    <w:name w:val="Grid Table 6 Colorful"/>
    <w:basedOn w:val="3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2">
    <w:name w:val="Grid Table 7 Colorful"/>
    <w:basedOn w:val="3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3">
    <w:name w:val="List Table 1 Light"/>
    <w:basedOn w:val="3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4">
    <w:name w:val="List Table 2"/>
    <w:basedOn w:val="3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5">
    <w:name w:val="List Table 3"/>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6">
    <w:name w:val="List Table 4"/>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7">
    <w:name w:val="List Table 5 Dark"/>
    <w:basedOn w:val="3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8">
    <w:name w:val="List Table 6 Colorful"/>
    <w:basedOn w:val="3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9">
    <w:name w:val="List Table 7 Colorful"/>
    <w:basedOn w:val="3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0">
    <w:name w:val="Footnote Text Char"/>
    <w:qFormat/>
    <w:uiPriority w:val="99"/>
    <w:rPr>
      <w:sz w:val="18"/>
    </w:rPr>
  </w:style>
  <w:style w:type="character" w:customStyle="1" w:styleId="81">
    <w:name w:val="Endnote Text Char"/>
    <w:qFormat/>
    <w:uiPriority w:val="99"/>
    <w:rPr>
      <w:sz w:val="20"/>
    </w:rPr>
  </w:style>
  <w:style w:type="paragraph" w:customStyle="1" w:styleId="82">
    <w:name w:val="TOC Heading"/>
    <w:unhideWhenUsed/>
    <w:qFormat/>
    <w:uiPriority w:val="39"/>
    <w:rPr>
      <w:rFonts w:hint="default" w:ascii="Times New Roman" w:hAnsi="Times New Roman" w:eastAsia="宋体" w:cs="Times New Roman"/>
    </w:rPr>
  </w:style>
  <w:style w:type="paragraph" w:customStyle="1" w:styleId="83">
    <w:name w:val="页脚11"/>
    <w:basedOn w:val="1"/>
    <w:unhideWhenUsed/>
    <w:qFormat/>
    <w:uiPriority w:val="99"/>
    <w:pPr>
      <w:tabs>
        <w:tab w:val="center" w:pos="7143"/>
        <w:tab w:val="right" w:pos="14287"/>
      </w:tabs>
    </w:pPr>
  </w:style>
  <w:style w:type="character" w:customStyle="1" w:styleId="84">
    <w:name w:val="标题 1 字符1"/>
    <w:link w:val="4"/>
    <w:qFormat/>
    <w:uiPriority w:val="9"/>
    <w:rPr>
      <w:rFonts w:ascii="Arial" w:hAnsi="Arial" w:eastAsia="Arial" w:cs="Arial"/>
      <w:sz w:val="40"/>
      <w:szCs w:val="40"/>
    </w:rPr>
  </w:style>
  <w:style w:type="character" w:customStyle="1" w:styleId="85">
    <w:name w:val="标题 2 字符1"/>
    <w:link w:val="5"/>
    <w:qFormat/>
    <w:uiPriority w:val="9"/>
    <w:rPr>
      <w:rFonts w:ascii="Arial" w:hAnsi="Arial" w:eastAsia="Arial" w:cs="Arial"/>
      <w:sz w:val="34"/>
    </w:rPr>
  </w:style>
  <w:style w:type="character" w:customStyle="1" w:styleId="86">
    <w:name w:val="标题 3 字符1"/>
    <w:link w:val="6"/>
    <w:qFormat/>
    <w:uiPriority w:val="9"/>
    <w:rPr>
      <w:rFonts w:ascii="Arial" w:hAnsi="Arial" w:eastAsia="Arial" w:cs="Arial"/>
      <w:sz w:val="30"/>
      <w:szCs w:val="30"/>
    </w:rPr>
  </w:style>
  <w:style w:type="character" w:customStyle="1" w:styleId="87">
    <w:name w:val="标题 4 字符1"/>
    <w:link w:val="7"/>
    <w:qFormat/>
    <w:uiPriority w:val="9"/>
    <w:rPr>
      <w:rFonts w:ascii="Arial" w:hAnsi="Arial" w:eastAsia="Arial" w:cs="Arial"/>
      <w:b/>
      <w:bCs/>
      <w:sz w:val="26"/>
      <w:szCs w:val="26"/>
    </w:rPr>
  </w:style>
  <w:style w:type="character" w:customStyle="1" w:styleId="88">
    <w:name w:val="标题 5 字符1"/>
    <w:link w:val="8"/>
    <w:qFormat/>
    <w:uiPriority w:val="9"/>
    <w:rPr>
      <w:rFonts w:ascii="Arial" w:hAnsi="Arial" w:eastAsia="Arial" w:cs="Arial"/>
      <w:b/>
      <w:bCs/>
      <w:sz w:val="24"/>
      <w:szCs w:val="24"/>
    </w:rPr>
  </w:style>
  <w:style w:type="character" w:customStyle="1" w:styleId="89">
    <w:name w:val="标题 6 字符"/>
    <w:link w:val="9"/>
    <w:qFormat/>
    <w:uiPriority w:val="9"/>
    <w:rPr>
      <w:rFonts w:ascii="Arial" w:hAnsi="Arial" w:eastAsia="Arial" w:cs="Arial"/>
      <w:b/>
      <w:bCs/>
      <w:sz w:val="22"/>
      <w:szCs w:val="22"/>
    </w:rPr>
  </w:style>
  <w:style w:type="character" w:customStyle="1" w:styleId="90">
    <w:name w:val="标题 7 字符"/>
    <w:link w:val="10"/>
    <w:qFormat/>
    <w:uiPriority w:val="9"/>
    <w:rPr>
      <w:rFonts w:ascii="Arial" w:hAnsi="Arial" w:eastAsia="Arial" w:cs="Arial"/>
      <w:b/>
      <w:bCs/>
      <w:i/>
      <w:iCs/>
      <w:sz w:val="22"/>
      <w:szCs w:val="22"/>
    </w:rPr>
  </w:style>
  <w:style w:type="character" w:customStyle="1" w:styleId="91">
    <w:name w:val="标题 8 字符"/>
    <w:link w:val="11"/>
    <w:qFormat/>
    <w:uiPriority w:val="9"/>
    <w:rPr>
      <w:rFonts w:ascii="Arial" w:hAnsi="Arial" w:eastAsia="Arial" w:cs="Arial"/>
      <w:i/>
      <w:iCs/>
      <w:sz w:val="22"/>
      <w:szCs w:val="22"/>
    </w:rPr>
  </w:style>
  <w:style w:type="character" w:customStyle="1" w:styleId="92">
    <w:name w:val="标题 9 字符"/>
    <w:link w:val="12"/>
    <w:qFormat/>
    <w:uiPriority w:val="9"/>
    <w:rPr>
      <w:rFonts w:ascii="Arial" w:hAnsi="Arial" w:eastAsia="Arial" w:cs="Arial"/>
      <w:i/>
      <w:iCs/>
      <w:sz w:val="21"/>
      <w:szCs w:val="21"/>
    </w:rPr>
  </w:style>
  <w:style w:type="paragraph" w:styleId="93">
    <w:name w:val="No Spacing"/>
    <w:qFormat/>
    <w:uiPriority w:val="1"/>
    <w:rPr>
      <w:rFonts w:hint="default" w:ascii="Times New Roman" w:hAnsi="Times New Roman" w:eastAsia="宋体" w:cs="Times New Roman"/>
      <w:lang w:val="en-US" w:eastAsia="zh-CN" w:bidi="ar-SA"/>
    </w:rPr>
  </w:style>
  <w:style w:type="character" w:customStyle="1" w:styleId="94">
    <w:name w:val="标题 字符"/>
    <w:link w:val="36"/>
    <w:qFormat/>
    <w:uiPriority w:val="10"/>
    <w:rPr>
      <w:sz w:val="48"/>
      <w:szCs w:val="48"/>
    </w:rPr>
  </w:style>
  <w:style w:type="character" w:customStyle="1" w:styleId="95">
    <w:name w:val="副标题 字符"/>
    <w:link w:val="29"/>
    <w:qFormat/>
    <w:uiPriority w:val="11"/>
    <w:rPr>
      <w:sz w:val="24"/>
      <w:szCs w:val="24"/>
    </w:rPr>
  </w:style>
  <w:style w:type="paragraph" w:styleId="96">
    <w:name w:val="Quote"/>
    <w:basedOn w:val="1"/>
    <w:next w:val="1"/>
    <w:link w:val="97"/>
    <w:qFormat/>
    <w:uiPriority w:val="29"/>
    <w:pPr>
      <w:ind w:left="720" w:right="720"/>
    </w:pPr>
    <w:rPr>
      <w:i/>
    </w:rPr>
  </w:style>
  <w:style w:type="character" w:customStyle="1" w:styleId="97">
    <w:name w:val="引用 字符"/>
    <w:link w:val="96"/>
    <w:qFormat/>
    <w:uiPriority w:val="29"/>
    <w:rPr>
      <w:i/>
    </w:rPr>
  </w:style>
  <w:style w:type="paragraph" w:styleId="98">
    <w:name w:val="Intense Quote"/>
    <w:basedOn w:val="1"/>
    <w:next w:val="1"/>
    <w:link w:val="9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9">
    <w:name w:val="明显引用 字符"/>
    <w:link w:val="98"/>
    <w:qFormat/>
    <w:uiPriority w:val="30"/>
    <w:rPr>
      <w:i/>
    </w:rPr>
  </w:style>
  <w:style w:type="character" w:customStyle="1" w:styleId="100">
    <w:name w:val="页眉 字符1"/>
    <w:link w:val="26"/>
    <w:qFormat/>
    <w:uiPriority w:val="99"/>
  </w:style>
  <w:style w:type="character" w:customStyle="1" w:styleId="101">
    <w:name w:val="Footer Char"/>
    <w:qFormat/>
    <w:uiPriority w:val="99"/>
  </w:style>
  <w:style w:type="character" w:customStyle="1" w:styleId="102">
    <w:name w:val="页脚 字符1"/>
    <w:link w:val="24"/>
    <w:qFormat/>
    <w:uiPriority w:val="99"/>
  </w:style>
  <w:style w:type="table" w:customStyle="1" w:styleId="103">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4">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5">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06">
    <w:name w:val="无格式表格 31"/>
    <w:qFormat/>
    <w:uiPriority w:val="99"/>
    <w:tblPr>
      <w:tblCellMar>
        <w:top w:w="0" w:type="dxa"/>
        <w:left w:w="0" w:type="dxa"/>
        <w:bottom w:w="0" w:type="dxa"/>
        <w:right w:w="0" w:type="dxa"/>
      </w:tblCellMar>
    </w:tblPr>
  </w:style>
  <w:style w:type="table" w:customStyle="1" w:styleId="107">
    <w:name w:val="无格式表格 41"/>
    <w:qFormat/>
    <w:uiPriority w:val="99"/>
    <w:tblPr>
      <w:tblCellMar>
        <w:top w:w="0" w:type="dxa"/>
        <w:left w:w="0" w:type="dxa"/>
        <w:bottom w:w="0" w:type="dxa"/>
        <w:right w:w="0" w:type="dxa"/>
      </w:tblCellMar>
    </w:tblPr>
  </w:style>
  <w:style w:type="table" w:customStyle="1" w:styleId="108">
    <w:name w:val="无格式表格 51"/>
    <w:qFormat/>
    <w:uiPriority w:val="99"/>
    <w:tblPr>
      <w:tblCellMar>
        <w:top w:w="0" w:type="dxa"/>
        <w:left w:w="0" w:type="dxa"/>
        <w:bottom w:w="0" w:type="dxa"/>
        <w:right w:w="0" w:type="dxa"/>
      </w:tblCellMar>
    </w:tblPr>
  </w:style>
  <w:style w:type="table" w:customStyle="1" w:styleId="109">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10">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11">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12">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13">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14">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15">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16">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17">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18">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9">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0">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1">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2">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3">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24">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5">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6">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7">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8">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9">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0">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31">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32">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33">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34">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35">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6">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37">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8">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9">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0">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1">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2">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3">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4">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45">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6">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7">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8">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9">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50">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51">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2">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3">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4">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5">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6">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57">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58">
    <w:name w:val="清单表 1 浅色1"/>
    <w:qFormat/>
    <w:uiPriority w:val="99"/>
    <w:tblPr>
      <w:tblCellMar>
        <w:top w:w="0" w:type="dxa"/>
        <w:left w:w="0" w:type="dxa"/>
        <w:bottom w:w="0" w:type="dxa"/>
        <w:right w:w="0" w:type="dxa"/>
      </w:tblCellMar>
    </w:tblPr>
  </w:style>
  <w:style w:type="table" w:customStyle="1" w:styleId="159">
    <w:name w:val="List Table 1 Light - Accent 1"/>
    <w:qFormat/>
    <w:uiPriority w:val="99"/>
    <w:tblPr>
      <w:tblCellMar>
        <w:top w:w="0" w:type="dxa"/>
        <w:left w:w="0" w:type="dxa"/>
        <w:bottom w:w="0" w:type="dxa"/>
        <w:right w:w="0" w:type="dxa"/>
      </w:tblCellMar>
    </w:tblPr>
  </w:style>
  <w:style w:type="table" w:customStyle="1" w:styleId="160">
    <w:name w:val="List Table 1 Light - Accent 2"/>
    <w:qFormat/>
    <w:uiPriority w:val="99"/>
    <w:tblPr>
      <w:tblCellMar>
        <w:top w:w="0" w:type="dxa"/>
        <w:left w:w="0" w:type="dxa"/>
        <w:bottom w:w="0" w:type="dxa"/>
        <w:right w:w="0" w:type="dxa"/>
      </w:tblCellMar>
    </w:tblPr>
  </w:style>
  <w:style w:type="table" w:customStyle="1" w:styleId="161">
    <w:name w:val="List Table 1 Light - Accent 3"/>
    <w:qFormat/>
    <w:uiPriority w:val="99"/>
    <w:tblPr>
      <w:tblCellMar>
        <w:top w:w="0" w:type="dxa"/>
        <w:left w:w="0" w:type="dxa"/>
        <w:bottom w:w="0" w:type="dxa"/>
        <w:right w:w="0" w:type="dxa"/>
      </w:tblCellMar>
    </w:tblPr>
  </w:style>
  <w:style w:type="table" w:customStyle="1" w:styleId="162">
    <w:name w:val="List Table 1 Light - Accent 4"/>
    <w:qFormat/>
    <w:uiPriority w:val="99"/>
    <w:tblPr>
      <w:tblCellMar>
        <w:top w:w="0" w:type="dxa"/>
        <w:left w:w="0" w:type="dxa"/>
        <w:bottom w:w="0" w:type="dxa"/>
        <w:right w:w="0" w:type="dxa"/>
      </w:tblCellMar>
    </w:tblPr>
  </w:style>
  <w:style w:type="table" w:customStyle="1" w:styleId="163">
    <w:name w:val="List Table 1 Light - Accent 5"/>
    <w:qFormat/>
    <w:uiPriority w:val="99"/>
    <w:tblPr>
      <w:tblCellMar>
        <w:top w:w="0" w:type="dxa"/>
        <w:left w:w="0" w:type="dxa"/>
        <w:bottom w:w="0" w:type="dxa"/>
        <w:right w:w="0" w:type="dxa"/>
      </w:tblCellMar>
    </w:tblPr>
  </w:style>
  <w:style w:type="table" w:customStyle="1" w:styleId="164">
    <w:name w:val="List Table 1 Light - Accent 6"/>
    <w:qFormat/>
    <w:uiPriority w:val="99"/>
    <w:tblPr>
      <w:tblCellMar>
        <w:top w:w="0" w:type="dxa"/>
        <w:left w:w="0" w:type="dxa"/>
        <w:bottom w:w="0" w:type="dxa"/>
        <w:right w:w="0" w:type="dxa"/>
      </w:tblCellMar>
    </w:tblPr>
  </w:style>
  <w:style w:type="table" w:customStyle="1" w:styleId="165">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66">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67">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68">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69">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70">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71">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72">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73">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74">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75">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76">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77">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78">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79">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80">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81">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82">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83">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84">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85">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86">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87">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88">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89">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90">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91">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92">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93">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94">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95">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96">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97">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98">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99">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00">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201">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02">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03">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04">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05">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06">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07">
    <w:name w:val="Lined - Accent"/>
    <w:qFormat/>
    <w:uiPriority w:val="99"/>
    <w:rPr>
      <w:color w:val="404040"/>
    </w:rPr>
    <w:tblPr>
      <w:tblCellMar>
        <w:top w:w="0" w:type="dxa"/>
        <w:left w:w="0" w:type="dxa"/>
        <w:bottom w:w="0" w:type="dxa"/>
        <w:right w:w="0" w:type="dxa"/>
      </w:tblCellMar>
    </w:tblPr>
  </w:style>
  <w:style w:type="table" w:customStyle="1" w:styleId="208">
    <w:name w:val="Lined - Accent 1"/>
    <w:qFormat/>
    <w:uiPriority w:val="99"/>
    <w:rPr>
      <w:color w:val="404040"/>
    </w:rPr>
    <w:tblPr>
      <w:tblCellMar>
        <w:top w:w="0" w:type="dxa"/>
        <w:left w:w="0" w:type="dxa"/>
        <w:bottom w:w="0" w:type="dxa"/>
        <w:right w:w="0" w:type="dxa"/>
      </w:tblCellMar>
    </w:tblPr>
  </w:style>
  <w:style w:type="table" w:customStyle="1" w:styleId="209">
    <w:name w:val="Lined - Accent 2"/>
    <w:qFormat/>
    <w:uiPriority w:val="99"/>
    <w:rPr>
      <w:color w:val="404040"/>
    </w:rPr>
    <w:tblPr>
      <w:tblCellMar>
        <w:top w:w="0" w:type="dxa"/>
        <w:left w:w="0" w:type="dxa"/>
        <w:bottom w:w="0" w:type="dxa"/>
        <w:right w:w="0" w:type="dxa"/>
      </w:tblCellMar>
    </w:tblPr>
  </w:style>
  <w:style w:type="table" w:customStyle="1" w:styleId="210">
    <w:name w:val="Lined - Accent 3"/>
    <w:qFormat/>
    <w:uiPriority w:val="99"/>
    <w:rPr>
      <w:color w:val="404040"/>
    </w:rPr>
    <w:tblPr>
      <w:tblCellMar>
        <w:top w:w="0" w:type="dxa"/>
        <w:left w:w="0" w:type="dxa"/>
        <w:bottom w:w="0" w:type="dxa"/>
        <w:right w:w="0" w:type="dxa"/>
      </w:tblCellMar>
    </w:tblPr>
  </w:style>
  <w:style w:type="table" w:customStyle="1" w:styleId="211">
    <w:name w:val="Lined - Accent 4"/>
    <w:qFormat/>
    <w:uiPriority w:val="99"/>
    <w:rPr>
      <w:color w:val="404040"/>
    </w:rPr>
    <w:tblPr>
      <w:tblCellMar>
        <w:top w:w="0" w:type="dxa"/>
        <w:left w:w="0" w:type="dxa"/>
        <w:bottom w:w="0" w:type="dxa"/>
        <w:right w:w="0" w:type="dxa"/>
      </w:tblCellMar>
    </w:tblPr>
  </w:style>
  <w:style w:type="table" w:customStyle="1" w:styleId="212">
    <w:name w:val="Lined - Accent 5"/>
    <w:qFormat/>
    <w:uiPriority w:val="99"/>
    <w:rPr>
      <w:color w:val="404040"/>
    </w:rPr>
    <w:tblPr>
      <w:tblCellMar>
        <w:top w:w="0" w:type="dxa"/>
        <w:left w:w="0" w:type="dxa"/>
        <w:bottom w:w="0" w:type="dxa"/>
        <w:right w:w="0" w:type="dxa"/>
      </w:tblCellMar>
    </w:tblPr>
  </w:style>
  <w:style w:type="table" w:customStyle="1" w:styleId="213">
    <w:name w:val="Lined - Accent 6"/>
    <w:qFormat/>
    <w:uiPriority w:val="99"/>
    <w:rPr>
      <w:color w:val="404040"/>
    </w:rPr>
    <w:tblPr>
      <w:tblCellMar>
        <w:top w:w="0" w:type="dxa"/>
        <w:left w:w="0" w:type="dxa"/>
        <w:bottom w:w="0" w:type="dxa"/>
        <w:right w:w="0" w:type="dxa"/>
      </w:tblCellMar>
    </w:tblPr>
  </w:style>
  <w:style w:type="table" w:customStyle="1" w:styleId="214">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15">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16">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17">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18">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19">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20">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21">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22">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23">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24">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25">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26">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27">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28">
    <w:name w:val="脚注文本 字符"/>
    <w:link w:val="30"/>
    <w:qFormat/>
    <w:uiPriority w:val="99"/>
    <w:rPr>
      <w:sz w:val="18"/>
    </w:rPr>
  </w:style>
  <w:style w:type="character" w:customStyle="1" w:styleId="229">
    <w:name w:val="尾注文本 字符"/>
    <w:link w:val="23"/>
    <w:qFormat/>
    <w:uiPriority w:val="99"/>
    <w:rPr>
      <w:sz w:val="20"/>
    </w:rPr>
  </w:style>
  <w:style w:type="paragraph" w:customStyle="1" w:styleId="230">
    <w:name w:val="TOC 标题1"/>
    <w:unhideWhenUsed/>
    <w:qFormat/>
    <w:uiPriority w:val="39"/>
    <w:rPr>
      <w:rFonts w:hint="default" w:ascii="Times New Roman" w:hAnsi="Times New Roman" w:eastAsia="宋体" w:cs="Times New Roman"/>
      <w:lang w:val="en-US" w:eastAsia="zh-CN" w:bidi="ar-SA"/>
    </w:rPr>
  </w:style>
  <w:style w:type="paragraph" w:customStyle="1" w:styleId="231">
    <w:name w:val="标题 11"/>
    <w:basedOn w:val="1"/>
    <w:next w:val="1"/>
    <w:link w:val="238"/>
    <w:qFormat/>
    <w:uiPriority w:val="0"/>
    <w:pPr>
      <w:keepNext/>
      <w:jc w:val="center"/>
      <w:outlineLvl w:val="0"/>
    </w:pPr>
    <w:rPr>
      <w:rFonts w:ascii="楷体_GB2312" w:hAnsi="楷体_GB2312"/>
      <w:b/>
      <w:sz w:val="28"/>
      <w:szCs w:val="32"/>
    </w:rPr>
  </w:style>
  <w:style w:type="paragraph" w:customStyle="1" w:styleId="232">
    <w:name w:val="标题 21"/>
    <w:basedOn w:val="1"/>
    <w:next w:val="1"/>
    <w:link w:val="239"/>
    <w:qFormat/>
    <w:uiPriority w:val="0"/>
    <w:pPr>
      <w:keepNext/>
      <w:jc w:val="center"/>
      <w:outlineLvl w:val="1"/>
    </w:pPr>
    <w:rPr>
      <w:rFonts w:ascii="楷体_GB2312" w:eastAsia="楷体_GB2312"/>
      <w:b/>
      <w:bCs/>
      <w:sz w:val="18"/>
    </w:rPr>
  </w:style>
  <w:style w:type="paragraph" w:customStyle="1" w:styleId="233">
    <w:name w:val="标题 31"/>
    <w:basedOn w:val="1"/>
    <w:next w:val="1"/>
    <w:link w:val="240"/>
    <w:qFormat/>
    <w:uiPriority w:val="0"/>
    <w:pPr>
      <w:keepNext/>
      <w:jc w:val="center"/>
      <w:outlineLvl w:val="2"/>
    </w:pPr>
    <w:rPr>
      <w:rFonts w:eastAsia="楷体_GB2312"/>
      <w:b/>
      <w:bCs/>
      <w:sz w:val="15"/>
    </w:rPr>
  </w:style>
  <w:style w:type="paragraph" w:customStyle="1" w:styleId="234">
    <w:name w:val="标题 411"/>
    <w:basedOn w:val="1"/>
    <w:next w:val="1"/>
    <w:link w:val="241"/>
    <w:qFormat/>
    <w:uiPriority w:val="0"/>
    <w:pPr>
      <w:keepNext/>
      <w:jc w:val="center"/>
      <w:outlineLvl w:val="3"/>
    </w:pPr>
    <w:rPr>
      <w:rFonts w:eastAsia="楷体_GB2312"/>
      <w:b/>
      <w:bCs/>
      <w:sz w:val="13"/>
    </w:rPr>
  </w:style>
  <w:style w:type="paragraph" w:customStyle="1" w:styleId="235">
    <w:name w:val="标题 51"/>
    <w:basedOn w:val="1"/>
    <w:next w:val="1"/>
    <w:link w:val="242"/>
    <w:qFormat/>
    <w:uiPriority w:val="0"/>
    <w:pPr>
      <w:keepNext/>
      <w:numPr>
        <w:ilvl w:val="0"/>
        <w:numId w:val="2"/>
      </w:numPr>
      <w:outlineLvl w:val="4"/>
    </w:pPr>
    <w:rPr>
      <w:rFonts w:ascii="楷体_GB2312" w:eastAsia="楷体_GB2312"/>
      <w:bCs/>
      <w:sz w:val="28"/>
    </w:rPr>
  </w:style>
  <w:style w:type="character" w:customStyle="1" w:styleId="236">
    <w:name w:val="默认段落字体1"/>
    <w:unhideWhenUsed/>
    <w:qFormat/>
    <w:uiPriority w:val="1"/>
  </w:style>
  <w:style w:type="table" w:customStyle="1" w:styleId="237">
    <w:name w:val="普通表格1"/>
    <w:unhideWhenUsed/>
    <w:qFormat/>
    <w:uiPriority w:val="99"/>
    <w:tblPr>
      <w:tblCellMar>
        <w:top w:w="0" w:type="dxa"/>
        <w:left w:w="0" w:type="dxa"/>
        <w:bottom w:w="0" w:type="dxa"/>
        <w:right w:w="0" w:type="dxa"/>
      </w:tblCellMar>
    </w:tblPr>
  </w:style>
  <w:style w:type="character" w:customStyle="1" w:styleId="238">
    <w:name w:val="标题 1 字符"/>
    <w:link w:val="231"/>
    <w:qFormat/>
    <w:uiPriority w:val="0"/>
    <w:rPr>
      <w:rFonts w:ascii="楷体_GB2312" w:hAnsi="楷体_GB2312" w:eastAsia="宋体" w:cs="Times New Roman"/>
      <w:b/>
      <w:sz w:val="28"/>
      <w:szCs w:val="32"/>
    </w:rPr>
  </w:style>
  <w:style w:type="character" w:customStyle="1" w:styleId="239">
    <w:name w:val="标题 2 字符"/>
    <w:link w:val="232"/>
    <w:qFormat/>
    <w:uiPriority w:val="0"/>
    <w:rPr>
      <w:rFonts w:ascii="楷体_GB2312" w:hAnsi="Times New Roman" w:eastAsia="楷体_GB2312" w:cs="Times New Roman"/>
      <w:b/>
      <w:bCs/>
      <w:sz w:val="18"/>
      <w:szCs w:val="20"/>
    </w:rPr>
  </w:style>
  <w:style w:type="character" w:customStyle="1" w:styleId="240">
    <w:name w:val="标题 3 字符"/>
    <w:link w:val="233"/>
    <w:qFormat/>
    <w:uiPriority w:val="0"/>
    <w:rPr>
      <w:rFonts w:ascii="Times New Roman" w:hAnsi="Times New Roman" w:eastAsia="楷体_GB2312" w:cs="Times New Roman"/>
      <w:b/>
      <w:bCs/>
      <w:sz w:val="15"/>
      <w:szCs w:val="20"/>
    </w:rPr>
  </w:style>
  <w:style w:type="character" w:customStyle="1" w:styleId="241">
    <w:name w:val="标题 4 字符"/>
    <w:link w:val="234"/>
    <w:qFormat/>
    <w:uiPriority w:val="0"/>
    <w:rPr>
      <w:rFonts w:ascii="Times New Roman" w:hAnsi="Times New Roman" w:eastAsia="楷体_GB2312" w:cs="Times New Roman"/>
      <w:b/>
      <w:bCs/>
      <w:sz w:val="13"/>
      <w:szCs w:val="20"/>
    </w:rPr>
  </w:style>
  <w:style w:type="character" w:customStyle="1" w:styleId="242">
    <w:name w:val="标题 5 字符"/>
    <w:link w:val="235"/>
    <w:qFormat/>
    <w:uiPriority w:val="0"/>
    <w:rPr>
      <w:rFonts w:ascii="楷体_GB2312" w:hAnsi="Times New Roman" w:eastAsia="楷体_GB2312" w:cs="Times New Roman"/>
      <w:bCs/>
      <w:sz w:val="28"/>
      <w:szCs w:val="20"/>
    </w:rPr>
  </w:style>
  <w:style w:type="paragraph" w:customStyle="1" w:styleId="243">
    <w:name w:val="正文缩进11"/>
    <w:basedOn w:val="1"/>
    <w:link w:val="244"/>
    <w:unhideWhenUsed/>
    <w:qFormat/>
    <w:uiPriority w:val="0"/>
    <w:pPr>
      <w:ind w:firstLine="420"/>
    </w:pPr>
  </w:style>
  <w:style w:type="character" w:customStyle="1" w:styleId="244">
    <w:name w:val="正文缩进 字符"/>
    <w:link w:val="243"/>
    <w:semiHidden/>
    <w:qFormat/>
    <w:uiPriority w:val="0"/>
    <w:rPr>
      <w:rFonts w:ascii="Times New Roman" w:hAnsi="Times New Roman"/>
      <w:sz w:val="21"/>
    </w:rPr>
  </w:style>
  <w:style w:type="paragraph" w:customStyle="1" w:styleId="245">
    <w:name w:val="文档结构图1"/>
    <w:basedOn w:val="1"/>
    <w:link w:val="246"/>
    <w:semiHidden/>
    <w:qFormat/>
    <w:uiPriority w:val="0"/>
    <w:pPr>
      <w:shd w:val="clear" w:color="auto" w:fill="000080"/>
    </w:pPr>
    <w:rPr>
      <w:sz w:val="20"/>
    </w:rPr>
  </w:style>
  <w:style w:type="character" w:customStyle="1" w:styleId="246">
    <w:name w:val="文档结构图 字符"/>
    <w:link w:val="245"/>
    <w:semiHidden/>
    <w:qFormat/>
    <w:uiPriority w:val="0"/>
    <w:rPr>
      <w:rFonts w:ascii="Times New Roman" w:hAnsi="Times New Roman" w:eastAsia="宋体" w:cs="Times New Roman"/>
      <w:szCs w:val="20"/>
      <w:shd w:val="clear" w:color="auto" w:fill="000080"/>
    </w:rPr>
  </w:style>
  <w:style w:type="paragraph" w:customStyle="1" w:styleId="247">
    <w:name w:val="批注文字1"/>
    <w:basedOn w:val="1"/>
    <w:link w:val="248"/>
    <w:semiHidden/>
    <w:qFormat/>
    <w:uiPriority w:val="99"/>
    <w:pPr>
      <w:jc w:val="left"/>
    </w:pPr>
    <w:rPr>
      <w:sz w:val="20"/>
      <w:szCs w:val="24"/>
    </w:rPr>
  </w:style>
  <w:style w:type="character" w:customStyle="1" w:styleId="248">
    <w:name w:val="批注文字 字符"/>
    <w:link w:val="247"/>
    <w:semiHidden/>
    <w:qFormat/>
    <w:uiPriority w:val="99"/>
    <w:rPr>
      <w:rFonts w:ascii="Times New Roman" w:hAnsi="Times New Roman" w:eastAsia="宋体" w:cs="Times New Roman"/>
      <w:szCs w:val="24"/>
    </w:rPr>
  </w:style>
  <w:style w:type="paragraph" w:customStyle="1" w:styleId="249">
    <w:name w:val="正文文本11"/>
    <w:basedOn w:val="1"/>
    <w:next w:val="250"/>
    <w:link w:val="251"/>
    <w:qFormat/>
    <w:uiPriority w:val="99"/>
    <w:rPr>
      <w:rFonts w:ascii="华文中宋" w:eastAsia="华文中宋"/>
      <w:bCs/>
      <w:sz w:val="28"/>
    </w:rPr>
  </w:style>
  <w:style w:type="paragraph" w:customStyle="1" w:styleId="250">
    <w:name w:val="列表1"/>
    <w:basedOn w:val="1"/>
    <w:qFormat/>
    <w:uiPriority w:val="0"/>
    <w:pPr>
      <w:tabs>
        <w:tab w:val="left" w:pos="420"/>
      </w:tabs>
      <w:spacing w:after="20" w:line="288" w:lineRule="auto"/>
      <w:ind w:left="420" w:hanging="420"/>
    </w:pPr>
    <w:rPr>
      <w:lang w:val="en-GB"/>
    </w:rPr>
  </w:style>
  <w:style w:type="character" w:customStyle="1" w:styleId="251">
    <w:name w:val="正文文本 字符"/>
    <w:link w:val="249"/>
    <w:qFormat/>
    <w:uiPriority w:val="99"/>
    <w:rPr>
      <w:rFonts w:ascii="华文中宋" w:hAnsi="Times New Roman" w:eastAsia="华文中宋" w:cs="Times New Roman"/>
      <w:bCs/>
      <w:sz w:val="28"/>
      <w:szCs w:val="20"/>
    </w:rPr>
  </w:style>
  <w:style w:type="paragraph" w:customStyle="1" w:styleId="252">
    <w:name w:val="正文文本缩进11"/>
    <w:basedOn w:val="1"/>
    <w:next w:val="253"/>
    <w:link w:val="254"/>
    <w:qFormat/>
    <w:uiPriority w:val="0"/>
    <w:pPr>
      <w:ind w:firstLine="576"/>
    </w:pPr>
    <w:rPr>
      <w:b/>
      <w:sz w:val="30"/>
    </w:rPr>
  </w:style>
  <w:style w:type="paragraph" w:customStyle="1" w:styleId="253">
    <w:name w:val="寄信人地址1"/>
    <w:basedOn w:val="1"/>
    <w:qFormat/>
    <w:uiPriority w:val="0"/>
    <w:rPr>
      <w:rFonts w:ascii="Arial" w:hAnsi="Arial"/>
    </w:rPr>
  </w:style>
  <w:style w:type="character" w:customStyle="1" w:styleId="254">
    <w:name w:val="正文文本缩进 字符"/>
    <w:link w:val="252"/>
    <w:qFormat/>
    <w:uiPriority w:val="0"/>
    <w:rPr>
      <w:rFonts w:ascii="Times New Roman" w:hAnsi="Times New Roman" w:eastAsia="宋体" w:cs="Times New Roman"/>
      <w:b/>
      <w:sz w:val="30"/>
      <w:szCs w:val="20"/>
    </w:rPr>
  </w:style>
  <w:style w:type="paragraph" w:customStyle="1" w:styleId="255">
    <w:name w:val="索引 41"/>
    <w:basedOn w:val="1"/>
    <w:next w:val="1"/>
    <w:qFormat/>
    <w:uiPriority w:val="99"/>
    <w:pPr>
      <w:ind w:left="600"/>
    </w:pPr>
    <w:rPr>
      <w:szCs w:val="24"/>
    </w:rPr>
  </w:style>
  <w:style w:type="paragraph" w:customStyle="1" w:styleId="256">
    <w:name w:val="纯文本1"/>
    <w:basedOn w:val="1"/>
    <w:next w:val="257"/>
    <w:link w:val="258"/>
    <w:qFormat/>
    <w:uiPriority w:val="0"/>
    <w:rPr>
      <w:rFonts w:ascii="宋体" w:hAnsi="Courier New"/>
    </w:rPr>
  </w:style>
  <w:style w:type="paragraph" w:customStyle="1" w:styleId="257">
    <w:name w:val="目录 21"/>
    <w:basedOn w:val="1"/>
    <w:next w:val="1"/>
    <w:qFormat/>
    <w:uiPriority w:val="39"/>
    <w:pPr>
      <w:tabs>
        <w:tab w:val="right" w:leader="dot" w:pos="9170"/>
      </w:tabs>
      <w:ind w:left="210" w:firstLine="150"/>
      <w:jc w:val="left"/>
    </w:pPr>
    <w:rPr>
      <w:smallCaps/>
      <w:sz w:val="20"/>
    </w:rPr>
  </w:style>
  <w:style w:type="character" w:customStyle="1" w:styleId="258">
    <w:name w:val="纯文本 字符"/>
    <w:link w:val="256"/>
    <w:qFormat/>
    <w:uiPriority w:val="0"/>
    <w:rPr>
      <w:rFonts w:ascii="宋体" w:hAnsi="Courier New"/>
      <w:sz w:val="21"/>
    </w:rPr>
  </w:style>
  <w:style w:type="paragraph" w:customStyle="1" w:styleId="259">
    <w:name w:val="日期1"/>
    <w:basedOn w:val="1"/>
    <w:next w:val="1"/>
    <w:link w:val="260"/>
    <w:qFormat/>
    <w:uiPriority w:val="0"/>
    <w:rPr>
      <w:rFonts w:eastAsia="黑体"/>
      <w:b/>
      <w:sz w:val="36"/>
    </w:rPr>
  </w:style>
  <w:style w:type="character" w:customStyle="1" w:styleId="260">
    <w:name w:val="日期 字符"/>
    <w:link w:val="259"/>
    <w:qFormat/>
    <w:uiPriority w:val="0"/>
    <w:rPr>
      <w:rFonts w:ascii="Times New Roman" w:hAnsi="Times New Roman" w:eastAsia="黑体" w:cs="Times New Roman"/>
      <w:b/>
      <w:sz w:val="36"/>
      <w:szCs w:val="20"/>
    </w:rPr>
  </w:style>
  <w:style w:type="paragraph" w:customStyle="1" w:styleId="261">
    <w:name w:val="正文文本缩进 21"/>
    <w:basedOn w:val="1"/>
    <w:link w:val="262"/>
    <w:qFormat/>
    <w:uiPriority w:val="0"/>
    <w:pPr>
      <w:ind w:left="900"/>
    </w:pPr>
    <w:rPr>
      <w:rFonts w:ascii="楷体_GB2312" w:eastAsia="楷体_GB2312"/>
      <w:b/>
      <w:sz w:val="28"/>
    </w:rPr>
  </w:style>
  <w:style w:type="character" w:customStyle="1" w:styleId="262">
    <w:name w:val="正文文本缩进 2 字符"/>
    <w:link w:val="261"/>
    <w:qFormat/>
    <w:uiPriority w:val="0"/>
    <w:rPr>
      <w:rFonts w:ascii="楷体_GB2312" w:hAnsi="Times New Roman" w:eastAsia="楷体_GB2312" w:cs="Times New Roman"/>
      <w:b/>
      <w:sz w:val="28"/>
      <w:szCs w:val="20"/>
    </w:rPr>
  </w:style>
  <w:style w:type="paragraph" w:customStyle="1" w:styleId="263">
    <w:name w:val="批注框文本1"/>
    <w:basedOn w:val="1"/>
    <w:link w:val="264"/>
    <w:unhideWhenUsed/>
    <w:qFormat/>
    <w:uiPriority w:val="99"/>
    <w:rPr>
      <w:sz w:val="18"/>
      <w:szCs w:val="18"/>
    </w:rPr>
  </w:style>
  <w:style w:type="character" w:customStyle="1" w:styleId="264">
    <w:name w:val="批注框文本 字符"/>
    <w:link w:val="263"/>
    <w:semiHidden/>
    <w:qFormat/>
    <w:uiPriority w:val="99"/>
    <w:rPr>
      <w:rFonts w:ascii="Times New Roman" w:hAnsi="Times New Roman" w:eastAsia="宋体" w:cs="Times New Roman"/>
      <w:sz w:val="18"/>
      <w:szCs w:val="18"/>
    </w:rPr>
  </w:style>
  <w:style w:type="paragraph" w:customStyle="1" w:styleId="265">
    <w:name w:val="页脚1"/>
    <w:basedOn w:val="1"/>
    <w:next w:val="25"/>
    <w:link w:val="266"/>
    <w:unhideWhenUsed/>
    <w:qFormat/>
    <w:uiPriority w:val="0"/>
    <w:pPr>
      <w:tabs>
        <w:tab w:val="center" w:pos="4153"/>
        <w:tab w:val="right" w:pos="8306"/>
      </w:tabs>
      <w:jc w:val="left"/>
    </w:pPr>
    <w:rPr>
      <w:sz w:val="18"/>
      <w:szCs w:val="18"/>
    </w:rPr>
  </w:style>
  <w:style w:type="character" w:customStyle="1" w:styleId="266">
    <w:name w:val="页脚 字符"/>
    <w:link w:val="265"/>
    <w:qFormat/>
    <w:uiPriority w:val="0"/>
    <w:rPr>
      <w:sz w:val="18"/>
      <w:szCs w:val="18"/>
    </w:rPr>
  </w:style>
  <w:style w:type="paragraph" w:customStyle="1" w:styleId="267">
    <w:name w:val="页眉1"/>
    <w:basedOn w:val="1"/>
    <w:link w:val="268"/>
    <w:unhideWhenUsed/>
    <w:qFormat/>
    <w:uiPriority w:val="0"/>
    <w:pPr>
      <w:pBdr>
        <w:bottom w:val="single" w:color="000000" w:sz="6" w:space="1"/>
      </w:pBdr>
      <w:tabs>
        <w:tab w:val="center" w:pos="4153"/>
        <w:tab w:val="right" w:pos="8306"/>
      </w:tabs>
      <w:jc w:val="center"/>
    </w:pPr>
    <w:rPr>
      <w:sz w:val="18"/>
      <w:szCs w:val="18"/>
    </w:rPr>
  </w:style>
  <w:style w:type="character" w:customStyle="1" w:styleId="268">
    <w:name w:val="页眉 字符"/>
    <w:link w:val="267"/>
    <w:qFormat/>
    <w:uiPriority w:val="0"/>
    <w:rPr>
      <w:sz w:val="18"/>
      <w:szCs w:val="18"/>
    </w:rPr>
  </w:style>
  <w:style w:type="paragraph" w:customStyle="1" w:styleId="269">
    <w:name w:val="目录 11"/>
    <w:basedOn w:val="1"/>
    <w:next w:val="1"/>
    <w:unhideWhenUsed/>
    <w:qFormat/>
    <w:uiPriority w:val="39"/>
  </w:style>
  <w:style w:type="paragraph" w:customStyle="1" w:styleId="270">
    <w:name w:val="副标题1"/>
    <w:basedOn w:val="1"/>
    <w:next w:val="1"/>
    <w:qFormat/>
    <w:uiPriority w:val="11"/>
    <w:pPr>
      <w:spacing w:before="200" w:after="200"/>
    </w:pPr>
    <w:rPr>
      <w:sz w:val="24"/>
      <w:szCs w:val="24"/>
    </w:rPr>
  </w:style>
  <w:style w:type="paragraph" w:customStyle="1" w:styleId="271">
    <w:name w:val="正文文本缩进 31"/>
    <w:basedOn w:val="1"/>
    <w:link w:val="272"/>
    <w:qFormat/>
    <w:uiPriority w:val="0"/>
    <w:pPr>
      <w:ind w:left="359" w:firstLine="359"/>
    </w:pPr>
    <w:rPr>
      <w:sz w:val="20"/>
    </w:rPr>
  </w:style>
  <w:style w:type="character" w:customStyle="1" w:styleId="272">
    <w:name w:val="正文文本缩进 3 字符"/>
    <w:link w:val="271"/>
    <w:qFormat/>
    <w:uiPriority w:val="0"/>
    <w:rPr>
      <w:rFonts w:ascii="Times New Roman" w:hAnsi="Times New Roman" w:eastAsia="宋体" w:cs="Times New Roman"/>
      <w:szCs w:val="20"/>
    </w:rPr>
  </w:style>
  <w:style w:type="paragraph" w:customStyle="1" w:styleId="273">
    <w:name w:val="正文文本 21"/>
    <w:basedOn w:val="1"/>
    <w:link w:val="274"/>
    <w:qFormat/>
    <w:uiPriority w:val="0"/>
    <w:pPr>
      <w:spacing w:after="120" w:line="480" w:lineRule="auto"/>
    </w:pPr>
    <w:rPr>
      <w:sz w:val="20"/>
    </w:rPr>
  </w:style>
  <w:style w:type="character" w:customStyle="1" w:styleId="274">
    <w:name w:val="正文文本 2 字符"/>
    <w:link w:val="273"/>
    <w:qFormat/>
    <w:uiPriority w:val="0"/>
    <w:rPr>
      <w:rFonts w:ascii="Times New Roman" w:hAnsi="Times New Roman" w:eastAsia="宋体" w:cs="Times New Roman"/>
      <w:szCs w:val="20"/>
    </w:rPr>
  </w:style>
  <w:style w:type="paragraph" w:customStyle="1" w:styleId="275">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76">
    <w:name w:val="批注主题1"/>
    <w:basedOn w:val="247"/>
    <w:next w:val="247"/>
    <w:link w:val="277"/>
    <w:semiHidden/>
    <w:qFormat/>
    <w:uiPriority w:val="99"/>
    <w:rPr>
      <w:b/>
      <w:bCs/>
    </w:rPr>
  </w:style>
  <w:style w:type="character" w:customStyle="1" w:styleId="277">
    <w:name w:val="批注主题 字符"/>
    <w:link w:val="276"/>
    <w:semiHidden/>
    <w:qFormat/>
    <w:uiPriority w:val="99"/>
    <w:rPr>
      <w:rFonts w:ascii="Times New Roman" w:hAnsi="Times New Roman" w:eastAsia="宋体" w:cs="Times New Roman"/>
      <w:b/>
      <w:bCs/>
      <w:szCs w:val="24"/>
    </w:rPr>
  </w:style>
  <w:style w:type="paragraph" w:customStyle="1" w:styleId="278">
    <w:name w:val="正文首行缩进1"/>
    <w:basedOn w:val="249"/>
    <w:link w:val="279"/>
    <w:qFormat/>
    <w:uiPriority w:val="0"/>
    <w:pPr>
      <w:spacing w:after="120"/>
      <w:ind w:firstLine="420"/>
    </w:pPr>
    <w:rPr>
      <w:rFonts w:ascii="Times New Roman" w:eastAsia="宋体"/>
      <w:sz w:val="21"/>
      <w:szCs w:val="24"/>
    </w:rPr>
  </w:style>
  <w:style w:type="character" w:customStyle="1" w:styleId="279">
    <w:name w:val="正文文本首行缩进 字符"/>
    <w:link w:val="278"/>
    <w:qFormat/>
    <w:uiPriority w:val="0"/>
    <w:rPr>
      <w:rFonts w:ascii="Times New Roman" w:eastAsia="宋体"/>
      <w:sz w:val="21"/>
      <w:szCs w:val="24"/>
    </w:rPr>
  </w:style>
  <w:style w:type="paragraph" w:customStyle="1" w:styleId="280">
    <w:name w:val="正文首行缩进 21"/>
    <w:basedOn w:val="252"/>
    <w:next w:val="1"/>
    <w:qFormat/>
    <w:uiPriority w:val="99"/>
    <w:pPr>
      <w:spacing w:after="120"/>
      <w:ind w:left="420" w:firstLine="420"/>
    </w:pPr>
    <w:rPr>
      <w:sz w:val="20"/>
    </w:rPr>
  </w:style>
  <w:style w:type="table" w:customStyle="1" w:styleId="281">
    <w:name w:val="网格型1"/>
    <w:basedOn w:val="237"/>
    <w:qFormat/>
    <w:uiPriority w:val="0"/>
    <w:pPr>
      <w:widowControl w:val="0"/>
      <w:jc w:val="both"/>
    </w:pPr>
    <w:tblPr>
      <w:tblCellMar>
        <w:top w:w="0" w:type="dxa"/>
        <w:left w:w="0" w:type="dxa"/>
        <w:bottom w:w="0" w:type="dxa"/>
        <w:right w:w="0" w:type="dxa"/>
      </w:tblCellMar>
    </w:tblPr>
  </w:style>
  <w:style w:type="character" w:customStyle="1" w:styleId="282">
    <w:name w:val="要点1"/>
    <w:qFormat/>
    <w:uiPriority w:val="99"/>
    <w:rPr>
      <w:rFonts w:cs="Times New Roman"/>
      <w:b/>
      <w:bCs/>
    </w:rPr>
  </w:style>
  <w:style w:type="character" w:customStyle="1" w:styleId="283">
    <w:name w:val="页码1"/>
    <w:qFormat/>
    <w:uiPriority w:val="0"/>
    <w:rPr>
      <w:rFonts w:cs="Times New Roman"/>
    </w:rPr>
  </w:style>
  <w:style w:type="character" w:customStyle="1" w:styleId="284">
    <w:name w:val="已访问的超链接1"/>
    <w:qFormat/>
    <w:uiPriority w:val="99"/>
    <w:rPr>
      <w:rFonts w:cs="Times New Roman"/>
      <w:color w:val="000000"/>
      <w:u w:val="none"/>
    </w:rPr>
  </w:style>
  <w:style w:type="character" w:customStyle="1" w:styleId="285">
    <w:name w:val="HTML 打字机11"/>
    <w:qFormat/>
    <w:uiPriority w:val="99"/>
    <w:rPr>
      <w:rFonts w:ascii="宋体" w:hAnsi="宋体" w:eastAsia="宋体" w:cs="宋体"/>
      <w:sz w:val="24"/>
      <w:szCs w:val="24"/>
    </w:rPr>
  </w:style>
  <w:style w:type="character" w:customStyle="1" w:styleId="286">
    <w:name w:val="超链接1"/>
    <w:qFormat/>
    <w:uiPriority w:val="0"/>
    <w:rPr>
      <w:color w:val="000000"/>
      <w:u w:val="none"/>
    </w:rPr>
  </w:style>
  <w:style w:type="paragraph" w:customStyle="1" w:styleId="287">
    <w:name w:val="段"/>
    <w:next w:val="1"/>
    <w:qFormat/>
    <w:uiPriority w:val="0"/>
    <w:pPr>
      <w:ind w:firstLine="200"/>
      <w:jc w:val="both"/>
    </w:pPr>
    <w:rPr>
      <w:rFonts w:hint="default" w:ascii="宋体" w:hAnsi="Times New Roman" w:eastAsia="宋体" w:cs="Times New Roman"/>
      <w:sz w:val="21"/>
      <w:lang w:val="en-US" w:eastAsia="zh-CN" w:bidi="ar-SA"/>
    </w:rPr>
  </w:style>
  <w:style w:type="character" w:customStyle="1" w:styleId="288">
    <w:name w:val="font31"/>
    <w:qFormat/>
    <w:uiPriority w:val="0"/>
    <w:rPr>
      <w:rFonts w:hint="eastAsia" w:ascii="仿宋" w:hAnsi="仿宋" w:eastAsia="仿宋" w:cs="仿宋"/>
      <w:color w:val="000000"/>
      <w:sz w:val="24"/>
      <w:szCs w:val="24"/>
      <w:u w:val="none"/>
    </w:rPr>
  </w:style>
  <w:style w:type="character" w:customStyle="1" w:styleId="289">
    <w:name w:val="font11"/>
    <w:qFormat/>
    <w:uiPriority w:val="0"/>
    <w:rPr>
      <w:rFonts w:hint="eastAsia" w:ascii="宋体" w:hAnsi="宋体" w:eastAsia="宋体" w:cs="宋体"/>
      <w:color w:val="000000"/>
      <w:sz w:val="20"/>
      <w:szCs w:val="20"/>
      <w:u w:val="none"/>
    </w:rPr>
  </w:style>
  <w:style w:type="character" w:customStyle="1" w:styleId="290">
    <w:name w:val="正文文本缩进 2 Char1"/>
    <w:semiHidden/>
    <w:qFormat/>
    <w:uiPriority w:val="0"/>
    <w:rPr>
      <w:rFonts w:ascii="Times New Roman" w:hAnsi="Times New Roman" w:eastAsia="宋体" w:cs="Times New Roman"/>
      <w:szCs w:val="20"/>
    </w:rPr>
  </w:style>
  <w:style w:type="character" w:customStyle="1" w:styleId="291">
    <w:name w:val="批注框文本 Char1"/>
    <w:semiHidden/>
    <w:qFormat/>
    <w:uiPriority w:val="99"/>
    <w:rPr>
      <w:rFonts w:ascii="Times New Roman" w:hAnsi="Times New Roman" w:eastAsia="宋体" w:cs="Times New Roman"/>
      <w:sz w:val="18"/>
      <w:szCs w:val="18"/>
    </w:rPr>
  </w:style>
  <w:style w:type="character" w:customStyle="1" w:styleId="292">
    <w:name w:val="NormalCharacter1"/>
    <w:link w:val="293"/>
    <w:qFormat/>
    <w:uiPriority w:val="99"/>
    <w:rPr>
      <w:sz w:val="20"/>
    </w:rPr>
  </w:style>
  <w:style w:type="paragraph" w:customStyle="1" w:styleId="293">
    <w:name w:val="UserStyle_4"/>
    <w:basedOn w:val="1"/>
    <w:link w:val="292"/>
    <w:qFormat/>
    <w:uiPriority w:val="99"/>
    <w:pPr>
      <w:widowControl/>
    </w:pPr>
    <w:rPr>
      <w:sz w:val="20"/>
    </w:rPr>
  </w:style>
  <w:style w:type="character" w:customStyle="1" w:styleId="294">
    <w:name w:val="正文文本缩进 Char1"/>
    <w:semiHidden/>
    <w:qFormat/>
    <w:uiPriority w:val="0"/>
    <w:rPr>
      <w:rFonts w:ascii="Times New Roman" w:hAnsi="Times New Roman" w:eastAsia="宋体" w:cs="Times New Roman"/>
      <w:szCs w:val="20"/>
    </w:rPr>
  </w:style>
  <w:style w:type="character" w:customStyle="1" w:styleId="295">
    <w:name w:val="case31"/>
    <w:qFormat/>
    <w:uiPriority w:val="0"/>
    <w:rPr>
      <w:spacing w:val="390"/>
      <w:sz w:val="21"/>
      <w:szCs w:val="21"/>
    </w:rPr>
  </w:style>
  <w:style w:type="character" w:customStyle="1" w:styleId="296">
    <w:name w:val="正文首行缩进两字 Char"/>
    <w:link w:val="297"/>
    <w:qFormat/>
    <w:uiPriority w:val="0"/>
    <w:rPr>
      <w:sz w:val="24"/>
      <w:szCs w:val="24"/>
      <w:lang w:val="en-US" w:eastAsia="zh-CN" w:bidi="ar-SA"/>
    </w:rPr>
  </w:style>
  <w:style w:type="paragraph" w:customStyle="1" w:styleId="297">
    <w:name w:val="正文首行缩进两字"/>
    <w:link w:val="296"/>
    <w:qFormat/>
    <w:uiPriority w:val="0"/>
    <w:pPr>
      <w:spacing w:line="300" w:lineRule="auto"/>
      <w:ind w:left="240" w:right="240" w:firstLine="480"/>
    </w:pPr>
    <w:rPr>
      <w:rFonts w:hint="default" w:ascii="Times New Roman" w:hAnsi="Times New Roman" w:eastAsia="宋体" w:cs="Times New Roman"/>
      <w:sz w:val="24"/>
      <w:szCs w:val="24"/>
      <w:lang w:val="en-US" w:eastAsia="zh-CN" w:bidi="ar-SA"/>
    </w:rPr>
  </w:style>
  <w:style w:type="character" w:customStyle="1" w:styleId="298">
    <w:name w:val="正文文本缩进 3 Char1"/>
    <w:semiHidden/>
    <w:qFormat/>
    <w:uiPriority w:val="0"/>
    <w:rPr>
      <w:rFonts w:ascii="Times New Roman" w:hAnsi="Times New Roman" w:eastAsia="宋体" w:cs="Times New Roman"/>
      <w:sz w:val="16"/>
      <w:szCs w:val="16"/>
    </w:rPr>
  </w:style>
  <w:style w:type="character" w:customStyle="1" w:styleId="299">
    <w:name w:val="日期 Char1"/>
    <w:semiHidden/>
    <w:qFormat/>
    <w:uiPriority w:val="0"/>
    <w:rPr>
      <w:rFonts w:ascii="Times New Roman" w:hAnsi="Times New Roman" w:eastAsia="宋体" w:cs="Times New Roman"/>
      <w:szCs w:val="20"/>
    </w:rPr>
  </w:style>
  <w:style w:type="character" w:customStyle="1" w:styleId="300">
    <w:name w:val="文档结构图 Char1"/>
    <w:semiHidden/>
    <w:qFormat/>
    <w:uiPriority w:val="0"/>
    <w:rPr>
      <w:rFonts w:ascii="宋体" w:hAnsi="Times New Roman" w:eastAsia="宋体" w:cs="Times New Roman"/>
      <w:sz w:val="18"/>
      <w:szCs w:val="18"/>
    </w:rPr>
  </w:style>
  <w:style w:type="character" w:customStyle="1" w:styleId="301">
    <w:name w:val="正文文本 2 Char1"/>
    <w:semiHidden/>
    <w:qFormat/>
    <w:uiPriority w:val="0"/>
    <w:rPr>
      <w:rFonts w:ascii="Times New Roman" w:hAnsi="Times New Roman" w:eastAsia="宋体" w:cs="Times New Roman"/>
      <w:szCs w:val="20"/>
    </w:rPr>
  </w:style>
  <w:style w:type="character" w:customStyle="1" w:styleId="302">
    <w:name w:val="font21"/>
    <w:qFormat/>
    <w:uiPriority w:val="0"/>
    <w:rPr>
      <w:rFonts w:hint="eastAsia" w:ascii="仿宋" w:hAnsi="仿宋" w:eastAsia="仿宋" w:cs="仿宋"/>
      <w:color w:val="000000"/>
      <w:sz w:val="24"/>
      <w:szCs w:val="24"/>
      <w:u w:val="none"/>
    </w:rPr>
  </w:style>
  <w:style w:type="paragraph" w:customStyle="1" w:styleId="303">
    <w:name w:val="列表段落1"/>
    <w:basedOn w:val="1"/>
    <w:qFormat/>
    <w:uiPriority w:val="34"/>
    <w:pPr>
      <w:ind w:firstLine="420"/>
    </w:pPr>
  </w:style>
  <w:style w:type="paragraph" w:customStyle="1" w:styleId="304">
    <w:name w:val="一级条标题"/>
    <w:next w:val="1"/>
    <w:qFormat/>
    <w:uiPriority w:val="0"/>
    <w:pPr>
      <w:tabs>
        <w:tab w:val="left" w:pos="552"/>
      </w:tabs>
      <w:ind w:left="552" w:hanging="420"/>
      <w:outlineLvl w:val="2"/>
    </w:pPr>
    <w:rPr>
      <w:rFonts w:hint="default" w:ascii="黑体" w:hAnsi="Times New Roman" w:eastAsia="黑体" w:cs="Times New Roman"/>
      <w:sz w:val="21"/>
      <w:szCs w:val="21"/>
      <w:lang w:val="en-US" w:eastAsia="zh-CN" w:bidi="ar-SA"/>
    </w:rPr>
  </w:style>
  <w:style w:type="paragraph" w:customStyle="1" w:styleId="305">
    <w:name w:val="_Style 1"/>
    <w:basedOn w:val="1"/>
    <w:qFormat/>
    <w:uiPriority w:val="99"/>
    <w:pPr>
      <w:ind w:firstLine="420"/>
    </w:pPr>
    <w:rPr>
      <w:rFonts w:ascii="Calibri" w:hAnsi="Calibri" w:cs="Calibri"/>
      <w:sz w:val="34"/>
      <w:szCs w:val="34"/>
    </w:rPr>
  </w:style>
  <w:style w:type="paragraph" w:customStyle="1" w:styleId="306">
    <w:name w:val="首行缩进"/>
    <w:basedOn w:val="1"/>
    <w:qFormat/>
    <w:uiPriority w:val="0"/>
    <w:pPr>
      <w:ind w:firstLine="480"/>
    </w:pPr>
    <w:rPr>
      <w:lang w:val="zh-CN"/>
    </w:rPr>
  </w:style>
  <w:style w:type="paragraph" w:customStyle="1" w:styleId="307">
    <w:name w:val="List Paragraph1"/>
    <w:basedOn w:val="1"/>
    <w:qFormat/>
    <w:uiPriority w:val="0"/>
    <w:pPr>
      <w:ind w:firstLine="420"/>
    </w:pPr>
    <w:rPr>
      <w:szCs w:val="21"/>
    </w:rPr>
  </w:style>
  <w:style w:type="paragraph" w:customStyle="1" w:styleId="308">
    <w:name w:val="普通文字"/>
    <w:basedOn w:val="1"/>
    <w:next w:val="1"/>
    <w:qFormat/>
    <w:uiPriority w:val="0"/>
    <w:rPr>
      <w:rFonts w:ascii="宋体"/>
      <w:sz w:val="24"/>
    </w:rPr>
  </w:style>
  <w:style w:type="paragraph" w:customStyle="1" w:styleId="309">
    <w:name w:val="二级无"/>
    <w:basedOn w:val="1"/>
    <w:qFormat/>
    <w:uiPriority w:val="0"/>
    <w:pPr>
      <w:widowControl/>
      <w:tabs>
        <w:tab w:val="left" w:pos="552"/>
      </w:tabs>
      <w:ind w:left="552" w:hanging="420"/>
      <w:jc w:val="left"/>
      <w:outlineLvl w:val="3"/>
    </w:pPr>
    <w:rPr>
      <w:rFonts w:ascii="宋体"/>
      <w:szCs w:val="21"/>
    </w:rPr>
  </w:style>
  <w:style w:type="paragraph" w:customStyle="1" w:styleId="310">
    <w:name w:val="正文文本1"/>
    <w:basedOn w:val="1"/>
    <w:next w:val="1"/>
    <w:qFormat/>
    <w:uiPriority w:val="0"/>
    <w:rPr>
      <w:rFonts w:ascii="仿宋_GB2312" w:eastAsia="仿宋_GB2312"/>
      <w:sz w:val="28"/>
    </w:rPr>
  </w:style>
  <w:style w:type="paragraph" w:customStyle="1" w:styleId="311">
    <w:name w:val="p0 paragraphindent"/>
    <w:basedOn w:val="1"/>
    <w:qFormat/>
    <w:uiPriority w:val="0"/>
    <w:pPr>
      <w:widowControl/>
      <w:spacing w:before="100" w:beforeAutospacing="1" w:after="100" w:afterAutospacing="1"/>
      <w:jc w:val="left"/>
    </w:pPr>
    <w:rPr>
      <w:rFonts w:ascii="宋体" w:hAnsi="宋体" w:cs="宋体"/>
      <w:sz w:val="24"/>
      <w:szCs w:val="24"/>
    </w:rPr>
  </w:style>
  <w:style w:type="paragraph" w:styleId="312">
    <w:name w:val="List Paragraph"/>
    <w:basedOn w:val="1"/>
    <w:qFormat/>
    <w:uiPriority w:val="0"/>
    <w:pPr>
      <w:ind w:firstLine="420"/>
    </w:pPr>
    <w:rPr>
      <w:szCs w:val="21"/>
    </w:rPr>
  </w:style>
  <w:style w:type="paragraph" w:customStyle="1" w:styleId="313">
    <w:name w:val="字母编号列项（一级）"/>
    <w:qFormat/>
    <w:uiPriority w:val="0"/>
    <w:pPr>
      <w:tabs>
        <w:tab w:val="left" w:pos="552"/>
        <w:tab w:val="left" w:pos="840"/>
      </w:tabs>
      <w:ind w:left="552" w:hanging="420"/>
      <w:jc w:val="both"/>
    </w:pPr>
    <w:rPr>
      <w:rFonts w:hint="default" w:ascii="宋体" w:hAnsi="Times New Roman" w:eastAsia="宋体" w:cs="Times New Roman"/>
      <w:sz w:val="21"/>
      <w:lang w:val="en-US" w:eastAsia="zh-CN" w:bidi="ar-SA"/>
    </w:rPr>
  </w:style>
  <w:style w:type="paragraph" w:customStyle="1" w:styleId="314">
    <w:name w:val="标题 41"/>
    <w:basedOn w:val="1"/>
    <w:next w:val="1"/>
    <w:qFormat/>
    <w:uiPriority w:val="0"/>
    <w:pPr>
      <w:keepNext/>
      <w:jc w:val="center"/>
      <w:outlineLvl w:val="3"/>
    </w:pPr>
    <w:rPr>
      <w:rFonts w:eastAsia="楷体_GB2312"/>
      <w:b/>
      <w:bCs/>
      <w:sz w:val="13"/>
    </w:rPr>
  </w:style>
  <w:style w:type="paragraph" w:customStyle="1" w:styleId="315">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character" w:customStyle="1" w:styleId="316">
    <w:name w:val="HTML 打字机1"/>
    <w:qFormat/>
    <w:uiPriority w:val="0"/>
    <w:rPr>
      <w:rFonts w:ascii="宋体" w:hAnsi="宋体" w:eastAsia="宋体" w:cs="宋体"/>
      <w:sz w:val="24"/>
      <w:szCs w:val="24"/>
    </w:rPr>
  </w:style>
  <w:style w:type="paragraph" w:customStyle="1" w:styleId="317">
    <w:name w:val="正文缩进1"/>
    <w:basedOn w:val="1"/>
    <w:next w:val="1"/>
    <w:qFormat/>
    <w:uiPriority w:val="0"/>
    <w:pPr>
      <w:ind w:firstLine="420"/>
    </w:pPr>
  </w:style>
  <w:style w:type="paragraph" w:customStyle="1" w:styleId="318">
    <w:name w:val="引文目录1"/>
    <w:basedOn w:val="1"/>
    <w:next w:val="1"/>
    <w:qFormat/>
    <w:uiPriority w:val="0"/>
    <w:pPr>
      <w:ind w:left="420"/>
    </w:pPr>
  </w:style>
  <w:style w:type="paragraph" w:customStyle="1" w:styleId="319">
    <w:name w:val="Default"/>
    <w:qFormat/>
    <w:uiPriority w:val="0"/>
    <w:pPr>
      <w:widowControl w:val="0"/>
    </w:pPr>
    <w:rPr>
      <w:rFonts w:hint="default" w:ascii="Times New Roman" w:hAnsi="Times New Roman" w:eastAsia="宋体" w:cs="Calibri"/>
      <w:color w:val="000000"/>
      <w:sz w:val="24"/>
      <w:szCs w:val="24"/>
      <w:lang w:val="en-US" w:eastAsia="zh-CN" w:bidi="ar-SA"/>
    </w:rPr>
  </w:style>
  <w:style w:type="paragraph" w:customStyle="1" w:styleId="320">
    <w:name w:val="正文文本缩进1"/>
    <w:basedOn w:val="1"/>
    <w:next w:val="1"/>
    <w:qFormat/>
    <w:uiPriority w:val="0"/>
    <w:pPr>
      <w:ind w:firstLine="576"/>
    </w:pPr>
    <w:rPr>
      <w:b/>
      <w:sz w:val="30"/>
    </w:rPr>
  </w:style>
  <w:style w:type="paragraph" w:customStyle="1" w:styleId="321">
    <w:name w:val="修订1"/>
    <w:unhideWhenUsed/>
    <w:qFormat/>
    <w:uiPriority w:val="99"/>
    <w:rPr>
      <w:rFonts w:hint="default" w:ascii="Times New Roman" w:hAnsi="Times New Roman" w:eastAsia="宋体" w:cs="Times New Roman"/>
      <w:sz w:val="21"/>
      <w:lang w:val="en-US" w:eastAsia="zh-CN" w:bidi="ar-SA"/>
    </w:rPr>
  </w:style>
  <w:style w:type="paragraph" w:customStyle="1" w:styleId="322">
    <w:name w:val="List Paragraph2"/>
    <w:basedOn w:val="1"/>
    <w:qFormat/>
    <w:uiPriority w:val="0"/>
    <w:pPr>
      <w:ind w:firstLine="420"/>
    </w:pPr>
    <w:rPr>
      <w:szCs w:val="21"/>
    </w:rPr>
  </w:style>
  <w:style w:type="paragraph" w:customStyle="1" w:styleId="323">
    <w:name w:val="列出段落1"/>
    <w:basedOn w:val="1"/>
    <w:qFormat/>
    <w:uiPriority w:val="0"/>
    <w:pPr>
      <w:ind w:firstLine="420"/>
    </w:pPr>
    <w:rPr>
      <w:szCs w:val="21"/>
    </w:rPr>
  </w:style>
  <w:style w:type="paragraph" w:customStyle="1" w:styleId="324">
    <w:name w:val="普通正文"/>
    <w:basedOn w:val="1"/>
    <w:qFormat/>
    <w:uiPriority w:val="0"/>
    <w:pPr>
      <w:spacing w:before="120" w:after="120" w:line="360" w:lineRule="auto"/>
      <w:ind w:firstLine="480"/>
      <w:jc w:val="left"/>
    </w:pPr>
    <w:rPr>
      <w:rFonts w:ascii="Arial" w:hAnsi="Arial" w:eastAsia="宋体"/>
      <w:sz w:val="24"/>
      <w:szCs w:val="24"/>
    </w:rPr>
  </w:style>
  <w:style w:type="character" w:customStyle="1" w:styleId="325">
    <w:name w:val="批注引用1"/>
    <w:semiHidden/>
    <w:qFormat/>
    <w:uiPriority w:val="0"/>
    <w:rPr>
      <w:rFonts w:ascii="Calibri" w:hAnsi="Calibri" w:eastAsia="Arial" w:cs="Times New Roman"/>
      <w:sz w:val="21"/>
      <w:szCs w:val="22"/>
    </w:rPr>
  </w:style>
  <w:style w:type="paragraph" w:customStyle="1" w:styleId="326">
    <w:name w:val="Char"/>
    <w:basedOn w:val="1"/>
    <w:qFormat/>
    <w:uiPriority w:val="0"/>
    <w:pPr>
      <w:tabs>
        <w:tab w:val="left" w:pos="360"/>
      </w:tabs>
      <w:ind w:firstLine="200"/>
    </w:pPr>
    <w:rPr>
      <w:rFonts w:ascii="Times New Roman" w:hAnsi="Times New Roman" w:eastAsia="宋体"/>
      <w:sz w:val="28"/>
      <w:szCs w:val="3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Company>
  <Pages>61</Pages>
  <Words>7446</Words>
  <Characters>8081</Characters>
  <TotalTime>23</TotalTime>
  <ScaleCrop>false</ScaleCrop>
  <LinksUpToDate>false</LinksUpToDate>
  <CharactersWithSpaces>8115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2023-03-28T06:55:00Z</dcterms:created>
  <dc:creator>时缪</dc:creator>
  <cp:lastModifiedBy>嘿我会发光呀✨</cp:lastModifiedBy>
  <dcterms:modified xsi:type="dcterms:W3CDTF">2026-08-11T01:59:47Z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eyJoZGlkIjoiNmY3NmM5Y2I4MWU4YmNiZmNjZThmODYyYjk4MTMwYWMiLCJ1c2VySWQiOiIyNTk2MjU0NTAifQ==</vt:lpwstr>
  </property>
  <property fmtid="{D5CDD505-2E9C-101B-9397-08002B2CF9AE}" pid="3" name="KSOProductBuildVer">
    <vt:lpwstr>2052-12.1.0.28043</vt:lpwstr>
  </property>
  <property fmtid="{D5CDD505-2E9C-101B-9397-08002B2CF9AE}" pid="4" name="ICV">
    <vt:lpwstr>6283327AD9494AC48EF3BAD7518E6E9A_13</vt:lpwstr>
  </property>
</Properties>
</file>